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B2E" w:rsidRDefault="009A0B2E" w:rsidP="009A0B2E">
      <w:pPr>
        <w:jc w:val="center"/>
        <w:rPr>
          <w:rFonts w:ascii="Times New Roman" w:eastAsia="MS Mincho" w:hAnsi="Times New Roman" w:cs="Times New Roman"/>
          <w:lang w:val="fr-FR"/>
        </w:rPr>
      </w:pPr>
      <w:bookmarkStart w:id="0" w:name="_GoBack"/>
      <w:bookmarkEnd w:id="0"/>
    </w:p>
    <w:p w:rsidR="007E7B24" w:rsidRDefault="007E7B24" w:rsidP="009A0B2E">
      <w:pPr>
        <w:jc w:val="center"/>
        <w:rPr>
          <w:rFonts w:ascii="Times New Roman" w:eastAsia="MS Mincho" w:hAnsi="Times New Roman" w:cs="Times New Roman"/>
          <w:lang w:val="fr-FR"/>
        </w:rPr>
      </w:pPr>
    </w:p>
    <w:p w:rsidR="00497E5E" w:rsidRDefault="00497E5E" w:rsidP="009A0B2E">
      <w:pPr>
        <w:jc w:val="center"/>
        <w:rPr>
          <w:rFonts w:ascii="Times New Roman" w:eastAsia="MS Mincho" w:hAnsi="Times New Roman" w:cs="Times New Roman"/>
          <w:lang w:val="fr-FR"/>
        </w:rPr>
      </w:pPr>
    </w:p>
    <w:p w:rsidR="007E7B24" w:rsidRDefault="007E7B24" w:rsidP="009A0B2E">
      <w:pPr>
        <w:jc w:val="center"/>
        <w:rPr>
          <w:rFonts w:ascii="Times New Roman" w:eastAsia="MS Mincho" w:hAnsi="Times New Roman" w:cs="Times New Roman"/>
          <w:lang w:val="fr-FR"/>
        </w:rPr>
      </w:pPr>
    </w:p>
    <w:p w:rsidR="009A0B2E" w:rsidRDefault="009A0B2E" w:rsidP="009A0B2E">
      <w:pPr>
        <w:jc w:val="center"/>
        <w:rPr>
          <w:rFonts w:ascii="Times New Roman" w:eastAsia="MS Mincho" w:hAnsi="Times New Roman" w:cs="Times New Roman"/>
          <w:lang w:val="fr-FR"/>
        </w:rPr>
      </w:pPr>
      <w:r>
        <w:rPr>
          <w:rFonts w:ascii="Times New Roman" w:eastAsia="MS Mincho" w:hAnsi="Times New Roman" w:cs="Times New Roman"/>
          <w:lang w:val="fr-FR"/>
        </w:rPr>
        <w:t>PREMIÈRE SECTION</w:t>
      </w:r>
    </w:p>
    <w:p w:rsidR="009A0B2E" w:rsidRDefault="009A0B2E" w:rsidP="009A0B2E">
      <w:pPr>
        <w:jc w:val="center"/>
        <w:rPr>
          <w:rFonts w:ascii="Times New Roman" w:eastAsia="MS Mincho" w:hAnsi="Times New Roman" w:cs="Times New Roman"/>
          <w:lang w:val="fr-FR"/>
        </w:rPr>
      </w:pPr>
    </w:p>
    <w:p w:rsidR="007E7B24" w:rsidRDefault="007E7B24" w:rsidP="009A0B2E">
      <w:pPr>
        <w:jc w:val="center"/>
        <w:rPr>
          <w:rFonts w:ascii="Times New Roman" w:eastAsia="MS Mincho" w:hAnsi="Times New Roman" w:cs="Times New Roman"/>
          <w:lang w:val="fr-FR"/>
        </w:rPr>
      </w:pPr>
    </w:p>
    <w:p w:rsidR="007E7B24" w:rsidRDefault="007E7B24" w:rsidP="009A0B2E">
      <w:pPr>
        <w:jc w:val="center"/>
        <w:rPr>
          <w:rFonts w:ascii="Times New Roman" w:eastAsia="MS Mincho" w:hAnsi="Times New Roman" w:cs="Times New Roman"/>
          <w:lang w:val="fr-FR"/>
        </w:rPr>
      </w:pPr>
    </w:p>
    <w:p w:rsidR="007E7B24" w:rsidRDefault="007E7B24" w:rsidP="009A0B2E">
      <w:pPr>
        <w:jc w:val="center"/>
        <w:rPr>
          <w:rFonts w:ascii="Times New Roman" w:eastAsia="MS Mincho" w:hAnsi="Times New Roman" w:cs="Times New Roman"/>
          <w:lang w:val="fr-FR"/>
        </w:rPr>
      </w:pPr>
    </w:p>
    <w:p w:rsidR="007E7B24" w:rsidRDefault="007E7B24" w:rsidP="009A0B2E">
      <w:pPr>
        <w:jc w:val="center"/>
        <w:rPr>
          <w:rFonts w:ascii="Times New Roman" w:eastAsia="MS Mincho" w:hAnsi="Times New Roman" w:cs="Times New Roman"/>
          <w:lang w:val="fr-FR"/>
        </w:rPr>
      </w:pPr>
    </w:p>
    <w:p w:rsidR="00497E5E" w:rsidRDefault="00497E5E" w:rsidP="009A0B2E">
      <w:pPr>
        <w:jc w:val="center"/>
        <w:rPr>
          <w:rFonts w:ascii="Times New Roman" w:eastAsia="MS Mincho" w:hAnsi="Times New Roman" w:cs="Times New Roman"/>
          <w:lang w:val="fr-FR"/>
        </w:rPr>
      </w:pPr>
    </w:p>
    <w:p w:rsidR="007E7B24" w:rsidRDefault="007E7B24" w:rsidP="009A0B2E">
      <w:pPr>
        <w:jc w:val="center"/>
        <w:rPr>
          <w:rFonts w:ascii="Times New Roman" w:eastAsia="MS Mincho" w:hAnsi="Times New Roman" w:cs="Times New Roman"/>
          <w:lang w:val="fr-FR"/>
        </w:rPr>
      </w:pPr>
    </w:p>
    <w:p w:rsidR="009A0B2E" w:rsidRDefault="009A0B2E" w:rsidP="009A0B2E">
      <w:pPr>
        <w:jc w:val="center"/>
        <w:rPr>
          <w:rFonts w:ascii="Times New Roman" w:eastAsia="MS Mincho" w:hAnsi="Times New Roman" w:cs="Times New Roman"/>
          <w:b/>
          <w:lang w:val="fr-FR"/>
        </w:rPr>
      </w:pPr>
      <w:bookmarkStart w:id="1" w:name="To"/>
      <w:r>
        <w:rPr>
          <w:rFonts w:ascii="Times New Roman" w:eastAsia="MS Mincho" w:hAnsi="Times New Roman" w:cs="Times New Roman"/>
          <w:b/>
          <w:lang w:val="fr-FR"/>
        </w:rPr>
        <w:t xml:space="preserve">AFFAIRE </w:t>
      </w:r>
      <w:bookmarkEnd w:id="1"/>
      <w:r>
        <w:rPr>
          <w:rFonts w:ascii="Times New Roman" w:eastAsia="MS Mincho" w:hAnsi="Times New Roman" w:cs="Times New Roman"/>
          <w:b/>
          <w:lang w:val="fr-FR"/>
        </w:rPr>
        <w:t>KAPETANIOS ET AUTRES c. GRÈCE</w:t>
      </w:r>
    </w:p>
    <w:p w:rsidR="009A0B2E" w:rsidRDefault="009A0B2E" w:rsidP="009A0B2E">
      <w:pPr>
        <w:jc w:val="center"/>
        <w:rPr>
          <w:rFonts w:ascii="Times New Roman" w:eastAsia="MS Mincho" w:hAnsi="Times New Roman" w:cs="Times New Roman"/>
          <w:lang w:val="fr-FR"/>
        </w:rPr>
      </w:pPr>
    </w:p>
    <w:p w:rsidR="007E7B24" w:rsidRDefault="009A0B2E" w:rsidP="007E7B24">
      <w:pPr>
        <w:jc w:val="center"/>
        <w:rPr>
          <w:rFonts w:ascii="Times New Roman" w:eastAsia="MS Mincho" w:hAnsi="Times New Roman" w:cs="Times New Roman"/>
          <w:color w:val="000000"/>
          <w:sz w:val="22"/>
          <w:lang w:val="fr-FR" w:eastAsia="ja-JP"/>
        </w:rPr>
      </w:pPr>
      <w:r>
        <w:rPr>
          <w:rFonts w:ascii="Times New Roman" w:eastAsia="MS Mincho" w:hAnsi="Times New Roman" w:cs="Times New Roman"/>
          <w:i/>
          <w:lang w:val="fr-FR"/>
        </w:rPr>
        <w:t>(Requêtes n</w:t>
      </w:r>
      <w:r>
        <w:rPr>
          <w:rFonts w:ascii="Times New Roman" w:eastAsia="MS Mincho" w:hAnsi="Times New Roman" w:cs="Times New Roman"/>
          <w:i/>
          <w:vertAlign w:val="superscript"/>
          <w:lang w:val="fr-FR"/>
        </w:rPr>
        <w:t>os</w:t>
      </w:r>
      <w:r>
        <w:rPr>
          <w:rFonts w:ascii="Times New Roman" w:eastAsia="MS Mincho" w:hAnsi="Times New Roman" w:cs="Times New Roman"/>
          <w:i/>
          <w:lang w:val="fr-FR"/>
        </w:rPr>
        <w:t xml:space="preserve"> 3453/12, 42941/12 et 9028/13)</w:t>
      </w: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Default="007E7B24" w:rsidP="007E7B24">
      <w:pPr>
        <w:jc w:val="center"/>
        <w:rPr>
          <w:rFonts w:ascii="Times New Roman" w:eastAsia="MS Mincho" w:hAnsi="Times New Roman" w:cs="Times New Roman"/>
          <w:color w:val="000000"/>
          <w:sz w:val="22"/>
          <w:lang w:val="fr-FR" w:eastAsia="ja-JP"/>
        </w:rPr>
      </w:pPr>
    </w:p>
    <w:p w:rsidR="007E7B24" w:rsidRPr="00497E5E" w:rsidRDefault="007E7B24" w:rsidP="007E7B24">
      <w:pPr>
        <w:jc w:val="center"/>
        <w:rPr>
          <w:rFonts w:ascii="Times New Roman" w:eastAsia="MS Mincho" w:hAnsi="Times New Roman" w:cs="Times New Roman"/>
          <w:color w:val="000000"/>
          <w:szCs w:val="24"/>
          <w:lang w:val="fr-FR" w:eastAsia="ja-JP"/>
        </w:rPr>
      </w:pPr>
      <w:r w:rsidRPr="00497E5E">
        <w:rPr>
          <w:rFonts w:ascii="Times New Roman" w:eastAsia="MS Mincho" w:hAnsi="Times New Roman" w:cs="Times New Roman"/>
          <w:color w:val="000000"/>
          <w:szCs w:val="24"/>
          <w:lang w:val="fr-FR" w:eastAsia="ja-JP"/>
        </w:rPr>
        <w:t>ARRÊT</w:t>
      </w:r>
    </w:p>
    <w:p w:rsidR="007E7B24" w:rsidRDefault="007E7B24" w:rsidP="007E7B24">
      <w:pPr>
        <w:jc w:val="center"/>
        <w:rPr>
          <w:rFonts w:ascii="Times New Roman" w:eastAsia="MS Mincho" w:hAnsi="Times New Roman" w:cs="Times New Roman"/>
          <w:lang w:val="fr-FR"/>
        </w:rPr>
      </w:pPr>
    </w:p>
    <w:p w:rsidR="007E7B24" w:rsidRDefault="007E7B24" w:rsidP="007E7B24">
      <w:pPr>
        <w:jc w:val="center"/>
        <w:rPr>
          <w:rFonts w:ascii="Times New Roman" w:eastAsia="MS Mincho" w:hAnsi="Times New Roman" w:cs="Times New Roman"/>
          <w:lang w:val="fr-FR"/>
        </w:rPr>
      </w:pPr>
    </w:p>
    <w:p w:rsidR="007E7B24" w:rsidRDefault="007E7B24" w:rsidP="007E7B24">
      <w:pPr>
        <w:jc w:val="center"/>
        <w:rPr>
          <w:rFonts w:ascii="Times New Roman" w:eastAsia="MS Mincho" w:hAnsi="Times New Roman" w:cs="Times New Roman"/>
          <w:lang w:val="fr-FR"/>
        </w:rPr>
      </w:pPr>
      <w:r>
        <w:rPr>
          <w:rFonts w:ascii="Times New Roman" w:eastAsia="MS Mincho" w:hAnsi="Times New Roman" w:cs="Times New Roman"/>
          <w:lang w:val="fr-FR"/>
        </w:rPr>
        <w:t>STRASBOURG</w:t>
      </w:r>
    </w:p>
    <w:p w:rsidR="007E7B24" w:rsidRDefault="007E7B24" w:rsidP="007E7B24">
      <w:pPr>
        <w:jc w:val="center"/>
        <w:rPr>
          <w:rFonts w:ascii="Times New Roman" w:eastAsia="MS Mincho" w:hAnsi="Times New Roman" w:cs="Times New Roman"/>
          <w:lang w:val="fr-FR"/>
        </w:rPr>
      </w:pPr>
    </w:p>
    <w:p w:rsidR="007E7B24" w:rsidRDefault="000D3564" w:rsidP="007E7B24">
      <w:pPr>
        <w:jc w:val="center"/>
        <w:rPr>
          <w:rFonts w:ascii="Times New Roman" w:eastAsia="MS Mincho" w:hAnsi="Times New Roman" w:cs="Times New Roman"/>
          <w:lang w:val="fr-FR"/>
        </w:rPr>
      </w:pPr>
      <w:r>
        <w:rPr>
          <w:rFonts w:ascii="Times New Roman" w:eastAsia="MS Mincho" w:hAnsi="Times New Roman" w:cs="Times New Roman"/>
          <w:lang w:val="fr-FR"/>
        </w:rPr>
        <w:t>30</w:t>
      </w:r>
      <w:r w:rsidR="00C057CE">
        <w:rPr>
          <w:rFonts w:ascii="Times New Roman" w:eastAsia="MS Mincho" w:hAnsi="Times New Roman" w:cs="Times New Roman"/>
          <w:lang w:val="fr-FR"/>
        </w:rPr>
        <w:t xml:space="preserve"> avril 2015</w:t>
      </w:r>
    </w:p>
    <w:p w:rsidR="007E7B24" w:rsidRDefault="007E7B24" w:rsidP="007E7B24">
      <w:pPr>
        <w:jc w:val="center"/>
        <w:rPr>
          <w:rFonts w:ascii="Times New Roman" w:eastAsia="MS Mincho" w:hAnsi="Times New Roman" w:cs="Times New Roman"/>
          <w:lang w:val="fr-FR"/>
        </w:rPr>
      </w:pPr>
    </w:p>
    <w:p w:rsidR="00497E5E" w:rsidRDefault="00497E5E" w:rsidP="007E7B24">
      <w:pPr>
        <w:jc w:val="center"/>
        <w:rPr>
          <w:rFonts w:ascii="Times New Roman" w:eastAsia="MS Mincho" w:hAnsi="Times New Roman" w:cs="Times New Roman"/>
          <w:lang w:val="fr-FR"/>
        </w:rPr>
      </w:pPr>
    </w:p>
    <w:p w:rsidR="003C2190" w:rsidRDefault="003C2190" w:rsidP="003C2190">
      <w:pPr>
        <w:pStyle w:val="jucase0"/>
        <w:ind w:firstLine="0"/>
        <w:jc w:val="center"/>
        <w:rPr>
          <w:color w:val="FF0000"/>
          <w:sz w:val="28"/>
          <w:szCs w:val="28"/>
          <w:u w:val="single"/>
          <w:lang w:val="fr-FR"/>
        </w:rPr>
      </w:pPr>
      <w:r>
        <w:rPr>
          <w:color w:val="FF0000"/>
          <w:sz w:val="28"/>
          <w:szCs w:val="28"/>
          <w:u w:val="single"/>
          <w:lang w:val="fr-FR"/>
        </w:rPr>
        <w:t>DÉFINITIF</w:t>
      </w:r>
    </w:p>
    <w:p w:rsidR="003C2190" w:rsidRDefault="003C2190" w:rsidP="003C2190">
      <w:pPr>
        <w:pStyle w:val="jupara"/>
        <w:tabs>
          <w:tab w:val="left" w:pos="3450"/>
        </w:tabs>
        <w:ind w:firstLine="0"/>
        <w:jc w:val="center"/>
        <w:rPr>
          <w:color w:val="FF0000"/>
          <w:sz w:val="28"/>
          <w:szCs w:val="28"/>
          <w:lang w:val="fr-FR"/>
        </w:rPr>
      </w:pPr>
    </w:p>
    <w:p w:rsidR="003C2190" w:rsidRDefault="003C2190" w:rsidP="003C2190">
      <w:pPr>
        <w:pStyle w:val="jupara"/>
        <w:ind w:firstLine="0"/>
        <w:jc w:val="center"/>
        <w:rPr>
          <w:color w:val="FF0000"/>
          <w:sz w:val="28"/>
          <w:szCs w:val="28"/>
          <w:lang w:val="fr-FR"/>
        </w:rPr>
      </w:pPr>
      <w:r>
        <w:rPr>
          <w:color w:val="FF0000"/>
          <w:sz w:val="28"/>
          <w:szCs w:val="28"/>
          <w:lang w:val="fr-FR"/>
        </w:rPr>
        <w:t>14/09/2015</w:t>
      </w:r>
    </w:p>
    <w:p w:rsidR="003C2190" w:rsidRDefault="003C2190" w:rsidP="003C2190">
      <w:pPr>
        <w:jc w:val="center"/>
        <w:rPr>
          <w:u w:val="single"/>
          <w:lang w:val="fr-FR"/>
        </w:rPr>
      </w:pPr>
    </w:p>
    <w:p w:rsidR="003C2190" w:rsidRDefault="003C2190" w:rsidP="003C2190">
      <w:pPr>
        <w:jc w:val="center"/>
        <w:rPr>
          <w:i/>
          <w:iCs/>
          <w:sz w:val="22"/>
          <w:lang w:val="fr-FR"/>
        </w:rPr>
      </w:pPr>
      <w:r>
        <w:rPr>
          <w:i/>
          <w:iCs/>
          <w:sz w:val="22"/>
          <w:lang w:val="fr-FR"/>
        </w:rPr>
        <w:t>Cet arrêt est devenu définitif en vertu de l’article 44 § 2 de la Convention. Il peut subir des retouches de forme.</w:t>
      </w:r>
    </w:p>
    <w:p w:rsidR="00497E5E" w:rsidRDefault="00497E5E">
      <w:pPr>
        <w:jc w:val="left"/>
        <w:rPr>
          <w:rFonts w:ascii="Times New Roman" w:eastAsia="MS Mincho" w:hAnsi="Times New Roman" w:cs="Times New Roman"/>
          <w:lang w:val="fr-FR"/>
        </w:rPr>
      </w:pPr>
    </w:p>
    <w:p w:rsidR="00596C35" w:rsidRDefault="00596C35">
      <w:pPr>
        <w:jc w:val="left"/>
        <w:rPr>
          <w:rFonts w:ascii="Times New Roman" w:eastAsia="MS Mincho" w:hAnsi="Times New Roman" w:cs="Times New Roman"/>
          <w:lang w:val="fr-FR"/>
        </w:rPr>
        <w:sectPr w:rsidR="00596C35" w:rsidSect="00596C35">
          <w:headerReference w:type="even" r:id="rId12"/>
          <w:headerReference w:type="default" r:id="rId13"/>
          <w:footerReference w:type="default" r:id="rId14"/>
          <w:headerReference w:type="first" r:id="rId15"/>
          <w:pgSz w:w="11906" w:h="16838" w:code="9"/>
          <w:pgMar w:top="2274" w:right="2274" w:bottom="2274" w:left="2274" w:header="1701" w:footer="720" w:gutter="0"/>
          <w:pgNumType w:start="1"/>
          <w:cols w:space="720"/>
          <w:docGrid w:linePitch="326"/>
        </w:sectPr>
      </w:pPr>
    </w:p>
    <w:p w:rsidR="00497E5E" w:rsidRPr="00B55161" w:rsidRDefault="00497E5E" w:rsidP="00497E5E">
      <w:pPr>
        <w:pStyle w:val="JuCase"/>
        <w:rPr>
          <w:lang w:val="fr-FR"/>
        </w:rPr>
      </w:pPr>
      <w:r w:rsidRPr="00B55161">
        <w:rPr>
          <w:lang w:val="fr-FR"/>
        </w:rPr>
        <w:lastRenderedPageBreak/>
        <w:t>En l</w:t>
      </w:r>
      <w:r w:rsidR="003C2190">
        <w:rPr>
          <w:lang w:val="fr-FR"/>
        </w:rPr>
        <w:t>’</w:t>
      </w:r>
      <w:r w:rsidRPr="00B55161">
        <w:rPr>
          <w:lang w:val="fr-FR"/>
        </w:rPr>
        <w:t xml:space="preserve">affaire </w:t>
      </w:r>
      <w:r w:rsidR="004778D6">
        <w:rPr>
          <w:lang w:val="fr-FR"/>
        </w:rPr>
        <w:t>Kapetanios et autres</w:t>
      </w:r>
      <w:r w:rsidRPr="00B55161">
        <w:rPr>
          <w:lang w:val="fr-FR"/>
        </w:rPr>
        <w:t xml:space="preserve"> c. Grèce,</w:t>
      </w:r>
    </w:p>
    <w:p w:rsidR="00C057CE" w:rsidRDefault="00C057CE" w:rsidP="00497E5E">
      <w:pPr>
        <w:pStyle w:val="ECHRPara"/>
        <w:rPr>
          <w:rFonts w:eastAsia="MS Mincho"/>
          <w:lang w:val="fr-FR"/>
        </w:rPr>
      </w:pPr>
      <w:r>
        <w:rPr>
          <w:rFonts w:eastAsia="MS Mincho"/>
          <w:lang w:val="fr-FR"/>
        </w:rPr>
        <w:t>La Cour européenne des droits de l</w:t>
      </w:r>
      <w:r w:rsidR="003C2190">
        <w:rPr>
          <w:rFonts w:eastAsia="MS Mincho"/>
          <w:lang w:val="fr-FR"/>
        </w:rPr>
        <w:t>’</w:t>
      </w:r>
      <w:r>
        <w:rPr>
          <w:rFonts w:eastAsia="MS Mincho"/>
          <w:lang w:val="fr-FR"/>
        </w:rPr>
        <w:t>homme (première section), siégeant en une chambre composée de :</w:t>
      </w:r>
    </w:p>
    <w:p w:rsidR="009A0B2E" w:rsidRPr="00AF131B" w:rsidRDefault="004537CC" w:rsidP="004778D6">
      <w:pPr>
        <w:pStyle w:val="ECHRDecisionBody"/>
        <w:rPr>
          <w:rFonts w:eastAsia="MS Mincho"/>
          <w:lang w:val="fr-FR"/>
        </w:rPr>
      </w:pPr>
      <w:r w:rsidRPr="00AF131B">
        <w:rPr>
          <w:lang w:val="fr-FR"/>
        </w:rPr>
        <w:tab/>
        <w:t>Elisabeth Steiner,</w:t>
      </w:r>
      <w:r w:rsidRPr="00AF131B">
        <w:rPr>
          <w:i/>
          <w:lang w:val="fr-FR"/>
        </w:rPr>
        <w:t xml:space="preserve"> présidente,</w:t>
      </w:r>
      <w:r w:rsidRPr="00AF131B">
        <w:rPr>
          <w:i/>
          <w:lang w:val="fr-FR"/>
        </w:rPr>
        <w:br/>
      </w:r>
      <w:r w:rsidRPr="00AF131B">
        <w:rPr>
          <w:lang w:val="fr-FR"/>
        </w:rPr>
        <w:tab/>
        <w:t>Khanlar Hajiyev,</w:t>
      </w:r>
      <w:r w:rsidRPr="00AF131B">
        <w:rPr>
          <w:i/>
          <w:lang w:val="fr-FR"/>
        </w:rPr>
        <w:br/>
      </w:r>
      <w:r w:rsidRPr="00AF131B">
        <w:rPr>
          <w:lang w:val="fr-FR"/>
        </w:rPr>
        <w:tab/>
        <w:t>Mirjana Lazarova Trajkovska,</w:t>
      </w:r>
      <w:r w:rsidRPr="00AF131B">
        <w:rPr>
          <w:i/>
          <w:lang w:val="fr-FR"/>
        </w:rPr>
        <w:br/>
      </w:r>
      <w:r w:rsidRPr="00AF131B">
        <w:rPr>
          <w:lang w:val="fr-FR"/>
        </w:rPr>
        <w:tab/>
        <w:t>Paulo Pinto de Albuquerque,</w:t>
      </w:r>
      <w:r w:rsidRPr="00AF131B">
        <w:rPr>
          <w:i/>
          <w:lang w:val="fr-FR"/>
        </w:rPr>
        <w:br/>
      </w:r>
      <w:r w:rsidRPr="00AF131B">
        <w:rPr>
          <w:lang w:val="fr-FR"/>
        </w:rPr>
        <w:tab/>
        <w:t>Linos-Alexandre Sicilianos,</w:t>
      </w:r>
      <w:r w:rsidRPr="00AF131B">
        <w:rPr>
          <w:i/>
          <w:lang w:val="fr-FR"/>
        </w:rPr>
        <w:br/>
      </w:r>
      <w:r w:rsidRPr="00AF131B">
        <w:rPr>
          <w:lang w:val="fr-FR"/>
        </w:rPr>
        <w:tab/>
        <w:t>Erik Møse,</w:t>
      </w:r>
      <w:r w:rsidRPr="00AF131B">
        <w:rPr>
          <w:i/>
          <w:lang w:val="fr-FR"/>
        </w:rPr>
        <w:br/>
      </w:r>
      <w:r w:rsidRPr="00AF131B">
        <w:rPr>
          <w:lang w:val="fr-FR"/>
        </w:rPr>
        <w:tab/>
        <w:t>Dmitry Dedov,</w:t>
      </w:r>
      <w:r w:rsidRPr="00AF131B">
        <w:rPr>
          <w:i/>
          <w:lang w:val="fr-FR"/>
        </w:rPr>
        <w:t xml:space="preserve"> juges,</w:t>
      </w:r>
      <w:r w:rsidRPr="00AF131B">
        <w:rPr>
          <w:i/>
          <w:lang w:val="fr-FR"/>
        </w:rPr>
        <w:br/>
      </w:r>
      <w:r w:rsidR="009A0B2E" w:rsidRPr="00AF131B">
        <w:rPr>
          <w:rFonts w:eastAsia="MS Mincho"/>
          <w:lang w:val="fr-FR"/>
        </w:rPr>
        <w:t xml:space="preserve">et de Søren Nielsen, </w:t>
      </w:r>
      <w:r w:rsidR="009A0B2E" w:rsidRPr="00AF131B">
        <w:rPr>
          <w:rFonts w:eastAsia="MS Mincho"/>
          <w:i/>
          <w:lang w:val="fr-FR"/>
        </w:rPr>
        <w:t>greffier</w:t>
      </w:r>
      <w:r w:rsidR="009A0B2E" w:rsidRPr="00AF131B">
        <w:rPr>
          <w:rFonts w:eastAsia="MS Mincho"/>
          <w:iCs/>
          <w:lang w:val="fr-FR"/>
        </w:rPr>
        <w:t xml:space="preserve"> </w:t>
      </w:r>
      <w:r w:rsidR="009A0B2E" w:rsidRPr="00AF131B">
        <w:rPr>
          <w:rFonts w:eastAsia="MS Mincho"/>
          <w:i/>
          <w:iCs/>
          <w:lang w:val="fr-FR"/>
        </w:rPr>
        <w:t>d</w:t>
      </w:r>
      <w:r w:rsidR="009A0B2E" w:rsidRPr="00AF131B">
        <w:rPr>
          <w:rFonts w:eastAsia="MS Mincho"/>
          <w:i/>
          <w:lang w:val="fr-FR"/>
        </w:rPr>
        <w:t>e section,</w:t>
      </w:r>
    </w:p>
    <w:p w:rsidR="009A0B2E" w:rsidRDefault="009A0B2E" w:rsidP="004778D6">
      <w:pPr>
        <w:pStyle w:val="ECHRPara"/>
        <w:rPr>
          <w:rFonts w:eastAsia="MS Mincho"/>
          <w:lang w:val="fr-FR"/>
        </w:rPr>
      </w:pPr>
      <w:r>
        <w:rPr>
          <w:rFonts w:eastAsia="MS Mincho"/>
          <w:lang w:val="fr-FR"/>
        </w:rPr>
        <w:t xml:space="preserve">Après en avoir délibéré en chambre du conseil le </w:t>
      </w:r>
      <w:r w:rsidR="00DF2BDC">
        <w:rPr>
          <w:rFonts w:eastAsia="MS Mincho"/>
          <w:lang w:val="fr-FR"/>
        </w:rPr>
        <w:t>7</w:t>
      </w:r>
      <w:r w:rsidR="004778D6">
        <w:rPr>
          <w:rFonts w:eastAsia="MS Mincho"/>
          <w:lang w:val="fr-FR"/>
        </w:rPr>
        <w:t xml:space="preserve"> </w:t>
      </w:r>
      <w:r w:rsidR="00DF2BDC">
        <w:rPr>
          <w:rFonts w:eastAsia="MS Mincho"/>
          <w:lang w:val="fr-FR"/>
        </w:rPr>
        <w:t xml:space="preserve">avril </w:t>
      </w:r>
      <w:r w:rsidR="004778D6">
        <w:rPr>
          <w:rFonts w:eastAsia="MS Mincho"/>
          <w:lang w:val="fr-FR"/>
        </w:rPr>
        <w:t>2015</w:t>
      </w:r>
      <w:r>
        <w:rPr>
          <w:rFonts w:eastAsia="MS Mincho"/>
          <w:lang w:val="fr-FR"/>
        </w:rPr>
        <w:t>,</w:t>
      </w:r>
    </w:p>
    <w:p w:rsidR="009A0B2E" w:rsidRDefault="009A0B2E" w:rsidP="004778D6">
      <w:pPr>
        <w:pStyle w:val="ECHRPara"/>
        <w:rPr>
          <w:rFonts w:eastAsia="MS Mincho"/>
          <w:lang w:val="fr-FR"/>
        </w:rPr>
      </w:pPr>
      <w:r>
        <w:rPr>
          <w:rFonts w:eastAsia="MS Mincho"/>
          <w:lang w:val="fr-FR"/>
        </w:rPr>
        <w:t>Rend l</w:t>
      </w:r>
      <w:r w:rsidR="003C2190">
        <w:rPr>
          <w:rFonts w:eastAsia="MS Mincho"/>
          <w:lang w:val="fr-FR"/>
        </w:rPr>
        <w:t>’</w:t>
      </w:r>
      <w:r>
        <w:rPr>
          <w:rFonts w:eastAsia="MS Mincho"/>
          <w:lang w:val="fr-FR"/>
        </w:rPr>
        <w:t>arrêt que voici, adopté à cette date :</w:t>
      </w:r>
    </w:p>
    <w:p w:rsidR="009A0B2E" w:rsidRDefault="009A0B2E" w:rsidP="009A0B2E">
      <w:pPr>
        <w:pStyle w:val="ECHRTitle1"/>
        <w:rPr>
          <w:rFonts w:eastAsia="MS Mincho"/>
          <w:lang w:val="fr-FR"/>
        </w:rPr>
      </w:pPr>
      <w:r>
        <w:rPr>
          <w:rFonts w:eastAsia="MS Mincho"/>
          <w:lang w:val="fr-FR"/>
        </w:rPr>
        <w:t>PROCÉDURE</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w:t>
      </w:r>
      <w:r>
        <w:rPr>
          <w:rFonts w:eastAsia="MS Mincho"/>
          <w:lang w:val="fr-FR"/>
        </w:rPr>
        <w:fldChar w:fldCharType="end"/>
      </w:r>
      <w:r>
        <w:rPr>
          <w:rFonts w:eastAsia="MS Mincho"/>
          <w:lang w:val="fr-FR"/>
        </w:rPr>
        <w:t>.  À l</w:t>
      </w:r>
      <w:r w:rsidR="003C2190">
        <w:rPr>
          <w:rFonts w:eastAsia="MS Mincho"/>
          <w:lang w:val="fr-FR"/>
        </w:rPr>
        <w:t>’</w:t>
      </w:r>
      <w:r>
        <w:rPr>
          <w:rFonts w:eastAsia="MS Mincho"/>
          <w:lang w:val="fr-FR"/>
        </w:rPr>
        <w:t>origine des affaires se trouvent trois requêtes (n</w:t>
      </w:r>
      <w:r>
        <w:rPr>
          <w:rFonts w:eastAsia="MS Mincho"/>
          <w:vertAlign w:val="superscript"/>
          <w:lang w:val="fr-FR"/>
        </w:rPr>
        <w:t>os</w:t>
      </w:r>
      <w:r>
        <w:rPr>
          <w:rFonts w:eastAsia="MS Mincho"/>
          <w:lang w:val="fr-FR"/>
        </w:rPr>
        <w:t xml:space="preserve"> 3453/12, 42941/12 et 9028/13) dirigées contre la République hellénique et dont trois ressortissants de cet État, MM. Evaggelos Kapetanios, Athanasios Nikolopoulos et Nikolaos Aggloupas (« les requérants »), ont saisi la Cour les 28 décembre 2011, 2 juillet 2012 et 28 janvier 2013 respectivement en vertu de l</w:t>
      </w:r>
      <w:r w:rsidR="003C2190">
        <w:rPr>
          <w:rFonts w:eastAsia="MS Mincho"/>
          <w:lang w:val="fr-FR"/>
        </w:rPr>
        <w:t>’</w:t>
      </w:r>
      <w:r>
        <w:rPr>
          <w:rFonts w:eastAsia="MS Mincho"/>
          <w:lang w:val="fr-FR"/>
        </w:rPr>
        <w:t>article 34 de la Convention de sauvegarde des droits de l</w:t>
      </w:r>
      <w:r w:rsidR="003C2190">
        <w:rPr>
          <w:rFonts w:eastAsia="MS Mincho"/>
          <w:lang w:val="fr-FR"/>
        </w:rPr>
        <w:t>’</w:t>
      </w:r>
      <w:r>
        <w:rPr>
          <w:rFonts w:eastAsia="MS Mincho"/>
          <w:lang w:val="fr-FR"/>
        </w:rPr>
        <w:t>homme et des libertés fondamentales (« la Convention »).</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2</w:t>
      </w:r>
      <w:r>
        <w:rPr>
          <w:rFonts w:eastAsia="MS Mincho"/>
          <w:lang w:val="fr-FR"/>
        </w:rPr>
        <w:fldChar w:fldCharType="end"/>
      </w:r>
      <w:r>
        <w:rPr>
          <w:rFonts w:eastAsia="MS Mincho"/>
          <w:lang w:val="fr-FR"/>
        </w:rPr>
        <w:t>.  En ce qui concerne les requêtes n</w:t>
      </w:r>
      <w:r>
        <w:rPr>
          <w:rFonts w:eastAsia="MS Mincho"/>
          <w:vertAlign w:val="superscript"/>
          <w:lang w:val="fr-FR"/>
        </w:rPr>
        <w:t>os</w:t>
      </w:r>
      <w:r>
        <w:rPr>
          <w:rFonts w:eastAsia="MS Mincho"/>
          <w:lang w:val="fr-FR"/>
        </w:rPr>
        <w:t xml:space="preserve"> 3453/12 et 9028/13, les requérants ont été représentés par M</w:t>
      </w:r>
      <w:r>
        <w:rPr>
          <w:rFonts w:eastAsia="MS Mincho"/>
          <w:vertAlign w:val="superscript"/>
          <w:lang w:val="fr-FR"/>
        </w:rPr>
        <w:t>e</w:t>
      </w:r>
      <w:r>
        <w:rPr>
          <w:rFonts w:eastAsia="MS Mincho"/>
          <w:lang w:val="fr-FR"/>
        </w:rPr>
        <w:t> V. Chirdaris, avocat au barreau d</w:t>
      </w:r>
      <w:r w:rsidR="003C2190">
        <w:rPr>
          <w:rFonts w:eastAsia="MS Mincho"/>
          <w:lang w:val="fr-FR"/>
        </w:rPr>
        <w:t>’</w:t>
      </w:r>
      <w:r>
        <w:rPr>
          <w:rFonts w:eastAsia="MS Mincho"/>
          <w:lang w:val="fr-FR"/>
        </w:rPr>
        <w:t>Athènes. Quant à la requête n</w:t>
      </w:r>
      <w:r w:rsidR="007E7B24" w:rsidRPr="007E7B24">
        <w:rPr>
          <w:rFonts w:eastAsia="MS Mincho"/>
          <w:vertAlign w:val="superscript"/>
          <w:lang w:val="fr-FR"/>
        </w:rPr>
        <w:t>o</w:t>
      </w:r>
      <w:r>
        <w:rPr>
          <w:rFonts w:eastAsia="MS Mincho"/>
          <w:lang w:val="fr-FR"/>
        </w:rPr>
        <w:t xml:space="preserve"> 42941/12, le requérant a été représenté par M</w:t>
      </w:r>
      <w:r>
        <w:rPr>
          <w:rFonts w:eastAsia="MS Mincho"/>
          <w:vertAlign w:val="superscript"/>
          <w:lang w:val="fr-FR"/>
        </w:rPr>
        <w:t>es</w:t>
      </w:r>
      <w:r w:rsidR="00596C35">
        <w:rPr>
          <w:rFonts w:eastAsia="MS Mincho"/>
          <w:lang w:val="fr-FR"/>
        </w:rPr>
        <w:t xml:space="preserve"> D. et K. </w:t>
      </w:r>
      <w:r>
        <w:rPr>
          <w:rFonts w:eastAsia="MS Mincho"/>
          <w:lang w:val="fr-FR"/>
        </w:rPr>
        <w:t>Farmakidis-Markou, avocats au barreau d</w:t>
      </w:r>
      <w:r w:rsidR="003C2190">
        <w:rPr>
          <w:rFonts w:eastAsia="MS Mincho"/>
          <w:lang w:val="fr-FR"/>
        </w:rPr>
        <w:t>’</w:t>
      </w:r>
      <w:r>
        <w:rPr>
          <w:rFonts w:eastAsia="MS Mincho"/>
          <w:lang w:val="fr-FR"/>
        </w:rPr>
        <w:t>Athènes. Le gouvernement grec (« le Gouvernement ») a été représenté par les déléguées de son agent, M</w:t>
      </w:r>
      <w:r>
        <w:rPr>
          <w:rFonts w:eastAsia="MS Mincho"/>
          <w:vertAlign w:val="superscript"/>
          <w:lang w:val="fr-FR"/>
        </w:rPr>
        <w:t>mes</w:t>
      </w:r>
      <w:r>
        <w:rPr>
          <w:rFonts w:eastAsia="MS Mincho"/>
          <w:lang w:val="fr-FR"/>
        </w:rPr>
        <w:t> K. Paraskevopoulou, assesseure auprès du Conseil juridique de l</w:t>
      </w:r>
      <w:r w:rsidR="003C2190">
        <w:rPr>
          <w:rFonts w:eastAsia="MS Mincho"/>
          <w:lang w:val="fr-FR"/>
        </w:rPr>
        <w:t>’</w:t>
      </w:r>
      <w:r>
        <w:rPr>
          <w:rFonts w:eastAsia="MS Mincho"/>
          <w:lang w:val="fr-FR"/>
        </w:rPr>
        <w:t>État, et M. Skorila, auditrice auprès du Conseil juridique de l</w:t>
      </w:r>
      <w:r w:rsidR="003C2190">
        <w:rPr>
          <w:rFonts w:eastAsia="MS Mincho"/>
          <w:lang w:val="fr-FR"/>
        </w:rPr>
        <w:t>’</w:t>
      </w:r>
      <w:r>
        <w:rPr>
          <w:rFonts w:eastAsia="MS Mincho"/>
          <w:lang w:val="fr-FR"/>
        </w:rPr>
        <w:t>État.</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3</w:t>
      </w:r>
      <w:r>
        <w:rPr>
          <w:rFonts w:eastAsia="MS Mincho"/>
          <w:lang w:val="fr-FR"/>
        </w:rPr>
        <w:fldChar w:fldCharType="end"/>
      </w:r>
      <w:r>
        <w:rPr>
          <w:rFonts w:eastAsia="MS Mincho"/>
          <w:lang w:val="fr-FR"/>
        </w:rPr>
        <w:t>.  Les requérants allèguent en particulier des violations des articles 6 § 2 de la Convention et 4 du Protocole n</w:t>
      </w:r>
      <w:r w:rsidR="007E7B24" w:rsidRPr="007E7B24">
        <w:rPr>
          <w:rFonts w:eastAsia="MS Mincho"/>
          <w:vertAlign w:val="superscript"/>
          <w:lang w:val="fr-FR"/>
        </w:rPr>
        <w:t>o</w:t>
      </w:r>
      <w:r>
        <w:rPr>
          <w:rFonts w:eastAsia="MS Mincho"/>
          <w:lang w:val="fr-FR"/>
        </w:rPr>
        <w:t xml:space="preserve"> 7.</w:t>
      </w:r>
    </w:p>
    <w:p w:rsidR="009A0B2E" w:rsidRDefault="009A0B2E" w:rsidP="009A0B2E">
      <w:pPr>
        <w:pStyle w:val="ECHRPara"/>
        <w:rPr>
          <w:rFonts w:eastAsia="MS Mincho"/>
          <w:szCs w:val="24"/>
          <w:lang w:val="fr-FR" w:eastAsia="en-GB"/>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4</w:t>
      </w:r>
      <w:r>
        <w:rPr>
          <w:rFonts w:eastAsia="MS Mincho"/>
          <w:lang w:val="fr-FR"/>
        </w:rPr>
        <w:fldChar w:fldCharType="end"/>
      </w:r>
      <w:r>
        <w:rPr>
          <w:rFonts w:eastAsia="MS Mincho"/>
          <w:lang w:val="fr-FR"/>
        </w:rPr>
        <w:t>.  Le 25 mars 2013, les requêtes ont été communiquées au Gouvernement.</w:t>
      </w:r>
    </w:p>
    <w:p w:rsidR="009A0B2E" w:rsidRDefault="009A0B2E" w:rsidP="009A0B2E">
      <w:pPr>
        <w:pStyle w:val="ECHRTitle1"/>
        <w:rPr>
          <w:rFonts w:eastAsia="MS Mincho"/>
          <w:lang w:val="fr-FR"/>
        </w:rPr>
      </w:pPr>
      <w:r>
        <w:rPr>
          <w:rFonts w:eastAsia="MS Mincho"/>
          <w:lang w:val="fr-FR"/>
        </w:rPr>
        <w:lastRenderedPageBreak/>
        <w:t>EN FAIT</w:t>
      </w:r>
    </w:p>
    <w:p w:rsidR="009A0B2E" w:rsidRDefault="009A0B2E" w:rsidP="009A0B2E">
      <w:pPr>
        <w:pStyle w:val="ECHRHeading1"/>
        <w:rPr>
          <w:rFonts w:eastAsia="MS Gothic"/>
          <w:lang w:val="fr-FR"/>
        </w:rPr>
      </w:pPr>
      <w:r>
        <w:rPr>
          <w:rFonts w:eastAsia="MS Gothic"/>
          <w:lang w:val="fr-FR"/>
        </w:rPr>
        <w:t>I.  LES CIRCONSTANCES DE L</w:t>
      </w:r>
      <w:r w:rsidR="003C2190">
        <w:rPr>
          <w:rFonts w:eastAsia="MS Gothic"/>
          <w:lang w:val="fr-FR"/>
        </w:rPr>
        <w:t>’</w:t>
      </w:r>
      <w:r>
        <w:rPr>
          <w:rFonts w:eastAsia="MS Gothic"/>
          <w:lang w:val="fr-FR"/>
        </w:rPr>
        <w:t>ESPÈCE</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5</w:t>
      </w:r>
      <w:r>
        <w:rPr>
          <w:rFonts w:eastAsia="MS Mincho"/>
          <w:lang w:val="fr-FR"/>
        </w:rPr>
        <w:fldChar w:fldCharType="end"/>
      </w:r>
      <w:r>
        <w:rPr>
          <w:rFonts w:eastAsia="MS Mincho"/>
          <w:lang w:val="fr-FR"/>
        </w:rPr>
        <w:t>.  Les requérants sont nés respectivement en 1952, 1946 et 1943. Ils résident à Tsaggarada Piliou, Patras et Athènes respectivement.</w:t>
      </w:r>
    </w:p>
    <w:p w:rsidR="009A0B2E" w:rsidRDefault="00FB14A2" w:rsidP="00FB14A2">
      <w:pPr>
        <w:pStyle w:val="ECHRHeading2"/>
        <w:rPr>
          <w:rFonts w:eastAsia="MS Gothic"/>
          <w:lang w:val="fr-FR"/>
        </w:rPr>
      </w:pPr>
      <w:r>
        <w:rPr>
          <w:rFonts w:eastAsia="MS Gothic"/>
          <w:lang w:val="fr-FR"/>
        </w:rPr>
        <w:t>A</w:t>
      </w:r>
      <w:r w:rsidR="009A0B2E">
        <w:rPr>
          <w:rFonts w:eastAsia="MS Gothic"/>
          <w:lang w:val="fr-FR"/>
        </w:rPr>
        <w:t>.  Requête n</w:t>
      </w:r>
      <w:r w:rsidR="009A0B2E">
        <w:rPr>
          <w:rFonts w:eastAsia="MS Gothic"/>
          <w:vertAlign w:val="superscript"/>
          <w:lang w:val="fr-FR"/>
        </w:rPr>
        <w:t>o</w:t>
      </w:r>
      <w:r w:rsidR="009A0B2E">
        <w:rPr>
          <w:rFonts w:eastAsia="MS Gothic"/>
          <w:lang w:val="fr-FR"/>
        </w:rPr>
        <w:t xml:space="preserve"> 3453/12</w:t>
      </w:r>
    </w:p>
    <w:p w:rsidR="009A0B2E" w:rsidRDefault="00FB14A2" w:rsidP="00FB14A2">
      <w:pPr>
        <w:pStyle w:val="ECHRHeading3"/>
        <w:rPr>
          <w:rFonts w:eastAsia="MS Gothic"/>
          <w:lang w:val="fr-FR"/>
        </w:rPr>
      </w:pPr>
      <w:r>
        <w:rPr>
          <w:rFonts w:eastAsia="MS Gothic"/>
          <w:lang w:val="fr-FR"/>
        </w:rPr>
        <w:t>1.</w:t>
      </w:r>
      <w:r w:rsidR="009A0B2E">
        <w:rPr>
          <w:rFonts w:eastAsia="MS Gothic"/>
          <w:lang w:val="fr-FR"/>
        </w:rPr>
        <w:t>  La procédure pénale</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w:t>
      </w:r>
      <w:r>
        <w:rPr>
          <w:rFonts w:eastAsia="MS Mincho"/>
          <w:lang w:val="fr-FR"/>
        </w:rPr>
        <w:fldChar w:fldCharType="end"/>
      </w:r>
      <w:r>
        <w:rPr>
          <w:rFonts w:eastAsia="MS Mincho"/>
          <w:lang w:val="fr-FR"/>
        </w:rPr>
        <w:t>.  En 1986, des poursuites pénales furent engagées contre le requérant pour contrebande. Il fut accusé d</w:t>
      </w:r>
      <w:r w:rsidR="003C2190">
        <w:rPr>
          <w:rFonts w:eastAsia="MS Mincho"/>
          <w:lang w:val="fr-FR"/>
        </w:rPr>
        <w:t>’</w:t>
      </w:r>
      <w:r>
        <w:rPr>
          <w:rFonts w:eastAsia="MS Mincho"/>
          <w:lang w:val="fr-FR"/>
        </w:rPr>
        <w:t>avoir importé en Grèce, en 1985 et 1986, douze appareils électroniques sans s</w:t>
      </w:r>
      <w:r w:rsidR="003C2190">
        <w:rPr>
          <w:rFonts w:eastAsia="MS Mincho"/>
          <w:lang w:val="fr-FR"/>
        </w:rPr>
        <w:t>’</w:t>
      </w:r>
      <w:r>
        <w:rPr>
          <w:rFonts w:eastAsia="MS Mincho"/>
          <w:lang w:val="fr-FR"/>
        </w:rPr>
        <w:t>être acquitté des droits de douane prévus. De surcroît, il fut aussi accusé de l</w:t>
      </w:r>
      <w:r w:rsidR="003C2190">
        <w:rPr>
          <w:rFonts w:eastAsia="MS Mincho"/>
          <w:lang w:val="fr-FR"/>
        </w:rPr>
        <w:t>’</w:t>
      </w:r>
      <w:r>
        <w:rPr>
          <w:rFonts w:eastAsia="MS Mincho"/>
          <w:lang w:val="fr-FR"/>
        </w:rPr>
        <w:t>importation sans s</w:t>
      </w:r>
      <w:r w:rsidR="003C2190">
        <w:rPr>
          <w:rFonts w:eastAsia="MS Mincho"/>
          <w:lang w:val="fr-FR"/>
        </w:rPr>
        <w:t>’</w:t>
      </w:r>
      <w:r>
        <w:rPr>
          <w:rFonts w:eastAsia="MS Mincho"/>
          <w:lang w:val="fr-FR"/>
        </w:rPr>
        <w:t>acquitter des taxes douanières d</w:t>
      </w:r>
      <w:r w:rsidR="003C2190">
        <w:rPr>
          <w:rFonts w:eastAsia="MS Mincho"/>
          <w:lang w:val="fr-FR"/>
        </w:rPr>
        <w:t>’</w:t>
      </w:r>
      <w:r>
        <w:rPr>
          <w:rFonts w:eastAsia="MS Mincho"/>
          <w:lang w:val="fr-FR"/>
        </w:rPr>
        <w:t>un fusil de chasse, d</w:t>
      </w:r>
      <w:r w:rsidR="003C2190">
        <w:rPr>
          <w:rFonts w:eastAsia="MS Mincho"/>
          <w:lang w:val="fr-FR"/>
        </w:rPr>
        <w:t>’</w:t>
      </w:r>
      <w:r>
        <w:rPr>
          <w:rFonts w:eastAsia="MS Mincho"/>
          <w:lang w:val="fr-FR"/>
        </w:rPr>
        <w:t>un treuil et d</w:t>
      </w:r>
      <w:r w:rsidR="003C2190">
        <w:rPr>
          <w:rFonts w:eastAsia="MS Mincho"/>
          <w:lang w:val="fr-FR"/>
        </w:rPr>
        <w:t>’</w:t>
      </w:r>
      <w:r>
        <w:rPr>
          <w:rFonts w:eastAsia="MS Mincho"/>
          <w:lang w:val="fr-FR"/>
        </w:rPr>
        <w:t>un appareil vidéo. Le 22 mars 1989, le requérant fut condamné par la cour d</w:t>
      </w:r>
      <w:r w:rsidR="003C2190">
        <w:rPr>
          <w:rFonts w:eastAsia="MS Mincho"/>
          <w:lang w:val="fr-FR"/>
        </w:rPr>
        <w:t>’</w:t>
      </w:r>
      <w:r>
        <w:rPr>
          <w:rFonts w:eastAsia="MS Mincho"/>
          <w:lang w:val="fr-FR"/>
        </w:rPr>
        <w:t>assises d</w:t>
      </w:r>
      <w:r w:rsidR="003C2190">
        <w:rPr>
          <w:rFonts w:eastAsia="MS Mincho"/>
          <w:lang w:val="fr-FR"/>
        </w:rPr>
        <w:t>’</w:t>
      </w:r>
      <w:r>
        <w:rPr>
          <w:rFonts w:eastAsia="MS Mincho"/>
          <w:lang w:val="fr-FR"/>
        </w:rPr>
        <w:t>Athènes pour contrebande. Le 13 octobre 1989, la cour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l</w:t>
      </w:r>
      <w:r w:rsidR="003C2190">
        <w:rPr>
          <w:rFonts w:eastAsia="MS Mincho"/>
          <w:lang w:val="fr-FR"/>
        </w:rPr>
        <w:t>’</w:t>
      </w:r>
      <w:r>
        <w:rPr>
          <w:rFonts w:eastAsia="MS Mincho"/>
          <w:lang w:val="fr-FR"/>
        </w:rPr>
        <w:t>acquitta partiellement des chefs d</w:t>
      </w:r>
      <w:r w:rsidR="003C2190">
        <w:rPr>
          <w:rFonts w:eastAsia="MS Mincho"/>
          <w:lang w:val="fr-FR"/>
        </w:rPr>
        <w:t>’</w:t>
      </w:r>
      <w:r>
        <w:rPr>
          <w:rFonts w:eastAsia="MS Mincho"/>
          <w:lang w:val="fr-FR"/>
        </w:rPr>
        <w:t>accusation de contrebande (arrêt n</w:t>
      </w:r>
      <w:r w:rsidR="007E7B24" w:rsidRPr="007E7B24">
        <w:rPr>
          <w:rFonts w:eastAsia="MS Mincho"/>
          <w:vertAlign w:val="superscript"/>
          <w:lang w:val="fr-FR"/>
        </w:rPr>
        <w:t>o</w:t>
      </w:r>
      <w:r>
        <w:rPr>
          <w:rFonts w:eastAsia="MS Mincho"/>
          <w:lang w:val="fr-FR"/>
        </w:rPr>
        <w:t xml:space="preserve"> 520521/1989).</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7</w:t>
      </w:r>
      <w:r>
        <w:rPr>
          <w:rFonts w:eastAsia="MS Mincho"/>
          <w:lang w:val="fr-FR"/>
        </w:rPr>
        <w:fldChar w:fldCharType="end"/>
      </w:r>
      <w:r>
        <w:rPr>
          <w:rFonts w:eastAsia="MS Mincho"/>
          <w:lang w:val="fr-FR"/>
        </w:rPr>
        <w:t>.  Le 28 juin 1991, la Cour de cassation renversa l</w:t>
      </w:r>
      <w:r w:rsidR="003C2190">
        <w:rPr>
          <w:rFonts w:eastAsia="MS Mincho"/>
          <w:lang w:val="fr-FR"/>
        </w:rPr>
        <w:t>’</w:t>
      </w:r>
      <w:r>
        <w:rPr>
          <w:rFonts w:eastAsia="MS Mincho"/>
          <w:lang w:val="fr-FR"/>
        </w:rPr>
        <w:t>arrêt n</w:t>
      </w:r>
      <w:r w:rsidR="007E7B24" w:rsidRPr="007E7B24">
        <w:rPr>
          <w:rFonts w:eastAsia="MS Mincho"/>
          <w:vertAlign w:val="superscript"/>
          <w:lang w:val="fr-FR"/>
        </w:rPr>
        <w:t>o</w:t>
      </w:r>
      <w:r>
        <w:rPr>
          <w:rFonts w:eastAsia="MS Mincho"/>
          <w:lang w:val="fr-FR"/>
        </w:rPr>
        <w:t xml:space="preserve"> 520-521/1989 de la cour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et renvoya l</w:t>
      </w:r>
      <w:r w:rsidR="003C2190">
        <w:rPr>
          <w:rFonts w:eastAsia="MS Mincho"/>
          <w:lang w:val="fr-FR"/>
        </w:rPr>
        <w:t>’</w:t>
      </w:r>
      <w:r>
        <w:rPr>
          <w:rFonts w:eastAsia="MS Mincho"/>
          <w:lang w:val="fr-FR"/>
        </w:rPr>
        <w:t>affaire devant la cour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(arrêt n</w:t>
      </w:r>
      <w:r w:rsidR="007E7B24" w:rsidRPr="007E7B24">
        <w:rPr>
          <w:rFonts w:eastAsia="MS Mincho"/>
          <w:vertAlign w:val="superscript"/>
          <w:lang w:val="fr-FR"/>
        </w:rPr>
        <w:t>o</w:t>
      </w:r>
      <w:r>
        <w:rPr>
          <w:rFonts w:eastAsia="MS Mincho"/>
          <w:lang w:val="fr-FR"/>
        </w:rPr>
        <w:t xml:space="preserve"> 1182/1991). Le 12 novembre 1992, ladite juridiction acquitta le requérant de tous les chefs d</w:t>
      </w:r>
      <w:r w:rsidR="003C2190">
        <w:rPr>
          <w:rFonts w:eastAsia="MS Mincho"/>
          <w:lang w:val="fr-FR"/>
        </w:rPr>
        <w:t>’</w:t>
      </w:r>
      <w:r>
        <w:rPr>
          <w:rFonts w:eastAsia="MS Mincho"/>
          <w:lang w:val="fr-FR"/>
        </w:rPr>
        <w:t>inculpation concernant le crime de contrebande (arrêt n</w:t>
      </w:r>
      <w:r w:rsidR="007E7B24" w:rsidRPr="007E7B24">
        <w:rPr>
          <w:rFonts w:eastAsia="MS Mincho"/>
          <w:vertAlign w:val="superscript"/>
          <w:lang w:val="fr-FR"/>
        </w:rPr>
        <w:t>o</w:t>
      </w:r>
      <w:r>
        <w:rPr>
          <w:rFonts w:eastAsia="MS Mincho"/>
          <w:lang w:val="fr-FR"/>
        </w:rPr>
        <w:t> 1087/1992). Cet arrêt devint irrévocable.</w:t>
      </w:r>
    </w:p>
    <w:p w:rsidR="009A0B2E" w:rsidRDefault="00FB14A2" w:rsidP="00FB14A2">
      <w:pPr>
        <w:pStyle w:val="ECHRHeading3"/>
        <w:rPr>
          <w:rFonts w:eastAsia="MS Gothic"/>
          <w:lang w:val="fr-FR"/>
        </w:rPr>
      </w:pPr>
      <w:r>
        <w:rPr>
          <w:rFonts w:eastAsia="MS Gothic"/>
          <w:lang w:val="fr-FR"/>
        </w:rPr>
        <w:t>2.</w:t>
      </w:r>
      <w:r w:rsidR="009A0B2E">
        <w:rPr>
          <w:rFonts w:eastAsia="MS Gothic"/>
          <w:lang w:val="fr-FR"/>
        </w:rPr>
        <w:t>  La procédure administrative</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8</w:t>
      </w:r>
      <w:r>
        <w:rPr>
          <w:rFonts w:eastAsia="MS Mincho"/>
          <w:lang w:val="fr-FR"/>
        </w:rPr>
        <w:fldChar w:fldCharType="end"/>
      </w:r>
      <w:r>
        <w:rPr>
          <w:rFonts w:eastAsia="MS Mincho"/>
          <w:lang w:val="fr-FR"/>
        </w:rPr>
        <w:t>.  Entre-temps, en vertu de l</w:t>
      </w:r>
      <w:r w:rsidR="003C2190">
        <w:rPr>
          <w:rFonts w:eastAsia="MS Mincho"/>
          <w:lang w:val="fr-FR"/>
        </w:rPr>
        <w:t>’</w:t>
      </w:r>
      <w:r>
        <w:rPr>
          <w:rFonts w:eastAsia="MS Mincho"/>
          <w:lang w:val="fr-FR"/>
        </w:rPr>
        <w:t>acte n</w:t>
      </w:r>
      <w:r>
        <w:rPr>
          <w:rFonts w:eastAsia="MS Mincho"/>
          <w:vertAlign w:val="superscript"/>
          <w:lang w:val="fr-FR"/>
        </w:rPr>
        <w:t>o</w:t>
      </w:r>
      <w:r>
        <w:rPr>
          <w:rFonts w:eastAsia="MS Mincho"/>
          <w:lang w:val="fr-FR"/>
        </w:rPr>
        <w:t xml:space="preserve"> 46/1987/1989 du directeur du service spécial des investigations douanières, des amendes administratives furent imposées au requérant, pour l</w:t>
      </w:r>
      <w:r w:rsidR="003C2190">
        <w:rPr>
          <w:rFonts w:eastAsia="MS Mincho"/>
          <w:lang w:val="fr-FR"/>
        </w:rPr>
        <w:t>’</w:t>
      </w:r>
      <w:r>
        <w:rPr>
          <w:rFonts w:eastAsia="MS Mincho"/>
          <w:lang w:val="fr-FR"/>
        </w:rPr>
        <w:t>importation sans s</w:t>
      </w:r>
      <w:r w:rsidR="003C2190">
        <w:rPr>
          <w:rFonts w:eastAsia="MS Mincho"/>
          <w:lang w:val="fr-FR"/>
        </w:rPr>
        <w:t>’</w:t>
      </w:r>
      <w:r>
        <w:rPr>
          <w:rFonts w:eastAsia="MS Mincho"/>
          <w:lang w:val="fr-FR"/>
        </w:rPr>
        <w:t>acquitter des taxes douanières d</w:t>
      </w:r>
      <w:r w:rsidR="003C2190">
        <w:rPr>
          <w:rFonts w:eastAsia="MS Mincho"/>
          <w:lang w:val="fr-FR"/>
        </w:rPr>
        <w:t>’</w:t>
      </w:r>
      <w:r>
        <w:rPr>
          <w:rFonts w:eastAsia="MS Mincho"/>
          <w:lang w:val="fr-FR"/>
        </w:rPr>
        <w:t>un fusil de chasse, d</w:t>
      </w:r>
      <w:r w:rsidR="003C2190">
        <w:rPr>
          <w:rFonts w:eastAsia="MS Mincho"/>
          <w:lang w:val="fr-FR"/>
        </w:rPr>
        <w:t>’</w:t>
      </w:r>
      <w:r>
        <w:rPr>
          <w:rFonts w:eastAsia="MS Mincho"/>
          <w:lang w:val="fr-FR"/>
        </w:rPr>
        <w:t>un treuil et d</w:t>
      </w:r>
      <w:r w:rsidR="003C2190">
        <w:rPr>
          <w:rFonts w:eastAsia="MS Mincho"/>
          <w:lang w:val="fr-FR"/>
        </w:rPr>
        <w:t>’</w:t>
      </w:r>
      <w:r>
        <w:rPr>
          <w:rFonts w:eastAsia="MS Mincho"/>
          <w:lang w:val="fr-FR"/>
        </w:rPr>
        <w:t>un appareil vidéo (pour un montant de 2 780 000 drachmes - 8 159 euros environ) et de douze appareils électroniques (pour un montant de 1 702 780 000 drachmes - 4 990 995 euros environ) (acte n</w:t>
      </w:r>
      <w:r>
        <w:rPr>
          <w:rFonts w:eastAsia="MS Mincho"/>
          <w:vertAlign w:val="superscript"/>
          <w:lang w:val="fr-FR"/>
        </w:rPr>
        <w:t>o</w:t>
      </w:r>
      <w:r>
        <w:rPr>
          <w:rFonts w:eastAsia="MS Mincho"/>
          <w:lang w:val="fr-FR"/>
        </w:rPr>
        <w:t xml:space="preserve"> 46/1987/1989).</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9</w:t>
      </w:r>
      <w:r>
        <w:rPr>
          <w:rFonts w:eastAsia="MS Mincho"/>
          <w:lang w:val="fr-FR"/>
        </w:rPr>
        <w:fldChar w:fldCharType="end"/>
      </w:r>
      <w:r>
        <w:rPr>
          <w:rFonts w:eastAsia="MS Mincho"/>
          <w:lang w:val="fr-FR"/>
        </w:rPr>
        <w:t>.  Le 3 novembre 1989, le requérant saisit le tribunal administratif d</w:t>
      </w:r>
      <w:r w:rsidR="003C2190">
        <w:rPr>
          <w:rFonts w:eastAsia="MS Mincho"/>
          <w:lang w:val="fr-FR"/>
        </w:rPr>
        <w:t>’</w:t>
      </w:r>
      <w:r>
        <w:rPr>
          <w:rFonts w:eastAsia="MS Mincho"/>
          <w:lang w:val="fr-FR"/>
        </w:rPr>
        <w:t>Athènes d</w:t>
      </w:r>
      <w:r w:rsidR="003C2190">
        <w:rPr>
          <w:rFonts w:eastAsia="MS Mincho"/>
          <w:lang w:val="fr-FR"/>
        </w:rPr>
        <w:t>’</w:t>
      </w:r>
      <w:r>
        <w:rPr>
          <w:rFonts w:eastAsia="MS Mincho"/>
          <w:lang w:val="fr-FR"/>
        </w:rPr>
        <w:t>un recours contre l</w:t>
      </w:r>
      <w:r w:rsidR="003C2190">
        <w:rPr>
          <w:rFonts w:eastAsia="MS Mincho"/>
          <w:lang w:val="fr-FR"/>
        </w:rPr>
        <w:t>’</w:t>
      </w:r>
      <w:r>
        <w:rPr>
          <w:rFonts w:eastAsia="MS Mincho"/>
          <w:lang w:val="fr-FR"/>
        </w:rPr>
        <w:t>acte n</w:t>
      </w:r>
      <w:r>
        <w:rPr>
          <w:rFonts w:eastAsia="MS Mincho"/>
          <w:vertAlign w:val="superscript"/>
          <w:lang w:val="fr-FR"/>
        </w:rPr>
        <w:t>o</w:t>
      </w:r>
      <w:r>
        <w:rPr>
          <w:rFonts w:eastAsia="MS Mincho"/>
          <w:lang w:val="fr-FR"/>
        </w:rPr>
        <w:t xml:space="preserve"> 46/1987/1989. Le 6 novembre 1990, cette juridiction fit partiellement droit au recours. En particulier, le tribunal administratif confirma les amendes administratives déjà imposées dans la mesure où elles concernaient l</w:t>
      </w:r>
      <w:r w:rsidR="003C2190">
        <w:rPr>
          <w:rFonts w:eastAsia="MS Mincho"/>
          <w:lang w:val="fr-FR"/>
        </w:rPr>
        <w:t>’</w:t>
      </w:r>
      <w:r>
        <w:rPr>
          <w:rFonts w:eastAsia="MS Mincho"/>
          <w:lang w:val="fr-FR"/>
        </w:rPr>
        <w:t>importation d</w:t>
      </w:r>
      <w:r w:rsidR="003C2190">
        <w:rPr>
          <w:rFonts w:eastAsia="MS Mincho"/>
          <w:lang w:val="fr-FR"/>
        </w:rPr>
        <w:t>’</w:t>
      </w:r>
      <w:r>
        <w:rPr>
          <w:rFonts w:eastAsia="MS Mincho"/>
          <w:lang w:val="fr-FR"/>
        </w:rPr>
        <w:t>un fusil de chasse, d</w:t>
      </w:r>
      <w:r w:rsidR="003C2190">
        <w:rPr>
          <w:rFonts w:eastAsia="MS Mincho"/>
          <w:lang w:val="fr-FR"/>
        </w:rPr>
        <w:t>’</w:t>
      </w:r>
      <w:r>
        <w:rPr>
          <w:rFonts w:eastAsia="MS Mincho"/>
          <w:lang w:val="fr-FR"/>
        </w:rPr>
        <w:t>un treuil et d</w:t>
      </w:r>
      <w:r w:rsidR="003C2190">
        <w:rPr>
          <w:rFonts w:eastAsia="MS Mincho"/>
          <w:lang w:val="fr-FR"/>
        </w:rPr>
        <w:t>’</w:t>
      </w:r>
      <w:r>
        <w:rPr>
          <w:rFonts w:eastAsia="MS Mincho"/>
          <w:lang w:val="fr-FR"/>
        </w:rPr>
        <w:t>un appareil vidéo et annula la partie des amendes s</w:t>
      </w:r>
      <w:r w:rsidR="003C2190">
        <w:rPr>
          <w:rFonts w:eastAsia="MS Mincho"/>
          <w:lang w:val="fr-FR"/>
        </w:rPr>
        <w:t>’</w:t>
      </w:r>
      <w:r>
        <w:rPr>
          <w:rFonts w:eastAsia="MS Mincho"/>
          <w:lang w:val="fr-FR"/>
        </w:rPr>
        <w:t>élevant à 1 702 780 000 drachmes relative à l</w:t>
      </w:r>
      <w:r w:rsidR="003C2190">
        <w:rPr>
          <w:rFonts w:eastAsia="MS Mincho"/>
          <w:lang w:val="fr-FR"/>
        </w:rPr>
        <w:t>’</w:t>
      </w:r>
      <w:r>
        <w:rPr>
          <w:rFonts w:eastAsia="MS Mincho"/>
          <w:lang w:val="fr-FR"/>
        </w:rPr>
        <w:t>importation des douze appareils électroniques (décision n</w:t>
      </w:r>
      <w:r>
        <w:rPr>
          <w:rFonts w:eastAsia="MS Mincho"/>
          <w:vertAlign w:val="superscript"/>
          <w:lang w:val="fr-FR"/>
        </w:rPr>
        <w:t>o</w:t>
      </w:r>
      <w:r>
        <w:rPr>
          <w:rFonts w:eastAsia="MS Mincho"/>
          <w:lang w:val="fr-FR"/>
        </w:rPr>
        <w:t xml:space="preserve"> 14001/1990).</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10</w:t>
      </w:r>
      <w:r>
        <w:rPr>
          <w:rFonts w:eastAsia="MS Mincho"/>
          <w:lang w:val="fr-FR"/>
        </w:rPr>
        <w:fldChar w:fldCharType="end"/>
      </w:r>
      <w:r>
        <w:rPr>
          <w:rFonts w:eastAsia="MS Mincho"/>
          <w:lang w:val="fr-FR"/>
        </w:rPr>
        <w:t>.  Les 17 et 21 janvier 1991 tant le requérant que l</w:t>
      </w:r>
      <w:r w:rsidR="003C2190">
        <w:rPr>
          <w:rFonts w:eastAsia="MS Mincho"/>
          <w:lang w:val="fr-FR"/>
        </w:rPr>
        <w:t>’</w:t>
      </w:r>
      <w:r>
        <w:rPr>
          <w:rFonts w:eastAsia="MS Mincho"/>
          <w:lang w:val="fr-FR"/>
        </w:rPr>
        <w:t>État interjetèrent appel.</w:t>
      </w:r>
    </w:p>
    <w:p w:rsidR="009A0B2E" w:rsidRDefault="009A0B2E" w:rsidP="009A0B2E">
      <w:pPr>
        <w:pStyle w:val="ECHRPara"/>
        <w:rPr>
          <w:rFonts w:eastAsia="MS Mincho"/>
          <w:lang w:val="fr-FR"/>
        </w:rPr>
      </w:pPr>
      <w:r>
        <w:rPr>
          <w:rFonts w:eastAsia="MS Mincho"/>
          <w:lang w:val="fr-FR"/>
        </w:rPr>
        <w:lastRenderedPageBreak/>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11</w:t>
      </w:r>
      <w:r>
        <w:rPr>
          <w:rFonts w:eastAsia="MS Mincho"/>
          <w:lang w:val="fr-FR"/>
        </w:rPr>
        <w:fldChar w:fldCharType="end"/>
      </w:r>
      <w:r>
        <w:rPr>
          <w:rFonts w:eastAsia="MS Mincho"/>
          <w:lang w:val="fr-FR"/>
        </w:rPr>
        <w:t>.  Le 30 décembre 1991, la cour administrative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rejeta l</w:t>
      </w:r>
      <w:r w:rsidR="003C2190">
        <w:rPr>
          <w:rFonts w:eastAsia="MS Mincho"/>
          <w:lang w:val="fr-FR"/>
        </w:rPr>
        <w:t>’</w:t>
      </w:r>
      <w:r>
        <w:rPr>
          <w:rFonts w:eastAsia="MS Mincho"/>
          <w:lang w:val="fr-FR"/>
        </w:rPr>
        <w:t>appel du requérant et fit droit à celui de l</w:t>
      </w:r>
      <w:r w:rsidR="003C2190">
        <w:rPr>
          <w:rFonts w:eastAsia="MS Mincho"/>
          <w:lang w:val="fr-FR"/>
        </w:rPr>
        <w:t>’</w:t>
      </w:r>
      <w:r>
        <w:rPr>
          <w:rFonts w:eastAsia="MS Mincho"/>
          <w:lang w:val="fr-FR"/>
        </w:rPr>
        <w:t>État. Il considéra que le premier avait commis toutes les infractions de contrebande imputées par l</w:t>
      </w:r>
      <w:r w:rsidR="003C2190">
        <w:rPr>
          <w:rFonts w:eastAsia="MS Mincho"/>
          <w:lang w:val="fr-FR"/>
        </w:rPr>
        <w:t>’</w:t>
      </w:r>
      <w:r>
        <w:rPr>
          <w:rFonts w:eastAsia="MS Mincho"/>
          <w:lang w:val="fr-FR"/>
        </w:rPr>
        <w:t>administration (arrêt n</w:t>
      </w:r>
      <w:r>
        <w:rPr>
          <w:rFonts w:eastAsia="MS Mincho"/>
          <w:vertAlign w:val="superscript"/>
          <w:lang w:val="fr-FR"/>
        </w:rPr>
        <w:t>o</w:t>
      </w:r>
      <w:r>
        <w:rPr>
          <w:rFonts w:eastAsia="MS Mincho"/>
          <w:lang w:val="fr-FR"/>
        </w:rPr>
        <w:t xml:space="preserve"> 4793/1991).</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12</w:t>
      </w:r>
      <w:r>
        <w:rPr>
          <w:rFonts w:eastAsia="MS Mincho"/>
          <w:lang w:val="fr-FR"/>
        </w:rPr>
        <w:fldChar w:fldCharType="end"/>
      </w:r>
      <w:r>
        <w:rPr>
          <w:rFonts w:eastAsia="MS Mincho"/>
          <w:lang w:val="fr-FR"/>
        </w:rPr>
        <w:t>.  Le 28 décembre 1992, le requérant se pourvut en cassation.</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13</w:t>
      </w:r>
      <w:r>
        <w:rPr>
          <w:rFonts w:eastAsia="MS Mincho"/>
          <w:lang w:val="fr-FR"/>
        </w:rPr>
        <w:fldChar w:fldCharType="end"/>
      </w:r>
      <w:r>
        <w:rPr>
          <w:rFonts w:eastAsia="MS Mincho"/>
          <w:lang w:val="fr-FR"/>
        </w:rPr>
        <w:t>.  Le 28 septembre 1998, le Conseil d</w:t>
      </w:r>
      <w:r w:rsidR="003C2190">
        <w:rPr>
          <w:rFonts w:eastAsia="MS Mincho"/>
          <w:lang w:val="fr-FR"/>
        </w:rPr>
        <w:t>’</w:t>
      </w:r>
      <w:r>
        <w:rPr>
          <w:rFonts w:eastAsia="MS Mincho"/>
          <w:lang w:val="fr-FR"/>
        </w:rPr>
        <w:t>État fit partiellement droit au recours et renvoya l</w:t>
      </w:r>
      <w:r w:rsidR="003C2190">
        <w:rPr>
          <w:rFonts w:eastAsia="MS Mincho"/>
          <w:lang w:val="fr-FR"/>
        </w:rPr>
        <w:t>’</w:t>
      </w:r>
      <w:r>
        <w:rPr>
          <w:rFonts w:eastAsia="MS Mincho"/>
          <w:lang w:val="fr-FR"/>
        </w:rPr>
        <w:t>affaire devant la cour administrative d</w:t>
      </w:r>
      <w:r w:rsidR="003C2190">
        <w:rPr>
          <w:rFonts w:eastAsia="MS Mincho"/>
          <w:lang w:val="fr-FR"/>
        </w:rPr>
        <w:t>’</w:t>
      </w:r>
      <w:r>
        <w:rPr>
          <w:rFonts w:eastAsia="MS Mincho"/>
          <w:lang w:val="fr-FR"/>
        </w:rPr>
        <w:t>appel (arrêt n</w:t>
      </w:r>
      <w:r>
        <w:rPr>
          <w:rFonts w:eastAsia="MS Mincho"/>
          <w:vertAlign w:val="superscript"/>
          <w:lang w:val="fr-FR"/>
        </w:rPr>
        <w:t>o</w:t>
      </w:r>
      <w:r>
        <w:rPr>
          <w:rFonts w:eastAsia="MS Mincho"/>
          <w:lang w:val="fr-FR"/>
        </w:rPr>
        <w:t> 3552/1998).</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14</w:t>
      </w:r>
      <w:r>
        <w:rPr>
          <w:rFonts w:eastAsia="MS Mincho"/>
          <w:lang w:val="fr-FR"/>
        </w:rPr>
        <w:fldChar w:fldCharType="end"/>
      </w:r>
      <w:r>
        <w:rPr>
          <w:rFonts w:eastAsia="MS Mincho"/>
          <w:lang w:val="fr-FR"/>
        </w:rPr>
        <w:t>.  Le 27 avril 2000, la cour administrative d</w:t>
      </w:r>
      <w:r w:rsidR="003C2190">
        <w:rPr>
          <w:rFonts w:eastAsia="MS Mincho"/>
          <w:lang w:val="fr-FR"/>
        </w:rPr>
        <w:t>’</w:t>
      </w:r>
      <w:r>
        <w:rPr>
          <w:rFonts w:eastAsia="MS Mincho"/>
          <w:lang w:val="fr-FR"/>
        </w:rPr>
        <w:t>appel rejeta le recours du requérant et fit droit à celui de l</w:t>
      </w:r>
      <w:r w:rsidR="003C2190">
        <w:rPr>
          <w:rFonts w:eastAsia="MS Mincho"/>
          <w:lang w:val="fr-FR"/>
        </w:rPr>
        <w:t>’</w:t>
      </w:r>
      <w:r>
        <w:rPr>
          <w:rFonts w:eastAsia="MS Mincho"/>
          <w:lang w:val="fr-FR"/>
        </w:rPr>
        <w:t>État. Après avoir examiné de nouveau le fond de l</w:t>
      </w:r>
      <w:r w:rsidR="003C2190">
        <w:rPr>
          <w:rFonts w:eastAsia="MS Mincho"/>
          <w:lang w:val="fr-FR"/>
        </w:rPr>
        <w:t>’</w:t>
      </w:r>
      <w:r>
        <w:rPr>
          <w:rFonts w:eastAsia="MS Mincho"/>
          <w:lang w:val="fr-FR"/>
        </w:rPr>
        <w:t>affaire, elle confirma l</w:t>
      </w:r>
      <w:r w:rsidR="003C2190">
        <w:rPr>
          <w:rFonts w:eastAsia="MS Mincho"/>
          <w:lang w:val="fr-FR"/>
        </w:rPr>
        <w:t>’</w:t>
      </w:r>
      <w:r>
        <w:rPr>
          <w:rFonts w:eastAsia="MS Mincho"/>
          <w:lang w:val="fr-FR"/>
        </w:rPr>
        <w:t>imposition des amendes administratives pour l</w:t>
      </w:r>
      <w:r w:rsidR="003C2190">
        <w:rPr>
          <w:rFonts w:eastAsia="MS Mincho"/>
          <w:lang w:val="fr-FR"/>
        </w:rPr>
        <w:t>’</w:t>
      </w:r>
      <w:r>
        <w:rPr>
          <w:rFonts w:eastAsia="MS Mincho"/>
          <w:lang w:val="fr-FR"/>
        </w:rPr>
        <w:t>importation, sans paiement des taxes douanières dues, d</w:t>
      </w:r>
      <w:r w:rsidR="003C2190">
        <w:rPr>
          <w:rFonts w:eastAsia="MS Mincho"/>
          <w:lang w:val="fr-FR"/>
        </w:rPr>
        <w:t>’</w:t>
      </w:r>
      <w:r>
        <w:rPr>
          <w:rFonts w:eastAsia="MS Mincho"/>
          <w:lang w:val="fr-FR"/>
        </w:rPr>
        <w:t>un fusil de chasse, d</w:t>
      </w:r>
      <w:r w:rsidR="003C2190">
        <w:rPr>
          <w:rFonts w:eastAsia="MS Mincho"/>
          <w:lang w:val="fr-FR"/>
        </w:rPr>
        <w:t>’</w:t>
      </w:r>
      <w:r>
        <w:rPr>
          <w:rFonts w:eastAsia="MS Mincho"/>
          <w:lang w:val="fr-FR"/>
        </w:rPr>
        <w:t>un treuil et d</w:t>
      </w:r>
      <w:r w:rsidR="003C2190">
        <w:rPr>
          <w:rFonts w:eastAsia="MS Mincho"/>
          <w:lang w:val="fr-FR"/>
        </w:rPr>
        <w:t>’</w:t>
      </w:r>
      <w:r>
        <w:rPr>
          <w:rFonts w:eastAsia="MS Mincho"/>
          <w:lang w:val="fr-FR"/>
        </w:rPr>
        <w:t>un appareil vidéo ainsi que de douze appareils électroniques et réduisit le montant à payer à ce dernier titre à 1 022 633 772 drachmes (3 001 126 euros environ). La cour administrative d</w:t>
      </w:r>
      <w:r w:rsidR="003C2190">
        <w:rPr>
          <w:rFonts w:eastAsia="MS Mincho"/>
          <w:lang w:val="fr-FR"/>
        </w:rPr>
        <w:t>’</w:t>
      </w:r>
      <w:r>
        <w:rPr>
          <w:rFonts w:eastAsia="MS Mincho"/>
          <w:lang w:val="fr-FR"/>
        </w:rPr>
        <w:t>appel releva que ladite somme correspondait au triple de la somme due par le requérant au titre des taxes et droits de douane non payées quant aux produits en cause.</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15</w:t>
      </w:r>
      <w:r>
        <w:rPr>
          <w:rFonts w:eastAsia="MS Mincho"/>
          <w:lang w:val="fr-FR"/>
        </w:rPr>
        <w:fldChar w:fldCharType="end"/>
      </w:r>
      <w:r w:rsidR="000754E0">
        <w:rPr>
          <w:rFonts w:eastAsia="MS Mincho"/>
          <w:lang w:val="fr-FR"/>
        </w:rPr>
        <w:t>.  Le requérant soumit</w:t>
      </w:r>
      <w:r>
        <w:rPr>
          <w:rFonts w:eastAsia="MS Mincho"/>
          <w:lang w:val="fr-FR"/>
        </w:rPr>
        <w:t xml:space="preserve"> devant la cour administrative d</w:t>
      </w:r>
      <w:r w:rsidR="003C2190">
        <w:rPr>
          <w:rFonts w:eastAsia="MS Mincho"/>
          <w:lang w:val="fr-FR"/>
        </w:rPr>
        <w:t>’</w:t>
      </w:r>
      <w:r>
        <w:rPr>
          <w:rFonts w:eastAsia="MS Mincho"/>
          <w:lang w:val="fr-FR"/>
        </w:rPr>
        <w:t>appel l</w:t>
      </w:r>
      <w:r w:rsidR="003C2190">
        <w:rPr>
          <w:rFonts w:eastAsia="MS Mincho"/>
          <w:lang w:val="fr-FR"/>
        </w:rPr>
        <w:t>’</w:t>
      </w:r>
      <w:r>
        <w:rPr>
          <w:rFonts w:eastAsia="MS Mincho"/>
          <w:lang w:val="fr-FR"/>
        </w:rPr>
        <w:t>arrêt n</w:t>
      </w:r>
      <w:r>
        <w:rPr>
          <w:rFonts w:eastAsia="MS Mincho"/>
          <w:vertAlign w:val="superscript"/>
          <w:lang w:val="fr-FR"/>
        </w:rPr>
        <w:t>o</w:t>
      </w:r>
      <w:r>
        <w:rPr>
          <w:rFonts w:eastAsia="MS Mincho"/>
          <w:lang w:val="fr-FR"/>
        </w:rPr>
        <w:t> 1087/1992 de la cour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qui l</w:t>
      </w:r>
      <w:r w:rsidR="003C2190">
        <w:rPr>
          <w:rFonts w:eastAsia="MS Mincho"/>
          <w:lang w:val="fr-FR"/>
        </w:rPr>
        <w:t>’</w:t>
      </w:r>
      <w:r>
        <w:rPr>
          <w:rFonts w:eastAsia="MS Mincho"/>
          <w:lang w:val="fr-FR"/>
        </w:rPr>
        <w:t>avait acquitté du chef de contrebande pour l</w:t>
      </w:r>
      <w:r w:rsidR="003C2190">
        <w:rPr>
          <w:rFonts w:eastAsia="MS Mincho"/>
          <w:lang w:val="fr-FR"/>
        </w:rPr>
        <w:t>’</w:t>
      </w:r>
      <w:r>
        <w:rPr>
          <w:rFonts w:eastAsia="MS Mincho"/>
          <w:lang w:val="fr-FR"/>
        </w:rPr>
        <w:t>importation des mêmes appareils électroniques. La cour administrative d</w:t>
      </w:r>
      <w:r w:rsidR="003C2190">
        <w:rPr>
          <w:rFonts w:eastAsia="MS Mincho"/>
          <w:lang w:val="fr-FR"/>
        </w:rPr>
        <w:t>’</w:t>
      </w:r>
      <w:r>
        <w:rPr>
          <w:rFonts w:eastAsia="MS Mincho"/>
          <w:lang w:val="fr-FR"/>
        </w:rPr>
        <w:t>appel admit à cet égard que le jugement d</w:t>
      </w:r>
      <w:r w:rsidR="003C2190">
        <w:rPr>
          <w:rFonts w:eastAsia="MS Mincho"/>
          <w:lang w:val="fr-FR"/>
        </w:rPr>
        <w:t>’</w:t>
      </w:r>
      <w:r>
        <w:rPr>
          <w:rFonts w:eastAsia="MS Mincho"/>
          <w:lang w:val="fr-FR"/>
        </w:rPr>
        <w:t>acquittement de la cour d</w:t>
      </w:r>
      <w:r w:rsidR="003C2190">
        <w:rPr>
          <w:rFonts w:eastAsia="MS Mincho"/>
          <w:lang w:val="fr-FR"/>
        </w:rPr>
        <w:t>’</w:t>
      </w:r>
      <w:r>
        <w:rPr>
          <w:rFonts w:eastAsia="MS Mincho"/>
          <w:lang w:val="fr-FR"/>
        </w:rPr>
        <w:t>appel n</w:t>
      </w:r>
      <w:r w:rsidR="003C2190">
        <w:rPr>
          <w:rFonts w:eastAsia="MS Mincho"/>
          <w:lang w:val="fr-FR"/>
        </w:rPr>
        <w:t>’</w:t>
      </w:r>
      <w:r>
        <w:rPr>
          <w:rFonts w:eastAsia="MS Mincho"/>
          <w:lang w:val="fr-FR"/>
        </w:rPr>
        <w:t>avait pas d</w:t>
      </w:r>
      <w:r w:rsidR="003C2190">
        <w:rPr>
          <w:rFonts w:eastAsia="MS Mincho"/>
          <w:lang w:val="fr-FR"/>
        </w:rPr>
        <w:t>’</w:t>
      </w:r>
      <w:r>
        <w:rPr>
          <w:rFonts w:eastAsia="MS Mincho"/>
          <w:lang w:val="fr-FR"/>
        </w:rPr>
        <w:t>effet contraignant sur son appréciation. Elle considéra qu</w:t>
      </w:r>
      <w:r w:rsidR="003C2190">
        <w:rPr>
          <w:rFonts w:eastAsia="MS Mincho"/>
          <w:lang w:val="fr-FR"/>
        </w:rPr>
        <w:t>’</w:t>
      </w:r>
      <w:r>
        <w:rPr>
          <w:rFonts w:eastAsia="MS Mincho"/>
          <w:lang w:val="fr-FR"/>
        </w:rPr>
        <w:t>en l</w:t>
      </w:r>
      <w:r w:rsidR="003C2190">
        <w:rPr>
          <w:rFonts w:eastAsia="MS Mincho"/>
          <w:lang w:val="fr-FR"/>
        </w:rPr>
        <w:t>’</w:t>
      </w:r>
      <w:r>
        <w:rPr>
          <w:rFonts w:eastAsia="MS Mincho"/>
          <w:lang w:val="fr-FR"/>
        </w:rPr>
        <w:t>espèce les éléments matériel et intentionnel du délit de contrebande avaient été réunis, puisque le requérant avait eu recours à des subterfuges pour ne pas payer les taxes dues (arrêt n</w:t>
      </w:r>
      <w:r>
        <w:rPr>
          <w:rFonts w:eastAsia="MS Mincho"/>
          <w:vertAlign w:val="superscript"/>
          <w:lang w:val="fr-FR"/>
        </w:rPr>
        <w:t>o</w:t>
      </w:r>
      <w:r>
        <w:rPr>
          <w:rFonts w:eastAsia="MS Mincho"/>
          <w:lang w:val="fr-FR"/>
        </w:rPr>
        <w:t xml:space="preserve"> 2090/2000).</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16</w:t>
      </w:r>
      <w:r>
        <w:rPr>
          <w:rFonts w:eastAsia="MS Mincho"/>
          <w:lang w:val="fr-FR"/>
        </w:rPr>
        <w:fldChar w:fldCharType="end"/>
      </w:r>
      <w:r>
        <w:rPr>
          <w:rFonts w:eastAsia="MS Mincho"/>
          <w:lang w:val="fr-FR"/>
        </w:rPr>
        <w:t>.  Le 20 juin 2000, le requérant se pourvut en cassation. Il soutenait entre autres que les juridictions administratives ne devraient pas conclure à la commission du délit de contrebande, puisque les juridictions pénales l</w:t>
      </w:r>
      <w:r w:rsidR="003C2190">
        <w:rPr>
          <w:rFonts w:eastAsia="MS Mincho"/>
          <w:lang w:val="fr-FR"/>
        </w:rPr>
        <w:t>’</w:t>
      </w:r>
      <w:r>
        <w:rPr>
          <w:rFonts w:eastAsia="MS Mincho"/>
          <w:lang w:val="fr-FR"/>
        </w:rPr>
        <w:t>avaient précédemment acquitté exactement pour les mêmes faits.</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17</w:t>
      </w:r>
      <w:r>
        <w:rPr>
          <w:rFonts w:eastAsia="MS Mincho"/>
          <w:lang w:val="fr-FR"/>
        </w:rPr>
        <w:fldChar w:fldCharType="end"/>
      </w:r>
      <w:r>
        <w:rPr>
          <w:rFonts w:eastAsia="MS Mincho"/>
          <w:lang w:val="fr-FR"/>
        </w:rPr>
        <w:t>.  Le 28 juin 2011, le Conseil d</w:t>
      </w:r>
      <w:r w:rsidR="003C2190">
        <w:rPr>
          <w:rFonts w:eastAsia="MS Mincho"/>
          <w:lang w:val="fr-FR"/>
        </w:rPr>
        <w:t>’</w:t>
      </w:r>
      <w:r>
        <w:rPr>
          <w:rFonts w:eastAsia="MS Mincho"/>
          <w:lang w:val="fr-FR"/>
        </w:rPr>
        <w:t>État rejeta le recours en cassation. La haute juridiction administrative fit référence à son arrêt n</w:t>
      </w:r>
      <w:r w:rsidR="007E7B24" w:rsidRPr="007E7B24">
        <w:rPr>
          <w:rFonts w:eastAsia="MS Mincho"/>
          <w:vertAlign w:val="superscript"/>
          <w:lang w:val="fr-FR"/>
        </w:rPr>
        <w:t>o</w:t>
      </w:r>
      <w:r>
        <w:rPr>
          <w:rFonts w:eastAsia="MS Mincho"/>
          <w:lang w:val="fr-FR"/>
        </w:rPr>
        <w:t xml:space="preserve"> 3552/1998, rendu dans le cadre de la même affaire et nota qu</w:t>
      </w:r>
      <w:r w:rsidR="003C2190">
        <w:rPr>
          <w:rFonts w:eastAsia="MS Mincho"/>
          <w:lang w:val="fr-FR"/>
        </w:rPr>
        <w:t>’</w:t>
      </w:r>
      <w:r>
        <w:rPr>
          <w:rFonts w:eastAsia="MS Mincho"/>
          <w:lang w:val="fr-FR"/>
        </w:rPr>
        <w:t>il y était déjà admis que la procédure administrative afférente à la contrebande était autonome et bien distincte de la procédure pénale. En d</w:t>
      </w:r>
      <w:r w:rsidR="003C2190">
        <w:rPr>
          <w:rFonts w:eastAsia="MS Mincho"/>
          <w:lang w:val="fr-FR"/>
        </w:rPr>
        <w:t>’</w:t>
      </w:r>
      <w:r>
        <w:rPr>
          <w:rFonts w:eastAsia="MS Mincho"/>
          <w:lang w:val="fr-FR"/>
        </w:rPr>
        <w:t>autres termes, la juridiction administrative n</w:t>
      </w:r>
      <w:r w:rsidR="003C2190">
        <w:rPr>
          <w:rFonts w:eastAsia="MS Mincho"/>
          <w:lang w:val="fr-FR"/>
        </w:rPr>
        <w:t>’</w:t>
      </w:r>
      <w:r>
        <w:rPr>
          <w:rFonts w:eastAsia="MS Mincho"/>
          <w:lang w:val="fr-FR"/>
        </w:rPr>
        <w:t>était pas liée par l</w:t>
      </w:r>
      <w:r w:rsidR="003C2190">
        <w:rPr>
          <w:rFonts w:eastAsia="MS Mincho"/>
          <w:lang w:val="fr-FR"/>
        </w:rPr>
        <w:t>’</w:t>
      </w:r>
      <w:r>
        <w:rPr>
          <w:rFonts w:eastAsia="MS Mincho"/>
          <w:lang w:val="fr-FR"/>
        </w:rPr>
        <w:t>éventuel jugement d</w:t>
      </w:r>
      <w:r w:rsidR="003C2190">
        <w:rPr>
          <w:rFonts w:eastAsia="MS Mincho"/>
          <w:lang w:val="fr-FR"/>
        </w:rPr>
        <w:t>’</w:t>
      </w:r>
      <w:r>
        <w:rPr>
          <w:rFonts w:eastAsia="MS Mincho"/>
          <w:lang w:val="fr-FR"/>
        </w:rPr>
        <w:t>acquittement du tribunal pénal mais elle devait le prendre en compte. Cela était dû au fait que, selon le droit interne, uniquement les jugements condamnatoires définitifs des tribunaux pénaux revêtent l</w:t>
      </w:r>
      <w:r w:rsidR="003C2190">
        <w:rPr>
          <w:rFonts w:eastAsia="MS Mincho"/>
          <w:lang w:val="fr-FR"/>
        </w:rPr>
        <w:t>’</w:t>
      </w:r>
      <w:r>
        <w:rPr>
          <w:rFonts w:eastAsia="MS Mincho"/>
          <w:lang w:val="fr-FR"/>
        </w:rPr>
        <w:t>autorité de la chose jugée à l</w:t>
      </w:r>
      <w:r w:rsidR="003C2190">
        <w:rPr>
          <w:rFonts w:eastAsia="MS Mincho"/>
          <w:lang w:val="fr-FR"/>
        </w:rPr>
        <w:t>’</w:t>
      </w:r>
      <w:r>
        <w:rPr>
          <w:rFonts w:eastAsia="MS Mincho"/>
          <w:lang w:val="fr-FR"/>
        </w:rPr>
        <w:t>égard des juridictions administratives. Le Conseil d</w:t>
      </w:r>
      <w:r w:rsidR="003C2190">
        <w:rPr>
          <w:rFonts w:eastAsia="MS Mincho"/>
          <w:lang w:val="fr-FR"/>
        </w:rPr>
        <w:t>’</w:t>
      </w:r>
      <w:r>
        <w:rPr>
          <w:rFonts w:eastAsia="MS Mincho"/>
          <w:lang w:val="fr-FR"/>
        </w:rPr>
        <w:t>État cita les considérants de la cour administrative d</w:t>
      </w:r>
      <w:r w:rsidR="003C2190">
        <w:rPr>
          <w:rFonts w:eastAsia="MS Mincho"/>
          <w:lang w:val="fr-FR"/>
        </w:rPr>
        <w:t>’</w:t>
      </w:r>
      <w:r>
        <w:rPr>
          <w:rFonts w:eastAsia="MS Mincho"/>
          <w:lang w:val="fr-FR"/>
        </w:rPr>
        <w:t>appel et se référa au fait que, selon l</w:t>
      </w:r>
      <w:r w:rsidR="003C2190">
        <w:rPr>
          <w:rFonts w:eastAsia="MS Mincho"/>
          <w:lang w:val="fr-FR"/>
        </w:rPr>
        <w:t>’</w:t>
      </w:r>
      <w:r>
        <w:rPr>
          <w:rFonts w:eastAsia="MS Mincho"/>
          <w:lang w:val="fr-FR"/>
        </w:rPr>
        <w:t>appréciation de ce dernier, l</w:t>
      </w:r>
      <w:r w:rsidR="003C2190">
        <w:rPr>
          <w:rFonts w:eastAsia="MS Mincho"/>
          <w:lang w:val="fr-FR"/>
        </w:rPr>
        <w:t>’</w:t>
      </w:r>
      <w:r>
        <w:rPr>
          <w:rFonts w:eastAsia="MS Mincho"/>
          <w:lang w:val="fr-FR"/>
        </w:rPr>
        <w:t>arrêt n</w:t>
      </w:r>
      <w:r w:rsidR="007E7B24" w:rsidRPr="007E7B24">
        <w:rPr>
          <w:rFonts w:eastAsia="MS Mincho"/>
          <w:vertAlign w:val="superscript"/>
          <w:lang w:val="fr-FR"/>
        </w:rPr>
        <w:t>o</w:t>
      </w:r>
      <w:r>
        <w:rPr>
          <w:rFonts w:eastAsia="MS Mincho"/>
          <w:lang w:val="fr-FR"/>
        </w:rPr>
        <w:t xml:space="preserve"> 1087/1992 était un jugement d</w:t>
      </w:r>
      <w:r w:rsidR="003C2190">
        <w:rPr>
          <w:rFonts w:eastAsia="MS Mincho"/>
          <w:lang w:val="fr-FR"/>
        </w:rPr>
        <w:t>’</w:t>
      </w:r>
      <w:r>
        <w:rPr>
          <w:rFonts w:eastAsia="MS Mincho"/>
          <w:lang w:val="fr-FR"/>
        </w:rPr>
        <w:t>acquittement et, partant, la juridiction administrative n</w:t>
      </w:r>
      <w:r w:rsidR="003C2190">
        <w:rPr>
          <w:rFonts w:eastAsia="MS Mincho"/>
          <w:lang w:val="fr-FR"/>
        </w:rPr>
        <w:t>’</w:t>
      </w:r>
      <w:r>
        <w:rPr>
          <w:rFonts w:eastAsia="MS Mincho"/>
          <w:lang w:val="fr-FR"/>
        </w:rPr>
        <w:t>était pas liée par celui-ci. Il nota aussi que la cour administrative d</w:t>
      </w:r>
      <w:r w:rsidR="003C2190">
        <w:rPr>
          <w:rFonts w:eastAsia="MS Mincho"/>
          <w:lang w:val="fr-FR"/>
        </w:rPr>
        <w:t>’</w:t>
      </w:r>
      <w:r>
        <w:rPr>
          <w:rFonts w:eastAsia="MS Mincho"/>
          <w:lang w:val="fr-FR"/>
        </w:rPr>
        <w:t xml:space="preserve">appel avait admis que sa </w:t>
      </w:r>
      <w:r>
        <w:rPr>
          <w:rFonts w:eastAsia="MS Mincho"/>
          <w:lang w:val="fr-FR"/>
        </w:rPr>
        <w:lastRenderedPageBreak/>
        <w:t>décision était le résultat d</w:t>
      </w:r>
      <w:r w:rsidR="003C2190">
        <w:rPr>
          <w:rFonts w:eastAsia="MS Mincho"/>
          <w:lang w:val="fr-FR"/>
        </w:rPr>
        <w:t>’</w:t>
      </w:r>
      <w:r>
        <w:rPr>
          <w:rFonts w:eastAsia="MS Mincho"/>
          <w:lang w:val="fr-FR"/>
        </w:rPr>
        <w:t>une appréciation différente des éléments de preuve.</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18</w:t>
      </w:r>
      <w:r>
        <w:rPr>
          <w:rFonts w:eastAsia="MS Mincho"/>
          <w:lang w:val="fr-FR"/>
        </w:rPr>
        <w:fldChar w:fldCharType="end"/>
      </w:r>
      <w:r>
        <w:rPr>
          <w:rFonts w:eastAsia="MS Mincho"/>
          <w:lang w:val="fr-FR"/>
        </w:rPr>
        <w:t>.  Le Conseil d</w:t>
      </w:r>
      <w:r w:rsidR="003C2190">
        <w:rPr>
          <w:rFonts w:eastAsia="MS Mincho"/>
          <w:lang w:val="fr-FR"/>
        </w:rPr>
        <w:t>’</w:t>
      </w:r>
      <w:r>
        <w:rPr>
          <w:rFonts w:eastAsia="MS Mincho"/>
          <w:lang w:val="fr-FR"/>
        </w:rPr>
        <w:t>État considéra qu</w:t>
      </w:r>
      <w:r w:rsidR="003C2190">
        <w:rPr>
          <w:rFonts w:eastAsia="MS Mincho"/>
          <w:lang w:val="fr-FR"/>
        </w:rPr>
        <w:t>’</w:t>
      </w:r>
      <w:r>
        <w:rPr>
          <w:rFonts w:eastAsia="MS Mincho"/>
          <w:lang w:val="fr-FR"/>
        </w:rPr>
        <w:t>aucune violation de la Constitution n</w:t>
      </w:r>
      <w:r w:rsidR="003C2190">
        <w:rPr>
          <w:rFonts w:eastAsia="MS Mincho"/>
          <w:lang w:val="fr-FR"/>
        </w:rPr>
        <w:t>’</w:t>
      </w:r>
      <w:r>
        <w:rPr>
          <w:rFonts w:eastAsia="MS Mincho"/>
          <w:lang w:val="fr-FR"/>
        </w:rPr>
        <w:t>avait eu lieu du fait que la cour administrative n</w:t>
      </w:r>
      <w:r w:rsidR="003C2190">
        <w:rPr>
          <w:rFonts w:eastAsia="MS Mincho"/>
          <w:lang w:val="fr-FR"/>
        </w:rPr>
        <w:t>’</w:t>
      </w:r>
      <w:r>
        <w:rPr>
          <w:rFonts w:eastAsia="MS Mincho"/>
          <w:lang w:val="fr-FR"/>
        </w:rPr>
        <w:t>était pas liée par l</w:t>
      </w:r>
      <w:r w:rsidR="003C2190">
        <w:rPr>
          <w:rFonts w:eastAsia="MS Mincho"/>
          <w:lang w:val="fr-FR"/>
        </w:rPr>
        <w:t>’</w:t>
      </w:r>
      <w:r>
        <w:rPr>
          <w:rFonts w:eastAsia="MS Mincho"/>
          <w:lang w:val="fr-FR"/>
        </w:rPr>
        <w:t>arrêt n</w:t>
      </w:r>
      <w:r w:rsidR="007E7B24" w:rsidRPr="007E7B24">
        <w:rPr>
          <w:rFonts w:eastAsia="MS Mincho"/>
          <w:vertAlign w:val="superscript"/>
          <w:lang w:val="fr-FR"/>
        </w:rPr>
        <w:t>o</w:t>
      </w:r>
      <w:r>
        <w:rPr>
          <w:rFonts w:eastAsia="MS Mincho"/>
          <w:lang w:val="fr-FR"/>
        </w:rPr>
        <w:t> 1087/1992 du tribunal pénal, principalement parce qu</w:t>
      </w:r>
      <w:r w:rsidR="003C2190">
        <w:rPr>
          <w:rFonts w:eastAsia="MS Mincho"/>
          <w:lang w:val="fr-FR"/>
        </w:rPr>
        <w:t>’</w:t>
      </w:r>
      <w:r>
        <w:rPr>
          <w:rFonts w:eastAsia="MS Mincho"/>
          <w:lang w:val="fr-FR"/>
        </w:rPr>
        <w:t>il ne résultait pas du dossier de l</w:t>
      </w:r>
      <w:r w:rsidR="003C2190">
        <w:rPr>
          <w:rFonts w:eastAsia="MS Mincho"/>
          <w:lang w:val="fr-FR"/>
        </w:rPr>
        <w:t>’</w:t>
      </w:r>
      <w:r>
        <w:rPr>
          <w:rFonts w:eastAsia="MS Mincho"/>
          <w:lang w:val="fr-FR"/>
        </w:rPr>
        <w:t>affaire qu</w:t>
      </w:r>
      <w:r w:rsidR="003C2190">
        <w:rPr>
          <w:rFonts w:eastAsia="MS Mincho"/>
          <w:lang w:val="fr-FR"/>
        </w:rPr>
        <w:t>’</w:t>
      </w:r>
      <w:r>
        <w:rPr>
          <w:rFonts w:eastAsia="MS Mincho"/>
          <w:lang w:val="fr-FR"/>
        </w:rPr>
        <w:t>il était irrévocable. De surcroît, le Conseil d</w:t>
      </w:r>
      <w:r w:rsidR="003C2190">
        <w:rPr>
          <w:rFonts w:eastAsia="MS Mincho"/>
          <w:lang w:val="fr-FR"/>
        </w:rPr>
        <w:t>’</w:t>
      </w:r>
      <w:r>
        <w:rPr>
          <w:rFonts w:eastAsia="MS Mincho"/>
          <w:lang w:val="fr-FR"/>
        </w:rPr>
        <w:t>État répéta qu</w:t>
      </w:r>
      <w:r w:rsidR="003C2190">
        <w:rPr>
          <w:rFonts w:eastAsia="MS Mincho"/>
          <w:lang w:val="fr-FR"/>
        </w:rPr>
        <w:t>’</w:t>
      </w:r>
      <w:r>
        <w:rPr>
          <w:rFonts w:eastAsia="MS Mincho"/>
          <w:lang w:val="fr-FR"/>
        </w:rPr>
        <w:t>en vertu de la législation pertinente, la juridiction administrative ne serait liée que par un arrêt condamnatoire de la juridiction pénale. En outre, la haute juridiction administrative admit que la cour administrative d</w:t>
      </w:r>
      <w:r w:rsidR="003C2190">
        <w:rPr>
          <w:rFonts w:eastAsia="MS Mincho"/>
          <w:lang w:val="fr-FR"/>
        </w:rPr>
        <w:t>’</w:t>
      </w:r>
      <w:r>
        <w:rPr>
          <w:rFonts w:eastAsia="MS Mincho"/>
          <w:lang w:val="fr-FR"/>
        </w:rPr>
        <w:t>appel avait légalement procédé à une appréciation différente des éléments de preuve que celle faite par la juridiction pénale et que son arrêt comportait une motivation suffisante sur les raisons pour lesquelles le délit de contrebande avait de fait été commis (arrêt n</w:t>
      </w:r>
      <w:r>
        <w:rPr>
          <w:rFonts w:eastAsia="MS Mincho"/>
          <w:vertAlign w:val="superscript"/>
          <w:lang w:val="fr-FR"/>
        </w:rPr>
        <w:t>o</w:t>
      </w:r>
      <w:r>
        <w:rPr>
          <w:rFonts w:eastAsia="MS Mincho"/>
          <w:lang w:val="fr-FR"/>
        </w:rPr>
        <w:t> 1999/2011). Cet arrêt fut mis au net et certifié conforme le 3 novembre 2011.</w:t>
      </w:r>
    </w:p>
    <w:p w:rsidR="009A0B2E" w:rsidRDefault="00FB14A2" w:rsidP="00FB14A2">
      <w:pPr>
        <w:pStyle w:val="ECHRHeading2"/>
        <w:rPr>
          <w:rFonts w:eastAsia="MS Gothic"/>
          <w:lang w:val="fr-FR"/>
        </w:rPr>
      </w:pPr>
      <w:r>
        <w:rPr>
          <w:rFonts w:eastAsia="MS Gothic"/>
          <w:lang w:val="fr-FR"/>
        </w:rPr>
        <w:t>B</w:t>
      </w:r>
      <w:r w:rsidR="009A0B2E">
        <w:rPr>
          <w:rFonts w:eastAsia="MS Gothic"/>
          <w:lang w:val="fr-FR"/>
        </w:rPr>
        <w:t>.  Requête n</w:t>
      </w:r>
      <w:r w:rsidR="009A0B2E">
        <w:rPr>
          <w:rFonts w:eastAsia="MS Gothic"/>
          <w:vertAlign w:val="superscript"/>
          <w:lang w:val="fr-FR"/>
        </w:rPr>
        <w:t>o</w:t>
      </w:r>
      <w:r w:rsidR="009A0B2E">
        <w:rPr>
          <w:rFonts w:eastAsia="MS Gothic"/>
          <w:lang w:val="fr-FR"/>
        </w:rPr>
        <w:t xml:space="preserve"> 42941/12</w:t>
      </w:r>
    </w:p>
    <w:p w:rsidR="009A0B2E" w:rsidRDefault="00FB14A2" w:rsidP="00FB14A2">
      <w:pPr>
        <w:pStyle w:val="ECHRHeading3"/>
        <w:rPr>
          <w:rFonts w:eastAsia="MS Mincho"/>
          <w:lang w:val="fr-FR" w:eastAsia="ja-JP"/>
        </w:rPr>
      </w:pPr>
      <w:r>
        <w:rPr>
          <w:rFonts w:eastAsia="MS Mincho"/>
          <w:lang w:val="fr-FR" w:eastAsia="ja-JP"/>
        </w:rPr>
        <w:t>1.</w:t>
      </w:r>
      <w:r w:rsidR="009A0B2E">
        <w:rPr>
          <w:rFonts w:eastAsia="MS Mincho"/>
          <w:lang w:val="fr-FR" w:eastAsia="ja-JP"/>
        </w:rPr>
        <w:t>  La procédure pénale</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19</w:t>
      </w:r>
      <w:r>
        <w:rPr>
          <w:rFonts w:eastAsia="MS Mincho"/>
          <w:lang w:val="fr-FR" w:eastAsia="ja-JP"/>
        </w:rPr>
        <w:fldChar w:fldCharType="end"/>
      </w:r>
      <w:r>
        <w:rPr>
          <w:rFonts w:eastAsia="MS Mincho"/>
          <w:lang w:val="fr-FR" w:eastAsia="ja-JP"/>
        </w:rPr>
        <w:t>.  En 1998, des poursuites pénales pour contrebande furent engagées contre le requérant. En particulier, il fut accusé d</w:t>
      </w:r>
      <w:r w:rsidR="003C2190">
        <w:rPr>
          <w:rFonts w:eastAsia="MS Mincho"/>
          <w:lang w:val="fr-FR" w:eastAsia="ja-JP"/>
        </w:rPr>
        <w:t>’</w:t>
      </w:r>
      <w:r>
        <w:rPr>
          <w:rFonts w:eastAsia="MS Mincho"/>
          <w:lang w:val="fr-FR" w:eastAsia="ja-JP"/>
        </w:rPr>
        <w:t>avoir vendu entre 1993 et 1995, en tant que propriétaire d</w:t>
      </w:r>
      <w:r w:rsidR="003C2190">
        <w:rPr>
          <w:rFonts w:eastAsia="MS Mincho"/>
          <w:lang w:val="fr-FR" w:eastAsia="ja-JP"/>
        </w:rPr>
        <w:t>’</w:t>
      </w:r>
      <w:r>
        <w:rPr>
          <w:rFonts w:eastAsia="MS Mincho"/>
          <w:lang w:val="fr-FR" w:eastAsia="ja-JP"/>
        </w:rPr>
        <w:t>une station-service, 110 000 litres d</w:t>
      </w:r>
      <w:r w:rsidR="003C2190">
        <w:rPr>
          <w:rFonts w:eastAsia="MS Mincho"/>
          <w:lang w:val="fr-FR" w:eastAsia="ja-JP"/>
        </w:rPr>
        <w:t>’</w:t>
      </w:r>
      <w:r>
        <w:rPr>
          <w:rFonts w:eastAsia="MS Mincho"/>
          <w:lang w:val="fr-FR" w:eastAsia="ja-JP"/>
        </w:rPr>
        <w:t>essence et 221 000 litres de gazole sans certificats d</w:t>
      </w:r>
      <w:r w:rsidR="003C2190">
        <w:rPr>
          <w:rFonts w:eastAsia="MS Mincho"/>
          <w:lang w:val="fr-FR" w:eastAsia="ja-JP"/>
        </w:rPr>
        <w:t>’</w:t>
      </w:r>
      <w:r>
        <w:rPr>
          <w:rFonts w:eastAsia="MS Mincho"/>
          <w:lang w:val="fr-FR" w:eastAsia="ja-JP"/>
        </w:rPr>
        <w:t>achat. Le 21 juin 2000, le tribunal correctionnel de Patras l</w:t>
      </w:r>
      <w:r w:rsidR="003C2190">
        <w:rPr>
          <w:rFonts w:eastAsia="MS Mincho"/>
          <w:lang w:val="fr-FR" w:eastAsia="ja-JP"/>
        </w:rPr>
        <w:t>’</w:t>
      </w:r>
      <w:r>
        <w:rPr>
          <w:rFonts w:eastAsia="MS Mincho"/>
          <w:lang w:val="fr-FR" w:eastAsia="ja-JP"/>
        </w:rPr>
        <w:t>acquitta du chef d</w:t>
      </w:r>
      <w:r w:rsidR="003C2190">
        <w:rPr>
          <w:rFonts w:eastAsia="MS Mincho"/>
          <w:lang w:val="fr-FR" w:eastAsia="ja-JP"/>
        </w:rPr>
        <w:t>’</w:t>
      </w:r>
      <w:r>
        <w:rPr>
          <w:rFonts w:eastAsia="MS Mincho"/>
          <w:lang w:val="fr-FR" w:eastAsia="ja-JP"/>
        </w:rPr>
        <w:t>accusation précité (jugement n</w:t>
      </w:r>
      <w:r>
        <w:rPr>
          <w:rFonts w:eastAsia="MS Mincho"/>
          <w:vertAlign w:val="superscript"/>
          <w:lang w:val="fr-FR" w:eastAsia="ja-JP"/>
        </w:rPr>
        <w:t>o</w:t>
      </w:r>
      <w:r>
        <w:rPr>
          <w:rFonts w:eastAsia="MS Mincho"/>
          <w:lang w:val="fr-FR" w:eastAsia="ja-JP"/>
        </w:rPr>
        <w:t> 2828/2000). Ce jugement devint irrévocable.</w:t>
      </w:r>
    </w:p>
    <w:p w:rsidR="009A0B2E" w:rsidRPr="00BD469E" w:rsidRDefault="00FB14A2" w:rsidP="00FB14A2">
      <w:pPr>
        <w:pStyle w:val="ECHRHeading3"/>
        <w:rPr>
          <w:lang w:val="fr-FR"/>
        </w:rPr>
      </w:pPr>
      <w:r w:rsidRPr="00BD469E">
        <w:rPr>
          <w:lang w:val="fr-FR"/>
        </w:rPr>
        <w:t>2.</w:t>
      </w:r>
      <w:r w:rsidR="009A0B2E" w:rsidRPr="00BD469E">
        <w:rPr>
          <w:lang w:val="fr-FR"/>
        </w:rPr>
        <w:t>  La procédure administrative</w:t>
      </w:r>
    </w:p>
    <w:p w:rsidR="00AF131B"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20</w:t>
      </w:r>
      <w:r>
        <w:rPr>
          <w:rFonts w:eastAsia="MS Mincho"/>
          <w:lang w:val="fr-FR" w:eastAsia="ja-JP"/>
        </w:rPr>
        <w:fldChar w:fldCharType="end"/>
      </w:r>
      <w:r>
        <w:rPr>
          <w:rFonts w:eastAsia="MS Mincho"/>
          <w:lang w:val="fr-FR" w:eastAsia="ja-JP"/>
        </w:rPr>
        <w:t>.  Entre-temps, le 29 septembre 1996, l</w:t>
      </w:r>
      <w:r w:rsidR="003C2190">
        <w:rPr>
          <w:rFonts w:eastAsia="MS Mincho"/>
          <w:lang w:val="fr-FR" w:eastAsia="ja-JP"/>
        </w:rPr>
        <w:t>’</w:t>
      </w:r>
      <w:r>
        <w:rPr>
          <w:rFonts w:eastAsia="MS Mincho"/>
          <w:lang w:val="fr-FR" w:eastAsia="ja-JP"/>
        </w:rPr>
        <w:t>autorité douanière compétente avait imposé au requérant le paiement d</w:t>
      </w:r>
      <w:r w:rsidR="003C2190">
        <w:rPr>
          <w:rFonts w:eastAsia="MS Mincho"/>
          <w:lang w:val="fr-FR" w:eastAsia="ja-JP"/>
        </w:rPr>
        <w:t>’</w:t>
      </w:r>
      <w:r>
        <w:rPr>
          <w:rFonts w:eastAsia="MS Mincho"/>
          <w:lang w:val="fr-FR" w:eastAsia="ja-JP"/>
        </w:rPr>
        <w:t>une somme de 37 089 905 et 74 180 000 drachmes (129 919 euros environ au total) à titre d</w:t>
      </w:r>
      <w:r w:rsidR="003C2190">
        <w:rPr>
          <w:rFonts w:eastAsia="MS Mincho"/>
          <w:lang w:val="fr-FR" w:eastAsia="ja-JP"/>
        </w:rPr>
        <w:t>’</w:t>
      </w:r>
      <w:r>
        <w:rPr>
          <w:rFonts w:eastAsia="MS Mincho"/>
          <w:lang w:val="fr-FR" w:eastAsia="ja-JP"/>
        </w:rPr>
        <w:t>amendes fiscales pour délit fiscal de contrebande en raison de la vente des produits précités sans certificats d</w:t>
      </w:r>
      <w:r w:rsidR="003C2190">
        <w:rPr>
          <w:rFonts w:eastAsia="MS Mincho"/>
          <w:lang w:val="fr-FR" w:eastAsia="ja-JP"/>
        </w:rPr>
        <w:t>’</w:t>
      </w:r>
      <w:r>
        <w:rPr>
          <w:rFonts w:eastAsia="MS Mincho"/>
          <w:lang w:val="fr-FR" w:eastAsia="ja-JP"/>
        </w:rPr>
        <w:t>achat (acte n</w:t>
      </w:r>
      <w:r>
        <w:rPr>
          <w:rFonts w:eastAsia="MS Mincho"/>
          <w:vertAlign w:val="superscript"/>
          <w:lang w:val="fr-FR" w:eastAsia="ja-JP"/>
        </w:rPr>
        <w:t>o</w:t>
      </w:r>
      <w:r>
        <w:rPr>
          <w:rFonts w:eastAsia="MS Mincho"/>
          <w:lang w:val="fr-FR" w:eastAsia="ja-JP"/>
        </w:rPr>
        <w:t xml:space="preserve"> 120/29.9.1996). Ces sommes représentaient le double des sommes dues à l</w:t>
      </w:r>
      <w:r w:rsidR="003C2190">
        <w:rPr>
          <w:rFonts w:eastAsia="MS Mincho"/>
          <w:lang w:val="fr-FR" w:eastAsia="ja-JP"/>
        </w:rPr>
        <w:t>’</w:t>
      </w:r>
      <w:r>
        <w:rPr>
          <w:rFonts w:eastAsia="MS Mincho"/>
          <w:lang w:val="fr-FR" w:eastAsia="ja-JP"/>
        </w:rPr>
        <w:t>État à titre de taxes et droits de douanes quant à la vente des produits en cause.</w:t>
      </w:r>
    </w:p>
    <w:p w:rsidR="00AF131B"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21</w:t>
      </w:r>
      <w:r>
        <w:rPr>
          <w:rFonts w:eastAsia="MS Mincho"/>
          <w:lang w:val="fr-FR" w:eastAsia="ja-JP"/>
        </w:rPr>
        <w:fldChar w:fldCharType="end"/>
      </w:r>
      <w:r>
        <w:rPr>
          <w:rFonts w:eastAsia="MS Mincho"/>
          <w:lang w:val="fr-FR" w:eastAsia="ja-JP"/>
        </w:rPr>
        <w:t>.  À une date non précisée, le requérant saisit le tribunal administratif de Patras d</w:t>
      </w:r>
      <w:r w:rsidR="003C2190">
        <w:rPr>
          <w:rFonts w:eastAsia="MS Mincho"/>
          <w:lang w:val="fr-FR" w:eastAsia="ja-JP"/>
        </w:rPr>
        <w:t>’</w:t>
      </w:r>
      <w:r>
        <w:rPr>
          <w:rFonts w:eastAsia="MS Mincho"/>
          <w:lang w:val="fr-FR" w:eastAsia="ja-JP"/>
        </w:rPr>
        <w:t>un recours visant à l</w:t>
      </w:r>
      <w:r w:rsidR="003C2190">
        <w:rPr>
          <w:rFonts w:eastAsia="MS Mincho"/>
          <w:lang w:val="fr-FR" w:eastAsia="ja-JP"/>
        </w:rPr>
        <w:t>’</w:t>
      </w:r>
      <w:r>
        <w:rPr>
          <w:rFonts w:eastAsia="MS Mincho"/>
          <w:lang w:val="fr-FR" w:eastAsia="ja-JP"/>
        </w:rPr>
        <w:t>annulation de l</w:t>
      </w:r>
      <w:r w:rsidR="003C2190">
        <w:rPr>
          <w:rFonts w:eastAsia="MS Mincho"/>
          <w:lang w:val="fr-FR" w:eastAsia="ja-JP"/>
        </w:rPr>
        <w:t>’</w:t>
      </w:r>
      <w:r>
        <w:rPr>
          <w:rFonts w:eastAsia="MS Mincho"/>
          <w:lang w:val="fr-FR" w:eastAsia="ja-JP"/>
        </w:rPr>
        <w:t>acte n</w:t>
      </w:r>
      <w:r>
        <w:rPr>
          <w:rFonts w:eastAsia="MS Mincho"/>
          <w:vertAlign w:val="superscript"/>
          <w:lang w:val="fr-FR" w:eastAsia="ja-JP"/>
        </w:rPr>
        <w:t>o</w:t>
      </w:r>
      <w:r>
        <w:rPr>
          <w:rFonts w:eastAsia="MS Mincho"/>
          <w:lang w:val="fr-FR" w:eastAsia="ja-JP"/>
        </w:rPr>
        <w:t xml:space="preserve"> 120/29.9.1996. À une date non précisée, le tribunal administratif de Patras rejeta le recours (décision n</w:t>
      </w:r>
      <w:r>
        <w:rPr>
          <w:rFonts w:eastAsia="MS Mincho"/>
          <w:vertAlign w:val="superscript"/>
          <w:lang w:val="fr-FR" w:eastAsia="ja-JP"/>
        </w:rPr>
        <w:t>o</w:t>
      </w:r>
      <w:r>
        <w:rPr>
          <w:rFonts w:eastAsia="MS Mincho"/>
          <w:lang w:val="fr-FR" w:eastAsia="ja-JP"/>
        </w:rPr>
        <w:t xml:space="preserve"> 424/1998).</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22</w:t>
      </w:r>
      <w:r>
        <w:rPr>
          <w:rFonts w:eastAsia="MS Mincho"/>
          <w:lang w:val="fr-FR" w:eastAsia="ja-JP"/>
        </w:rPr>
        <w:fldChar w:fldCharType="end"/>
      </w:r>
      <w:r>
        <w:rPr>
          <w:rFonts w:eastAsia="MS Mincho"/>
          <w:lang w:val="fr-FR" w:eastAsia="ja-JP"/>
        </w:rPr>
        <w:t>.  Le 20 novembre 1998, le requérant interjeta appel. Il joignit à ses observations, datées du 14 janvier 2003, le jugement n</w:t>
      </w:r>
      <w:r>
        <w:rPr>
          <w:rFonts w:eastAsia="MS Mincho"/>
          <w:vertAlign w:val="superscript"/>
          <w:lang w:val="fr-FR" w:eastAsia="ja-JP"/>
        </w:rPr>
        <w:t>o</w:t>
      </w:r>
      <w:r>
        <w:rPr>
          <w:rFonts w:eastAsia="MS Mincho"/>
          <w:lang w:val="fr-FR" w:eastAsia="ja-JP"/>
        </w:rPr>
        <w:t xml:space="preserve"> 2828/2000 du tribunal correctionnel de Patras.</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23</w:t>
      </w:r>
      <w:r>
        <w:rPr>
          <w:rFonts w:eastAsia="MS Mincho"/>
          <w:lang w:val="fr-FR" w:eastAsia="ja-JP"/>
        </w:rPr>
        <w:fldChar w:fldCharType="end"/>
      </w:r>
      <w:r>
        <w:rPr>
          <w:rFonts w:eastAsia="MS Mincho"/>
          <w:lang w:val="fr-FR" w:eastAsia="ja-JP"/>
        </w:rPr>
        <w:t>.  Le 23 octobre 2003, la cour administrative d</w:t>
      </w:r>
      <w:r w:rsidR="003C2190">
        <w:rPr>
          <w:rFonts w:eastAsia="MS Mincho"/>
          <w:lang w:val="fr-FR" w:eastAsia="ja-JP"/>
        </w:rPr>
        <w:t>’</w:t>
      </w:r>
      <w:r>
        <w:rPr>
          <w:rFonts w:eastAsia="MS Mincho"/>
          <w:lang w:val="fr-FR" w:eastAsia="ja-JP"/>
        </w:rPr>
        <w:t>appel de Patras rejeta l</w:t>
      </w:r>
      <w:r w:rsidR="003C2190">
        <w:rPr>
          <w:rFonts w:eastAsia="MS Mincho"/>
          <w:lang w:val="fr-FR" w:eastAsia="ja-JP"/>
        </w:rPr>
        <w:t>’</w:t>
      </w:r>
      <w:r>
        <w:rPr>
          <w:rFonts w:eastAsia="MS Mincho"/>
          <w:lang w:val="fr-FR" w:eastAsia="ja-JP"/>
        </w:rPr>
        <w:t>appel et confirma la décision n</w:t>
      </w:r>
      <w:r>
        <w:rPr>
          <w:rFonts w:eastAsia="MS Mincho"/>
          <w:vertAlign w:val="superscript"/>
          <w:lang w:val="fr-FR" w:eastAsia="ja-JP"/>
        </w:rPr>
        <w:t>o</w:t>
      </w:r>
      <w:r>
        <w:rPr>
          <w:rFonts w:eastAsia="MS Mincho"/>
          <w:lang w:val="fr-FR" w:eastAsia="ja-JP"/>
        </w:rPr>
        <w:t xml:space="preserve"> 424/1998. En particulier, la cour d</w:t>
      </w:r>
      <w:r w:rsidR="003C2190">
        <w:rPr>
          <w:rFonts w:eastAsia="MS Mincho"/>
          <w:lang w:val="fr-FR" w:eastAsia="ja-JP"/>
        </w:rPr>
        <w:t>’</w:t>
      </w:r>
      <w:r>
        <w:rPr>
          <w:rFonts w:eastAsia="MS Mincho"/>
          <w:lang w:val="fr-FR" w:eastAsia="ja-JP"/>
        </w:rPr>
        <w:t xml:space="preserve">appel </w:t>
      </w:r>
      <w:r>
        <w:rPr>
          <w:rFonts w:eastAsia="MS Mincho"/>
          <w:lang w:val="fr-FR" w:eastAsia="ja-JP"/>
        </w:rPr>
        <w:lastRenderedPageBreak/>
        <w:t>admit que les carburants en cause étaient des produits de contrebande achetés et vendus par le requérant (arrêt n</w:t>
      </w:r>
      <w:r>
        <w:rPr>
          <w:rFonts w:eastAsia="MS Mincho"/>
          <w:vertAlign w:val="superscript"/>
          <w:lang w:val="fr-FR" w:eastAsia="ja-JP"/>
        </w:rPr>
        <w:t>o</w:t>
      </w:r>
      <w:r>
        <w:rPr>
          <w:rFonts w:eastAsia="MS Mincho"/>
          <w:lang w:val="fr-FR" w:eastAsia="ja-JP"/>
        </w:rPr>
        <w:t xml:space="preserve"> 447/2003).</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24</w:t>
      </w:r>
      <w:r>
        <w:rPr>
          <w:rFonts w:eastAsia="MS Mincho"/>
          <w:lang w:val="fr-FR" w:eastAsia="ja-JP"/>
        </w:rPr>
        <w:fldChar w:fldCharType="end"/>
      </w:r>
      <w:r>
        <w:rPr>
          <w:rFonts w:eastAsia="MS Mincho"/>
          <w:lang w:val="fr-FR" w:eastAsia="ja-JP"/>
        </w:rPr>
        <w:t>.  Le 23 mars 2004, le requérant se pourvut en cassation. Il soutenait, entre autres, que la cour administrative d</w:t>
      </w:r>
      <w:r w:rsidR="003C2190">
        <w:rPr>
          <w:rFonts w:eastAsia="MS Mincho"/>
          <w:lang w:val="fr-FR" w:eastAsia="ja-JP"/>
        </w:rPr>
        <w:t>’</w:t>
      </w:r>
      <w:r>
        <w:rPr>
          <w:rFonts w:eastAsia="MS Mincho"/>
          <w:lang w:val="fr-FR" w:eastAsia="ja-JP"/>
        </w:rPr>
        <w:t>appel n</w:t>
      </w:r>
      <w:r w:rsidR="003C2190">
        <w:rPr>
          <w:rFonts w:eastAsia="MS Mincho"/>
          <w:lang w:val="fr-FR" w:eastAsia="ja-JP"/>
        </w:rPr>
        <w:t>’</w:t>
      </w:r>
      <w:r>
        <w:rPr>
          <w:rFonts w:eastAsia="MS Mincho"/>
          <w:lang w:val="fr-FR" w:eastAsia="ja-JP"/>
        </w:rPr>
        <w:t>avait pas pris en compte le jugement n</w:t>
      </w:r>
      <w:r>
        <w:rPr>
          <w:rFonts w:eastAsia="MS Mincho"/>
          <w:vertAlign w:val="superscript"/>
          <w:lang w:val="fr-FR" w:eastAsia="ja-JP"/>
        </w:rPr>
        <w:t>o</w:t>
      </w:r>
      <w:r>
        <w:rPr>
          <w:rFonts w:eastAsia="MS Mincho"/>
          <w:lang w:val="fr-FR" w:eastAsia="ja-JP"/>
        </w:rPr>
        <w:t xml:space="preserve"> 2828/2000 qui l</w:t>
      </w:r>
      <w:r w:rsidR="003C2190">
        <w:rPr>
          <w:rFonts w:eastAsia="MS Mincho"/>
          <w:lang w:val="fr-FR" w:eastAsia="ja-JP"/>
        </w:rPr>
        <w:t>’</w:t>
      </w:r>
      <w:r>
        <w:rPr>
          <w:rFonts w:eastAsia="MS Mincho"/>
          <w:lang w:val="fr-FR" w:eastAsia="ja-JP"/>
        </w:rPr>
        <w:t>avait acquitté du chef d</w:t>
      </w:r>
      <w:r w:rsidR="003C2190">
        <w:rPr>
          <w:rFonts w:eastAsia="MS Mincho"/>
          <w:lang w:val="fr-FR" w:eastAsia="ja-JP"/>
        </w:rPr>
        <w:t>’</w:t>
      </w:r>
      <w:r>
        <w:rPr>
          <w:rFonts w:eastAsia="MS Mincho"/>
          <w:lang w:val="fr-FR" w:eastAsia="ja-JP"/>
        </w:rPr>
        <w:t>accusation de contrebande.</w:t>
      </w:r>
    </w:p>
    <w:p w:rsidR="00AF131B"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25</w:t>
      </w:r>
      <w:r>
        <w:rPr>
          <w:rFonts w:eastAsia="MS Mincho"/>
          <w:lang w:val="fr-FR" w:eastAsia="ja-JP"/>
        </w:rPr>
        <w:fldChar w:fldCharType="end"/>
      </w:r>
      <w:r>
        <w:rPr>
          <w:rFonts w:eastAsia="MS Mincho"/>
          <w:lang w:val="fr-FR" w:eastAsia="ja-JP"/>
        </w:rPr>
        <w:t>.  Le 16 novembre 2011, le Conseil d</w:t>
      </w:r>
      <w:r w:rsidR="003C2190">
        <w:rPr>
          <w:rFonts w:eastAsia="MS Mincho"/>
          <w:lang w:val="fr-FR" w:eastAsia="ja-JP"/>
        </w:rPr>
        <w:t>’</w:t>
      </w:r>
      <w:r>
        <w:rPr>
          <w:rFonts w:eastAsia="MS Mincho"/>
          <w:lang w:val="fr-FR" w:eastAsia="ja-JP"/>
        </w:rPr>
        <w:t>État rejeta son pourvoi. La haute juridiction administrative releva que l</w:t>
      </w:r>
      <w:r w:rsidR="003C2190">
        <w:rPr>
          <w:rFonts w:eastAsia="MS Mincho"/>
          <w:lang w:val="fr-FR" w:eastAsia="ja-JP"/>
        </w:rPr>
        <w:t>’</w:t>
      </w:r>
      <w:r>
        <w:rPr>
          <w:rFonts w:eastAsia="MS Mincho"/>
          <w:lang w:val="fr-FR" w:eastAsia="ja-JP"/>
        </w:rPr>
        <w:t>article 150 du Code de procédure administrative prévoyait que tout document de preuve devait être soumis devant la juridiction compétente la veille de la première audience de l</w:t>
      </w:r>
      <w:r w:rsidR="003C2190">
        <w:rPr>
          <w:rFonts w:eastAsia="MS Mincho"/>
          <w:lang w:val="fr-FR" w:eastAsia="ja-JP"/>
        </w:rPr>
        <w:t>’</w:t>
      </w:r>
      <w:r>
        <w:rPr>
          <w:rFonts w:eastAsia="MS Mincho"/>
          <w:lang w:val="fr-FR" w:eastAsia="ja-JP"/>
        </w:rPr>
        <w:t>affaire. Elle nota que le requérant avait, certes, soumis à la cour administrative d</w:t>
      </w:r>
      <w:r w:rsidR="003C2190">
        <w:rPr>
          <w:rFonts w:eastAsia="MS Mincho"/>
          <w:lang w:val="fr-FR" w:eastAsia="ja-JP"/>
        </w:rPr>
        <w:t>’</w:t>
      </w:r>
      <w:r>
        <w:rPr>
          <w:rFonts w:eastAsia="MS Mincho"/>
          <w:lang w:val="fr-FR" w:eastAsia="ja-JP"/>
        </w:rPr>
        <w:t>appel le jugement n</w:t>
      </w:r>
      <w:r>
        <w:rPr>
          <w:rFonts w:eastAsia="MS Mincho"/>
          <w:vertAlign w:val="superscript"/>
          <w:lang w:val="fr-FR" w:eastAsia="ja-JP"/>
        </w:rPr>
        <w:t>o</w:t>
      </w:r>
      <w:r>
        <w:rPr>
          <w:rFonts w:eastAsia="MS Mincho"/>
          <w:lang w:val="fr-FR" w:eastAsia="ja-JP"/>
        </w:rPr>
        <w:t xml:space="preserve"> 2828/2000 du tribunal correctionnel de Patras mais après l</w:t>
      </w:r>
      <w:r w:rsidR="003C2190">
        <w:rPr>
          <w:rFonts w:eastAsia="MS Mincho"/>
          <w:lang w:val="fr-FR" w:eastAsia="ja-JP"/>
        </w:rPr>
        <w:t>’</w:t>
      </w:r>
      <w:r>
        <w:rPr>
          <w:rFonts w:eastAsia="MS Mincho"/>
          <w:lang w:val="fr-FR" w:eastAsia="ja-JP"/>
        </w:rPr>
        <w:t>audience de l</w:t>
      </w:r>
      <w:r w:rsidR="003C2190">
        <w:rPr>
          <w:rFonts w:eastAsia="MS Mincho"/>
          <w:lang w:val="fr-FR" w:eastAsia="ja-JP"/>
        </w:rPr>
        <w:t>’</w:t>
      </w:r>
      <w:r>
        <w:rPr>
          <w:rFonts w:eastAsia="MS Mincho"/>
          <w:lang w:val="fr-FR" w:eastAsia="ja-JP"/>
        </w:rPr>
        <w:t>affaire. Le Conseil d</w:t>
      </w:r>
      <w:r w:rsidR="003C2190">
        <w:rPr>
          <w:rFonts w:eastAsia="MS Mincho"/>
          <w:lang w:val="fr-FR" w:eastAsia="ja-JP"/>
        </w:rPr>
        <w:t>’</w:t>
      </w:r>
      <w:r>
        <w:rPr>
          <w:rFonts w:eastAsia="MS Mincho"/>
          <w:lang w:val="fr-FR" w:eastAsia="ja-JP"/>
        </w:rPr>
        <w:t>Etat conclut que la cour administrative d</w:t>
      </w:r>
      <w:r w:rsidR="003C2190">
        <w:rPr>
          <w:rFonts w:eastAsia="MS Mincho"/>
          <w:lang w:val="fr-FR" w:eastAsia="ja-JP"/>
        </w:rPr>
        <w:t>’</w:t>
      </w:r>
      <w:r>
        <w:rPr>
          <w:rFonts w:eastAsia="MS Mincho"/>
          <w:lang w:val="fr-FR" w:eastAsia="ja-JP"/>
        </w:rPr>
        <w:t>appel n</w:t>
      </w:r>
      <w:r w:rsidR="003C2190">
        <w:rPr>
          <w:rFonts w:eastAsia="MS Mincho"/>
          <w:lang w:val="fr-FR" w:eastAsia="ja-JP"/>
        </w:rPr>
        <w:t>’</w:t>
      </w:r>
      <w:r>
        <w:rPr>
          <w:rFonts w:eastAsia="MS Mincho"/>
          <w:lang w:val="fr-FR" w:eastAsia="ja-JP"/>
        </w:rPr>
        <w:t xml:space="preserve">était pas obligée de prendre en compte </w:t>
      </w:r>
      <w:r>
        <w:rPr>
          <w:rFonts w:eastAsia="MS Mincho"/>
          <w:i/>
          <w:lang w:val="fr-FR" w:eastAsia="ja-JP"/>
        </w:rPr>
        <w:t xml:space="preserve">proprio motu </w:t>
      </w:r>
      <w:r>
        <w:rPr>
          <w:rFonts w:eastAsia="MS Mincho"/>
          <w:lang w:val="fr-FR" w:eastAsia="ja-JP"/>
        </w:rPr>
        <w:t>le jugement n</w:t>
      </w:r>
      <w:r>
        <w:rPr>
          <w:rFonts w:eastAsia="MS Mincho"/>
          <w:vertAlign w:val="superscript"/>
          <w:lang w:val="fr-FR" w:eastAsia="ja-JP"/>
        </w:rPr>
        <w:t>o</w:t>
      </w:r>
      <w:r>
        <w:rPr>
          <w:rFonts w:eastAsia="MS Mincho"/>
          <w:lang w:val="fr-FR" w:eastAsia="ja-JP"/>
        </w:rPr>
        <w:t xml:space="preserve"> 2828/2000, puisque celui-ci avait été soumis de manière irrecevable.</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26</w:t>
      </w:r>
      <w:r>
        <w:rPr>
          <w:rFonts w:eastAsia="MS Mincho"/>
          <w:lang w:val="fr-FR" w:eastAsia="ja-JP"/>
        </w:rPr>
        <w:fldChar w:fldCharType="end"/>
      </w:r>
      <w:r w:rsidR="00FB14A2">
        <w:rPr>
          <w:rFonts w:eastAsia="MS Mincho"/>
          <w:lang w:val="fr-FR" w:eastAsia="ja-JP"/>
        </w:rPr>
        <w:t>.  </w:t>
      </w:r>
      <w:r>
        <w:rPr>
          <w:rFonts w:eastAsia="MS Mincho"/>
          <w:lang w:val="fr-FR" w:eastAsia="ja-JP"/>
        </w:rPr>
        <w:t>En outre, la haute juridiction administrative admit que la cour administrative d</w:t>
      </w:r>
      <w:r w:rsidR="003C2190">
        <w:rPr>
          <w:rFonts w:eastAsia="MS Mincho"/>
          <w:lang w:val="fr-FR" w:eastAsia="ja-JP"/>
        </w:rPr>
        <w:t>’</w:t>
      </w:r>
      <w:r>
        <w:rPr>
          <w:rFonts w:eastAsia="MS Mincho"/>
          <w:lang w:val="fr-FR" w:eastAsia="ja-JP"/>
        </w:rPr>
        <w:t>appel s</w:t>
      </w:r>
      <w:r w:rsidR="003C2190">
        <w:rPr>
          <w:rFonts w:eastAsia="MS Mincho"/>
          <w:lang w:val="fr-FR" w:eastAsia="ja-JP"/>
        </w:rPr>
        <w:t>’</w:t>
      </w:r>
      <w:r>
        <w:rPr>
          <w:rFonts w:eastAsia="MS Mincho"/>
          <w:lang w:val="fr-FR" w:eastAsia="ja-JP"/>
        </w:rPr>
        <w:t>était fondée sur des éléments pertinents pour conclure que le requérant avait commis l</w:t>
      </w:r>
      <w:r w:rsidR="003C2190">
        <w:rPr>
          <w:rFonts w:eastAsia="MS Mincho"/>
          <w:lang w:val="fr-FR" w:eastAsia="ja-JP"/>
        </w:rPr>
        <w:t>’</w:t>
      </w:r>
      <w:r>
        <w:rPr>
          <w:rFonts w:eastAsia="MS Mincho"/>
          <w:lang w:val="fr-FR" w:eastAsia="ja-JP"/>
        </w:rPr>
        <w:t>infraction de contrebande en l</w:t>
      </w:r>
      <w:r w:rsidR="003C2190">
        <w:rPr>
          <w:rFonts w:eastAsia="MS Mincho"/>
          <w:lang w:val="fr-FR" w:eastAsia="ja-JP"/>
        </w:rPr>
        <w:t>’</w:t>
      </w:r>
      <w:r>
        <w:rPr>
          <w:rFonts w:eastAsia="MS Mincho"/>
          <w:lang w:val="fr-FR" w:eastAsia="ja-JP"/>
        </w:rPr>
        <w:t>espèce. Une opinion dissidente de deux juges soutint que la juridiction compétente aurait dû prendre en compte de sa propre initiative l</w:t>
      </w:r>
      <w:r w:rsidR="003C2190">
        <w:rPr>
          <w:rFonts w:eastAsia="MS Mincho"/>
          <w:lang w:val="fr-FR" w:eastAsia="ja-JP"/>
        </w:rPr>
        <w:t>’</w:t>
      </w:r>
      <w:r>
        <w:rPr>
          <w:rFonts w:eastAsia="MS Mincho"/>
          <w:lang w:val="fr-FR" w:eastAsia="ja-JP"/>
        </w:rPr>
        <w:t>arrêt n</w:t>
      </w:r>
      <w:r>
        <w:rPr>
          <w:rFonts w:eastAsia="MS Mincho"/>
          <w:vertAlign w:val="superscript"/>
          <w:lang w:val="fr-FR" w:eastAsia="ja-JP"/>
        </w:rPr>
        <w:t>o</w:t>
      </w:r>
      <w:r>
        <w:rPr>
          <w:rFonts w:eastAsia="MS Mincho"/>
          <w:lang w:val="fr-FR" w:eastAsia="ja-JP"/>
        </w:rPr>
        <w:t> 2828/2000 du tribunal correctionnel de Patras du moment que le requérant l</w:t>
      </w:r>
      <w:r w:rsidR="003C2190">
        <w:rPr>
          <w:rFonts w:eastAsia="MS Mincho"/>
          <w:lang w:val="fr-FR" w:eastAsia="ja-JP"/>
        </w:rPr>
        <w:t>’</w:t>
      </w:r>
      <w:r>
        <w:rPr>
          <w:rFonts w:eastAsia="MS Mincho"/>
          <w:lang w:val="fr-FR" w:eastAsia="ja-JP"/>
        </w:rPr>
        <w:t>avait invoqué et soumis auprès de la cour administrative d</w:t>
      </w:r>
      <w:r w:rsidR="003C2190">
        <w:rPr>
          <w:rFonts w:eastAsia="MS Mincho"/>
          <w:lang w:val="fr-FR" w:eastAsia="ja-JP"/>
        </w:rPr>
        <w:t>’</w:t>
      </w:r>
      <w:r>
        <w:rPr>
          <w:rFonts w:eastAsia="MS Mincho"/>
          <w:lang w:val="fr-FR" w:eastAsia="ja-JP"/>
        </w:rPr>
        <w:t>appel lors de la procédure devant elle. Les juges dissidents relevèrent que la méconnaissance tant par la cour administrative d</w:t>
      </w:r>
      <w:r w:rsidR="003C2190">
        <w:rPr>
          <w:rFonts w:eastAsia="MS Mincho"/>
          <w:lang w:val="fr-FR" w:eastAsia="ja-JP"/>
        </w:rPr>
        <w:t>’</w:t>
      </w:r>
      <w:r>
        <w:rPr>
          <w:rFonts w:eastAsia="MS Mincho"/>
          <w:lang w:val="fr-FR" w:eastAsia="ja-JP"/>
        </w:rPr>
        <w:t>appel que par le Conseil d</w:t>
      </w:r>
      <w:r w:rsidR="003C2190">
        <w:rPr>
          <w:rFonts w:eastAsia="MS Mincho"/>
          <w:lang w:val="fr-FR" w:eastAsia="ja-JP"/>
        </w:rPr>
        <w:t>’</w:t>
      </w:r>
      <w:r w:rsidR="003E299F">
        <w:rPr>
          <w:rFonts w:eastAsia="MS Mincho"/>
          <w:lang w:val="fr-FR" w:eastAsia="ja-JP"/>
        </w:rPr>
        <w:t>État</w:t>
      </w:r>
      <w:r>
        <w:rPr>
          <w:rFonts w:eastAsia="MS Mincho"/>
          <w:lang w:val="fr-FR" w:eastAsia="ja-JP"/>
        </w:rPr>
        <w:t xml:space="preserve"> de l</w:t>
      </w:r>
      <w:r w:rsidR="003C2190">
        <w:rPr>
          <w:rFonts w:eastAsia="MS Mincho"/>
          <w:lang w:val="fr-FR" w:eastAsia="ja-JP"/>
        </w:rPr>
        <w:t>’</w:t>
      </w:r>
      <w:r>
        <w:rPr>
          <w:rFonts w:eastAsia="MS Mincho"/>
          <w:lang w:val="fr-FR" w:eastAsia="ja-JP"/>
        </w:rPr>
        <w:t>acquittement préalable au pénal du requérant pour le même délit qui constituait l</w:t>
      </w:r>
      <w:r w:rsidR="003C2190">
        <w:rPr>
          <w:rFonts w:eastAsia="MS Mincho"/>
          <w:lang w:val="fr-FR" w:eastAsia="ja-JP"/>
        </w:rPr>
        <w:t>’</w:t>
      </w:r>
      <w:r>
        <w:rPr>
          <w:rFonts w:eastAsia="MS Mincho"/>
          <w:lang w:val="fr-FR" w:eastAsia="ja-JP"/>
        </w:rPr>
        <w:t xml:space="preserve">objet du litige devant les juridictions administratives, porterait atteinte au principe </w:t>
      </w:r>
      <w:r>
        <w:rPr>
          <w:rFonts w:eastAsia="MS Mincho"/>
          <w:i/>
          <w:lang w:val="fr-FR" w:eastAsia="ja-JP"/>
        </w:rPr>
        <w:t xml:space="preserve">ne bis in idem </w:t>
      </w:r>
      <w:r>
        <w:rPr>
          <w:rFonts w:eastAsia="MS Mincho"/>
          <w:lang w:val="fr-FR" w:eastAsia="ja-JP"/>
        </w:rPr>
        <w:t>consacré par l</w:t>
      </w:r>
      <w:r w:rsidR="003C2190">
        <w:rPr>
          <w:rFonts w:eastAsia="MS Mincho"/>
          <w:lang w:val="fr-FR" w:eastAsia="ja-JP"/>
        </w:rPr>
        <w:t>’</w:t>
      </w:r>
      <w:r>
        <w:rPr>
          <w:rFonts w:eastAsia="MS Mincho"/>
          <w:lang w:val="fr-FR" w:eastAsia="ja-JP"/>
        </w:rPr>
        <w:t>article 4 du Protocole n</w:t>
      </w:r>
      <w:r w:rsidR="007E7B24" w:rsidRPr="007E7B24">
        <w:rPr>
          <w:rFonts w:eastAsia="MS Mincho"/>
          <w:vertAlign w:val="superscript"/>
          <w:lang w:val="fr-FR" w:eastAsia="ja-JP"/>
        </w:rPr>
        <w:t>o</w:t>
      </w:r>
      <w:r>
        <w:rPr>
          <w:rFonts w:eastAsia="MS Mincho"/>
          <w:lang w:val="fr-FR" w:eastAsia="ja-JP"/>
        </w:rPr>
        <w:t xml:space="preserve"> 7</w:t>
      </w:r>
      <w:r>
        <w:rPr>
          <w:rFonts w:eastAsia="MS Mincho"/>
          <w:i/>
          <w:lang w:val="fr-FR" w:eastAsia="ja-JP"/>
        </w:rPr>
        <w:t xml:space="preserve"> </w:t>
      </w:r>
      <w:r>
        <w:rPr>
          <w:rFonts w:eastAsia="MS Mincho"/>
          <w:lang w:val="fr-FR" w:eastAsia="ja-JP"/>
        </w:rPr>
        <w:t>(arrêt n</w:t>
      </w:r>
      <w:r>
        <w:rPr>
          <w:rFonts w:eastAsia="MS Mincho"/>
          <w:vertAlign w:val="superscript"/>
          <w:lang w:val="fr-FR" w:eastAsia="ja-JP"/>
        </w:rPr>
        <w:t>o</w:t>
      </w:r>
      <w:r>
        <w:rPr>
          <w:rFonts w:eastAsia="MS Mincho"/>
          <w:lang w:val="fr-FR" w:eastAsia="ja-JP"/>
        </w:rPr>
        <w:t> 3616/2011). Il ressort du dossier que le requérant obtint le 11 janvier 2012 une copie certifiée conforme de l</w:t>
      </w:r>
      <w:r w:rsidR="003C2190">
        <w:rPr>
          <w:rFonts w:eastAsia="MS Mincho"/>
          <w:lang w:val="fr-FR" w:eastAsia="ja-JP"/>
        </w:rPr>
        <w:t>’</w:t>
      </w:r>
      <w:r>
        <w:rPr>
          <w:rFonts w:eastAsia="MS Mincho"/>
          <w:lang w:val="fr-FR" w:eastAsia="ja-JP"/>
        </w:rPr>
        <w:t>arrêt n</w:t>
      </w:r>
      <w:r>
        <w:rPr>
          <w:rFonts w:eastAsia="MS Mincho"/>
          <w:vertAlign w:val="superscript"/>
          <w:lang w:val="fr-FR" w:eastAsia="ja-JP"/>
        </w:rPr>
        <w:t>o</w:t>
      </w:r>
      <w:r>
        <w:rPr>
          <w:rFonts w:eastAsia="MS Mincho"/>
          <w:lang w:val="fr-FR" w:eastAsia="ja-JP"/>
        </w:rPr>
        <w:t> 3616/2011.</w:t>
      </w:r>
    </w:p>
    <w:p w:rsidR="009A0B2E" w:rsidRDefault="00FB14A2" w:rsidP="00FB14A2">
      <w:pPr>
        <w:pStyle w:val="ECHRHeading2"/>
        <w:rPr>
          <w:rFonts w:eastAsia="MS Mincho"/>
          <w:lang w:val="fr-FR"/>
        </w:rPr>
      </w:pPr>
      <w:r>
        <w:rPr>
          <w:rFonts w:eastAsia="MS Mincho"/>
          <w:lang w:val="fr-FR"/>
        </w:rPr>
        <w:t>C.</w:t>
      </w:r>
      <w:r w:rsidR="009A0B2E">
        <w:rPr>
          <w:rFonts w:eastAsia="MS Mincho"/>
          <w:lang w:val="fr-FR"/>
        </w:rPr>
        <w:t>  Requête n</w:t>
      </w:r>
      <w:r w:rsidR="009A0B2E">
        <w:rPr>
          <w:rFonts w:eastAsia="MS Mincho"/>
          <w:vertAlign w:val="superscript"/>
          <w:lang w:val="fr-FR"/>
        </w:rPr>
        <w:t>o</w:t>
      </w:r>
      <w:r w:rsidR="009A0B2E">
        <w:rPr>
          <w:rFonts w:eastAsia="MS Mincho"/>
          <w:lang w:val="fr-FR"/>
        </w:rPr>
        <w:t xml:space="preserve"> 9028/13</w:t>
      </w:r>
    </w:p>
    <w:p w:rsidR="009A0B2E" w:rsidRDefault="00FB14A2" w:rsidP="00FB14A2">
      <w:pPr>
        <w:pStyle w:val="ECHRHeading3"/>
        <w:rPr>
          <w:rFonts w:eastAsia="MS Mincho"/>
          <w:lang w:val="fr-FR" w:eastAsia="ja-JP"/>
        </w:rPr>
      </w:pPr>
      <w:r>
        <w:rPr>
          <w:rFonts w:eastAsia="MS Mincho"/>
          <w:lang w:val="fr-FR" w:eastAsia="ja-JP"/>
        </w:rPr>
        <w:t>1.</w:t>
      </w:r>
      <w:r w:rsidR="009A0B2E">
        <w:rPr>
          <w:rFonts w:eastAsia="MS Mincho"/>
          <w:lang w:val="fr-FR" w:eastAsia="ja-JP"/>
        </w:rPr>
        <w:t>  La procédure pénale</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27</w:t>
      </w:r>
      <w:r>
        <w:rPr>
          <w:rFonts w:eastAsia="MS Mincho"/>
          <w:lang w:val="fr-FR" w:eastAsia="ja-JP"/>
        </w:rPr>
        <w:fldChar w:fldCharType="end"/>
      </w:r>
      <w:r>
        <w:rPr>
          <w:rFonts w:eastAsia="MS Mincho"/>
          <w:lang w:val="fr-FR" w:eastAsia="ja-JP"/>
        </w:rPr>
        <w:t>.  À une date non précisée, des poursuites pénales furent engagées contre le requérant pour contrebande. En particulier, il fut accusé d</w:t>
      </w:r>
      <w:r w:rsidR="003C2190">
        <w:rPr>
          <w:rFonts w:eastAsia="MS Mincho"/>
          <w:lang w:val="fr-FR" w:eastAsia="ja-JP"/>
        </w:rPr>
        <w:t>’</w:t>
      </w:r>
      <w:r>
        <w:rPr>
          <w:rFonts w:eastAsia="MS Mincho"/>
          <w:lang w:val="fr-FR" w:eastAsia="ja-JP"/>
        </w:rPr>
        <w:t>avoir importé en Grèce, en novembre 1992, deux voitures de luxe (de marque « Ferrari » et « Mercedes » - modèle 600SL) sans s</w:t>
      </w:r>
      <w:r w:rsidR="003C2190">
        <w:rPr>
          <w:rFonts w:eastAsia="MS Mincho"/>
          <w:lang w:val="fr-FR" w:eastAsia="ja-JP"/>
        </w:rPr>
        <w:t>’</w:t>
      </w:r>
      <w:r>
        <w:rPr>
          <w:rFonts w:eastAsia="MS Mincho"/>
          <w:lang w:val="fr-FR" w:eastAsia="ja-JP"/>
        </w:rPr>
        <w:t>acquitter des taxes et droits de douane et de circuler sans avoir obtenu l</w:t>
      </w:r>
      <w:r w:rsidR="003C2190">
        <w:rPr>
          <w:rFonts w:eastAsia="MS Mincho"/>
          <w:lang w:val="fr-FR" w:eastAsia="ja-JP"/>
        </w:rPr>
        <w:t>’</w:t>
      </w:r>
      <w:r>
        <w:rPr>
          <w:rFonts w:eastAsia="MS Mincho"/>
          <w:lang w:val="fr-FR" w:eastAsia="ja-JP"/>
        </w:rPr>
        <w:t>autorisation des autorités douanières. Il fut aussi accusé que, afin de circuler avec ces voitures en Grèce, il avait eu recours à des subterfuges, comme le changement de plaques d</w:t>
      </w:r>
      <w:r w:rsidR="003C2190">
        <w:rPr>
          <w:rFonts w:eastAsia="MS Mincho"/>
          <w:lang w:val="fr-FR" w:eastAsia="ja-JP"/>
        </w:rPr>
        <w:t>’</w:t>
      </w:r>
      <w:r>
        <w:rPr>
          <w:rFonts w:eastAsia="MS Mincho"/>
          <w:lang w:val="fr-FR" w:eastAsia="ja-JP"/>
        </w:rPr>
        <w:t>immatriculation.</w:t>
      </w:r>
    </w:p>
    <w:p w:rsidR="009A0B2E" w:rsidRDefault="009A0B2E" w:rsidP="009A0B2E">
      <w:pPr>
        <w:pStyle w:val="ECHRPara"/>
        <w:rPr>
          <w:rFonts w:eastAsia="MS Mincho"/>
          <w:lang w:val="fr-FR" w:eastAsia="ja-JP"/>
        </w:rPr>
      </w:pPr>
      <w:r>
        <w:rPr>
          <w:rFonts w:eastAsia="MS Mincho"/>
          <w:lang w:val="fr-FR" w:eastAsia="ja-JP"/>
        </w:rPr>
        <w:lastRenderedPageBreak/>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28</w:t>
      </w:r>
      <w:r>
        <w:rPr>
          <w:rFonts w:eastAsia="MS Mincho"/>
          <w:lang w:val="fr-FR" w:eastAsia="ja-JP"/>
        </w:rPr>
        <w:fldChar w:fldCharType="end"/>
      </w:r>
      <w:r>
        <w:rPr>
          <w:rFonts w:eastAsia="MS Mincho"/>
          <w:lang w:val="fr-FR" w:eastAsia="ja-JP"/>
        </w:rPr>
        <w:t>.  Le 21 mai 1998, le requérant fut acquitté par le tribunal correctionnel d</w:t>
      </w:r>
      <w:r w:rsidR="003C2190">
        <w:rPr>
          <w:rFonts w:eastAsia="MS Mincho"/>
          <w:lang w:val="fr-FR" w:eastAsia="ja-JP"/>
        </w:rPr>
        <w:t>’</w:t>
      </w:r>
      <w:r>
        <w:rPr>
          <w:rFonts w:eastAsia="MS Mincho"/>
          <w:lang w:val="fr-FR" w:eastAsia="ja-JP"/>
        </w:rPr>
        <w:t>Athènes du chef d</w:t>
      </w:r>
      <w:r w:rsidR="003C2190">
        <w:rPr>
          <w:rFonts w:eastAsia="MS Mincho"/>
          <w:lang w:val="fr-FR" w:eastAsia="ja-JP"/>
        </w:rPr>
        <w:t>’</w:t>
      </w:r>
      <w:r>
        <w:rPr>
          <w:rFonts w:eastAsia="MS Mincho"/>
          <w:lang w:val="fr-FR" w:eastAsia="ja-JP"/>
        </w:rPr>
        <w:t>accusation de contrebande. En particulier, cette juridiction constata que le requérant était résident permanent en Italie et que par conséquent, il avait le droit de conduire en Grèce des voitures ayant des plaques d</w:t>
      </w:r>
      <w:r w:rsidR="003C2190">
        <w:rPr>
          <w:rFonts w:eastAsia="MS Mincho"/>
          <w:lang w:val="fr-FR" w:eastAsia="ja-JP"/>
        </w:rPr>
        <w:t>’</w:t>
      </w:r>
      <w:r>
        <w:rPr>
          <w:rFonts w:eastAsia="MS Mincho"/>
          <w:lang w:val="fr-FR" w:eastAsia="ja-JP"/>
        </w:rPr>
        <w:t>immatriculation étrangères. En outre, le tribunal correctionnel considéra qu</w:t>
      </w:r>
      <w:r w:rsidR="003C2190">
        <w:rPr>
          <w:rFonts w:eastAsia="MS Mincho"/>
          <w:lang w:val="fr-FR" w:eastAsia="ja-JP"/>
        </w:rPr>
        <w:t>’</w:t>
      </w:r>
      <w:r>
        <w:rPr>
          <w:rFonts w:eastAsia="MS Mincho"/>
          <w:lang w:val="fr-FR" w:eastAsia="ja-JP"/>
        </w:rPr>
        <w:t>il n</w:t>
      </w:r>
      <w:r w:rsidR="003C2190">
        <w:rPr>
          <w:rFonts w:eastAsia="MS Mincho"/>
          <w:lang w:val="fr-FR" w:eastAsia="ja-JP"/>
        </w:rPr>
        <w:t>’</w:t>
      </w:r>
      <w:r>
        <w:rPr>
          <w:rFonts w:eastAsia="MS Mincho"/>
          <w:lang w:val="fr-FR" w:eastAsia="ja-JP"/>
        </w:rPr>
        <w:t>avait pas été établi que le requérant avait eu recours à des subterfuges, comme le changement de plaques d</w:t>
      </w:r>
      <w:r w:rsidR="003C2190">
        <w:rPr>
          <w:rFonts w:eastAsia="MS Mincho"/>
          <w:lang w:val="fr-FR" w:eastAsia="ja-JP"/>
        </w:rPr>
        <w:t>’</w:t>
      </w:r>
      <w:r>
        <w:rPr>
          <w:rFonts w:eastAsia="MS Mincho"/>
          <w:lang w:val="fr-FR" w:eastAsia="ja-JP"/>
        </w:rPr>
        <w:t>immatriculation (jugement n</w:t>
      </w:r>
      <w:r>
        <w:rPr>
          <w:rFonts w:eastAsia="MS Mincho"/>
          <w:vertAlign w:val="superscript"/>
          <w:lang w:val="fr-FR" w:eastAsia="ja-JP"/>
        </w:rPr>
        <w:t>o</w:t>
      </w:r>
      <w:r>
        <w:rPr>
          <w:rFonts w:eastAsia="MS Mincho"/>
          <w:lang w:val="fr-FR" w:eastAsia="ja-JP"/>
        </w:rPr>
        <w:t xml:space="preserve"> 36398/1998). Ce jugement devint irrévocable.</w:t>
      </w:r>
    </w:p>
    <w:p w:rsidR="009A0B2E" w:rsidRDefault="00FB14A2" w:rsidP="00FB14A2">
      <w:pPr>
        <w:pStyle w:val="ECHRHeading3"/>
        <w:rPr>
          <w:rFonts w:eastAsia="MS Mincho"/>
          <w:lang w:val="fr-FR" w:eastAsia="ja-JP"/>
        </w:rPr>
      </w:pPr>
      <w:r>
        <w:rPr>
          <w:rFonts w:eastAsia="MS Mincho"/>
          <w:lang w:val="fr-FR" w:eastAsia="ja-JP"/>
        </w:rPr>
        <w:t>2.</w:t>
      </w:r>
      <w:r w:rsidR="009A0B2E">
        <w:rPr>
          <w:rFonts w:eastAsia="MS Mincho"/>
          <w:lang w:val="fr-FR" w:eastAsia="ja-JP"/>
        </w:rPr>
        <w:t>  La procédure administrative</w:t>
      </w:r>
    </w:p>
    <w:p w:rsidR="00AF131B"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29</w:t>
      </w:r>
      <w:r>
        <w:rPr>
          <w:rFonts w:eastAsia="MS Mincho"/>
          <w:lang w:val="fr-FR" w:eastAsia="ja-JP"/>
        </w:rPr>
        <w:fldChar w:fldCharType="end"/>
      </w:r>
      <w:r>
        <w:rPr>
          <w:rFonts w:eastAsia="MS Mincho"/>
          <w:lang w:val="fr-FR" w:eastAsia="ja-JP"/>
        </w:rPr>
        <w:t>.  En 2001, le service administratif compétent imposa au requérant des amendes administratives pour avoir importé et fait circuler en Grèce, en novembre 1992, sans s</w:t>
      </w:r>
      <w:r w:rsidR="003C2190">
        <w:rPr>
          <w:rFonts w:eastAsia="MS Mincho"/>
          <w:lang w:val="fr-FR" w:eastAsia="ja-JP"/>
        </w:rPr>
        <w:t>’</w:t>
      </w:r>
      <w:r>
        <w:rPr>
          <w:rFonts w:eastAsia="MS Mincho"/>
          <w:lang w:val="fr-FR" w:eastAsia="ja-JP"/>
        </w:rPr>
        <w:t>être acquitté des taxes et droits de douane, les deux voitures de luxe susmentionnées. Deux amendes lui furent infligées d</w:t>
      </w:r>
      <w:r w:rsidR="003C2190">
        <w:rPr>
          <w:rFonts w:eastAsia="MS Mincho"/>
          <w:lang w:val="fr-FR" w:eastAsia="ja-JP"/>
        </w:rPr>
        <w:t>’</w:t>
      </w:r>
      <w:r>
        <w:rPr>
          <w:rFonts w:eastAsia="MS Mincho"/>
          <w:lang w:val="fr-FR" w:eastAsia="ja-JP"/>
        </w:rPr>
        <w:t>un montant de 240 724 548 drachmes (706 455,019 euros environ) et 266 284,304 drachmes (781 465,308 euros environ) (acte n</w:t>
      </w:r>
      <w:r>
        <w:rPr>
          <w:rFonts w:eastAsia="MS Mincho"/>
          <w:vertAlign w:val="superscript"/>
          <w:lang w:val="fr-FR" w:eastAsia="ja-JP"/>
        </w:rPr>
        <w:t>o</w:t>
      </w:r>
      <w:r>
        <w:rPr>
          <w:rFonts w:eastAsia="MS Mincho"/>
          <w:lang w:val="fr-FR" w:eastAsia="ja-JP"/>
        </w:rPr>
        <w:t> 33/96/1.3.2001). Les amendes représentaient le double de la somme due au titre des taxes et droits de douane pour l</w:t>
      </w:r>
      <w:r w:rsidR="003C2190">
        <w:rPr>
          <w:rFonts w:eastAsia="MS Mincho"/>
          <w:lang w:val="fr-FR" w:eastAsia="ja-JP"/>
        </w:rPr>
        <w:t>’</w:t>
      </w:r>
      <w:r>
        <w:rPr>
          <w:rFonts w:eastAsia="MS Mincho"/>
          <w:lang w:val="fr-FR" w:eastAsia="ja-JP"/>
        </w:rPr>
        <w:t>importation des deux voitures.</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30</w:t>
      </w:r>
      <w:r>
        <w:rPr>
          <w:rFonts w:eastAsia="MS Mincho"/>
          <w:lang w:val="fr-FR" w:eastAsia="ja-JP"/>
        </w:rPr>
        <w:fldChar w:fldCharType="end"/>
      </w:r>
      <w:r>
        <w:rPr>
          <w:rFonts w:eastAsia="MS Mincho"/>
          <w:lang w:val="fr-FR" w:eastAsia="ja-JP"/>
        </w:rPr>
        <w:t>.  Le 4 avril 2001, le requérant saisit le tribunal administratif du Pirée d</w:t>
      </w:r>
      <w:r w:rsidR="003C2190">
        <w:rPr>
          <w:rFonts w:eastAsia="MS Mincho"/>
          <w:lang w:val="fr-FR" w:eastAsia="ja-JP"/>
        </w:rPr>
        <w:t>’</w:t>
      </w:r>
      <w:r>
        <w:rPr>
          <w:rFonts w:eastAsia="MS Mincho"/>
          <w:lang w:val="fr-FR" w:eastAsia="ja-JP"/>
        </w:rPr>
        <w:t>un recours contre l</w:t>
      </w:r>
      <w:r w:rsidR="003C2190">
        <w:rPr>
          <w:rFonts w:eastAsia="MS Mincho"/>
          <w:lang w:val="fr-FR" w:eastAsia="ja-JP"/>
        </w:rPr>
        <w:t>’</w:t>
      </w:r>
      <w:r>
        <w:rPr>
          <w:rFonts w:eastAsia="MS Mincho"/>
          <w:lang w:val="fr-FR" w:eastAsia="ja-JP"/>
        </w:rPr>
        <w:t>acte n</w:t>
      </w:r>
      <w:r>
        <w:rPr>
          <w:rFonts w:eastAsia="MS Mincho"/>
          <w:vertAlign w:val="superscript"/>
          <w:lang w:val="fr-FR" w:eastAsia="ja-JP"/>
        </w:rPr>
        <w:t>o</w:t>
      </w:r>
      <w:r>
        <w:rPr>
          <w:rFonts w:eastAsia="MS Mincho"/>
          <w:lang w:val="fr-FR" w:eastAsia="ja-JP"/>
        </w:rPr>
        <w:t xml:space="preserve"> 33/96/1.3.2001.</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31</w:t>
      </w:r>
      <w:r>
        <w:rPr>
          <w:rFonts w:eastAsia="MS Mincho"/>
          <w:lang w:val="fr-FR" w:eastAsia="ja-JP"/>
        </w:rPr>
        <w:fldChar w:fldCharType="end"/>
      </w:r>
      <w:r>
        <w:rPr>
          <w:rFonts w:eastAsia="MS Mincho"/>
          <w:lang w:val="fr-FR" w:eastAsia="ja-JP"/>
        </w:rPr>
        <w:t>.  Le 29 novembre 2002, le tribunal administratif du Pirée rejeta le recours. Il déclara que le jugement n</w:t>
      </w:r>
      <w:r>
        <w:rPr>
          <w:rFonts w:eastAsia="MS Mincho"/>
          <w:vertAlign w:val="superscript"/>
          <w:lang w:val="fr-FR" w:eastAsia="ja-JP"/>
        </w:rPr>
        <w:t>o</w:t>
      </w:r>
      <w:r>
        <w:rPr>
          <w:rFonts w:eastAsia="MS Mincho"/>
          <w:lang w:val="fr-FR" w:eastAsia="ja-JP"/>
        </w:rPr>
        <w:t xml:space="preserve"> 36398/1998 du tribunal correctionnel d</w:t>
      </w:r>
      <w:r w:rsidR="003C2190">
        <w:rPr>
          <w:rFonts w:eastAsia="MS Mincho"/>
          <w:lang w:val="fr-FR" w:eastAsia="ja-JP"/>
        </w:rPr>
        <w:t>’</w:t>
      </w:r>
      <w:r>
        <w:rPr>
          <w:rFonts w:eastAsia="MS Mincho"/>
          <w:lang w:val="fr-FR" w:eastAsia="ja-JP"/>
        </w:rPr>
        <w:t>Athènes ayant acquitté le requérant du délit de contrebande n</w:t>
      </w:r>
      <w:r w:rsidR="003C2190">
        <w:rPr>
          <w:rFonts w:eastAsia="MS Mincho"/>
          <w:lang w:val="fr-FR" w:eastAsia="ja-JP"/>
        </w:rPr>
        <w:t>’</w:t>
      </w:r>
      <w:r>
        <w:rPr>
          <w:rFonts w:eastAsia="MS Mincho"/>
          <w:lang w:val="fr-FR" w:eastAsia="ja-JP"/>
        </w:rPr>
        <w:t>était pas contraignant pour les juridictions administratives. Il releva aussi qu</w:t>
      </w:r>
      <w:r w:rsidR="003C2190">
        <w:rPr>
          <w:rFonts w:eastAsia="MS Mincho"/>
          <w:lang w:val="fr-FR" w:eastAsia="ja-JP"/>
        </w:rPr>
        <w:t>’</w:t>
      </w:r>
      <w:r>
        <w:rPr>
          <w:rFonts w:eastAsia="MS Mincho"/>
          <w:lang w:val="fr-FR" w:eastAsia="ja-JP"/>
        </w:rPr>
        <w:t>en l</w:t>
      </w:r>
      <w:r w:rsidR="003C2190">
        <w:rPr>
          <w:rFonts w:eastAsia="MS Mincho"/>
          <w:lang w:val="fr-FR" w:eastAsia="ja-JP"/>
        </w:rPr>
        <w:t>’</w:t>
      </w:r>
      <w:r>
        <w:rPr>
          <w:rFonts w:eastAsia="MS Mincho"/>
          <w:lang w:val="fr-FR" w:eastAsia="ja-JP"/>
        </w:rPr>
        <w:t>espèce les éléments matériel et intentionnel du délit de contrebande étaient réunis et, indépendamment de la question de savoir si le requérant était résident permanent en Grèce ou à l</w:t>
      </w:r>
      <w:r w:rsidR="003C2190">
        <w:rPr>
          <w:rFonts w:eastAsia="MS Mincho"/>
          <w:lang w:val="fr-FR" w:eastAsia="ja-JP"/>
        </w:rPr>
        <w:t>’</w:t>
      </w:r>
      <w:r>
        <w:rPr>
          <w:rFonts w:eastAsia="MS Mincho"/>
          <w:lang w:val="fr-FR" w:eastAsia="ja-JP"/>
        </w:rPr>
        <w:t>étranger, il ressortait du dossier qu</w:t>
      </w:r>
      <w:r w:rsidR="003C2190">
        <w:rPr>
          <w:rFonts w:eastAsia="MS Mincho"/>
          <w:lang w:val="fr-FR" w:eastAsia="ja-JP"/>
        </w:rPr>
        <w:t>’</w:t>
      </w:r>
      <w:r>
        <w:rPr>
          <w:rFonts w:eastAsia="MS Mincho"/>
          <w:lang w:val="fr-FR" w:eastAsia="ja-JP"/>
        </w:rPr>
        <w:t>il avait utilisé des subterfuges, entre autres le remplacement des plaques d</w:t>
      </w:r>
      <w:r w:rsidR="003C2190">
        <w:rPr>
          <w:rFonts w:eastAsia="MS Mincho"/>
          <w:lang w:val="fr-FR" w:eastAsia="ja-JP"/>
        </w:rPr>
        <w:t>’</w:t>
      </w:r>
      <w:r>
        <w:rPr>
          <w:rFonts w:eastAsia="MS Mincho"/>
          <w:lang w:val="fr-FR" w:eastAsia="ja-JP"/>
        </w:rPr>
        <w:t>immatriculation, pour se soustraire au paiement des droits de douane (décision n</w:t>
      </w:r>
      <w:r>
        <w:rPr>
          <w:rFonts w:eastAsia="MS Mincho"/>
          <w:vertAlign w:val="superscript"/>
          <w:lang w:val="fr-FR" w:eastAsia="ja-JP"/>
        </w:rPr>
        <w:t>o</w:t>
      </w:r>
      <w:r>
        <w:rPr>
          <w:rFonts w:eastAsia="MS Mincho"/>
          <w:lang w:val="fr-FR" w:eastAsia="ja-JP"/>
        </w:rPr>
        <w:t> 2814/2002).</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32</w:t>
      </w:r>
      <w:r>
        <w:rPr>
          <w:rFonts w:eastAsia="MS Mincho"/>
          <w:lang w:val="fr-FR" w:eastAsia="ja-JP"/>
        </w:rPr>
        <w:fldChar w:fldCharType="end"/>
      </w:r>
      <w:r>
        <w:rPr>
          <w:rFonts w:eastAsia="MS Mincho"/>
          <w:lang w:val="fr-FR" w:eastAsia="ja-JP"/>
        </w:rPr>
        <w:t>.  Le 13 juin 2003, le requérant interjeta appel. Il soutint entre autres que le tribunal administratif aurait dû appliquer les dispositions pertinentes du nouveau Code des douanes qui prévoyaient des peines plus douces pour la contrebande que les dispositions de l</w:t>
      </w:r>
      <w:r w:rsidR="003C2190">
        <w:rPr>
          <w:rFonts w:eastAsia="MS Mincho"/>
          <w:lang w:val="fr-FR" w:eastAsia="ja-JP"/>
        </w:rPr>
        <w:t>’</w:t>
      </w:r>
      <w:r>
        <w:rPr>
          <w:rFonts w:eastAsia="MS Mincho"/>
          <w:lang w:val="fr-FR" w:eastAsia="ja-JP"/>
        </w:rPr>
        <w:t>ancien Code applicable à l</w:t>
      </w:r>
      <w:r w:rsidR="003C2190">
        <w:rPr>
          <w:rFonts w:eastAsia="MS Mincho"/>
          <w:lang w:val="fr-FR" w:eastAsia="ja-JP"/>
        </w:rPr>
        <w:t>’</w:t>
      </w:r>
      <w:r>
        <w:rPr>
          <w:rFonts w:eastAsia="MS Mincho"/>
          <w:lang w:val="fr-FR" w:eastAsia="ja-JP"/>
        </w:rPr>
        <w:t>époque des faits litigieux. Il reprochait également au tribunal administratif de n</w:t>
      </w:r>
      <w:r w:rsidR="003C2190">
        <w:rPr>
          <w:rFonts w:eastAsia="MS Mincho"/>
          <w:lang w:val="fr-FR" w:eastAsia="ja-JP"/>
        </w:rPr>
        <w:t>’</w:t>
      </w:r>
      <w:r>
        <w:rPr>
          <w:rFonts w:eastAsia="MS Mincho"/>
          <w:lang w:val="fr-FR" w:eastAsia="ja-JP"/>
        </w:rPr>
        <w:t>avoir pas pris en compte le jugement d</w:t>
      </w:r>
      <w:r w:rsidR="003C2190">
        <w:rPr>
          <w:rFonts w:eastAsia="MS Mincho"/>
          <w:lang w:val="fr-FR" w:eastAsia="ja-JP"/>
        </w:rPr>
        <w:t>’</w:t>
      </w:r>
      <w:r>
        <w:rPr>
          <w:rFonts w:eastAsia="MS Mincho"/>
          <w:lang w:val="fr-FR" w:eastAsia="ja-JP"/>
        </w:rPr>
        <w:t>acquittement n</w:t>
      </w:r>
      <w:r>
        <w:rPr>
          <w:rFonts w:eastAsia="MS Mincho"/>
          <w:vertAlign w:val="superscript"/>
          <w:lang w:val="fr-FR" w:eastAsia="ja-JP"/>
        </w:rPr>
        <w:t>o</w:t>
      </w:r>
      <w:r>
        <w:rPr>
          <w:rFonts w:eastAsia="MS Mincho"/>
          <w:lang w:val="fr-FR" w:eastAsia="ja-JP"/>
        </w:rPr>
        <w:t> 36398/1998 et de n</w:t>
      </w:r>
      <w:r w:rsidR="003C2190">
        <w:rPr>
          <w:rFonts w:eastAsia="MS Mincho"/>
          <w:lang w:val="fr-FR" w:eastAsia="ja-JP"/>
        </w:rPr>
        <w:t>’</w:t>
      </w:r>
      <w:r>
        <w:rPr>
          <w:rFonts w:eastAsia="MS Mincho"/>
          <w:lang w:val="fr-FR" w:eastAsia="ja-JP"/>
        </w:rPr>
        <w:t>avoir pas respecté le principe de proportionnalité dans l</w:t>
      </w:r>
      <w:r w:rsidR="003C2190">
        <w:rPr>
          <w:rFonts w:eastAsia="MS Mincho"/>
          <w:lang w:val="fr-FR" w:eastAsia="ja-JP"/>
        </w:rPr>
        <w:t>’</w:t>
      </w:r>
      <w:r>
        <w:rPr>
          <w:rFonts w:eastAsia="MS Mincho"/>
          <w:lang w:val="fr-FR" w:eastAsia="ja-JP"/>
        </w:rPr>
        <w:t>appréciation des amendes administratives en cause.</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33</w:t>
      </w:r>
      <w:r>
        <w:rPr>
          <w:rFonts w:eastAsia="MS Mincho"/>
          <w:lang w:val="fr-FR" w:eastAsia="ja-JP"/>
        </w:rPr>
        <w:fldChar w:fldCharType="end"/>
      </w:r>
      <w:r>
        <w:rPr>
          <w:rFonts w:eastAsia="MS Mincho"/>
          <w:lang w:val="fr-FR" w:eastAsia="ja-JP"/>
        </w:rPr>
        <w:t>.  Le 15 septembre 2008, la cour administrative d</w:t>
      </w:r>
      <w:r w:rsidR="003C2190">
        <w:rPr>
          <w:rFonts w:eastAsia="MS Mincho"/>
          <w:lang w:val="fr-FR" w:eastAsia="ja-JP"/>
        </w:rPr>
        <w:t>’</w:t>
      </w:r>
      <w:r>
        <w:rPr>
          <w:rFonts w:eastAsia="MS Mincho"/>
          <w:lang w:val="fr-FR" w:eastAsia="ja-JP"/>
        </w:rPr>
        <w:t>appel du Pirée rejeta le recours et confirma le raisonnement du tribunal administratif. En ce qui concerne notamment le grief tiré de la proportionnalité des sommes imposées, la cour administrative d</w:t>
      </w:r>
      <w:r w:rsidR="003C2190">
        <w:rPr>
          <w:rFonts w:eastAsia="MS Mincho"/>
          <w:lang w:val="fr-FR" w:eastAsia="ja-JP"/>
        </w:rPr>
        <w:t>’</w:t>
      </w:r>
      <w:r>
        <w:rPr>
          <w:rFonts w:eastAsia="MS Mincho"/>
          <w:lang w:val="fr-FR" w:eastAsia="ja-JP"/>
        </w:rPr>
        <w:t>appel nota qu</w:t>
      </w:r>
      <w:r w:rsidR="003C2190">
        <w:rPr>
          <w:rFonts w:eastAsia="MS Mincho"/>
          <w:lang w:val="fr-FR" w:eastAsia="ja-JP"/>
        </w:rPr>
        <w:t>’</w:t>
      </w:r>
      <w:r>
        <w:rPr>
          <w:rFonts w:eastAsia="MS Mincho"/>
          <w:lang w:val="fr-FR" w:eastAsia="ja-JP"/>
        </w:rPr>
        <w:t>elles s</w:t>
      </w:r>
      <w:r w:rsidR="003C2190">
        <w:rPr>
          <w:rFonts w:eastAsia="MS Mincho"/>
          <w:lang w:val="fr-FR" w:eastAsia="ja-JP"/>
        </w:rPr>
        <w:t>’</w:t>
      </w:r>
      <w:r>
        <w:rPr>
          <w:rFonts w:eastAsia="MS Mincho"/>
          <w:lang w:val="fr-FR" w:eastAsia="ja-JP"/>
        </w:rPr>
        <w:t xml:space="preserve">élevaient au double des montants dont le requérant était redevable à titre de droits de douane et </w:t>
      </w:r>
      <w:r>
        <w:rPr>
          <w:rFonts w:eastAsia="MS Mincho"/>
          <w:lang w:val="fr-FR" w:eastAsia="ja-JP"/>
        </w:rPr>
        <w:lastRenderedPageBreak/>
        <w:t>d</w:t>
      </w:r>
      <w:r w:rsidR="003C2190">
        <w:rPr>
          <w:rFonts w:eastAsia="MS Mincho"/>
          <w:lang w:val="fr-FR" w:eastAsia="ja-JP"/>
        </w:rPr>
        <w:t>’</w:t>
      </w:r>
      <w:r>
        <w:rPr>
          <w:rFonts w:eastAsia="MS Mincho"/>
          <w:lang w:val="fr-FR" w:eastAsia="ja-JP"/>
        </w:rPr>
        <w:t>impôts et que le principe de proportionnalité ne trouvait pas application dans ce cas de figure (arrêt n</w:t>
      </w:r>
      <w:r>
        <w:rPr>
          <w:rFonts w:eastAsia="MS Mincho"/>
          <w:vertAlign w:val="superscript"/>
          <w:lang w:val="fr-FR" w:eastAsia="ja-JP"/>
        </w:rPr>
        <w:t>o</w:t>
      </w:r>
      <w:r>
        <w:rPr>
          <w:rFonts w:eastAsia="MS Mincho"/>
          <w:lang w:val="fr-FR" w:eastAsia="ja-JP"/>
        </w:rPr>
        <w:t xml:space="preserve"> 1461/2008).</w:t>
      </w:r>
    </w:p>
    <w:p w:rsidR="009A0B2E" w:rsidRDefault="009A0B2E" w:rsidP="009A0B2E">
      <w:pPr>
        <w:pStyle w:val="ECHRPara"/>
        <w:rPr>
          <w:rFonts w:eastAsia="MS Mincho"/>
          <w:lang w:val="fr-FR" w:eastAsia="ja-JP"/>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34</w:t>
      </w:r>
      <w:r>
        <w:rPr>
          <w:rFonts w:eastAsia="MS Mincho"/>
          <w:lang w:val="fr-FR" w:eastAsia="ja-JP"/>
        </w:rPr>
        <w:fldChar w:fldCharType="end"/>
      </w:r>
      <w:r>
        <w:rPr>
          <w:rFonts w:eastAsia="MS Mincho"/>
          <w:lang w:val="fr-FR" w:eastAsia="ja-JP"/>
        </w:rPr>
        <w:t>.  Le 20 novembre 2009, le requérant se pourvut en cassation contre l</w:t>
      </w:r>
      <w:r w:rsidR="003C2190">
        <w:rPr>
          <w:rFonts w:eastAsia="MS Mincho"/>
          <w:lang w:val="fr-FR" w:eastAsia="ja-JP"/>
        </w:rPr>
        <w:t>’</w:t>
      </w:r>
      <w:r>
        <w:rPr>
          <w:rFonts w:eastAsia="MS Mincho"/>
          <w:lang w:val="fr-FR" w:eastAsia="ja-JP"/>
        </w:rPr>
        <w:t>arrêt n</w:t>
      </w:r>
      <w:r>
        <w:rPr>
          <w:rFonts w:eastAsia="MS Mincho"/>
          <w:vertAlign w:val="superscript"/>
          <w:lang w:val="fr-FR" w:eastAsia="ja-JP"/>
        </w:rPr>
        <w:t>o</w:t>
      </w:r>
      <w:r>
        <w:rPr>
          <w:rFonts w:eastAsia="MS Mincho"/>
          <w:lang w:val="fr-FR" w:eastAsia="ja-JP"/>
        </w:rPr>
        <w:t> 1461/2008. Il soutenait entre autres que l</w:t>
      </w:r>
      <w:r w:rsidR="003C2190">
        <w:rPr>
          <w:rFonts w:eastAsia="MS Mincho"/>
          <w:lang w:val="fr-FR" w:eastAsia="ja-JP"/>
        </w:rPr>
        <w:t>’</w:t>
      </w:r>
      <w:r>
        <w:rPr>
          <w:rFonts w:eastAsia="MS Mincho"/>
          <w:lang w:val="fr-FR" w:eastAsia="ja-JP"/>
        </w:rPr>
        <w:t>arrêt de la cour administrative d</w:t>
      </w:r>
      <w:r w:rsidR="003C2190">
        <w:rPr>
          <w:rFonts w:eastAsia="MS Mincho"/>
          <w:lang w:val="fr-FR" w:eastAsia="ja-JP"/>
        </w:rPr>
        <w:t>’</w:t>
      </w:r>
      <w:r>
        <w:rPr>
          <w:rFonts w:eastAsia="MS Mincho"/>
          <w:lang w:val="fr-FR" w:eastAsia="ja-JP"/>
        </w:rPr>
        <w:t>appel avait enfreint les principes de la présomption d</w:t>
      </w:r>
      <w:r w:rsidR="003C2190">
        <w:rPr>
          <w:rFonts w:eastAsia="MS Mincho"/>
          <w:lang w:val="fr-FR" w:eastAsia="ja-JP"/>
        </w:rPr>
        <w:t>’</w:t>
      </w:r>
      <w:r>
        <w:rPr>
          <w:rFonts w:eastAsia="MS Mincho"/>
          <w:lang w:val="fr-FR" w:eastAsia="ja-JP"/>
        </w:rPr>
        <w:t xml:space="preserve">innocence, du </w:t>
      </w:r>
      <w:r>
        <w:rPr>
          <w:rFonts w:eastAsia="MS Mincho"/>
          <w:i/>
          <w:lang w:val="fr-FR" w:eastAsia="ja-JP"/>
        </w:rPr>
        <w:t>ne bis in idem</w:t>
      </w:r>
      <w:r>
        <w:rPr>
          <w:rFonts w:eastAsia="MS Mincho"/>
          <w:lang w:val="fr-FR" w:eastAsia="ja-JP"/>
        </w:rPr>
        <w:t xml:space="preserve"> ainsi que de la rétroactivité de la peine plus douce.</w:t>
      </w:r>
    </w:p>
    <w:p w:rsidR="009A0B2E" w:rsidRDefault="00DF2BDC" w:rsidP="009A0B2E">
      <w:pPr>
        <w:pStyle w:val="ECHRPara"/>
        <w:rPr>
          <w:rFonts w:eastAsia="MS Mincho"/>
          <w:szCs w:val="24"/>
          <w:lang w:val="fr-FR"/>
        </w:rPr>
      </w:pPr>
      <w:r w:rsidRPr="00DF2BDC">
        <w:rPr>
          <w:rFonts w:eastAsia="MS Mincho"/>
          <w:lang w:val="fr-FR" w:eastAsia="ja-JP"/>
        </w:rPr>
        <w:fldChar w:fldCharType="begin"/>
      </w:r>
      <w:r w:rsidRPr="00DF2BDC">
        <w:rPr>
          <w:rFonts w:eastAsia="MS Mincho"/>
          <w:lang w:val="fr-FR" w:eastAsia="ja-JP"/>
        </w:rPr>
        <w:instrText xml:space="preserve"> SEQ level0 \*arabic </w:instrText>
      </w:r>
      <w:r w:rsidRPr="00DF2BDC">
        <w:rPr>
          <w:rFonts w:eastAsia="MS Mincho"/>
          <w:lang w:val="fr-FR" w:eastAsia="ja-JP"/>
        </w:rPr>
        <w:fldChar w:fldCharType="separate"/>
      </w:r>
      <w:r w:rsidR="00BD469E">
        <w:rPr>
          <w:rFonts w:eastAsia="MS Mincho"/>
          <w:noProof/>
          <w:lang w:val="fr-FR" w:eastAsia="ja-JP"/>
        </w:rPr>
        <w:t>35</w:t>
      </w:r>
      <w:r w:rsidRPr="00DF2BDC">
        <w:rPr>
          <w:rFonts w:eastAsia="MS Mincho"/>
          <w:lang w:val="fr-FR" w:eastAsia="ja-JP"/>
        </w:rPr>
        <w:fldChar w:fldCharType="end"/>
      </w:r>
      <w:r w:rsidRPr="00DF2BDC">
        <w:rPr>
          <w:rFonts w:eastAsia="MS Mincho"/>
          <w:lang w:val="fr-FR" w:eastAsia="ja-JP"/>
        </w:rPr>
        <w:t>.  Le 19 février 2012, le Conseil d</w:t>
      </w:r>
      <w:r w:rsidR="003C2190">
        <w:rPr>
          <w:rFonts w:eastAsia="MS Mincho"/>
          <w:lang w:val="fr-FR" w:eastAsia="ja-JP"/>
        </w:rPr>
        <w:t>’</w:t>
      </w:r>
      <w:r w:rsidRPr="00DF2BDC">
        <w:rPr>
          <w:rFonts w:eastAsia="MS Mincho"/>
          <w:lang w:val="fr-FR" w:eastAsia="ja-JP"/>
        </w:rPr>
        <w:t>État rejeta le pourvoi. Faisant référence à l</w:t>
      </w:r>
      <w:r w:rsidR="003C2190">
        <w:rPr>
          <w:rFonts w:eastAsia="MS Mincho"/>
          <w:lang w:val="fr-FR" w:eastAsia="ja-JP"/>
        </w:rPr>
        <w:t>’</w:t>
      </w:r>
      <w:r w:rsidRPr="00DF2BDC">
        <w:rPr>
          <w:rFonts w:eastAsia="MS Mincho"/>
          <w:lang w:val="fr-FR" w:eastAsia="ja-JP"/>
        </w:rPr>
        <w:t xml:space="preserve">article 137 </w:t>
      </w:r>
      <w:r w:rsidRPr="00DF2BDC">
        <w:rPr>
          <w:rFonts w:eastAsia="MS Mincho"/>
          <w:lang w:val="el-GR" w:eastAsia="ja-JP"/>
        </w:rPr>
        <w:t>Γ</w:t>
      </w:r>
      <w:r w:rsidRPr="00DF2BDC">
        <w:rPr>
          <w:rFonts w:eastAsia="MS Mincho"/>
          <w:lang w:val="fr-FR" w:eastAsia="ja-JP"/>
        </w:rPr>
        <w:t>. § 7 (loi n</w:t>
      </w:r>
      <w:r w:rsidR="00AF131B" w:rsidRPr="00AF131B">
        <w:rPr>
          <w:rFonts w:eastAsia="MS Mincho"/>
          <w:vertAlign w:val="superscript"/>
          <w:lang w:val="fr-FR" w:eastAsia="ja-JP"/>
        </w:rPr>
        <w:t>o</w:t>
      </w:r>
      <w:r w:rsidRPr="00DF2BDC">
        <w:rPr>
          <w:rFonts w:eastAsia="MS Mincho"/>
          <w:lang w:val="fr-FR" w:eastAsia="ja-JP"/>
        </w:rPr>
        <w:t> 2960/2001) du nouveau Code des douanes, il releva qu</w:t>
      </w:r>
      <w:r w:rsidR="003C2190">
        <w:rPr>
          <w:rFonts w:eastAsia="MS Mincho"/>
          <w:lang w:val="fr-FR" w:eastAsia="ja-JP"/>
        </w:rPr>
        <w:t>’</w:t>
      </w:r>
      <w:r w:rsidRPr="00DF2BDC">
        <w:rPr>
          <w:rFonts w:eastAsia="MS Mincho"/>
          <w:lang w:val="fr-FR" w:eastAsia="ja-JP"/>
        </w:rPr>
        <w:t>il n</w:t>
      </w:r>
      <w:r w:rsidR="003C2190">
        <w:rPr>
          <w:rFonts w:eastAsia="MS Mincho"/>
          <w:lang w:val="fr-FR" w:eastAsia="ja-JP"/>
        </w:rPr>
        <w:t>’</w:t>
      </w:r>
      <w:r w:rsidRPr="00DF2BDC">
        <w:rPr>
          <w:rFonts w:eastAsia="MS Mincho"/>
          <w:lang w:val="fr-FR" w:eastAsia="ja-JP"/>
        </w:rPr>
        <w:t>y avait aucune raison de l</w:t>
      </w:r>
      <w:r w:rsidR="003C2190">
        <w:rPr>
          <w:rFonts w:eastAsia="MS Mincho"/>
          <w:lang w:val="fr-FR" w:eastAsia="ja-JP"/>
        </w:rPr>
        <w:t>’</w:t>
      </w:r>
      <w:r w:rsidRPr="00DF2BDC">
        <w:rPr>
          <w:rFonts w:eastAsia="MS Mincho"/>
          <w:lang w:val="fr-FR" w:eastAsia="ja-JP"/>
        </w:rPr>
        <w:t>appliquer en l</w:t>
      </w:r>
      <w:r w:rsidR="003C2190">
        <w:rPr>
          <w:rFonts w:eastAsia="MS Mincho"/>
          <w:lang w:val="fr-FR" w:eastAsia="ja-JP"/>
        </w:rPr>
        <w:t>’</w:t>
      </w:r>
      <w:r w:rsidRPr="00DF2BDC">
        <w:rPr>
          <w:rFonts w:eastAsia="MS Mincho"/>
          <w:lang w:val="fr-FR" w:eastAsia="ja-JP"/>
        </w:rPr>
        <w:t>espèce du moment que celui-ci prévoyait le même régime juridique et la même sanction que l</w:t>
      </w:r>
      <w:r w:rsidR="003C2190">
        <w:rPr>
          <w:rFonts w:eastAsia="MS Mincho"/>
          <w:lang w:val="fr-FR" w:eastAsia="ja-JP"/>
        </w:rPr>
        <w:t>’</w:t>
      </w:r>
      <w:r w:rsidRPr="00DF2BDC">
        <w:rPr>
          <w:rFonts w:eastAsia="MS Mincho"/>
          <w:lang w:val="fr-FR" w:eastAsia="ja-JP"/>
        </w:rPr>
        <w:t>ancien Code des douanes quant à l</w:t>
      </w:r>
      <w:r w:rsidR="003C2190">
        <w:rPr>
          <w:rFonts w:eastAsia="MS Mincho"/>
          <w:lang w:val="fr-FR" w:eastAsia="ja-JP"/>
        </w:rPr>
        <w:t>’</w:t>
      </w:r>
      <w:r w:rsidRPr="00DF2BDC">
        <w:rPr>
          <w:rFonts w:eastAsia="MS Mincho"/>
          <w:lang w:val="fr-FR" w:eastAsia="ja-JP"/>
        </w:rPr>
        <w:t>importation de véhicules sans paiement de droits de douane et l</w:t>
      </w:r>
      <w:r w:rsidR="003C2190">
        <w:rPr>
          <w:rFonts w:eastAsia="MS Mincho"/>
          <w:lang w:val="fr-FR" w:eastAsia="ja-JP"/>
        </w:rPr>
        <w:t>’</w:t>
      </w:r>
      <w:r w:rsidRPr="00DF2BDC">
        <w:rPr>
          <w:rFonts w:eastAsia="MS Mincho"/>
          <w:lang w:val="fr-FR" w:eastAsia="ja-JP"/>
        </w:rPr>
        <w:t>emploi de subterfuges. Le Conseil d</w:t>
      </w:r>
      <w:r w:rsidR="003C2190">
        <w:rPr>
          <w:rFonts w:eastAsia="MS Mincho"/>
          <w:lang w:val="fr-FR" w:eastAsia="ja-JP"/>
        </w:rPr>
        <w:t>’</w:t>
      </w:r>
      <w:r w:rsidRPr="00DF2BDC">
        <w:rPr>
          <w:rFonts w:eastAsia="MS Mincho"/>
          <w:lang w:val="fr-FR" w:eastAsia="ja-JP"/>
        </w:rPr>
        <w:t>État conclut que l</w:t>
      </w:r>
      <w:r w:rsidR="003C2190">
        <w:rPr>
          <w:rFonts w:eastAsia="MS Mincho"/>
          <w:lang w:val="fr-FR" w:eastAsia="ja-JP"/>
        </w:rPr>
        <w:t>’</w:t>
      </w:r>
      <w:r w:rsidRPr="00DF2BDC">
        <w:rPr>
          <w:rFonts w:eastAsia="MS Mincho"/>
          <w:lang w:val="fr-FR" w:eastAsia="ja-JP"/>
        </w:rPr>
        <w:t xml:space="preserve">acte en cause ne pouvait pas, comme le soutenait le requérant, être qualifié de contravention douanière simple sous le nouveau Code. </w:t>
      </w:r>
      <w:r w:rsidR="009A0B2E" w:rsidRPr="00DF2BDC">
        <w:rPr>
          <w:rFonts w:eastAsia="MS Mincho"/>
          <w:lang w:val="fr-FR" w:eastAsia="ja-JP"/>
        </w:rPr>
        <w:t xml:space="preserve">En outre, la haute juridiction administrative admit que la procédure </w:t>
      </w:r>
      <w:r w:rsidR="009A0B2E" w:rsidRPr="002C5351">
        <w:rPr>
          <w:rFonts w:eastAsia="MS Mincho"/>
          <w:lang w:val="fr-FR" w:eastAsia="ja-JP"/>
        </w:rPr>
        <w:t>administrative concernant l</w:t>
      </w:r>
      <w:r w:rsidR="003C2190">
        <w:rPr>
          <w:rFonts w:eastAsia="MS Mincho"/>
          <w:lang w:val="fr-FR" w:eastAsia="ja-JP"/>
        </w:rPr>
        <w:t>’</w:t>
      </w:r>
      <w:r w:rsidR="009A0B2E" w:rsidRPr="002C5351">
        <w:rPr>
          <w:rFonts w:eastAsia="MS Mincho"/>
          <w:lang w:val="fr-FR" w:eastAsia="ja-JP"/>
        </w:rPr>
        <w:t>imposition des amendes administratives pour contrebande était autonome par rapport à la procédure pénale y relative. Selon le Conseil</w:t>
      </w:r>
      <w:r w:rsidR="009A0B2E">
        <w:rPr>
          <w:rFonts w:eastAsia="MS Mincho"/>
          <w:lang w:val="fr-FR" w:eastAsia="ja-JP"/>
        </w:rPr>
        <w:t xml:space="preserve"> d</w:t>
      </w:r>
      <w:r w:rsidR="003C2190">
        <w:rPr>
          <w:rFonts w:eastAsia="MS Mincho"/>
          <w:lang w:val="fr-FR" w:eastAsia="ja-JP"/>
        </w:rPr>
        <w:t>’</w:t>
      </w:r>
      <w:r w:rsidR="009A0B2E">
        <w:rPr>
          <w:rFonts w:eastAsia="MS Mincho"/>
          <w:lang w:val="fr-FR" w:eastAsia="ja-JP"/>
        </w:rPr>
        <w:t>Etat, en raison de l</w:t>
      </w:r>
      <w:r w:rsidR="003C2190">
        <w:rPr>
          <w:rFonts w:eastAsia="MS Mincho"/>
          <w:lang w:val="fr-FR" w:eastAsia="ja-JP"/>
        </w:rPr>
        <w:t>’</w:t>
      </w:r>
      <w:r w:rsidR="009A0B2E">
        <w:rPr>
          <w:rFonts w:eastAsia="MS Mincho"/>
          <w:lang w:val="fr-FR" w:eastAsia="ja-JP"/>
        </w:rPr>
        <w:t>autonomie des deux procédures, les juridictions administratives n</w:t>
      </w:r>
      <w:r w:rsidR="003C2190">
        <w:rPr>
          <w:rFonts w:eastAsia="MS Mincho"/>
          <w:lang w:val="fr-FR" w:eastAsia="ja-JP"/>
        </w:rPr>
        <w:t>’</w:t>
      </w:r>
      <w:r w:rsidR="009A0B2E">
        <w:rPr>
          <w:rFonts w:eastAsia="MS Mincho"/>
          <w:lang w:val="fr-FR" w:eastAsia="ja-JP"/>
        </w:rPr>
        <w:t>étaient pas liées par les conclusions des juridictions pénales en cas d</w:t>
      </w:r>
      <w:r w:rsidR="003C2190">
        <w:rPr>
          <w:rFonts w:eastAsia="MS Mincho"/>
          <w:lang w:val="fr-FR" w:eastAsia="ja-JP"/>
        </w:rPr>
        <w:t>’</w:t>
      </w:r>
      <w:r w:rsidR="009A0B2E">
        <w:rPr>
          <w:rFonts w:eastAsia="MS Mincho"/>
          <w:lang w:val="fr-FR" w:eastAsia="ja-JP"/>
        </w:rPr>
        <w:t>acquittement de l</w:t>
      </w:r>
      <w:r w:rsidR="003C2190">
        <w:rPr>
          <w:rFonts w:eastAsia="MS Mincho"/>
          <w:lang w:val="fr-FR" w:eastAsia="ja-JP"/>
        </w:rPr>
        <w:t>’</w:t>
      </w:r>
      <w:r w:rsidR="009A0B2E">
        <w:rPr>
          <w:rFonts w:eastAsia="MS Mincho"/>
          <w:lang w:val="fr-FR" w:eastAsia="ja-JP"/>
        </w:rPr>
        <w:t>intéressé. Le Conseil d</w:t>
      </w:r>
      <w:r w:rsidR="003C2190">
        <w:rPr>
          <w:rFonts w:eastAsia="MS Mincho"/>
          <w:lang w:val="fr-FR" w:eastAsia="ja-JP"/>
        </w:rPr>
        <w:t>’</w:t>
      </w:r>
      <w:r w:rsidR="002C5351">
        <w:rPr>
          <w:rFonts w:eastAsia="MS Mincho"/>
          <w:lang w:val="fr-FR" w:eastAsia="ja-JP"/>
        </w:rPr>
        <w:t>État</w:t>
      </w:r>
      <w:r w:rsidR="009A0B2E">
        <w:rPr>
          <w:rFonts w:eastAsia="MS Mincho"/>
          <w:lang w:val="fr-FR" w:eastAsia="ja-JP"/>
        </w:rPr>
        <w:t xml:space="preserve"> fit référence à la jurisprudence de la Cour sur la présomption d</w:t>
      </w:r>
      <w:r w:rsidR="003C2190">
        <w:rPr>
          <w:rFonts w:eastAsia="MS Mincho"/>
          <w:lang w:val="fr-FR" w:eastAsia="ja-JP"/>
        </w:rPr>
        <w:t>’</w:t>
      </w:r>
      <w:r w:rsidR="009A0B2E">
        <w:rPr>
          <w:rFonts w:eastAsia="MS Mincho"/>
          <w:lang w:val="fr-FR" w:eastAsia="ja-JP"/>
        </w:rPr>
        <w:t>innocence et, notamment, à l</w:t>
      </w:r>
      <w:r w:rsidR="003C2190">
        <w:rPr>
          <w:rFonts w:eastAsia="MS Mincho"/>
          <w:lang w:val="fr-FR" w:eastAsia="ja-JP"/>
        </w:rPr>
        <w:t>’</w:t>
      </w:r>
      <w:r w:rsidR="009A0B2E">
        <w:rPr>
          <w:rFonts w:eastAsia="MS Mincho"/>
          <w:lang w:val="fr-FR" w:eastAsia="ja-JP"/>
        </w:rPr>
        <w:t xml:space="preserve">arrêt </w:t>
      </w:r>
      <w:r w:rsidR="009A0B2E">
        <w:rPr>
          <w:rFonts w:eastAsia="MS Mincho"/>
          <w:i/>
          <w:szCs w:val="24"/>
          <w:lang w:val="fr-FR"/>
        </w:rPr>
        <w:t>Vassilios Stavropoulos c. Grèce</w:t>
      </w:r>
      <w:r w:rsidR="009A0B2E">
        <w:rPr>
          <w:rFonts w:eastAsia="MS Mincho"/>
          <w:szCs w:val="24"/>
          <w:lang w:val="fr-FR"/>
        </w:rPr>
        <w:t xml:space="preserve"> (n</w:t>
      </w:r>
      <w:r w:rsidR="009A0B2E">
        <w:rPr>
          <w:rFonts w:eastAsia="MS Mincho"/>
          <w:szCs w:val="24"/>
          <w:vertAlign w:val="superscript"/>
          <w:lang w:val="fr-FR"/>
        </w:rPr>
        <w:t>o</w:t>
      </w:r>
      <w:r w:rsidR="009A0B2E">
        <w:rPr>
          <w:rFonts w:eastAsia="MS Mincho"/>
          <w:szCs w:val="24"/>
          <w:lang w:val="fr-FR"/>
        </w:rPr>
        <w:t> 35522/04, 27 septembre 2007). Il considéra que cette jurisprudence ne pouvait pas trouver application dans le cas où le délit imputé à l</w:t>
      </w:r>
      <w:r w:rsidR="003C2190">
        <w:rPr>
          <w:rFonts w:eastAsia="MS Mincho"/>
          <w:szCs w:val="24"/>
          <w:lang w:val="fr-FR"/>
        </w:rPr>
        <w:t>’</w:t>
      </w:r>
      <w:r w:rsidR="009A0B2E">
        <w:rPr>
          <w:rFonts w:eastAsia="MS Mincho"/>
          <w:szCs w:val="24"/>
          <w:lang w:val="fr-FR"/>
        </w:rPr>
        <w:t>intéressé constituait en même temps une infraction tant pénale qu</w:t>
      </w:r>
      <w:r w:rsidR="003C2190">
        <w:rPr>
          <w:rFonts w:eastAsia="MS Mincho"/>
          <w:szCs w:val="24"/>
          <w:lang w:val="fr-FR"/>
        </w:rPr>
        <w:t>’</w:t>
      </w:r>
      <w:r w:rsidR="009A0B2E">
        <w:rPr>
          <w:rFonts w:eastAsia="MS Mincho"/>
          <w:szCs w:val="24"/>
          <w:lang w:val="fr-FR"/>
        </w:rPr>
        <w:t xml:space="preserve">administrative. Selon la haute juridiction administrative, cette situation poserait plutôt une question par rapport au principe </w:t>
      </w:r>
      <w:r w:rsidR="009A0B2E">
        <w:rPr>
          <w:rFonts w:eastAsia="MS Mincho"/>
          <w:i/>
          <w:szCs w:val="24"/>
          <w:lang w:val="fr-FR"/>
        </w:rPr>
        <w:t xml:space="preserve">ne bis in idem. </w:t>
      </w:r>
      <w:r w:rsidR="009A0B2E">
        <w:rPr>
          <w:rFonts w:eastAsia="MS Mincho"/>
          <w:szCs w:val="24"/>
          <w:lang w:val="fr-FR"/>
        </w:rPr>
        <w:t>En outre, il admit qu</w:t>
      </w:r>
      <w:r w:rsidR="003C2190">
        <w:rPr>
          <w:rFonts w:eastAsia="MS Mincho"/>
          <w:szCs w:val="24"/>
          <w:lang w:val="fr-FR"/>
        </w:rPr>
        <w:t>’</w:t>
      </w:r>
      <w:r w:rsidR="009A0B2E">
        <w:rPr>
          <w:rFonts w:eastAsia="MS Mincho"/>
          <w:szCs w:val="24"/>
          <w:lang w:val="fr-FR"/>
        </w:rPr>
        <w:t>en tout état de cause la juridiction administrative restait toujours compétente pour examiner l</w:t>
      </w:r>
      <w:r w:rsidR="003C2190">
        <w:rPr>
          <w:rFonts w:eastAsia="MS Mincho"/>
          <w:szCs w:val="24"/>
          <w:lang w:val="fr-FR"/>
        </w:rPr>
        <w:t>’</w:t>
      </w:r>
      <w:r w:rsidR="009A0B2E">
        <w:rPr>
          <w:rFonts w:eastAsia="MS Mincho"/>
          <w:szCs w:val="24"/>
          <w:lang w:val="fr-FR"/>
        </w:rPr>
        <w:t>affaire en se fondant sur d</w:t>
      </w:r>
      <w:r w:rsidR="003C2190">
        <w:rPr>
          <w:rFonts w:eastAsia="MS Mincho"/>
          <w:szCs w:val="24"/>
          <w:lang w:val="fr-FR"/>
        </w:rPr>
        <w:t>’</w:t>
      </w:r>
      <w:r w:rsidR="009A0B2E">
        <w:rPr>
          <w:rFonts w:eastAsia="MS Mincho"/>
          <w:szCs w:val="24"/>
          <w:lang w:val="fr-FR"/>
        </w:rPr>
        <w:t>autres éléments que ceux retenus par la juridiction pénale. Dans le cas contraire, la juridiction administrative serait dépourvue de la possibilité, qui lui était confiée par la Constitution, d</w:t>
      </w:r>
      <w:r w:rsidR="003C2190">
        <w:rPr>
          <w:rFonts w:eastAsia="MS Mincho"/>
          <w:szCs w:val="24"/>
          <w:lang w:val="fr-FR"/>
        </w:rPr>
        <w:t>’</w:t>
      </w:r>
      <w:r w:rsidR="009A0B2E">
        <w:rPr>
          <w:rFonts w:eastAsia="MS Mincho"/>
          <w:szCs w:val="24"/>
          <w:lang w:val="fr-FR"/>
        </w:rPr>
        <w:t>examiner cette catégorie d</w:t>
      </w:r>
      <w:r w:rsidR="003C2190">
        <w:rPr>
          <w:rFonts w:eastAsia="MS Mincho"/>
          <w:szCs w:val="24"/>
          <w:lang w:val="fr-FR"/>
        </w:rPr>
        <w:t>’</w:t>
      </w:r>
      <w:r w:rsidR="009A0B2E">
        <w:rPr>
          <w:rFonts w:eastAsia="MS Mincho"/>
          <w:szCs w:val="24"/>
          <w:lang w:val="fr-FR"/>
        </w:rPr>
        <w:t>affaires relevant de sa compétence. En l</w:t>
      </w:r>
      <w:r w:rsidR="003C2190">
        <w:rPr>
          <w:rFonts w:eastAsia="MS Mincho"/>
          <w:szCs w:val="24"/>
          <w:lang w:val="fr-FR"/>
        </w:rPr>
        <w:t>’</w:t>
      </w:r>
      <w:r w:rsidR="009A0B2E">
        <w:rPr>
          <w:rFonts w:eastAsia="MS Mincho"/>
          <w:szCs w:val="24"/>
          <w:lang w:val="fr-FR"/>
        </w:rPr>
        <w:t>occurrence, le Conseil d</w:t>
      </w:r>
      <w:r w:rsidR="003C2190">
        <w:rPr>
          <w:rFonts w:eastAsia="MS Mincho"/>
          <w:szCs w:val="24"/>
          <w:lang w:val="fr-FR"/>
        </w:rPr>
        <w:t>’</w:t>
      </w:r>
      <w:r w:rsidR="009A0B2E">
        <w:rPr>
          <w:rFonts w:eastAsia="MS Mincho"/>
          <w:szCs w:val="24"/>
          <w:lang w:val="fr-FR"/>
        </w:rPr>
        <w:t>État jugea que la cour administrative d</w:t>
      </w:r>
      <w:r w:rsidR="003C2190">
        <w:rPr>
          <w:rFonts w:eastAsia="MS Mincho"/>
          <w:szCs w:val="24"/>
          <w:lang w:val="fr-FR"/>
        </w:rPr>
        <w:t>’</w:t>
      </w:r>
      <w:r w:rsidR="009A0B2E">
        <w:rPr>
          <w:rFonts w:eastAsia="MS Mincho"/>
          <w:szCs w:val="24"/>
          <w:lang w:val="fr-FR"/>
        </w:rPr>
        <w:t>appel avait pris en compte l</w:t>
      </w:r>
      <w:r w:rsidR="003C2190">
        <w:rPr>
          <w:rFonts w:eastAsia="MS Mincho"/>
          <w:szCs w:val="24"/>
          <w:lang w:val="fr-FR"/>
        </w:rPr>
        <w:t>’</w:t>
      </w:r>
      <w:r w:rsidR="009A0B2E">
        <w:rPr>
          <w:rFonts w:eastAsia="MS Mincho"/>
          <w:szCs w:val="24"/>
          <w:lang w:val="fr-FR"/>
        </w:rPr>
        <w:t>arrêt n</w:t>
      </w:r>
      <w:r w:rsidR="007E7B24" w:rsidRPr="007E7B24">
        <w:rPr>
          <w:rFonts w:eastAsia="MS Mincho"/>
          <w:szCs w:val="24"/>
          <w:vertAlign w:val="superscript"/>
          <w:lang w:val="fr-FR"/>
        </w:rPr>
        <w:t>o</w:t>
      </w:r>
      <w:r w:rsidR="009A0B2E">
        <w:rPr>
          <w:rFonts w:eastAsia="MS Mincho"/>
          <w:szCs w:val="24"/>
          <w:lang w:val="fr-FR"/>
        </w:rPr>
        <w:t xml:space="preserve"> </w:t>
      </w:r>
      <w:r w:rsidR="009A0B2E">
        <w:rPr>
          <w:rFonts w:eastAsia="MS Mincho"/>
          <w:lang w:val="fr-FR" w:eastAsia="ja-JP"/>
        </w:rPr>
        <w:t>36398/1998</w:t>
      </w:r>
      <w:r w:rsidR="009A0B2E">
        <w:rPr>
          <w:rFonts w:eastAsia="MS Mincho"/>
          <w:szCs w:val="24"/>
          <w:lang w:val="fr-FR"/>
        </w:rPr>
        <w:t xml:space="preserve"> sans se lier par ses conclusions et avait suffisamment motivé sa décision en ce que le requérant avait commis l</w:t>
      </w:r>
      <w:r w:rsidR="003C2190">
        <w:rPr>
          <w:rFonts w:eastAsia="MS Mincho"/>
          <w:szCs w:val="24"/>
          <w:lang w:val="fr-FR"/>
        </w:rPr>
        <w:t>’</w:t>
      </w:r>
      <w:r w:rsidR="009A0B2E">
        <w:rPr>
          <w:rFonts w:eastAsia="MS Mincho"/>
          <w:szCs w:val="24"/>
          <w:lang w:val="fr-FR"/>
        </w:rPr>
        <w:t>infraction de contrebande (arrêt n</w:t>
      </w:r>
      <w:r w:rsidR="009A0B2E">
        <w:rPr>
          <w:rFonts w:eastAsia="MS Mincho"/>
          <w:szCs w:val="24"/>
          <w:vertAlign w:val="superscript"/>
          <w:lang w:val="fr-FR"/>
        </w:rPr>
        <w:t>o</w:t>
      </w:r>
      <w:r w:rsidR="009A0B2E">
        <w:rPr>
          <w:rFonts w:eastAsia="MS Mincho"/>
          <w:szCs w:val="24"/>
          <w:lang w:val="fr-FR"/>
        </w:rPr>
        <w:t xml:space="preserve"> 3457/2012). </w:t>
      </w:r>
      <w:r w:rsidR="009A0B2E">
        <w:rPr>
          <w:rFonts w:eastAsia="MS Mincho"/>
          <w:lang w:val="fr-FR" w:eastAsia="ja-JP"/>
        </w:rPr>
        <w:t>Cet arrêt fut mis au net et certifié conforme le 16 janvier 2013.</w:t>
      </w:r>
    </w:p>
    <w:p w:rsidR="009A0B2E" w:rsidRDefault="009A0B2E" w:rsidP="009A0B2E">
      <w:pPr>
        <w:pStyle w:val="ECHRHeading1"/>
        <w:rPr>
          <w:rFonts w:eastAsia="MS Gothic"/>
          <w:lang w:val="fr-FR"/>
        </w:rPr>
      </w:pPr>
      <w:r>
        <w:rPr>
          <w:rFonts w:eastAsia="MS Gothic"/>
          <w:lang w:val="fr-FR"/>
        </w:rPr>
        <w:lastRenderedPageBreak/>
        <w:t>II.  LE DROIT ET LA PRATIQUE INTERNES PERTINENTS</w:t>
      </w:r>
    </w:p>
    <w:p w:rsidR="009A0B2E" w:rsidRDefault="009A0B2E" w:rsidP="009A0B2E">
      <w:pPr>
        <w:pStyle w:val="ECHRHeading2"/>
        <w:rPr>
          <w:rFonts w:eastAsia="MS Gothic"/>
          <w:lang w:val="fr-FR"/>
        </w:rPr>
      </w:pPr>
      <w:r>
        <w:rPr>
          <w:rFonts w:eastAsia="MS Gothic"/>
          <w:lang w:val="fr-FR"/>
        </w:rPr>
        <w:t>A.  Le droit national</w:t>
      </w:r>
    </w:p>
    <w:p w:rsidR="009A0B2E" w:rsidRDefault="009A0B2E" w:rsidP="009A0B2E">
      <w:pPr>
        <w:pStyle w:val="ECHRHeading3"/>
        <w:rPr>
          <w:rFonts w:eastAsia="MS Gothic"/>
          <w:lang w:val="fr-FR"/>
        </w:rPr>
      </w:pPr>
      <w:r>
        <w:rPr>
          <w:rFonts w:eastAsia="MS Gothic"/>
          <w:lang w:val="fr-FR"/>
        </w:rPr>
        <w:t>1.  La Constitution</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36</w:t>
      </w:r>
      <w:r>
        <w:rPr>
          <w:rFonts w:eastAsia="MS Mincho"/>
          <w:lang w:val="fr-FR"/>
        </w:rPr>
        <w:fldChar w:fldCharType="end"/>
      </w:r>
      <w:r>
        <w:rPr>
          <w:rFonts w:eastAsia="MS Mincho"/>
          <w:lang w:val="fr-FR"/>
        </w:rPr>
        <w:t>.  L</w:t>
      </w:r>
      <w:r w:rsidR="003C2190">
        <w:rPr>
          <w:rFonts w:eastAsia="MS Mincho"/>
          <w:lang w:val="fr-FR"/>
        </w:rPr>
        <w:t>’</w:t>
      </w:r>
      <w:r>
        <w:rPr>
          <w:rFonts w:eastAsia="MS Mincho"/>
          <w:lang w:val="fr-FR"/>
        </w:rPr>
        <w:t>article 94 § 1 de la Constitution hellénique dispose que « Les litiges administratifs relèvent des tribunaux administratifs ordinaires et du Conseil d</w:t>
      </w:r>
      <w:r w:rsidR="003C2190">
        <w:rPr>
          <w:rFonts w:eastAsia="MS Mincho"/>
          <w:lang w:val="fr-FR"/>
        </w:rPr>
        <w:t>’</w:t>
      </w:r>
      <w:r>
        <w:rPr>
          <w:rFonts w:eastAsia="MS Mincho"/>
          <w:lang w:val="fr-FR"/>
        </w:rPr>
        <w:t>État, comme il est stipulé par la loi ». Pour sa part, l</w:t>
      </w:r>
      <w:r w:rsidR="003C2190">
        <w:rPr>
          <w:rFonts w:eastAsia="MS Mincho"/>
          <w:lang w:val="fr-FR"/>
        </w:rPr>
        <w:t>’</w:t>
      </w:r>
      <w:r>
        <w:rPr>
          <w:rFonts w:eastAsia="MS Mincho"/>
          <w:lang w:val="fr-FR"/>
        </w:rPr>
        <w:t>article 96 § 1 de la Constitution prévoit que « c</w:t>
      </w:r>
      <w:r w:rsidR="003C2190">
        <w:rPr>
          <w:rFonts w:eastAsia="MS Mincho"/>
          <w:lang w:val="fr-FR"/>
        </w:rPr>
        <w:t>’</w:t>
      </w:r>
      <w:r>
        <w:rPr>
          <w:rFonts w:eastAsia="MS Mincho"/>
          <w:lang w:val="fr-FR"/>
        </w:rPr>
        <w:t>est aux tribunaux pénaux ordinaires qu</w:t>
      </w:r>
      <w:r w:rsidR="003C2190">
        <w:rPr>
          <w:rFonts w:eastAsia="MS Mincho"/>
          <w:lang w:val="fr-FR"/>
        </w:rPr>
        <w:t>’</w:t>
      </w:r>
      <w:r>
        <w:rPr>
          <w:rFonts w:eastAsia="MS Mincho"/>
          <w:lang w:val="fr-FR"/>
        </w:rPr>
        <w:t>il incombe de sanctionner les délits et de prendre toutes les mesures énoncées par les lois pénales ».</w:t>
      </w:r>
    </w:p>
    <w:p w:rsidR="00AF131B" w:rsidRDefault="009A0B2E" w:rsidP="009A0B2E">
      <w:pPr>
        <w:pStyle w:val="ECHRHeading3"/>
        <w:rPr>
          <w:rFonts w:eastAsia="MS Gothic"/>
          <w:lang w:val="fr-FR"/>
        </w:rPr>
      </w:pPr>
      <w:r>
        <w:rPr>
          <w:rFonts w:eastAsia="MS Gothic"/>
          <w:lang w:val="fr-FR"/>
        </w:rPr>
        <w:t>2.  La législation pertinente</w:t>
      </w:r>
    </w:p>
    <w:p w:rsidR="004C25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37</w:t>
      </w:r>
      <w:r>
        <w:rPr>
          <w:rFonts w:eastAsia="MS Mincho"/>
          <w:lang w:val="fr-FR"/>
        </w:rPr>
        <w:fldChar w:fldCharType="end"/>
      </w:r>
      <w:r>
        <w:rPr>
          <w:rFonts w:eastAsia="MS Mincho"/>
          <w:lang w:val="fr-FR"/>
        </w:rPr>
        <w:t>.  </w:t>
      </w:r>
      <w:r w:rsidR="004C251B">
        <w:rPr>
          <w:rFonts w:eastAsia="MS Mincho"/>
          <w:lang w:val="fr-FR"/>
        </w:rPr>
        <w:t>Selon la loi n</w:t>
      </w:r>
      <w:r w:rsidR="007E7B24" w:rsidRPr="007E7B24">
        <w:rPr>
          <w:rFonts w:eastAsia="MS Mincho"/>
          <w:vertAlign w:val="superscript"/>
          <w:lang w:val="fr-FR"/>
        </w:rPr>
        <w:t>o</w:t>
      </w:r>
      <w:r w:rsidR="004C251B">
        <w:rPr>
          <w:rFonts w:eastAsia="MS Mincho"/>
          <w:lang w:val="fr-FR"/>
        </w:rPr>
        <w:t xml:space="preserve"> 2081/1939, les tribunaux pénaux étaient désignés </w:t>
      </w:r>
      <w:r w:rsidR="00FF191B">
        <w:rPr>
          <w:rFonts w:eastAsia="MS Mincho"/>
          <w:lang w:val="fr-FR"/>
        </w:rPr>
        <w:t xml:space="preserve">en tant </w:t>
      </w:r>
      <w:r w:rsidR="004C251B">
        <w:rPr>
          <w:rFonts w:eastAsia="MS Mincho"/>
          <w:lang w:val="fr-FR"/>
        </w:rPr>
        <w:t xml:space="preserve">que seul ordre juridictionnel compétent pour la répression du délit de contrebande et </w:t>
      </w:r>
      <w:r w:rsidR="00FF191B">
        <w:rPr>
          <w:rFonts w:eastAsia="MS Mincho"/>
          <w:lang w:val="fr-FR"/>
        </w:rPr>
        <w:t>l</w:t>
      </w:r>
      <w:r w:rsidR="003C2190">
        <w:rPr>
          <w:rFonts w:eastAsia="MS Mincho"/>
          <w:lang w:val="fr-FR"/>
        </w:rPr>
        <w:t>’</w:t>
      </w:r>
      <w:r w:rsidR="00FF191B">
        <w:rPr>
          <w:rFonts w:eastAsia="MS Mincho"/>
          <w:lang w:val="fr-FR"/>
        </w:rPr>
        <w:t>examen des demandes de dédommagement de l</w:t>
      </w:r>
      <w:r w:rsidR="003C2190">
        <w:rPr>
          <w:rFonts w:eastAsia="MS Mincho"/>
          <w:lang w:val="fr-FR"/>
        </w:rPr>
        <w:t>’</w:t>
      </w:r>
      <w:r w:rsidR="00FF191B">
        <w:rPr>
          <w:rFonts w:eastAsia="MS Mincho"/>
          <w:lang w:val="fr-FR"/>
        </w:rPr>
        <w:t>État. Par la suite, la loi n</w:t>
      </w:r>
      <w:r w:rsidR="007E7B24" w:rsidRPr="007E7B24">
        <w:rPr>
          <w:rFonts w:eastAsia="MS Mincho"/>
          <w:vertAlign w:val="superscript"/>
          <w:lang w:val="fr-FR"/>
        </w:rPr>
        <w:t>o</w:t>
      </w:r>
      <w:r w:rsidR="00FF191B">
        <w:rPr>
          <w:rFonts w:eastAsia="MS Mincho"/>
          <w:lang w:val="fr-FR"/>
        </w:rPr>
        <w:t xml:space="preserve"> 1514/1950, portant modification de la loi n</w:t>
      </w:r>
      <w:r w:rsidR="007E7B24" w:rsidRPr="007E7B24">
        <w:rPr>
          <w:rFonts w:eastAsia="MS Mincho"/>
          <w:vertAlign w:val="superscript"/>
          <w:lang w:val="fr-FR"/>
        </w:rPr>
        <w:t>o</w:t>
      </w:r>
      <w:r w:rsidR="00FF191B">
        <w:rPr>
          <w:rFonts w:eastAsia="MS Mincho"/>
          <w:lang w:val="fr-FR"/>
        </w:rPr>
        <w:t xml:space="preserve"> 1165/1918, a de nouveau introduit l</w:t>
      </w:r>
      <w:r w:rsidR="003C2190">
        <w:rPr>
          <w:rFonts w:eastAsia="MS Mincho"/>
          <w:lang w:val="fr-FR"/>
        </w:rPr>
        <w:t>’</w:t>
      </w:r>
      <w:r w:rsidR="00FF191B">
        <w:rPr>
          <w:rFonts w:eastAsia="MS Mincho"/>
          <w:lang w:val="fr-FR"/>
        </w:rPr>
        <w:t>amende administrative (</w:t>
      </w:r>
      <w:r w:rsidR="00FF191B" w:rsidRPr="00FF191B">
        <w:rPr>
          <w:rFonts w:eastAsia="MS Mincho"/>
          <w:i/>
          <w:lang w:val="el-GR"/>
        </w:rPr>
        <w:t>πολλαπλούν</w:t>
      </w:r>
      <w:r w:rsidR="00FF191B" w:rsidRPr="00FF191B">
        <w:rPr>
          <w:rFonts w:eastAsia="MS Mincho"/>
          <w:i/>
          <w:lang w:val="fr-FR"/>
        </w:rPr>
        <w:t xml:space="preserve"> </w:t>
      </w:r>
      <w:r w:rsidR="00FF191B" w:rsidRPr="00FF191B">
        <w:rPr>
          <w:rFonts w:eastAsia="MS Mincho"/>
          <w:i/>
          <w:lang w:val="el-GR"/>
        </w:rPr>
        <w:t>τέλος</w:t>
      </w:r>
      <w:r w:rsidR="00FF191B">
        <w:rPr>
          <w:rFonts w:eastAsia="MS Mincho"/>
          <w:lang w:val="fr-FR"/>
        </w:rPr>
        <w:t xml:space="preserve">) pour </w:t>
      </w:r>
      <w:r w:rsidR="00566C48">
        <w:rPr>
          <w:rFonts w:eastAsia="MS Mincho"/>
          <w:lang w:val="fr-FR"/>
        </w:rPr>
        <w:t>délit</w:t>
      </w:r>
      <w:r w:rsidR="00FF191B">
        <w:rPr>
          <w:rFonts w:eastAsia="MS Mincho"/>
          <w:lang w:val="fr-FR"/>
        </w:rPr>
        <w:t xml:space="preserve"> de contrebande.</w:t>
      </w:r>
    </w:p>
    <w:p w:rsidR="009A0B2E" w:rsidRDefault="004C251B"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38</w:t>
      </w:r>
      <w:r>
        <w:rPr>
          <w:rFonts w:eastAsia="MS Mincho"/>
          <w:lang w:val="fr-FR"/>
        </w:rPr>
        <w:fldChar w:fldCharType="end"/>
      </w:r>
      <w:r>
        <w:rPr>
          <w:rFonts w:eastAsia="MS Mincho"/>
          <w:lang w:val="fr-FR"/>
        </w:rPr>
        <w:t>.  </w:t>
      </w:r>
      <w:r w:rsidR="009A0B2E">
        <w:rPr>
          <w:rFonts w:eastAsia="MS Mincho"/>
          <w:lang w:val="fr-FR"/>
        </w:rPr>
        <w:t>Les dispositions pertinentes de la loi n</w:t>
      </w:r>
      <w:r w:rsidR="007E7B24" w:rsidRPr="007E7B24">
        <w:rPr>
          <w:rFonts w:eastAsia="MS Mincho"/>
          <w:vertAlign w:val="superscript"/>
          <w:lang w:val="fr-FR"/>
        </w:rPr>
        <w:t>o</w:t>
      </w:r>
      <w:r w:rsidR="009A0B2E">
        <w:rPr>
          <w:rFonts w:eastAsia="MS Mincho"/>
          <w:lang w:val="fr-FR"/>
        </w:rPr>
        <w:t xml:space="preserve"> 1165/1918</w:t>
      </w:r>
      <w:r w:rsidR="00FF191B" w:rsidRPr="00FF191B">
        <w:rPr>
          <w:rFonts w:eastAsia="MS Mincho"/>
          <w:lang w:val="fr-FR"/>
        </w:rPr>
        <w:t xml:space="preserve"> </w:t>
      </w:r>
      <w:r w:rsidR="00FF191B">
        <w:rPr>
          <w:rFonts w:eastAsia="MS Mincho"/>
          <w:lang w:val="fr-FR"/>
        </w:rPr>
        <w:t>(</w:t>
      </w:r>
      <w:r w:rsidR="00FF191B" w:rsidRPr="00FF191B">
        <w:rPr>
          <w:rFonts w:eastAsia="MS Mincho"/>
          <w:i/>
          <w:lang w:val="fr-FR"/>
        </w:rPr>
        <w:t>Code des douanes</w:t>
      </w:r>
      <w:r w:rsidR="00FF191B">
        <w:rPr>
          <w:rFonts w:eastAsia="MS Mincho"/>
          <w:lang w:val="fr-FR"/>
        </w:rPr>
        <w:t>)</w:t>
      </w:r>
      <w:r w:rsidR="009A0B2E">
        <w:rPr>
          <w:rFonts w:eastAsia="MS Mincho"/>
          <w:lang w:val="fr-FR"/>
        </w:rPr>
        <w:t>, telle qu</w:t>
      </w:r>
      <w:r w:rsidR="003C2190">
        <w:rPr>
          <w:rFonts w:eastAsia="MS Mincho"/>
          <w:lang w:val="fr-FR"/>
        </w:rPr>
        <w:t>’</w:t>
      </w:r>
      <w:r w:rsidR="009A0B2E">
        <w:rPr>
          <w:rFonts w:eastAsia="MS Mincho"/>
          <w:lang w:val="fr-FR"/>
        </w:rPr>
        <w:t>applicable à l</w:t>
      </w:r>
      <w:r w:rsidR="003C2190">
        <w:rPr>
          <w:rFonts w:eastAsia="MS Mincho"/>
          <w:lang w:val="fr-FR"/>
        </w:rPr>
        <w:t>’</w:t>
      </w:r>
      <w:r w:rsidR="009A0B2E">
        <w:rPr>
          <w:rFonts w:eastAsia="MS Mincho"/>
          <w:lang w:val="fr-FR"/>
        </w:rPr>
        <w:t>époque des faits prévoient ce qui suit :</w:t>
      </w:r>
    </w:p>
    <w:p w:rsidR="009A0B2E" w:rsidRPr="000D3564" w:rsidRDefault="009A0B2E" w:rsidP="007B50AC">
      <w:pPr>
        <w:pStyle w:val="ECHRTitleCentre3"/>
        <w:rPr>
          <w:rFonts w:eastAsia="MS Mincho"/>
          <w:lang w:val="fr-FR"/>
        </w:rPr>
      </w:pPr>
      <w:r w:rsidRPr="000D3564">
        <w:rPr>
          <w:rFonts w:eastAsia="MS Mincho"/>
          <w:lang w:val="fr-FR"/>
        </w:rPr>
        <w:t>Article 89</w:t>
      </w:r>
    </w:p>
    <w:p w:rsidR="009A0B2E" w:rsidRDefault="009A0B2E" w:rsidP="00D72AF5">
      <w:pPr>
        <w:pStyle w:val="ECHRParaQuote"/>
        <w:rPr>
          <w:rFonts w:eastAsia="MS Mincho"/>
          <w:lang w:val="fr-FR" w:eastAsia="fr-FR" w:bidi="en-US"/>
        </w:rPr>
      </w:pPr>
      <w:r>
        <w:rPr>
          <w:rFonts w:eastAsia="MS Mincho"/>
          <w:lang w:val="fr-FR" w:eastAsia="fr-FR" w:bidi="en-US"/>
        </w:rPr>
        <w:t>« (</w:t>
      </w:r>
      <w:r w:rsidR="007E7B24">
        <w:rPr>
          <w:rFonts w:eastAsia="MS Mincho"/>
          <w:lang w:val="fr-FR" w:eastAsia="fr-FR" w:bidi="en-US"/>
        </w:rPr>
        <w:t>...</w:t>
      </w:r>
      <w:r>
        <w:rPr>
          <w:rFonts w:eastAsia="MS Mincho"/>
          <w:lang w:val="fr-FR" w:eastAsia="fr-FR" w:bidi="en-US"/>
        </w:rPr>
        <w:t>)</w:t>
      </w:r>
    </w:p>
    <w:p w:rsidR="00AF131B" w:rsidRDefault="009A0B2E" w:rsidP="00D72AF5">
      <w:pPr>
        <w:pStyle w:val="ECHRParaQuote"/>
        <w:rPr>
          <w:rFonts w:eastAsia="MS Mincho"/>
          <w:lang w:val="fr-FR" w:eastAsia="fr-FR" w:bidi="en-US"/>
        </w:rPr>
      </w:pPr>
      <w:r>
        <w:rPr>
          <w:rFonts w:eastAsia="MS Mincho"/>
          <w:lang w:val="fr-FR" w:eastAsia="fr-FR" w:bidi="en-US"/>
        </w:rPr>
        <w:t>2.  Comme infractions douanières sont aussi qualifiées toutes façons, parmi celles prévues par l</w:t>
      </w:r>
      <w:r w:rsidR="003C2190">
        <w:rPr>
          <w:rFonts w:eastAsia="MS Mincho"/>
          <w:lang w:val="fr-FR" w:eastAsia="fr-FR" w:bidi="en-US"/>
        </w:rPr>
        <w:t>’</w:t>
      </w:r>
      <w:r>
        <w:rPr>
          <w:rFonts w:eastAsia="MS Mincho"/>
          <w:lang w:val="fr-FR" w:eastAsia="fr-FR" w:bidi="en-US"/>
        </w:rPr>
        <w:t>article 100, d</w:t>
      </w:r>
      <w:r w:rsidR="003C2190">
        <w:rPr>
          <w:rFonts w:eastAsia="MS Mincho"/>
          <w:lang w:val="fr-FR" w:eastAsia="fr-FR" w:bidi="en-US"/>
        </w:rPr>
        <w:t>’</w:t>
      </w:r>
      <w:r>
        <w:rPr>
          <w:rFonts w:eastAsia="MS Mincho"/>
          <w:lang w:val="fr-FR" w:eastAsia="fr-FR" w:bidi="en-US"/>
        </w:rPr>
        <w:t>éviter ou tenter d</w:t>
      </w:r>
      <w:r w:rsidR="003C2190">
        <w:rPr>
          <w:rFonts w:eastAsia="MS Mincho"/>
          <w:lang w:val="fr-FR" w:eastAsia="fr-FR" w:bidi="en-US"/>
        </w:rPr>
        <w:t>’</w:t>
      </w:r>
      <w:r>
        <w:rPr>
          <w:rFonts w:eastAsia="MS Mincho"/>
          <w:lang w:val="fr-FR" w:eastAsia="fr-FR" w:bidi="en-US"/>
        </w:rPr>
        <w:t>éviter le paiement des taxes et droits revenant à l</w:t>
      </w:r>
      <w:r w:rsidR="003C2190">
        <w:rPr>
          <w:rFonts w:eastAsia="MS Mincho"/>
          <w:lang w:val="fr-FR" w:eastAsia="fr-FR" w:bidi="en-US"/>
        </w:rPr>
        <w:t>’</w:t>
      </w:r>
      <w:r>
        <w:rPr>
          <w:rFonts w:eastAsia="MS Mincho"/>
          <w:lang w:val="fr-FR" w:eastAsia="fr-FR" w:bidi="en-US"/>
        </w:rPr>
        <w:t xml:space="preserve">État ainsi que le fait de ne pas </w:t>
      </w:r>
      <w:r>
        <w:rPr>
          <w:rFonts w:eastAsia="MS Mincho"/>
          <w:lang w:val="fr-FR" w:eastAsia="fr-FR"/>
        </w:rPr>
        <w:t>suivre</w:t>
      </w:r>
      <w:r>
        <w:rPr>
          <w:rFonts w:eastAsia="MS Mincho"/>
          <w:lang w:val="fr-FR" w:eastAsia="fr-FR" w:bidi="en-US"/>
        </w:rPr>
        <w:t xml:space="preserve"> la procédure prévue par l</w:t>
      </w:r>
      <w:r w:rsidR="003C2190">
        <w:rPr>
          <w:rFonts w:eastAsia="MS Mincho"/>
          <w:lang w:val="fr-FR" w:eastAsia="fr-FR" w:bidi="en-US"/>
        </w:rPr>
        <w:t>’</w:t>
      </w:r>
      <w:r>
        <w:rPr>
          <w:rFonts w:eastAsia="MS Mincho"/>
          <w:lang w:val="fr-FR" w:eastAsia="fr-FR" w:bidi="en-US"/>
        </w:rPr>
        <w:t>article 100. Les responsables sont condamnés au paiement d</w:t>
      </w:r>
      <w:r w:rsidR="003C2190">
        <w:rPr>
          <w:rFonts w:eastAsia="MS Mincho"/>
          <w:lang w:val="fr-FR" w:eastAsia="fr-FR" w:bidi="en-US"/>
        </w:rPr>
        <w:t>’</w:t>
      </w:r>
      <w:r>
        <w:rPr>
          <w:rFonts w:eastAsia="MS Mincho"/>
          <w:lang w:val="fr-FR" w:eastAsia="fr-FR" w:bidi="en-US"/>
        </w:rPr>
        <w:t xml:space="preserve">une amende </w:t>
      </w:r>
      <w:r>
        <w:rPr>
          <w:rFonts w:eastAsia="MS Mincho"/>
          <w:i/>
          <w:lang w:val="fr-FR" w:eastAsia="fr-FR" w:bidi="en-US"/>
        </w:rPr>
        <w:t xml:space="preserve">(πολλαπλούν τέλος) </w:t>
      </w:r>
      <w:r>
        <w:rPr>
          <w:rFonts w:eastAsia="MS Mincho"/>
          <w:lang w:val="fr-FR" w:eastAsia="fr-FR" w:bidi="en-US"/>
        </w:rPr>
        <w:t>fixée selon les dispositions de la présente loi, même dans le cas où les éléments constitutifs du délit de c</w:t>
      </w:r>
      <w:r w:rsidR="00D72AF5">
        <w:rPr>
          <w:rFonts w:eastAsia="MS Mincho"/>
          <w:lang w:val="fr-FR" w:eastAsia="fr-FR" w:bidi="en-US"/>
        </w:rPr>
        <w:t>ontrebande ne sont pas réunis. »</w:t>
      </w:r>
    </w:p>
    <w:p w:rsidR="009A0B2E" w:rsidRDefault="009A0B2E" w:rsidP="00D72AF5">
      <w:pPr>
        <w:pStyle w:val="ECHRParaQuote"/>
        <w:rPr>
          <w:rFonts w:ascii="Times New Roman" w:eastAsia="MS Mincho" w:hAnsi="Times New Roman" w:cs="Times New Roman"/>
          <w:lang w:val="fr-FR" w:eastAsia="fr-FR" w:bidi="en-US"/>
        </w:rPr>
      </w:pPr>
      <w:r>
        <w:rPr>
          <w:rFonts w:ascii="Times New Roman" w:eastAsia="MS Mincho" w:hAnsi="Times New Roman" w:cs="Times New Roman"/>
          <w:lang w:val="fr-FR" w:eastAsia="fr-FR" w:bidi="en-US"/>
        </w:rPr>
        <w:t>(</w:t>
      </w:r>
      <w:r w:rsidR="007E7B24">
        <w:rPr>
          <w:rFonts w:ascii="Times New Roman" w:eastAsia="MS Mincho" w:hAnsi="Times New Roman" w:cs="Times New Roman"/>
          <w:lang w:val="fr-FR" w:eastAsia="fr-FR" w:bidi="en-US"/>
        </w:rPr>
        <w:t>...</w:t>
      </w:r>
      <w:r>
        <w:rPr>
          <w:rFonts w:ascii="Times New Roman" w:eastAsia="MS Mincho" w:hAnsi="Times New Roman" w:cs="Times New Roman"/>
          <w:lang w:val="fr-FR" w:eastAsia="fr-FR" w:bidi="en-US"/>
        </w:rPr>
        <w:t>)</w:t>
      </w:r>
    </w:p>
    <w:p w:rsidR="009A0B2E" w:rsidRPr="000D3564" w:rsidRDefault="009A0B2E" w:rsidP="007B50AC">
      <w:pPr>
        <w:pStyle w:val="ECHRTitleCentre3"/>
        <w:rPr>
          <w:lang w:val="fr-FR"/>
        </w:rPr>
      </w:pPr>
      <w:r w:rsidRPr="000D3564">
        <w:rPr>
          <w:lang w:val="fr-FR"/>
        </w:rPr>
        <w:t>Article 97</w:t>
      </w:r>
    </w:p>
    <w:p w:rsidR="009A0B2E" w:rsidRDefault="009A0B2E" w:rsidP="00D72AF5">
      <w:pPr>
        <w:pStyle w:val="ECHRParaQuote"/>
        <w:rPr>
          <w:rFonts w:eastAsia="MS Mincho"/>
          <w:lang w:val="fr-FR" w:eastAsia="fr-FR"/>
        </w:rPr>
      </w:pPr>
      <w:r>
        <w:rPr>
          <w:rFonts w:eastAsia="MS Mincho"/>
          <w:lang w:val="fr-FR" w:eastAsia="fr-FR"/>
        </w:rPr>
        <w:t>« (</w:t>
      </w:r>
      <w:r w:rsidR="007E7B24">
        <w:rPr>
          <w:rFonts w:eastAsia="MS Mincho"/>
          <w:lang w:val="fr-FR" w:eastAsia="fr-FR"/>
        </w:rPr>
        <w:t>...</w:t>
      </w:r>
      <w:r>
        <w:rPr>
          <w:rFonts w:eastAsia="MS Mincho"/>
          <w:lang w:val="fr-FR" w:eastAsia="fr-FR"/>
        </w:rPr>
        <w:t>)</w:t>
      </w:r>
    </w:p>
    <w:p w:rsidR="009A0B2E" w:rsidRDefault="009A0B2E" w:rsidP="00D72AF5">
      <w:pPr>
        <w:pStyle w:val="ECHRParaQuote"/>
        <w:rPr>
          <w:rFonts w:eastAsia="MS Mincho"/>
          <w:lang w:val="fr-FR" w:eastAsia="fr-FR" w:bidi="en-US"/>
        </w:rPr>
      </w:pPr>
      <w:r>
        <w:rPr>
          <w:rFonts w:eastAsia="MS Mincho"/>
          <w:lang w:val="fr-FR" w:eastAsia="fr-FR" w:bidi="en-US"/>
        </w:rPr>
        <w:t>3.  Une amende (</w:t>
      </w:r>
      <w:r>
        <w:rPr>
          <w:rFonts w:eastAsia="MS Mincho"/>
          <w:i/>
          <w:lang w:val="fr-FR" w:eastAsia="fr-FR" w:bidi="en-US"/>
        </w:rPr>
        <w:t>πολλαπλούν τέλος</w:t>
      </w:r>
      <w:r>
        <w:rPr>
          <w:rFonts w:eastAsia="MS Mincho"/>
          <w:lang w:val="fr-FR" w:eastAsia="fr-FR" w:bidi="en-US"/>
        </w:rPr>
        <w:t>) oscillant entre le double et le décuple des douanes, taxes et droits afférents à l</w:t>
      </w:r>
      <w:r w:rsidR="003C2190">
        <w:rPr>
          <w:rFonts w:eastAsia="MS Mincho"/>
          <w:lang w:val="fr-FR" w:eastAsia="fr-FR" w:bidi="en-US"/>
        </w:rPr>
        <w:t>’</w:t>
      </w:r>
      <w:r>
        <w:rPr>
          <w:rFonts w:eastAsia="MS Mincho"/>
          <w:lang w:val="fr-FR" w:eastAsia="fr-FR" w:bidi="en-US"/>
        </w:rPr>
        <w:t>objet de la contravention en cause est imposée, à titre individuel et commune, à toute personne impliquée à l</w:t>
      </w:r>
      <w:r w:rsidR="003C2190">
        <w:rPr>
          <w:rFonts w:eastAsia="MS Mincho"/>
          <w:lang w:val="fr-FR" w:eastAsia="fr-FR" w:bidi="en-US"/>
        </w:rPr>
        <w:t>’</w:t>
      </w:r>
      <w:r>
        <w:rPr>
          <w:rFonts w:eastAsia="MS Mincho"/>
          <w:lang w:val="fr-FR" w:eastAsia="fr-FR" w:bidi="en-US"/>
        </w:rPr>
        <w:t>infraction douanière décrite par l</w:t>
      </w:r>
      <w:r w:rsidR="003C2190">
        <w:rPr>
          <w:rFonts w:eastAsia="MS Mincho"/>
          <w:lang w:val="fr-FR" w:eastAsia="fr-FR" w:bidi="en-US"/>
        </w:rPr>
        <w:t>’</w:t>
      </w:r>
      <w:r>
        <w:rPr>
          <w:rFonts w:eastAsia="MS Mincho"/>
          <w:lang w:val="fr-FR" w:eastAsia="fr-FR" w:bidi="en-US"/>
        </w:rPr>
        <w:t>article 89 § 2 et selon son degré de participation respectif à celle-ci.</w:t>
      </w:r>
      <w:r w:rsidR="00AF131B">
        <w:rPr>
          <w:rFonts w:eastAsia="MS Mincho"/>
          <w:lang w:val="fr-FR" w:eastAsia="fr-FR" w:bidi="en-US"/>
        </w:rPr>
        <w:t xml:space="preserve"> </w:t>
      </w:r>
      <w:r>
        <w:rPr>
          <w:rFonts w:eastAsia="MS Mincho"/>
          <w:lang w:val="fr-FR" w:eastAsia="fr-FR" w:bidi="en-US"/>
        </w:rPr>
        <w:t>Cette amende est imposée indépendamment de la responsabi</w:t>
      </w:r>
      <w:r w:rsidR="00D72AF5">
        <w:rPr>
          <w:rFonts w:eastAsia="MS Mincho"/>
          <w:lang w:val="fr-FR" w:eastAsia="fr-FR" w:bidi="en-US"/>
        </w:rPr>
        <w:t>lité pénale des contrevenants. »</w:t>
      </w:r>
    </w:p>
    <w:p w:rsidR="009A0B2E" w:rsidRDefault="009A0B2E" w:rsidP="00D72AF5">
      <w:pPr>
        <w:pStyle w:val="ECHRParaQuote"/>
        <w:rPr>
          <w:rFonts w:eastAsia="MS Mincho"/>
          <w:lang w:val="fr-FR" w:eastAsia="fr-FR" w:bidi="en-US"/>
        </w:rPr>
      </w:pPr>
      <w:r>
        <w:rPr>
          <w:rFonts w:eastAsia="MS Mincho"/>
          <w:lang w:val="fr-FR" w:eastAsia="fr-FR" w:bidi="en-US"/>
        </w:rPr>
        <w:t>(</w:t>
      </w:r>
      <w:r w:rsidR="007E7B24">
        <w:rPr>
          <w:rFonts w:eastAsia="MS Mincho"/>
          <w:lang w:val="fr-FR" w:eastAsia="fr-FR" w:bidi="en-US"/>
        </w:rPr>
        <w:t>...</w:t>
      </w:r>
      <w:r>
        <w:rPr>
          <w:rFonts w:eastAsia="MS Mincho"/>
          <w:lang w:val="fr-FR" w:eastAsia="fr-FR" w:bidi="en-US"/>
        </w:rPr>
        <w:t>)</w:t>
      </w:r>
    </w:p>
    <w:p w:rsidR="009A0B2E" w:rsidRDefault="009A0B2E" w:rsidP="007B50AC">
      <w:pPr>
        <w:pStyle w:val="ECHRTitleCentre3"/>
        <w:rPr>
          <w:rFonts w:eastAsia="MS Mincho"/>
          <w:lang w:val="fr-FR"/>
        </w:rPr>
      </w:pPr>
      <w:r>
        <w:rPr>
          <w:rFonts w:eastAsia="MS Mincho"/>
          <w:lang w:val="fr-FR"/>
        </w:rPr>
        <w:t>Article 102</w:t>
      </w:r>
    </w:p>
    <w:p w:rsidR="009A0B2E" w:rsidRDefault="009A0B2E" w:rsidP="00D72AF5">
      <w:pPr>
        <w:pStyle w:val="ECHRParaQuote"/>
        <w:rPr>
          <w:rFonts w:eastAsia="MS Mincho"/>
          <w:lang w:val="fr-FR" w:eastAsia="fr-FR" w:bidi="en-US"/>
        </w:rPr>
      </w:pPr>
      <w:r>
        <w:rPr>
          <w:rFonts w:eastAsia="MS Mincho"/>
          <w:lang w:val="fr-FR" w:eastAsia="fr-FR" w:bidi="en-US"/>
        </w:rPr>
        <w:t>« 1.  Le délit de contrebande, au sens de l</w:t>
      </w:r>
      <w:r w:rsidR="003C2190">
        <w:rPr>
          <w:rFonts w:eastAsia="MS Mincho"/>
          <w:lang w:val="fr-FR" w:eastAsia="fr-FR" w:bidi="en-US"/>
        </w:rPr>
        <w:t>’</w:t>
      </w:r>
      <w:r>
        <w:rPr>
          <w:rFonts w:eastAsia="MS Mincho"/>
          <w:lang w:val="fr-FR" w:eastAsia="fr-FR" w:bidi="en-US"/>
        </w:rPr>
        <w:t>article 100, est puni a) d</w:t>
      </w:r>
      <w:r w:rsidR="003C2190">
        <w:rPr>
          <w:rFonts w:eastAsia="MS Mincho"/>
          <w:lang w:val="fr-FR" w:eastAsia="fr-FR" w:bidi="en-US"/>
        </w:rPr>
        <w:t>’</w:t>
      </w:r>
      <w:r>
        <w:rPr>
          <w:rFonts w:eastAsia="MS Mincho"/>
          <w:lang w:val="fr-FR" w:eastAsia="fr-FR" w:bidi="en-US"/>
        </w:rPr>
        <w:t>emprisonnement de six mois au minimum. Néanmoins, lorsque l</w:t>
      </w:r>
      <w:r w:rsidR="003C2190">
        <w:rPr>
          <w:rFonts w:eastAsia="MS Mincho"/>
          <w:lang w:val="fr-FR" w:eastAsia="fr-FR" w:bidi="en-US"/>
        </w:rPr>
        <w:t>’</w:t>
      </w:r>
      <w:r>
        <w:rPr>
          <w:rFonts w:eastAsia="MS Mincho"/>
          <w:lang w:val="fr-FR" w:eastAsia="fr-FR" w:bidi="en-US"/>
        </w:rPr>
        <w:t>objet de la contrebande n</w:t>
      </w:r>
      <w:r w:rsidR="003C2190">
        <w:rPr>
          <w:rFonts w:eastAsia="MS Mincho"/>
          <w:lang w:val="fr-FR" w:eastAsia="fr-FR" w:bidi="en-US"/>
        </w:rPr>
        <w:t>’</w:t>
      </w:r>
      <w:r>
        <w:rPr>
          <w:rFonts w:eastAsia="MS Mincho"/>
          <w:lang w:val="fr-FR" w:eastAsia="fr-FR" w:bidi="en-US"/>
        </w:rPr>
        <w:t xml:space="preserve">est pas </w:t>
      </w:r>
      <w:r>
        <w:rPr>
          <w:rFonts w:eastAsia="MS Mincho"/>
          <w:lang w:val="fr-FR" w:eastAsia="fr-FR" w:bidi="en-US"/>
        </w:rPr>
        <w:lastRenderedPageBreak/>
        <w:t>important ou est destiné à un usage personnel par l</w:t>
      </w:r>
      <w:r w:rsidR="003C2190">
        <w:rPr>
          <w:rFonts w:eastAsia="MS Mincho"/>
          <w:lang w:val="fr-FR" w:eastAsia="fr-FR" w:bidi="en-US"/>
        </w:rPr>
        <w:t>’</w:t>
      </w:r>
      <w:r>
        <w:rPr>
          <w:rFonts w:eastAsia="MS Mincho"/>
          <w:lang w:val="fr-FR" w:eastAsia="fr-FR" w:bidi="en-US"/>
        </w:rPr>
        <w:t>auteur de l</w:t>
      </w:r>
      <w:r w:rsidR="003C2190">
        <w:rPr>
          <w:rFonts w:eastAsia="MS Mincho"/>
          <w:lang w:val="fr-FR" w:eastAsia="fr-FR" w:bidi="en-US"/>
        </w:rPr>
        <w:t>’</w:t>
      </w:r>
      <w:r>
        <w:rPr>
          <w:rFonts w:eastAsia="MS Mincho"/>
          <w:lang w:val="fr-FR" w:eastAsia="fr-FR" w:bidi="en-US"/>
        </w:rPr>
        <w:t>infraction, le seuil minimum de la peine est réduit de moitié.</w:t>
      </w:r>
    </w:p>
    <w:p w:rsidR="009A0B2E" w:rsidRDefault="009A0B2E" w:rsidP="00D72AF5">
      <w:pPr>
        <w:pStyle w:val="ECHRParaQuote"/>
        <w:rPr>
          <w:rFonts w:eastAsia="MS Mincho"/>
          <w:lang w:val="fr-FR" w:eastAsia="fr-FR" w:bidi="en-US"/>
        </w:rPr>
      </w:pPr>
      <w:r>
        <w:rPr>
          <w:rFonts w:eastAsia="MS Mincho"/>
          <w:lang w:val="fr-FR" w:eastAsia="fr-FR" w:bidi="en-US"/>
        </w:rPr>
        <w:t>(</w:t>
      </w:r>
      <w:r w:rsidR="007E7B24">
        <w:rPr>
          <w:rFonts w:eastAsia="MS Mincho"/>
          <w:lang w:val="fr-FR" w:eastAsia="fr-FR" w:bidi="en-US"/>
        </w:rPr>
        <w:t>...</w:t>
      </w:r>
      <w:r>
        <w:rPr>
          <w:rFonts w:eastAsia="MS Mincho"/>
          <w:lang w:val="fr-FR" w:eastAsia="fr-FR" w:bidi="en-US"/>
        </w:rPr>
        <w:t>) »</w:t>
      </w:r>
    </w:p>
    <w:p w:rsidR="009A0B2E" w:rsidRDefault="009A0B2E" w:rsidP="007B50AC">
      <w:pPr>
        <w:pStyle w:val="ECHRTitleCentre3"/>
        <w:rPr>
          <w:rFonts w:eastAsia="MS Mincho"/>
          <w:lang w:val="fr-FR"/>
        </w:rPr>
      </w:pPr>
      <w:r>
        <w:rPr>
          <w:rFonts w:eastAsia="MS Mincho"/>
          <w:lang w:val="fr-FR"/>
        </w:rPr>
        <w:t>Article 103</w:t>
      </w:r>
    </w:p>
    <w:p w:rsidR="009A0B2E" w:rsidRDefault="009A0B2E" w:rsidP="00D72AF5">
      <w:pPr>
        <w:pStyle w:val="ECHRParaQuote"/>
        <w:rPr>
          <w:rFonts w:eastAsia="MS Mincho"/>
          <w:lang w:val="fr-FR" w:eastAsia="fr-FR" w:bidi="en-US"/>
        </w:rPr>
      </w:pPr>
      <w:r>
        <w:rPr>
          <w:rFonts w:eastAsia="MS Mincho"/>
          <w:lang w:val="fr-FR" w:eastAsia="fr-FR" w:bidi="en-US"/>
        </w:rPr>
        <w:t>« Une poursuite pénale n</w:t>
      </w:r>
      <w:r w:rsidR="003C2190">
        <w:rPr>
          <w:rFonts w:eastAsia="MS Mincho"/>
          <w:lang w:val="fr-FR" w:eastAsia="fr-FR" w:bidi="en-US"/>
        </w:rPr>
        <w:t>’</w:t>
      </w:r>
      <w:r>
        <w:rPr>
          <w:rFonts w:eastAsia="MS Mincho"/>
          <w:lang w:val="fr-FR" w:eastAsia="fr-FR" w:bidi="en-US"/>
        </w:rPr>
        <w:t>est pas engagée lorsque les douanes, taxes ou droits de l</w:t>
      </w:r>
      <w:r w:rsidR="003C2190">
        <w:rPr>
          <w:rFonts w:eastAsia="MS Mincho"/>
          <w:lang w:val="fr-FR" w:eastAsia="fr-FR" w:bidi="en-US"/>
        </w:rPr>
        <w:t>’</w:t>
      </w:r>
      <w:r>
        <w:rPr>
          <w:rFonts w:eastAsia="MS Mincho"/>
          <w:lang w:val="fr-FR" w:eastAsia="fr-FR" w:bidi="en-US"/>
        </w:rPr>
        <w:t>État afférents à l</w:t>
      </w:r>
      <w:r w:rsidR="003C2190">
        <w:rPr>
          <w:rFonts w:eastAsia="MS Mincho"/>
          <w:lang w:val="fr-FR" w:eastAsia="fr-FR" w:bidi="en-US"/>
        </w:rPr>
        <w:t>’</w:t>
      </w:r>
      <w:r>
        <w:rPr>
          <w:rFonts w:eastAsia="MS Mincho"/>
          <w:lang w:val="fr-FR" w:eastAsia="fr-FR" w:bidi="en-US"/>
        </w:rPr>
        <w:t>objet de la contrebande ne dépassent pas 5 000 000 drachmes [15 000 euros environ] (</w:t>
      </w:r>
      <w:r w:rsidR="007E7B24">
        <w:rPr>
          <w:rFonts w:eastAsia="MS Mincho"/>
          <w:lang w:val="fr-FR" w:eastAsia="fr-FR" w:bidi="en-US"/>
        </w:rPr>
        <w:t>...</w:t>
      </w:r>
      <w:r w:rsidR="00D72AF5">
        <w:rPr>
          <w:rFonts w:eastAsia="MS Mincho"/>
          <w:lang w:val="fr-FR" w:eastAsia="fr-FR" w:bidi="en-US"/>
        </w:rPr>
        <w:t>) »</w:t>
      </w:r>
    </w:p>
    <w:p w:rsidR="000F1243" w:rsidRPr="000F1243" w:rsidRDefault="000F1243" w:rsidP="000F1243">
      <w:pPr>
        <w:pStyle w:val="ECHRPara"/>
        <w:rPr>
          <w:rFonts w:eastAsia="MS Mincho"/>
          <w:lang w:val="fr-FR" w:eastAsia="fr-FR" w:bidi="en-US"/>
        </w:rPr>
      </w:pPr>
      <w:r w:rsidRPr="000F1243">
        <w:rPr>
          <w:rFonts w:eastAsia="MS Mincho"/>
          <w:lang w:val="fr-FR" w:eastAsia="fr-FR" w:bidi="en-US"/>
        </w:rPr>
        <w:fldChar w:fldCharType="begin"/>
      </w:r>
      <w:r w:rsidRPr="000F1243">
        <w:rPr>
          <w:rFonts w:eastAsia="MS Mincho"/>
          <w:lang w:val="fr-FR" w:eastAsia="fr-FR" w:bidi="en-US"/>
        </w:rPr>
        <w:instrText xml:space="preserve"> SEQ level0 \*arabic </w:instrText>
      </w:r>
      <w:r w:rsidRPr="000F1243">
        <w:rPr>
          <w:rFonts w:eastAsia="MS Mincho"/>
          <w:lang w:val="fr-FR" w:eastAsia="fr-FR" w:bidi="en-US"/>
        </w:rPr>
        <w:fldChar w:fldCharType="separate"/>
      </w:r>
      <w:r w:rsidR="00BD469E">
        <w:rPr>
          <w:rFonts w:eastAsia="MS Mincho"/>
          <w:noProof/>
          <w:lang w:val="fr-FR" w:eastAsia="fr-FR" w:bidi="en-US"/>
        </w:rPr>
        <w:t>39</w:t>
      </w:r>
      <w:r w:rsidRPr="000F1243">
        <w:rPr>
          <w:rFonts w:eastAsia="MS Mincho"/>
          <w:lang w:val="fr-FR" w:eastAsia="fr-FR" w:bidi="en-US"/>
        </w:rPr>
        <w:fldChar w:fldCharType="end"/>
      </w:r>
      <w:r w:rsidRPr="000F1243">
        <w:rPr>
          <w:rFonts w:eastAsia="MS Mincho"/>
          <w:lang w:val="fr-FR" w:eastAsia="fr-FR" w:bidi="en-US"/>
        </w:rPr>
        <w:t>.  L</w:t>
      </w:r>
      <w:r w:rsidR="003C2190">
        <w:rPr>
          <w:rFonts w:eastAsia="MS Mincho"/>
          <w:lang w:val="fr-FR" w:eastAsia="fr-FR" w:bidi="en-US"/>
        </w:rPr>
        <w:t>’</w:t>
      </w:r>
      <w:r w:rsidRPr="000F1243">
        <w:rPr>
          <w:rFonts w:eastAsia="MS Mincho"/>
          <w:lang w:val="fr-FR" w:eastAsia="fr-FR" w:bidi="en-US"/>
        </w:rPr>
        <w:t xml:space="preserve">article 137 </w:t>
      </w:r>
      <w:r w:rsidRPr="000F1243">
        <w:rPr>
          <w:rFonts w:eastAsia="MS Mincho"/>
          <w:lang w:val="el-GR" w:eastAsia="fr-FR" w:bidi="en-US"/>
        </w:rPr>
        <w:t>Γ</w:t>
      </w:r>
      <w:r w:rsidRPr="000F1243">
        <w:rPr>
          <w:rFonts w:eastAsia="MS Mincho"/>
          <w:lang w:val="fr-FR" w:eastAsia="fr-FR" w:bidi="en-US"/>
        </w:rPr>
        <w:t>. § 7 de la loi n</w:t>
      </w:r>
      <w:r w:rsidR="00AF131B" w:rsidRPr="00AF131B">
        <w:rPr>
          <w:rFonts w:eastAsia="MS Mincho"/>
          <w:vertAlign w:val="superscript"/>
          <w:lang w:val="fr-FR" w:eastAsia="fr-FR" w:bidi="en-US"/>
        </w:rPr>
        <w:t>o</w:t>
      </w:r>
      <w:r w:rsidRPr="000F1243">
        <w:rPr>
          <w:rFonts w:eastAsia="MS Mincho"/>
          <w:lang w:val="fr-FR" w:eastAsia="fr-FR" w:bidi="en-US"/>
        </w:rPr>
        <w:t xml:space="preserve"> 2960/2001 prévoit ce qui suit :</w:t>
      </w:r>
    </w:p>
    <w:p w:rsidR="000F1243" w:rsidRPr="000F1243" w:rsidRDefault="000F1243" w:rsidP="00D72AF5">
      <w:pPr>
        <w:pStyle w:val="ECHRParaQuote"/>
        <w:rPr>
          <w:rFonts w:eastAsia="MS Mincho"/>
          <w:lang w:val="fr-FR" w:eastAsia="fr-FR" w:bidi="en-US"/>
        </w:rPr>
      </w:pPr>
      <w:r w:rsidRPr="000F1243">
        <w:rPr>
          <w:rFonts w:eastAsia="MS Mincho"/>
          <w:lang w:val="fr-FR" w:eastAsia="fr-FR" w:bidi="en-US"/>
        </w:rPr>
        <w:t>« Les dispositions (</w:t>
      </w:r>
      <w:r w:rsidR="00AF131B">
        <w:rPr>
          <w:rFonts w:eastAsia="MS Mincho"/>
          <w:lang w:val="fr-FR" w:eastAsia="fr-FR" w:bidi="en-US"/>
        </w:rPr>
        <w:t>...</w:t>
      </w:r>
      <w:r w:rsidRPr="000F1243">
        <w:rPr>
          <w:rFonts w:eastAsia="MS Mincho"/>
          <w:lang w:val="fr-FR" w:eastAsia="fr-FR" w:bidi="en-US"/>
        </w:rPr>
        <w:t>) sur la contrebande des articles 142 et s. du présent Code s</w:t>
      </w:r>
      <w:r w:rsidR="003C2190">
        <w:rPr>
          <w:rFonts w:eastAsia="MS Mincho"/>
          <w:lang w:val="fr-FR" w:eastAsia="fr-FR" w:bidi="en-US"/>
        </w:rPr>
        <w:t>’</w:t>
      </w:r>
      <w:r w:rsidRPr="000F1243">
        <w:rPr>
          <w:rFonts w:eastAsia="MS Mincho"/>
          <w:lang w:val="fr-FR" w:eastAsia="fr-FR" w:bidi="en-US"/>
        </w:rPr>
        <w:t>appliquent dans les cas de déclaration de données fausses ou de l</w:t>
      </w:r>
      <w:r w:rsidR="003C2190">
        <w:rPr>
          <w:rFonts w:eastAsia="MS Mincho"/>
          <w:lang w:val="fr-FR" w:eastAsia="fr-FR" w:bidi="en-US"/>
        </w:rPr>
        <w:t>’</w:t>
      </w:r>
      <w:r w:rsidRPr="000F1243">
        <w:rPr>
          <w:rFonts w:eastAsia="MS Mincho"/>
          <w:lang w:val="fr-FR" w:eastAsia="fr-FR" w:bidi="en-US"/>
        </w:rPr>
        <w:t>emploi de subterfuges particuliers ayant comme conséquence le non-paiement ou le paiement partiel des taxe</w:t>
      </w:r>
      <w:r w:rsidR="00D72AF5">
        <w:rPr>
          <w:rFonts w:eastAsia="MS Mincho"/>
          <w:lang w:val="fr-FR" w:eastAsia="fr-FR" w:bidi="en-US"/>
        </w:rPr>
        <w:t>s ou des droits de douane dus. »</w:t>
      </w:r>
    </w:p>
    <w:p w:rsidR="009A0B2E" w:rsidRDefault="009A0B2E" w:rsidP="007B50AC">
      <w:pPr>
        <w:pStyle w:val="ECHRPara"/>
        <w:rPr>
          <w:rFonts w:eastAsia="MS Mincho"/>
          <w:lang w:val="fr-FR" w:bidi="en-US"/>
        </w:rPr>
      </w:pPr>
      <w:r>
        <w:rPr>
          <w:rFonts w:eastAsia="MS Mincho"/>
          <w:lang w:val="fr-FR" w:bidi="en-US"/>
        </w:rPr>
        <w:fldChar w:fldCharType="begin"/>
      </w:r>
      <w:r>
        <w:rPr>
          <w:rFonts w:eastAsia="MS Mincho"/>
          <w:lang w:val="fr-FR" w:bidi="en-US"/>
        </w:rPr>
        <w:instrText xml:space="preserve"> SEQ level0 \*arabic </w:instrText>
      </w:r>
      <w:r>
        <w:rPr>
          <w:rFonts w:eastAsia="MS Mincho"/>
          <w:lang w:val="fr-FR" w:bidi="en-US"/>
        </w:rPr>
        <w:fldChar w:fldCharType="separate"/>
      </w:r>
      <w:r w:rsidR="00BD469E">
        <w:rPr>
          <w:rFonts w:eastAsia="MS Mincho"/>
          <w:noProof/>
          <w:lang w:val="fr-FR" w:bidi="en-US"/>
        </w:rPr>
        <w:t>40</w:t>
      </w:r>
      <w:r>
        <w:rPr>
          <w:rFonts w:eastAsia="MS Mincho"/>
          <w:lang w:val="fr-FR" w:bidi="en-US"/>
        </w:rPr>
        <w:fldChar w:fldCharType="end"/>
      </w:r>
      <w:r>
        <w:rPr>
          <w:rFonts w:eastAsia="MS Mincho"/>
          <w:lang w:val="fr-FR" w:bidi="en-US"/>
        </w:rPr>
        <w:t>.  L</w:t>
      </w:r>
      <w:r w:rsidR="003C2190">
        <w:rPr>
          <w:rFonts w:eastAsia="MS Mincho"/>
          <w:lang w:val="fr-FR" w:bidi="en-US"/>
        </w:rPr>
        <w:t>’</w:t>
      </w:r>
      <w:r>
        <w:rPr>
          <w:rFonts w:eastAsia="MS Mincho"/>
          <w:lang w:val="fr-FR" w:bidi="en-US"/>
        </w:rPr>
        <w:t>article 5 du Code de procédure administrative (loi n</w:t>
      </w:r>
      <w:r w:rsidR="007E7B24" w:rsidRPr="007E7B24">
        <w:rPr>
          <w:rFonts w:eastAsia="MS Mincho"/>
          <w:vertAlign w:val="superscript"/>
          <w:lang w:val="fr-FR" w:bidi="en-US"/>
        </w:rPr>
        <w:t>o</w:t>
      </w:r>
      <w:r>
        <w:rPr>
          <w:rFonts w:eastAsia="MS Mincho"/>
          <w:lang w:val="fr-FR" w:bidi="en-US"/>
        </w:rPr>
        <w:t xml:space="preserve"> 2717/1999) dispose :</w:t>
      </w:r>
    </w:p>
    <w:p w:rsidR="009A0B2E" w:rsidRDefault="009A0B2E" w:rsidP="00D72AF5">
      <w:pPr>
        <w:pStyle w:val="ECHRParaQuote"/>
        <w:rPr>
          <w:rFonts w:eastAsia="MS Mincho"/>
          <w:lang w:val="fr-FR" w:eastAsia="fr-FR" w:bidi="en-US"/>
        </w:rPr>
      </w:pPr>
      <w:r>
        <w:rPr>
          <w:rFonts w:eastAsia="MS Mincho"/>
          <w:lang w:val="fr-FR" w:eastAsia="fr-FR" w:bidi="en-US"/>
        </w:rPr>
        <w:t>« 1.  Les tribunaux [administratifs] sont liés par les décisions des autres juridictions administratives dans la mesure où celles-ci sont revêtues de l</w:t>
      </w:r>
      <w:r w:rsidR="003C2190">
        <w:rPr>
          <w:rFonts w:eastAsia="MS Mincho"/>
          <w:lang w:val="fr-FR" w:eastAsia="fr-FR" w:bidi="en-US"/>
        </w:rPr>
        <w:t>’</w:t>
      </w:r>
      <w:r>
        <w:rPr>
          <w:rFonts w:eastAsia="MS Mincho"/>
          <w:lang w:val="fr-FR" w:eastAsia="fr-FR" w:bidi="en-US"/>
        </w:rPr>
        <w:t>autorité de la chose jugée, au sens des dispositions pertinentes.</w:t>
      </w:r>
    </w:p>
    <w:p w:rsidR="00AF131B" w:rsidRDefault="009A0B2E" w:rsidP="00D72AF5">
      <w:pPr>
        <w:pStyle w:val="ECHRParaQuote"/>
        <w:rPr>
          <w:rFonts w:eastAsia="MS Mincho"/>
          <w:lang w:val="fr-FR" w:eastAsia="fr-FR" w:bidi="en-US"/>
        </w:rPr>
      </w:pPr>
      <w:r>
        <w:rPr>
          <w:rFonts w:eastAsia="MS Mincho"/>
          <w:lang w:val="fr-FR" w:eastAsia="fr-FR" w:bidi="en-US"/>
        </w:rPr>
        <w:t>2.  Les tribunaux [administratifs] sont aussi liés par les décisions des juridictions civiles qui, selon le droit pertinent, sont applicables à tous, ainsi que par les décisions condamnatoires et définitives des juridictions pénales en ce qui concerne la culpabilité de l</w:t>
      </w:r>
      <w:r w:rsidR="003C2190">
        <w:rPr>
          <w:rFonts w:eastAsia="MS Mincho"/>
          <w:lang w:val="fr-FR" w:eastAsia="fr-FR" w:bidi="en-US"/>
        </w:rPr>
        <w:t>’</w:t>
      </w:r>
      <w:r>
        <w:rPr>
          <w:rFonts w:eastAsia="MS Mincho"/>
          <w:lang w:val="fr-FR" w:eastAsia="fr-FR" w:bidi="en-US"/>
        </w:rPr>
        <w:t>auteur de l</w:t>
      </w:r>
      <w:r w:rsidR="003C2190">
        <w:rPr>
          <w:rFonts w:eastAsia="MS Mincho"/>
          <w:lang w:val="fr-FR" w:eastAsia="fr-FR" w:bidi="en-US"/>
        </w:rPr>
        <w:t>’</w:t>
      </w:r>
      <w:r w:rsidR="00D72AF5">
        <w:rPr>
          <w:rFonts w:eastAsia="MS Mincho"/>
          <w:lang w:val="fr-FR" w:eastAsia="fr-FR" w:bidi="en-US"/>
        </w:rPr>
        <w:t>infraction. »</w:t>
      </w:r>
    </w:p>
    <w:p w:rsidR="009A0B2E" w:rsidRDefault="009A0B2E" w:rsidP="007B50AC">
      <w:pPr>
        <w:pStyle w:val="ECHRPara"/>
        <w:rPr>
          <w:rFonts w:eastAsia="MS Mincho"/>
          <w:lang w:val="fr-FR" w:eastAsia="fr-FR" w:bidi="en-US"/>
        </w:rPr>
      </w:pPr>
      <w:r>
        <w:rPr>
          <w:rFonts w:eastAsia="MS Mincho"/>
          <w:lang w:val="fr-FR" w:eastAsia="fr-FR" w:bidi="en-US"/>
        </w:rPr>
        <w:fldChar w:fldCharType="begin"/>
      </w:r>
      <w:r>
        <w:rPr>
          <w:rFonts w:eastAsia="MS Mincho"/>
          <w:lang w:val="fr-FR" w:eastAsia="fr-FR" w:bidi="en-US"/>
        </w:rPr>
        <w:instrText xml:space="preserve"> SEQ level0 \*arabic </w:instrText>
      </w:r>
      <w:r>
        <w:rPr>
          <w:rFonts w:eastAsia="MS Mincho"/>
          <w:lang w:val="fr-FR" w:eastAsia="fr-FR" w:bidi="en-US"/>
        </w:rPr>
        <w:fldChar w:fldCharType="separate"/>
      </w:r>
      <w:r w:rsidR="00BD469E">
        <w:rPr>
          <w:rFonts w:eastAsia="MS Mincho"/>
          <w:noProof/>
          <w:lang w:val="fr-FR" w:eastAsia="fr-FR" w:bidi="en-US"/>
        </w:rPr>
        <w:t>41</w:t>
      </w:r>
      <w:r>
        <w:rPr>
          <w:rFonts w:eastAsia="MS Mincho"/>
          <w:lang w:val="fr-FR" w:eastAsia="fr-FR" w:bidi="en-US"/>
        </w:rPr>
        <w:fldChar w:fldCharType="end"/>
      </w:r>
      <w:r>
        <w:rPr>
          <w:rFonts w:eastAsia="MS Mincho"/>
          <w:lang w:val="fr-FR" w:eastAsia="fr-FR" w:bidi="en-US"/>
        </w:rPr>
        <w:t>.  Les dispositions pertinentes du Code de procédure pénale prévoient ce qui suit :</w:t>
      </w:r>
    </w:p>
    <w:p w:rsidR="009A0B2E" w:rsidRDefault="009A0B2E" w:rsidP="009A0B2E">
      <w:pPr>
        <w:pStyle w:val="ECHRTitleCentre3"/>
        <w:rPr>
          <w:rFonts w:eastAsia="MS Mincho"/>
          <w:lang w:val="fr-FR" w:eastAsia="fr-FR"/>
        </w:rPr>
      </w:pPr>
      <w:r>
        <w:rPr>
          <w:rFonts w:eastAsia="MS Mincho"/>
          <w:lang w:val="fr-FR" w:eastAsia="fr-FR"/>
        </w:rPr>
        <w:t>Article 473</w:t>
      </w:r>
    </w:p>
    <w:p w:rsidR="009A0B2E" w:rsidRDefault="009A0B2E" w:rsidP="00D72AF5">
      <w:pPr>
        <w:pStyle w:val="ECHRParaQuote"/>
        <w:rPr>
          <w:rFonts w:eastAsia="Times New Roman"/>
          <w:lang w:val="fr-FR" w:eastAsia="fr-FR"/>
        </w:rPr>
      </w:pPr>
      <w:r w:rsidRPr="009A0B2E">
        <w:rPr>
          <w:rFonts w:eastAsia="MS Mincho"/>
          <w:lang w:val="fr-FR" w:bidi="en-US"/>
        </w:rPr>
        <w:t>«</w:t>
      </w:r>
      <w:r w:rsidRPr="009A0B2E">
        <w:rPr>
          <w:rFonts w:eastAsia="Times New Roman"/>
          <w:lang w:val="fr-FR"/>
        </w:rPr>
        <w:t> 1.  Lorsqu</w:t>
      </w:r>
      <w:r w:rsidR="003C2190">
        <w:rPr>
          <w:rFonts w:eastAsia="Times New Roman"/>
          <w:lang w:val="fr-FR"/>
        </w:rPr>
        <w:t>’</w:t>
      </w:r>
      <w:r w:rsidRPr="009A0B2E">
        <w:rPr>
          <w:rFonts w:eastAsia="Times New Roman"/>
          <w:lang w:val="fr-FR"/>
        </w:rPr>
        <w:t>une loi ne prévoit pas un délai spécifique, le délai d</w:t>
      </w:r>
      <w:r w:rsidR="003C2190">
        <w:rPr>
          <w:rFonts w:eastAsia="Times New Roman"/>
          <w:lang w:val="fr-FR"/>
        </w:rPr>
        <w:t>’</w:t>
      </w:r>
      <w:r w:rsidRPr="009A0B2E">
        <w:rPr>
          <w:rFonts w:eastAsia="Times New Roman"/>
          <w:lang w:val="fr-FR"/>
        </w:rPr>
        <w:t>exercice des voies de recours internes est de dix jours à compter du prononcé du jugement. Si la personne concernée n</w:t>
      </w:r>
      <w:r w:rsidR="003C2190">
        <w:rPr>
          <w:rFonts w:eastAsia="Times New Roman"/>
          <w:lang w:val="fr-FR"/>
        </w:rPr>
        <w:t>’</w:t>
      </w:r>
      <w:r w:rsidRPr="009A0B2E">
        <w:rPr>
          <w:rFonts w:eastAsia="Times New Roman"/>
          <w:lang w:val="fr-FR"/>
        </w:rPr>
        <w:t>est pas présente au prononcé du jugement, le délai susmentionné est également de dix jours, sauf si elle réside à l</w:t>
      </w:r>
      <w:r w:rsidR="003C2190">
        <w:rPr>
          <w:rFonts w:eastAsia="Times New Roman"/>
          <w:lang w:val="fr-FR"/>
        </w:rPr>
        <w:t>’</w:t>
      </w:r>
      <w:r w:rsidRPr="009A0B2E">
        <w:rPr>
          <w:rFonts w:eastAsia="Times New Roman"/>
          <w:lang w:val="fr-FR"/>
        </w:rPr>
        <w:t>étranger ou si son domicile n</w:t>
      </w:r>
      <w:r w:rsidR="003C2190">
        <w:rPr>
          <w:rFonts w:eastAsia="Times New Roman"/>
          <w:lang w:val="fr-FR"/>
        </w:rPr>
        <w:t>’</w:t>
      </w:r>
      <w:r w:rsidRPr="009A0B2E">
        <w:rPr>
          <w:rFonts w:eastAsia="Times New Roman"/>
          <w:lang w:val="fr-FR"/>
        </w:rPr>
        <w:t>est pas connu ; dans ce cas, le délai est de trente jours et court à compter de la notification du jugement (...).</w:t>
      </w:r>
    </w:p>
    <w:p w:rsidR="009A0B2E" w:rsidRPr="009A0B2E" w:rsidRDefault="009A0B2E" w:rsidP="00D72AF5">
      <w:pPr>
        <w:pStyle w:val="ECHRParaQuote"/>
        <w:rPr>
          <w:rFonts w:eastAsia="Times New Roman"/>
          <w:lang w:val="fr-FR"/>
        </w:rPr>
      </w:pPr>
      <w:r w:rsidRPr="009A0B2E">
        <w:rPr>
          <w:rFonts w:eastAsia="Times New Roman"/>
          <w:lang w:val="fr-FR"/>
        </w:rPr>
        <w:t>2.  Le pourvoi en cassation contre une décision portant condamnation peut être formé par la personne condamnée (...) dans un délai de vingt jours qui débute selon le paragraphe 1 (...).</w:t>
      </w:r>
    </w:p>
    <w:p w:rsidR="009A0B2E" w:rsidRPr="009A0B2E" w:rsidRDefault="009A0B2E" w:rsidP="00D72AF5">
      <w:pPr>
        <w:pStyle w:val="ECHRParaQuote"/>
        <w:rPr>
          <w:rFonts w:eastAsia="Times New Roman"/>
          <w:lang w:val="fr-FR"/>
        </w:rPr>
      </w:pPr>
      <w:r w:rsidRPr="009A0B2E">
        <w:rPr>
          <w:rFonts w:eastAsia="Times New Roman"/>
          <w:lang w:val="fr-FR"/>
        </w:rPr>
        <w:t>3.  Le délai de pourvoi en cassation court à partir de la transcription de la décision définitive, mise au net, au registre spécial tenu au greffe de la juridiction pénale. La décision doit être mise au net dans un délai de quinze jours, sans quoi le président de la juridiction pénale encourt des sanctions disciplinaires. »</w:t>
      </w:r>
    </w:p>
    <w:p w:rsidR="009A0B2E" w:rsidRDefault="009A0B2E" w:rsidP="009A0B2E">
      <w:pPr>
        <w:pStyle w:val="ECHRTitleCentre3"/>
        <w:rPr>
          <w:rFonts w:eastAsia="MS Mincho"/>
          <w:lang w:val="fr-FR" w:eastAsia="fr-FR"/>
        </w:rPr>
      </w:pPr>
      <w:r>
        <w:rPr>
          <w:rFonts w:eastAsia="MS Mincho"/>
          <w:lang w:val="fr-FR" w:eastAsia="fr-FR"/>
        </w:rPr>
        <w:t>Article 486 § 1</w:t>
      </w:r>
    </w:p>
    <w:p w:rsidR="009A0B2E" w:rsidRDefault="009A0B2E" w:rsidP="00D72AF5">
      <w:pPr>
        <w:pStyle w:val="ECHRParaQuote"/>
        <w:rPr>
          <w:rFonts w:eastAsia="Times New Roman"/>
          <w:lang w:val="fr-FR" w:eastAsia="fr-FR"/>
        </w:rPr>
      </w:pPr>
      <w:r w:rsidRPr="009A0B2E">
        <w:rPr>
          <w:rFonts w:eastAsia="Times New Roman"/>
          <w:lang w:val="fr-FR"/>
        </w:rPr>
        <w:t>« S</w:t>
      </w:r>
      <w:r w:rsidR="003C2190">
        <w:rPr>
          <w:rFonts w:eastAsia="Times New Roman"/>
          <w:lang w:val="fr-FR"/>
        </w:rPr>
        <w:t>’</w:t>
      </w:r>
      <w:r w:rsidRPr="009A0B2E">
        <w:rPr>
          <w:rFonts w:eastAsia="Times New Roman"/>
          <w:lang w:val="fr-FR"/>
        </w:rPr>
        <w:t>agissant des délits, un appel contre un arrêt d</w:t>
      </w:r>
      <w:r w:rsidR="003C2190">
        <w:rPr>
          <w:rFonts w:eastAsia="Times New Roman"/>
          <w:lang w:val="fr-FR"/>
        </w:rPr>
        <w:t>’</w:t>
      </w:r>
      <w:r w:rsidRPr="009A0B2E">
        <w:rPr>
          <w:rFonts w:eastAsia="Times New Roman"/>
          <w:lang w:val="fr-FR"/>
        </w:rPr>
        <w:t>acquittement (...) peut être introduit : a) par l</w:t>
      </w:r>
      <w:r w:rsidR="003C2190">
        <w:rPr>
          <w:rFonts w:eastAsia="Times New Roman"/>
          <w:lang w:val="fr-FR"/>
        </w:rPr>
        <w:t>’</w:t>
      </w:r>
      <w:r w:rsidRPr="009A0B2E">
        <w:rPr>
          <w:rFonts w:eastAsia="Times New Roman"/>
          <w:lang w:val="fr-FR"/>
        </w:rPr>
        <w:t>accusé, s</w:t>
      </w:r>
      <w:r w:rsidR="003C2190">
        <w:rPr>
          <w:rFonts w:eastAsia="Times New Roman"/>
          <w:lang w:val="fr-FR"/>
        </w:rPr>
        <w:t>’</w:t>
      </w:r>
      <w:r w:rsidRPr="009A0B2E">
        <w:rPr>
          <w:rFonts w:eastAsia="Times New Roman"/>
          <w:lang w:val="fr-FR"/>
        </w:rPr>
        <w:t>il a été acquitté pour avoir mis des efforts pour la réparation du préjudice causé (</w:t>
      </w:r>
      <w:r w:rsidR="007E7B24">
        <w:rPr>
          <w:rFonts w:eastAsia="Times New Roman"/>
          <w:lang w:val="fr-FR"/>
        </w:rPr>
        <w:t>...</w:t>
      </w:r>
      <w:r w:rsidRPr="009A0B2E">
        <w:rPr>
          <w:rFonts w:eastAsia="Times New Roman"/>
          <w:lang w:val="fr-FR"/>
        </w:rPr>
        <w:t xml:space="preserve">) ; b) si celui qui a porté plainte a été condamné à verser une indemnité pécuniaire et au paiement des dépens c) par le </w:t>
      </w:r>
      <w:r w:rsidRPr="009A0B2E">
        <w:rPr>
          <w:rFonts w:eastAsia="Times New Roman"/>
          <w:bCs/>
          <w:lang w:val="fr-FR"/>
        </w:rPr>
        <w:t>procureur</w:t>
      </w:r>
      <w:r w:rsidRPr="009A0B2E">
        <w:rPr>
          <w:rFonts w:eastAsia="Times New Roman"/>
          <w:lang w:val="fr-FR"/>
        </w:rPr>
        <w:t xml:space="preserve"> près le tribunal correctionnel contre les jugements des tribunaux de police ou des tribunaux </w:t>
      </w:r>
      <w:r w:rsidRPr="009A0B2E">
        <w:rPr>
          <w:rFonts w:eastAsia="Times New Roman"/>
          <w:lang w:val="fr-FR"/>
        </w:rPr>
        <w:lastRenderedPageBreak/>
        <w:t>correctionnels (...) ainsi que le procureur près la cour d</w:t>
      </w:r>
      <w:r w:rsidR="003C2190">
        <w:rPr>
          <w:rFonts w:eastAsia="Times New Roman"/>
          <w:lang w:val="fr-FR"/>
        </w:rPr>
        <w:t>’</w:t>
      </w:r>
      <w:r w:rsidRPr="009A0B2E">
        <w:rPr>
          <w:rFonts w:eastAsia="Times New Roman"/>
          <w:lang w:val="fr-FR"/>
        </w:rPr>
        <w:t>appel contre les jugements des tribunaux correctionnels soumis à sa compétence ;</w:t>
      </w:r>
    </w:p>
    <w:p w:rsidR="009A0B2E" w:rsidRPr="009A0B2E" w:rsidRDefault="00D72AF5" w:rsidP="00D72AF5">
      <w:pPr>
        <w:pStyle w:val="ECHRParaQuote"/>
        <w:rPr>
          <w:rFonts w:eastAsia="Times New Roman"/>
          <w:lang w:val="fr-FR"/>
        </w:rPr>
      </w:pPr>
      <w:r>
        <w:rPr>
          <w:rFonts w:eastAsia="Times New Roman"/>
          <w:sz w:val="18"/>
          <w:szCs w:val="18"/>
          <w:lang w:val="fr-FR"/>
        </w:rPr>
        <w:t>(...) »</w:t>
      </w:r>
    </w:p>
    <w:p w:rsidR="009A0B2E" w:rsidRDefault="009A0B2E" w:rsidP="009A0B2E">
      <w:pPr>
        <w:pStyle w:val="ECHRTitleCentre3"/>
        <w:rPr>
          <w:rFonts w:eastAsia="MS Mincho"/>
          <w:lang w:val="fr-FR" w:eastAsia="fr-FR"/>
        </w:rPr>
      </w:pPr>
      <w:r>
        <w:rPr>
          <w:rFonts w:eastAsia="MS Mincho"/>
          <w:lang w:val="fr-FR" w:eastAsia="fr-FR"/>
        </w:rPr>
        <w:t>Article 506</w:t>
      </w:r>
    </w:p>
    <w:p w:rsidR="009A0B2E" w:rsidRDefault="009A0B2E" w:rsidP="00D72AF5">
      <w:pPr>
        <w:pStyle w:val="ECHRParaQuote"/>
        <w:rPr>
          <w:lang w:val="fr-FR" w:eastAsia="fr-FR"/>
        </w:rPr>
      </w:pPr>
      <w:r w:rsidRPr="00AF131B">
        <w:rPr>
          <w:lang w:val="fr-FR"/>
        </w:rPr>
        <w:t>« Un pourvoi en cassation contre un arrêt d</w:t>
      </w:r>
      <w:r w:rsidR="003C2190">
        <w:rPr>
          <w:lang w:val="fr-FR"/>
        </w:rPr>
        <w:t>’</w:t>
      </w:r>
      <w:r w:rsidRPr="00AF131B">
        <w:rPr>
          <w:lang w:val="fr-FR"/>
        </w:rPr>
        <w:t>acquittement peut être introduit a) par l</w:t>
      </w:r>
      <w:r w:rsidR="003C2190">
        <w:rPr>
          <w:lang w:val="fr-FR"/>
        </w:rPr>
        <w:t>’</w:t>
      </w:r>
      <w:r w:rsidRPr="00AF131B">
        <w:rPr>
          <w:lang w:val="fr-FR"/>
        </w:rPr>
        <w:t>accusé, s</w:t>
      </w:r>
      <w:r w:rsidR="003C2190">
        <w:rPr>
          <w:lang w:val="fr-FR"/>
        </w:rPr>
        <w:t>’</w:t>
      </w:r>
      <w:r w:rsidRPr="00AF131B">
        <w:rPr>
          <w:lang w:val="fr-FR"/>
        </w:rPr>
        <w:t xml:space="preserve">il a été acquitté (...) ; b) par le </w:t>
      </w:r>
      <w:bookmarkStart w:id="2" w:name="HIT12"/>
      <w:bookmarkEnd w:id="2"/>
      <w:r w:rsidRPr="00AF131B">
        <w:rPr>
          <w:lang w:val="fr-FR"/>
        </w:rPr>
        <w:t>procureur près le tribunal correctionnel (...) ; c) si l</w:t>
      </w:r>
      <w:r w:rsidR="003C2190">
        <w:rPr>
          <w:lang w:val="fr-FR"/>
        </w:rPr>
        <w:t>’</w:t>
      </w:r>
      <w:r w:rsidRPr="00AF131B">
        <w:rPr>
          <w:lang w:val="fr-FR"/>
        </w:rPr>
        <w:t>acquittement est dû à une application ou une interprétation erronée d</w:t>
      </w:r>
      <w:r w:rsidR="003C2190">
        <w:rPr>
          <w:lang w:val="fr-FR"/>
        </w:rPr>
        <w:t>’</w:t>
      </w:r>
      <w:r w:rsidRPr="00AF131B">
        <w:rPr>
          <w:lang w:val="fr-FR"/>
        </w:rPr>
        <w:t>une disposition pénale ou à un abus de pouvoir (...) et d) si celui qui a porté plainte a été condamné à verser une indemnité pécuniaire et au paiement des dépens (article 71). »</w:t>
      </w:r>
    </w:p>
    <w:p w:rsidR="009A0B2E" w:rsidRDefault="009A0B2E" w:rsidP="009A0B2E">
      <w:pPr>
        <w:pStyle w:val="ECHRTitleCentre3"/>
        <w:rPr>
          <w:rFonts w:eastAsia="MS Mincho"/>
          <w:lang w:val="fr-FR" w:eastAsia="fr-FR"/>
        </w:rPr>
      </w:pPr>
      <w:r>
        <w:rPr>
          <w:rFonts w:eastAsia="MS Mincho"/>
          <w:lang w:val="fr-FR" w:eastAsia="fr-FR"/>
        </w:rPr>
        <w:t>Article 546</w:t>
      </w:r>
    </w:p>
    <w:p w:rsidR="009A0B2E" w:rsidRDefault="009A0B2E" w:rsidP="00D72AF5">
      <w:pPr>
        <w:pStyle w:val="ECHRParaQuote"/>
        <w:rPr>
          <w:rFonts w:eastAsia="MS Mincho"/>
          <w:lang w:val="fr-FR" w:eastAsia="fr-FR" w:bidi="en-US"/>
        </w:rPr>
      </w:pPr>
      <w:r w:rsidRPr="009A0B2E">
        <w:rPr>
          <w:rFonts w:eastAsia="MS Mincho"/>
          <w:lang w:val="fr-FR" w:bidi="en-US"/>
        </w:rPr>
        <w:t>« (</w:t>
      </w:r>
      <w:r w:rsidR="007E7B24">
        <w:rPr>
          <w:rFonts w:eastAsia="MS Mincho"/>
          <w:lang w:val="fr-FR" w:bidi="en-US"/>
        </w:rPr>
        <w:t>...</w:t>
      </w:r>
      <w:r w:rsidRPr="009A0B2E">
        <w:rPr>
          <w:rFonts w:eastAsia="MS Mincho"/>
          <w:lang w:val="fr-FR" w:bidi="en-US"/>
        </w:rPr>
        <w:t>)</w:t>
      </w:r>
    </w:p>
    <w:p w:rsidR="009A0B2E" w:rsidRPr="009A0B2E" w:rsidRDefault="009A0B2E" w:rsidP="00D72AF5">
      <w:pPr>
        <w:pStyle w:val="ECHRParaQuote"/>
        <w:rPr>
          <w:rFonts w:eastAsia="MS Mincho"/>
          <w:lang w:val="fr-FR" w:bidi="en-US"/>
        </w:rPr>
      </w:pPr>
      <w:r w:rsidRPr="009A0B2E">
        <w:rPr>
          <w:rFonts w:eastAsia="MS Mincho"/>
          <w:lang w:val="fr-FR" w:bidi="en-US"/>
        </w:rPr>
        <w:t>2.  Est irrévocable la décision non susceptible de recours ou celle contre laquelle aucun recours n</w:t>
      </w:r>
      <w:r w:rsidR="003C2190">
        <w:rPr>
          <w:rFonts w:eastAsia="MS Mincho"/>
          <w:lang w:val="fr-FR" w:bidi="en-US"/>
        </w:rPr>
        <w:t>’</w:t>
      </w:r>
      <w:r w:rsidRPr="009A0B2E">
        <w:rPr>
          <w:rFonts w:eastAsia="MS Mincho"/>
          <w:lang w:val="fr-FR" w:bidi="en-US"/>
        </w:rPr>
        <w:t>a été exercé dans le délai prévu ou celle contre laquelle un recours exercé a été rejeté. »</w:t>
      </w:r>
    </w:p>
    <w:p w:rsidR="009A0B2E" w:rsidRDefault="009A0B2E" w:rsidP="007B50AC">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42</w:t>
      </w:r>
      <w:r>
        <w:rPr>
          <w:lang w:val="fr-FR" w:eastAsia="fr-FR"/>
        </w:rPr>
        <w:fldChar w:fldCharType="end"/>
      </w:r>
      <w:r>
        <w:rPr>
          <w:lang w:val="fr-FR" w:eastAsia="fr-FR"/>
        </w:rPr>
        <w:t>.  La loi n</w:t>
      </w:r>
      <w:r>
        <w:rPr>
          <w:vertAlign w:val="superscript"/>
          <w:lang w:val="fr-FR" w:eastAsia="fr-FR"/>
        </w:rPr>
        <w:t>o</w:t>
      </w:r>
      <w:r>
        <w:rPr>
          <w:lang w:val="fr-FR" w:eastAsia="fr-FR"/>
        </w:rPr>
        <w:t xml:space="preserve"> 4055/2012, intitulée « procès équitable et durée raisonnable », est entrée en vigueur le 2 avril 2012. Les articles 53 à 58 de la loi précitée introduisent un nouveau recours indemnitaire visant à l</w:t>
      </w:r>
      <w:r w:rsidR="003C2190">
        <w:rPr>
          <w:lang w:val="fr-FR" w:eastAsia="fr-FR"/>
        </w:rPr>
        <w:t>’</w:t>
      </w:r>
      <w:r>
        <w:rPr>
          <w:lang w:val="fr-FR" w:eastAsia="fr-FR"/>
        </w:rPr>
        <w:t>octroi d</w:t>
      </w:r>
      <w:r w:rsidR="003C2190">
        <w:rPr>
          <w:lang w:val="fr-FR" w:eastAsia="fr-FR"/>
        </w:rPr>
        <w:t>’</w:t>
      </w:r>
      <w:r>
        <w:rPr>
          <w:lang w:val="fr-FR" w:eastAsia="fr-FR"/>
        </w:rPr>
        <w:t>une satisfaction équitable causé par la prolongation injustifiée d</w:t>
      </w:r>
      <w:r w:rsidR="003C2190">
        <w:rPr>
          <w:lang w:val="fr-FR" w:eastAsia="fr-FR"/>
        </w:rPr>
        <w:t>’</w:t>
      </w:r>
      <w:r>
        <w:rPr>
          <w:lang w:val="fr-FR" w:eastAsia="fr-FR"/>
        </w:rPr>
        <w:t>une procédure administrative. L</w:t>
      </w:r>
      <w:r w:rsidR="003C2190">
        <w:rPr>
          <w:lang w:val="fr-FR" w:eastAsia="fr-FR"/>
        </w:rPr>
        <w:t>’</w:t>
      </w:r>
      <w:r>
        <w:rPr>
          <w:lang w:val="fr-FR" w:eastAsia="fr-FR"/>
        </w:rPr>
        <w:t>article 55 § 1 dispose:</w:t>
      </w:r>
    </w:p>
    <w:p w:rsidR="009A0B2E" w:rsidRPr="004F17CD" w:rsidRDefault="009A0B2E" w:rsidP="00D72AF5">
      <w:pPr>
        <w:pStyle w:val="ECHRParaQuote"/>
        <w:rPr>
          <w:lang w:val="fr-FR" w:eastAsia="fr-FR"/>
        </w:rPr>
      </w:pPr>
      <w:r>
        <w:rPr>
          <w:lang w:val="fr-FR" w:eastAsia="fr-FR"/>
        </w:rPr>
        <w:t>« Toute demande de satisfaction équitable doit être introduite devant chaque degré de juridiction séparément. Elle doit être présentée dans un délai de six mois après la publication de la décision définitive de la juridiction devant laquelle la durée de la procédure a été, selon le requérant, excessive (...). »</w:t>
      </w:r>
    </w:p>
    <w:p w:rsidR="00AF131B" w:rsidRDefault="009A0B2E" w:rsidP="009A0B2E">
      <w:pPr>
        <w:pStyle w:val="ECHRHeading2"/>
        <w:rPr>
          <w:rFonts w:eastAsia="MS Gothic"/>
          <w:lang w:val="fr-FR"/>
        </w:rPr>
      </w:pPr>
      <w:r w:rsidRPr="002C5351">
        <w:rPr>
          <w:rFonts w:eastAsia="MS Gothic"/>
          <w:lang w:val="fr-FR"/>
        </w:rPr>
        <w:t>B.  La jurisprudence pertinente du Conseil d</w:t>
      </w:r>
      <w:r w:rsidR="003C2190">
        <w:rPr>
          <w:rFonts w:eastAsia="MS Gothic"/>
          <w:lang w:val="fr-FR"/>
        </w:rPr>
        <w:t>’</w:t>
      </w:r>
      <w:r w:rsidRPr="002C5351">
        <w:rPr>
          <w:rFonts w:eastAsia="MS Gothic"/>
          <w:lang w:val="fr-FR"/>
        </w:rPr>
        <w:t>État</w:t>
      </w:r>
    </w:p>
    <w:p w:rsidR="00AF131B" w:rsidRDefault="009A0B2E" w:rsidP="009A0B2E">
      <w:pPr>
        <w:pStyle w:val="ECHRPara"/>
        <w:rPr>
          <w:rFonts w:eastAsia="MS Mincho"/>
          <w:lang w:val="fr-FR"/>
        </w:rPr>
      </w:pPr>
      <w:r w:rsidRPr="002C5351">
        <w:rPr>
          <w:rFonts w:eastAsia="MS Mincho"/>
          <w:lang w:val="fr-FR"/>
        </w:rPr>
        <w:fldChar w:fldCharType="begin"/>
      </w:r>
      <w:r w:rsidRPr="002C5351">
        <w:rPr>
          <w:rFonts w:eastAsia="MS Mincho"/>
          <w:lang w:val="fr-FR"/>
        </w:rPr>
        <w:instrText xml:space="preserve"> SEQ level0 \*arabic </w:instrText>
      </w:r>
      <w:r w:rsidRPr="002C5351">
        <w:rPr>
          <w:rFonts w:eastAsia="MS Mincho"/>
          <w:lang w:val="fr-FR"/>
        </w:rPr>
        <w:fldChar w:fldCharType="separate"/>
      </w:r>
      <w:r w:rsidR="00BD469E">
        <w:rPr>
          <w:rFonts w:eastAsia="MS Mincho"/>
          <w:noProof/>
          <w:lang w:val="fr-FR"/>
        </w:rPr>
        <w:t>43</w:t>
      </w:r>
      <w:r w:rsidRPr="002C5351">
        <w:rPr>
          <w:rFonts w:eastAsia="MS Mincho"/>
          <w:lang w:val="fr-FR"/>
        </w:rPr>
        <w:fldChar w:fldCharType="end"/>
      </w:r>
      <w:r w:rsidRPr="002C5351">
        <w:rPr>
          <w:rFonts w:eastAsia="MS Mincho"/>
          <w:lang w:val="fr-FR"/>
        </w:rPr>
        <w:t>.  Dans son arrêt n</w:t>
      </w:r>
      <w:r w:rsidR="007E7B24" w:rsidRPr="007E7B24">
        <w:rPr>
          <w:rFonts w:eastAsia="MS Mincho"/>
          <w:vertAlign w:val="superscript"/>
          <w:lang w:val="fr-FR"/>
        </w:rPr>
        <w:t>o</w:t>
      </w:r>
      <w:r w:rsidRPr="002C5351">
        <w:rPr>
          <w:rFonts w:eastAsia="MS Mincho"/>
          <w:lang w:val="fr-FR"/>
        </w:rPr>
        <w:t xml:space="preserve"> 2067/2001, le Conseil d</w:t>
      </w:r>
      <w:r w:rsidR="003C2190">
        <w:rPr>
          <w:rFonts w:eastAsia="MS Mincho"/>
          <w:lang w:val="fr-FR"/>
        </w:rPr>
        <w:t>’</w:t>
      </w:r>
      <w:r w:rsidRPr="002C5351">
        <w:rPr>
          <w:rFonts w:eastAsia="MS Mincho"/>
          <w:lang w:val="fr-FR"/>
        </w:rPr>
        <w:t>État a entre autres admis que les dispositions pertinentes du Code des douanes et du Code de procédure administrative, interprétées corrélativement, signifient que la procédure d</w:t>
      </w:r>
      <w:r w:rsidR="003C2190">
        <w:rPr>
          <w:rFonts w:eastAsia="MS Mincho"/>
          <w:lang w:val="fr-FR"/>
        </w:rPr>
        <w:t>’</w:t>
      </w:r>
      <w:r w:rsidRPr="002C5351">
        <w:rPr>
          <w:rFonts w:eastAsia="MS Mincho"/>
          <w:lang w:val="fr-FR"/>
        </w:rPr>
        <w:t>imposition d</w:t>
      </w:r>
      <w:r w:rsidR="003C2190">
        <w:rPr>
          <w:rFonts w:eastAsia="MS Mincho"/>
          <w:lang w:val="fr-FR"/>
        </w:rPr>
        <w:t>’</w:t>
      </w:r>
      <w:r w:rsidRPr="002C5351">
        <w:rPr>
          <w:rFonts w:eastAsia="MS Mincho"/>
          <w:lang w:val="fr-FR"/>
        </w:rPr>
        <w:t>une amende administrative (</w:t>
      </w:r>
      <w:r w:rsidRPr="002C5351">
        <w:rPr>
          <w:rFonts w:eastAsia="MS Mincho"/>
          <w:i/>
          <w:lang w:val="fr-FR"/>
        </w:rPr>
        <w:t>πολλαπλό τέλος</w:t>
      </w:r>
      <w:r w:rsidR="00A104F0" w:rsidRPr="002C5351">
        <w:rPr>
          <w:rFonts w:eastAsia="MS Mincho"/>
          <w:lang w:val="fr-FR"/>
        </w:rPr>
        <w:t>) pour cause d</w:t>
      </w:r>
      <w:r w:rsidR="003C2190">
        <w:rPr>
          <w:rFonts w:eastAsia="MS Mincho"/>
          <w:lang w:val="fr-FR"/>
        </w:rPr>
        <w:t>’</w:t>
      </w:r>
      <w:r w:rsidRPr="002C5351">
        <w:rPr>
          <w:rFonts w:eastAsia="MS Mincho"/>
          <w:lang w:val="fr-FR"/>
        </w:rPr>
        <w:t>infraction douanière de contrebande est autonome par rapport à la procédure pénale respective. Lorsque le tribunal administratif se prononce sur l</w:t>
      </w:r>
      <w:r w:rsidR="003C2190">
        <w:rPr>
          <w:rFonts w:eastAsia="MS Mincho"/>
          <w:lang w:val="fr-FR"/>
        </w:rPr>
        <w:t>’</w:t>
      </w:r>
      <w:r w:rsidRPr="002C5351">
        <w:rPr>
          <w:rFonts w:eastAsia="MS Mincho"/>
          <w:lang w:val="fr-FR"/>
        </w:rPr>
        <w:t>imposition d</w:t>
      </w:r>
      <w:r w:rsidR="003C2190">
        <w:rPr>
          <w:rFonts w:eastAsia="MS Mincho"/>
          <w:lang w:val="fr-FR"/>
        </w:rPr>
        <w:t>’</w:t>
      </w:r>
      <w:r w:rsidRPr="002C5351">
        <w:rPr>
          <w:rFonts w:eastAsia="MS Mincho"/>
          <w:lang w:val="fr-FR"/>
        </w:rPr>
        <w:t>une amende administrative (</w:t>
      </w:r>
      <w:r w:rsidRPr="002C5351">
        <w:rPr>
          <w:rFonts w:eastAsia="MS Mincho"/>
          <w:i/>
          <w:lang w:val="fr-FR"/>
        </w:rPr>
        <w:t>πολλαπλό τέλος</w:t>
      </w:r>
      <w:r w:rsidRPr="002C5351">
        <w:rPr>
          <w:rFonts w:eastAsia="MS Mincho"/>
          <w:lang w:val="fr-FR"/>
        </w:rPr>
        <w:t>) pour cause de contrebande, il n</w:t>
      </w:r>
      <w:r w:rsidR="003C2190">
        <w:rPr>
          <w:rFonts w:eastAsia="MS Mincho"/>
          <w:lang w:val="fr-FR"/>
        </w:rPr>
        <w:t>’</w:t>
      </w:r>
      <w:r w:rsidRPr="002C5351">
        <w:rPr>
          <w:rFonts w:eastAsia="MS Mincho"/>
          <w:lang w:val="fr-FR"/>
        </w:rPr>
        <w:t>est pas lié par une décision du tribunal pénal qui aurait éventuellement déjà été rendue, à moins qu</w:t>
      </w:r>
      <w:r w:rsidR="003C2190">
        <w:rPr>
          <w:rFonts w:eastAsia="MS Mincho"/>
          <w:lang w:val="fr-FR"/>
        </w:rPr>
        <w:t>’</w:t>
      </w:r>
      <w:r w:rsidRPr="002C5351">
        <w:rPr>
          <w:rFonts w:eastAsia="MS Mincho"/>
          <w:lang w:val="fr-FR"/>
        </w:rPr>
        <w:t>il s</w:t>
      </w:r>
      <w:r w:rsidR="003C2190">
        <w:rPr>
          <w:rFonts w:eastAsia="MS Mincho"/>
          <w:lang w:val="fr-FR"/>
        </w:rPr>
        <w:t>’</w:t>
      </w:r>
      <w:r w:rsidRPr="002C5351">
        <w:rPr>
          <w:rFonts w:eastAsia="MS Mincho"/>
          <w:lang w:val="fr-FR"/>
        </w:rPr>
        <w:t>agisse d</w:t>
      </w:r>
      <w:r w:rsidR="003C2190">
        <w:rPr>
          <w:rFonts w:eastAsia="MS Mincho"/>
          <w:lang w:val="fr-FR"/>
        </w:rPr>
        <w:t>’</w:t>
      </w:r>
      <w:r w:rsidRPr="002C5351">
        <w:rPr>
          <w:rFonts w:eastAsia="MS Mincho"/>
          <w:lang w:val="fr-FR"/>
        </w:rPr>
        <w:t>un jugement condamnatoire. Le tribunal administratif n</w:t>
      </w:r>
      <w:r w:rsidR="003C2190">
        <w:rPr>
          <w:rFonts w:eastAsia="MS Mincho"/>
          <w:lang w:val="fr-FR"/>
        </w:rPr>
        <w:t>’</w:t>
      </w:r>
      <w:r w:rsidRPr="002C5351">
        <w:rPr>
          <w:rFonts w:eastAsia="MS Mincho"/>
          <w:lang w:val="fr-FR"/>
        </w:rPr>
        <w:t>est tenu que de prendre en considération le jugement de la juridiction pénale.</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44</w:t>
      </w:r>
      <w:r>
        <w:rPr>
          <w:rFonts w:eastAsia="MS Mincho"/>
          <w:lang w:val="fr-FR"/>
        </w:rPr>
        <w:fldChar w:fldCharType="end"/>
      </w:r>
      <w:r>
        <w:rPr>
          <w:rFonts w:eastAsia="MS Mincho"/>
          <w:lang w:val="fr-FR"/>
        </w:rPr>
        <w:t xml:space="preserve">.  La haute juridiction administrative a aussi considéré que le principe </w:t>
      </w:r>
      <w:r>
        <w:rPr>
          <w:rFonts w:eastAsia="MS Mincho"/>
          <w:i/>
          <w:lang w:val="fr-FR"/>
        </w:rPr>
        <w:t xml:space="preserve">ne bis in idem </w:t>
      </w:r>
      <w:r>
        <w:rPr>
          <w:rFonts w:eastAsia="MS Mincho"/>
          <w:lang w:val="fr-FR"/>
        </w:rPr>
        <w:t>n</w:t>
      </w:r>
      <w:r w:rsidR="003C2190">
        <w:rPr>
          <w:rFonts w:eastAsia="MS Mincho"/>
          <w:lang w:val="fr-FR"/>
        </w:rPr>
        <w:t>’</w:t>
      </w:r>
      <w:r>
        <w:rPr>
          <w:rFonts w:eastAsia="MS Mincho"/>
          <w:lang w:val="fr-FR"/>
        </w:rPr>
        <w:t>apparaît pas être atteint lorsque l</w:t>
      </w:r>
      <w:r w:rsidR="003C2190">
        <w:rPr>
          <w:rFonts w:eastAsia="MS Mincho"/>
          <w:lang w:val="fr-FR"/>
        </w:rPr>
        <w:t>’</w:t>
      </w:r>
      <w:r>
        <w:rPr>
          <w:rFonts w:eastAsia="MS Mincho"/>
          <w:lang w:val="fr-FR"/>
        </w:rPr>
        <w:t>intéressé sait d</w:t>
      </w:r>
      <w:r w:rsidR="003C2190">
        <w:rPr>
          <w:rFonts w:eastAsia="MS Mincho"/>
          <w:lang w:val="fr-FR"/>
        </w:rPr>
        <w:t>’</w:t>
      </w:r>
      <w:r>
        <w:rPr>
          <w:rFonts w:eastAsia="MS Mincho"/>
          <w:lang w:val="fr-FR"/>
        </w:rPr>
        <w:t>emblée qu</w:t>
      </w:r>
      <w:r w:rsidR="003C2190">
        <w:rPr>
          <w:rFonts w:eastAsia="MS Mincho"/>
          <w:lang w:val="fr-FR"/>
        </w:rPr>
        <w:t>’</w:t>
      </w:r>
      <w:r>
        <w:rPr>
          <w:rFonts w:eastAsia="MS Mincho"/>
          <w:lang w:val="fr-FR"/>
        </w:rPr>
        <w:t>en raison du système juridictionnel établi une part de sa responsabilité légale sera examinée par un ordre de juridiction et le reste par un autre, comme c</w:t>
      </w:r>
      <w:r w:rsidR="003C2190">
        <w:rPr>
          <w:rFonts w:eastAsia="MS Mincho"/>
          <w:lang w:val="fr-FR"/>
        </w:rPr>
        <w:t>’</w:t>
      </w:r>
      <w:r>
        <w:rPr>
          <w:rFonts w:eastAsia="MS Mincho"/>
          <w:lang w:val="fr-FR"/>
        </w:rPr>
        <w:t>est le cas en Grèce depuis plusieurs décennies. De plus, la lettre de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faisant référence à une condamnation et </w:t>
      </w:r>
      <w:r>
        <w:rPr>
          <w:rFonts w:eastAsia="MS Mincho"/>
          <w:lang w:val="fr-FR"/>
        </w:rPr>
        <w:lastRenderedPageBreak/>
        <w:t>poursuite « pénales » ainsi qu</w:t>
      </w:r>
      <w:r w:rsidR="003C2190">
        <w:rPr>
          <w:rFonts w:eastAsia="MS Mincho"/>
          <w:lang w:val="fr-FR"/>
        </w:rPr>
        <w:t>’</w:t>
      </w:r>
      <w:r>
        <w:rPr>
          <w:rFonts w:eastAsia="MS Mincho"/>
          <w:lang w:val="fr-FR"/>
        </w:rPr>
        <w:t>à une « procédure pénale » des États, la Grèce n</w:t>
      </w:r>
      <w:r w:rsidR="003C2190">
        <w:rPr>
          <w:rFonts w:eastAsia="MS Mincho"/>
          <w:lang w:val="fr-FR"/>
        </w:rPr>
        <w:t>’</w:t>
      </w:r>
      <w:r>
        <w:rPr>
          <w:rFonts w:eastAsia="MS Mincho"/>
          <w:lang w:val="fr-FR"/>
        </w:rPr>
        <w:t>aurait pas pu envisager qu</w:t>
      </w:r>
      <w:r w:rsidR="003C2190">
        <w:rPr>
          <w:rFonts w:eastAsia="MS Mincho"/>
          <w:lang w:val="fr-FR"/>
        </w:rPr>
        <w:t>’</w:t>
      </w:r>
      <w:r>
        <w:rPr>
          <w:rFonts w:eastAsia="MS Mincho"/>
          <w:lang w:val="fr-FR"/>
        </w:rPr>
        <w:t>en raison de la jurisprudence constamment évolutive de la Cour, elle s</w:t>
      </w:r>
      <w:r w:rsidR="003C2190">
        <w:rPr>
          <w:rFonts w:eastAsia="MS Mincho"/>
          <w:lang w:val="fr-FR"/>
        </w:rPr>
        <w:t>’</w:t>
      </w:r>
      <w:r>
        <w:rPr>
          <w:rFonts w:eastAsia="MS Mincho"/>
          <w:lang w:val="fr-FR"/>
        </w:rPr>
        <w:t xml:space="preserve">engageait à respecter des obligations internationales contraires à ses traditions juridiques bien ancrées et à la Constitution elle-même. En tout état de cause, à supposer même que la jurisprudence </w:t>
      </w:r>
      <w:r>
        <w:rPr>
          <w:rFonts w:eastAsia="MS Mincho"/>
          <w:i/>
          <w:lang w:val="fr-FR" w:eastAsia="fr-FR"/>
        </w:rPr>
        <w:t xml:space="preserve">Sergueï Zolotoukhine </w:t>
      </w:r>
      <w:r>
        <w:rPr>
          <w:rFonts w:eastAsia="MS Mincho"/>
          <w:lang w:val="fr-FR" w:eastAsia="fr-FR"/>
        </w:rPr>
        <w:t xml:space="preserve">de la Cour </w:t>
      </w:r>
      <w:r>
        <w:rPr>
          <w:rFonts w:eastAsia="MS Mincho"/>
          <w:lang w:val="fr-FR"/>
        </w:rPr>
        <w:t>était applicable en l</w:t>
      </w:r>
      <w:r w:rsidR="003C2190">
        <w:rPr>
          <w:rFonts w:eastAsia="MS Mincho"/>
          <w:lang w:val="fr-FR"/>
        </w:rPr>
        <w:t>’</w:t>
      </w:r>
      <w:r>
        <w:rPr>
          <w:rFonts w:eastAsia="MS Mincho"/>
          <w:lang w:val="fr-FR"/>
        </w:rPr>
        <w:t>espèce, elle devrait trouver application dans les affaires nées après sa publication et non pas avant. Ceci serait justifié pour donner aux États la possibilité d</w:t>
      </w:r>
      <w:r w:rsidR="003C2190">
        <w:rPr>
          <w:rFonts w:eastAsia="MS Mincho"/>
          <w:lang w:val="fr-FR"/>
        </w:rPr>
        <w:t>’</w:t>
      </w:r>
      <w:r>
        <w:rPr>
          <w:rFonts w:eastAsia="MS Mincho"/>
          <w:lang w:val="fr-FR"/>
        </w:rPr>
        <w:t>adapter leur législation et éventuellement leur Constitution à l</w:t>
      </w:r>
      <w:r w:rsidR="003C2190">
        <w:rPr>
          <w:rFonts w:eastAsia="MS Mincho"/>
          <w:lang w:val="fr-FR"/>
        </w:rPr>
        <w:t>’</w:t>
      </w:r>
      <w:r>
        <w:rPr>
          <w:rFonts w:eastAsia="MS Mincho"/>
          <w:lang w:val="fr-FR"/>
        </w:rPr>
        <w:t>évolution de la jurisprudence de la Cour. En outre, les auteurs potentiels de contrebande ne pourraient pas fuir les sanctions d</w:t>
      </w:r>
      <w:r w:rsidR="003C2190">
        <w:rPr>
          <w:rFonts w:eastAsia="MS Mincho"/>
          <w:lang w:val="fr-FR"/>
        </w:rPr>
        <w:t>’</w:t>
      </w:r>
      <w:r>
        <w:rPr>
          <w:rFonts w:eastAsia="MS Mincho"/>
          <w:lang w:val="fr-FR"/>
        </w:rPr>
        <w:t>une législation qu</w:t>
      </w:r>
      <w:r w:rsidR="003C2190">
        <w:rPr>
          <w:rFonts w:eastAsia="MS Mincho"/>
          <w:lang w:val="fr-FR"/>
        </w:rPr>
        <w:t>’</w:t>
      </w:r>
      <w:r>
        <w:rPr>
          <w:rFonts w:eastAsia="MS Mincho"/>
          <w:lang w:val="fr-FR"/>
        </w:rPr>
        <w:t>ils connaissaient depuis longtemps à travers l</w:t>
      </w:r>
      <w:r w:rsidR="003C2190">
        <w:rPr>
          <w:rFonts w:eastAsia="MS Mincho"/>
          <w:lang w:val="fr-FR"/>
        </w:rPr>
        <w:t>’</w:t>
      </w:r>
      <w:r>
        <w:rPr>
          <w:rFonts w:eastAsia="MS Mincho"/>
          <w:lang w:val="fr-FR"/>
        </w:rPr>
        <w:t>invocation de la jurisprudence de la Cour. En tout état de cause,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tel qu</w:t>
      </w:r>
      <w:r w:rsidR="003C2190">
        <w:rPr>
          <w:rFonts w:eastAsia="MS Mincho"/>
          <w:lang w:val="fr-FR"/>
        </w:rPr>
        <w:t>’</w:t>
      </w:r>
      <w:r>
        <w:rPr>
          <w:rFonts w:eastAsia="MS Mincho"/>
          <w:lang w:val="fr-FR"/>
        </w:rPr>
        <w:t xml:space="preserve">il est </w:t>
      </w:r>
      <w:r w:rsidRPr="002C5351">
        <w:rPr>
          <w:rFonts w:eastAsia="MS Mincho"/>
          <w:lang w:val="fr-FR"/>
        </w:rPr>
        <w:t>interprété par la Cour, ne pourrait pas trouver application en l</w:t>
      </w:r>
      <w:r w:rsidR="003C2190">
        <w:rPr>
          <w:rFonts w:eastAsia="MS Mincho"/>
          <w:lang w:val="fr-FR"/>
        </w:rPr>
        <w:t>’</w:t>
      </w:r>
      <w:r w:rsidRPr="002C5351">
        <w:rPr>
          <w:rFonts w:eastAsia="MS Mincho"/>
          <w:lang w:val="fr-FR"/>
        </w:rPr>
        <w:t>espèce, puisque il serait contraire aux articles 94 § 1 et 96 § 1 de la Constitution. En particulier, l</w:t>
      </w:r>
      <w:r w:rsidR="003C2190">
        <w:rPr>
          <w:rFonts w:eastAsia="MS Mincho"/>
          <w:lang w:val="fr-FR"/>
        </w:rPr>
        <w:t>’</w:t>
      </w:r>
      <w:r w:rsidRPr="002C5351">
        <w:rPr>
          <w:rFonts w:eastAsia="MS Mincho"/>
          <w:lang w:val="fr-FR"/>
        </w:rPr>
        <w:t>article 4 du Protocole n</w:t>
      </w:r>
      <w:r w:rsidR="007E7B24" w:rsidRPr="007E7B24">
        <w:rPr>
          <w:rFonts w:eastAsia="MS Mincho"/>
          <w:vertAlign w:val="superscript"/>
          <w:lang w:val="fr-FR"/>
        </w:rPr>
        <w:t>o</w:t>
      </w:r>
      <w:r w:rsidRPr="002C5351">
        <w:rPr>
          <w:rFonts w:eastAsia="MS Mincho"/>
          <w:lang w:val="fr-FR"/>
        </w:rPr>
        <w:t xml:space="preserve"> 7 priverait le tribunal administratif ou pénal de son obligation, aux termes de la Constitution, de trancher l</w:t>
      </w:r>
      <w:r w:rsidR="003C2190">
        <w:rPr>
          <w:rFonts w:eastAsia="MS Mincho"/>
          <w:lang w:val="fr-FR"/>
        </w:rPr>
        <w:t>’</w:t>
      </w:r>
      <w:r w:rsidRPr="002C5351">
        <w:rPr>
          <w:rFonts w:eastAsia="MS Mincho"/>
          <w:lang w:val="fr-FR"/>
        </w:rPr>
        <w:t xml:space="preserve">affaire administrative ou pénale ; dans le cas de la juridiction administrative, tel serait le cas si </w:t>
      </w:r>
      <w:r w:rsidR="00A104F0" w:rsidRPr="002C5351">
        <w:rPr>
          <w:rFonts w:eastAsia="MS Mincho"/>
          <w:lang w:val="fr-FR"/>
        </w:rPr>
        <w:t>elle</w:t>
      </w:r>
      <w:r w:rsidRPr="002C5351">
        <w:rPr>
          <w:rFonts w:eastAsia="MS Mincho"/>
          <w:lang w:val="fr-FR"/>
        </w:rPr>
        <w:t xml:space="preserve"> se trouvait dans l</w:t>
      </w:r>
      <w:r w:rsidR="003C2190">
        <w:rPr>
          <w:rFonts w:eastAsia="MS Mincho"/>
          <w:lang w:val="fr-FR"/>
        </w:rPr>
        <w:t>’</w:t>
      </w:r>
      <w:r w:rsidRPr="002C5351">
        <w:rPr>
          <w:rFonts w:eastAsia="MS Mincho"/>
          <w:lang w:val="fr-FR"/>
        </w:rPr>
        <w:t>obligation d</w:t>
      </w:r>
      <w:r w:rsidR="003C2190">
        <w:rPr>
          <w:rFonts w:eastAsia="MS Mincho"/>
          <w:lang w:val="fr-FR"/>
        </w:rPr>
        <w:t>’</w:t>
      </w:r>
      <w:r w:rsidRPr="002C5351">
        <w:rPr>
          <w:rFonts w:eastAsia="MS Mincho"/>
          <w:lang w:val="fr-FR"/>
        </w:rPr>
        <w:t>annuler l</w:t>
      </w:r>
      <w:r w:rsidR="003C2190">
        <w:rPr>
          <w:rFonts w:eastAsia="MS Mincho"/>
          <w:lang w:val="fr-FR"/>
        </w:rPr>
        <w:t>’</w:t>
      </w:r>
      <w:r w:rsidRPr="002C5351">
        <w:rPr>
          <w:rFonts w:eastAsia="MS Mincho"/>
          <w:lang w:val="fr-FR"/>
        </w:rPr>
        <w:t>amende administrative (</w:t>
      </w:r>
      <w:r w:rsidRPr="002C5351">
        <w:rPr>
          <w:rFonts w:eastAsia="MS Mincho"/>
          <w:i/>
          <w:lang w:val="el-GR"/>
        </w:rPr>
        <w:t>πολλαπλό</w:t>
      </w:r>
      <w:r w:rsidRPr="002C5351">
        <w:rPr>
          <w:rFonts w:eastAsia="MS Mincho"/>
          <w:i/>
          <w:lang w:val="fr-FR"/>
        </w:rPr>
        <w:t xml:space="preserve"> </w:t>
      </w:r>
      <w:r w:rsidRPr="002C5351">
        <w:rPr>
          <w:rFonts w:eastAsia="MS Mincho"/>
          <w:i/>
          <w:lang w:val="el-GR"/>
        </w:rPr>
        <w:t>τέλος</w:t>
      </w:r>
      <w:r w:rsidRPr="002C5351">
        <w:rPr>
          <w:rFonts w:eastAsia="MS Mincho"/>
          <w:lang w:val="fr-FR"/>
        </w:rPr>
        <w:t>) du fait d</w:t>
      </w:r>
      <w:r w:rsidR="003C2190">
        <w:rPr>
          <w:rFonts w:eastAsia="MS Mincho"/>
          <w:lang w:val="fr-FR"/>
        </w:rPr>
        <w:t>’</w:t>
      </w:r>
      <w:r w:rsidRPr="002C5351">
        <w:rPr>
          <w:rFonts w:eastAsia="MS Mincho"/>
          <w:lang w:val="fr-FR"/>
        </w:rPr>
        <w:t>un jugement d</w:t>
      </w:r>
      <w:r w:rsidR="003C2190">
        <w:rPr>
          <w:rFonts w:eastAsia="MS Mincho"/>
          <w:lang w:val="fr-FR"/>
        </w:rPr>
        <w:t>’</w:t>
      </w:r>
      <w:r w:rsidRPr="002C5351">
        <w:rPr>
          <w:rFonts w:eastAsia="MS Mincho"/>
          <w:lang w:val="fr-FR"/>
        </w:rPr>
        <w:t xml:space="preserve">acquittement ou de condamnation du tribunal pénal, et, </w:t>
      </w:r>
      <w:r w:rsidR="00A104F0" w:rsidRPr="002C5351">
        <w:rPr>
          <w:rFonts w:eastAsia="MS Mincho"/>
          <w:lang w:val="fr-FR"/>
        </w:rPr>
        <w:t>il en serait de même pour</w:t>
      </w:r>
      <w:r w:rsidRPr="002C5351">
        <w:rPr>
          <w:rFonts w:eastAsia="MS Mincho"/>
          <w:lang w:val="fr-FR"/>
        </w:rPr>
        <w:t xml:space="preserve"> la juridiction pénale.</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45</w:t>
      </w:r>
      <w:r>
        <w:rPr>
          <w:rFonts w:eastAsia="MS Mincho"/>
          <w:lang w:val="fr-FR"/>
        </w:rPr>
        <w:fldChar w:fldCharType="end"/>
      </w:r>
      <w:r>
        <w:rPr>
          <w:rFonts w:eastAsia="MS Mincho"/>
          <w:lang w:val="fr-FR"/>
        </w:rPr>
        <w:t>.  Selon l</w:t>
      </w:r>
      <w:r w:rsidR="003C2190">
        <w:rPr>
          <w:rFonts w:eastAsia="MS Mincho"/>
          <w:lang w:val="fr-FR"/>
        </w:rPr>
        <w:t>’</w:t>
      </w:r>
      <w:r>
        <w:rPr>
          <w:rFonts w:eastAsia="MS Mincho"/>
          <w:lang w:val="fr-FR"/>
        </w:rPr>
        <w:t>opinion dissidente d</w:t>
      </w:r>
      <w:r w:rsidR="003C2190">
        <w:rPr>
          <w:rFonts w:eastAsia="MS Mincho"/>
          <w:lang w:val="fr-FR"/>
        </w:rPr>
        <w:t>’</w:t>
      </w:r>
      <w:r>
        <w:rPr>
          <w:rFonts w:eastAsia="MS Mincho"/>
          <w:lang w:val="fr-FR"/>
        </w:rPr>
        <w:t>une conseillère d</w:t>
      </w:r>
      <w:r w:rsidR="003C2190">
        <w:rPr>
          <w:rFonts w:eastAsia="MS Mincho"/>
          <w:lang w:val="fr-FR"/>
        </w:rPr>
        <w:t>’</w:t>
      </w:r>
      <w:r>
        <w:rPr>
          <w:rFonts w:eastAsia="MS Mincho"/>
          <w:lang w:val="fr-FR"/>
        </w:rPr>
        <w:t>État, c</w:t>
      </w:r>
      <w:r w:rsidR="003C2190">
        <w:rPr>
          <w:rFonts w:eastAsia="MS Mincho"/>
          <w:lang w:val="fr-FR"/>
        </w:rPr>
        <w:t>’</w:t>
      </w:r>
      <w:r>
        <w:rPr>
          <w:rFonts w:eastAsia="MS Mincho"/>
          <w:lang w:val="fr-FR"/>
        </w:rPr>
        <w:t>est la dualité administrative et pénale de la procédure en cause qui la fait entrer dans le champ d</w:t>
      </w:r>
      <w:r w:rsidR="003C2190">
        <w:rPr>
          <w:rFonts w:eastAsia="MS Mincho"/>
          <w:lang w:val="fr-FR"/>
        </w:rPr>
        <w:t>’</w:t>
      </w:r>
      <w:r>
        <w:rPr>
          <w:rFonts w:eastAsia="MS Mincho"/>
          <w:lang w:val="fr-FR"/>
        </w:rPr>
        <w:t>application de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Étant donné que la Convention jouit d</w:t>
      </w:r>
      <w:r w:rsidR="003C2190">
        <w:rPr>
          <w:rFonts w:eastAsia="MS Mincho"/>
          <w:lang w:val="fr-FR"/>
        </w:rPr>
        <w:t>’</w:t>
      </w:r>
      <w:r>
        <w:rPr>
          <w:rFonts w:eastAsia="MS Mincho"/>
          <w:lang w:val="fr-FR"/>
        </w:rPr>
        <w:t>un statut supra législatif en droit interne grec, lorsque la première procédure s</w:t>
      </w:r>
      <w:r w:rsidR="003C2190">
        <w:rPr>
          <w:rFonts w:eastAsia="MS Mincho"/>
          <w:lang w:val="fr-FR"/>
        </w:rPr>
        <w:t>’</w:t>
      </w:r>
      <w:r>
        <w:rPr>
          <w:rFonts w:eastAsia="MS Mincho"/>
          <w:lang w:val="fr-FR"/>
        </w:rPr>
        <w:t>achève par une décision de condamnation ou d</w:t>
      </w:r>
      <w:r w:rsidR="003C2190">
        <w:rPr>
          <w:rFonts w:eastAsia="MS Mincho"/>
          <w:lang w:val="fr-FR"/>
        </w:rPr>
        <w:t>’</w:t>
      </w:r>
      <w:r>
        <w:rPr>
          <w:rFonts w:eastAsia="MS Mincho"/>
          <w:lang w:val="fr-FR"/>
        </w:rPr>
        <w:t>acquittement, l</w:t>
      </w:r>
      <w:r w:rsidR="003C2190">
        <w:rPr>
          <w:rFonts w:eastAsia="MS Mincho"/>
          <w:lang w:val="fr-FR"/>
        </w:rPr>
        <w:t>’</w:t>
      </w:r>
      <w:r>
        <w:rPr>
          <w:rFonts w:eastAsia="MS Mincho"/>
          <w:lang w:val="fr-FR"/>
        </w:rPr>
        <w:t>autre doit cesser. En outre, selon la même opinion dissidente, le fait que les tribunaux d</w:t>
      </w:r>
      <w:r w:rsidR="003C2190">
        <w:rPr>
          <w:rFonts w:eastAsia="MS Mincho"/>
          <w:lang w:val="fr-FR"/>
        </w:rPr>
        <w:t>’</w:t>
      </w:r>
      <w:r>
        <w:rPr>
          <w:rFonts w:eastAsia="MS Mincho"/>
          <w:lang w:val="fr-FR"/>
        </w:rPr>
        <w:t>un certain ordre juridictionnel sont liés par les décisions d</w:t>
      </w:r>
      <w:r w:rsidR="003C2190">
        <w:rPr>
          <w:rFonts w:eastAsia="MS Mincho"/>
          <w:lang w:val="fr-FR"/>
        </w:rPr>
        <w:t>’</w:t>
      </w:r>
      <w:r>
        <w:rPr>
          <w:rFonts w:eastAsia="MS Mincho"/>
          <w:lang w:val="fr-FR"/>
        </w:rPr>
        <w:t>un autre ordre de juridiction n</w:t>
      </w:r>
      <w:r w:rsidR="003C2190">
        <w:rPr>
          <w:rFonts w:eastAsia="MS Mincho"/>
          <w:lang w:val="fr-FR"/>
        </w:rPr>
        <w:t>’</w:t>
      </w:r>
      <w:r>
        <w:rPr>
          <w:rFonts w:eastAsia="MS Mincho"/>
          <w:lang w:val="fr-FR"/>
        </w:rPr>
        <w:t>est pas incompatible avec les articles 94 § 1 et 96 § 1 de la Constitution. Au contraire, il est conforme à l</w:t>
      </w:r>
      <w:r w:rsidR="003C2190">
        <w:rPr>
          <w:rFonts w:eastAsia="MS Mincho"/>
          <w:lang w:val="fr-FR"/>
        </w:rPr>
        <w:t>’</w:t>
      </w:r>
      <w:r>
        <w:rPr>
          <w:rFonts w:eastAsia="MS Mincho"/>
          <w:lang w:val="fr-FR"/>
        </w:rPr>
        <w:t>article 20 § 1 de la Constitution, disposition qui prévoit le droit à la protection judiciaire.</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46</w:t>
      </w:r>
      <w:r>
        <w:rPr>
          <w:rFonts w:eastAsia="MS Mincho"/>
          <w:lang w:val="fr-FR"/>
        </w:rPr>
        <w:fldChar w:fldCharType="end"/>
      </w:r>
      <w:r>
        <w:rPr>
          <w:rFonts w:eastAsia="MS Mincho"/>
          <w:lang w:val="fr-FR"/>
        </w:rPr>
        <w:t>.  Dans son arrêt n</w:t>
      </w:r>
      <w:r w:rsidR="007E7B24" w:rsidRPr="007E7B24">
        <w:rPr>
          <w:rFonts w:eastAsia="MS Mincho"/>
          <w:vertAlign w:val="superscript"/>
          <w:lang w:val="fr-FR"/>
        </w:rPr>
        <w:t>o</w:t>
      </w:r>
      <w:r>
        <w:rPr>
          <w:rFonts w:eastAsia="MS Mincho"/>
          <w:lang w:val="fr-FR"/>
        </w:rPr>
        <w:t xml:space="preserve"> 4662/2012 (plénière), le Conseil d</w:t>
      </w:r>
      <w:r w:rsidR="003C2190">
        <w:rPr>
          <w:rFonts w:eastAsia="MS Mincho"/>
          <w:lang w:val="fr-FR"/>
        </w:rPr>
        <w:t>’</w:t>
      </w:r>
      <w:r>
        <w:rPr>
          <w:rFonts w:eastAsia="MS Mincho"/>
          <w:lang w:val="fr-FR"/>
        </w:rPr>
        <w:t>État a, entre autres, jugé qu</w:t>
      </w:r>
      <w:r w:rsidR="003C2190">
        <w:rPr>
          <w:rFonts w:eastAsia="MS Mincho"/>
          <w:lang w:val="fr-FR"/>
        </w:rPr>
        <w:t>’</w:t>
      </w:r>
      <w:r>
        <w:rPr>
          <w:rFonts w:eastAsia="MS Mincho"/>
          <w:lang w:val="fr-FR"/>
        </w:rPr>
        <w:t>en vertu du principe de l</w:t>
      </w:r>
      <w:r w:rsidR="003C2190">
        <w:rPr>
          <w:rFonts w:eastAsia="MS Mincho"/>
          <w:lang w:val="fr-FR"/>
        </w:rPr>
        <w:t>’</w:t>
      </w:r>
      <w:r>
        <w:rPr>
          <w:rFonts w:eastAsia="MS Mincho"/>
          <w:lang w:val="fr-FR"/>
        </w:rPr>
        <w:t>autonomie de la procédure disciplinaire à l</w:t>
      </w:r>
      <w:r w:rsidR="003C2190">
        <w:rPr>
          <w:rFonts w:eastAsia="MS Mincho"/>
          <w:lang w:val="fr-FR"/>
        </w:rPr>
        <w:t>’</w:t>
      </w:r>
      <w:r>
        <w:rPr>
          <w:rFonts w:eastAsia="MS Mincho"/>
          <w:lang w:val="fr-FR"/>
        </w:rPr>
        <w:t>égard du procès pénal, les organes disciplinaires ne sont pas obligés de relaxer la personne poursuivie pour une faute disciplinaire uniquement du fait qu</w:t>
      </w:r>
      <w:r w:rsidR="003C2190">
        <w:rPr>
          <w:rFonts w:eastAsia="MS Mincho"/>
          <w:lang w:val="fr-FR"/>
        </w:rPr>
        <w:t>’</w:t>
      </w:r>
      <w:r>
        <w:rPr>
          <w:rFonts w:eastAsia="MS Mincho"/>
          <w:lang w:val="fr-FR"/>
        </w:rPr>
        <w:t>elle avait déjà été acquittée par le tribunal pénal. L</w:t>
      </w:r>
      <w:r w:rsidR="003C2190">
        <w:rPr>
          <w:rFonts w:eastAsia="MS Mincho"/>
          <w:lang w:val="fr-FR"/>
        </w:rPr>
        <w:t>’</w:t>
      </w:r>
      <w:r>
        <w:rPr>
          <w:rFonts w:eastAsia="MS Mincho"/>
          <w:lang w:val="fr-FR"/>
        </w:rPr>
        <w:t>organe disciplinaire n</w:t>
      </w:r>
      <w:r w:rsidR="003C2190">
        <w:rPr>
          <w:rFonts w:eastAsia="MS Mincho"/>
          <w:lang w:val="fr-FR"/>
        </w:rPr>
        <w:t>’</w:t>
      </w:r>
      <w:r>
        <w:rPr>
          <w:rFonts w:eastAsia="MS Mincho"/>
          <w:lang w:val="fr-FR"/>
        </w:rPr>
        <w:t>est lié que par l</w:t>
      </w:r>
      <w:r w:rsidR="003C2190">
        <w:rPr>
          <w:rFonts w:eastAsia="MS Mincho"/>
          <w:lang w:val="fr-FR"/>
        </w:rPr>
        <w:t>’</w:t>
      </w:r>
      <w:r>
        <w:rPr>
          <w:rFonts w:eastAsia="MS Mincho"/>
          <w:lang w:val="fr-FR"/>
        </w:rPr>
        <w:t>appréciation du tribunal pénal sur l</w:t>
      </w:r>
      <w:r w:rsidR="003C2190">
        <w:rPr>
          <w:rFonts w:eastAsia="MS Mincho"/>
          <w:lang w:val="fr-FR"/>
        </w:rPr>
        <w:t>’</w:t>
      </w:r>
      <w:r>
        <w:rPr>
          <w:rFonts w:eastAsia="MS Mincho"/>
          <w:lang w:val="fr-FR"/>
        </w:rPr>
        <w:t>existence des faits qui constituent l</w:t>
      </w:r>
      <w:r w:rsidR="003C2190">
        <w:rPr>
          <w:rFonts w:eastAsia="MS Mincho"/>
          <w:lang w:val="fr-FR"/>
        </w:rPr>
        <w:t>’</w:t>
      </w:r>
      <w:r>
        <w:rPr>
          <w:rFonts w:eastAsia="MS Mincho"/>
          <w:lang w:val="fr-FR"/>
        </w:rPr>
        <w:t>élément matériel de la faute disciplinaire en cause. Pour le reste, la décision du tribunal pénal est prise en compte par l</w:t>
      </w:r>
      <w:r w:rsidR="003C2190">
        <w:rPr>
          <w:rFonts w:eastAsia="MS Mincho"/>
          <w:lang w:val="fr-FR"/>
        </w:rPr>
        <w:t>’</w:t>
      </w:r>
      <w:r>
        <w:rPr>
          <w:rFonts w:eastAsia="MS Mincho"/>
          <w:lang w:val="fr-FR"/>
        </w:rPr>
        <w:t xml:space="preserve">organe disciplinaire qui peut arriver à une conclusion différente que celle retenue par le premier, en se fondant sur les conditions </w:t>
      </w:r>
      <w:r>
        <w:rPr>
          <w:rFonts w:eastAsia="MS Mincho"/>
          <w:lang w:val="fr-FR"/>
        </w:rPr>
        <w:lastRenderedPageBreak/>
        <w:t>distinctes prévues par le droit disciplinaire pour constater l</w:t>
      </w:r>
      <w:r w:rsidR="003C2190">
        <w:rPr>
          <w:rFonts w:eastAsia="MS Mincho"/>
          <w:lang w:val="fr-FR"/>
        </w:rPr>
        <w:t>’</w:t>
      </w:r>
      <w:r>
        <w:rPr>
          <w:rFonts w:eastAsia="MS Mincho"/>
          <w:lang w:val="fr-FR"/>
        </w:rPr>
        <w:t>existence de la responsabilité disciplinaire.</w:t>
      </w:r>
    </w:p>
    <w:p w:rsidR="009A0B2E" w:rsidRPr="00BD469E" w:rsidRDefault="004F17CD" w:rsidP="00FB14A2">
      <w:pPr>
        <w:pStyle w:val="ECHRHeading1"/>
        <w:rPr>
          <w:lang w:val="fr-FR"/>
        </w:rPr>
      </w:pPr>
      <w:r w:rsidRPr="00BD469E">
        <w:rPr>
          <w:lang w:val="fr-FR"/>
        </w:rPr>
        <w:t>III</w:t>
      </w:r>
      <w:r w:rsidR="009A0B2E" w:rsidRPr="00BD469E">
        <w:rPr>
          <w:lang w:val="fr-FR"/>
        </w:rPr>
        <w:t>.  </w:t>
      </w:r>
      <w:r w:rsidRPr="00BD469E">
        <w:rPr>
          <w:lang w:val="fr-FR"/>
        </w:rPr>
        <w:t>LA JURISPRUDENCE DE LA COUR DE JUSTICE DE L</w:t>
      </w:r>
      <w:r w:rsidR="003C2190">
        <w:rPr>
          <w:lang w:val="fr-FR"/>
        </w:rPr>
        <w:t>’</w:t>
      </w:r>
      <w:r w:rsidRPr="00BD469E">
        <w:rPr>
          <w:lang w:val="fr-FR"/>
        </w:rPr>
        <w:t>UNION EUROPÉ</w:t>
      </w:r>
      <w:r w:rsidR="00A60CE2" w:rsidRPr="00BD469E">
        <w:rPr>
          <w:lang w:val="fr-FR"/>
        </w:rPr>
        <w:t>ENNE</w:t>
      </w:r>
    </w:p>
    <w:bookmarkStart w:id="3" w:name="point32"/>
    <w:p w:rsidR="009A0B2E" w:rsidRDefault="009A0B2E" w:rsidP="009A0B2E">
      <w:pPr>
        <w:pStyle w:val="ECHRPara"/>
        <w:rPr>
          <w:rFonts w:eastAsia="Times New Roman"/>
          <w:lang w:val="fr-FR"/>
        </w:rPr>
      </w:pPr>
      <w:r>
        <w:fldChar w:fldCharType="begin"/>
      </w:r>
      <w:r>
        <w:rPr>
          <w:rFonts w:eastAsia="MS Mincho"/>
          <w:lang w:val="fr-FR"/>
        </w:rPr>
        <w:instrText xml:space="preserve"> SEQ level0 \*arabic </w:instrText>
      </w:r>
      <w:r>
        <w:fldChar w:fldCharType="separate"/>
      </w:r>
      <w:r w:rsidR="00BD469E">
        <w:rPr>
          <w:rFonts w:eastAsia="MS Mincho"/>
          <w:noProof/>
          <w:lang w:val="fr-FR"/>
        </w:rPr>
        <w:t>47</w:t>
      </w:r>
      <w:r>
        <w:fldChar w:fldCharType="end"/>
      </w:r>
      <w:r>
        <w:rPr>
          <w:rFonts w:eastAsia="MS Mincho"/>
          <w:lang w:val="fr-FR"/>
        </w:rPr>
        <w:t xml:space="preserve">.  Dans son </w:t>
      </w:r>
      <w:r>
        <w:rPr>
          <w:rFonts w:eastAsia="Times New Roman"/>
          <w:lang w:val="fr-FR"/>
        </w:rPr>
        <w:t xml:space="preserve">arrêt </w:t>
      </w:r>
      <w:r>
        <w:rPr>
          <w:rFonts w:eastAsia="Times New Roman"/>
          <w:i/>
          <w:lang w:val="fr-FR"/>
        </w:rPr>
        <w:t>Hans Åkerberg Fransson</w:t>
      </w:r>
      <w:r>
        <w:rPr>
          <w:rFonts w:eastAsia="Times New Roman"/>
          <w:lang w:val="fr-FR"/>
        </w:rPr>
        <w:t xml:space="preserve"> (Affaire C-617/10), du 26 février 2013, la Cour de Justice de l</w:t>
      </w:r>
      <w:r w:rsidR="003C2190">
        <w:rPr>
          <w:rFonts w:eastAsia="Times New Roman"/>
          <w:lang w:val="fr-FR"/>
        </w:rPr>
        <w:t>’</w:t>
      </w:r>
      <w:r>
        <w:rPr>
          <w:rFonts w:eastAsia="Times New Roman"/>
          <w:lang w:val="fr-FR"/>
        </w:rPr>
        <w:t>Union Européenne (Grande chambre) considéra ce qui suit :</w:t>
      </w:r>
    </w:p>
    <w:p w:rsidR="009A0B2E" w:rsidRPr="00AF131B" w:rsidRDefault="009A0B2E" w:rsidP="00D72AF5">
      <w:pPr>
        <w:pStyle w:val="ECHRParaQuote"/>
        <w:rPr>
          <w:lang w:val="fr-FR"/>
        </w:rPr>
      </w:pPr>
      <w:r w:rsidRPr="00AF131B">
        <w:rPr>
          <w:lang w:val="fr-FR"/>
        </w:rPr>
        <w:t>« (</w:t>
      </w:r>
      <w:r w:rsidR="007E7B24" w:rsidRPr="00AF131B">
        <w:rPr>
          <w:lang w:val="fr-FR"/>
        </w:rPr>
        <w:t>...</w:t>
      </w:r>
      <w:r w:rsidRPr="00AF131B">
        <w:rPr>
          <w:lang w:val="fr-FR"/>
        </w:rPr>
        <w:t>)</w:t>
      </w:r>
    </w:p>
    <w:p w:rsidR="00AF131B" w:rsidRPr="00AF131B" w:rsidRDefault="009A0B2E" w:rsidP="00D72AF5">
      <w:pPr>
        <w:pStyle w:val="ECHRParaQuote"/>
        <w:rPr>
          <w:lang w:val="fr-FR"/>
        </w:rPr>
      </w:pPr>
      <w:r w:rsidRPr="00AF131B">
        <w:rPr>
          <w:lang w:val="fr-FR"/>
        </w:rPr>
        <w:t>32</w:t>
      </w:r>
      <w:bookmarkEnd w:id="3"/>
      <w:r w:rsidRPr="00AF131B">
        <w:rPr>
          <w:lang w:val="fr-FR"/>
        </w:rPr>
        <w:t>.</w:t>
      </w:r>
      <w:r w:rsidR="00FB14A2">
        <w:rPr>
          <w:lang w:val="fr-FR"/>
        </w:rPr>
        <w:t>  </w:t>
      </w:r>
      <w:r w:rsidRPr="00AF131B">
        <w:rPr>
          <w:lang w:val="fr-FR"/>
        </w:rPr>
        <w:t>Par ces questions, auxquelles il convient de répondre de manière conjointe, le Haparanda tingsrätt demande, en substance, à la Cour s</w:t>
      </w:r>
      <w:r w:rsidR="003C2190">
        <w:rPr>
          <w:lang w:val="fr-FR"/>
        </w:rPr>
        <w:t>’</w:t>
      </w:r>
      <w:r w:rsidRPr="00AF131B">
        <w:rPr>
          <w:lang w:val="fr-FR"/>
        </w:rPr>
        <w:t>il convient d</w:t>
      </w:r>
      <w:r w:rsidR="003C2190">
        <w:rPr>
          <w:lang w:val="fr-FR"/>
        </w:rPr>
        <w:t>’</w:t>
      </w:r>
      <w:r w:rsidRPr="00AF131B">
        <w:rPr>
          <w:lang w:val="fr-FR"/>
        </w:rPr>
        <w:t xml:space="preserve">interpréter le principe </w:t>
      </w:r>
      <w:r w:rsidRPr="00AF131B">
        <w:rPr>
          <w:i/>
          <w:lang w:val="fr-FR"/>
        </w:rPr>
        <w:t>ne bis in idem</w:t>
      </w:r>
      <w:r w:rsidRPr="00AF131B">
        <w:rPr>
          <w:lang w:val="fr-FR"/>
        </w:rPr>
        <w:t xml:space="preserve"> énoncé à l</w:t>
      </w:r>
      <w:r w:rsidR="003C2190">
        <w:rPr>
          <w:lang w:val="fr-FR"/>
        </w:rPr>
        <w:t>’</w:t>
      </w:r>
      <w:r w:rsidRPr="00AF131B">
        <w:rPr>
          <w:lang w:val="fr-FR"/>
        </w:rPr>
        <w:t>article 50 de la Charte en ce sens qu</w:t>
      </w:r>
      <w:r w:rsidR="003C2190">
        <w:rPr>
          <w:lang w:val="fr-FR"/>
        </w:rPr>
        <w:t>’</w:t>
      </w:r>
      <w:r w:rsidRPr="00AF131B">
        <w:rPr>
          <w:lang w:val="fr-FR"/>
        </w:rPr>
        <w:t>il s</w:t>
      </w:r>
      <w:r w:rsidR="003C2190">
        <w:rPr>
          <w:lang w:val="fr-FR"/>
        </w:rPr>
        <w:t>’</w:t>
      </w:r>
      <w:r w:rsidRPr="00AF131B">
        <w:rPr>
          <w:lang w:val="fr-FR"/>
        </w:rPr>
        <w:t>oppose à ce que des poursuites pénales pour fraude fiscale soient diligentées contre un prévenu, dès lors que ce dernier a déjà fait l</w:t>
      </w:r>
      <w:r w:rsidR="003C2190">
        <w:rPr>
          <w:lang w:val="fr-FR"/>
        </w:rPr>
        <w:t>’</w:t>
      </w:r>
      <w:r w:rsidRPr="00AF131B">
        <w:rPr>
          <w:lang w:val="fr-FR"/>
        </w:rPr>
        <w:t>objet d</w:t>
      </w:r>
      <w:r w:rsidR="003C2190">
        <w:rPr>
          <w:lang w:val="fr-FR"/>
        </w:rPr>
        <w:t>’</w:t>
      </w:r>
      <w:r w:rsidRPr="00AF131B">
        <w:rPr>
          <w:lang w:val="fr-FR"/>
        </w:rPr>
        <w:t>une sanction fiscale pour les mêmes faits de fausse déclaration.</w:t>
      </w:r>
    </w:p>
    <w:p w:rsidR="009A0B2E" w:rsidRPr="00AF131B" w:rsidRDefault="009A0B2E" w:rsidP="00D72AF5">
      <w:pPr>
        <w:pStyle w:val="ECHRParaQuote"/>
        <w:rPr>
          <w:lang w:val="fr-FR"/>
        </w:rPr>
      </w:pPr>
      <w:bookmarkStart w:id="4" w:name="point33"/>
      <w:r w:rsidRPr="00AF131B">
        <w:rPr>
          <w:lang w:val="fr-FR"/>
        </w:rPr>
        <w:t>33</w:t>
      </w:r>
      <w:bookmarkEnd w:id="4"/>
      <w:r w:rsidR="00FB14A2">
        <w:rPr>
          <w:lang w:val="fr-FR"/>
        </w:rPr>
        <w:t>.  </w:t>
      </w:r>
      <w:r w:rsidRPr="00AF131B">
        <w:rPr>
          <w:lang w:val="fr-FR"/>
        </w:rPr>
        <w:t>S</w:t>
      </w:r>
      <w:r w:rsidR="003C2190">
        <w:rPr>
          <w:lang w:val="fr-FR"/>
        </w:rPr>
        <w:t>’</w:t>
      </w:r>
      <w:r w:rsidRPr="00AF131B">
        <w:rPr>
          <w:lang w:val="fr-FR"/>
        </w:rPr>
        <w:t>agissant de l</w:t>
      </w:r>
      <w:r w:rsidR="003C2190">
        <w:rPr>
          <w:lang w:val="fr-FR"/>
        </w:rPr>
        <w:t>’</w:t>
      </w:r>
      <w:r w:rsidRPr="00AF131B">
        <w:rPr>
          <w:lang w:val="fr-FR"/>
        </w:rPr>
        <w:t xml:space="preserve">application du principe </w:t>
      </w:r>
      <w:r w:rsidRPr="00AF131B">
        <w:rPr>
          <w:i/>
          <w:lang w:val="fr-FR"/>
        </w:rPr>
        <w:t>ne bis in idem</w:t>
      </w:r>
      <w:r w:rsidRPr="00AF131B">
        <w:rPr>
          <w:lang w:val="fr-FR"/>
        </w:rPr>
        <w:t xml:space="preserve"> énoncé à l</w:t>
      </w:r>
      <w:r w:rsidR="003C2190">
        <w:rPr>
          <w:lang w:val="fr-FR"/>
        </w:rPr>
        <w:t>’</w:t>
      </w:r>
      <w:r w:rsidRPr="00AF131B">
        <w:rPr>
          <w:lang w:val="fr-FR"/>
        </w:rPr>
        <w:t>article 50 de la Charte à des poursuites pénales pour fraude fiscale telles que celles qui sont l</w:t>
      </w:r>
      <w:r w:rsidR="003C2190">
        <w:rPr>
          <w:lang w:val="fr-FR"/>
        </w:rPr>
        <w:t>’</w:t>
      </w:r>
      <w:r w:rsidRPr="00AF131B">
        <w:rPr>
          <w:lang w:val="fr-FR"/>
        </w:rPr>
        <w:t>objet du litige au principal, elle suppose que les mesures qui ont déjà été adoptées à l</w:t>
      </w:r>
      <w:r w:rsidR="003C2190">
        <w:rPr>
          <w:lang w:val="fr-FR"/>
        </w:rPr>
        <w:t>’</w:t>
      </w:r>
      <w:r w:rsidRPr="00AF131B">
        <w:rPr>
          <w:lang w:val="fr-FR"/>
        </w:rPr>
        <w:t>encontre du prévenu au moyen d</w:t>
      </w:r>
      <w:r w:rsidR="003C2190">
        <w:rPr>
          <w:lang w:val="fr-FR"/>
        </w:rPr>
        <w:t>’</w:t>
      </w:r>
      <w:r w:rsidRPr="00AF131B">
        <w:rPr>
          <w:lang w:val="fr-FR"/>
        </w:rPr>
        <w:t>une décision devenue définitive revêtent un caractère pénal.</w:t>
      </w:r>
    </w:p>
    <w:p w:rsidR="009A0B2E" w:rsidRPr="00AF131B" w:rsidRDefault="009A0B2E" w:rsidP="00D72AF5">
      <w:pPr>
        <w:pStyle w:val="ECHRParaQuote"/>
        <w:rPr>
          <w:lang w:val="fr-FR"/>
        </w:rPr>
      </w:pPr>
      <w:bookmarkStart w:id="5" w:name="point34"/>
      <w:r w:rsidRPr="00AF131B">
        <w:rPr>
          <w:lang w:val="fr-FR"/>
        </w:rPr>
        <w:t>34</w:t>
      </w:r>
      <w:bookmarkEnd w:id="5"/>
      <w:r w:rsidR="00FB14A2">
        <w:rPr>
          <w:lang w:val="fr-FR"/>
        </w:rPr>
        <w:t>.  </w:t>
      </w:r>
      <w:r w:rsidRPr="00AF131B">
        <w:rPr>
          <w:lang w:val="fr-FR"/>
        </w:rPr>
        <w:t>À cet égard, il convient de relever, tout d</w:t>
      </w:r>
      <w:r w:rsidR="003C2190">
        <w:rPr>
          <w:lang w:val="fr-FR"/>
        </w:rPr>
        <w:t>’</w:t>
      </w:r>
      <w:r w:rsidRPr="00AF131B">
        <w:rPr>
          <w:lang w:val="fr-FR"/>
        </w:rPr>
        <w:t>abord, que l</w:t>
      </w:r>
      <w:r w:rsidR="003C2190">
        <w:rPr>
          <w:lang w:val="fr-FR"/>
        </w:rPr>
        <w:t>’</w:t>
      </w:r>
      <w:r w:rsidRPr="00AF131B">
        <w:rPr>
          <w:lang w:val="fr-FR"/>
        </w:rPr>
        <w:t>article 50 de la Charte ne s</w:t>
      </w:r>
      <w:r w:rsidR="003C2190">
        <w:rPr>
          <w:lang w:val="fr-FR"/>
        </w:rPr>
        <w:t>’</w:t>
      </w:r>
      <w:r w:rsidRPr="00AF131B">
        <w:rPr>
          <w:lang w:val="fr-FR"/>
        </w:rPr>
        <w:t>oppose pas à ce qu</w:t>
      </w:r>
      <w:r w:rsidR="003C2190">
        <w:rPr>
          <w:lang w:val="fr-FR"/>
        </w:rPr>
        <w:t>’</w:t>
      </w:r>
      <w:r w:rsidRPr="00AF131B">
        <w:rPr>
          <w:lang w:val="fr-FR"/>
        </w:rPr>
        <w:t>un État membre impose, pour les mêmes faits de non-respect d</w:t>
      </w:r>
      <w:r w:rsidR="003C2190">
        <w:rPr>
          <w:lang w:val="fr-FR"/>
        </w:rPr>
        <w:t>’</w:t>
      </w:r>
      <w:r w:rsidRPr="00AF131B">
        <w:rPr>
          <w:lang w:val="fr-FR"/>
        </w:rPr>
        <w:t>obligations déclaratives dans le domaine de la TVA, une combinaison de sanctions fiscales et pénales. En effet, afin de garantir la perception de l</w:t>
      </w:r>
      <w:r w:rsidR="003C2190">
        <w:rPr>
          <w:lang w:val="fr-FR"/>
        </w:rPr>
        <w:t>’</w:t>
      </w:r>
      <w:r w:rsidRPr="00AF131B">
        <w:rPr>
          <w:lang w:val="fr-FR"/>
        </w:rPr>
        <w:t>intégralité des recettes provenant de la TVA et, ce faisant, la protection des intérêts financiers de l</w:t>
      </w:r>
      <w:r w:rsidR="003C2190">
        <w:rPr>
          <w:lang w:val="fr-FR"/>
        </w:rPr>
        <w:t>’</w:t>
      </w:r>
      <w:r w:rsidRPr="00AF131B">
        <w:rPr>
          <w:lang w:val="fr-FR"/>
        </w:rPr>
        <w:t>Union, les États membres disposent d</w:t>
      </w:r>
      <w:r w:rsidR="003C2190">
        <w:rPr>
          <w:lang w:val="fr-FR"/>
        </w:rPr>
        <w:t>’</w:t>
      </w:r>
      <w:r w:rsidRPr="00AF131B">
        <w:rPr>
          <w:lang w:val="fr-FR"/>
        </w:rPr>
        <w:t>une liberté de choix des sanctions applicables (voir, en ce sens, arrêts du 21 septembre 1989, Commission/Grèce, 68/88, Rec. p. 2965, point 24; du 7 décembre 2000</w:t>
      </w:r>
      <w:r w:rsidR="00AF131B">
        <w:rPr>
          <w:lang w:val="fr-FR"/>
        </w:rPr>
        <w:t>, de Andrade, C</w:t>
      </w:r>
      <w:r w:rsidR="00AF131B">
        <w:rPr>
          <w:lang w:val="fr-FR"/>
        </w:rPr>
        <w:noBreakHyphen/>
        <w:t>213/99, Rec. p. </w:t>
      </w:r>
      <w:r w:rsidRPr="00AF131B">
        <w:rPr>
          <w:lang w:val="fr-FR"/>
        </w:rPr>
        <w:t>I</w:t>
      </w:r>
      <w:r w:rsidRPr="00AF131B">
        <w:rPr>
          <w:lang w:val="fr-FR"/>
        </w:rPr>
        <w:noBreakHyphen/>
        <w:t>11083, point 19, et du 16 octobre 2003, Han</w:t>
      </w:r>
      <w:r w:rsidR="00AF131B">
        <w:rPr>
          <w:lang w:val="fr-FR"/>
        </w:rPr>
        <w:t>nl-Hofstetter, C</w:t>
      </w:r>
      <w:r w:rsidR="00AF131B">
        <w:rPr>
          <w:lang w:val="fr-FR"/>
        </w:rPr>
        <w:noBreakHyphen/>
        <w:t>91/02, Rec. p. </w:t>
      </w:r>
      <w:r w:rsidRPr="00AF131B">
        <w:rPr>
          <w:lang w:val="fr-FR"/>
        </w:rPr>
        <w:t>I</w:t>
      </w:r>
      <w:r w:rsidRPr="00AF131B">
        <w:rPr>
          <w:lang w:val="fr-FR"/>
        </w:rPr>
        <w:noBreakHyphen/>
        <w:t>12077, point 17). Celles-ci peuvent donc prendre la forme de sanctions administratives, de sanctions pénales ou d</w:t>
      </w:r>
      <w:r w:rsidR="003C2190">
        <w:rPr>
          <w:lang w:val="fr-FR"/>
        </w:rPr>
        <w:t>’</w:t>
      </w:r>
      <w:r w:rsidRPr="00AF131B">
        <w:rPr>
          <w:lang w:val="fr-FR"/>
        </w:rPr>
        <w:t>une combinaison des deux. Ce n</w:t>
      </w:r>
      <w:r w:rsidR="003C2190">
        <w:rPr>
          <w:lang w:val="fr-FR"/>
        </w:rPr>
        <w:t>’</w:t>
      </w:r>
      <w:r w:rsidRPr="00AF131B">
        <w:rPr>
          <w:lang w:val="fr-FR"/>
        </w:rPr>
        <w:t>est que lorsque la sanction fiscale revêt un caractère pénal, au sens de l</w:t>
      </w:r>
      <w:r w:rsidR="003C2190">
        <w:rPr>
          <w:lang w:val="fr-FR"/>
        </w:rPr>
        <w:t>’</w:t>
      </w:r>
      <w:r w:rsidRPr="00AF131B">
        <w:rPr>
          <w:lang w:val="fr-FR"/>
        </w:rPr>
        <w:t>article 50 de la Charte, et est devenue définitive que ladite disposition s</w:t>
      </w:r>
      <w:r w:rsidR="003C2190">
        <w:rPr>
          <w:lang w:val="fr-FR"/>
        </w:rPr>
        <w:t>’</w:t>
      </w:r>
      <w:r w:rsidRPr="00AF131B">
        <w:rPr>
          <w:lang w:val="fr-FR"/>
        </w:rPr>
        <w:t>oppose à ce que des poursuites pénales pour les mêmes faits soient diligentées contre une même personne.</w:t>
      </w:r>
    </w:p>
    <w:p w:rsidR="009A0B2E" w:rsidRPr="00AF131B" w:rsidRDefault="009A0B2E" w:rsidP="00D72AF5">
      <w:pPr>
        <w:pStyle w:val="ECHRParaQuote"/>
        <w:rPr>
          <w:lang w:val="fr-FR"/>
        </w:rPr>
      </w:pPr>
      <w:bookmarkStart w:id="6" w:name="point35"/>
      <w:r w:rsidRPr="00AF131B">
        <w:rPr>
          <w:lang w:val="fr-FR"/>
        </w:rPr>
        <w:t>35</w:t>
      </w:r>
      <w:bookmarkEnd w:id="6"/>
      <w:r w:rsidR="00FB14A2">
        <w:rPr>
          <w:lang w:val="fr-FR"/>
        </w:rPr>
        <w:t>.  </w:t>
      </w:r>
      <w:r w:rsidRPr="00AF131B">
        <w:rPr>
          <w:lang w:val="fr-FR"/>
        </w:rPr>
        <w:t>Ensuite, il y a lieu de rappeler que, aux fins de l</w:t>
      </w:r>
      <w:r w:rsidR="003C2190">
        <w:rPr>
          <w:lang w:val="fr-FR"/>
        </w:rPr>
        <w:t>’</w:t>
      </w:r>
      <w:r w:rsidRPr="00AF131B">
        <w:rPr>
          <w:lang w:val="fr-FR"/>
        </w:rPr>
        <w:t>appréciation de la nature pénale de sanctions fiscales, trois critères sont pertinents. Le premier est la qualification juridique de l</w:t>
      </w:r>
      <w:r w:rsidR="003C2190">
        <w:rPr>
          <w:lang w:val="fr-FR"/>
        </w:rPr>
        <w:t>’</w:t>
      </w:r>
      <w:r w:rsidRPr="00AF131B">
        <w:rPr>
          <w:lang w:val="fr-FR"/>
        </w:rPr>
        <w:t>infraction en droit interne, le deuxième la nature même de l</w:t>
      </w:r>
      <w:r w:rsidR="003C2190">
        <w:rPr>
          <w:lang w:val="fr-FR"/>
        </w:rPr>
        <w:t>’</w:t>
      </w:r>
      <w:r w:rsidRPr="00AF131B">
        <w:rPr>
          <w:lang w:val="fr-FR"/>
        </w:rPr>
        <w:t>infraction et le troisième la nature ainsi que le degré de sévérité de la sanction que risque de subir l</w:t>
      </w:r>
      <w:r w:rsidR="003C2190">
        <w:rPr>
          <w:lang w:val="fr-FR"/>
        </w:rPr>
        <w:t>’</w:t>
      </w:r>
      <w:r w:rsidRPr="00AF131B">
        <w:rPr>
          <w:lang w:val="fr-FR"/>
        </w:rPr>
        <w:t>intéressé (arrêt du 5 juin 2012, Bonda, C</w:t>
      </w:r>
      <w:r w:rsidRPr="00AF131B">
        <w:rPr>
          <w:lang w:val="fr-FR"/>
        </w:rPr>
        <w:noBreakHyphen/>
        <w:t>489/10, point 37).</w:t>
      </w:r>
    </w:p>
    <w:p w:rsidR="00AF131B" w:rsidRPr="00AF131B" w:rsidRDefault="009A0B2E" w:rsidP="00D72AF5">
      <w:pPr>
        <w:pStyle w:val="ECHRParaQuote"/>
        <w:rPr>
          <w:lang w:val="fr-FR"/>
        </w:rPr>
      </w:pPr>
      <w:bookmarkStart w:id="7" w:name="point36"/>
      <w:r w:rsidRPr="00AF131B">
        <w:rPr>
          <w:lang w:val="fr-FR"/>
        </w:rPr>
        <w:t>36</w:t>
      </w:r>
      <w:bookmarkEnd w:id="7"/>
      <w:r w:rsidR="00FB14A2">
        <w:rPr>
          <w:lang w:val="fr-FR"/>
        </w:rPr>
        <w:t>.  </w:t>
      </w:r>
      <w:r w:rsidRPr="00AF131B">
        <w:rPr>
          <w:lang w:val="fr-FR"/>
        </w:rPr>
        <w:t>Il appartient à la juridiction de renvoi d</w:t>
      </w:r>
      <w:r w:rsidR="003C2190">
        <w:rPr>
          <w:lang w:val="fr-FR"/>
        </w:rPr>
        <w:t>’</w:t>
      </w:r>
      <w:r w:rsidRPr="00AF131B">
        <w:rPr>
          <w:lang w:val="fr-FR"/>
        </w:rPr>
        <w:t>apprécier, à la lumière de ces critères, s</w:t>
      </w:r>
      <w:r w:rsidR="003C2190">
        <w:rPr>
          <w:lang w:val="fr-FR"/>
        </w:rPr>
        <w:t>’</w:t>
      </w:r>
      <w:r w:rsidRPr="00AF131B">
        <w:rPr>
          <w:lang w:val="fr-FR"/>
        </w:rPr>
        <w:t>il y a lieu de procéder à un examen du cumul de sanctions fiscales et pénales prévu par la législation nationale par rapport aux standards nationaux au sens du point 29 du présent arrêt, ce qui pourrait l</w:t>
      </w:r>
      <w:r w:rsidR="003C2190">
        <w:rPr>
          <w:lang w:val="fr-FR"/>
        </w:rPr>
        <w:t>’</w:t>
      </w:r>
      <w:r w:rsidRPr="00AF131B">
        <w:rPr>
          <w:lang w:val="fr-FR"/>
        </w:rPr>
        <w:t xml:space="preserve">amener, le cas échéant, à considérer ce cumul comme contraire auxdits standards, à condition que les sanctions restantes soient effectives, proportionnées et dissuasives (voir en ce sens, notamment, arrêts Commission/Grèce, précité, point 24; du 10 juillet </w:t>
      </w:r>
      <w:r w:rsidR="00AF131B">
        <w:rPr>
          <w:lang w:val="fr-FR"/>
        </w:rPr>
        <w:t>1990, Hansen, C</w:t>
      </w:r>
      <w:r w:rsidR="00AF131B">
        <w:rPr>
          <w:lang w:val="fr-FR"/>
        </w:rPr>
        <w:noBreakHyphen/>
        <w:t>326/88, Rec. p. </w:t>
      </w:r>
      <w:r w:rsidRPr="00AF131B">
        <w:rPr>
          <w:lang w:val="fr-FR"/>
        </w:rPr>
        <w:t>I</w:t>
      </w:r>
      <w:r w:rsidRPr="00AF131B">
        <w:rPr>
          <w:lang w:val="fr-FR"/>
        </w:rPr>
        <w:noBreakHyphen/>
        <w:t>2911, point 17; du 30 septembre 2003, Inspire Art, C</w:t>
      </w:r>
      <w:r w:rsidRPr="00AF131B">
        <w:rPr>
          <w:lang w:val="fr-FR"/>
        </w:rPr>
        <w:noBreakHyphen/>
        <w:t>167/01, Rec. p. I</w:t>
      </w:r>
      <w:r w:rsidRPr="00AF131B">
        <w:rPr>
          <w:lang w:val="fr-FR"/>
        </w:rPr>
        <w:noBreakHyphen/>
        <w:t xml:space="preserve">10155, point 62; du 15 janvier </w:t>
      </w:r>
      <w:r w:rsidRPr="00AF131B">
        <w:rPr>
          <w:lang w:val="fr-FR"/>
        </w:rPr>
        <w:lastRenderedPageBreak/>
        <w:t>2004, Penycoed, C</w:t>
      </w:r>
      <w:r w:rsidRPr="00AF131B">
        <w:rPr>
          <w:lang w:val="fr-FR"/>
        </w:rPr>
        <w:noBreakHyphen/>
        <w:t>230/01, Rec. p. I</w:t>
      </w:r>
      <w:r w:rsidRPr="00AF131B">
        <w:rPr>
          <w:lang w:val="fr-FR"/>
        </w:rPr>
        <w:noBreakHyphen/>
        <w:t>937, point 36, ainsi que du 3 mai 2005, Berlusconi e.a., C</w:t>
      </w:r>
      <w:r w:rsidRPr="00AF131B">
        <w:rPr>
          <w:lang w:val="fr-FR"/>
        </w:rPr>
        <w:noBreakHyphen/>
        <w:t>387/02, C</w:t>
      </w:r>
      <w:r w:rsidRPr="00AF131B">
        <w:rPr>
          <w:lang w:val="fr-FR"/>
        </w:rPr>
        <w:noBreakHyphen/>
        <w:t>391/02 et C</w:t>
      </w:r>
      <w:r w:rsidRPr="00AF131B">
        <w:rPr>
          <w:lang w:val="fr-FR"/>
        </w:rPr>
        <w:noBreakHyphen/>
        <w:t>403/02, Rec. p. I</w:t>
      </w:r>
      <w:r w:rsidRPr="00AF131B">
        <w:rPr>
          <w:lang w:val="fr-FR"/>
        </w:rPr>
        <w:noBreakHyphen/>
        <w:t>3565, point 65).</w:t>
      </w:r>
    </w:p>
    <w:p w:rsidR="009A0B2E" w:rsidRPr="00AF131B" w:rsidRDefault="009A0B2E" w:rsidP="00D72AF5">
      <w:pPr>
        <w:pStyle w:val="ECHRParaQuote"/>
        <w:rPr>
          <w:lang w:val="fr-FR"/>
        </w:rPr>
      </w:pPr>
      <w:bookmarkStart w:id="8" w:name="point37"/>
      <w:r w:rsidRPr="00AF131B">
        <w:rPr>
          <w:lang w:val="fr-FR"/>
        </w:rPr>
        <w:t>37</w:t>
      </w:r>
      <w:bookmarkEnd w:id="8"/>
      <w:r w:rsidRPr="00AF131B">
        <w:rPr>
          <w:lang w:val="fr-FR"/>
        </w:rPr>
        <w:t>.</w:t>
      </w:r>
      <w:r w:rsidR="00FB14A2">
        <w:rPr>
          <w:lang w:val="fr-FR"/>
        </w:rPr>
        <w:t>  </w:t>
      </w:r>
      <w:r w:rsidRPr="00AF131B">
        <w:rPr>
          <w:lang w:val="fr-FR"/>
        </w:rPr>
        <w:t>Il découle des considérations qui précèdent qu</w:t>
      </w:r>
      <w:r w:rsidR="003C2190">
        <w:rPr>
          <w:lang w:val="fr-FR"/>
        </w:rPr>
        <w:t>’</w:t>
      </w:r>
      <w:r w:rsidRPr="00AF131B">
        <w:rPr>
          <w:lang w:val="fr-FR"/>
        </w:rPr>
        <w:t xml:space="preserve">il convient de répondre aux deuxième, troisième et quatrième questions que le principe </w:t>
      </w:r>
      <w:r w:rsidRPr="00AF131B">
        <w:rPr>
          <w:i/>
          <w:lang w:val="fr-FR"/>
        </w:rPr>
        <w:t>ne bis in idem</w:t>
      </w:r>
      <w:r w:rsidRPr="00AF131B">
        <w:rPr>
          <w:lang w:val="fr-FR"/>
        </w:rPr>
        <w:t xml:space="preserve"> énoncé à l</w:t>
      </w:r>
      <w:r w:rsidR="003C2190">
        <w:rPr>
          <w:lang w:val="fr-FR"/>
        </w:rPr>
        <w:t>’</w:t>
      </w:r>
      <w:r w:rsidRPr="00AF131B">
        <w:rPr>
          <w:lang w:val="fr-FR"/>
        </w:rPr>
        <w:t>article 50 de la Charte ne s</w:t>
      </w:r>
      <w:r w:rsidR="003C2190">
        <w:rPr>
          <w:lang w:val="fr-FR"/>
        </w:rPr>
        <w:t>’</w:t>
      </w:r>
      <w:r w:rsidRPr="00AF131B">
        <w:rPr>
          <w:lang w:val="fr-FR"/>
        </w:rPr>
        <w:t>oppose pas à ce qu</w:t>
      </w:r>
      <w:r w:rsidR="003C2190">
        <w:rPr>
          <w:lang w:val="fr-FR"/>
        </w:rPr>
        <w:t>’</w:t>
      </w:r>
      <w:r w:rsidRPr="00AF131B">
        <w:rPr>
          <w:lang w:val="fr-FR"/>
        </w:rPr>
        <w:t>un État membre impose, pour les mêmes faits de non-respect d</w:t>
      </w:r>
      <w:r w:rsidR="003C2190">
        <w:rPr>
          <w:lang w:val="fr-FR"/>
        </w:rPr>
        <w:t>’</w:t>
      </w:r>
      <w:r w:rsidRPr="00AF131B">
        <w:rPr>
          <w:lang w:val="fr-FR"/>
        </w:rPr>
        <w:t>obligations déclaratives dans le domaine de la TVA, successivement une sanction fiscale et une sanction pénale dans la mesure où la première sanction ne revêt pas un caractère pénal, ce qu</w:t>
      </w:r>
      <w:r w:rsidR="003C2190">
        <w:rPr>
          <w:lang w:val="fr-FR"/>
        </w:rPr>
        <w:t>’</w:t>
      </w:r>
      <w:r w:rsidRPr="00AF131B">
        <w:rPr>
          <w:lang w:val="fr-FR"/>
        </w:rPr>
        <w:t>il appartient à la juridiction nationale de vérifier.</w:t>
      </w:r>
    </w:p>
    <w:p w:rsidR="009A0B2E" w:rsidRPr="00AF131B" w:rsidRDefault="009A0B2E" w:rsidP="00D72AF5">
      <w:pPr>
        <w:pStyle w:val="ECHRParaQuote"/>
        <w:rPr>
          <w:lang w:val="fr-FR"/>
        </w:rPr>
      </w:pPr>
      <w:r w:rsidRPr="00AF131B">
        <w:rPr>
          <w:lang w:val="fr-FR"/>
        </w:rPr>
        <w:t>(</w:t>
      </w:r>
      <w:r w:rsidR="007E7B24" w:rsidRPr="00AF131B">
        <w:rPr>
          <w:lang w:val="fr-FR"/>
        </w:rPr>
        <w:t>...</w:t>
      </w:r>
      <w:r w:rsidRPr="00AF131B">
        <w:rPr>
          <w:lang w:val="fr-FR"/>
        </w:rPr>
        <w:t>)</w:t>
      </w:r>
    </w:p>
    <w:p w:rsidR="009A0B2E" w:rsidRPr="00AF131B" w:rsidRDefault="009A0B2E" w:rsidP="00D72AF5">
      <w:pPr>
        <w:pStyle w:val="ECHRParaQuote"/>
        <w:rPr>
          <w:lang w:val="fr-FR"/>
        </w:rPr>
      </w:pPr>
      <w:r w:rsidRPr="00AF131B">
        <w:rPr>
          <w:lang w:val="fr-FR"/>
        </w:rPr>
        <w:t>Par ces motifs, la Cour (grande chambre) dit pour droit:</w:t>
      </w:r>
    </w:p>
    <w:p w:rsidR="009A0B2E" w:rsidRPr="00AF131B" w:rsidRDefault="009A0B2E" w:rsidP="00D72AF5">
      <w:pPr>
        <w:pStyle w:val="ECHRParaQuote"/>
        <w:rPr>
          <w:lang w:val="fr-FR"/>
        </w:rPr>
      </w:pPr>
      <w:r w:rsidRPr="00AF131B">
        <w:rPr>
          <w:lang w:val="fr-FR"/>
        </w:rPr>
        <w:t xml:space="preserve">1)  Le principe </w:t>
      </w:r>
      <w:r w:rsidRPr="00AF131B">
        <w:rPr>
          <w:i/>
          <w:lang w:val="fr-FR"/>
        </w:rPr>
        <w:t>ne bis in idem</w:t>
      </w:r>
      <w:r w:rsidRPr="00AF131B">
        <w:rPr>
          <w:lang w:val="fr-FR"/>
        </w:rPr>
        <w:t xml:space="preserve"> énoncé à l</w:t>
      </w:r>
      <w:r w:rsidR="003C2190">
        <w:rPr>
          <w:lang w:val="fr-FR"/>
        </w:rPr>
        <w:t>’</w:t>
      </w:r>
      <w:r w:rsidRPr="00AF131B">
        <w:rPr>
          <w:lang w:val="fr-FR"/>
        </w:rPr>
        <w:t>article 50 de la charte des droits fondamentaux de l</w:t>
      </w:r>
      <w:r w:rsidR="003C2190">
        <w:rPr>
          <w:lang w:val="fr-FR"/>
        </w:rPr>
        <w:t>’</w:t>
      </w:r>
      <w:r w:rsidRPr="00AF131B">
        <w:rPr>
          <w:lang w:val="fr-FR"/>
        </w:rPr>
        <w:t>Union européenne ne s</w:t>
      </w:r>
      <w:r w:rsidR="003C2190">
        <w:rPr>
          <w:lang w:val="fr-FR"/>
        </w:rPr>
        <w:t>’</w:t>
      </w:r>
      <w:r w:rsidRPr="00AF131B">
        <w:rPr>
          <w:lang w:val="fr-FR"/>
        </w:rPr>
        <w:t>oppose pas à ce qu</w:t>
      </w:r>
      <w:r w:rsidR="003C2190">
        <w:rPr>
          <w:lang w:val="fr-FR"/>
        </w:rPr>
        <w:t>’</w:t>
      </w:r>
      <w:r w:rsidRPr="00AF131B">
        <w:rPr>
          <w:lang w:val="fr-FR"/>
        </w:rPr>
        <w:t>un État membre impose, pour les mêmes faits de non-respect d</w:t>
      </w:r>
      <w:r w:rsidR="003C2190">
        <w:rPr>
          <w:lang w:val="fr-FR"/>
        </w:rPr>
        <w:t>’</w:t>
      </w:r>
      <w:r w:rsidRPr="00AF131B">
        <w:rPr>
          <w:lang w:val="fr-FR"/>
        </w:rPr>
        <w:t>obligations déclaratives dans le domaine de la taxe sur la valeur ajoutée, successivement une sanction fiscale et une sanction pénale dans la mesure où la première sanction ne revêt pas un caractère pénal, ce qu</w:t>
      </w:r>
      <w:r w:rsidR="003C2190">
        <w:rPr>
          <w:lang w:val="fr-FR"/>
        </w:rPr>
        <w:t>’</w:t>
      </w:r>
      <w:r w:rsidRPr="00AF131B">
        <w:rPr>
          <w:lang w:val="fr-FR"/>
        </w:rPr>
        <w:t>il appartient à la juridiction nationale de vérifier.</w:t>
      </w:r>
    </w:p>
    <w:p w:rsidR="009A0B2E" w:rsidRPr="00AF131B" w:rsidRDefault="009A0B2E" w:rsidP="00D72AF5">
      <w:pPr>
        <w:pStyle w:val="ECHRParaQuote"/>
        <w:rPr>
          <w:lang w:val="fr-FR"/>
        </w:rPr>
      </w:pPr>
      <w:r w:rsidRPr="00AF131B">
        <w:rPr>
          <w:lang w:val="fr-FR"/>
        </w:rPr>
        <w:t>2)  Le droit de l</w:t>
      </w:r>
      <w:r w:rsidR="003C2190">
        <w:rPr>
          <w:lang w:val="fr-FR"/>
        </w:rPr>
        <w:t>’</w:t>
      </w:r>
      <w:r w:rsidRPr="00AF131B">
        <w:rPr>
          <w:lang w:val="fr-FR"/>
        </w:rPr>
        <w:t>Union ne régit pas les rapports entre la convention européenne de sauvegarde des droits de l</w:t>
      </w:r>
      <w:r w:rsidR="003C2190">
        <w:rPr>
          <w:lang w:val="fr-FR"/>
        </w:rPr>
        <w:t>’</w:t>
      </w:r>
      <w:r w:rsidRPr="00AF131B">
        <w:rPr>
          <w:lang w:val="fr-FR"/>
        </w:rPr>
        <w:t>homme et des libertés fo</w:t>
      </w:r>
      <w:r w:rsidR="00AF131B">
        <w:rPr>
          <w:lang w:val="fr-FR"/>
        </w:rPr>
        <w:t>ndamentales, signée à Rome le 4 </w:t>
      </w:r>
      <w:r w:rsidRPr="00AF131B">
        <w:rPr>
          <w:lang w:val="fr-FR"/>
        </w:rPr>
        <w:t>novembre 1950, et les ordres juridiques des États membres et ne détermine pas non plus les conséquences à tirer par un juge national en cas de conflit entre les droits garantis par cette convention et une règle de droit national.</w:t>
      </w:r>
    </w:p>
    <w:p w:rsidR="009A0B2E" w:rsidRPr="009A0B2E" w:rsidRDefault="004F17CD" w:rsidP="00D72AF5">
      <w:pPr>
        <w:pStyle w:val="ECHRParaQuote"/>
        <w:rPr>
          <w:lang w:val="fr-FR"/>
        </w:rPr>
      </w:pPr>
      <w:r w:rsidRPr="00AF131B">
        <w:rPr>
          <w:lang w:val="fr-FR"/>
        </w:rPr>
        <w:t>(</w:t>
      </w:r>
      <w:r w:rsidR="007E7B24" w:rsidRPr="00AF131B">
        <w:rPr>
          <w:lang w:val="fr-FR"/>
        </w:rPr>
        <w:t>...</w:t>
      </w:r>
      <w:r w:rsidRPr="00AF131B">
        <w:rPr>
          <w:lang w:val="fr-FR"/>
        </w:rPr>
        <w:t>) »</w:t>
      </w:r>
    </w:p>
    <w:p w:rsidR="009A0B2E" w:rsidRDefault="009A0B2E" w:rsidP="007B50AC">
      <w:pPr>
        <w:pStyle w:val="ECHRTitle1"/>
        <w:rPr>
          <w:rFonts w:eastAsia="MS Mincho"/>
          <w:lang w:val="fr-FR"/>
        </w:rPr>
      </w:pPr>
      <w:r>
        <w:rPr>
          <w:rFonts w:eastAsia="MS Mincho"/>
          <w:lang w:val="fr-FR"/>
        </w:rPr>
        <w:t>EN DROIT</w:t>
      </w:r>
    </w:p>
    <w:p w:rsidR="009A0B2E" w:rsidRDefault="009A0B2E" w:rsidP="007B50AC">
      <w:pPr>
        <w:pStyle w:val="ECHRHeading1"/>
        <w:rPr>
          <w:rFonts w:eastAsia="MS Gothic"/>
          <w:lang w:val="fr-FR" w:eastAsia="fr-FR"/>
        </w:rPr>
      </w:pPr>
      <w:r>
        <w:rPr>
          <w:rFonts w:eastAsia="MS Gothic"/>
          <w:lang w:val="fr-FR" w:eastAsia="fr-FR"/>
        </w:rPr>
        <w:t>I.  JONCTION DES REQUÊTES</w:t>
      </w:r>
    </w:p>
    <w:p w:rsidR="009A0B2E" w:rsidRDefault="009A0B2E" w:rsidP="007B50AC">
      <w:pPr>
        <w:pStyle w:val="ECHRPara"/>
        <w:rPr>
          <w:rFonts w:eastAsia="MS Mincho"/>
          <w:lang w:val="fr-FR" w:eastAsia="fr-FR"/>
        </w:rPr>
      </w:pPr>
      <w:r>
        <w:rPr>
          <w:rFonts w:eastAsia="MS Mincho"/>
          <w:lang w:val="fr-FR" w:eastAsia="fr-FR"/>
        </w:rPr>
        <w:fldChar w:fldCharType="begin"/>
      </w:r>
      <w:r>
        <w:rPr>
          <w:rFonts w:eastAsia="MS Mincho"/>
          <w:lang w:val="fr-FR" w:eastAsia="fr-FR"/>
        </w:rPr>
        <w:instrText xml:space="preserve"> SEQ level0 \*arabic </w:instrText>
      </w:r>
      <w:r>
        <w:rPr>
          <w:rFonts w:eastAsia="MS Mincho"/>
          <w:lang w:val="fr-FR" w:eastAsia="fr-FR"/>
        </w:rPr>
        <w:fldChar w:fldCharType="separate"/>
      </w:r>
      <w:r w:rsidR="00BD469E">
        <w:rPr>
          <w:rFonts w:eastAsia="MS Mincho"/>
          <w:noProof/>
          <w:lang w:val="fr-FR" w:eastAsia="fr-FR"/>
        </w:rPr>
        <w:t>48</w:t>
      </w:r>
      <w:r>
        <w:rPr>
          <w:rFonts w:eastAsia="MS Mincho"/>
          <w:lang w:val="fr-FR" w:eastAsia="fr-FR"/>
        </w:rPr>
        <w:fldChar w:fldCharType="end"/>
      </w:r>
      <w:r>
        <w:rPr>
          <w:rFonts w:eastAsia="MS Mincho"/>
          <w:lang w:val="fr-FR" w:eastAsia="fr-FR"/>
        </w:rPr>
        <w:t>.  Compte tenu de la similitude des présentes requêtes quant aux faits et aux questions de fond qu</w:t>
      </w:r>
      <w:r w:rsidR="003C2190">
        <w:rPr>
          <w:rFonts w:eastAsia="MS Mincho"/>
          <w:lang w:val="fr-FR" w:eastAsia="fr-FR"/>
        </w:rPr>
        <w:t>’</w:t>
      </w:r>
      <w:r>
        <w:rPr>
          <w:rFonts w:eastAsia="MS Mincho"/>
          <w:lang w:val="fr-FR" w:eastAsia="fr-FR"/>
        </w:rPr>
        <w:t>elles posent, la Cour décide de les joindre et de les examiner conjointement dans un seul arrêt.</w:t>
      </w:r>
    </w:p>
    <w:p w:rsidR="00AF131B" w:rsidRDefault="009A0B2E" w:rsidP="007B50AC">
      <w:pPr>
        <w:pStyle w:val="ECHRHeading1"/>
        <w:rPr>
          <w:rFonts w:eastAsia="MS Gothic"/>
          <w:lang w:val="fr-FR"/>
        </w:rPr>
      </w:pPr>
      <w:r>
        <w:rPr>
          <w:rFonts w:eastAsia="MS Gothic"/>
          <w:lang w:val="fr-FR"/>
        </w:rPr>
        <w:t>II.  SUR LES VIOLATIONS ALLÉGUÉES DES ARTICLES 6 § 2 DE LA CONVENTION AINSI QUE 4 DU PROTOCOLE N</w:t>
      </w:r>
      <w:r>
        <w:rPr>
          <w:rFonts w:eastAsia="MS Gothic"/>
          <w:vertAlign w:val="superscript"/>
          <w:lang w:val="fr-FR"/>
        </w:rPr>
        <w:t>o</w:t>
      </w:r>
      <w:r>
        <w:rPr>
          <w:rFonts w:eastAsia="MS Gothic"/>
          <w:lang w:val="fr-FR"/>
        </w:rPr>
        <w:t xml:space="preserve"> 7</w:t>
      </w:r>
    </w:p>
    <w:p w:rsidR="00AF131B" w:rsidRDefault="009A0B2E" w:rsidP="007B50AC">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49</w:t>
      </w:r>
      <w:r>
        <w:rPr>
          <w:rFonts w:eastAsia="MS Mincho"/>
          <w:lang w:val="fr-FR"/>
        </w:rPr>
        <w:fldChar w:fldCharType="end"/>
      </w:r>
      <w:r>
        <w:rPr>
          <w:rFonts w:eastAsia="MS Mincho"/>
          <w:lang w:val="fr-FR"/>
        </w:rPr>
        <w:t>.  Dans les trois requêtes, les requérants se plaignent qu</w:t>
      </w:r>
      <w:r w:rsidR="003C2190">
        <w:rPr>
          <w:rFonts w:eastAsia="MS Mincho"/>
          <w:lang w:val="fr-FR"/>
        </w:rPr>
        <w:t>’</w:t>
      </w:r>
      <w:r>
        <w:rPr>
          <w:rFonts w:eastAsia="MS Mincho"/>
          <w:lang w:val="fr-FR"/>
        </w:rPr>
        <w:t>en n</w:t>
      </w:r>
      <w:r w:rsidR="003C2190">
        <w:rPr>
          <w:rFonts w:eastAsia="MS Mincho"/>
          <w:lang w:val="fr-FR"/>
        </w:rPr>
        <w:t>’</w:t>
      </w:r>
      <w:r>
        <w:rPr>
          <w:rFonts w:eastAsia="MS Mincho"/>
          <w:lang w:val="fr-FR"/>
        </w:rPr>
        <w:t xml:space="preserve">ayant pas de fait pris en compte leurs acquittements par les juridictions pénales, les juridictions administratives ont enfreint le principe </w:t>
      </w:r>
      <w:r>
        <w:rPr>
          <w:rFonts w:eastAsia="MS Mincho"/>
          <w:i/>
          <w:lang w:val="fr-FR"/>
        </w:rPr>
        <w:t>ne bis in idem</w:t>
      </w:r>
      <w:r>
        <w:rPr>
          <w:rFonts w:eastAsia="MS Mincho"/>
          <w:lang w:val="fr-FR"/>
        </w:rPr>
        <w:t xml:space="preserve"> ainsi que celui de la présomption d</w:t>
      </w:r>
      <w:r w:rsidR="003C2190">
        <w:rPr>
          <w:rFonts w:eastAsia="MS Mincho"/>
          <w:lang w:val="fr-FR"/>
        </w:rPr>
        <w:t>’</w:t>
      </w:r>
      <w:r>
        <w:rPr>
          <w:rFonts w:eastAsia="MS Mincho"/>
          <w:lang w:val="fr-FR"/>
        </w:rPr>
        <w:t>innocence. Ils invoquent les articles 4 du Protocole n</w:t>
      </w:r>
      <w:r w:rsidR="007E7B24" w:rsidRPr="007E7B24">
        <w:rPr>
          <w:rFonts w:eastAsia="MS Mincho"/>
          <w:vertAlign w:val="superscript"/>
          <w:lang w:val="fr-FR"/>
        </w:rPr>
        <w:t>o</w:t>
      </w:r>
      <w:r>
        <w:rPr>
          <w:rFonts w:eastAsia="MS Mincho"/>
          <w:lang w:val="fr-FR"/>
        </w:rPr>
        <w:t xml:space="preserve"> 7 ainsi que 6 § 2 de la Convention, dispositions qui se lisent comme suit :</w:t>
      </w:r>
    </w:p>
    <w:p w:rsidR="00AF131B" w:rsidRDefault="009A0B2E" w:rsidP="007B50AC">
      <w:pPr>
        <w:pStyle w:val="ECHRTitleCentre3"/>
        <w:rPr>
          <w:rFonts w:eastAsia="MS Mincho"/>
          <w:lang w:val="fr-FR"/>
        </w:rPr>
      </w:pPr>
      <w:r>
        <w:rPr>
          <w:rFonts w:eastAsia="MS Mincho"/>
          <w:lang w:val="fr-FR"/>
        </w:rPr>
        <w:lastRenderedPageBreak/>
        <w:t>Article 4 du Protocole n</w:t>
      </w:r>
      <w:r w:rsidR="007E7B24" w:rsidRPr="007E7B24">
        <w:rPr>
          <w:rFonts w:eastAsia="MS Mincho"/>
          <w:vertAlign w:val="superscript"/>
          <w:lang w:val="fr-FR"/>
        </w:rPr>
        <w:t>o</w:t>
      </w:r>
      <w:r>
        <w:rPr>
          <w:rFonts w:eastAsia="MS Mincho"/>
          <w:lang w:val="fr-FR"/>
        </w:rPr>
        <w:t xml:space="preserve"> 7</w:t>
      </w:r>
    </w:p>
    <w:p w:rsidR="009A0B2E" w:rsidRDefault="009A0B2E" w:rsidP="009A0B2E">
      <w:pPr>
        <w:pStyle w:val="ECHRParaQuote"/>
        <w:rPr>
          <w:rFonts w:eastAsia="MS Mincho"/>
          <w:lang w:val="fr-FR"/>
        </w:rPr>
      </w:pPr>
      <w:r w:rsidRPr="009A0B2E">
        <w:rPr>
          <w:rFonts w:eastAsia="MS Mincho"/>
          <w:lang w:val="fr-FR"/>
        </w:rPr>
        <w:t>« 1.  Nul ne peut être poursuivi ou puni pénalement par les juridictions du même État en raison d</w:t>
      </w:r>
      <w:r w:rsidR="003C2190">
        <w:rPr>
          <w:rFonts w:eastAsia="MS Mincho"/>
          <w:lang w:val="fr-FR"/>
        </w:rPr>
        <w:t>’</w:t>
      </w:r>
      <w:r w:rsidRPr="009A0B2E">
        <w:rPr>
          <w:rFonts w:eastAsia="MS Mincho"/>
          <w:lang w:val="fr-FR"/>
        </w:rPr>
        <w:t>une infraction pour laquelle il a déjà été acquitté ou condamné par un jugement définitif conformément à la loi et à la procédure pénale de cet État.</w:t>
      </w:r>
    </w:p>
    <w:p w:rsidR="009A0B2E" w:rsidRPr="009A0B2E" w:rsidRDefault="009A0B2E" w:rsidP="009A0B2E">
      <w:pPr>
        <w:pStyle w:val="ECHRParaQuote"/>
        <w:rPr>
          <w:rFonts w:eastAsia="MS Mincho"/>
          <w:lang w:val="fr-FR"/>
        </w:rPr>
      </w:pPr>
      <w:r w:rsidRPr="009A0B2E">
        <w:rPr>
          <w:rFonts w:eastAsia="MS Mincho"/>
          <w:lang w:val="fr-FR"/>
        </w:rPr>
        <w:t>2.  Les dispositions du paragraphe précédent n</w:t>
      </w:r>
      <w:r w:rsidR="003C2190">
        <w:rPr>
          <w:rFonts w:eastAsia="MS Mincho"/>
          <w:lang w:val="fr-FR"/>
        </w:rPr>
        <w:t>’</w:t>
      </w:r>
      <w:r w:rsidRPr="009A0B2E">
        <w:rPr>
          <w:rFonts w:eastAsia="MS Mincho"/>
          <w:lang w:val="fr-FR"/>
        </w:rPr>
        <w:t>empêchent pas la réouverture du procès, conformément à la loi et à la procédure pénale de l</w:t>
      </w:r>
      <w:r w:rsidR="003C2190">
        <w:rPr>
          <w:rFonts w:eastAsia="MS Mincho"/>
          <w:lang w:val="fr-FR"/>
        </w:rPr>
        <w:t>’</w:t>
      </w:r>
      <w:r w:rsidRPr="009A0B2E">
        <w:rPr>
          <w:rFonts w:eastAsia="MS Mincho"/>
          <w:lang w:val="fr-FR"/>
        </w:rPr>
        <w:t>État concerné, si des faits nouveaux ou nouvellement révélés ou un vice fondamental dans la procédure précédente sont de nature à affecter le jugement intervenu.</w:t>
      </w:r>
    </w:p>
    <w:p w:rsidR="009A0B2E" w:rsidRPr="009A0B2E" w:rsidRDefault="009A0B2E" w:rsidP="009A0B2E">
      <w:pPr>
        <w:pStyle w:val="ECHRParaQuote"/>
        <w:rPr>
          <w:rFonts w:eastAsia="MS Mincho"/>
          <w:lang w:val="fr-FR"/>
        </w:rPr>
      </w:pPr>
      <w:r w:rsidRPr="009A0B2E">
        <w:rPr>
          <w:rFonts w:eastAsia="MS Mincho"/>
          <w:lang w:val="fr-FR"/>
        </w:rPr>
        <w:t>3.  Aucune dérogation n</w:t>
      </w:r>
      <w:r w:rsidR="003C2190">
        <w:rPr>
          <w:rFonts w:eastAsia="MS Mincho"/>
          <w:lang w:val="fr-FR"/>
        </w:rPr>
        <w:t>’</w:t>
      </w:r>
      <w:r w:rsidRPr="009A0B2E">
        <w:rPr>
          <w:rFonts w:eastAsia="MS Mincho"/>
          <w:lang w:val="fr-FR"/>
        </w:rPr>
        <w:t>est autorisée au présent article au titre de l</w:t>
      </w:r>
      <w:r w:rsidR="003C2190">
        <w:rPr>
          <w:rFonts w:eastAsia="MS Mincho"/>
          <w:lang w:val="fr-FR"/>
        </w:rPr>
        <w:t>’</w:t>
      </w:r>
      <w:r w:rsidRPr="009A0B2E">
        <w:rPr>
          <w:rFonts w:eastAsia="MS Mincho"/>
          <w:lang w:val="fr-FR"/>
        </w:rPr>
        <w:t>article 15 de la Convention. »</w:t>
      </w:r>
    </w:p>
    <w:p w:rsidR="009A0B2E" w:rsidRDefault="009A0B2E" w:rsidP="007B50AC">
      <w:pPr>
        <w:pStyle w:val="ECHRTitleCentre3"/>
        <w:rPr>
          <w:rFonts w:eastAsia="MS Mincho"/>
          <w:lang w:val="fr-FR" w:eastAsia="fr-FR"/>
        </w:rPr>
      </w:pPr>
      <w:r>
        <w:rPr>
          <w:rFonts w:eastAsia="MS Mincho"/>
          <w:lang w:val="fr-FR" w:eastAsia="fr-FR"/>
        </w:rPr>
        <w:t>Article 6 § 2</w:t>
      </w:r>
    </w:p>
    <w:p w:rsidR="009A0B2E" w:rsidRDefault="009A0B2E" w:rsidP="009A0B2E">
      <w:pPr>
        <w:pStyle w:val="ECHRParaQuote"/>
        <w:rPr>
          <w:rFonts w:eastAsia="MS Mincho"/>
          <w:lang w:val="fr-FR" w:eastAsia="fr-FR"/>
        </w:rPr>
      </w:pPr>
      <w:r w:rsidRPr="009A0B2E">
        <w:rPr>
          <w:rFonts w:eastAsia="MS Mincho"/>
          <w:lang w:val="fr-FR"/>
        </w:rPr>
        <w:t>«  (</w:t>
      </w:r>
      <w:r w:rsidR="007E7B24">
        <w:rPr>
          <w:rFonts w:eastAsia="MS Mincho"/>
          <w:lang w:val="fr-FR"/>
        </w:rPr>
        <w:t>...</w:t>
      </w:r>
      <w:r w:rsidRPr="009A0B2E">
        <w:rPr>
          <w:rFonts w:eastAsia="MS Mincho"/>
          <w:lang w:val="fr-FR"/>
        </w:rPr>
        <w:t>)</w:t>
      </w:r>
    </w:p>
    <w:p w:rsidR="009A0B2E" w:rsidRPr="009A0B2E" w:rsidRDefault="009A0B2E" w:rsidP="009A0B2E">
      <w:pPr>
        <w:pStyle w:val="ECHRParaQuote"/>
        <w:rPr>
          <w:rFonts w:eastAsia="MS Mincho"/>
          <w:lang w:val="fr-FR"/>
        </w:rPr>
      </w:pPr>
      <w:r w:rsidRPr="009A0B2E">
        <w:rPr>
          <w:rFonts w:eastAsia="MS Mincho"/>
          <w:lang w:val="fr-FR"/>
        </w:rPr>
        <w:t>2.  Toute personne accusée d</w:t>
      </w:r>
      <w:r w:rsidR="003C2190">
        <w:rPr>
          <w:rFonts w:eastAsia="MS Mincho"/>
          <w:lang w:val="fr-FR"/>
        </w:rPr>
        <w:t>’</w:t>
      </w:r>
      <w:r w:rsidRPr="009A0B2E">
        <w:rPr>
          <w:rFonts w:eastAsia="MS Mincho"/>
          <w:lang w:val="fr-FR"/>
        </w:rPr>
        <w:t>une infraction est présumée innocente jusqu</w:t>
      </w:r>
      <w:r w:rsidR="003C2190">
        <w:rPr>
          <w:rFonts w:eastAsia="MS Mincho"/>
          <w:lang w:val="fr-FR"/>
        </w:rPr>
        <w:t>’</w:t>
      </w:r>
      <w:r w:rsidRPr="009A0B2E">
        <w:rPr>
          <w:rFonts w:eastAsia="MS Mincho"/>
          <w:lang w:val="fr-FR"/>
        </w:rPr>
        <w:t>à ce que sa culpabilité ait été légalement établie.</w:t>
      </w:r>
    </w:p>
    <w:p w:rsidR="009A0B2E" w:rsidRPr="009A0B2E" w:rsidRDefault="009A0B2E" w:rsidP="009A0B2E">
      <w:pPr>
        <w:pStyle w:val="ECHRParaQuote"/>
        <w:rPr>
          <w:rFonts w:eastAsia="MS Mincho"/>
          <w:lang w:val="fr-FR"/>
        </w:rPr>
      </w:pPr>
      <w:r w:rsidRPr="009A0B2E">
        <w:rPr>
          <w:rFonts w:eastAsia="MS Mincho"/>
          <w:lang w:val="fr-FR"/>
        </w:rPr>
        <w:t>(</w:t>
      </w:r>
      <w:r w:rsidR="007E7B24">
        <w:rPr>
          <w:rFonts w:eastAsia="MS Mincho"/>
          <w:lang w:val="fr-FR"/>
        </w:rPr>
        <w:t>...</w:t>
      </w:r>
      <w:r w:rsidRPr="009A0B2E">
        <w:rPr>
          <w:rFonts w:eastAsia="MS Mincho"/>
          <w:lang w:val="fr-FR"/>
        </w:rPr>
        <w:t>) »</w:t>
      </w:r>
    </w:p>
    <w:p w:rsidR="009A0B2E" w:rsidRDefault="009A0B2E" w:rsidP="009A0B2E">
      <w:pPr>
        <w:pStyle w:val="ECHRHeading2"/>
        <w:rPr>
          <w:rFonts w:eastAsia="MS Gothic"/>
          <w:lang w:val="fr-FR"/>
        </w:rPr>
      </w:pPr>
      <w:r>
        <w:rPr>
          <w:rFonts w:eastAsia="MS Gothic"/>
          <w:lang w:val="fr-FR"/>
        </w:rPr>
        <w:t>A.  Sur la violation alléguée de l</w:t>
      </w:r>
      <w:r w:rsidR="003C2190">
        <w:rPr>
          <w:rFonts w:eastAsia="MS Gothic"/>
          <w:lang w:val="fr-FR"/>
        </w:rPr>
        <w:t>’</w:t>
      </w:r>
      <w:r>
        <w:rPr>
          <w:rFonts w:eastAsia="MS Gothic"/>
          <w:lang w:val="fr-FR"/>
        </w:rPr>
        <w:t>article 4 du Protocole n</w:t>
      </w:r>
      <w:r w:rsidR="007E7B24" w:rsidRPr="007E7B24">
        <w:rPr>
          <w:rFonts w:eastAsia="MS Gothic"/>
          <w:vertAlign w:val="superscript"/>
          <w:lang w:val="fr-FR"/>
        </w:rPr>
        <w:t>o</w:t>
      </w:r>
      <w:r>
        <w:rPr>
          <w:rFonts w:eastAsia="MS Gothic"/>
          <w:lang w:val="fr-FR"/>
        </w:rPr>
        <w:t xml:space="preserve"> 7</w:t>
      </w:r>
    </w:p>
    <w:p w:rsidR="009A0B2E" w:rsidRDefault="009A0B2E" w:rsidP="009A0B2E">
      <w:pPr>
        <w:pStyle w:val="ECHRHeading3"/>
        <w:rPr>
          <w:rFonts w:eastAsia="MS Gothic"/>
          <w:lang w:val="fr-FR"/>
        </w:rPr>
      </w:pPr>
      <w:r>
        <w:rPr>
          <w:rFonts w:eastAsia="MS Gothic"/>
          <w:lang w:val="fr-FR"/>
        </w:rPr>
        <w:t>1.  Sur la recevabilité</w:t>
      </w:r>
    </w:p>
    <w:p w:rsidR="009A0B2E" w:rsidRDefault="009A0B2E" w:rsidP="009A0B2E">
      <w:pPr>
        <w:pStyle w:val="ECHRHeading4"/>
        <w:rPr>
          <w:rFonts w:eastAsia="MS Gothic"/>
          <w:lang w:val="fr-FR"/>
        </w:rPr>
      </w:pPr>
      <w:r>
        <w:rPr>
          <w:rFonts w:eastAsia="MS Gothic"/>
          <w:lang w:val="fr-FR"/>
        </w:rPr>
        <w:t>a)  Les thèses des parties</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50</w:t>
      </w:r>
      <w:r>
        <w:rPr>
          <w:rFonts w:eastAsia="MS Mincho"/>
          <w:lang w:val="fr-FR"/>
        </w:rPr>
        <w:fldChar w:fldCharType="end"/>
      </w:r>
      <w:r>
        <w:rPr>
          <w:rFonts w:eastAsia="MS Mincho"/>
          <w:lang w:val="fr-FR"/>
        </w:rPr>
        <w:t>.  Le Gouvernement se réfère à la jurisprudence de la Cour quant aux critères à prendre en considération pour conclure sur la question de savoir si une procédure devant les juridictions internes porte sur une « accusation en matière pénale » au sens de l</w:t>
      </w:r>
      <w:r w:rsidR="003C2190">
        <w:rPr>
          <w:rFonts w:eastAsia="MS Mincho"/>
          <w:lang w:val="fr-FR"/>
        </w:rPr>
        <w:t>’</w:t>
      </w:r>
      <w:r>
        <w:rPr>
          <w:rFonts w:eastAsia="MS Mincho"/>
          <w:lang w:val="fr-FR"/>
        </w:rPr>
        <w:t>article 6 de la Convention. Elle relève l</w:t>
      </w:r>
      <w:r w:rsidR="003C2190">
        <w:rPr>
          <w:rFonts w:eastAsia="MS Mincho"/>
          <w:lang w:val="fr-FR"/>
        </w:rPr>
        <w:t>’</w:t>
      </w:r>
      <w:r>
        <w:rPr>
          <w:rFonts w:eastAsia="MS Mincho"/>
          <w:lang w:val="fr-FR"/>
        </w:rPr>
        <w:t>autonomie de la procédure administrative par rapport au procès pénal sur l</w:t>
      </w:r>
      <w:r w:rsidR="003C2190">
        <w:rPr>
          <w:rFonts w:eastAsia="MS Mincho"/>
          <w:lang w:val="fr-FR"/>
        </w:rPr>
        <w:t>’</w:t>
      </w:r>
      <w:r>
        <w:rPr>
          <w:rFonts w:eastAsia="MS Mincho"/>
          <w:lang w:val="fr-FR"/>
        </w:rPr>
        <w:t>infraction de la contrebande et affirme que le but de la première n</w:t>
      </w:r>
      <w:r w:rsidR="003C2190">
        <w:rPr>
          <w:rFonts w:eastAsia="MS Mincho"/>
          <w:lang w:val="fr-FR"/>
        </w:rPr>
        <w:t>’</w:t>
      </w:r>
      <w:r>
        <w:rPr>
          <w:rFonts w:eastAsia="MS Mincho"/>
          <w:lang w:val="fr-FR"/>
        </w:rPr>
        <w:t>est pas la répression pénale de cette infraction. En revanche, l</w:t>
      </w:r>
      <w:r w:rsidR="003C2190">
        <w:rPr>
          <w:rFonts w:eastAsia="MS Mincho"/>
          <w:lang w:val="fr-FR"/>
        </w:rPr>
        <w:t>’</w:t>
      </w:r>
      <w:r>
        <w:rPr>
          <w:rFonts w:eastAsia="MS Mincho"/>
          <w:lang w:val="fr-FR"/>
        </w:rPr>
        <w:t>imposition d</w:t>
      </w:r>
      <w:r w:rsidR="003C2190">
        <w:rPr>
          <w:rFonts w:eastAsia="MS Mincho"/>
          <w:lang w:val="fr-FR"/>
        </w:rPr>
        <w:t>’</w:t>
      </w:r>
      <w:r>
        <w:rPr>
          <w:rFonts w:eastAsia="MS Mincho"/>
          <w:lang w:val="fr-FR"/>
        </w:rPr>
        <w:t>une amende administrative vise, selon le droit grec, à garantir l</w:t>
      </w:r>
      <w:r w:rsidR="003C2190">
        <w:rPr>
          <w:rFonts w:eastAsia="MS Mincho"/>
          <w:lang w:val="fr-FR"/>
        </w:rPr>
        <w:t>’</w:t>
      </w:r>
      <w:r>
        <w:rPr>
          <w:rFonts w:eastAsia="MS Mincho"/>
          <w:lang w:val="fr-FR"/>
        </w:rPr>
        <w:t>encaissement par l</w:t>
      </w:r>
      <w:r w:rsidR="003C2190">
        <w:rPr>
          <w:rFonts w:eastAsia="MS Mincho"/>
          <w:lang w:val="fr-FR"/>
        </w:rPr>
        <w:t>’</w:t>
      </w:r>
      <w:r>
        <w:rPr>
          <w:rFonts w:eastAsia="MS Mincho"/>
          <w:lang w:val="fr-FR"/>
        </w:rPr>
        <w:t>État des sommes dues à titre de douanes et à avoir un effet dissuasif sur la commission de la contrebande.</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51</w:t>
      </w:r>
      <w:r>
        <w:rPr>
          <w:rFonts w:eastAsia="MS Mincho"/>
          <w:lang w:val="fr-FR"/>
        </w:rPr>
        <w:fldChar w:fldCharType="end"/>
      </w:r>
      <w:r>
        <w:rPr>
          <w:rFonts w:eastAsia="MS Mincho"/>
          <w:lang w:val="fr-FR"/>
        </w:rPr>
        <w:t>.  Les requérants affirment que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était applicable en l</w:t>
      </w:r>
      <w:r w:rsidR="003C2190">
        <w:rPr>
          <w:rFonts w:eastAsia="MS Mincho"/>
          <w:lang w:val="fr-FR"/>
        </w:rPr>
        <w:t>’</w:t>
      </w:r>
      <w:r>
        <w:rPr>
          <w:rFonts w:eastAsia="MS Mincho"/>
          <w:lang w:val="fr-FR"/>
        </w:rPr>
        <w:t>espèce du fait que les procédures devant les juridictions administratives étaient de nature pénale.</w:t>
      </w:r>
    </w:p>
    <w:p w:rsidR="009A0B2E" w:rsidRDefault="009A0B2E" w:rsidP="009A0B2E">
      <w:pPr>
        <w:pStyle w:val="ECHRHeading4"/>
        <w:rPr>
          <w:rFonts w:eastAsia="MS Gothic"/>
          <w:lang w:val="fr-FR"/>
        </w:rPr>
      </w:pPr>
      <w:r>
        <w:rPr>
          <w:rFonts w:eastAsia="MS Gothic"/>
          <w:lang w:val="fr-FR"/>
        </w:rPr>
        <w:t>b)  L</w:t>
      </w:r>
      <w:r w:rsidR="003C2190">
        <w:rPr>
          <w:rFonts w:eastAsia="MS Gothic"/>
          <w:lang w:val="fr-FR"/>
        </w:rPr>
        <w:t>’</w:t>
      </w:r>
      <w:r>
        <w:rPr>
          <w:rFonts w:eastAsia="MS Gothic"/>
          <w:lang w:val="fr-FR"/>
        </w:rPr>
        <w:t>appréciation de la Cour</w:t>
      </w:r>
    </w:p>
    <w:bookmarkStart w:id="9" w:name="jurisprudence"/>
    <w:bookmarkEnd w:id="9"/>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52</w:t>
      </w:r>
      <w:r>
        <w:rPr>
          <w:rFonts w:eastAsia="MS Mincho"/>
          <w:lang w:val="fr-FR"/>
        </w:rPr>
        <w:fldChar w:fldCharType="end"/>
      </w:r>
      <w:r>
        <w:rPr>
          <w:rFonts w:eastAsia="MS Mincho"/>
          <w:lang w:val="fr-FR"/>
        </w:rPr>
        <w:t>.  La Cour rappelle sa jurisprudence constante selon laquelle il faut, afin de déterminer l</w:t>
      </w:r>
      <w:r w:rsidR="003C2190">
        <w:rPr>
          <w:rFonts w:eastAsia="MS Mincho"/>
          <w:lang w:val="fr-FR"/>
        </w:rPr>
        <w:t>’</w:t>
      </w:r>
      <w:r>
        <w:rPr>
          <w:rFonts w:eastAsia="MS Mincho"/>
          <w:lang w:val="fr-FR"/>
        </w:rPr>
        <w:t>existence d</w:t>
      </w:r>
      <w:r w:rsidR="003C2190">
        <w:rPr>
          <w:rFonts w:eastAsia="MS Mincho"/>
          <w:lang w:val="fr-FR"/>
        </w:rPr>
        <w:t>’</w:t>
      </w:r>
      <w:r>
        <w:rPr>
          <w:rFonts w:eastAsia="MS Mincho"/>
          <w:lang w:val="fr-FR"/>
        </w:rPr>
        <w:t>une « accusation en matière pénale », avoir égard à trois critères : la qualification juridique de la mesure litigieuse en droit national, la nature même de celle-ci, et la nature et le degré de sévérité de la « sanction » (</w:t>
      </w:r>
      <w:r>
        <w:rPr>
          <w:rFonts w:eastAsia="MS Mincho"/>
          <w:i/>
          <w:lang w:val="fr-FR"/>
        </w:rPr>
        <w:t>Engel et autres c. Pays-Bas</w:t>
      </w:r>
      <w:r>
        <w:rPr>
          <w:rFonts w:eastAsia="MS Mincho"/>
          <w:lang w:val="fr-FR"/>
        </w:rPr>
        <w:t>, 8 juin 1976, § 82, série A n</w:t>
      </w:r>
      <w:r>
        <w:rPr>
          <w:rFonts w:eastAsia="MS Mincho"/>
          <w:vertAlign w:val="superscript"/>
          <w:lang w:val="fr-FR"/>
        </w:rPr>
        <w:t>o </w:t>
      </w:r>
      <w:r>
        <w:rPr>
          <w:rFonts w:eastAsia="MS Mincho"/>
          <w:lang w:val="fr-FR"/>
        </w:rPr>
        <w:t>22). Ces critères sont par ailleurs alternatifs et non cumulatifs : pour déterminer l</w:t>
      </w:r>
      <w:r w:rsidR="003C2190">
        <w:rPr>
          <w:rFonts w:eastAsia="MS Mincho"/>
          <w:lang w:val="fr-FR"/>
        </w:rPr>
        <w:t>’</w:t>
      </w:r>
      <w:r>
        <w:rPr>
          <w:rFonts w:eastAsia="MS Mincho"/>
          <w:lang w:val="fr-FR"/>
        </w:rPr>
        <w:t>existence d</w:t>
      </w:r>
      <w:r w:rsidR="003C2190">
        <w:rPr>
          <w:rFonts w:eastAsia="MS Mincho"/>
          <w:lang w:val="fr-FR"/>
        </w:rPr>
        <w:t>’</w:t>
      </w:r>
      <w:r>
        <w:rPr>
          <w:rFonts w:eastAsia="MS Mincho"/>
          <w:lang w:val="fr-FR"/>
        </w:rPr>
        <w:t xml:space="preserve">une « accusation en matière pénale », il suffit que </w:t>
      </w:r>
      <w:r>
        <w:rPr>
          <w:rFonts w:eastAsia="MS Mincho"/>
          <w:lang w:val="fr-FR"/>
        </w:rPr>
        <w:lastRenderedPageBreak/>
        <w:t>l</w:t>
      </w:r>
      <w:r w:rsidR="003C2190">
        <w:rPr>
          <w:rFonts w:eastAsia="MS Mincho"/>
          <w:lang w:val="fr-FR"/>
        </w:rPr>
        <w:t>’</w:t>
      </w:r>
      <w:r>
        <w:rPr>
          <w:rFonts w:eastAsia="MS Mincho"/>
          <w:lang w:val="fr-FR"/>
        </w:rPr>
        <w:t>infraction en cause soit, par nature, « pénale » au regard de la Convention, ou ait exposé l</w:t>
      </w:r>
      <w:r w:rsidR="003C2190">
        <w:rPr>
          <w:rFonts w:eastAsia="MS Mincho"/>
          <w:lang w:val="fr-FR"/>
        </w:rPr>
        <w:t>’</w:t>
      </w:r>
      <w:r>
        <w:rPr>
          <w:rFonts w:eastAsia="MS Mincho"/>
          <w:lang w:val="fr-FR"/>
        </w:rPr>
        <w:t>intéressé à une sanction qui, par sa nature et son degré de gravité, ressortit en général à la « matière pénale ». Cela n</w:t>
      </w:r>
      <w:r w:rsidR="003C2190">
        <w:rPr>
          <w:rFonts w:eastAsia="MS Mincho"/>
          <w:lang w:val="fr-FR"/>
        </w:rPr>
        <w:t>’</w:t>
      </w:r>
      <w:r>
        <w:rPr>
          <w:rFonts w:eastAsia="MS Mincho"/>
          <w:lang w:val="fr-FR"/>
        </w:rPr>
        <w:t>empêche pas l</w:t>
      </w:r>
      <w:r w:rsidR="003C2190">
        <w:rPr>
          <w:rFonts w:eastAsia="MS Mincho"/>
          <w:lang w:val="fr-FR"/>
        </w:rPr>
        <w:t>’</w:t>
      </w:r>
      <w:r>
        <w:rPr>
          <w:rFonts w:eastAsia="MS Mincho"/>
          <w:lang w:val="fr-FR"/>
        </w:rPr>
        <w:t>adoption d</w:t>
      </w:r>
      <w:r w:rsidR="003C2190">
        <w:rPr>
          <w:rFonts w:eastAsia="MS Mincho"/>
          <w:lang w:val="fr-FR"/>
        </w:rPr>
        <w:t>’</w:t>
      </w:r>
      <w:r>
        <w:rPr>
          <w:rFonts w:eastAsia="MS Mincho"/>
          <w:lang w:val="fr-FR"/>
        </w:rPr>
        <w:t>une approche cumulative si l</w:t>
      </w:r>
      <w:r w:rsidR="003C2190">
        <w:rPr>
          <w:rFonts w:eastAsia="MS Mincho"/>
          <w:lang w:val="fr-FR"/>
        </w:rPr>
        <w:t>’</w:t>
      </w:r>
      <w:r>
        <w:rPr>
          <w:rFonts w:eastAsia="MS Mincho"/>
          <w:lang w:val="fr-FR"/>
        </w:rPr>
        <w:t>analyse séparée de chaque critère ne permet pas d</w:t>
      </w:r>
      <w:r w:rsidR="003C2190">
        <w:rPr>
          <w:rFonts w:eastAsia="MS Mincho"/>
          <w:lang w:val="fr-FR"/>
        </w:rPr>
        <w:t>’</w:t>
      </w:r>
      <w:r>
        <w:rPr>
          <w:rFonts w:eastAsia="MS Mincho"/>
          <w:lang w:val="fr-FR"/>
        </w:rPr>
        <w:t>aboutir à une conclusion claire quant à l</w:t>
      </w:r>
      <w:r w:rsidR="003C2190">
        <w:rPr>
          <w:rFonts w:eastAsia="MS Mincho"/>
          <w:lang w:val="fr-FR"/>
        </w:rPr>
        <w:t>’</w:t>
      </w:r>
      <w:r>
        <w:rPr>
          <w:rFonts w:eastAsia="MS Mincho"/>
          <w:lang w:val="fr-FR"/>
        </w:rPr>
        <w:t>existence d</w:t>
      </w:r>
      <w:r w:rsidR="003C2190">
        <w:rPr>
          <w:rFonts w:eastAsia="MS Mincho"/>
          <w:lang w:val="fr-FR"/>
        </w:rPr>
        <w:t>’</w:t>
      </w:r>
      <w:r>
        <w:rPr>
          <w:rFonts w:eastAsia="MS Mincho"/>
          <w:lang w:val="fr-FR"/>
        </w:rPr>
        <w:t>une « accusation en matière pénale » (</w:t>
      </w:r>
      <w:bookmarkStart w:id="10" w:name="HIT1"/>
      <w:bookmarkEnd w:id="10"/>
      <w:r>
        <w:rPr>
          <w:rFonts w:eastAsia="MS Mincho"/>
          <w:i/>
          <w:lang w:val="fr-FR"/>
        </w:rPr>
        <w:t>Jussila c. Finlande</w:t>
      </w:r>
      <w:r>
        <w:rPr>
          <w:rFonts w:eastAsia="MS Mincho"/>
          <w:lang w:val="fr-FR"/>
        </w:rPr>
        <w:t> [GC], n</w:t>
      </w:r>
      <w:r>
        <w:rPr>
          <w:rFonts w:eastAsia="MS Mincho"/>
          <w:vertAlign w:val="superscript"/>
          <w:lang w:val="fr-FR"/>
        </w:rPr>
        <w:t>o</w:t>
      </w:r>
      <w:r>
        <w:rPr>
          <w:rFonts w:eastAsia="MS Mincho"/>
          <w:lang w:val="fr-FR"/>
        </w:rPr>
        <w:t xml:space="preserve"> 73053/01, §§ 30 et 31, CEDH 2006-XIII, et </w:t>
      </w:r>
      <w:r>
        <w:rPr>
          <w:rFonts w:eastAsia="MS Mincho"/>
          <w:i/>
          <w:lang w:val="fr-FR"/>
        </w:rPr>
        <w:t>Zaicevs c. Lettonie</w:t>
      </w:r>
      <w:r>
        <w:rPr>
          <w:rFonts w:eastAsia="MS Mincho"/>
          <w:lang w:val="fr-FR"/>
        </w:rPr>
        <w:t>, n</w:t>
      </w:r>
      <w:r>
        <w:rPr>
          <w:rFonts w:eastAsia="MS Mincho"/>
          <w:vertAlign w:val="superscript"/>
          <w:lang w:val="fr-FR"/>
        </w:rPr>
        <w:t>o</w:t>
      </w:r>
      <w:r>
        <w:rPr>
          <w:rFonts w:eastAsia="MS Mincho"/>
          <w:lang w:val="fr-FR"/>
        </w:rPr>
        <w:t> 65022/01, § 31, CEDH 2007-IX (extraits)).</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53</w:t>
      </w:r>
      <w:r>
        <w:rPr>
          <w:rFonts w:eastAsia="MS Mincho"/>
          <w:lang w:val="fr-FR"/>
        </w:rPr>
        <w:fldChar w:fldCharType="end"/>
      </w:r>
      <w:r>
        <w:rPr>
          <w:rFonts w:eastAsia="MS Mincho"/>
          <w:lang w:val="fr-FR"/>
        </w:rPr>
        <w:t>.  En outre, la Cour note que dans l</w:t>
      </w:r>
      <w:r w:rsidR="003C2190">
        <w:rPr>
          <w:rFonts w:eastAsia="MS Mincho"/>
          <w:lang w:val="fr-FR"/>
        </w:rPr>
        <w:t>’</w:t>
      </w:r>
      <w:r>
        <w:rPr>
          <w:rFonts w:eastAsia="MS Mincho"/>
          <w:lang w:val="fr-FR"/>
        </w:rPr>
        <w:t xml:space="preserve">affaire </w:t>
      </w:r>
      <w:r>
        <w:rPr>
          <w:rFonts w:eastAsia="MS Mincho"/>
          <w:i/>
          <w:lang w:val="fr-FR"/>
        </w:rPr>
        <w:t xml:space="preserve">Mamidakis c. Grèce </w:t>
      </w:r>
      <w:r>
        <w:rPr>
          <w:rFonts w:eastAsia="MS Mincho"/>
          <w:lang w:val="fr-FR"/>
        </w:rPr>
        <w:t>(</w:t>
      </w:r>
      <w:r>
        <w:rPr>
          <w:rFonts w:eastAsia="MS Mincho"/>
          <w:szCs w:val="24"/>
          <w:lang w:val="fr-FR" w:eastAsia="fr-FR"/>
        </w:rPr>
        <w:t>n</w:t>
      </w:r>
      <w:r>
        <w:rPr>
          <w:rFonts w:eastAsia="MS Mincho"/>
          <w:szCs w:val="24"/>
          <w:vertAlign w:val="superscript"/>
          <w:lang w:val="fr-FR" w:eastAsia="fr-FR"/>
        </w:rPr>
        <w:t>o</w:t>
      </w:r>
      <w:r>
        <w:rPr>
          <w:rFonts w:eastAsia="MS Mincho"/>
          <w:szCs w:val="24"/>
          <w:lang w:val="fr-FR" w:eastAsia="fr-FR"/>
        </w:rPr>
        <w:t> 35533/04, arrêt du 11 janvier 2007</w:t>
      </w:r>
      <w:r>
        <w:rPr>
          <w:rFonts w:eastAsia="MS Mincho"/>
          <w:lang w:val="fr-FR"/>
        </w:rPr>
        <w:t>) qui portait sur l</w:t>
      </w:r>
      <w:r w:rsidR="003C2190">
        <w:rPr>
          <w:rFonts w:eastAsia="MS Mincho"/>
          <w:lang w:val="fr-FR"/>
        </w:rPr>
        <w:t>’</w:t>
      </w:r>
      <w:r>
        <w:rPr>
          <w:rFonts w:eastAsia="MS Mincho"/>
          <w:lang w:val="fr-FR"/>
        </w:rPr>
        <w:t>imposition au requérant d</w:t>
      </w:r>
      <w:r w:rsidR="003C2190">
        <w:rPr>
          <w:rFonts w:eastAsia="MS Mincho"/>
          <w:lang w:val="fr-FR"/>
        </w:rPr>
        <w:t>’</w:t>
      </w:r>
      <w:r>
        <w:rPr>
          <w:rFonts w:eastAsia="MS Mincho"/>
          <w:lang w:val="fr-FR"/>
        </w:rPr>
        <w:t>une amende administrative pour infraction au Code des douanes lors d</w:t>
      </w:r>
      <w:r w:rsidR="003C2190">
        <w:rPr>
          <w:rFonts w:eastAsia="MS Mincho"/>
          <w:lang w:val="fr-FR"/>
        </w:rPr>
        <w:t>’</w:t>
      </w:r>
      <w:r>
        <w:rPr>
          <w:rFonts w:eastAsia="MS Mincho"/>
          <w:lang w:val="fr-FR"/>
        </w:rPr>
        <w:t>une vente de produits pétroliers, elle a admis comme établie l</w:t>
      </w:r>
      <w:r w:rsidR="003C2190">
        <w:rPr>
          <w:rFonts w:eastAsia="MS Mincho"/>
          <w:lang w:val="fr-FR"/>
        </w:rPr>
        <w:t>’</w:t>
      </w:r>
      <w:r>
        <w:rPr>
          <w:rFonts w:eastAsia="MS Mincho"/>
          <w:lang w:val="fr-FR"/>
        </w:rPr>
        <w:t>existence d</w:t>
      </w:r>
      <w:r w:rsidR="003C2190">
        <w:rPr>
          <w:rFonts w:eastAsia="MS Mincho"/>
          <w:lang w:val="fr-FR"/>
        </w:rPr>
        <w:t>’</w:t>
      </w:r>
      <w:r>
        <w:rPr>
          <w:rFonts w:eastAsia="MS Mincho"/>
          <w:lang w:val="fr-FR"/>
        </w:rPr>
        <w:t>une « accusation en matière pénale » au sens de l</w:t>
      </w:r>
      <w:r w:rsidR="003C2190">
        <w:rPr>
          <w:rFonts w:eastAsia="MS Mincho"/>
          <w:lang w:val="fr-FR"/>
        </w:rPr>
        <w:t>’</w:t>
      </w:r>
      <w:r>
        <w:rPr>
          <w:rFonts w:eastAsia="MS Mincho"/>
          <w:lang w:val="fr-FR"/>
        </w:rPr>
        <w:t>article 6 de la Convention. En particulier, la Cour a considéré ce qui suit :</w:t>
      </w:r>
    </w:p>
    <w:p w:rsidR="009A0B2E" w:rsidRDefault="009A0B2E" w:rsidP="009A0B2E">
      <w:pPr>
        <w:pStyle w:val="ECHRParaQuote"/>
        <w:rPr>
          <w:rFonts w:eastAsia="MS Mincho"/>
          <w:lang w:val="fr-FR"/>
        </w:rPr>
      </w:pPr>
      <w:r w:rsidRPr="009A0B2E">
        <w:rPr>
          <w:rFonts w:eastAsia="MS Mincho"/>
          <w:lang w:val="fr-FR"/>
        </w:rPr>
        <w:t>« (</w:t>
      </w:r>
      <w:r w:rsidR="007E7B24">
        <w:rPr>
          <w:rFonts w:eastAsia="MS Mincho"/>
          <w:lang w:val="fr-FR"/>
        </w:rPr>
        <w:t>...</w:t>
      </w:r>
      <w:r w:rsidRPr="009A0B2E">
        <w:rPr>
          <w:rFonts w:eastAsia="MS Mincho"/>
          <w:lang w:val="fr-FR"/>
        </w:rPr>
        <w:t>) l</w:t>
      </w:r>
      <w:r w:rsidR="003C2190">
        <w:rPr>
          <w:rFonts w:eastAsia="MS Mincho"/>
          <w:lang w:val="fr-FR"/>
        </w:rPr>
        <w:t>’</w:t>
      </w:r>
      <w:r w:rsidRPr="009A0B2E">
        <w:rPr>
          <w:rFonts w:eastAsia="MS Mincho"/>
          <w:lang w:val="fr-FR"/>
        </w:rPr>
        <w:t>amende infligée au requérant était prévue par le Code des douanes et n</w:t>
      </w:r>
      <w:r w:rsidR="003C2190">
        <w:rPr>
          <w:rFonts w:eastAsia="MS Mincho"/>
          <w:lang w:val="fr-FR"/>
        </w:rPr>
        <w:t>’</w:t>
      </w:r>
      <w:r w:rsidRPr="009A0B2E">
        <w:rPr>
          <w:rFonts w:eastAsia="MS Mincho"/>
          <w:lang w:val="fr-FR"/>
        </w:rPr>
        <w:t>était pas qualifiée, en droit interne, de sanction pénale. Toutefois, eu égard à la nature grave de l</w:t>
      </w:r>
      <w:r w:rsidR="003C2190">
        <w:rPr>
          <w:rFonts w:eastAsia="MS Mincho"/>
          <w:lang w:val="fr-FR"/>
        </w:rPr>
        <w:t>’</w:t>
      </w:r>
      <w:r w:rsidRPr="009A0B2E">
        <w:rPr>
          <w:rFonts w:eastAsia="MS Mincho"/>
          <w:lang w:val="fr-FR"/>
        </w:rPr>
        <w:t>infraction de contrebande, au caractère dissuasif et répressif de la sanction infligée, ainsi qu</w:t>
      </w:r>
      <w:r w:rsidR="003C2190">
        <w:rPr>
          <w:rFonts w:eastAsia="MS Mincho"/>
          <w:lang w:val="fr-FR"/>
        </w:rPr>
        <w:t>’</w:t>
      </w:r>
      <w:r w:rsidRPr="009A0B2E">
        <w:rPr>
          <w:rFonts w:eastAsia="MS Mincho"/>
          <w:lang w:val="fr-FR"/>
        </w:rPr>
        <w:t>au montant très élevé de l</w:t>
      </w:r>
      <w:r w:rsidR="003C2190">
        <w:rPr>
          <w:rFonts w:eastAsia="MS Mincho"/>
          <w:lang w:val="fr-FR"/>
        </w:rPr>
        <w:t>’</w:t>
      </w:r>
      <w:r w:rsidRPr="009A0B2E">
        <w:rPr>
          <w:rFonts w:eastAsia="MS Mincho"/>
          <w:lang w:val="fr-FR"/>
        </w:rPr>
        <w:t>amende, la Cour considère que les enjeux pour le requérant étaient en l</w:t>
      </w:r>
      <w:r w:rsidR="003C2190">
        <w:rPr>
          <w:rFonts w:eastAsia="MS Mincho"/>
          <w:lang w:val="fr-FR"/>
        </w:rPr>
        <w:t>’</w:t>
      </w:r>
      <w:r w:rsidRPr="009A0B2E">
        <w:rPr>
          <w:rFonts w:eastAsia="MS Mincho"/>
          <w:lang w:val="fr-FR"/>
        </w:rPr>
        <w:t>espèce suffisamment importants pour justifier que le volet pénal de l</w:t>
      </w:r>
      <w:r w:rsidR="003C2190">
        <w:rPr>
          <w:rFonts w:eastAsia="MS Mincho"/>
          <w:lang w:val="fr-FR"/>
        </w:rPr>
        <w:t>’</w:t>
      </w:r>
      <w:r w:rsidRPr="009A0B2E">
        <w:rPr>
          <w:rFonts w:eastAsia="MS Mincho"/>
          <w:lang w:val="fr-FR"/>
        </w:rPr>
        <w:t>article 6 soit applicable en l</w:t>
      </w:r>
      <w:r w:rsidR="003C2190">
        <w:rPr>
          <w:rFonts w:eastAsia="MS Mincho"/>
          <w:lang w:val="fr-FR"/>
        </w:rPr>
        <w:t>’</w:t>
      </w:r>
      <w:r w:rsidRPr="009A0B2E">
        <w:rPr>
          <w:rFonts w:eastAsia="MS Mincho"/>
          <w:lang w:val="fr-FR"/>
        </w:rPr>
        <w:t>espèce. » (</w:t>
      </w:r>
      <w:r w:rsidRPr="009A0B2E">
        <w:rPr>
          <w:rFonts w:eastAsia="MS Mincho"/>
          <w:i/>
          <w:lang w:val="fr-FR"/>
        </w:rPr>
        <w:t>Mamidakis</w:t>
      </w:r>
      <w:r w:rsidRPr="009A0B2E">
        <w:rPr>
          <w:rFonts w:eastAsia="MS Mincho"/>
          <w:lang w:val="fr-FR"/>
        </w:rPr>
        <w:t>, précité, § 21)</w:t>
      </w:r>
    </w:p>
    <w:p w:rsidR="00AF131B" w:rsidRDefault="009A0B2E" w:rsidP="009A0B2E">
      <w:pPr>
        <w:pStyle w:val="ECHRPara"/>
        <w:rPr>
          <w:rFonts w:eastAsia="MS Mincho"/>
          <w:lang w:val="fr-FR" w:eastAsia="fr-FR"/>
        </w:rPr>
      </w:pPr>
      <w:r>
        <w:rPr>
          <w:rFonts w:eastAsia="MS Mincho"/>
          <w:lang w:val="fr-FR" w:eastAsia="fr-FR"/>
        </w:rPr>
        <w:fldChar w:fldCharType="begin"/>
      </w:r>
      <w:r>
        <w:rPr>
          <w:rFonts w:eastAsia="MS Mincho"/>
          <w:lang w:val="fr-FR" w:eastAsia="fr-FR"/>
        </w:rPr>
        <w:instrText xml:space="preserve"> SEQ level0 \*arabic </w:instrText>
      </w:r>
      <w:r>
        <w:rPr>
          <w:rFonts w:eastAsia="MS Mincho"/>
          <w:lang w:val="fr-FR" w:eastAsia="fr-FR"/>
        </w:rPr>
        <w:fldChar w:fldCharType="separate"/>
      </w:r>
      <w:r w:rsidR="00BD469E">
        <w:rPr>
          <w:rFonts w:eastAsia="MS Mincho"/>
          <w:noProof/>
          <w:lang w:val="fr-FR" w:eastAsia="fr-FR"/>
        </w:rPr>
        <w:t>54</w:t>
      </w:r>
      <w:r>
        <w:rPr>
          <w:rFonts w:eastAsia="MS Mincho"/>
          <w:lang w:val="fr-FR" w:eastAsia="fr-FR"/>
        </w:rPr>
        <w:fldChar w:fldCharType="end"/>
      </w:r>
      <w:r>
        <w:rPr>
          <w:rFonts w:eastAsia="MS Mincho"/>
          <w:lang w:val="fr-FR" w:eastAsia="fr-FR"/>
        </w:rPr>
        <w:t>.  La Cour constate que, à l</w:t>
      </w:r>
      <w:r w:rsidR="003C2190">
        <w:rPr>
          <w:rFonts w:eastAsia="MS Mincho"/>
          <w:lang w:val="fr-FR" w:eastAsia="fr-FR"/>
        </w:rPr>
        <w:t>’</w:t>
      </w:r>
      <w:r>
        <w:rPr>
          <w:rFonts w:eastAsia="MS Mincho"/>
          <w:lang w:val="fr-FR" w:eastAsia="fr-FR"/>
        </w:rPr>
        <w:t>instar des présentes affaires, l</w:t>
      </w:r>
      <w:r w:rsidR="003C2190">
        <w:rPr>
          <w:rFonts w:eastAsia="MS Mincho"/>
          <w:lang w:val="fr-FR" w:eastAsia="fr-FR"/>
        </w:rPr>
        <w:t>’</w:t>
      </w:r>
      <w:r>
        <w:rPr>
          <w:rFonts w:eastAsia="MS Mincho"/>
          <w:lang w:val="fr-FR" w:eastAsia="fr-FR"/>
        </w:rPr>
        <w:t xml:space="preserve">arrêt </w:t>
      </w:r>
      <w:r>
        <w:rPr>
          <w:rFonts w:eastAsia="MS Mincho"/>
          <w:i/>
          <w:lang w:val="fr-FR" w:eastAsia="fr-FR"/>
        </w:rPr>
        <w:t xml:space="preserve">Mamidakis </w:t>
      </w:r>
      <w:r>
        <w:rPr>
          <w:rFonts w:eastAsia="MS Mincho"/>
          <w:lang w:val="fr-FR" w:eastAsia="fr-FR"/>
        </w:rPr>
        <w:t>avait trait à l</w:t>
      </w:r>
      <w:r w:rsidR="003C2190">
        <w:rPr>
          <w:rFonts w:eastAsia="MS Mincho"/>
          <w:lang w:val="fr-FR" w:eastAsia="fr-FR"/>
        </w:rPr>
        <w:t>’</w:t>
      </w:r>
      <w:r>
        <w:rPr>
          <w:rFonts w:eastAsia="MS Mincho"/>
          <w:lang w:val="fr-FR" w:eastAsia="fr-FR"/>
        </w:rPr>
        <w:t xml:space="preserve">application des dispositions du Code des douanes </w:t>
      </w:r>
      <w:r>
        <w:rPr>
          <w:rFonts w:eastAsia="MS Mincho"/>
          <w:lang w:val="fr-FR"/>
        </w:rPr>
        <w:t>prévoyant l</w:t>
      </w:r>
      <w:r w:rsidR="003C2190">
        <w:rPr>
          <w:rFonts w:eastAsia="MS Mincho"/>
          <w:lang w:val="fr-FR"/>
        </w:rPr>
        <w:t>’</w:t>
      </w:r>
      <w:r>
        <w:rPr>
          <w:rFonts w:eastAsia="MS Mincho"/>
          <w:lang w:val="fr-FR"/>
        </w:rPr>
        <w:t>imposition d</w:t>
      </w:r>
      <w:r w:rsidR="003C2190">
        <w:rPr>
          <w:rFonts w:eastAsia="MS Mincho"/>
          <w:lang w:val="fr-FR"/>
        </w:rPr>
        <w:t>’</w:t>
      </w:r>
      <w:r>
        <w:rPr>
          <w:rFonts w:eastAsia="MS Mincho"/>
          <w:lang w:val="fr-FR"/>
        </w:rPr>
        <w:t>amendes pouvant aller du double au décuple des taxes frappant l</w:t>
      </w:r>
      <w:r w:rsidR="003C2190">
        <w:rPr>
          <w:rFonts w:eastAsia="MS Mincho"/>
          <w:lang w:val="fr-FR"/>
        </w:rPr>
        <w:t>’</w:t>
      </w:r>
      <w:r>
        <w:rPr>
          <w:rFonts w:eastAsia="MS Mincho"/>
          <w:lang w:val="fr-FR"/>
        </w:rPr>
        <w:t>objet de l</w:t>
      </w:r>
      <w:r w:rsidR="003C2190">
        <w:rPr>
          <w:rFonts w:eastAsia="MS Mincho"/>
          <w:lang w:val="fr-FR"/>
        </w:rPr>
        <w:t>’</w:t>
      </w:r>
      <w:r>
        <w:rPr>
          <w:rFonts w:eastAsia="MS Mincho"/>
          <w:lang w:val="fr-FR"/>
        </w:rPr>
        <w:t>infraction</w:t>
      </w:r>
      <w:r>
        <w:rPr>
          <w:rFonts w:eastAsia="MS Mincho"/>
          <w:lang w:val="fr-FR" w:eastAsia="fr-FR"/>
        </w:rPr>
        <w:t xml:space="preserve"> administrative (voir </w:t>
      </w:r>
      <w:r>
        <w:rPr>
          <w:rFonts w:eastAsia="MS Mincho"/>
          <w:i/>
          <w:lang w:val="fr-FR" w:eastAsia="fr-FR"/>
        </w:rPr>
        <w:t xml:space="preserve">Mamidakis, </w:t>
      </w:r>
      <w:r>
        <w:rPr>
          <w:rFonts w:eastAsia="MS Mincho"/>
          <w:lang w:val="fr-FR" w:eastAsia="fr-FR"/>
        </w:rPr>
        <w:t>précité, § 7). La Cour ne décèle donc aucune raison pour s</w:t>
      </w:r>
      <w:r w:rsidR="003C2190">
        <w:rPr>
          <w:rFonts w:eastAsia="MS Mincho"/>
          <w:lang w:val="fr-FR" w:eastAsia="fr-FR"/>
        </w:rPr>
        <w:t>’</w:t>
      </w:r>
      <w:r>
        <w:rPr>
          <w:rFonts w:eastAsia="MS Mincho"/>
          <w:lang w:val="fr-FR" w:eastAsia="fr-FR"/>
        </w:rPr>
        <w:t>éloigner de ses conclusions précitées dans l</w:t>
      </w:r>
      <w:r w:rsidR="003C2190">
        <w:rPr>
          <w:rFonts w:eastAsia="MS Mincho"/>
          <w:lang w:val="fr-FR" w:eastAsia="fr-FR"/>
        </w:rPr>
        <w:t>’</w:t>
      </w:r>
      <w:r>
        <w:rPr>
          <w:rFonts w:eastAsia="MS Mincho"/>
          <w:lang w:val="fr-FR" w:eastAsia="fr-FR"/>
        </w:rPr>
        <w:t xml:space="preserve">arrêt </w:t>
      </w:r>
      <w:r>
        <w:rPr>
          <w:rFonts w:eastAsia="MS Mincho"/>
          <w:i/>
          <w:lang w:val="fr-FR" w:eastAsia="fr-FR"/>
        </w:rPr>
        <w:t xml:space="preserve">Mamidakis, </w:t>
      </w:r>
      <w:r>
        <w:rPr>
          <w:rFonts w:eastAsia="MS Mincho"/>
          <w:lang w:val="fr-FR" w:eastAsia="fr-FR"/>
        </w:rPr>
        <w:t>à savoir</w:t>
      </w:r>
      <w:r>
        <w:rPr>
          <w:rFonts w:eastAsia="MS Mincho"/>
          <w:i/>
          <w:lang w:val="fr-FR" w:eastAsia="fr-FR"/>
        </w:rPr>
        <w:t xml:space="preserve"> </w:t>
      </w:r>
      <w:r>
        <w:rPr>
          <w:rFonts w:eastAsia="MS Mincho"/>
          <w:lang w:val="fr-FR" w:eastAsia="fr-FR"/>
        </w:rPr>
        <w:t>que les sanctions administratives en cause ressortaient de la matière pénale.</w:t>
      </w:r>
    </w:p>
    <w:p w:rsidR="00AF131B" w:rsidRDefault="009A0B2E" w:rsidP="009A0B2E">
      <w:pPr>
        <w:pStyle w:val="ECHRPara"/>
        <w:rPr>
          <w:rFonts w:eastAsia="Times New Roman"/>
          <w:lang w:val="fr-FR"/>
        </w:rPr>
      </w:pPr>
      <w:r>
        <w:rPr>
          <w:rFonts w:eastAsia="MS Mincho"/>
          <w:lang w:val="fr-FR" w:eastAsia="fr-FR"/>
        </w:rPr>
        <w:fldChar w:fldCharType="begin"/>
      </w:r>
      <w:r>
        <w:rPr>
          <w:rFonts w:eastAsia="MS Mincho"/>
          <w:lang w:val="fr-FR" w:eastAsia="fr-FR"/>
        </w:rPr>
        <w:instrText xml:space="preserve"> SEQ level0 \*arabic </w:instrText>
      </w:r>
      <w:r>
        <w:rPr>
          <w:rFonts w:eastAsia="MS Mincho"/>
          <w:lang w:val="fr-FR" w:eastAsia="fr-FR"/>
        </w:rPr>
        <w:fldChar w:fldCharType="separate"/>
      </w:r>
      <w:r w:rsidR="00BD469E">
        <w:rPr>
          <w:rFonts w:eastAsia="MS Mincho"/>
          <w:noProof/>
          <w:lang w:val="fr-FR" w:eastAsia="fr-FR"/>
        </w:rPr>
        <w:t>55</w:t>
      </w:r>
      <w:r>
        <w:rPr>
          <w:rFonts w:eastAsia="MS Mincho"/>
          <w:lang w:val="fr-FR" w:eastAsia="fr-FR"/>
        </w:rPr>
        <w:fldChar w:fldCharType="end"/>
      </w:r>
      <w:r>
        <w:rPr>
          <w:rFonts w:eastAsia="MS Mincho"/>
          <w:lang w:val="fr-FR" w:eastAsia="fr-FR"/>
        </w:rPr>
        <w:t>.  La Cour estime utile sur ce point de noter que les amendes en cause n</w:t>
      </w:r>
      <w:r w:rsidR="003C2190">
        <w:rPr>
          <w:rFonts w:eastAsia="MS Mincho"/>
          <w:lang w:val="fr-FR" w:eastAsia="fr-FR"/>
        </w:rPr>
        <w:t>’</w:t>
      </w:r>
      <w:r>
        <w:rPr>
          <w:rFonts w:eastAsia="MS Mincho"/>
          <w:lang w:val="fr-FR" w:eastAsia="fr-FR"/>
        </w:rPr>
        <w:t>ont pas été imposées au maximum ; elles oscillaient entre le double et le triple des taxes et droits de douane dues. En même temps, elles s</w:t>
      </w:r>
      <w:r w:rsidR="003C2190">
        <w:rPr>
          <w:rFonts w:eastAsia="MS Mincho"/>
          <w:lang w:val="fr-FR" w:eastAsia="fr-FR"/>
        </w:rPr>
        <w:t>’</w:t>
      </w:r>
      <w:r>
        <w:rPr>
          <w:rFonts w:eastAsia="MS Mincho"/>
          <w:lang w:val="fr-FR" w:eastAsia="fr-FR"/>
        </w:rPr>
        <w:t>élevaient à cent trente mille euros environ dans le cas du deuxième requérant et à plusieurs centaines de milliers d</w:t>
      </w:r>
      <w:r w:rsidR="003C2190">
        <w:rPr>
          <w:rFonts w:eastAsia="MS Mincho"/>
          <w:lang w:val="fr-FR" w:eastAsia="fr-FR"/>
        </w:rPr>
        <w:t>’</w:t>
      </w:r>
      <w:r>
        <w:rPr>
          <w:rFonts w:eastAsia="MS Mincho"/>
          <w:lang w:val="fr-FR" w:eastAsia="fr-FR"/>
        </w:rPr>
        <w:t xml:space="preserve">euros dans le cas des autres requérants. Partant, </w:t>
      </w:r>
      <w:r>
        <w:rPr>
          <w:rFonts w:eastAsia="Times New Roman"/>
          <w:lang w:val="fr-FR"/>
        </w:rPr>
        <w:t>les amendes étaient, par leur montant, d</w:t>
      </w:r>
      <w:r w:rsidR="003C2190">
        <w:rPr>
          <w:rFonts w:eastAsia="Times New Roman"/>
          <w:lang w:val="fr-FR"/>
        </w:rPr>
        <w:t>’</w:t>
      </w:r>
      <w:r>
        <w:rPr>
          <w:rFonts w:eastAsia="Times New Roman"/>
          <w:lang w:val="fr-FR"/>
        </w:rPr>
        <w:t>une sévérité indéniable, entraînant pour les personnes physiques concernées des conséquences patrimoniales très importantes.</w:t>
      </w:r>
      <w:r>
        <w:rPr>
          <w:rFonts w:eastAsia="Times New Roman"/>
          <w:lang w:val="fr-FR"/>
        </w:rPr>
        <w:fldChar w:fldCharType="begin"/>
      </w:r>
      <w:r>
        <w:rPr>
          <w:rFonts w:eastAsia="Times New Roman"/>
          <w:lang w:val="fr-FR"/>
        </w:rPr>
        <w:instrText xml:space="preserve"> REF jurisprudence \h  \* MERGEFORMAT </w:instrText>
      </w:r>
      <w:r>
        <w:rPr>
          <w:rFonts w:eastAsia="Times New Roman"/>
          <w:lang w:val="fr-FR"/>
        </w:rPr>
      </w:r>
      <w:r>
        <w:rPr>
          <w:rFonts w:eastAsia="Times New Roman"/>
          <w:lang w:val="fr-FR"/>
        </w:rPr>
        <w:fldChar w:fldCharType="end"/>
      </w:r>
      <w:r>
        <w:rPr>
          <w:rFonts w:eastAsia="Times New Roman"/>
          <w:lang w:val="fr-FR"/>
        </w:rPr>
        <w:fldChar w:fldCharType="begin"/>
      </w:r>
      <w:r>
        <w:rPr>
          <w:rFonts w:eastAsia="Times New Roman"/>
          <w:lang w:val="fr-FR"/>
        </w:rPr>
        <w:instrText xml:space="preserve"> REF jurisprudence \h  \* MERGEFORMAT </w:instrText>
      </w:r>
      <w:r>
        <w:rPr>
          <w:rFonts w:eastAsia="Times New Roman"/>
          <w:lang w:val="fr-FR"/>
        </w:rPr>
      </w:r>
      <w:r>
        <w:rPr>
          <w:rFonts w:eastAsia="Times New Roman"/>
          <w:lang w:val="fr-FR"/>
        </w:rPr>
        <w:fldChar w:fldCharType="end"/>
      </w:r>
      <w:r>
        <w:rPr>
          <w:rFonts w:eastAsia="Times New Roman"/>
          <w:lang w:val="fr-FR"/>
        </w:rPr>
        <w:fldChar w:fldCharType="begin"/>
      </w:r>
      <w:r>
        <w:rPr>
          <w:rFonts w:eastAsia="Times New Roman"/>
          <w:lang w:val="fr-FR"/>
        </w:rPr>
        <w:instrText xml:space="preserve"> REF jurisprudence \h  \* MERGEFORMAT </w:instrText>
      </w:r>
      <w:r>
        <w:rPr>
          <w:rFonts w:eastAsia="Times New Roman"/>
          <w:lang w:val="fr-FR"/>
        </w:rPr>
      </w:r>
      <w:r>
        <w:rPr>
          <w:rFonts w:eastAsia="Times New Roman"/>
          <w:lang w:val="fr-FR"/>
        </w:rPr>
        <w:fldChar w:fldCharType="end"/>
      </w:r>
      <w:r>
        <w:rPr>
          <w:rFonts w:eastAsia="Times New Roman"/>
          <w:lang w:val="fr-FR"/>
        </w:rPr>
        <w:fldChar w:fldCharType="begin"/>
      </w:r>
      <w:r>
        <w:rPr>
          <w:rFonts w:eastAsia="Times New Roman"/>
          <w:lang w:val="fr-FR"/>
        </w:rPr>
        <w:instrText xml:space="preserve"> REF jurisprudence \h  \* MERGEFORMAT </w:instrText>
      </w:r>
      <w:r>
        <w:rPr>
          <w:rFonts w:eastAsia="Times New Roman"/>
          <w:lang w:val="fr-FR"/>
        </w:rPr>
      </w:r>
      <w:r>
        <w:rPr>
          <w:rFonts w:eastAsia="Times New Roman"/>
          <w:lang w:val="fr-FR"/>
        </w:rPr>
        <w:fldChar w:fldCharType="end"/>
      </w:r>
      <w:r>
        <w:rPr>
          <w:rFonts w:eastAsia="Times New Roman"/>
          <w:lang w:val="fr-FR"/>
        </w:rPr>
        <w:fldChar w:fldCharType="begin"/>
      </w:r>
      <w:r>
        <w:rPr>
          <w:rFonts w:eastAsia="Times New Roman"/>
          <w:lang w:val="fr-FR"/>
        </w:rPr>
        <w:instrText xml:space="preserve"> REF jurisprudence \h  \* MERGEFORMAT </w:instrText>
      </w:r>
      <w:r>
        <w:rPr>
          <w:rFonts w:eastAsia="Times New Roman"/>
          <w:lang w:val="fr-FR"/>
        </w:rPr>
      </w:r>
      <w:r>
        <w:rPr>
          <w:rFonts w:eastAsia="Times New Roman"/>
          <w:lang w:val="fr-FR"/>
        </w:rPr>
        <w:fldChar w:fldCharType="end"/>
      </w:r>
      <w:r>
        <w:rPr>
          <w:rFonts w:eastAsia="MS Mincho"/>
          <w:i/>
          <w:lang w:val="fr-FR" w:eastAsia="fr-FR"/>
        </w:rPr>
        <w:t xml:space="preserve"> </w:t>
      </w:r>
      <w:r>
        <w:rPr>
          <w:rFonts w:eastAsia="Times New Roman"/>
          <w:lang w:val="fr-FR"/>
        </w:rPr>
        <w:t>Au demeurant, la Cour rappelle que la coloration pénale d</w:t>
      </w:r>
      <w:r w:rsidR="003C2190">
        <w:rPr>
          <w:rFonts w:eastAsia="Times New Roman"/>
          <w:lang w:val="fr-FR"/>
        </w:rPr>
        <w:t>’</w:t>
      </w:r>
      <w:r>
        <w:rPr>
          <w:rFonts w:eastAsia="Times New Roman"/>
          <w:lang w:val="fr-FR"/>
        </w:rPr>
        <w:t>une instance est subordonnée au degré de gravité de la sanction dont est a priori passible la personne concernée (</w:t>
      </w:r>
      <w:r>
        <w:rPr>
          <w:rFonts w:eastAsia="Times New Roman"/>
          <w:i/>
          <w:lang w:val="fr-FR"/>
        </w:rPr>
        <w:t>Engel et autres</w:t>
      </w:r>
      <w:r>
        <w:rPr>
          <w:rFonts w:eastAsia="Times New Roman"/>
          <w:lang w:val="fr-FR"/>
        </w:rPr>
        <w:t>, précité, § 82), et non à la gravité de la sanction finalement infligée</w:t>
      </w:r>
      <w:r>
        <w:rPr>
          <w:rFonts w:eastAsia="Times New Roman"/>
          <w:i/>
          <w:lang w:val="fr-FR"/>
        </w:rPr>
        <w:t xml:space="preserve"> </w:t>
      </w:r>
      <w:r>
        <w:rPr>
          <w:rFonts w:eastAsia="Times New Roman"/>
          <w:lang w:val="fr-FR"/>
        </w:rPr>
        <w:t>(</w:t>
      </w:r>
      <w:r>
        <w:rPr>
          <w:rFonts w:eastAsia="MS Mincho"/>
          <w:i/>
          <w:lang w:val="fr-FR" w:eastAsia="fr-FR"/>
        </w:rPr>
        <w:t>Dubus S.A. c. France</w:t>
      </w:r>
      <w:r>
        <w:rPr>
          <w:rFonts w:eastAsia="MS Mincho"/>
          <w:lang w:val="fr-FR" w:eastAsia="fr-FR"/>
        </w:rPr>
        <w:t>, n</w:t>
      </w:r>
      <w:r>
        <w:rPr>
          <w:rFonts w:eastAsia="MS Mincho"/>
          <w:vertAlign w:val="superscript"/>
          <w:lang w:val="fr-FR" w:eastAsia="fr-FR"/>
        </w:rPr>
        <w:t>o</w:t>
      </w:r>
      <w:r>
        <w:rPr>
          <w:rFonts w:eastAsia="MS Mincho"/>
          <w:lang w:val="fr-FR" w:eastAsia="fr-FR"/>
        </w:rPr>
        <w:t xml:space="preserve"> 5242/04, </w:t>
      </w:r>
      <w:r>
        <w:rPr>
          <w:rFonts w:eastAsia="MS Mincho"/>
          <w:snapToGrid w:val="0"/>
          <w:lang w:val="fr-FR" w:eastAsia="fr-FR"/>
        </w:rPr>
        <w:t xml:space="preserve">§ 37, 11 </w:t>
      </w:r>
      <w:r>
        <w:rPr>
          <w:rFonts w:eastAsia="MS Mincho"/>
          <w:lang w:val="fr-FR" w:eastAsia="fr-FR"/>
        </w:rPr>
        <w:t>juin</w:t>
      </w:r>
      <w:r>
        <w:rPr>
          <w:rFonts w:eastAsia="MS Mincho"/>
          <w:snapToGrid w:val="0"/>
          <w:lang w:val="fr-FR" w:eastAsia="fr-FR"/>
        </w:rPr>
        <w:t xml:space="preserve"> 2009</w:t>
      </w:r>
      <w:r w:rsidR="006B3594">
        <w:rPr>
          <w:rFonts w:eastAsia="Times New Roman"/>
          <w:lang w:val="fr-FR"/>
        </w:rPr>
        <w:t>).</w:t>
      </w:r>
      <w:r>
        <w:rPr>
          <w:rFonts w:eastAsia="Times New Roman"/>
          <w:lang w:val="fr-FR"/>
        </w:rPr>
        <w:t xml:space="preserve"> En l</w:t>
      </w:r>
      <w:r w:rsidR="003C2190">
        <w:rPr>
          <w:rFonts w:eastAsia="Times New Roman"/>
          <w:lang w:val="fr-FR"/>
        </w:rPr>
        <w:t>’</w:t>
      </w:r>
      <w:r>
        <w:rPr>
          <w:rFonts w:eastAsia="Times New Roman"/>
          <w:lang w:val="fr-FR"/>
        </w:rPr>
        <w:t>occurrence, l</w:t>
      </w:r>
      <w:r w:rsidR="003C2190">
        <w:rPr>
          <w:rFonts w:eastAsia="Times New Roman"/>
          <w:lang w:val="fr-FR"/>
        </w:rPr>
        <w:t>’</w:t>
      </w:r>
      <w:r>
        <w:rPr>
          <w:rFonts w:eastAsia="Times New Roman"/>
          <w:lang w:val="fr-FR"/>
        </w:rPr>
        <w:t xml:space="preserve">article 97 de la loi </w:t>
      </w:r>
      <w:r w:rsidR="006B3594">
        <w:rPr>
          <w:rFonts w:eastAsia="Times New Roman"/>
          <w:lang w:val="fr-FR"/>
        </w:rPr>
        <w:t>n</w:t>
      </w:r>
      <w:r w:rsidR="007E7B24" w:rsidRPr="007E7B24">
        <w:rPr>
          <w:rFonts w:eastAsia="Times New Roman"/>
          <w:vertAlign w:val="superscript"/>
          <w:lang w:val="fr-FR"/>
        </w:rPr>
        <w:t>o</w:t>
      </w:r>
      <w:r w:rsidR="006B3594">
        <w:rPr>
          <w:rFonts w:eastAsia="Times New Roman"/>
          <w:lang w:val="fr-FR"/>
        </w:rPr>
        <w:t xml:space="preserve"> </w:t>
      </w:r>
      <w:r>
        <w:rPr>
          <w:rFonts w:eastAsia="Times New Roman"/>
          <w:lang w:val="fr-FR"/>
        </w:rPr>
        <w:t>1165/1918 prévoyait que l</w:t>
      </w:r>
      <w:r w:rsidR="003C2190">
        <w:rPr>
          <w:rFonts w:eastAsia="Times New Roman"/>
          <w:lang w:val="fr-FR"/>
        </w:rPr>
        <w:t>’</w:t>
      </w:r>
      <w:r>
        <w:rPr>
          <w:rFonts w:eastAsia="Times New Roman"/>
          <w:lang w:val="fr-FR"/>
        </w:rPr>
        <w:t>amende imposée pouvait atteindre le décuple de la somme faisant l</w:t>
      </w:r>
      <w:r w:rsidR="003C2190">
        <w:rPr>
          <w:rFonts w:eastAsia="Times New Roman"/>
          <w:lang w:val="fr-FR"/>
        </w:rPr>
        <w:t>’</w:t>
      </w:r>
      <w:r>
        <w:rPr>
          <w:rFonts w:eastAsia="Times New Roman"/>
          <w:lang w:val="fr-FR"/>
        </w:rPr>
        <w:t>objet de la taxe fiscal ou douanière due. Si tel avait été le cas en l</w:t>
      </w:r>
      <w:r w:rsidR="003C2190">
        <w:rPr>
          <w:rFonts w:eastAsia="Times New Roman"/>
          <w:lang w:val="fr-FR"/>
        </w:rPr>
        <w:t>’</w:t>
      </w:r>
      <w:r>
        <w:rPr>
          <w:rFonts w:eastAsia="Times New Roman"/>
          <w:lang w:val="fr-FR"/>
        </w:rPr>
        <w:t>espèce, il est évident que les répercussions sur la situation patrimoniale des requérants auraient été encore plus graves.</w:t>
      </w:r>
    </w:p>
    <w:p w:rsidR="009A0B2E" w:rsidRDefault="009A0B2E" w:rsidP="009A0B2E">
      <w:pPr>
        <w:pStyle w:val="ECHRPara"/>
        <w:rPr>
          <w:rFonts w:eastAsia="Times New Roman"/>
          <w:lang w:val="fr-FR"/>
        </w:rPr>
      </w:pPr>
      <w:r>
        <w:rPr>
          <w:rFonts w:eastAsia="Times New Roman"/>
          <w:lang w:val="fr-FR"/>
        </w:rPr>
        <w:lastRenderedPageBreak/>
        <w:fldChar w:fldCharType="begin"/>
      </w:r>
      <w:r>
        <w:rPr>
          <w:rFonts w:eastAsia="Times New Roman"/>
          <w:lang w:val="fr-FR"/>
        </w:rPr>
        <w:instrText xml:space="preserve"> SEQ level0 \*arabic </w:instrText>
      </w:r>
      <w:r>
        <w:rPr>
          <w:rFonts w:eastAsia="Times New Roman"/>
          <w:lang w:val="fr-FR"/>
        </w:rPr>
        <w:fldChar w:fldCharType="separate"/>
      </w:r>
      <w:r w:rsidR="00BD469E">
        <w:rPr>
          <w:rFonts w:eastAsia="Times New Roman"/>
          <w:noProof/>
          <w:lang w:val="fr-FR"/>
        </w:rPr>
        <w:t>56</w:t>
      </w:r>
      <w:r>
        <w:rPr>
          <w:rFonts w:eastAsia="Times New Roman"/>
          <w:lang w:val="fr-FR"/>
        </w:rPr>
        <w:fldChar w:fldCharType="end"/>
      </w:r>
      <w:r>
        <w:rPr>
          <w:rFonts w:eastAsia="Times New Roman"/>
          <w:lang w:val="fr-FR"/>
        </w:rPr>
        <w:t xml:space="preserve">.  À la lumière de ce qui précède et compte tenu du montant élevé des amendes infligées et de celles que les requérants encouraient, la Cour estime que les sanctions en cause relèvent, par leur sévérité et leur caractère dissuasif, de la matière pénale (voir, </w:t>
      </w:r>
      <w:r>
        <w:rPr>
          <w:rFonts w:eastAsia="MS Mincho"/>
          <w:i/>
          <w:lang w:val="fr-FR" w:eastAsia="fr-FR"/>
        </w:rPr>
        <w:t>Grande Stevens</w:t>
      </w:r>
      <w:r>
        <w:rPr>
          <w:rFonts w:eastAsia="MS Mincho"/>
          <w:lang w:val="fr-FR" w:eastAsia="fr-FR"/>
        </w:rPr>
        <w:t xml:space="preserve"> </w:t>
      </w:r>
      <w:r>
        <w:rPr>
          <w:rFonts w:eastAsia="MS Mincho"/>
          <w:i/>
          <w:lang w:val="fr-FR" w:eastAsia="fr-FR"/>
        </w:rPr>
        <w:t>et autres c. Italie</w:t>
      </w:r>
      <w:r>
        <w:rPr>
          <w:rFonts w:eastAsia="MS Mincho"/>
          <w:lang w:val="fr-FR" w:eastAsia="fr-FR"/>
        </w:rPr>
        <w:t>, n</w:t>
      </w:r>
      <w:r>
        <w:rPr>
          <w:rFonts w:eastAsia="MS Mincho"/>
          <w:vertAlign w:val="superscript"/>
          <w:lang w:val="fr-FR" w:eastAsia="fr-FR"/>
        </w:rPr>
        <w:t>os</w:t>
      </w:r>
      <w:r>
        <w:rPr>
          <w:rFonts w:eastAsia="MS Mincho"/>
          <w:lang w:val="fr-FR" w:eastAsia="fr-FR"/>
        </w:rPr>
        <w:t> 18640/10, 18647/10, 18663/10, 18668/10 et 18698/10</w:t>
      </w:r>
      <w:r>
        <w:rPr>
          <w:rFonts w:eastAsia="MS Mincho"/>
          <w:snapToGrid w:val="0"/>
          <w:lang w:val="fr-FR" w:eastAsia="fr-FR"/>
        </w:rPr>
        <w:t xml:space="preserve">, § 99, 4 </w:t>
      </w:r>
      <w:r>
        <w:rPr>
          <w:rFonts w:eastAsia="MS Mincho"/>
          <w:lang w:val="fr-FR" w:eastAsia="fr-FR"/>
        </w:rPr>
        <w:t>mars</w:t>
      </w:r>
      <w:r>
        <w:rPr>
          <w:rFonts w:eastAsia="MS Mincho"/>
          <w:snapToGrid w:val="0"/>
          <w:lang w:val="fr-FR" w:eastAsia="fr-FR"/>
        </w:rPr>
        <w:t xml:space="preserve"> 2014, </w:t>
      </w:r>
      <w:r>
        <w:rPr>
          <w:rFonts w:eastAsia="Times New Roman"/>
          <w:lang w:val="fr-FR"/>
        </w:rPr>
        <w:t xml:space="preserve">et, </w:t>
      </w:r>
      <w:r>
        <w:rPr>
          <w:rFonts w:eastAsia="Times New Roman"/>
          <w:i/>
          <w:lang w:val="fr-FR"/>
        </w:rPr>
        <w:t>a contrario</w:t>
      </w:r>
      <w:r>
        <w:rPr>
          <w:rFonts w:eastAsia="Times New Roman"/>
          <w:lang w:val="fr-FR"/>
        </w:rPr>
        <w:t xml:space="preserve">, </w:t>
      </w:r>
      <w:r>
        <w:rPr>
          <w:rFonts w:eastAsia="Times New Roman"/>
          <w:i/>
          <w:lang w:val="fr-FR"/>
        </w:rPr>
        <w:t>Inocêncio c. Portugal</w:t>
      </w:r>
      <w:r>
        <w:rPr>
          <w:rFonts w:eastAsia="Times New Roman"/>
          <w:lang w:val="fr-FR"/>
        </w:rPr>
        <w:t xml:space="preserve"> (déc.), n</w:t>
      </w:r>
      <w:r>
        <w:rPr>
          <w:rFonts w:eastAsia="Times New Roman"/>
          <w:vertAlign w:val="superscript"/>
          <w:lang w:val="fr-FR"/>
        </w:rPr>
        <w:t>o</w:t>
      </w:r>
      <w:r>
        <w:rPr>
          <w:rFonts w:eastAsia="Times New Roman"/>
          <w:lang w:val="fr-FR"/>
        </w:rPr>
        <w:t xml:space="preserve"> 43862/98, CEDH 2001</w:t>
      </w:r>
      <w:r>
        <w:rPr>
          <w:rFonts w:eastAsia="Times New Roman"/>
          <w:lang w:val="fr-FR"/>
        </w:rPr>
        <w:noBreakHyphen/>
        <w:t>I). Il convient donc de rejeter l</w:t>
      </w:r>
      <w:r w:rsidR="003C2190">
        <w:rPr>
          <w:rFonts w:eastAsia="Times New Roman"/>
          <w:lang w:val="fr-FR"/>
        </w:rPr>
        <w:t>’</w:t>
      </w:r>
      <w:r>
        <w:rPr>
          <w:rFonts w:eastAsia="Times New Roman"/>
          <w:lang w:val="fr-FR"/>
        </w:rPr>
        <w:t>exception du Gouvernement sur ce point.</w:t>
      </w:r>
    </w:p>
    <w:p w:rsidR="009A0B2E" w:rsidRDefault="009A0B2E" w:rsidP="009A0B2E">
      <w:pPr>
        <w:pStyle w:val="ECHRPara"/>
        <w:rPr>
          <w:rFonts w:eastAsia="MS Mincho"/>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BD469E">
        <w:rPr>
          <w:rFonts w:eastAsia="Times New Roman"/>
          <w:noProof/>
          <w:lang w:val="fr-FR"/>
        </w:rPr>
        <w:t>57</w:t>
      </w:r>
      <w:r>
        <w:rPr>
          <w:rFonts w:eastAsia="Times New Roman"/>
          <w:lang w:val="fr-FR"/>
        </w:rPr>
        <w:fldChar w:fldCharType="end"/>
      </w:r>
      <w:r>
        <w:rPr>
          <w:rFonts w:eastAsia="Times New Roman"/>
          <w:lang w:val="fr-FR"/>
        </w:rPr>
        <w:t>.  Par ailleurs, l</w:t>
      </w:r>
      <w:r>
        <w:rPr>
          <w:rFonts w:eastAsia="MS Mincho"/>
          <w:lang w:val="fr-FR"/>
        </w:rPr>
        <w:t xml:space="preserve">a Cour constate que </w:t>
      </w:r>
      <w:r>
        <w:rPr>
          <w:rFonts w:eastAsia="MS Mincho"/>
          <w:lang w:val="fr-FR" w:eastAsia="fr-FR"/>
        </w:rPr>
        <w:t xml:space="preserve">ce grief </w:t>
      </w:r>
      <w:r>
        <w:rPr>
          <w:rFonts w:eastAsia="MS Mincho"/>
          <w:lang w:val="fr-FR"/>
        </w:rPr>
        <w:t>n</w:t>
      </w:r>
      <w:r w:rsidR="003C2190">
        <w:rPr>
          <w:rFonts w:eastAsia="MS Mincho"/>
          <w:lang w:val="fr-FR"/>
        </w:rPr>
        <w:t>’</w:t>
      </w:r>
      <w:r>
        <w:rPr>
          <w:rFonts w:eastAsia="MS Mincho"/>
          <w:lang w:val="fr-FR"/>
        </w:rPr>
        <w:t>est pas manifestement mal fondé au sens de l</w:t>
      </w:r>
      <w:r w:rsidR="003C2190">
        <w:rPr>
          <w:rFonts w:eastAsia="MS Mincho"/>
          <w:lang w:val="fr-FR"/>
        </w:rPr>
        <w:t>’</w:t>
      </w:r>
      <w:r>
        <w:rPr>
          <w:rFonts w:eastAsia="MS Mincho"/>
          <w:lang w:val="fr-FR"/>
        </w:rPr>
        <w:t>article 35 § 3 a) de la Convention. Elle relève par ailleurs qu</w:t>
      </w:r>
      <w:r w:rsidR="003C2190">
        <w:rPr>
          <w:rFonts w:eastAsia="MS Mincho"/>
          <w:lang w:val="fr-FR"/>
        </w:rPr>
        <w:t>’</w:t>
      </w:r>
      <w:r>
        <w:rPr>
          <w:rFonts w:eastAsia="MS Mincho"/>
          <w:lang w:val="fr-FR"/>
        </w:rPr>
        <w:t>il ne se heurte à aucun autre motif d</w:t>
      </w:r>
      <w:r w:rsidR="003C2190">
        <w:rPr>
          <w:rFonts w:eastAsia="MS Mincho"/>
          <w:lang w:val="fr-FR"/>
        </w:rPr>
        <w:t>’</w:t>
      </w:r>
      <w:r>
        <w:rPr>
          <w:rFonts w:eastAsia="MS Mincho"/>
          <w:lang w:val="fr-FR"/>
        </w:rPr>
        <w:t>irrecevabilité. Il convient donc de le déclarer recevable.</w:t>
      </w:r>
    </w:p>
    <w:p w:rsidR="009A0B2E" w:rsidRDefault="009A0B2E" w:rsidP="009A0B2E">
      <w:pPr>
        <w:pStyle w:val="ECHRHeading3"/>
        <w:rPr>
          <w:rFonts w:eastAsia="MS Gothic"/>
          <w:lang w:val="fr-FR"/>
        </w:rPr>
      </w:pPr>
      <w:r>
        <w:rPr>
          <w:rFonts w:eastAsia="MS Gothic"/>
          <w:lang w:val="fr-FR"/>
        </w:rPr>
        <w:t>2.  Sur le fond</w:t>
      </w:r>
    </w:p>
    <w:p w:rsidR="009A0B2E" w:rsidRDefault="009A0B2E" w:rsidP="009A0B2E">
      <w:pPr>
        <w:pStyle w:val="ECHRHeading4"/>
        <w:rPr>
          <w:rFonts w:eastAsia="MS Gothic"/>
          <w:lang w:val="fr-FR"/>
        </w:rPr>
      </w:pPr>
      <w:r>
        <w:rPr>
          <w:rFonts w:eastAsia="MS Gothic"/>
          <w:lang w:val="fr-FR"/>
        </w:rPr>
        <w:t>a)  Les thèses des parties</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58</w:t>
      </w:r>
      <w:r>
        <w:rPr>
          <w:rFonts w:eastAsia="MS Mincho"/>
          <w:lang w:val="fr-FR"/>
        </w:rPr>
        <w:fldChar w:fldCharType="end"/>
      </w:r>
      <w:r>
        <w:rPr>
          <w:rFonts w:eastAsia="MS Mincho"/>
          <w:lang w:val="fr-FR"/>
        </w:rPr>
        <w:t>.  Le Gouvernement allègue principalement que la question relative à l</w:t>
      </w:r>
      <w:r w:rsidR="003C2190">
        <w:rPr>
          <w:rFonts w:eastAsia="MS Mincho"/>
          <w:lang w:val="fr-FR"/>
        </w:rPr>
        <w:t>’</w:t>
      </w:r>
      <w:r>
        <w:rPr>
          <w:rFonts w:eastAsia="MS Mincho"/>
          <w:lang w:val="fr-FR"/>
        </w:rPr>
        <w:t>existence d</w:t>
      </w:r>
      <w:r w:rsidR="003C2190">
        <w:rPr>
          <w:rFonts w:eastAsia="MS Mincho"/>
          <w:lang w:val="fr-FR"/>
        </w:rPr>
        <w:t>’</w:t>
      </w:r>
      <w:r>
        <w:rPr>
          <w:rFonts w:eastAsia="MS Mincho"/>
          <w:lang w:val="fr-FR"/>
        </w:rPr>
        <w:t>une seconde infraction, ayant comme origine des faits qui sont en substance les mêmes que le premier jugement d</w:t>
      </w:r>
      <w:r w:rsidR="003C2190">
        <w:rPr>
          <w:rFonts w:eastAsia="MS Mincho"/>
          <w:lang w:val="fr-FR"/>
        </w:rPr>
        <w:t>’</w:t>
      </w:r>
      <w:r>
        <w:rPr>
          <w:rFonts w:eastAsia="MS Mincho"/>
          <w:lang w:val="fr-FR"/>
        </w:rPr>
        <w:t>acquittement ou de condamnation, ne saurait être dissociée de l</w:t>
      </w:r>
      <w:r w:rsidR="003C2190">
        <w:rPr>
          <w:rFonts w:eastAsia="MS Mincho"/>
          <w:lang w:val="fr-FR"/>
        </w:rPr>
        <w:t>’</w:t>
      </w:r>
      <w:r>
        <w:rPr>
          <w:rFonts w:eastAsia="MS Mincho"/>
          <w:lang w:val="fr-FR"/>
        </w:rPr>
        <w:t>objectif poursuivi par l</w:t>
      </w:r>
      <w:r w:rsidR="003C2190">
        <w:rPr>
          <w:rFonts w:eastAsia="MS Mincho"/>
          <w:lang w:val="fr-FR"/>
        </w:rPr>
        <w:t>’</w:t>
      </w:r>
      <w:r>
        <w:rPr>
          <w:rFonts w:eastAsia="MS Mincho"/>
          <w:lang w:val="fr-FR"/>
        </w:rPr>
        <w:t>ordre interne quant à la répression de la contrebande. De l</w:t>
      </w:r>
      <w:r w:rsidR="003C2190">
        <w:rPr>
          <w:rFonts w:eastAsia="MS Mincho"/>
          <w:lang w:val="fr-FR"/>
        </w:rPr>
        <w:t>’</w:t>
      </w:r>
      <w:r>
        <w:rPr>
          <w:rFonts w:eastAsia="MS Mincho"/>
          <w:lang w:val="fr-FR"/>
        </w:rPr>
        <w:t>avis du Gouvernement, l</w:t>
      </w:r>
      <w:r w:rsidR="003C2190">
        <w:rPr>
          <w:rFonts w:eastAsia="MS Mincho"/>
          <w:lang w:val="fr-FR"/>
        </w:rPr>
        <w:t>’</w:t>
      </w:r>
      <w:r>
        <w:rPr>
          <w:rFonts w:eastAsia="MS Mincho"/>
          <w:lang w:val="fr-FR"/>
        </w:rPr>
        <w:t>existence d</w:t>
      </w:r>
      <w:r w:rsidR="003C2190">
        <w:rPr>
          <w:rFonts w:eastAsia="MS Mincho"/>
          <w:lang w:val="fr-FR"/>
        </w:rPr>
        <w:t>’</w:t>
      </w:r>
      <w:r>
        <w:rPr>
          <w:rFonts w:eastAsia="MS Mincho"/>
          <w:lang w:val="fr-FR"/>
        </w:rPr>
        <w:t>une procédure administrative qui se déroule en parallèle à la procédure pénale ne contredit pas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du moment qu</w:t>
      </w:r>
      <w:r w:rsidR="003C2190">
        <w:rPr>
          <w:rFonts w:eastAsia="MS Mincho"/>
          <w:lang w:val="fr-FR"/>
        </w:rPr>
        <w:t>’</w:t>
      </w:r>
      <w:r>
        <w:rPr>
          <w:rFonts w:eastAsia="MS Mincho"/>
          <w:lang w:val="fr-FR"/>
        </w:rPr>
        <w:t>elle permet d</w:t>
      </w:r>
      <w:r w:rsidR="003C2190">
        <w:rPr>
          <w:rFonts w:eastAsia="MS Mincho"/>
          <w:lang w:val="fr-FR"/>
        </w:rPr>
        <w:t>’</w:t>
      </w:r>
      <w:r>
        <w:rPr>
          <w:rFonts w:eastAsia="MS Mincho"/>
          <w:lang w:val="fr-FR"/>
        </w:rPr>
        <w:t>examiner la responsabilité administrative de l</w:t>
      </w:r>
      <w:r w:rsidR="003C2190">
        <w:rPr>
          <w:rFonts w:eastAsia="MS Mincho"/>
          <w:lang w:val="fr-FR"/>
        </w:rPr>
        <w:t>’</w:t>
      </w:r>
      <w:r>
        <w:rPr>
          <w:rFonts w:eastAsia="MS Mincho"/>
          <w:lang w:val="fr-FR"/>
        </w:rPr>
        <w:t>auteur de l</w:t>
      </w:r>
      <w:r w:rsidR="003C2190">
        <w:rPr>
          <w:rFonts w:eastAsia="MS Mincho"/>
          <w:lang w:val="fr-FR"/>
        </w:rPr>
        <w:t>’</w:t>
      </w:r>
      <w:r>
        <w:rPr>
          <w:rFonts w:eastAsia="MS Mincho"/>
          <w:lang w:val="fr-FR"/>
        </w:rPr>
        <w:t>infraction.</w:t>
      </w:r>
    </w:p>
    <w:p w:rsidR="009A0B2E" w:rsidRPr="002C5351" w:rsidRDefault="009A0B2E" w:rsidP="009A0B2E">
      <w:pPr>
        <w:pStyle w:val="ECHRPara"/>
        <w:rPr>
          <w:rFonts w:eastAsia="MS Mincho"/>
          <w:lang w:val="fr-FR"/>
        </w:rPr>
      </w:pPr>
      <w:r w:rsidRPr="002C5351">
        <w:rPr>
          <w:rFonts w:eastAsia="MS Mincho"/>
          <w:lang w:val="fr-FR"/>
        </w:rPr>
        <w:fldChar w:fldCharType="begin"/>
      </w:r>
      <w:r w:rsidRPr="002C5351">
        <w:rPr>
          <w:rFonts w:eastAsia="MS Mincho"/>
          <w:lang w:val="fr-FR"/>
        </w:rPr>
        <w:instrText xml:space="preserve"> SEQ level0 \*arabic </w:instrText>
      </w:r>
      <w:r w:rsidRPr="002C5351">
        <w:rPr>
          <w:rFonts w:eastAsia="MS Mincho"/>
          <w:lang w:val="fr-FR"/>
        </w:rPr>
        <w:fldChar w:fldCharType="separate"/>
      </w:r>
      <w:r w:rsidR="00BD469E">
        <w:rPr>
          <w:rFonts w:eastAsia="MS Mincho"/>
          <w:noProof/>
          <w:lang w:val="fr-FR"/>
        </w:rPr>
        <w:t>59</w:t>
      </w:r>
      <w:r w:rsidRPr="002C5351">
        <w:rPr>
          <w:rFonts w:eastAsia="MS Mincho"/>
          <w:lang w:val="fr-FR"/>
        </w:rPr>
        <w:fldChar w:fldCharType="end"/>
      </w:r>
      <w:r w:rsidRPr="002C5351">
        <w:rPr>
          <w:rFonts w:eastAsia="MS Mincho"/>
          <w:lang w:val="fr-FR"/>
        </w:rPr>
        <w:t>.  Le Gouvernement ajoute qu</w:t>
      </w:r>
      <w:r w:rsidR="003C2190">
        <w:rPr>
          <w:rFonts w:eastAsia="MS Mincho"/>
          <w:lang w:val="fr-FR"/>
        </w:rPr>
        <w:t>’</w:t>
      </w:r>
      <w:r w:rsidRPr="002C5351">
        <w:rPr>
          <w:rFonts w:eastAsia="MS Mincho"/>
          <w:lang w:val="fr-FR"/>
        </w:rPr>
        <w:t>il revient aux États de choisir les moyens les plus efficaces pour la répression de la contrebande au sein de leurs ordres internes. Selon lui, en ce qui concerne le droit grec, la procédure pénale vise à l</w:t>
      </w:r>
      <w:r w:rsidR="003C2190">
        <w:rPr>
          <w:rFonts w:eastAsia="MS Mincho"/>
          <w:lang w:val="fr-FR"/>
        </w:rPr>
        <w:t>’</w:t>
      </w:r>
      <w:r w:rsidRPr="002C5351">
        <w:rPr>
          <w:rFonts w:eastAsia="MS Mincho"/>
          <w:lang w:val="fr-FR"/>
        </w:rPr>
        <w:t>examen de la responsabilité pénale de l</w:t>
      </w:r>
      <w:r w:rsidR="003C2190">
        <w:rPr>
          <w:rFonts w:eastAsia="MS Mincho"/>
          <w:lang w:val="fr-FR"/>
        </w:rPr>
        <w:t>’</w:t>
      </w:r>
      <w:r w:rsidRPr="002C5351">
        <w:rPr>
          <w:rFonts w:eastAsia="MS Mincho"/>
          <w:lang w:val="fr-FR"/>
        </w:rPr>
        <w:t>auteur présumé de la contrebande, tandis que la procédure administrative n</w:t>
      </w:r>
      <w:r w:rsidR="003C2190">
        <w:rPr>
          <w:rFonts w:eastAsia="MS Mincho"/>
          <w:lang w:val="fr-FR"/>
        </w:rPr>
        <w:t>’</w:t>
      </w:r>
      <w:r w:rsidRPr="002C5351">
        <w:rPr>
          <w:rFonts w:eastAsia="MS Mincho"/>
          <w:lang w:val="fr-FR"/>
        </w:rPr>
        <w:t>assure que le paiement des impôts, taxes ou douanes dus. Le Gouvernement fait une longue référence à l</w:t>
      </w:r>
      <w:r w:rsidR="003C2190">
        <w:rPr>
          <w:rFonts w:eastAsia="MS Mincho"/>
          <w:lang w:val="fr-FR"/>
        </w:rPr>
        <w:t>’</w:t>
      </w:r>
      <w:r w:rsidRPr="002C5351">
        <w:rPr>
          <w:rFonts w:eastAsia="MS Mincho"/>
          <w:lang w:val="fr-FR"/>
        </w:rPr>
        <w:t>arrêt n</w:t>
      </w:r>
      <w:r w:rsidR="007E7B24" w:rsidRPr="007E7B24">
        <w:rPr>
          <w:rFonts w:eastAsia="MS Mincho"/>
          <w:vertAlign w:val="superscript"/>
          <w:lang w:val="fr-FR"/>
        </w:rPr>
        <w:t>o</w:t>
      </w:r>
      <w:r w:rsidRPr="002C5351">
        <w:rPr>
          <w:rFonts w:eastAsia="MS Mincho"/>
          <w:lang w:val="fr-FR"/>
        </w:rPr>
        <w:t xml:space="preserve"> 2067/2011 </w:t>
      </w:r>
      <w:r w:rsidR="00AA65F8" w:rsidRPr="002C5351">
        <w:rPr>
          <w:rFonts w:eastAsia="MS Mincho"/>
          <w:lang w:val="fr-FR"/>
        </w:rPr>
        <w:t>du Conseil d</w:t>
      </w:r>
      <w:r w:rsidR="003C2190">
        <w:rPr>
          <w:rFonts w:eastAsia="MS Mincho"/>
          <w:lang w:val="fr-FR"/>
        </w:rPr>
        <w:t>’</w:t>
      </w:r>
      <w:r w:rsidR="00AA65F8" w:rsidRPr="002C5351">
        <w:rPr>
          <w:rFonts w:eastAsia="MS Mincho"/>
          <w:lang w:val="fr-FR"/>
        </w:rPr>
        <w:t xml:space="preserve">État </w:t>
      </w:r>
      <w:r w:rsidRPr="002C5351">
        <w:rPr>
          <w:rFonts w:eastAsia="MS Mincho"/>
          <w:lang w:val="fr-FR"/>
        </w:rPr>
        <w:t>ayant, entre autres, admis que l</w:t>
      </w:r>
      <w:r w:rsidR="003C2190">
        <w:rPr>
          <w:rFonts w:eastAsia="MS Mincho"/>
          <w:lang w:val="fr-FR"/>
        </w:rPr>
        <w:t>’</w:t>
      </w:r>
      <w:r w:rsidRPr="002C5351">
        <w:rPr>
          <w:rFonts w:eastAsia="MS Mincho"/>
          <w:lang w:val="fr-FR"/>
        </w:rPr>
        <w:t xml:space="preserve">application du principe </w:t>
      </w:r>
      <w:r w:rsidRPr="002C5351">
        <w:rPr>
          <w:rFonts w:eastAsia="MS Mincho"/>
          <w:i/>
          <w:lang w:val="fr-FR"/>
        </w:rPr>
        <w:t xml:space="preserve">ne bis in idem, </w:t>
      </w:r>
      <w:r w:rsidR="00A104F0" w:rsidRPr="002C5351">
        <w:rPr>
          <w:rFonts w:eastAsia="MS Mincho"/>
          <w:lang w:val="fr-FR"/>
        </w:rPr>
        <w:t>selon l</w:t>
      </w:r>
      <w:r w:rsidR="003C2190">
        <w:rPr>
          <w:rFonts w:eastAsia="MS Mincho"/>
          <w:lang w:val="fr-FR"/>
        </w:rPr>
        <w:t>’</w:t>
      </w:r>
      <w:r w:rsidR="00A104F0" w:rsidRPr="002C5351">
        <w:rPr>
          <w:rFonts w:eastAsia="MS Mincho"/>
          <w:lang w:val="fr-FR"/>
        </w:rPr>
        <w:t xml:space="preserve">article 4 </w:t>
      </w:r>
      <w:r w:rsidRPr="002C5351">
        <w:rPr>
          <w:rFonts w:eastAsia="MS Mincho"/>
          <w:lang w:val="fr-FR"/>
        </w:rPr>
        <w:t>du Protocole n</w:t>
      </w:r>
      <w:r w:rsidR="007E7B24" w:rsidRPr="007E7B24">
        <w:rPr>
          <w:rFonts w:eastAsia="MS Mincho"/>
          <w:vertAlign w:val="superscript"/>
          <w:lang w:val="fr-FR"/>
        </w:rPr>
        <w:t>o</w:t>
      </w:r>
      <w:r w:rsidRPr="002C5351">
        <w:rPr>
          <w:rFonts w:eastAsia="MS Mincho"/>
          <w:lang w:val="fr-FR"/>
        </w:rPr>
        <w:t xml:space="preserve"> 7, contredirait l</w:t>
      </w:r>
      <w:r w:rsidR="003C2190">
        <w:rPr>
          <w:rFonts w:eastAsia="MS Mincho"/>
          <w:lang w:val="fr-FR"/>
        </w:rPr>
        <w:t>’</w:t>
      </w:r>
      <w:r w:rsidRPr="002C5351">
        <w:rPr>
          <w:rFonts w:eastAsia="MS Mincho"/>
          <w:lang w:val="fr-FR"/>
        </w:rPr>
        <w:t>autonomie de la procédure administrative par rapport au procès pénal, ce qui est prévu par les articles 94 § 1 et 96 § 1 de la Constitution. Ledit arrêt a aussi considéré que l</w:t>
      </w:r>
      <w:r w:rsidR="003C2190">
        <w:rPr>
          <w:rFonts w:eastAsia="MS Mincho"/>
          <w:lang w:val="fr-FR"/>
        </w:rPr>
        <w:t>’</w:t>
      </w:r>
      <w:r w:rsidRPr="002C5351">
        <w:rPr>
          <w:rFonts w:eastAsia="MS Mincho"/>
          <w:lang w:val="fr-FR"/>
        </w:rPr>
        <w:t>État grec n</w:t>
      </w:r>
      <w:r w:rsidR="003C2190">
        <w:rPr>
          <w:rFonts w:eastAsia="MS Mincho"/>
          <w:lang w:val="fr-FR"/>
        </w:rPr>
        <w:t>’</w:t>
      </w:r>
      <w:r w:rsidRPr="002C5351">
        <w:rPr>
          <w:rFonts w:eastAsia="MS Mincho"/>
          <w:lang w:val="fr-FR"/>
        </w:rPr>
        <w:t>aurait pas pu envisager qu</w:t>
      </w:r>
      <w:r w:rsidR="003C2190">
        <w:rPr>
          <w:rFonts w:eastAsia="MS Mincho"/>
          <w:lang w:val="fr-FR"/>
        </w:rPr>
        <w:t>’</w:t>
      </w:r>
      <w:r w:rsidRPr="002C5351">
        <w:rPr>
          <w:rFonts w:eastAsia="MS Mincho"/>
          <w:lang w:val="fr-FR"/>
        </w:rPr>
        <w:t>en raison de la jurisprudence évolutive de la Cour sur l</w:t>
      </w:r>
      <w:r w:rsidR="003C2190">
        <w:rPr>
          <w:rFonts w:eastAsia="MS Mincho"/>
          <w:lang w:val="fr-FR"/>
        </w:rPr>
        <w:t>’</w:t>
      </w:r>
      <w:r w:rsidRPr="002C5351">
        <w:rPr>
          <w:rFonts w:eastAsia="MS Mincho"/>
          <w:lang w:val="fr-FR"/>
        </w:rPr>
        <w:t>article 4 du Protocole n</w:t>
      </w:r>
      <w:r w:rsidR="007E7B24" w:rsidRPr="007E7B24">
        <w:rPr>
          <w:rFonts w:eastAsia="MS Mincho"/>
          <w:vertAlign w:val="superscript"/>
          <w:lang w:val="fr-FR"/>
        </w:rPr>
        <w:t>o</w:t>
      </w:r>
      <w:r w:rsidRPr="002C5351">
        <w:rPr>
          <w:rFonts w:eastAsia="MS Mincho"/>
          <w:lang w:val="fr-FR"/>
        </w:rPr>
        <w:t xml:space="preserve"> 7, elle s</w:t>
      </w:r>
      <w:r w:rsidR="003C2190">
        <w:rPr>
          <w:rFonts w:eastAsia="MS Mincho"/>
          <w:lang w:val="fr-FR"/>
        </w:rPr>
        <w:t>’</w:t>
      </w:r>
      <w:r w:rsidRPr="002C5351">
        <w:rPr>
          <w:rFonts w:eastAsia="MS Mincho"/>
          <w:lang w:val="fr-FR"/>
        </w:rPr>
        <w:t>engageait à respecter des obligations internationales contraires à ses traditions juridiques bien ancrées et à la Constitution elle-même.</w:t>
      </w:r>
    </w:p>
    <w:p w:rsidR="00AF131B" w:rsidRDefault="009A0B2E" w:rsidP="009A0B2E">
      <w:pPr>
        <w:pStyle w:val="ECHRPara"/>
        <w:rPr>
          <w:rFonts w:eastAsia="MS Mincho"/>
          <w:lang w:val="fr-FR"/>
        </w:rPr>
      </w:pPr>
      <w:r w:rsidRPr="002C5351">
        <w:rPr>
          <w:rFonts w:eastAsia="MS Mincho"/>
          <w:lang w:val="fr-FR"/>
        </w:rPr>
        <w:fldChar w:fldCharType="begin"/>
      </w:r>
      <w:r w:rsidRPr="002C5351">
        <w:rPr>
          <w:rFonts w:eastAsia="MS Mincho"/>
          <w:lang w:val="fr-FR"/>
        </w:rPr>
        <w:instrText xml:space="preserve"> SEQ level0 \*arabic </w:instrText>
      </w:r>
      <w:r w:rsidRPr="002C5351">
        <w:rPr>
          <w:rFonts w:eastAsia="MS Mincho"/>
          <w:lang w:val="fr-FR"/>
        </w:rPr>
        <w:fldChar w:fldCharType="separate"/>
      </w:r>
      <w:r w:rsidR="00BD469E">
        <w:rPr>
          <w:rFonts w:eastAsia="MS Mincho"/>
          <w:noProof/>
          <w:lang w:val="fr-FR"/>
        </w:rPr>
        <w:t>60</w:t>
      </w:r>
      <w:r w:rsidRPr="002C5351">
        <w:rPr>
          <w:rFonts w:eastAsia="MS Mincho"/>
          <w:lang w:val="fr-FR"/>
        </w:rPr>
        <w:fldChar w:fldCharType="end"/>
      </w:r>
      <w:r w:rsidRPr="002C5351">
        <w:rPr>
          <w:rFonts w:eastAsia="MS Mincho"/>
          <w:lang w:val="fr-FR"/>
        </w:rPr>
        <w:t>.  En outre, le Gouvernement affirme que, selon l</w:t>
      </w:r>
      <w:r w:rsidR="003C2190">
        <w:rPr>
          <w:rFonts w:eastAsia="MS Mincho"/>
          <w:lang w:val="fr-FR"/>
        </w:rPr>
        <w:t>’</w:t>
      </w:r>
      <w:r w:rsidRPr="002C5351">
        <w:rPr>
          <w:rFonts w:eastAsia="MS Mincho"/>
          <w:lang w:val="fr-FR"/>
        </w:rPr>
        <w:t>article 4 du</w:t>
      </w:r>
      <w:r>
        <w:rPr>
          <w:rFonts w:eastAsia="MS Mincho"/>
          <w:lang w:val="fr-FR"/>
        </w:rPr>
        <w:t xml:space="preserve"> Protocole n</w:t>
      </w:r>
      <w:r w:rsidR="007E7B24" w:rsidRPr="007E7B24">
        <w:rPr>
          <w:rFonts w:eastAsia="MS Mincho"/>
          <w:vertAlign w:val="superscript"/>
          <w:lang w:val="fr-FR"/>
        </w:rPr>
        <w:t>o</w:t>
      </w:r>
      <w:r>
        <w:rPr>
          <w:rFonts w:eastAsia="MS Mincho"/>
          <w:lang w:val="fr-FR"/>
        </w:rPr>
        <w:t xml:space="preserve"> 7, tant que l</w:t>
      </w:r>
      <w:r w:rsidR="003C2190">
        <w:rPr>
          <w:rFonts w:eastAsia="MS Mincho"/>
          <w:lang w:val="fr-FR"/>
        </w:rPr>
        <w:t>’</w:t>
      </w:r>
      <w:r>
        <w:rPr>
          <w:rFonts w:eastAsia="MS Mincho"/>
          <w:lang w:val="fr-FR"/>
        </w:rPr>
        <w:t>autorité de la chose jugée n</w:t>
      </w:r>
      <w:r w:rsidR="003C2190">
        <w:rPr>
          <w:rFonts w:eastAsia="MS Mincho"/>
          <w:lang w:val="fr-FR"/>
        </w:rPr>
        <w:t>’</w:t>
      </w:r>
      <w:r>
        <w:rPr>
          <w:rFonts w:eastAsia="MS Mincho"/>
          <w:lang w:val="fr-FR"/>
        </w:rPr>
        <w:t>est pas attachée au premier jugement pénal, l</w:t>
      </w:r>
      <w:r w:rsidR="003C2190">
        <w:rPr>
          <w:rFonts w:eastAsia="MS Mincho"/>
          <w:lang w:val="fr-FR"/>
        </w:rPr>
        <w:t>’</w:t>
      </w:r>
      <w:r>
        <w:rPr>
          <w:rFonts w:eastAsia="MS Mincho"/>
          <w:lang w:val="fr-FR"/>
        </w:rPr>
        <w:t>engagement d</w:t>
      </w:r>
      <w:r w:rsidR="003C2190">
        <w:rPr>
          <w:rFonts w:eastAsia="MS Mincho"/>
          <w:lang w:val="fr-FR"/>
        </w:rPr>
        <w:t>’</w:t>
      </w:r>
      <w:r>
        <w:rPr>
          <w:rFonts w:eastAsia="MS Mincho"/>
          <w:lang w:val="fr-FR"/>
        </w:rPr>
        <w:t>une nouvelle procédure pénale contre la même personne pour la même conduite n</w:t>
      </w:r>
      <w:r w:rsidR="003C2190">
        <w:rPr>
          <w:rFonts w:eastAsia="MS Mincho"/>
          <w:lang w:val="fr-FR"/>
        </w:rPr>
        <w:t>’</w:t>
      </w:r>
      <w:r>
        <w:rPr>
          <w:rFonts w:eastAsia="MS Mincho"/>
          <w:lang w:val="fr-FR"/>
        </w:rPr>
        <w:t>est pas interdit. En ce</w:t>
      </w:r>
      <w:r w:rsidR="00FE376B">
        <w:rPr>
          <w:rFonts w:eastAsia="MS Mincho"/>
          <w:lang w:val="fr-FR"/>
        </w:rPr>
        <w:t xml:space="preserve"> qui </w:t>
      </w:r>
      <w:r w:rsidR="00FE376B">
        <w:rPr>
          <w:rFonts w:eastAsia="MS Mincho"/>
          <w:lang w:val="fr-FR"/>
        </w:rPr>
        <w:lastRenderedPageBreak/>
        <w:t>concerne les cas d</w:t>
      </w:r>
      <w:r w:rsidR="003C2190">
        <w:rPr>
          <w:rFonts w:eastAsia="MS Mincho"/>
          <w:lang w:val="fr-FR"/>
        </w:rPr>
        <w:t>’</w:t>
      </w:r>
      <w:r w:rsidR="00FE376B">
        <w:rPr>
          <w:rFonts w:eastAsia="MS Mincho"/>
          <w:lang w:val="fr-FR"/>
        </w:rPr>
        <w:t>espèce,</w:t>
      </w:r>
      <w:r>
        <w:rPr>
          <w:rFonts w:eastAsia="MS Mincho"/>
          <w:lang w:val="fr-FR"/>
        </w:rPr>
        <w:t xml:space="preserve"> le Gouvernement allègue qu</w:t>
      </w:r>
      <w:r w:rsidR="003C2190">
        <w:rPr>
          <w:rFonts w:eastAsia="MS Mincho"/>
          <w:lang w:val="fr-FR"/>
        </w:rPr>
        <w:t>’</w:t>
      </w:r>
      <w:r>
        <w:rPr>
          <w:rFonts w:eastAsia="MS Mincho"/>
          <w:lang w:val="fr-FR"/>
        </w:rPr>
        <w:t>il ne ressort pas du dossier que le premier requérant ait confirmé lors de la procédure conclue par l</w:t>
      </w:r>
      <w:r w:rsidR="003C2190">
        <w:rPr>
          <w:rFonts w:eastAsia="MS Mincho"/>
          <w:lang w:val="fr-FR"/>
        </w:rPr>
        <w:t>’</w:t>
      </w:r>
      <w:r>
        <w:rPr>
          <w:rFonts w:eastAsia="MS Mincho"/>
          <w:lang w:val="fr-FR"/>
        </w:rPr>
        <w:t>arrêt n</w:t>
      </w:r>
      <w:r w:rsidR="007E7B24" w:rsidRPr="007E7B24">
        <w:rPr>
          <w:rFonts w:eastAsia="MS Mincho"/>
          <w:vertAlign w:val="superscript"/>
          <w:lang w:val="fr-FR"/>
        </w:rPr>
        <w:t>o</w:t>
      </w:r>
      <w:r>
        <w:rPr>
          <w:rFonts w:eastAsia="MS Mincho"/>
          <w:lang w:val="fr-FR"/>
        </w:rPr>
        <w:t xml:space="preserve"> 2090/2000 de la cour administrative d</w:t>
      </w:r>
      <w:r w:rsidR="003C2190">
        <w:rPr>
          <w:rFonts w:eastAsia="MS Mincho"/>
          <w:lang w:val="fr-FR"/>
        </w:rPr>
        <w:t>’</w:t>
      </w:r>
      <w:r>
        <w:rPr>
          <w:rFonts w:eastAsia="MS Mincho"/>
          <w:lang w:val="fr-FR"/>
        </w:rPr>
        <w:t>appel que le jugement d</w:t>
      </w:r>
      <w:r w:rsidR="003C2190">
        <w:rPr>
          <w:rFonts w:eastAsia="MS Mincho"/>
          <w:lang w:val="fr-FR"/>
        </w:rPr>
        <w:t>’</w:t>
      </w:r>
      <w:r>
        <w:rPr>
          <w:rFonts w:eastAsia="MS Mincho"/>
          <w:lang w:val="fr-FR"/>
        </w:rPr>
        <w:t>acquittement n</w:t>
      </w:r>
      <w:r w:rsidR="007E7B24" w:rsidRPr="007E7B24">
        <w:rPr>
          <w:rFonts w:eastAsia="MS Mincho"/>
          <w:vertAlign w:val="superscript"/>
          <w:lang w:val="fr-FR"/>
        </w:rPr>
        <w:t>o</w:t>
      </w:r>
      <w:r>
        <w:rPr>
          <w:rFonts w:eastAsia="MS Mincho"/>
          <w:lang w:val="fr-FR"/>
        </w:rPr>
        <w:t xml:space="preserve"> 1087/1992 de la cour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était devenu irrévocable. Par ailleurs, quant au deuxième requérant, le Gouvernement affirme que celui-ci n</w:t>
      </w:r>
      <w:r w:rsidR="003C2190">
        <w:rPr>
          <w:rFonts w:eastAsia="MS Mincho"/>
          <w:lang w:val="fr-FR"/>
        </w:rPr>
        <w:t>’</w:t>
      </w:r>
      <w:r>
        <w:rPr>
          <w:rFonts w:eastAsia="MS Mincho"/>
          <w:lang w:val="fr-FR"/>
        </w:rPr>
        <w:t>a pas établi devant les juridictions administratives que le jugem</w:t>
      </w:r>
      <w:r w:rsidR="00FE376B">
        <w:rPr>
          <w:rFonts w:eastAsia="MS Mincho"/>
          <w:lang w:val="fr-FR"/>
        </w:rPr>
        <w:t>ent d</w:t>
      </w:r>
      <w:r w:rsidR="003C2190">
        <w:rPr>
          <w:rFonts w:eastAsia="MS Mincho"/>
          <w:lang w:val="fr-FR"/>
        </w:rPr>
        <w:t>’</w:t>
      </w:r>
      <w:r w:rsidR="00FE376B">
        <w:rPr>
          <w:rFonts w:eastAsia="MS Mincho"/>
          <w:lang w:val="fr-FR"/>
        </w:rPr>
        <w:t xml:space="preserve">acquittement </w:t>
      </w:r>
      <w:r>
        <w:rPr>
          <w:rFonts w:eastAsia="MS Mincho"/>
          <w:lang w:val="fr-FR"/>
        </w:rPr>
        <w:t>n</w:t>
      </w:r>
      <w:r w:rsidR="007E7B24" w:rsidRPr="007E7B24">
        <w:rPr>
          <w:rFonts w:eastAsia="MS Mincho"/>
          <w:vertAlign w:val="superscript"/>
          <w:lang w:val="fr-FR"/>
        </w:rPr>
        <w:t>o</w:t>
      </w:r>
      <w:r>
        <w:rPr>
          <w:rFonts w:eastAsia="MS Mincho"/>
          <w:lang w:val="fr-FR"/>
        </w:rPr>
        <w:t xml:space="preserve"> 2828/2000 du tribunal correctionnel de Patras était irrévocable. De plus, comme le Conseil d</w:t>
      </w:r>
      <w:r w:rsidR="003C2190">
        <w:rPr>
          <w:rFonts w:eastAsia="MS Mincho"/>
          <w:lang w:val="fr-FR"/>
        </w:rPr>
        <w:t>’</w:t>
      </w:r>
      <w:r>
        <w:rPr>
          <w:rFonts w:eastAsia="MS Mincho"/>
          <w:lang w:val="fr-FR"/>
        </w:rPr>
        <w:t>État l</w:t>
      </w:r>
      <w:r w:rsidR="003C2190">
        <w:rPr>
          <w:rFonts w:eastAsia="MS Mincho"/>
          <w:lang w:val="fr-FR"/>
        </w:rPr>
        <w:t>’</w:t>
      </w:r>
      <w:r>
        <w:rPr>
          <w:rFonts w:eastAsia="MS Mincho"/>
          <w:lang w:val="fr-FR"/>
        </w:rPr>
        <w:t>a admis, ledit jugement n</w:t>
      </w:r>
      <w:r w:rsidR="003C2190">
        <w:rPr>
          <w:rFonts w:eastAsia="MS Mincho"/>
          <w:lang w:val="fr-FR"/>
        </w:rPr>
        <w:t>’</w:t>
      </w:r>
      <w:r>
        <w:rPr>
          <w:rFonts w:eastAsia="MS Mincho"/>
          <w:lang w:val="fr-FR"/>
        </w:rPr>
        <w:t>avait pas été valablement soumis devant la cour administrative d</w:t>
      </w:r>
      <w:r w:rsidR="003C2190">
        <w:rPr>
          <w:rFonts w:eastAsia="MS Mincho"/>
          <w:lang w:val="fr-FR"/>
        </w:rPr>
        <w:t>’</w:t>
      </w:r>
      <w:r>
        <w:rPr>
          <w:rFonts w:eastAsia="MS Mincho"/>
          <w:lang w:val="fr-FR"/>
        </w:rPr>
        <w:t>appel.</w:t>
      </w:r>
    </w:p>
    <w:p w:rsidR="00AF131B"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61</w:t>
      </w:r>
      <w:r>
        <w:rPr>
          <w:rFonts w:eastAsia="MS Mincho"/>
          <w:lang w:val="fr-FR"/>
        </w:rPr>
        <w:fldChar w:fldCharType="end"/>
      </w:r>
      <w:r>
        <w:rPr>
          <w:rFonts w:eastAsia="MS Mincho"/>
          <w:lang w:val="fr-FR"/>
        </w:rPr>
        <w:t xml:space="preserve">.  Les requérants rétorquent que le principe </w:t>
      </w:r>
      <w:r>
        <w:rPr>
          <w:rFonts w:eastAsia="MS Mincho"/>
          <w:i/>
          <w:lang w:val="fr-FR"/>
        </w:rPr>
        <w:t>ne bis in idem</w:t>
      </w:r>
      <w:r w:rsidR="00AF131B">
        <w:rPr>
          <w:rFonts w:eastAsia="MS Mincho"/>
          <w:i/>
          <w:lang w:val="fr-FR"/>
        </w:rPr>
        <w:t xml:space="preserve"> </w:t>
      </w:r>
      <w:r>
        <w:rPr>
          <w:rFonts w:eastAsia="MS Mincho"/>
          <w:lang w:val="fr-FR"/>
        </w:rPr>
        <w:t>a clairement été enfreint en l</w:t>
      </w:r>
      <w:r w:rsidR="003C2190">
        <w:rPr>
          <w:rFonts w:eastAsia="MS Mincho"/>
          <w:lang w:val="fr-FR"/>
        </w:rPr>
        <w:t>’</w:t>
      </w:r>
      <w:r>
        <w:rPr>
          <w:rFonts w:eastAsia="MS Mincho"/>
          <w:lang w:val="fr-FR"/>
        </w:rPr>
        <w:t>espèce du fait qu</w:t>
      </w:r>
      <w:r w:rsidR="003C2190">
        <w:rPr>
          <w:rFonts w:eastAsia="MS Mincho"/>
          <w:lang w:val="fr-FR"/>
        </w:rPr>
        <w:t>’</w:t>
      </w:r>
      <w:r>
        <w:rPr>
          <w:rFonts w:eastAsia="MS Mincho"/>
          <w:lang w:val="fr-FR"/>
        </w:rPr>
        <w:t>ils ont été « condamnés » par les juridictions administratives pour les infractions prévues par le Code des douanes, malgré leur acquittement préalable par les juridictions pénales se rapportant à des faits et qualification identiques.</w:t>
      </w:r>
    </w:p>
    <w:p w:rsidR="009A0B2E" w:rsidRDefault="009A0B2E" w:rsidP="009A0B2E">
      <w:pPr>
        <w:pStyle w:val="ECHRHeading4"/>
        <w:rPr>
          <w:rFonts w:eastAsia="MS Gothic"/>
          <w:lang w:val="fr-FR"/>
        </w:rPr>
      </w:pPr>
      <w:r>
        <w:rPr>
          <w:rFonts w:eastAsia="MS Gothic"/>
          <w:lang w:val="fr-FR"/>
        </w:rPr>
        <w:t>b)  L</w:t>
      </w:r>
      <w:r w:rsidR="003C2190">
        <w:rPr>
          <w:rFonts w:eastAsia="MS Gothic"/>
          <w:lang w:val="fr-FR"/>
        </w:rPr>
        <w:t>’</w:t>
      </w:r>
      <w:r>
        <w:rPr>
          <w:rFonts w:eastAsia="MS Gothic"/>
          <w:lang w:val="fr-FR"/>
        </w:rPr>
        <w:t>appréciation de la Cour</w:t>
      </w:r>
    </w:p>
    <w:p w:rsidR="009A0B2E" w:rsidRDefault="009A0B2E" w:rsidP="009A0B2E">
      <w:pPr>
        <w:pStyle w:val="ECHRHeading5"/>
        <w:rPr>
          <w:lang w:val="fr-FR"/>
        </w:rPr>
      </w:pPr>
      <w:r>
        <w:rPr>
          <w:lang w:val="fr-FR"/>
        </w:rPr>
        <w:t>i.  Principes généraux</w:t>
      </w:r>
    </w:p>
    <w:p w:rsidR="009A0B2E" w:rsidRDefault="009A0B2E" w:rsidP="007B50AC">
      <w:pPr>
        <w:pStyle w:val="ECHRPara"/>
        <w:rPr>
          <w:rFonts w:eastAsia="MS Mincho"/>
          <w:i/>
          <w:lang w:val="fr-FR" w:eastAsia="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62</w:t>
      </w:r>
      <w:r>
        <w:rPr>
          <w:rFonts w:eastAsia="MS Mincho"/>
          <w:lang w:val="fr-FR"/>
        </w:rPr>
        <w:fldChar w:fldCharType="end"/>
      </w:r>
      <w:r>
        <w:rPr>
          <w:rFonts w:eastAsia="MS Mincho"/>
          <w:lang w:val="fr-FR"/>
        </w:rPr>
        <w:t>.  La Cour rappelle que l</w:t>
      </w:r>
      <w:r w:rsidR="003C2190">
        <w:rPr>
          <w:rFonts w:eastAsia="MS Mincho"/>
          <w:lang w:val="fr-FR"/>
        </w:rPr>
        <w:t>’</w:t>
      </w:r>
      <w:r>
        <w:rPr>
          <w:rFonts w:eastAsia="MS Mincho"/>
          <w:lang w:val="fr-FR"/>
        </w:rPr>
        <w:t>article 4 du Protocole n</w:t>
      </w:r>
      <w:r>
        <w:rPr>
          <w:rFonts w:eastAsia="MS Mincho"/>
          <w:vertAlign w:val="superscript"/>
          <w:lang w:val="fr-FR"/>
        </w:rPr>
        <w:t>o</w:t>
      </w:r>
      <w:r>
        <w:rPr>
          <w:rFonts w:eastAsia="MS Mincho"/>
          <w:lang w:val="fr-FR"/>
        </w:rPr>
        <w:t xml:space="preserve"> 7 doit être compris comme interdisant de poursuivre ou de juger une personne pour une seconde « infraction » pour autant que celle-ci a pour origine des faits qui sont en substance les mêmes (</w:t>
      </w:r>
      <w:r>
        <w:rPr>
          <w:rFonts w:eastAsia="MS Mincho"/>
          <w:i/>
          <w:lang w:val="fr-FR" w:eastAsia="fr-FR"/>
        </w:rPr>
        <w:t>Sergueï Zolotoukhine c. Russie</w:t>
      </w:r>
      <w:r>
        <w:rPr>
          <w:rFonts w:eastAsia="MS Mincho"/>
          <w:lang w:val="fr-FR" w:eastAsia="fr-FR"/>
        </w:rPr>
        <w:t xml:space="preserve"> [GC], n</w:t>
      </w:r>
      <w:r>
        <w:rPr>
          <w:rFonts w:eastAsia="MS Mincho"/>
          <w:vertAlign w:val="superscript"/>
          <w:lang w:val="fr-FR" w:eastAsia="fr-FR"/>
        </w:rPr>
        <w:t>o</w:t>
      </w:r>
      <w:r w:rsidR="00D72AF5">
        <w:rPr>
          <w:rFonts w:eastAsia="MS Mincho"/>
          <w:lang w:val="fr-FR" w:eastAsia="fr-FR"/>
        </w:rPr>
        <w:t> 14939/03, § </w:t>
      </w:r>
      <w:r>
        <w:rPr>
          <w:rFonts w:eastAsia="MS Mincho"/>
          <w:lang w:val="fr-FR" w:eastAsia="fr-FR"/>
        </w:rPr>
        <w:t>82, CEDH 2009)</w:t>
      </w:r>
      <w:r>
        <w:rPr>
          <w:rFonts w:eastAsia="MS Mincho"/>
          <w:lang w:val="fr-FR"/>
        </w:rPr>
        <w:t>.</w:t>
      </w:r>
    </w:p>
    <w:p w:rsidR="009A0B2E" w:rsidRDefault="009A0B2E" w:rsidP="007B50AC">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63</w:t>
      </w:r>
      <w:r>
        <w:rPr>
          <w:rFonts w:eastAsia="MS Mincho"/>
          <w:lang w:val="fr-FR"/>
        </w:rPr>
        <w:fldChar w:fldCharType="end"/>
      </w:r>
      <w:r>
        <w:rPr>
          <w:rFonts w:eastAsia="MS Mincho"/>
          <w:lang w:val="fr-FR"/>
        </w:rPr>
        <w:t>.  La garantie consacrée à l</w:t>
      </w:r>
      <w:r w:rsidR="003C2190">
        <w:rPr>
          <w:rFonts w:eastAsia="MS Mincho"/>
          <w:lang w:val="fr-FR"/>
        </w:rPr>
        <w:t>’</w:t>
      </w:r>
      <w:r>
        <w:rPr>
          <w:rFonts w:eastAsia="MS Mincho"/>
          <w:lang w:val="fr-FR"/>
        </w:rPr>
        <w:t>article 4 du Protocole n</w:t>
      </w:r>
      <w:r>
        <w:rPr>
          <w:rFonts w:eastAsia="MS Mincho"/>
          <w:vertAlign w:val="superscript"/>
          <w:lang w:val="fr-FR"/>
        </w:rPr>
        <w:t>o</w:t>
      </w:r>
      <w:r>
        <w:rPr>
          <w:rFonts w:eastAsia="MS Mincho"/>
          <w:lang w:val="fr-FR"/>
        </w:rPr>
        <w:t xml:space="preserve"> 7 entre en jeu lorsque de nouvelles poursuites sont engagées et que la décision antérieure d</w:t>
      </w:r>
      <w:r w:rsidR="003C2190">
        <w:rPr>
          <w:rFonts w:eastAsia="MS Mincho"/>
          <w:lang w:val="fr-FR"/>
        </w:rPr>
        <w:t>’</w:t>
      </w:r>
      <w:r>
        <w:rPr>
          <w:rFonts w:eastAsia="MS Mincho"/>
          <w:lang w:val="fr-FR"/>
        </w:rPr>
        <w:t>acquittement ou de condamnation est déjà passée en force de chose jugée. À ce stade, les éléments du dossier comprendront forcément la décision par laquelle la première « procédure pénale » s</w:t>
      </w:r>
      <w:r w:rsidR="003C2190">
        <w:rPr>
          <w:rFonts w:eastAsia="MS Mincho"/>
          <w:lang w:val="fr-FR"/>
        </w:rPr>
        <w:t>’</w:t>
      </w:r>
      <w:r>
        <w:rPr>
          <w:rFonts w:eastAsia="MS Mincho"/>
          <w:lang w:val="fr-FR"/>
        </w:rPr>
        <w:t>est terminée et la liste des accusations portées contre le requérant dans la nouvelle procédure. Normalement, ces pièces renfermeront un exposé des faits concernant l</w:t>
      </w:r>
      <w:r w:rsidR="003C2190">
        <w:rPr>
          <w:rFonts w:eastAsia="MS Mincho"/>
          <w:lang w:val="fr-FR"/>
        </w:rPr>
        <w:t>’</w:t>
      </w:r>
      <w:r>
        <w:rPr>
          <w:rFonts w:eastAsia="MS Mincho"/>
          <w:lang w:val="fr-FR"/>
        </w:rPr>
        <w:t>infraction pour laquelle le requérant a déjà été jugé et un autre se rapportant à la seconde infraction dont il est accusé. Ces exposés constituent un utile point de départ pour l</w:t>
      </w:r>
      <w:r w:rsidR="003C2190">
        <w:rPr>
          <w:rFonts w:eastAsia="MS Mincho"/>
          <w:lang w:val="fr-FR"/>
        </w:rPr>
        <w:t>’</w:t>
      </w:r>
      <w:r>
        <w:rPr>
          <w:rFonts w:eastAsia="MS Mincho"/>
          <w:lang w:val="fr-FR"/>
        </w:rPr>
        <w:t>examen par la Cour de la question de savoir si les faits des deux procédures sont identiques ou sont en substance les mêmes. Peu importe quelles parties de ces nouvelles accusations sont finalement retenues ou écartées dans la procédure ultérieure, puisque l</w:t>
      </w:r>
      <w:r w:rsidR="003C2190">
        <w:rPr>
          <w:rFonts w:eastAsia="MS Mincho"/>
          <w:lang w:val="fr-FR"/>
        </w:rPr>
        <w:t>’</w:t>
      </w:r>
      <w:r>
        <w:rPr>
          <w:rFonts w:eastAsia="MS Mincho"/>
          <w:lang w:val="fr-FR"/>
        </w:rPr>
        <w:t>article 4 du Protocole n</w:t>
      </w:r>
      <w:r>
        <w:rPr>
          <w:rFonts w:eastAsia="MS Mincho"/>
          <w:vertAlign w:val="superscript"/>
          <w:lang w:val="fr-FR"/>
        </w:rPr>
        <w:t>o</w:t>
      </w:r>
      <w:r>
        <w:rPr>
          <w:rFonts w:eastAsia="MS Mincho"/>
          <w:lang w:val="fr-FR"/>
        </w:rPr>
        <w:t xml:space="preserve"> 7 énonce une garantie contre de nouvelles poursuites ou le risque de nouvelles poursuites, et non l</w:t>
      </w:r>
      <w:r w:rsidR="003C2190">
        <w:rPr>
          <w:rFonts w:eastAsia="MS Mincho"/>
          <w:lang w:val="fr-FR"/>
        </w:rPr>
        <w:t>’</w:t>
      </w:r>
      <w:r>
        <w:rPr>
          <w:rFonts w:eastAsia="MS Mincho"/>
          <w:lang w:val="fr-FR"/>
        </w:rPr>
        <w:t>interdiction d</w:t>
      </w:r>
      <w:r w:rsidR="003C2190">
        <w:rPr>
          <w:rFonts w:eastAsia="MS Mincho"/>
          <w:lang w:val="fr-FR"/>
        </w:rPr>
        <w:t>’</w:t>
      </w:r>
      <w:r>
        <w:rPr>
          <w:rFonts w:eastAsia="MS Mincho"/>
          <w:lang w:val="fr-FR"/>
        </w:rPr>
        <w:t>une seconde condamnation ou d</w:t>
      </w:r>
      <w:r w:rsidR="003C2190">
        <w:rPr>
          <w:rFonts w:eastAsia="MS Mincho"/>
          <w:lang w:val="fr-FR"/>
        </w:rPr>
        <w:t>’</w:t>
      </w:r>
      <w:r>
        <w:rPr>
          <w:rFonts w:eastAsia="MS Mincho"/>
          <w:lang w:val="fr-FR"/>
        </w:rPr>
        <w:t>un second acquittement (</w:t>
      </w:r>
      <w:r>
        <w:rPr>
          <w:rFonts w:eastAsia="MS Mincho"/>
          <w:i/>
          <w:lang w:val="fr-FR"/>
        </w:rPr>
        <w:t>Sergueï Zolotoukhine,</w:t>
      </w:r>
      <w:r>
        <w:rPr>
          <w:rFonts w:eastAsia="MS Mincho"/>
          <w:lang w:val="fr-FR"/>
        </w:rPr>
        <w:t xml:space="preserve"> précité, § 83).</w:t>
      </w:r>
    </w:p>
    <w:p w:rsidR="009A0B2E" w:rsidRDefault="009A0B2E" w:rsidP="007B50AC">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64</w:t>
      </w:r>
      <w:r>
        <w:rPr>
          <w:rFonts w:eastAsia="MS Mincho"/>
          <w:lang w:val="fr-FR"/>
        </w:rPr>
        <w:fldChar w:fldCharType="end"/>
      </w:r>
      <w:r>
        <w:rPr>
          <w:rFonts w:eastAsia="MS Mincho"/>
          <w:lang w:val="fr-FR"/>
        </w:rPr>
        <w:t>.  La Cour doit donc faire porter son examen sur les faits décrits dans ces exposés, qui constituent un ensemble de circonstances factuelles concrètes impliquant le même contrevenant et indissociablement liées entre elles dans le temps et l</w:t>
      </w:r>
      <w:r w:rsidR="003C2190">
        <w:rPr>
          <w:rFonts w:eastAsia="MS Mincho"/>
          <w:lang w:val="fr-FR"/>
        </w:rPr>
        <w:t>’</w:t>
      </w:r>
      <w:r>
        <w:rPr>
          <w:rFonts w:eastAsia="MS Mincho"/>
          <w:lang w:val="fr-FR"/>
        </w:rPr>
        <w:t>espace, l</w:t>
      </w:r>
      <w:r w:rsidR="003C2190">
        <w:rPr>
          <w:rFonts w:eastAsia="MS Mincho"/>
          <w:lang w:val="fr-FR"/>
        </w:rPr>
        <w:t>’</w:t>
      </w:r>
      <w:r>
        <w:rPr>
          <w:rFonts w:eastAsia="MS Mincho"/>
          <w:lang w:val="fr-FR"/>
        </w:rPr>
        <w:t xml:space="preserve">existence de ces circonstances devant être </w:t>
      </w:r>
      <w:r>
        <w:rPr>
          <w:rFonts w:eastAsia="MS Mincho"/>
          <w:lang w:val="fr-FR"/>
        </w:rPr>
        <w:lastRenderedPageBreak/>
        <w:t>démontrée pour qu</w:t>
      </w:r>
      <w:r w:rsidR="003C2190">
        <w:rPr>
          <w:rFonts w:eastAsia="MS Mincho"/>
          <w:lang w:val="fr-FR"/>
        </w:rPr>
        <w:t>’</w:t>
      </w:r>
      <w:r>
        <w:rPr>
          <w:rFonts w:eastAsia="MS Mincho"/>
          <w:lang w:val="fr-FR"/>
        </w:rPr>
        <w:t>une condamnation puisse être prononcée ou que des poursuites pénales puissent être engagées (</w:t>
      </w:r>
      <w:r>
        <w:rPr>
          <w:rFonts w:eastAsia="MS Mincho"/>
          <w:i/>
          <w:lang w:val="fr-FR"/>
        </w:rPr>
        <w:t>Sergueï Zolotoukhine,</w:t>
      </w:r>
      <w:r>
        <w:rPr>
          <w:rFonts w:eastAsia="MS Mincho"/>
          <w:lang w:val="fr-FR"/>
        </w:rPr>
        <w:t xml:space="preserve"> précité, § 84).</w:t>
      </w:r>
    </w:p>
    <w:p w:rsidR="009A0B2E" w:rsidRDefault="009A0B2E" w:rsidP="009A0B2E">
      <w:pPr>
        <w:pStyle w:val="ECHRHeading5"/>
        <w:rPr>
          <w:lang w:val="fr-FR"/>
        </w:rPr>
      </w:pPr>
      <w:r>
        <w:rPr>
          <w:lang w:val="fr-FR"/>
        </w:rPr>
        <w:t>ii.  Application en l</w:t>
      </w:r>
      <w:r w:rsidR="003C2190">
        <w:rPr>
          <w:lang w:val="fr-FR"/>
        </w:rPr>
        <w:t>’</w:t>
      </w:r>
      <w:r>
        <w:rPr>
          <w:lang w:val="fr-FR"/>
        </w:rPr>
        <w:t>espèce des principes susmentionnés</w:t>
      </w:r>
    </w:p>
    <w:p w:rsidR="00AF131B" w:rsidRDefault="009A0B2E" w:rsidP="007B50AC">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65</w:t>
      </w:r>
      <w:r>
        <w:rPr>
          <w:rFonts w:eastAsia="MS Mincho"/>
          <w:lang w:val="fr-FR"/>
        </w:rPr>
        <w:fldChar w:fldCharType="end"/>
      </w:r>
      <w:r>
        <w:rPr>
          <w:rFonts w:eastAsia="MS Mincho"/>
          <w:lang w:val="fr-FR"/>
        </w:rPr>
        <w:t>.  Faisant application de ces principes en l</w:t>
      </w:r>
      <w:r w:rsidR="003C2190">
        <w:rPr>
          <w:rFonts w:eastAsia="MS Mincho"/>
          <w:lang w:val="fr-FR"/>
        </w:rPr>
        <w:t>’</w:t>
      </w:r>
      <w:r>
        <w:rPr>
          <w:rFonts w:eastAsia="MS Mincho"/>
          <w:lang w:val="fr-FR"/>
        </w:rPr>
        <w:t>espèce, la Cour note, en premier lieu, qu</w:t>
      </w:r>
      <w:r w:rsidR="003C2190">
        <w:rPr>
          <w:rFonts w:eastAsia="MS Mincho"/>
          <w:lang w:val="fr-FR"/>
        </w:rPr>
        <w:t>’</w:t>
      </w:r>
      <w:r>
        <w:rPr>
          <w:rFonts w:eastAsia="MS Mincho"/>
          <w:lang w:val="fr-FR"/>
        </w:rPr>
        <w:t>elle vient de conclure qu</w:t>
      </w:r>
      <w:r w:rsidR="003C2190">
        <w:rPr>
          <w:rFonts w:eastAsia="MS Mincho"/>
          <w:lang w:val="fr-FR"/>
        </w:rPr>
        <w:t>’</w:t>
      </w:r>
      <w:r>
        <w:rPr>
          <w:rFonts w:eastAsia="MS Mincho"/>
          <w:lang w:val="fr-FR"/>
        </w:rPr>
        <w:t xml:space="preserve">il y avait bien lieu de considérer que les procédures devant les juridictions administratives portaient sur une « accusation en matière pénale » contre les requérants (paragraphe </w:t>
      </w:r>
      <w:r w:rsidR="001D1C62">
        <w:rPr>
          <w:rFonts w:eastAsia="MS Mincho"/>
          <w:lang w:val="fr-FR"/>
        </w:rPr>
        <w:t>55</w:t>
      </w:r>
      <w:r>
        <w:rPr>
          <w:rFonts w:eastAsia="MS Mincho"/>
          <w:lang w:val="fr-FR"/>
        </w:rPr>
        <w:t xml:space="preserve"> ci-dessus). En deuxième lieu, la Cour observe que les requérants ont été acquittés au pénal par des jugements de la cour d</w:t>
      </w:r>
      <w:r w:rsidR="003C2190">
        <w:rPr>
          <w:rFonts w:eastAsia="MS Mincho"/>
          <w:lang w:val="fr-FR"/>
        </w:rPr>
        <w:t>’</w:t>
      </w:r>
      <w:r>
        <w:rPr>
          <w:rFonts w:eastAsia="MS Mincho"/>
          <w:lang w:val="fr-FR"/>
        </w:rPr>
        <w:t>appel et du tribunal correctionnel. En particulier, le premier requérant a été acquitté, le 12 novembre 1992, par le jugement n</w:t>
      </w:r>
      <w:r w:rsidR="007E7B24" w:rsidRPr="007E7B24">
        <w:rPr>
          <w:rFonts w:eastAsia="MS Mincho"/>
          <w:vertAlign w:val="superscript"/>
          <w:lang w:val="fr-FR"/>
        </w:rPr>
        <w:t>o</w:t>
      </w:r>
      <w:r>
        <w:rPr>
          <w:rFonts w:eastAsia="MS Mincho"/>
          <w:lang w:val="fr-FR"/>
        </w:rPr>
        <w:t xml:space="preserve"> 1087/1992 de la cour d</w:t>
      </w:r>
      <w:r w:rsidR="003C2190">
        <w:rPr>
          <w:rFonts w:eastAsia="MS Mincho"/>
          <w:lang w:val="fr-FR"/>
        </w:rPr>
        <w:t>’</w:t>
      </w:r>
      <w:r>
        <w:rPr>
          <w:rFonts w:eastAsia="MS Mincho"/>
          <w:lang w:val="fr-FR"/>
        </w:rPr>
        <w:t>appel d</w:t>
      </w:r>
      <w:r w:rsidR="003C2190">
        <w:rPr>
          <w:rFonts w:eastAsia="MS Mincho"/>
          <w:lang w:val="fr-FR"/>
        </w:rPr>
        <w:t>’</w:t>
      </w:r>
      <w:r>
        <w:rPr>
          <w:rFonts w:eastAsia="MS Mincho"/>
          <w:lang w:val="fr-FR"/>
        </w:rPr>
        <w:t>Athènes ; le deuxième requérant a été acquitté, le 21 juin 2000, en vertu du jugement n</w:t>
      </w:r>
      <w:r w:rsidR="007E7B24" w:rsidRPr="007E7B24">
        <w:rPr>
          <w:rFonts w:eastAsia="MS Mincho"/>
          <w:vertAlign w:val="superscript"/>
          <w:lang w:val="fr-FR"/>
        </w:rPr>
        <w:t>o</w:t>
      </w:r>
      <w:r>
        <w:rPr>
          <w:rFonts w:eastAsia="MS Mincho"/>
          <w:lang w:val="fr-FR"/>
        </w:rPr>
        <w:t xml:space="preserve"> 2828/2000 du tribunal correctionnel de Patras ; quant au troisième requérant, il a été acquitté, le 21 mai 1998, par le jugement </w:t>
      </w:r>
      <w:r>
        <w:rPr>
          <w:rFonts w:eastAsia="MS Mincho"/>
          <w:lang w:val="fr-FR" w:eastAsia="ja-JP"/>
        </w:rPr>
        <w:t>n</w:t>
      </w:r>
      <w:r>
        <w:rPr>
          <w:rFonts w:eastAsia="MS Mincho"/>
          <w:vertAlign w:val="superscript"/>
          <w:lang w:val="fr-FR" w:eastAsia="ja-JP"/>
        </w:rPr>
        <w:t>o</w:t>
      </w:r>
      <w:r>
        <w:rPr>
          <w:rFonts w:eastAsia="MS Mincho"/>
          <w:lang w:val="fr-FR" w:eastAsia="ja-JP"/>
        </w:rPr>
        <w:t> 36398/1998 du tribunal correctionnel d</w:t>
      </w:r>
      <w:r w:rsidR="003C2190">
        <w:rPr>
          <w:rFonts w:eastAsia="MS Mincho"/>
          <w:lang w:val="fr-FR" w:eastAsia="ja-JP"/>
        </w:rPr>
        <w:t>’</w:t>
      </w:r>
      <w:r>
        <w:rPr>
          <w:rFonts w:eastAsia="MS Mincho"/>
          <w:lang w:val="fr-FR" w:eastAsia="ja-JP"/>
        </w:rPr>
        <w:t>Athènes.</w:t>
      </w:r>
      <w:r>
        <w:rPr>
          <w:rFonts w:eastAsia="MS Mincho"/>
          <w:lang w:val="fr-FR"/>
        </w:rPr>
        <w:t xml:space="preserve"> Étant donné que, comme il ressort du dossier, aucun recours n</w:t>
      </w:r>
      <w:r w:rsidR="003C2190">
        <w:rPr>
          <w:rFonts w:eastAsia="MS Mincho"/>
          <w:lang w:val="fr-FR"/>
        </w:rPr>
        <w:t>’</w:t>
      </w:r>
      <w:r>
        <w:rPr>
          <w:rFonts w:eastAsia="MS Mincho"/>
          <w:lang w:val="fr-FR"/>
        </w:rPr>
        <w:t>a été exercé contre les jugements précités, ceux-ci sont devenus définitifs conformément à l</w:t>
      </w:r>
      <w:r w:rsidR="003C2190">
        <w:rPr>
          <w:rFonts w:eastAsia="MS Mincho"/>
          <w:lang w:val="fr-FR"/>
        </w:rPr>
        <w:t>’</w:t>
      </w:r>
      <w:r>
        <w:rPr>
          <w:rFonts w:eastAsia="MS Mincho"/>
          <w:lang w:val="fr-FR"/>
        </w:rPr>
        <w:t>article 473 du Code de procédure pénale en 1992, 2000 et 1998 respectivement et passés donc en force de chose jugée.</w:t>
      </w:r>
    </w:p>
    <w:p w:rsidR="00AF131B" w:rsidRDefault="009A0B2E" w:rsidP="007B50AC">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66</w:t>
      </w:r>
      <w:r>
        <w:rPr>
          <w:rFonts w:eastAsia="MS Mincho"/>
          <w:lang w:val="fr-FR"/>
        </w:rPr>
        <w:fldChar w:fldCharType="end"/>
      </w:r>
      <w:r>
        <w:rPr>
          <w:rFonts w:eastAsia="MS Mincho"/>
          <w:lang w:val="fr-FR"/>
        </w:rPr>
        <w:t>.  La Cour prend sur ce point note de l</w:t>
      </w:r>
      <w:r w:rsidR="003C2190">
        <w:rPr>
          <w:rFonts w:eastAsia="MS Mincho"/>
          <w:lang w:val="fr-FR"/>
        </w:rPr>
        <w:t>’</w:t>
      </w:r>
      <w:r>
        <w:rPr>
          <w:rFonts w:eastAsia="MS Mincho"/>
          <w:lang w:val="fr-FR"/>
        </w:rPr>
        <w:t>argument du Gouvernement, à savoir que dans certaines des procédures en cause, les requérants n</w:t>
      </w:r>
      <w:r w:rsidR="003C2190">
        <w:rPr>
          <w:rFonts w:eastAsia="MS Mincho"/>
          <w:lang w:val="fr-FR"/>
        </w:rPr>
        <w:t>’</w:t>
      </w:r>
      <w:r>
        <w:rPr>
          <w:rFonts w:eastAsia="MS Mincho"/>
          <w:lang w:val="fr-FR"/>
        </w:rPr>
        <w:t>auraient pas valablement invoqué devant les juridictions administratives compétentes soit les jugements d</w:t>
      </w:r>
      <w:r w:rsidR="003C2190">
        <w:rPr>
          <w:rFonts w:eastAsia="MS Mincho"/>
          <w:lang w:val="fr-FR"/>
        </w:rPr>
        <w:t>’</w:t>
      </w:r>
      <w:r>
        <w:rPr>
          <w:rFonts w:eastAsia="MS Mincho"/>
          <w:lang w:val="fr-FR"/>
        </w:rPr>
        <w:t>acquittement des juridictions pénales soit le fait que ces derniers étaient entre-temps devenus irrévocables. De l</w:t>
      </w:r>
      <w:r w:rsidR="003C2190">
        <w:rPr>
          <w:rFonts w:eastAsia="MS Mincho"/>
          <w:lang w:val="fr-FR"/>
        </w:rPr>
        <w:t>’</w:t>
      </w:r>
      <w:r>
        <w:rPr>
          <w:rFonts w:eastAsia="MS Mincho"/>
          <w:lang w:val="fr-FR"/>
        </w:rPr>
        <w:t>avis du Gouvernement, les juridictions administratives ne seraient pas ainsi obligées de prendre en compte les jugements d</w:t>
      </w:r>
      <w:r w:rsidR="003C2190">
        <w:rPr>
          <w:rFonts w:eastAsia="MS Mincho"/>
          <w:lang w:val="fr-FR"/>
        </w:rPr>
        <w:t>’</w:t>
      </w:r>
      <w:r>
        <w:rPr>
          <w:rFonts w:eastAsia="MS Mincho"/>
          <w:lang w:val="fr-FR"/>
        </w:rPr>
        <w:t>acquittement des juridictions pénales. Or il ressort clairement du dossier que dans toutes ces affaires les requérants ont invoqué et soumis les jugements d</w:t>
      </w:r>
      <w:r w:rsidR="003C2190">
        <w:rPr>
          <w:rFonts w:eastAsia="MS Mincho"/>
          <w:lang w:val="fr-FR"/>
        </w:rPr>
        <w:t>’</w:t>
      </w:r>
      <w:r>
        <w:rPr>
          <w:rFonts w:eastAsia="MS Mincho"/>
          <w:lang w:val="fr-FR"/>
        </w:rPr>
        <w:t>acquittement, auxquels s</w:t>
      </w:r>
      <w:r w:rsidR="003C2190">
        <w:rPr>
          <w:rFonts w:eastAsia="MS Mincho"/>
          <w:lang w:val="fr-FR"/>
        </w:rPr>
        <w:t>’</w:t>
      </w:r>
      <w:r>
        <w:rPr>
          <w:rFonts w:eastAsia="MS Mincho"/>
          <w:lang w:val="fr-FR"/>
        </w:rPr>
        <w:t>était déjà attachée l</w:t>
      </w:r>
      <w:r w:rsidR="003C2190">
        <w:rPr>
          <w:rFonts w:eastAsia="MS Mincho"/>
          <w:lang w:val="fr-FR"/>
        </w:rPr>
        <w:t>’</w:t>
      </w:r>
      <w:r>
        <w:rPr>
          <w:rFonts w:eastAsia="MS Mincho"/>
          <w:lang w:val="fr-FR"/>
        </w:rPr>
        <w:t>autorité de la chose jugée, tant devant la juridiction de fond qu</w:t>
      </w:r>
      <w:r w:rsidR="003C2190">
        <w:rPr>
          <w:rFonts w:eastAsia="MS Mincho"/>
          <w:lang w:val="fr-FR"/>
        </w:rPr>
        <w:t>’</w:t>
      </w:r>
      <w:r>
        <w:rPr>
          <w:rFonts w:eastAsia="MS Mincho"/>
          <w:lang w:val="fr-FR"/>
        </w:rPr>
        <w:t>en dernière instance devant le Conseil d</w:t>
      </w:r>
      <w:r w:rsidR="003C2190">
        <w:rPr>
          <w:rFonts w:eastAsia="MS Mincho"/>
          <w:lang w:val="fr-FR"/>
        </w:rPr>
        <w:t>’</w:t>
      </w:r>
      <w:r>
        <w:rPr>
          <w:rFonts w:eastAsia="MS Mincho"/>
          <w:lang w:val="fr-FR"/>
        </w:rPr>
        <w:t>État. De l</w:t>
      </w:r>
      <w:r w:rsidR="003C2190">
        <w:rPr>
          <w:rFonts w:eastAsia="MS Mincho"/>
          <w:lang w:val="fr-FR"/>
        </w:rPr>
        <w:t>’</w:t>
      </w:r>
      <w:r>
        <w:rPr>
          <w:rFonts w:eastAsia="MS Mincho"/>
          <w:lang w:val="fr-FR"/>
        </w:rPr>
        <w:t>avis de la Cour, à partir de ce moment, c</w:t>
      </w:r>
      <w:r w:rsidR="003C2190">
        <w:rPr>
          <w:rFonts w:eastAsia="MS Mincho"/>
          <w:lang w:val="fr-FR"/>
        </w:rPr>
        <w:t>’</w:t>
      </w:r>
      <w:r>
        <w:rPr>
          <w:rFonts w:eastAsia="MS Mincho"/>
          <w:lang w:val="fr-FR"/>
        </w:rPr>
        <w:t>est-à-dire de l</w:t>
      </w:r>
      <w:r w:rsidR="003C2190">
        <w:rPr>
          <w:rFonts w:eastAsia="MS Mincho"/>
          <w:lang w:val="fr-FR"/>
        </w:rPr>
        <w:t>’</w:t>
      </w:r>
      <w:r>
        <w:rPr>
          <w:rFonts w:eastAsia="MS Mincho"/>
          <w:lang w:val="fr-FR"/>
        </w:rPr>
        <w:t>invocation auprès des juridictions administratives de la première procédure pénale,</w:t>
      </w:r>
      <w:r w:rsidR="00AF131B">
        <w:rPr>
          <w:rFonts w:eastAsia="MS Mincho"/>
          <w:lang w:val="fr-FR"/>
        </w:rPr>
        <w:t xml:space="preserve"> </w:t>
      </w:r>
      <w:r>
        <w:rPr>
          <w:rFonts w:eastAsia="MS Mincho"/>
          <w:lang w:val="fr-FR"/>
        </w:rPr>
        <w:t>il revenait à la juridiction administrative saisie de se pencher de sa propre initiative sur l</w:t>
      </w:r>
      <w:r w:rsidR="003C2190">
        <w:rPr>
          <w:rFonts w:eastAsia="MS Mincho"/>
          <w:lang w:val="fr-FR"/>
        </w:rPr>
        <w:t>’</w:t>
      </w:r>
      <w:r>
        <w:rPr>
          <w:rFonts w:eastAsia="MS Mincho"/>
          <w:lang w:val="fr-FR"/>
        </w:rPr>
        <w:t>effet que les jugements d</w:t>
      </w:r>
      <w:r w:rsidR="003C2190">
        <w:rPr>
          <w:rFonts w:eastAsia="MS Mincho"/>
          <w:lang w:val="fr-FR"/>
        </w:rPr>
        <w:t>’</w:t>
      </w:r>
      <w:r>
        <w:rPr>
          <w:rFonts w:eastAsia="MS Mincho"/>
          <w:lang w:val="fr-FR"/>
        </w:rPr>
        <w:t>acquittement en cause pourraient avoir dans le cadre de la procédure administrative pendante. Dans le cas contraire, le fait de ne pas prendre en compte l</w:t>
      </w:r>
      <w:r w:rsidR="003C2190">
        <w:rPr>
          <w:rFonts w:eastAsia="MS Mincho"/>
          <w:lang w:val="fr-FR"/>
        </w:rPr>
        <w:t>’</w:t>
      </w:r>
      <w:r>
        <w:rPr>
          <w:rFonts w:eastAsia="MS Mincho"/>
          <w:lang w:val="fr-FR"/>
        </w:rPr>
        <w:t>élément de la première « procédure pénale » équivaudrait à tolérer délibérément une situation au sein de l</w:t>
      </w:r>
      <w:r w:rsidR="003C2190">
        <w:rPr>
          <w:rFonts w:eastAsia="MS Mincho"/>
          <w:lang w:val="fr-FR"/>
        </w:rPr>
        <w:t>’</w:t>
      </w:r>
      <w:r>
        <w:rPr>
          <w:rFonts w:eastAsia="MS Mincho"/>
          <w:lang w:val="fr-FR"/>
        </w:rPr>
        <w:t>ordre juridique interne qui</w:t>
      </w:r>
      <w:r w:rsidR="00AF131B">
        <w:rPr>
          <w:rFonts w:eastAsia="MS Mincho"/>
          <w:lang w:val="fr-FR"/>
        </w:rPr>
        <w:t xml:space="preserve"> </w:t>
      </w:r>
      <w:r>
        <w:rPr>
          <w:rFonts w:eastAsia="MS Mincho"/>
          <w:lang w:val="fr-FR"/>
        </w:rPr>
        <w:t xml:space="preserve">pourrait méconnaître le principe </w:t>
      </w:r>
      <w:r>
        <w:rPr>
          <w:rFonts w:eastAsia="MS Mincho"/>
          <w:i/>
          <w:lang w:val="fr-FR"/>
        </w:rPr>
        <w:t>ne bis in idem</w:t>
      </w:r>
      <w:r>
        <w:rPr>
          <w:rFonts w:eastAsia="MS Mincho"/>
          <w:lang w:val="fr-FR"/>
        </w:rPr>
        <w:t>.</w:t>
      </w:r>
    </w:p>
    <w:p w:rsidR="00AF131B" w:rsidRDefault="009A0B2E" w:rsidP="007B50AC">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67</w:t>
      </w:r>
      <w:r>
        <w:rPr>
          <w:rFonts w:eastAsia="MS Mincho"/>
          <w:lang w:val="fr-FR"/>
        </w:rPr>
        <w:fldChar w:fldCharType="end"/>
      </w:r>
      <w:r>
        <w:rPr>
          <w:rFonts w:eastAsia="MS Mincho"/>
          <w:lang w:val="fr-FR"/>
        </w:rPr>
        <w:t>.  Au vu de ce qui précède, la Cour considère qu</w:t>
      </w:r>
      <w:r w:rsidR="003C2190">
        <w:rPr>
          <w:rFonts w:eastAsia="MS Mincho"/>
          <w:lang w:val="fr-FR"/>
        </w:rPr>
        <w:t>’</w:t>
      </w:r>
      <w:r>
        <w:rPr>
          <w:rFonts w:eastAsia="MS Mincho"/>
          <w:lang w:val="fr-FR"/>
        </w:rPr>
        <w:t>à partir du moment où les jugements d</w:t>
      </w:r>
      <w:r w:rsidR="003C2190">
        <w:rPr>
          <w:rFonts w:eastAsia="MS Mincho"/>
          <w:lang w:val="fr-FR"/>
        </w:rPr>
        <w:t>’</w:t>
      </w:r>
      <w:r>
        <w:rPr>
          <w:rFonts w:eastAsia="MS Mincho"/>
          <w:lang w:val="fr-FR"/>
        </w:rPr>
        <w:t>acquittement dans les premières procédures pénales ont obtenu l</w:t>
      </w:r>
      <w:r w:rsidR="003C2190">
        <w:rPr>
          <w:rFonts w:eastAsia="MS Mincho"/>
          <w:lang w:val="fr-FR"/>
        </w:rPr>
        <w:t>’</w:t>
      </w:r>
      <w:r>
        <w:rPr>
          <w:rFonts w:eastAsia="MS Mincho"/>
          <w:lang w:val="fr-FR"/>
        </w:rPr>
        <w:t xml:space="preserve">autorité de la chose jugée, respectivement en 1992, 2000 et 1998, les requérants devaient être considérés comme ayant été « déjà acquittés par </w:t>
      </w:r>
      <w:r>
        <w:rPr>
          <w:rFonts w:eastAsia="MS Mincho"/>
          <w:lang w:val="fr-FR"/>
        </w:rPr>
        <w:lastRenderedPageBreak/>
        <w:t>un jugement définitif » au sens de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En dépit de cela, les nouvelles « procédures pénales », qui avaient été ouvertes à leur encontre n</w:t>
      </w:r>
      <w:r w:rsidR="003C2190">
        <w:rPr>
          <w:rFonts w:eastAsia="MS Mincho"/>
          <w:lang w:val="fr-FR"/>
        </w:rPr>
        <w:t>’</w:t>
      </w:r>
      <w:r>
        <w:rPr>
          <w:rFonts w:eastAsia="MS Mincho"/>
          <w:lang w:val="fr-FR"/>
        </w:rPr>
        <w:t>ont pas été arrêtées après que les juridictions saisies en aient eu connaissance. En effet, elles ont continué et abouti, plusieurs années après la clôture des procédures pénales, au prononcé des arrêts par le Conseil d</w:t>
      </w:r>
      <w:r w:rsidR="003C2190">
        <w:rPr>
          <w:rFonts w:eastAsia="MS Mincho"/>
          <w:lang w:val="fr-FR"/>
        </w:rPr>
        <w:t>’</w:t>
      </w:r>
      <w:r>
        <w:rPr>
          <w:rFonts w:eastAsia="MS Mincho"/>
          <w:lang w:val="fr-FR"/>
        </w:rPr>
        <w:t>État, respectivement en 2011 et 2012, en dernière instance.</w:t>
      </w:r>
    </w:p>
    <w:p w:rsidR="00AF131B" w:rsidRDefault="009A0B2E" w:rsidP="007B50AC">
      <w:pPr>
        <w:pStyle w:val="ECHRPara"/>
        <w:rPr>
          <w:rFonts w:eastAsia="MS Mincho"/>
          <w:lang w:val="fr-FR" w:eastAsia="ja-JP"/>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68</w:t>
      </w:r>
      <w:r>
        <w:rPr>
          <w:rFonts w:eastAsia="MS Mincho"/>
          <w:lang w:val="fr-FR"/>
        </w:rPr>
        <w:fldChar w:fldCharType="end"/>
      </w:r>
      <w:r>
        <w:rPr>
          <w:rFonts w:eastAsia="MS Mincho"/>
          <w:lang w:val="fr-FR"/>
        </w:rPr>
        <w:t>.  Il reste à déterminer si ces nouvelles poursuites avaient pour origine des faits qui étaient en substance les mêmes que ceux ayant fait l</w:t>
      </w:r>
      <w:r w:rsidR="003C2190">
        <w:rPr>
          <w:rFonts w:eastAsia="MS Mincho"/>
          <w:lang w:val="fr-FR"/>
        </w:rPr>
        <w:t>’</w:t>
      </w:r>
      <w:r>
        <w:rPr>
          <w:rFonts w:eastAsia="MS Mincho"/>
          <w:lang w:val="fr-FR"/>
        </w:rPr>
        <w:t>objet de l</w:t>
      </w:r>
      <w:r w:rsidR="003C2190">
        <w:rPr>
          <w:rFonts w:eastAsia="MS Mincho"/>
          <w:lang w:val="fr-FR"/>
        </w:rPr>
        <w:t>’</w:t>
      </w:r>
      <w:r>
        <w:rPr>
          <w:rFonts w:eastAsia="MS Mincho"/>
          <w:lang w:val="fr-FR"/>
        </w:rPr>
        <w:t>acquittement définitif. À cet égard, la Cour note que, comme il ressort des éléments du dossier, en ce qui concerne la requête n</w:t>
      </w:r>
      <w:r w:rsidR="007E7B24" w:rsidRPr="007E7B24">
        <w:rPr>
          <w:rFonts w:eastAsia="MS Mincho"/>
          <w:vertAlign w:val="superscript"/>
          <w:lang w:val="fr-FR"/>
        </w:rPr>
        <w:t>o</w:t>
      </w:r>
      <w:r>
        <w:rPr>
          <w:rFonts w:eastAsia="MS Mincho"/>
          <w:lang w:val="fr-FR"/>
        </w:rPr>
        <w:t xml:space="preserve"> 3453/12, l</w:t>
      </w:r>
      <w:r w:rsidR="003C2190">
        <w:rPr>
          <w:rFonts w:eastAsia="MS Mincho"/>
          <w:lang w:val="fr-FR"/>
        </w:rPr>
        <w:t>’</w:t>
      </w:r>
      <w:r>
        <w:rPr>
          <w:rFonts w:eastAsia="MS Mincho"/>
          <w:lang w:val="fr-FR"/>
        </w:rPr>
        <w:t>objet des deux « procédures pénales » a été l</w:t>
      </w:r>
      <w:r w:rsidR="003C2190">
        <w:rPr>
          <w:rFonts w:eastAsia="MS Mincho"/>
          <w:lang w:val="fr-FR"/>
        </w:rPr>
        <w:t>’</w:t>
      </w:r>
      <w:r>
        <w:rPr>
          <w:rFonts w:eastAsia="MS Mincho"/>
          <w:lang w:val="fr-FR"/>
        </w:rPr>
        <w:t>importation par le requérant, en 1985 et 1986, de douze appareils électroniques ainsi que d</w:t>
      </w:r>
      <w:r w:rsidR="003C2190">
        <w:rPr>
          <w:rFonts w:eastAsia="MS Mincho"/>
          <w:lang w:val="fr-FR"/>
        </w:rPr>
        <w:t>’</w:t>
      </w:r>
      <w:r>
        <w:rPr>
          <w:rFonts w:eastAsia="MS Mincho"/>
          <w:lang w:val="fr-FR"/>
        </w:rPr>
        <w:t>un fusil de chasse, d</w:t>
      </w:r>
      <w:r w:rsidR="003C2190">
        <w:rPr>
          <w:rFonts w:eastAsia="MS Mincho"/>
          <w:lang w:val="fr-FR"/>
        </w:rPr>
        <w:t>’</w:t>
      </w:r>
      <w:r>
        <w:rPr>
          <w:rFonts w:eastAsia="MS Mincho"/>
          <w:lang w:val="fr-FR"/>
        </w:rPr>
        <w:t>un treuil et d</w:t>
      </w:r>
      <w:r w:rsidR="003C2190">
        <w:rPr>
          <w:rFonts w:eastAsia="MS Mincho"/>
          <w:lang w:val="fr-FR"/>
        </w:rPr>
        <w:t>’</w:t>
      </w:r>
      <w:r>
        <w:rPr>
          <w:rFonts w:eastAsia="MS Mincho"/>
          <w:lang w:val="fr-FR"/>
        </w:rPr>
        <w:t>un appareil vidéo sans paiement des droits de douane prévus. Dans la requête n</w:t>
      </w:r>
      <w:r w:rsidR="007E7B24" w:rsidRPr="007E7B24">
        <w:rPr>
          <w:rFonts w:eastAsia="MS Mincho"/>
          <w:vertAlign w:val="superscript"/>
          <w:lang w:val="fr-FR"/>
        </w:rPr>
        <w:t>o</w:t>
      </w:r>
      <w:r>
        <w:rPr>
          <w:rFonts w:eastAsia="MS Mincho"/>
          <w:lang w:val="fr-FR"/>
        </w:rPr>
        <w:t xml:space="preserve"> 42941/12, l</w:t>
      </w:r>
      <w:r w:rsidR="003C2190">
        <w:rPr>
          <w:rFonts w:eastAsia="MS Mincho"/>
          <w:lang w:val="fr-FR"/>
        </w:rPr>
        <w:t>’</w:t>
      </w:r>
      <w:r>
        <w:rPr>
          <w:rFonts w:eastAsia="MS Mincho"/>
          <w:lang w:val="fr-FR"/>
        </w:rPr>
        <w:t>objet des deux procédures en cause était la vente par le deuxième requérant</w:t>
      </w:r>
      <w:r>
        <w:rPr>
          <w:rFonts w:eastAsia="MS Mincho"/>
          <w:lang w:val="fr-FR" w:eastAsia="ja-JP"/>
        </w:rPr>
        <w:t>, entre 1993 et 1995, de 110 000 litres d</w:t>
      </w:r>
      <w:r w:rsidR="003C2190">
        <w:rPr>
          <w:rFonts w:eastAsia="MS Mincho"/>
          <w:lang w:val="fr-FR" w:eastAsia="ja-JP"/>
        </w:rPr>
        <w:t>’</w:t>
      </w:r>
      <w:r>
        <w:rPr>
          <w:rFonts w:eastAsia="MS Mincho"/>
          <w:lang w:val="fr-FR" w:eastAsia="ja-JP"/>
        </w:rPr>
        <w:t>essence et de 221 000 litres de gazole sans certificats d</w:t>
      </w:r>
      <w:r w:rsidR="003C2190">
        <w:rPr>
          <w:rFonts w:eastAsia="MS Mincho"/>
          <w:lang w:val="fr-FR" w:eastAsia="ja-JP"/>
        </w:rPr>
        <w:t>’</w:t>
      </w:r>
      <w:r>
        <w:rPr>
          <w:rFonts w:eastAsia="MS Mincho"/>
          <w:lang w:val="fr-FR" w:eastAsia="ja-JP"/>
        </w:rPr>
        <w:t>achat. Enfin, concernant la requête n</w:t>
      </w:r>
      <w:r w:rsidR="007E7B24" w:rsidRPr="007E7B24">
        <w:rPr>
          <w:rFonts w:eastAsia="MS Mincho"/>
          <w:vertAlign w:val="superscript"/>
          <w:lang w:val="fr-FR" w:eastAsia="ja-JP"/>
        </w:rPr>
        <w:t>o</w:t>
      </w:r>
      <w:r>
        <w:rPr>
          <w:rFonts w:eastAsia="MS Mincho"/>
          <w:lang w:val="fr-FR" w:eastAsia="ja-JP"/>
        </w:rPr>
        <w:t xml:space="preserve"> 9028/13, l</w:t>
      </w:r>
      <w:r w:rsidR="003C2190">
        <w:rPr>
          <w:rFonts w:eastAsia="MS Mincho"/>
          <w:lang w:val="fr-FR" w:eastAsia="ja-JP"/>
        </w:rPr>
        <w:t>’</w:t>
      </w:r>
      <w:r>
        <w:rPr>
          <w:rFonts w:eastAsia="MS Mincho"/>
          <w:lang w:val="fr-FR" w:eastAsia="ja-JP"/>
        </w:rPr>
        <w:t>objet des « deux procédures pénales » était l</w:t>
      </w:r>
      <w:r w:rsidR="003C2190">
        <w:rPr>
          <w:rFonts w:eastAsia="MS Mincho"/>
          <w:lang w:val="fr-FR" w:eastAsia="ja-JP"/>
        </w:rPr>
        <w:t>’</w:t>
      </w:r>
      <w:r>
        <w:rPr>
          <w:rFonts w:eastAsia="MS Mincho"/>
          <w:lang w:val="fr-FR" w:eastAsia="ja-JP"/>
        </w:rPr>
        <w:t>importation en Grèce par le troisième requérant, en novembre 1992, de deux voitures de luxe sans paiement des taxes et droits de douane et leur mise en circulation sans obtention préalable de l</w:t>
      </w:r>
      <w:r w:rsidR="003C2190">
        <w:rPr>
          <w:rFonts w:eastAsia="MS Mincho"/>
          <w:lang w:val="fr-FR" w:eastAsia="ja-JP"/>
        </w:rPr>
        <w:t>’</w:t>
      </w:r>
      <w:r>
        <w:rPr>
          <w:rFonts w:eastAsia="MS Mincho"/>
          <w:lang w:val="fr-FR" w:eastAsia="ja-JP"/>
        </w:rPr>
        <w:t xml:space="preserve">autorisation des autorités douanières. Par conséquent, les faits reprochés aux requérants devant les tribunaux pénaux et les juridictions administratives se référaient exactement </w:t>
      </w:r>
      <w:r w:rsidRPr="002C5351">
        <w:rPr>
          <w:rFonts w:eastAsia="MS Mincho"/>
          <w:lang w:val="fr-FR" w:eastAsia="ja-JP"/>
        </w:rPr>
        <w:t>aux mêmes conduites ayant eu lieu pendant la même période de temps.</w:t>
      </w:r>
    </w:p>
    <w:p w:rsidR="00AF131B" w:rsidRDefault="009A0B2E" w:rsidP="007B50AC">
      <w:pPr>
        <w:pStyle w:val="ECHRPara"/>
        <w:rPr>
          <w:rFonts w:eastAsia="MS Mincho"/>
          <w:lang w:val="fr-FR"/>
        </w:rPr>
      </w:pPr>
      <w:r w:rsidRPr="002C5351">
        <w:rPr>
          <w:rFonts w:eastAsia="MS Mincho"/>
          <w:lang w:val="fr-FR" w:eastAsia="ja-JP"/>
        </w:rPr>
        <w:fldChar w:fldCharType="begin"/>
      </w:r>
      <w:r w:rsidRPr="002C5351">
        <w:rPr>
          <w:rFonts w:eastAsia="MS Mincho"/>
          <w:lang w:val="fr-FR" w:eastAsia="ja-JP"/>
        </w:rPr>
        <w:instrText xml:space="preserve"> SEQ level0 \*arabic </w:instrText>
      </w:r>
      <w:r w:rsidRPr="002C5351">
        <w:rPr>
          <w:rFonts w:eastAsia="MS Mincho"/>
          <w:lang w:val="fr-FR" w:eastAsia="ja-JP"/>
        </w:rPr>
        <w:fldChar w:fldCharType="separate"/>
      </w:r>
      <w:r w:rsidR="00BD469E">
        <w:rPr>
          <w:rFonts w:eastAsia="MS Mincho"/>
          <w:noProof/>
          <w:lang w:val="fr-FR" w:eastAsia="ja-JP"/>
        </w:rPr>
        <w:t>69</w:t>
      </w:r>
      <w:r w:rsidRPr="002C5351">
        <w:rPr>
          <w:rFonts w:eastAsia="MS Mincho"/>
          <w:lang w:val="fr-FR" w:eastAsia="ja-JP"/>
        </w:rPr>
        <w:fldChar w:fldCharType="end"/>
      </w:r>
      <w:r w:rsidRPr="002C5351">
        <w:rPr>
          <w:rFonts w:eastAsia="MS Mincho"/>
          <w:lang w:val="fr-FR" w:eastAsia="ja-JP"/>
        </w:rPr>
        <w:t>.  </w:t>
      </w:r>
      <w:r w:rsidRPr="002C5351">
        <w:rPr>
          <w:rFonts w:eastAsia="MS Mincho"/>
          <w:lang w:val="fr-FR"/>
        </w:rPr>
        <w:t>Au demeurant, la Cour note que le Gouvernement ne conteste pas le fait que tant les procédures pénales qu</w:t>
      </w:r>
      <w:r w:rsidR="003C2190">
        <w:rPr>
          <w:rFonts w:eastAsia="MS Mincho"/>
          <w:lang w:val="fr-FR"/>
        </w:rPr>
        <w:t>’</w:t>
      </w:r>
      <w:r w:rsidRPr="002C5351">
        <w:rPr>
          <w:rFonts w:eastAsia="MS Mincho"/>
          <w:lang w:val="fr-FR"/>
        </w:rPr>
        <w:t>administratives en cause portaient sur les mêmes circonstances de fait. En effet, il se concentre sur deux éléments plus généraux, soulevés notamment par l</w:t>
      </w:r>
      <w:r w:rsidR="003C2190">
        <w:rPr>
          <w:rFonts w:eastAsia="MS Mincho"/>
          <w:lang w:val="fr-FR"/>
        </w:rPr>
        <w:t>’</w:t>
      </w:r>
      <w:r w:rsidRPr="002C5351">
        <w:rPr>
          <w:rFonts w:eastAsia="MS Mincho"/>
          <w:lang w:val="fr-FR"/>
        </w:rPr>
        <w:t>arrêt n</w:t>
      </w:r>
      <w:r w:rsidR="007E7B24" w:rsidRPr="007E7B24">
        <w:rPr>
          <w:rFonts w:eastAsia="MS Mincho"/>
          <w:vertAlign w:val="superscript"/>
          <w:lang w:val="fr-FR"/>
        </w:rPr>
        <w:t>o</w:t>
      </w:r>
      <w:r w:rsidRPr="002C5351">
        <w:rPr>
          <w:rFonts w:eastAsia="MS Mincho"/>
          <w:lang w:val="fr-FR"/>
        </w:rPr>
        <w:t xml:space="preserve"> 2067/2011 du Conseil d</w:t>
      </w:r>
      <w:r w:rsidR="003C2190">
        <w:rPr>
          <w:rFonts w:eastAsia="MS Mincho"/>
          <w:lang w:val="fr-FR"/>
        </w:rPr>
        <w:t>’</w:t>
      </w:r>
      <w:r w:rsidRPr="002C5351">
        <w:rPr>
          <w:rFonts w:eastAsia="MS Mincho"/>
          <w:lang w:val="fr-FR"/>
        </w:rPr>
        <w:t>État, auquel le Gouvernement fait longuement référence dans ses observations : en premier lieu, le fait que l</w:t>
      </w:r>
      <w:r w:rsidR="003C2190">
        <w:rPr>
          <w:rFonts w:eastAsia="MS Mincho"/>
          <w:lang w:val="fr-FR"/>
        </w:rPr>
        <w:t>’</w:t>
      </w:r>
      <w:r w:rsidRPr="002C5351">
        <w:rPr>
          <w:rFonts w:eastAsia="MS Mincho"/>
          <w:lang w:val="fr-FR"/>
        </w:rPr>
        <w:t>État grec n</w:t>
      </w:r>
      <w:r w:rsidR="003C2190">
        <w:rPr>
          <w:rFonts w:eastAsia="MS Mincho"/>
          <w:lang w:val="fr-FR"/>
        </w:rPr>
        <w:t>’</w:t>
      </w:r>
      <w:r w:rsidRPr="002C5351">
        <w:rPr>
          <w:rFonts w:eastAsia="MS Mincho"/>
          <w:lang w:val="fr-FR"/>
        </w:rPr>
        <w:t>aurait pas pu anticiper l</w:t>
      </w:r>
      <w:r w:rsidR="003C2190">
        <w:rPr>
          <w:rFonts w:eastAsia="MS Mincho"/>
          <w:lang w:val="fr-FR"/>
        </w:rPr>
        <w:t>’</w:t>
      </w:r>
      <w:r w:rsidRPr="002C5351">
        <w:rPr>
          <w:rFonts w:eastAsia="MS Mincho"/>
          <w:lang w:val="fr-FR"/>
        </w:rPr>
        <w:t>évolution de la jurisprudence sur l</w:t>
      </w:r>
      <w:r w:rsidR="003C2190">
        <w:rPr>
          <w:rFonts w:eastAsia="MS Mincho"/>
          <w:lang w:val="fr-FR"/>
        </w:rPr>
        <w:t>’</w:t>
      </w:r>
      <w:r w:rsidRPr="002C5351">
        <w:rPr>
          <w:rFonts w:eastAsia="MS Mincho"/>
          <w:lang w:val="fr-FR"/>
        </w:rPr>
        <w:t>article 4 du Protocole n</w:t>
      </w:r>
      <w:r w:rsidR="007E7B24" w:rsidRPr="007E7B24">
        <w:rPr>
          <w:rFonts w:eastAsia="MS Mincho"/>
          <w:vertAlign w:val="superscript"/>
          <w:lang w:val="fr-FR"/>
        </w:rPr>
        <w:t>o</w:t>
      </w:r>
      <w:r w:rsidRPr="002C5351">
        <w:rPr>
          <w:rFonts w:eastAsia="MS Mincho"/>
          <w:lang w:val="fr-FR"/>
        </w:rPr>
        <w:t xml:space="preserve"> 7 quant à la notion de « procédure pénale », ce qui mettrait de fait en cause la dualité traditionnel</w:t>
      </w:r>
      <w:r w:rsidR="00AD5CCC" w:rsidRPr="002C5351">
        <w:rPr>
          <w:rFonts w:eastAsia="MS Mincho"/>
          <w:lang w:val="fr-FR"/>
        </w:rPr>
        <w:t>le</w:t>
      </w:r>
      <w:r w:rsidRPr="002C5351">
        <w:rPr>
          <w:rFonts w:eastAsia="MS Mincho"/>
          <w:lang w:val="fr-FR"/>
        </w:rPr>
        <w:t xml:space="preserve"> du système juridictionnel en ce qui concerne les infractions prévues par le Code des douanes. En second lieu, la manière dont la Cour conçoit le principe </w:t>
      </w:r>
      <w:r w:rsidRPr="002C5351">
        <w:rPr>
          <w:rFonts w:eastAsia="MS Mincho"/>
          <w:i/>
          <w:lang w:val="fr-FR"/>
        </w:rPr>
        <w:t>ne bis in idem</w:t>
      </w:r>
      <w:r w:rsidRPr="002C5351">
        <w:rPr>
          <w:rFonts w:eastAsia="MS Mincho"/>
          <w:lang w:val="fr-FR"/>
        </w:rPr>
        <w:t xml:space="preserve"> contredirait l</w:t>
      </w:r>
      <w:r w:rsidR="003C2190">
        <w:rPr>
          <w:rFonts w:eastAsia="MS Mincho"/>
          <w:lang w:val="fr-FR"/>
        </w:rPr>
        <w:t>’</w:t>
      </w:r>
      <w:r w:rsidRPr="002C5351">
        <w:rPr>
          <w:rFonts w:eastAsia="MS Mincho"/>
          <w:lang w:val="fr-FR"/>
        </w:rPr>
        <w:t xml:space="preserve">autonomie, </w:t>
      </w:r>
      <w:r w:rsidR="00566C48">
        <w:rPr>
          <w:rFonts w:eastAsia="MS Mincho"/>
          <w:lang w:val="fr-FR"/>
        </w:rPr>
        <w:t>selon le</w:t>
      </w:r>
      <w:r w:rsidRPr="002C5351">
        <w:rPr>
          <w:rFonts w:eastAsia="MS Mincho"/>
          <w:lang w:val="fr-FR"/>
        </w:rPr>
        <w:t xml:space="preserve"> droit national, de la juridiction administrative par </w:t>
      </w:r>
      <w:r w:rsidR="00AD5CCC" w:rsidRPr="002C5351">
        <w:rPr>
          <w:rFonts w:eastAsia="MS Mincho"/>
          <w:lang w:val="fr-FR"/>
        </w:rPr>
        <w:t xml:space="preserve">rapport </w:t>
      </w:r>
      <w:r w:rsidRPr="002C5351">
        <w:rPr>
          <w:rFonts w:eastAsia="MS Mincho"/>
          <w:lang w:val="fr-FR"/>
        </w:rPr>
        <w:t>à l</w:t>
      </w:r>
      <w:r w:rsidR="003C2190">
        <w:rPr>
          <w:rFonts w:eastAsia="MS Mincho"/>
          <w:lang w:val="fr-FR"/>
        </w:rPr>
        <w:t>’</w:t>
      </w:r>
      <w:r w:rsidRPr="002C5351">
        <w:rPr>
          <w:rFonts w:eastAsia="MS Mincho"/>
          <w:lang w:val="fr-FR"/>
        </w:rPr>
        <w:t xml:space="preserve">ordre juridictionnel pénal, et </w:t>
      </w:r>
      <w:r w:rsidRPr="002C5351">
        <w:rPr>
          <w:rFonts w:eastAsia="MS Mincho"/>
          <w:i/>
          <w:lang w:val="fr-FR"/>
        </w:rPr>
        <w:t>a fortiori</w:t>
      </w:r>
      <w:r w:rsidRPr="002C5351">
        <w:rPr>
          <w:rFonts w:eastAsia="MS Mincho"/>
          <w:lang w:val="fr-FR"/>
        </w:rPr>
        <w:t xml:space="preserve"> la compétence du juge administratif de procéder à une appréciation différente de la même conduite litigieuse ayant précédemment fait l</w:t>
      </w:r>
      <w:r w:rsidR="003C2190">
        <w:rPr>
          <w:rFonts w:eastAsia="MS Mincho"/>
          <w:lang w:val="fr-FR"/>
        </w:rPr>
        <w:t>’</w:t>
      </w:r>
      <w:r w:rsidRPr="002C5351">
        <w:rPr>
          <w:rFonts w:eastAsia="MS Mincho"/>
          <w:lang w:val="fr-FR"/>
        </w:rPr>
        <w:t>objet d</w:t>
      </w:r>
      <w:r w:rsidR="003C2190">
        <w:rPr>
          <w:rFonts w:eastAsia="MS Mincho"/>
          <w:lang w:val="fr-FR"/>
        </w:rPr>
        <w:t>’</w:t>
      </w:r>
      <w:r w:rsidRPr="002C5351">
        <w:rPr>
          <w:rFonts w:eastAsia="MS Mincho"/>
          <w:lang w:val="fr-FR"/>
        </w:rPr>
        <w:t>un procès pénal.</w:t>
      </w:r>
    </w:p>
    <w:p w:rsidR="009A0B2E" w:rsidRPr="00FF00D3" w:rsidRDefault="009A0B2E" w:rsidP="007B50AC">
      <w:pPr>
        <w:pStyle w:val="ECHRPara"/>
        <w:rPr>
          <w:lang w:val="fr-FR" w:eastAsia="fr-FR"/>
        </w:rPr>
      </w:pPr>
      <w:r w:rsidRPr="002C5351">
        <w:rPr>
          <w:rFonts w:eastAsia="MS Mincho"/>
          <w:lang w:val="fr-FR"/>
        </w:rPr>
        <w:fldChar w:fldCharType="begin"/>
      </w:r>
      <w:r w:rsidRPr="002C5351">
        <w:rPr>
          <w:rFonts w:eastAsia="MS Mincho"/>
          <w:lang w:val="fr-FR"/>
        </w:rPr>
        <w:instrText xml:space="preserve"> SEQ level0 \*arabic </w:instrText>
      </w:r>
      <w:r w:rsidRPr="002C5351">
        <w:rPr>
          <w:rFonts w:eastAsia="MS Mincho"/>
          <w:lang w:val="fr-FR"/>
        </w:rPr>
        <w:fldChar w:fldCharType="separate"/>
      </w:r>
      <w:r w:rsidR="00BD469E">
        <w:rPr>
          <w:rFonts w:eastAsia="MS Mincho"/>
          <w:noProof/>
          <w:lang w:val="fr-FR"/>
        </w:rPr>
        <w:t>70</w:t>
      </w:r>
      <w:r w:rsidRPr="002C5351">
        <w:rPr>
          <w:rFonts w:eastAsia="MS Mincho"/>
          <w:lang w:val="fr-FR"/>
        </w:rPr>
        <w:fldChar w:fldCharType="end"/>
      </w:r>
      <w:r w:rsidRPr="002C5351">
        <w:rPr>
          <w:rFonts w:eastAsia="MS Mincho"/>
          <w:lang w:val="fr-FR"/>
        </w:rPr>
        <w:t>.  La Cour rappelle tout d</w:t>
      </w:r>
      <w:r w:rsidR="003C2190">
        <w:rPr>
          <w:rFonts w:eastAsia="MS Mincho"/>
          <w:lang w:val="fr-FR"/>
        </w:rPr>
        <w:t>’</w:t>
      </w:r>
      <w:r w:rsidRPr="002C5351">
        <w:rPr>
          <w:rFonts w:eastAsia="MS Mincho"/>
          <w:lang w:val="fr-FR"/>
        </w:rPr>
        <w:t xml:space="preserve">abord que, </w:t>
      </w:r>
      <w:r w:rsidR="00FF00D3">
        <w:rPr>
          <w:lang w:val="fr-FR"/>
        </w:rPr>
        <w:t>à</w:t>
      </w:r>
      <w:r w:rsidR="00FF00D3" w:rsidRPr="00FF00D3">
        <w:rPr>
          <w:lang w:val="fr-FR"/>
        </w:rPr>
        <w:t xml:space="preserve"> la différence des traités internationaux de type classique, l</w:t>
      </w:r>
      <w:r w:rsidR="00FF00D3">
        <w:rPr>
          <w:lang w:val="fr-FR"/>
        </w:rPr>
        <w:t>a Convention</w:t>
      </w:r>
      <w:r w:rsidR="00FF00D3" w:rsidRPr="00FF00D3">
        <w:rPr>
          <w:lang w:val="fr-FR"/>
        </w:rPr>
        <w:t xml:space="preserve"> déborde le cadre de la simple réciprocité entre États contractants. En sus d</w:t>
      </w:r>
      <w:r w:rsidR="003C2190">
        <w:rPr>
          <w:lang w:val="fr-FR"/>
        </w:rPr>
        <w:t>’</w:t>
      </w:r>
      <w:r w:rsidR="00FF00D3" w:rsidRPr="00FF00D3">
        <w:rPr>
          <w:lang w:val="fr-FR"/>
        </w:rPr>
        <w:t>un réseau d</w:t>
      </w:r>
      <w:r w:rsidR="003C2190">
        <w:rPr>
          <w:lang w:val="fr-FR"/>
        </w:rPr>
        <w:t>’</w:t>
      </w:r>
      <w:r w:rsidR="00FF00D3" w:rsidRPr="00FF00D3">
        <w:rPr>
          <w:lang w:val="fr-FR"/>
        </w:rPr>
        <w:t>engagements synallagmatiques bilatéraux, elle crée des obligations objectives qui, aux termes de so</w:t>
      </w:r>
      <w:r w:rsidR="00FF00D3">
        <w:rPr>
          <w:lang w:val="fr-FR"/>
        </w:rPr>
        <w:t>n préambule, bénéficient d</w:t>
      </w:r>
      <w:r w:rsidR="003C2190">
        <w:rPr>
          <w:lang w:val="fr-FR"/>
        </w:rPr>
        <w:t>’</w:t>
      </w:r>
      <w:r w:rsidR="00FF00D3">
        <w:rPr>
          <w:lang w:val="fr-FR"/>
        </w:rPr>
        <w:t>une « garantie collective »</w:t>
      </w:r>
      <w:r w:rsidRPr="002C5351">
        <w:rPr>
          <w:lang w:val="fr-FR"/>
        </w:rPr>
        <w:t xml:space="preserve"> (voir, </w:t>
      </w:r>
      <w:r w:rsidR="00FF00D3" w:rsidRPr="00FF00D3">
        <w:rPr>
          <w:i/>
          <w:lang w:val="fr-FR" w:eastAsia="fr-FR"/>
        </w:rPr>
        <w:t>Irlande c. Royaume-Uni</w:t>
      </w:r>
      <w:r w:rsidR="00FF00D3">
        <w:rPr>
          <w:lang w:val="fr-FR" w:eastAsia="fr-FR"/>
        </w:rPr>
        <w:t>, 18 janvier 1978, § 239</w:t>
      </w:r>
      <w:r w:rsidR="00FF00D3" w:rsidRPr="00FF00D3">
        <w:rPr>
          <w:lang w:val="fr-FR" w:eastAsia="fr-FR"/>
        </w:rPr>
        <w:t xml:space="preserve">, série A </w:t>
      </w:r>
      <w:r w:rsidR="00FF00D3" w:rsidRPr="00FF00D3">
        <w:rPr>
          <w:lang w:val="fr-FR" w:eastAsia="fr-FR"/>
        </w:rPr>
        <w:lastRenderedPageBreak/>
        <w:t>n</w:t>
      </w:r>
      <w:r w:rsidR="00FF00D3" w:rsidRPr="00FF00D3">
        <w:rPr>
          <w:vertAlign w:val="superscript"/>
          <w:lang w:val="fr-FR" w:eastAsia="fr-FR"/>
        </w:rPr>
        <w:t>o</w:t>
      </w:r>
      <w:r w:rsidR="00FF00D3" w:rsidRPr="00FF00D3">
        <w:rPr>
          <w:lang w:val="fr-FR" w:eastAsia="fr-FR"/>
        </w:rPr>
        <w:t xml:space="preserve"> 25</w:t>
      </w:r>
      <w:r w:rsidR="00FF00D3">
        <w:rPr>
          <w:lang w:val="fr-FR" w:eastAsia="fr-FR"/>
        </w:rPr>
        <w:t xml:space="preserve">, et </w:t>
      </w:r>
      <w:r w:rsidR="00FF00D3" w:rsidRPr="00FF00D3">
        <w:rPr>
          <w:i/>
          <w:lang w:val="fr-FR" w:eastAsia="fr-FR"/>
        </w:rPr>
        <w:t xml:space="preserve">Mamatkoulov et Askarov c. Turquie </w:t>
      </w:r>
      <w:r w:rsidR="00FF00D3" w:rsidRPr="00FF00D3">
        <w:rPr>
          <w:lang w:val="fr-FR" w:eastAsia="fr-FR"/>
        </w:rPr>
        <w:t>[GC], n</w:t>
      </w:r>
      <w:r w:rsidR="00FF00D3" w:rsidRPr="00FF00D3">
        <w:rPr>
          <w:rFonts w:ascii="Times New (W1)" w:hAnsi="Times New (W1)"/>
          <w:szCs w:val="24"/>
          <w:vertAlign w:val="superscript"/>
          <w:lang w:val="fr-FR" w:eastAsia="fr-FR"/>
        </w:rPr>
        <w:t>os</w:t>
      </w:r>
      <w:r w:rsidR="00D72AF5">
        <w:rPr>
          <w:lang w:val="fr-FR" w:eastAsia="fr-FR"/>
        </w:rPr>
        <w:t xml:space="preserve"> 46827/99 et 46951/99, § </w:t>
      </w:r>
      <w:r w:rsidR="00FF00D3">
        <w:rPr>
          <w:lang w:val="fr-FR" w:eastAsia="fr-FR"/>
        </w:rPr>
        <w:t>100</w:t>
      </w:r>
      <w:r w:rsidR="00FF00D3" w:rsidRPr="00FF00D3">
        <w:rPr>
          <w:lang w:val="fr-FR" w:eastAsia="fr-FR"/>
        </w:rPr>
        <w:t>, CEDH 2005</w:t>
      </w:r>
      <w:r w:rsidR="00FF00D3" w:rsidRPr="00FF00D3">
        <w:rPr>
          <w:lang w:val="fr-FR" w:eastAsia="fr-FR"/>
        </w:rPr>
        <w:noBreakHyphen/>
        <w:t>I</w:t>
      </w:r>
      <w:r w:rsidR="00FF00D3">
        <w:rPr>
          <w:lang w:val="fr-FR" w:eastAsia="fr-FR"/>
        </w:rPr>
        <w:t>)</w:t>
      </w:r>
      <w:r w:rsidRPr="002C5351">
        <w:rPr>
          <w:lang w:val="fr-FR"/>
        </w:rPr>
        <w:t xml:space="preserve">. </w:t>
      </w:r>
      <w:r w:rsidR="00FE1E0F">
        <w:rPr>
          <w:lang w:val="fr-FR"/>
        </w:rPr>
        <w:t>De surcroît</w:t>
      </w:r>
      <w:r w:rsidRPr="002C5351">
        <w:rPr>
          <w:lang w:val="fr-FR"/>
        </w:rPr>
        <w:t>, toute interprétation des droits et libertés énumérés doit se concilier avec « l</w:t>
      </w:r>
      <w:r w:rsidR="003C2190">
        <w:rPr>
          <w:lang w:val="fr-FR"/>
        </w:rPr>
        <w:t>’</w:t>
      </w:r>
      <w:r w:rsidRPr="002C5351">
        <w:rPr>
          <w:lang w:val="fr-FR"/>
        </w:rPr>
        <w:t xml:space="preserve">esprit général [de la </w:t>
      </w:r>
      <w:r w:rsidR="00A104F0" w:rsidRPr="002C5351">
        <w:rPr>
          <w:lang w:val="fr-FR"/>
        </w:rPr>
        <w:t>Convention],</w:t>
      </w:r>
      <w:r w:rsidRPr="002C5351">
        <w:rPr>
          <w:lang w:val="fr-FR"/>
        </w:rPr>
        <w:t xml:space="preserve"> destinée à sauvegarder et promouvoir les idéaux et valeurs d</w:t>
      </w:r>
      <w:r w:rsidR="003C2190">
        <w:rPr>
          <w:lang w:val="fr-FR"/>
        </w:rPr>
        <w:t>’</w:t>
      </w:r>
      <w:r w:rsidRPr="002C5351">
        <w:rPr>
          <w:lang w:val="fr-FR"/>
        </w:rPr>
        <w:t>une société démocratique » (</w:t>
      </w:r>
      <w:r w:rsidRPr="002C5351">
        <w:rPr>
          <w:i/>
          <w:lang w:val="fr-FR" w:eastAsia="fr-FR"/>
        </w:rPr>
        <w:t>Soering c. Royaume-Uni</w:t>
      </w:r>
      <w:r w:rsidRPr="002C5351">
        <w:rPr>
          <w:lang w:val="fr-FR" w:eastAsia="fr-FR"/>
        </w:rPr>
        <w:t>, 7 juillet 1989, § 87, série A n</w:t>
      </w:r>
      <w:r w:rsidRPr="002C5351">
        <w:rPr>
          <w:vertAlign w:val="superscript"/>
          <w:lang w:val="fr-FR" w:eastAsia="fr-FR"/>
        </w:rPr>
        <w:t>o</w:t>
      </w:r>
      <w:r w:rsidRPr="002C5351">
        <w:rPr>
          <w:lang w:val="fr-FR" w:eastAsia="fr-FR"/>
        </w:rPr>
        <w:t xml:space="preserve"> 161</w:t>
      </w:r>
      <w:r w:rsidRPr="002C5351">
        <w:rPr>
          <w:lang w:val="fr-FR"/>
        </w:rPr>
        <w:t>,</w:t>
      </w:r>
      <w:r w:rsidRPr="002C5351">
        <w:rPr>
          <w:i/>
          <w:iCs/>
          <w:lang w:val="fr-FR"/>
        </w:rPr>
        <w:t xml:space="preserve"> </w:t>
      </w:r>
      <w:r w:rsidRPr="002C5351">
        <w:rPr>
          <w:lang w:val="fr-FR"/>
        </w:rPr>
        <w:t xml:space="preserve">et, </w:t>
      </w:r>
      <w:r w:rsidRPr="002C5351">
        <w:rPr>
          <w:i/>
          <w:iCs/>
          <w:lang w:val="fr-FR"/>
        </w:rPr>
        <w:t>mutatis mutandis</w:t>
      </w:r>
      <w:r w:rsidRPr="002C5351">
        <w:rPr>
          <w:lang w:val="fr-FR"/>
        </w:rPr>
        <w:t xml:space="preserve">, </w:t>
      </w:r>
      <w:r w:rsidRPr="002C5351">
        <w:rPr>
          <w:i/>
          <w:lang w:val="fr-FR" w:eastAsia="fr-FR"/>
        </w:rPr>
        <w:t>Klass et autres c. Allemagne</w:t>
      </w:r>
      <w:r w:rsidR="00D72AF5">
        <w:rPr>
          <w:lang w:val="fr-FR" w:eastAsia="fr-FR"/>
        </w:rPr>
        <w:t>, 6 septembre 1978, § </w:t>
      </w:r>
      <w:r w:rsidRPr="002C5351">
        <w:rPr>
          <w:lang w:val="fr-FR" w:eastAsia="fr-FR"/>
        </w:rPr>
        <w:t>34, série A n</w:t>
      </w:r>
      <w:r w:rsidRPr="002C5351">
        <w:rPr>
          <w:vertAlign w:val="superscript"/>
          <w:lang w:val="fr-FR" w:eastAsia="fr-FR"/>
        </w:rPr>
        <w:t>o</w:t>
      </w:r>
      <w:r w:rsidRPr="002C5351">
        <w:rPr>
          <w:lang w:val="fr-FR" w:eastAsia="fr-FR"/>
        </w:rPr>
        <w:t xml:space="preserve"> 28</w:t>
      </w:r>
      <w:r w:rsidRPr="002C5351">
        <w:rPr>
          <w:lang w:val="fr-FR"/>
        </w:rPr>
        <w:t xml:space="preserve">). </w:t>
      </w:r>
      <w:r w:rsidR="00FE1E0F">
        <w:rPr>
          <w:lang w:val="fr-FR"/>
        </w:rPr>
        <w:t>En outre</w:t>
      </w:r>
      <w:r w:rsidRPr="002C5351">
        <w:rPr>
          <w:lang w:val="fr-FR"/>
        </w:rPr>
        <w:t xml:space="preserve">, la Cour relève que les « critères </w:t>
      </w:r>
      <w:r w:rsidRPr="002C5351">
        <w:rPr>
          <w:i/>
          <w:lang w:val="fr-FR"/>
        </w:rPr>
        <w:t>Engel</w:t>
      </w:r>
      <w:r w:rsidRPr="002C5351">
        <w:rPr>
          <w:lang w:val="fr-FR"/>
        </w:rPr>
        <w:t> »</w:t>
      </w:r>
      <w:r w:rsidR="00AD5CCC" w:rsidRPr="002C5351">
        <w:rPr>
          <w:lang w:val="fr-FR"/>
        </w:rPr>
        <w:t>, pertinents</w:t>
      </w:r>
      <w:r w:rsidRPr="002C5351">
        <w:rPr>
          <w:lang w:val="fr-FR"/>
        </w:rPr>
        <w:t xml:space="preserve"> </w:t>
      </w:r>
      <w:r w:rsidRPr="002C5351">
        <w:rPr>
          <w:rFonts w:eastAsia="MS Mincho"/>
          <w:lang w:val="fr-FR"/>
        </w:rPr>
        <w:t>pour déterminer l</w:t>
      </w:r>
      <w:r w:rsidR="003C2190">
        <w:rPr>
          <w:rFonts w:eastAsia="MS Mincho"/>
          <w:lang w:val="fr-FR"/>
        </w:rPr>
        <w:t>’</w:t>
      </w:r>
      <w:r w:rsidRPr="002C5351">
        <w:rPr>
          <w:rFonts w:eastAsia="MS Mincho"/>
          <w:lang w:val="fr-FR"/>
        </w:rPr>
        <w:t>existence d</w:t>
      </w:r>
      <w:r w:rsidR="003C2190">
        <w:rPr>
          <w:rFonts w:eastAsia="MS Mincho"/>
          <w:lang w:val="fr-FR"/>
        </w:rPr>
        <w:t>’</w:t>
      </w:r>
      <w:r w:rsidRPr="002C5351">
        <w:rPr>
          <w:rFonts w:eastAsia="MS Mincho"/>
          <w:lang w:val="fr-FR"/>
        </w:rPr>
        <w:t xml:space="preserve">une « accusation en matière pénale », ont été </w:t>
      </w:r>
      <w:r w:rsidR="00A104F0" w:rsidRPr="002C5351">
        <w:rPr>
          <w:rFonts w:eastAsia="MS Mincho"/>
          <w:lang w:val="fr-FR"/>
        </w:rPr>
        <w:t>introduits dans</w:t>
      </w:r>
      <w:r w:rsidRPr="002C5351">
        <w:rPr>
          <w:rFonts w:eastAsia="MS Mincho"/>
          <w:lang w:val="fr-FR"/>
        </w:rPr>
        <w:t xml:space="preserve"> la jurisprudence </w:t>
      </w:r>
      <w:r w:rsidR="00A104F0" w:rsidRPr="002C5351">
        <w:rPr>
          <w:rFonts w:eastAsia="MS Mincho"/>
          <w:lang w:val="fr-FR"/>
        </w:rPr>
        <w:t>en</w:t>
      </w:r>
      <w:r w:rsidRPr="002C5351">
        <w:rPr>
          <w:rFonts w:eastAsia="MS Mincho"/>
          <w:lang w:val="fr-FR"/>
        </w:rPr>
        <w:t xml:space="preserve"> 1976 (voir paragraphe </w:t>
      </w:r>
      <w:r w:rsidR="001D1C62">
        <w:rPr>
          <w:rFonts w:eastAsia="MS Mincho"/>
          <w:lang w:val="fr-FR"/>
        </w:rPr>
        <w:t>51</w:t>
      </w:r>
      <w:r w:rsidRPr="002C5351">
        <w:rPr>
          <w:rFonts w:eastAsia="MS Mincho"/>
          <w:lang w:val="fr-FR"/>
        </w:rPr>
        <w:t xml:space="preserve"> ci-dessus). Étant don</w:t>
      </w:r>
      <w:r w:rsidR="00AD5CCC" w:rsidRPr="002C5351">
        <w:rPr>
          <w:rFonts w:eastAsia="MS Mincho"/>
          <w:lang w:val="fr-FR"/>
        </w:rPr>
        <w:t>né que la Grèce a reconnu le 20 </w:t>
      </w:r>
      <w:r w:rsidRPr="002C5351">
        <w:rPr>
          <w:rFonts w:eastAsia="MS Mincho"/>
          <w:lang w:val="fr-FR"/>
        </w:rPr>
        <w:t xml:space="preserve">novembre 1985 le droit de recours individuel, elle était déjà </w:t>
      </w:r>
      <w:r w:rsidR="00A104F0" w:rsidRPr="002C5351">
        <w:rPr>
          <w:rFonts w:eastAsia="MS Mincho"/>
          <w:lang w:val="fr-FR"/>
        </w:rPr>
        <w:t>averti</w:t>
      </w:r>
      <w:r w:rsidR="00FE51E7">
        <w:rPr>
          <w:rFonts w:eastAsia="MS Mincho"/>
          <w:lang w:val="fr-FR"/>
        </w:rPr>
        <w:t>e</w:t>
      </w:r>
      <w:r w:rsidRPr="002C5351">
        <w:rPr>
          <w:rFonts w:eastAsia="MS Mincho"/>
          <w:lang w:val="fr-FR"/>
        </w:rPr>
        <w:t xml:space="preserve"> tant du caractère singulier de « l</w:t>
      </w:r>
      <w:r w:rsidR="003C2190">
        <w:rPr>
          <w:rFonts w:eastAsia="MS Mincho"/>
          <w:lang w:val="fr-FR"/>
        </w:rPr>
        <w:t>’</w:t>
      </w:r>
      <w:r w:rsidRPr="002C5351">
        <w:rPr>
          <w:rFonts w:eastAsia="MS Mincho"/>
          <w:lang w:val="fr-FR"/>
        </w:rPr>
        <w:t>esprit général » de la Convention en tant que traité de garantie collective des droits de l</w:t>
      </w:r>
      <w:r w:rsidR="003C2190">
        <w:rPr>
          <w:rFonts w:eastAsia="MS Mincho"/>
          <w:lang w:val="fr-FR"/>
        </w:rPr>
        <w:t>’</w:t>
      </w:r>
      <w:r w:rsidRPr="002C5351">
        <w:rPr>
          <w:rFonts w:eastAsia="MS Mincho"/>
          <w:lang w:val="fr-FR"/>
        </w:rPr>
        <w:t>homme, créé pour protéger l</w:t>
      </w:r>
      <w:r w:rsidR="003C2190">
        <w:rPr>
          <w:rFonts w:eastAsia="MS Mincho"/>
          <w:lang w:val="fr-FR"/>
        </w:rPr>
        <w:t>’</w:t>
      </w:r>
      <w:r w:rsidRPr="002C5351">
        <w:rPr>
          <w:rFonts w:eastAsia="MS Mincho"/>
          <w:lang w:val="fr-FR"/>
        </w:rPr>
        <w:t xml:space="preserve">individu (voir </w:t>
      </w:r>
      <w:r w:rsidRPr="002C5351">
        <w:rPr>
          <w:i/>
          <w:lang w:val="fr-FR" w:eastAsia="fr-FR"/>
        </w:rPr>
        <w:t>Mamatkoulov et Askarov</w:t>
      </w:r>
      <w:r w:rsidR="00346E72">
        <w:rPr>
          <w:lang w:val="fr-FR" w:eastAsia="fr-FR"/>
        </w:rPr>
        <w:t xml:space="preserve">, </w:t>
      </w:r>
      <w:r w:rsidRPr="002C5351">
        <w:rPr>
          <w:lang w:val="fr-FR" w:eastAsia="fr-FR"/>
        </w:rPr>
        <w:t xml:space="preserve">et </w:t>
      </w:r>
      <w:r w:rsidR="00346E72">
        <w:rPr>
          <w:i/>
          <w:lang w:val="fr-FR" w:eastAsia="fr-FR"/>
        </w:rPr>
        <w:t>Klass et autres,</w:t>
      </w:r>
      <w:r w:rsidR="00FF00D3">
        <w:rPr>
          <w:lang w:val="fr-FR" w:eastAsia="fr-FR"/>
        </w:rPr>
        <w:t xml:space="preserve"> </w:t>
      </w:r>
      <w:r w:rsidRPr="002C5351">
        <w:rPr>
          <w:i/>
          <w:lang w:val="fr-FR" w:eastAsia="fr-FR"/>
        </w:rPr>
        <w:t>loc. cit.</w:t>
      </w:r>
      <w:r w:rsidRPr="002C5351">
        <w:rPr>
          <w:lang w:val="fr-FR"/>
        </w:rPr>
        <w:t>) que de la manière autonome dont la Cour conçoit la notion d</w:t>
      </w:r>
      <w:r w:rsidR="003C2190">
        <w:rPr>
          <w:lang w:val="fr-FR"/>
        </w:rPr>
        <w:t>’</w:t>
      </w:r>
      <w:r w:rsidRPr="002C5351">
        <w:rPr>
          <w:lang w:val="fr-FR"/>
        </w:rPr>
        <w:t xml:space="preserve"> « </w:t>
      </w:r>
      <w:r w:rsidR="003C1C85">
        <w:rPr>
          <w:lang w:val="fr-FR"/>
        </w:rPr>
        <w:t>accusation en matière pénale ».</w:t>
      </w:r>
      <w:r w:rsidR="00AE7B04">
        <w:rPr>
          <w:lang w:val="fr-FR"/>
        </w:rPr>
        <w:t xml:space="preserve"> </w:t>
      </w:r>
      <w:r w:rsidR="00A60CE2">
        <w:rPr>
          <w:lang w:val="fr-FR"/>
        </w:rPr>
        <w:t xml:space="preserve">En dernier lieu, </w:t>
      </w:r>
      <w:r w:rsidR="00A60CE2">
        <w:rPr>
          <w:rFonts w:eastAsia="MS Mincho"/>
          <w:lang w:val="fr-FR"/>
        </w:rPr>
        <w:t>la Cour note que bien que le Gouvernement évoque la dualité du système juridictionnel en ce qui concerne l</w:t>
      </w:r>
      <w:r w:rsidR="003C2190">
        <w:rPr>
          <w:rFonts w:eastAsia="MS Mincho"/>
          <w:lang w:val="fr-FR"/>
        </w:rPr>
        <w:t>’</w:t>
      </w:r>
      <w:r w:rsidR="00A60CE2">
        <w:rPr>
          <w:rFonts w:eastAsia="MS Mincho"/>
          <w:lang w:val="fr-FR"/>
        </w:rPr>
        <w:t xml:space="preserve">infraction de contrebande comme une tradition </w:t>
      </w:r>
      <w:r w:rsidR="003E299F">
        <w:rPr>
          <w:rFonts w:eastAsia="MS Mincho"/>
          <w:lang w:val="fr-FR"/>
        </w:rPr>
        <w:t xml:space="preserve">bien </w:t>
      </w:r>
      <w:r w:rsidR="00A60CE2">
        <w:rPr>
          <w:rFonts w:eastAsia="MS Mincho"/>
          <w:lang w:val="fr-FR"/>
        </w:rPr>
        <w:t>ancrée dans l</w:t>
      </w:r>
      <w:r w:rsidR="003C2190">
        <w:rPr>
          <w:rFonts w:eastAsia="MS Mincho"/>
          <w:lang w:val="fr-FR"/>
        </w:rPr>
        <w:t>’</w:t>
      </w:r>
      <w:r w:rsidR="00A60CE2">
        <w:rPr>
          <w:rFonts w:eastAsia="MS Mincho"/>
          <w:lang w:val="fr-FR"/>
        </w:rPr>
        <w:t>ordre juridique interne, la l</w:t>
      </w:r>
      <w:r w:rsidR="00566C48">
        <w:rPr>
          <w:rFonts w:eastAsia="MS Mincho"/>
          <w:lang w:val="fr-FR"/>
        </w:rPr>
        <w:t>oi n</w:t>
      </w:r>
      <w:r w:rsidR="007E7B24" w:rsidRPr="007E7B24">
        <w:rPr>
          <w:rFonts w:eastAsia="MS Mincho"/>
          <w:vertAlign w:val="superscript"/>
          <w:lang w:val="fr-FR"/>
        </w:rPr>
        <w:t>o</w:t>
      </w:r>
      <w:r w:rsidR="00566C48">
        <w:rPr>
          <w:rFonts w:eastAsia="MS Mincho"/>
          <w:lang w:val="fr-FR"/>
        </w:rPr>
        <w:t> 2081/1939 avait introduit jusqu</w:t>
      </w:r>
      <w:r w:rsidR="003C2190">
        <w:rPr>
          <w:rFonts w:eastAsia="MS Mincho"/>
          <w:lang w:val="fr-FR"/>
        </w:rPr>
        <w:t>’</w:t>
      </w:r>
      <w:r w:rsidR="00566C48">
        <w:rPr>
          <w:rFonts w:eastAsia="MS Mincho"/>
          <w:lang w:val="fr-FR"/>
        </w:rPr>
        <w:t>en 1950</w:t>
      </w:r>
      <w:r w:rsidR="00A60CE2">
        <w:rPr>
          <w:rFonts w:eastAsia="MS Mincho"/>
          <w:lang w:val="fr-FR"/>
        </w:rPr>
        <w:t xml:space="preserve"> une procédure pénale unique à l</w:t>
      </w:r>
      <w:r w:rsidR="003C2190">
        <w:rPr>
          <w:rFonts w:eastAsia="MS Mincho"/>
          <w:lang w:val="fr-FR"/>
        </w:rPr>
        <w:t>’</w:t>
      </w:r>
      <w:r w:rsidR="00A60CE2">
        <w:rPr>
          <w:rFonts w:eastAsia="MS Mincho"/>
          <w:lang w:val="fr-FR"/>
        </w:rPr>
        <w:t>égard de lad</w:t>
      </w:r>
      <w:r w:rsidR="00566C48">
        <w:rPr>
          <w:rFonts w:eastAsia="MS Mincho"/>
          <w:lang w:val="fr-FR"/>
        </w:rPr>
        <w:t>ite infraction (voir paragraphe </w:t>
      </w:r>
      <w:r w:rsidR="00A60CE2">
        <w:rPr>
          <w:rFonts w:eastAsia="MS Mincho"/>
          <w:lang w:val="fr-FR"/>
        </w:rPr>
        <w:t>37 ci-dessus).</w:t>
      </w:r>
    </w:p>
    <w:p w:rsidR="00AF131B" w:rsidRDefault="009A0B2E" w:rsidP="007B50AC">
      <w:pPr>
        <w:pStyle w:val="ECHRPara"/>
        <w:rPr>
          <w:rFonts w:eastAsia="MS Mincho"/>
          <w:lang w:val="fr-FR"/>
        </w:rPr>
      </w:pPr>
      <w:r w:rsidRPr="002C5351">
        <w:rPr>
          <w:rFonts w:eastAsia="MS Mincho"/>
          <w:lang w:val="fr-FR"/>
        </w:rPr>
        <w:fldChar w:fldCharType="begin"/>
      </w:r>
      <w:r w:rsidRPr="002C5351">
        <w:rPr>
          <w:rFonts w:eastAsia="MS Mincho"/>
          <w:lang w:val="fr-FR"/>
        </w:rPr>
        <w:instrText xml:space="preserve"> SEQ level0 \*arabic </w:instrText>
      </w:r>
      <w:r w:rsidRPr="002C5351">
        <w:rPr>
          <w:rFonts w:eastAsia="MS Mincho"/>
          <w:lang w:val="fr-FR"/>
        </w:rPr>
        <w:fldChar w:fldCharType="separate"/>
      </w:r>
      <w:r w:rsidR="00BD469E">
        <w:rPr>
          <w:rFonts w:eastAsia="MS Mincho"/>
          <w:noProof/>
          <w:lang w:val="fr-FR"/>
        </w:rPr>
        <w:t>71</w:t>
      </w:r>
      <w:r w:rsidRPr="002C5351">
        <w:rPr>
          <w:rFonts w:eastAsia="MS Mincho"/>
          <w:lang w:val="fr-FR"/>
        </w:rPr>
        <w:fldChar w:fldCharType="end"/>
      </w:r>
      <w:r w:rsidRPr="002C5351">
        <w:rPr>
          <w:rFonts w:eastAsia="MS Mincho"/>
          <w:lang w:val="fr-FR"/>
        </w:rPr>
        <w:t>.  Quant à l</w:t>
      </w:r>
      <w:r w:rsidR="003C2190">
        <w:rPr>
          <w:rFonts w:eastAsia="MS Mincho"/>
          <w:lang w:val="fr-FR"/>
        </w:rPr>
        <w:t>’</w:t>
      </w:r>
      <w:r w:rsidRPr="002C5351">
        <w:rPr>
          <w:rFonts w:eastAsia="MS Mincho"/>
          <w:lang w:val="fr-FR"/>
        </w:rPr>
        <w:t>argument du Gouvernement tiré de l</w:t>
      </w:r>
      <w:r w:rsidR="003C2190">
        <w:rPr>
          <w:rFonts w:eastAsia="MS Mincho"/>
          <w:lang w:val="fr-FR"/>
        </w:rPr>
        <w:t>’</w:t>
      </w:r>
      <w:r w:rsidRPr="002C5351">
        <w:rPr>
          <w:rFonts w:eastAsia="MS Mincho"/>
          <w:lang w:val="fr-FR"/>
        </w:rPr>
        <w:t>autonomie de l</w:t>
      </w:r>
      <w:r w:rsidR="003C2190">
        <w:rPr>
          <w:rFonts w:eastAsia="MS Mincho"/>
          <w:lang w:val="fr-FR"/>
        </w:rPr>
        <w:t>’</w:t>
      </w:r>
      <w:r w:rsidRPr="002C5351">
        <w:rPr>
          <w:rFonts w:eastAsia="MS Mincho"/>
          <w:lang w:val="fr-FR"/>
        </w:rPr>
        <w:t xml:space="preserve">ordre juridictionnel administratif par rapport aux juridictions pénales, </w:t>
      </w:r>
      <w:r w:rsidR="00FE51E7">
        <w:rPr>
          <w:rFonts w:eastAsia="MS Mincho"/>
          <w:lang w:val="fr-FR"/>
        </w:rPr>
        <w:t xml:space="preserve">la Cour estime </w:t>
      </w:r>
      <w:r w:rsidR="00FE51E7" w:rsidRPr="002C5351">
        <w:rPr>
          <w:rFonts w:eastAsia="MS Mincho"/>
          <w:lang w:val="fr-FR"/>
        </w:rPr>
        <w:t xml:space="preserve">utile de rappeler que le droit interne </w:t>
      </w:r>
      <w:r w:rsidR="00EF68FD">
        <w:rPr>
          <w:rFonts w:eastAsia="MS Mincho"/>
          <w:lang w:val="fr-FR"/>
        </w:rPr>
        <w:t>ne suit pas dans tous les cas le principe d</w:t>
      </w:r>
      <w:r w:rsidR="003C2190">
        <w:rPr>
          <w:rFonts w:eastAsia="MS Mincho"/>
          <w:lang w:val="fr-FR"/>
        </w:rPr>
        <w:t>’</w:t>
      </w:r>
      <w:r w:rsidR="00EF68FD">
        <w:rPr>
          <w:rFonts w:eastAsia="MS Mincho"/>
          <w:lang w:val="fr-FR"/>
        </w:rPr>
        <w:t>une stricte autonomie des domaines administratif et pénal, mais prévoit en l</w:t>
      </w:r>
      <w:r w:rsidR="003C2190">
        <w:rPr>
          <w:rFonts w:eastAsia="MS Mincho"/>
          <w:lang w:val="fr-FR"/>
        </w:rPr>
        <w:t>’</w:t>
      </w:r>
      <w:r w:rsidR="00EF68FD">
        <w:rPr>
          <w:rFonts w:eastAsia="MS Mincho"/>
          <w:lang w:val="fr-FR"/>
        </w:rPr>
        <w:t xml:space="preserve">occurrence des exceptions audit principe. En effet, </w:t>
      </w:r>
      <w:r w:rsidR="00566C48">
        <w:rPr>
          <w:rFonts w:eastAsia="MS Mincho"/>
          <w:lang w:val="fr-FR"/>
        </w:rPr>
        <w:t>l</w:t>
      </w:r>
      <w:r w:rsidR="003C2190">
        <w:rPr>
          <w:rFonts w:eastAsia="MS Mincho"/>
          <w:lang w:val="fr-FR"/>
        </w:rPr>
        <w:t>’</w:t>
      </w:r>
      <w:r w:rsidR="00566C48">
        <w:rPr>
          <w:rFonts w:eastAsia="MS Mincho"/>
          <w:lang w:val="fr-FR"/>
        </w:rPr>
        <w:t>article </w:t>
      </w:r>
      <w:r w:rsidR="00EF68FD">
        <w:rPr>
          <w:rFonts w:eastAsia="MS Mincho"/>
          <w:lang w:val="fr-FR"/>
        </w:rPr>
        <w:t>5 § </w:t>
      </w:r>
      <w:r w:rsidR="00FE51E7" w:rsidRPr="002C5351">
        <w:rPr>
          <w:rFonts w:eastAsia="MS Mincho"/>
          <w:lang w:val="fr-FR"/>
        </w:rPr>
        <w:t>2 du Code de procédure administrative dispose que les tribunaux administratifs sont liés par les décisions condamnatoires et définitives des juridictions pénales en ce qui concerne la culpabilité de l</w:t>
      </w:r>
      <w:r w:rsidR="003C2190">
        <w:rPr>
          <w:rFonts w:eastAsia="MS Mincho"/>
          <w:lang w:val="fr-FR"/>
        </w:rPr>
        <w:t>’</w:t>
      </w:r>
      <w:r w:rsidR="00FE51E7" w:rsidRPr="002C5351">
        <w:rPr>
          <w:rFonts w:eastAsia="MS Mincho"/>
          <w:lang w:val="fr-FR"/>
        </w:rPr>
        <w:t>auteur de l</w:t>
      </w:r>
      <w:r w:rsidR="003C2190">
        <w:rPr>
          <w:rFonts w:eastAsia="MS Mincho"/>
          <w:lang w:val="fr-FR"/>
        </w:rPr>
        <w:t>’</w:t>
      </w:r>
      <w:r w:rsidR="00FE51E7" w:rsidRPr="002C5351">
        <w:rPr>
          <w:rFonts w:eastAsia="MS Mincho"/>
          <w:lang w:val="fr-FR"/>
        </w:rPr>
        <w:t xml:space="preserve">infraction (voir paragraphe </w:t>
      </w:r>
      <w:r w:rsidR="001D1C62">
        <w:rPr>
          <w:rFonts w:eastAsia="MS Mincho"/>
          <w:lang w:val="fr-FR"/>
        </w:rPr>
        <w:t>39</w:t>
      </w:r>
      <w:r w:rsidR="00FE51E7" w:rsidRPr="002C5351">
        <w:rPr>
          <w:rFonts w:eastAsia="MS Mincho"/>
          <w:lang w:val="fr-FR"/>
        </w:rPr>
        <w:t xml:space="preserve"> ci-dessus).</w:t>
      </w:r>
    </w:p>
    <w:p w:rsidR="00AF131B" w:rsidRDefault="00AF0E1F" w:rsidP="00AF0E1F">
      <w:pPr>
        <w:pStyle w:val="ECHRPara"/>
        <w:rPr>
          <w:rFonts w:ascii="Times New Roman" w:eastAsia="MS Mincho" w:hAnsi="Times New Roman" w:cs="Times New Roman"/>
          <w:lang w:val="fr-FR"/>
        </w:rPr>
      </w:pPr>
      <w:r w:rsidRPr="00AF0E1F">
        <w:rPr>
          <w:rFonts w:ascii="Times New Roman" w:eastAsia="MS Mincho" w:hAnsi="Times New Roman" w:cs="Times New Roman"/>
          <w:lang w:val="fr-FR"/>
        </w:rPr>
        <w:fldChar w:fldCharType="begin"/>
      </w:r>
      <w:r w:rsidRPr="00AF0E1F">
        <w:rPr>
          <w:rFonts w:ascii="Times New Roman" w:eastAsia="MS Mincho" w:hAnsi="Times New Roman" w:cs="Times New Roman"/>
          <w:lang w:val="fr-FR"/>
        </w:rPr>
        <w:instrText xml:space="preserve"> SEQ level0 \*arabic </w:instrText>
      </w:r>
      <w:r w:rsidRPr="00AF0E1F">
        <w:rPr>
          <w:rFonts w:ascii="Times New Roman" w:eastAsia="MS Mincho" w:hAnsi="Times New Roman" w:cs="Times New Roman"/>
          <w:lang w:val="fr-FR"/>
        </w:rPr>
        <w:fldChar w:fldCharType="separate"/>
      </w:r>
      <w:r w:rsidR="00BD469E">
        <w:rPr>
          <w:rFonts w:ascii="Times New Roman" w:eastAsia="MS Mincho" w:hAnsi="Times New Roman" w:cs="Times New Roman"/>
          <w:noProof/>
          <w:lang w:val="fr-FR"/>
        </w:rPr>
        <w:t>72</w:t>
      </w:r>
      <w:r w:rsidRPr="00AF0E1F">
        <w:rPr>
          <w:rFonts w:ascii="Times New Roman" w:eastAsia="MS Mincho" w:hAnsi="Times New Roman" w:cs="Times New Roman"/>
          <w:lang w:val="fr-FR"/>
        </w:rPr>
        <w:fldChar w:fldCharType="end"/>
      </w:r>
      <w:r w:rsidRPr="00AF0E1F">
        <w:rPr>
          <w:rFonts w:ascii="Times New Roman" w:eastAsia="MS Mincho" w:hAnsi="Times New Roman" w:cs="Times New Roman"/>
          <w:lang w:val="fr-FR"/>
        </w:rPr>
        <w:t>.  En outre, la Cour note que l</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article 4 du Protocole n</w:t>
      </w:r>
      <w:r w:rsidR="00AF131B" w:rsidRPr="00AF131B">
        <w:rPr>
          <w:rFonts w:ascii="Times New Roman" w:eastAsia="MS Mincho" w:hAnsi="Times New Roman" w:cs="Times New Roman"/>
          <w:vertAlign w:val="superscript"/>
          <w:lang w:val="fr-FR"/>
        </w:rPr>
        <w:t>o</w:t>
      </w:r>
      <w:r w:rsidRPr="00AF0E1F">
        <w:rPr>
          <w:rFonts w:ascii="Times New Roman" w:eastAsia="MS Mincho" w:hAnsi="Times New Roman" w:cs="Times New Roman"/>
          <w:lang w:val="fr-FR"/>
        </w:rPr>
        <w:t xml:space="preserve"> 7 n</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interdit pas en principe l</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imposition d</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une peine privative de liberté et d</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 xml:space="preserve">une amende pour les mêmes faits litigieux, à condition que le principe </w:t>
      </w:r>
      <w:r w:rsidRPr="00AF0E1F">
        <w:rPr>
          <w:rFonts w:ascii="Times New Roman" w:eastAsia="MS Mincho" w:hAnsi="Times New Roman" w:cs="Times New Roman"/>
          <w:i/>
          <w:lang w:val="fr-FR"/>
        </w:rPr>
        <w:t xml:space="preserve">ne bis in idem </w:t>
      </w:r>
      <w:r w:rsidRPr="00AF0E1F">
        <w:rPr>
          <w:rFonts w:ascii="Times New Roman" w:eastAsia="MS Mincho" w:hAnsi="Times New Roman" w:cs="Times New Roman"/>
          <w:lang w:val="fr-FR"/>
        </w:rPr>
        <w:t>soit respecté. Ainsi, dans le cas de la répression de la contrebande, ce principe ne serait pas atteint si les deux sanctions, privative de liberté et pécuniaire, étaient imposées dans le cadre d</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une procédure judiciaire unique. Par ailleurs, le fait que, dans les requêtes n</w:t>
      </w:r>
      <w:r w:rsidRPr="00AF0E1F">
        <w:rPr>
          <w:rFonts w:ascii="Times New Roman" w:eastAsia="MS Mincho" w:hAnsi="Times New Roman" w:cs="Times New Roman"/>
          <w:vertAlign w:val="superscript"/>
          <w:lang w:val="fr-FR"/>
        </w:rPr>
        <w:t>os</w:t>
      </w:r>
      <w:r w:rsidRPr="00AF0E1F">
        <w:rPr>
          <w:rFonts w:ascii="Times New Roman" w:eastAsia="MS Mincho" w:hAnsi="Times New Roman" w:cs="Times New Roman"/>
          <w:lang w:val="fr-FR"/>
        </w:rPr>
        <w:t xml:space="preserve"> 3453/12 et 42941/12,</w:t>
      </w:r>
      <w:r w:rsidRPr="00AF0E1F">
        <w:rPr>
          <w:rFonts w:ascii="Times New Roman" w:eastAsia="MS Mincho" w:hAnsi="Times New Roman" w:cs="Times New Roman"/>
          <w:i/>
          <w:lang w:val="fr-FR"/>
        </w:rPr>
        <w:t xml:space="preserve"> </w:t>
      </w:r>
      <w:r w:rsidRPr="00AF0E1F">
        <w:rPr>
          <w:rFonts w:ascii="Times New Roman" w:eastAsia="MS Mincho" w:hAnsi="Times New Roman" w:cs="Times New Roman"/>
          <w:lang w:val="fr-FR"/>
        </w:rPr>
        <w:t>la procédure pénale n</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était pas encore achevée</w:t>
      </w:r>
      <w:r w:rsidRPr="00AF0E1F">
        <w:rPr>
          <w:rFonts w:ascii="Times New Roman" w:eastAsia="MS Mincho" w:hAnsi="Times New Roman" w:cs="Times New Roman"/>
          <w:i/>
          <w:lang w:val="fr-FR"/>
        </w:rPr>
        <w:t xml:space="preserve"> </w:t>
      </w:r>
      <w:r w:rsidRPr="00AF0E1F">
        <w:rPr>
          <w:rFonts w:ascii="Times New Roman" w:eastAsia="MS Mincho" w:hAnsi="Times New Roman" w:cs="Times New Roman"/>
          <w:lang w:val="fr-FR"/>
        </w:rPr>
        <w:t>lors de l</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engagement de la procédure administrative, n</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est pas en soi problématique à l</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 xml:space="preserve">égard du principe </w:t>
      </w:r>
      <w:r w:rsidRPr="00AF0E1F">
        <w:rPr>
          <w:rFonts w:ascii="Times New Roman" w:eastAsia="MS Mincho" w:hAnsi="Times New Roman" w:cs="Times New Roman"/>
          <w:i/>
          <w:lang w:val="fr-FR"/>
        </w:rPr>
        <w:t xml:space="preserve">ne bis in idem. </w:t>
      </w:r>
      <w:r w:rsidRPr="00AF0E1F">
        <w:rPr>
          <w:rFonts w:ascii="Times New Roman" w:eastAsia="MS Mincho" w:hAnsi="Times New Roman" w:cs="Times New Roman"/>
          <w:lang w:val="fr-FR"/>
        </w:rPr>
        <w:t>Le respect de ce principe aurait été assuré si le juge pénal avait suspendu le procès après le déclenchement de la procédure administrative et, ensuite, cesser la poursuite pénale après la confirmation définitive de l</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amende en cause par le Conseil d</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 xml:space="preserve">État </w:t>
      </w:r>
      <w:r w:rsidRPr="00AF0E1F">
        <w:rPr>
          <w:lang w:val="fr-FR"/>
        </w:rPr>
        <w:t xml:space="preserve">(voir </w:t>
      </w:r>
      <w:r w:rsidRPr="00AF0E1F">
        <w:rPr>
          <w:i/>
          <w:lang w:val="fr-FR"/>
        </w:rPr>
        <w:t>Glantz c. Finlande</w:t>
      </w:r>
      <w:r w:rsidRPr="00AF0E1F">
        <w:rPr>
          <w:lang w:val="fr-FR"/>
        </w:rPr>
        <w:t>, n</w:t>
      </w:r>
      <w:r w:rsidRPr="00AF0E1F">
        <w:rPr>
          <w:vertAlign w:val="superscript"/>
          <w:lang w:val="fr-FR"/>
        </w:rPr>
        <w:t>o</w:t>
      </w:r>
      <w:r>
        <w:rPr>
          <w:lang w:val="fr-FR"/>
        </w:rPr>
        <w:t> 37394/11, §§ 59-60</w:t>
      </w:r>
      <w:r w:rsidRPr="00AF0E1F">
        <w:rPr>
          <w:lang w:val="fr-FR"/>
        </w:rPr>
        <w:t xml:space="preserve">, 20 mai 2014 ; </w:t>
      </w:r>
      <w:r w:rsidRPr="00AF0E1F">
        <w:rPr>
          <w:i/>
          <w:lang w:val="fr-FR"/>
        </w:rPr>
        <w:t>Häkkä c. Finlande</w:t>
      </w:r>
      <w:r w:rsidRPr="00AF0E1F">
        <w:rPr>
          <w:lang w:val="fr-FR"/>
        </w:rPr>
        <w:t>, n</w:t>
      </w:r>
      <w:r w:rsidRPr="00AF0E1F">
        <w:rPr>
          <w:vertAlign w:val="superscript"/>
          <w:lang w:val="fr-FR"/>
        </w:rPr>
        <w:t>o</w:t>
      </w:r>
      <w:r w:rsidR="00D72AF5">
        <w:rPr>
          <w:lang w:val="fr-FR"/>
        </w:rPr>
        <w:t xml:space="preserve"> 758/11, </w:t>
      </w:r>
      <w:r w:rsidR="00D72AF5">
        <w:rPr>
          <w:lang w:val="fr-FR"/>
        </w:rPr>
        <w:lastRenderedPageBreak/>
        <w:t>§§ 48</w:t>
      </w:r>
      <w:r w:rsidR="00D72AF5">
        <w:rPr>
          <w:lang w:val="fr-FR"/>
        </w:rPr>
        <w:noBreakHyphen/>
      </w:r>
      <w:r w:rsidRPr="00AF0E1F">
        <w:rPr>
          <w:lang w:val="fr-FR"/>
        </w:rPr>
        <w:t xml:space="preserve">49, 20 mai 2014, et </w:t>
      </w:r>
      <w:r w:rsidRPr="00AF0E1F">
        <w:rPr>
          <w:i/>
          <w:lang w:val="fr-FR" w:eastAsia="fr-FR"/>
        </w:rPr>
        <w:t>Nykänen c. Finlande</w:t>
      </w:r>
      <w:r w:rsidRPr="00AF0E1F">
        <w:rPr>
          <w:snapToGrid w:val="0"/>
          <w:lang w:val="fr-FR" w:eastAsia="fr-FR"/>
        </w:rPr>
        <w:t xml:space="preserve">, </w:t>
      </w:r>
      <w:r w:rsidRPr="00AF0E1F">
        <w:rPr>
          <w:lang w:val="fr-FR" w:eastAsia="fr-FR"/>
        </w:rPr>
        <w:t>n</w:t>
      </w:r>
      <w:r w:rsidRPr="00AF0E1F">
        <w:rPr>
          <w:vertAlign w:val="superscript"/>
          <w:lang w:val="fr-FR" w:eastAsia="fr-FR"/>
        </w:rPr>
        <w:t>o</w:t>
      </w:r>
      <w:r w:rsidRPr="00AF0E1F">
        <w:rPr>
          <w:lang w:val="fr-FR" w:eastAsia="fr-FR"/>
        </w:rPr>
        <w:t xml:space="preserve"> 11828/11</w:t>
      </w:r>
      <w:r w:rsidRPr="00AF0E1F">
        <w:rPr>
          <w:snapToGrid w:val="0"/>
          <w:color w:val="000000"/>
          <w:lang w:val="fr-FR" w:eastAsia="fr-FR"/>
        </w:rPr>
        <w:t>, § 49</w:t>
      </w:r>
      <w:r>
        <w:rPr>
          <w:snapToGrid w:val="0"/>
          <w:color w:val="000000"/>
          <w:lang w:val="fr-FR" w:eastAsia="fr-FR"/>
        </w:rPr>
        <w:t>-50</w:t>
      </w:r>
      <w:r w:rsidR="00D72AF5">
        <w:rPr>
          <w:snapToGrid w:val="0"/>
          <w:color w:val="000000"/>
          <w:lang w:val="fr-FR" w:eastAsia="fr-FR"/>
        </w:rPr>
        <w:t>, 20 </w:t>
      </w:r>
      <w:r w:rsidRPr="00AF0E1F">
        <w:rPr>
          <w:color w:val="000000"/>
          <w:lang w:val="fr-FR" w:eastAsia="fr-FR"/>
        </w:rPr>
        <w:t>mai</w:t>
      </w:r>
      <w:r w:rsidRPr="00AF0E1F">
        <w:rPr>
          <w:snapToGrid w:val="0"/>
          <w:color w:val="000000"/>
          <w:lang w:val="fr-FR" w:eastAsia="fr-FR"/>
        </w:rPr>
        <w:t xml:space="preserve"> 2014</w:t>
      </w:r>
      <w:r w:rsidRPr="00AF0E1F">
        <w:rPr>
          <w:lang w:val="fr-FR"/>
        </w:rPr>
        <w:t xml:space="preserve">). </w:t>
      </w:r>
      <w:r w:rsidRPr="00AF0E1F">
        <w:rPr>
          <w:rFonts w:ascii="Times New Roman" w:eastAsia="MS Mincho" w:hAnsi="Times New Roman" w:cs="Times New Roman"/>
          <w:lang w:val="fr-FR"/>
        </w:rPr>
        <w:t>De même, dans la requête n</w:t>
      </w:r>
      <w:r w:rsidR="00AF131B" w:rsidRPr="00AF131B">
        <w:rPr>
          <w:rFonts w:ascii="Times New Roman" w:eastAsia="MS Mincho" w:hAnsi="Times New Roman" w:cs="Times New Roman"/>
          <w:vertAlign w:val="superscript"/>
          <w:lang w:val="fr-FR"/>
        </w:rPr>
        <w:t>o</w:t>
      </w:r>
      <w:r w:rsidRPr="00AF0E1F">
        <w:rPr>
          <w:rFonts w:ascii="Times New Roman" w:eastAsia="MS Mincho" w:hAnsi="Times New Roman" w:cs="Times New Roman"/>
          <w:lang w:val="fr-FR"/>
        </w:rPr>
        <w:t xml:space="preserve"> 9028/13, suite à l</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acquittement définitif du requérant, les amendes administratives en cause n</w:t>
      </w:r>
      <w:r w:rsidR="003C2190">
        <w:rPr>
          <w:rFonts w:ascii="Times New Roman" w:eastAsia="MS Mincho" w:hAnsi="Times New Roman" w:cs="Times New Roman"/>
          <w:lang w:val="fr-FR"/>
        </w:rPr>
        <w:t>’</w:t>
      </w:r>
      <w:r w:rsidRPr="00AF0E1F">
        <w:rPr>
          <w:rFonts w:ascii="Times New Roman" w:eastAsia="MS Mincho" w:hAnsi="Times New Roman" w:cs="Times New Roman"/>
          <w:lang w:val="fr-FR"/>
        </w:rPr>
        <w:t>auraient pas dû lui être infligées.</w:t>
      </w:r>
    </w:p>
    <w:p w:rsidR="00AF131B" w:rsidRDefault="00532C79" w:rsidP="007B50AC">
      <w:pPr>
        <w:pStyle w:val="ECHRPara"/>
        <w:rPr>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73</w:t>
      </w:r>
      <w:r>
        <w:rPr>
          <w:rFonts w:eastAsia="MS Mincho"/>
          <w:lang w:val="fr-FR"/>
        </w:rPr>
        <w:fldChar w:fldCharType="end"/>
      </w:r>
      <w:r>
        <w:rPr>
          <w:rFonts w:eastAsia="MS Mincho"/>
          <w:lang w:val="fr-FR"/>
        </w:rPr>
        <w:t>.  </w:t>
      </w:r>
      <w:r w:rsidR="00362ED3">
        <w:rPr>
          <w:rFonts w:eastAsia="MS Mincho"/>
          <w:lang w:val="fr-FR"/>
        </w:rPr>
        <w:t>En dernier lieu</w:t>
      </w:r>
      <w:r w:rsidR="009A0B2E" w:rsidRPr="002C5351">
        <w:rPr>
          <w:rFonts w:eastAsia="MS Mincho"/>
          <w:lang w:val="fr-FR"/>
        </w:rPr>
        <w:t xml:space="preserve">, la Cour </w:t>
      </w:r>
      <w:r w:rsidR="00680E73">
        <w:rPr>
          <w:rFonts w:eastAsia="MS Mincho"/>
          <w:lang w:val="fr-FR"/>
        </w:rPr>
        <w:t>relève</w:t>
      </w:r>
      <w:r w:rsidR="009A0B2E" w:rsidRPr="002C5351">
        <w:rPr>
          <w:rFonts w:eastAsia="MS Mincho"/>
          <w:lang w:val="fr-FR"/>
        </w:rPr>
        <w:t xml:space="preserve"> que dans son arrêt </w:t>
      </w:r>
      <w:r w:rsidR="009A0B2E" w:rsidRPr="002C5351">
        <w:rPr>
          <w:rFonts w:eastAsia="MS Mincho"/>
          <w:i/>
          <w:lang w:val="fr-FR"/>
        </w:rPr>
        <w:t>Hans Åkerberg Fransson</w:t>
      </w:r>
      <w:r w:rsidR="009A0B2E" w:rsidRPr="002C5351">
        <w:rPr>
          <w:rFonts w:eastAsia="MS Mincho"/>
          <w:lang w:val="fr-FR"/>
        </w:rPr>
        <w:t>, précité et mentionné par le Gouvernement dans ses observations, la Cour de justice de l</w:t>
      </w:r>
      <w:r w:rsidR="003C2190">
        <w:rPr>
          <w:rFonts w:eastAsia="MS Mincho"/>
          <w:lang w:val="fr-FR"/>
        </w:rPr>
        <w:t>’</w:t>
      </w:r>
      <w:r w:rsidR="009A0B2E" w:rsidRPr="002C5351">
        <w:rPr>
          <w:rFonts w:eastAsia="MS Mincho"/>
          <w:lang w:val="fr-FR"/>
        </w:rPr>
        <w:t>Union Européenne a précisé qu</w:t>
      </w:r>
      <w:r w:rsidR="003C2190">
        <w:rPr>
          <w:rFonts w:eastAsia="MS Mincho"/>
          <w:lang w:val="fr-FR"/>
        </w:rPr>
        <w:t>’</w:t>
      </w:r>
      <w:r w:rsidR="009A0B2E" w:rsidRPr="002C5351">
        <w:rPr>
          <w:rFonts w:eastAsia="MS Mincho"/>
          <w:lang w:val="fr-FR"/>
        </w:rPr>
        <w:t xml:space="preserve">en vertu du principe </w:t>
      </w:r>
      <w:r w:rsidR="009A0B2E" w:rsidRPr="002C5351">
        <w:rPr>
          <w:rFonts w:eastAsia="MS Mincho"/>
          <w:i/>
          <w:lang w:val="fr-FR"/>
        </w:rPr>
        <w:t>ne bis in idem</w:t>
      </w:r>
      <w:r w:rsidR="009A0B2E" w:rsidRPr="002C5351">
        <w:rPr>
          <w:rFonts w:eastAsia="MS Mincho"/>
          <w:lang w:val="fr-FR"/>
        </w:rPr>
        <w:t>, un État ne peut imposer une double sanction (fiscale et pénale) pour les mêmes faits qu</w:t>
      </w:r>
      <w:r w:rsidR="003C2190">
        <w:rPr>
          <w:rFonts w:eastAsia="MS Mincho"/>
          <w:lang w:val="fr-FR"/>
        </w:rPr>
        <w:t>’</w:t>
      </w:r>
      <w:r w:rsidR="009A0B2E" w:rsidRPr="002C5351">
        <w:rPr>
          <w:rFonts w:eastAsia="MS Mincho"/>
          <w:lang w:val="fr-FR"/>
        </w:rPr>
        <w:t>à la condition que la première sanction ne revête pas un caractère pénal. La Cour note sur ce point que lors de l</w:t>
      </w:r>
      <w:r w:rsidR="003C2190">
        <w:rPr>
          <w:rFonts w:eastAsia="MS Mincho"/>
          <w:lang w:val="fr-FR"/>
        </w:rPr>
        <w:t>’</w:t>
      </w:r>
      <w:r w:rsidR="009A0B2E" w:rsidRPr="002C5351">
        <w:rPr>
          <w:rFonts w:eastAsia="MS Mincho"/>
          <w:lang w:val="fr-FR"/>
        </w:rPr>
        <w:t xml:space="preserve">appréciation </w:t>
      </w:r>
      <w:r w:rsidR="009A0B2E" w:rsidRPr="00AF131B">
        <w:rPr>
          <w:lang w:val="fr-FR"/>
        </w:rPr>
        <w:t>de la nature pénale d</w:t>
      </w:r>
      <w:r w:rsidR="003C2190">
        <w:rPr>
          <w:lang w:val="fr-FR"/>
        </w:rPr>
        <w:t>’</w:t>
      </w:r>
      <w:r w:rsidR="009A0B2E" w:rsidRPr="00AF131B">
        <w:rPr>
          <w:lang w:val="fr-FR"/>
        </w:rPr>
        <w:t>une sanction fiscale, la CJUE se fonde sur les trois critères employés par la Cour dans l</w:t>
      </w:r>
      <w:r w:rsidR="003C2190">
        <w:rPr>
          <w:lang w:val="fr-FR"/>
        </w:rPr>
        <w:t>’</w:t>
      </w:r>
      <w:r w:rsidR="009A0B2E" w:rsidRPr="00AF131B">
        <w:rPr>
          <w:lang w:val="fr-FR"/>
        </w:rPr>
        <w:t xml:space="preserve">arrêt </w:t>
      </w:r>
      <w:r w:rsidR="009A0B2E" w:rsidRPr="002C5351">
        <w:rPr>
          <w:rFonts w:eastAsia="MS Mincho"/>
          <w:i/>
          <w:lang w:val="fr-FR"/>
        </w:rPr>
        <w:t xml:space="preserve">Engel et autres </w:t>
      </w:r>
      <w:r w:rsidR="009A0B2E" w:rsidRPr="002C5351">
        <w:rPr>
          <w:rFonts w:eastAsia="MS Mincho"/>
          <w:lang w:val="fr-FR"/>
        </w:rPr>
        <w:t xml:space="preserve">(voir paragraphes </w:t>
      </w:r>
      <w:r w:rsidR="00E56E0D">
        <w:rPr>
          <w:rFonts w:eastAsia="MS Mincho"/>
          <w:lang w:val="fr-FR"/>
        </w:rPr>
        <w:t>47</w:t>
      </w:r>
      <w:r w:rsidR="009A0B2E" w:rsidRPr="002C5351">
        <w:rPr>
          <w:rFonts w:eastAsia="MS Mincho"/>
          <w:lang w:val="fr-FR"/>
        </w:rPr>
        <w:t xml:space="preserve"> et </w:t>
      </w:r>
      <w:r w:rsidR="00E56E0D">
        <w:rPr>
          <w:rFonts w:eastAsia="MS Mincho"/>
          <w:lang w:val="fr-FR"/>
        </w:rPr>
        <w:t>52</w:t>
      </w:r>
      <w:r w:rsidR="009A0B2E" w:rsidRPr="002C5351">
        <w:rPr>
          <w:rFonts w:eastAsia="MS Mincho"/>
          <w:lang w:val="fr-FR"/>
        </w:rPr>
        <w:t xml:space="preserve"> ci-dessus). Par conséquent, la Cour relève une convergence des deux juridictions sur l</w:t>
      </w:r>
      <w:r w:rsidR="003C2190">
        <w:rPr>
          <w:rFonts w:eastAsia="MS Mincho"/>
          <w:lang w:val="fr-FR"/>
        </w:rPr>
        <w:t>’</w:t>
      </w:r>
      <w:r w:rsidR="009A0B2E" w:rsidRPr="002C5351">
        <w:rPr>
          <w:rFonts w:eastAsia="MS Mincho"/>
          <w:lang w:val="fr-FR"/>
        </w:rPr>
        <w:t xml:space="preserve">appréciation du caractère pénal </w:t>
      </w:r>
      <w:r w:rsidR="009A0B2E" w:rsidRPr="000D3564">
        <w:rPr>
          <w:lang w:val="fr-FR"/>
        </w:rPr>
        <w:t>d</w:t>
      </w:r>
      <w:r w:rsidR="003C2190">
        <w:rPr>
          <w:lang w:val="fr-FR"/>
        </w:rPr>
        <w:t>’</w:t>
      </w:r>
      <w:r w:rsidR="009A0B2E" w:rsidRPr="000D3564">
        <w:rPr>
          <w:lang w:val="fr-FR"/>
        </w:rPr>
        <w:t>une procédure fiscale et a fortiori, sur les modalités d</w:t>
      </w:r>
      <w:r w:rsidR="003C2190">
        <w:rPr>
          <w:lang w:val="fr-FR"/>
        </w:rPr>
        <w:t>’</w:t>
      </w:r>
      <w:r w:rsidR="009A0B2E" w:rsidRPr="000D3564">
        <w:rPr>
          <w:lang w:val="fr-FR"/>
        </w:rPr>
        <w:t>application du principe ne bis in idem en matières fiscale et pénale (voir, en ce sens, Grande Stevens et autres, précité, § 229).</w:t>
      </w:r>
    </w:p>
    <w:p w:rsidR="00FE51E7" w:rsidRPr="00AF131B" w:rsidRDefault="00FE51E7" w:rsidP="00FE51E7">
      <w:pPr>
        <w:pStyle w:val="ECHRHeading5"/>
        <w:rPr>
          <w:lang w:val="fr-FR"/>
        </w:rPr>
      </w:pPr>
      <w:r>
        <w:rPr>
          <w:lang w:val="fr-FR"/>
        </w:rPr>
        <w:t>iii.  Conclusion</w:t>
      </w:r>
    </w:p>
    <w:p w:rsidR="00AF131B" w:rsidRDefault="009A0B2E" w:rsidP="003B70FD">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74</w:t>
      </w:r>
      <w:r>
        <w:rPr>
          <w:rFonts w:eastAsia="MS Mincho"/>
          <w:lang w:val="fr-FR"/>
        </w:rPr>
        <w:fldChar w:fldCharType="end"/>
      </w:r>
      <w:r>
        <w:rPr>
          <w:rFonts w:eastAsia="MS Mincho"/>
          <w:lang w:val="fr-FR"/>
        </w:rPr>
        <w:t xml:space="preserve">.  Au vu de ce qui précède, la Cour considère que les procédures administratives </w:t>
      </w:r>
      <w:r w:rsidR="00AA65F8">
        <w:rPr>
          <w:rFonts w:eastAsia="MS Mincho"/>
          <w:lang w:val="fr-FR"/>
        </w:rPr>
        <w:t xml:space="preserve">en cause </w:t>
      </w:r>
      <w:r>
        <w:rPr>
          <w:rFonts w:eastAsia="MS Mincho"/>
          <w:lang w:val="fr-FR"/>
        </w:rPr>
        <w:t xml:space="preserve">concernaient une seconde « infraction » ayant pour origine des faits identiques à ceux </w:t>
      </w:r>
      <w:r w:rsidR="00A104F0">
        <w:rPr>
          <w:rFonts w:eastAsia="MS Mincho"/>
          <w:lang w:val="fr-FR"/>
        </w:rPr>
        <w:t>ayant</w:t>
      </w:r>
      <w:r>
        <w:rPr>
          <w:rFonts w:eastAsia="MS Mincho"/>
          <w:lang w:val="fr-FR"/>
        </w:rPr>
        <w:t xml:space="preserve"> fait l</w:t>
      </w:r>
      <w:r w:rsidR="003C2190">
        <w:rPr>
          <w:rFonts w:eastAsia="MS Mincho"/>
          <w:lang w:val="fr-FR"/>
        </w:rPr>
        <w:t>’</w:t>
      </w:r>
      <w:r>
        <w:rPr>
          <w:rFonts w:eastAsia="MS Mincho"/>
          <w:lang w:val="fr-FR"/>
        </w:rPr>
        <w:t>objet des premiers acquittements devenus irrévocables.</w:t>
      </w:r>
    </w:p>
    <w:bookmarkStart w:id="11" w:name="constviol4prot7"/>
    <w:p w:rsidR="009A0B2E" w:rsidRDefault="009A0B2E" w:rsidP="003B70FD">
      <w:pPr>
        <w:pStyle w:val="ECHRPara"/>
        <w:rPr>
          <w:rFonts w:eastAsia="MS Mincho"/>
          <w:lang w:val="fr-FR"/>
        </w:rPr>
      </w:pPr>
      <w:r>
        <w:fldChar w:fldCharType="begin"/>
      </w:r>
      <w:r>
        <w:rPr>
          <w:rFonts w:eastAsia="MS Mincho"/>
          <w:lang w:val="fr-FR"/>
        </w:rPr>
        <w:instrText xml:space="preserve"> SEQ level0 \*arabic </w:instrText>
      </w:r>
      <w:r>
        <w:fldChar w:fldCharType="separate"/>
      </w:r>
      <w:r w:rsidR="00BD469E">
        <w:rPr>
          <w:rFonts w:eastAsia="MS Mincho"/>
          <w:noProof/>
          <w:lang w:val="fr-FR"/>
        </w:rPr>
        <w:t>75</w:t>
      </w:r>
      <w:r>
        <w:fldChar w:fldCharType="end"/>
      </w:r>
      <w:bookmarkEnd w:id="11"/>
      <w:r>
        <w:rPr>
          <w:rFonts w:eastAsia="MS Mincho"/>
          <w:lang w:val="fr-FR"/>
        </w:rPr>
        <w:t>.  Ce constat suffit pour conclure à la violation de l</w:t>
      </w:r>
      <w:r w:rsidR="003C2190">
        <w:rPr>
          <w:rFonts w:eastAsia="MS Mincho"/>
          <w:lang w:val="fr-FR"/>
        </w:rPr>
        <w:t>’</w:t>
      </w:r>
      <w:r>
        <w:rPr>
          <w:rFonts w:eastAsia="MS Mincho"/>
          <w:lang w:val="fr-FR"/>
        </w:rPr>
        <w:t>article 4 du Protocole n</w:t>
      </w:r>
      <w:r>
        <w:rPr>
          <w:rFonts w:eastAsia="MS Mincho"/>
          <w:vertAlign w:val="superscript"/>
          <w:lang w:val="fr-FR"/>
        </w:rPr>
        <w:t>o</w:t>
      </w:r>
      <w:r>
        <w:rPr>
          <w:rFonts w:eastAsia="MS Mincho"/>
          <w:lang w:val="fr-FR"/>
        </w:rPr>
        <w:t xml:space="preserve"> 7.</w:t>
      </w:r>
    </w:p>
    <w:p w:rsidR="009A0B2E" w:rsidRDefault="009A0B2E" w:rsidP="00BB6A94">
      <w:pPr>
        <w:pStyle w:val="ECHRHeading2"/>
        <w:rPr>
          <w:rFonts w:eastAsia="MS Gothic"/>
          <w:lang w:val="fr-FR"/>
        </w:rPr>
      </w:pPr>
      <w:r>
        <w:rPr>
          <w:rFonts w:eastAsia="MS Gothic"/>
          <w:lang w:val="fr-FR"/>
        </w:rPr>
        <w:t>B.  Sur la violation alléguée de l</w:t>
      </w:r>
      <w:r w:rsidR="003C2190">
        <w:rPr>
          <w:rFonts w:eastAsia="MS Gothic"/>
          <w:lang w:val="fr-FR"/>
        </w:rPr>
        <w:t>’</w:t>
      </w:r>
      <w:r>
        <w:rPr>
          <w:rFonts w:eastAsia="MS Gothic"/>
          <w:lang w:val="fr-FR"/>
        </w:rPr>
        <w:t>article 6 § 2</w:t>
      </w:r>
    </w:p>
    <w:p w:rsidR="009A0B2E" w:rsidRDefault="009A0B2E" w:rsidP="00BB6A94">
      <w:pPr>
        <w:pStyle w:val="ECHRHeading3"/>
        <w:rPr>
          <w:rFonts w:eastAsia="MS Gothic"/>
          <w:lang w:val="fr-FR"/>
        </w:rPr>
      </w:pPr>
      <w:r>
        <w:rPr>
          <w:rFonts w:eastAsia="MS Gothic"/>
          <w:lang w:val="fr-FR"/>
        </w:rPr>
        <w:t>1.  Sur la recevabilité</w:t>
      </w:r>
    </w:p>
    <w:p w:rsidR="009A0B2E" w:rsidRDefault="009A0B2E" w:rsidP="00BB6A94">
      <w:pPr>
        <w:pStyle w:val="ECHRHeading4"/>
        <w:rPr>
          <w:rFonts w:eastAsia="MS Gothic"/>
          <w:lang w:val="fr-FR"/>
        </w:rPr>
      </w:pPr>
      <w:r>
        <w:rPr>
          <w:rFonts w:eastAsia="MS Gothic"/>
          <w:lang w:val="fr-FR"/>
        </w:rPr>
        <w:t>a)  Les thèses des parties</w:t>
      </w:r>
    </w:p>
    <w:p w:rsidR="00AF131B" w:rsidRDefault="009A0B2E" w:rsidP="009A0B2E">
      <w:pPr>
        <w:pStyle w:val="ECHRPara"/>
        <w:rPr>
          <w:rFonts w:eastAsia="MS Gothic"/>
          <w:lang w:val="fr-FR"/>
        </w:rPr>
      </w:pPr>
      <w:r>
        <w:rPr>
          <w:rFonts w:eastAsia="MS Gothic"/>
          <w:lang w:val="fr-FR"/>
        </w:rPr>
        <w:fldChar w:fldCharType="begin"/>
      </w:r>
      <w:r>
        <w:rPr>
          <w:rFonts w:eastAsia="MS Gothic"/>
          <w:lang w:val="fr-FR"/>
        </w:rPr>
        <w:instrText xml:space="preserve"> SEQ level0 \*arabic </w:instrText>
      </w:r>
      <w:r>
        <w:rPr>
          <w:rFonts w:eastAsia="MS Gothic"/>
          <w:lang w:val="fr-FR"/>
        </w:rPr>
        <w:fldChar w:fldCharType="separate"/>
      </w:r>
      <w:r w:rsidR="00BD469E">
        <w:rPr>
          <w:rFonts w:eastAsia="MS Gothic"/>
          <w:noProof/>
          <w:lang w:val="fr-FR"/>
        </w:rPr>
        <w:t>76</w:t>
      </w:r>
      <w:r>
        <w:rPr>
          <w:rFonts w:eastAsia="MS Gothic"/>
          <w:lang w:val="fr-FR"/>
        </w:rPr>
        <w:fldChar w:fldCharType="end"/>
      </w:r>
      <w:r>
        <w:rPr>
          <w:rFonts w:eastAsia="MS Gothic"/>
          <w:lang w:val="fr-FR"/>
        </w:rPr>
        <w:t>.  En ce qui concerne l</w:t>
      </w:r>
      <w:r w:rsidR="003C2190">
        <w:rPr>
          <w:rFonts w:eastAsia="MS Gothic"/>
          <w:lang w:val="fr-FR"/>
        </w:rPr>
        <w:t>’</w:t>
      </w:r>
      <w:r>
        <w:rPr>
          <w:rFonts w:eastAsia="MS Gothic"/>
          <w:lang w:val="fr-FR"/>
        </w:rPr>
        <w:t>applicabilité de l</w:t>
      </w:r>
      <w:r w:rsidR="003C2190">
        <w:rPr>
          <w:rFonts w:eastAsia="MS Gothic"/>
          <w:lang w:val="fr-FR"/>
        </w:rPr>
        <w:t>’</w:t>
      </w:r>
      <w:r>
        <w:rPr>
          <w:rFonts w:eastAsia="MS Gothic"/>
          <w:lang w:val="fr-FR"/>
        </w:rPr>
        <w:t>article 6 § 2, le Gouvernement réitère son argument à savoir que la procédure devant les juridictions administratives ne concernait pas une accusation en matière pénale, au sens de l</w:t>
      </w:r>
      <w:r w:rsidR="003C2190">
        <w:rPr>
          <w:rFonts w:eastAsia="MS Gothic"/>
          <w:lang w:val="fr-FR"/>
        </w:rPr>
        <w:t>’</w:t>
      </w:r>
      <w:r>
        <w:rPr>
          <w:rFonts w:eastAsia="MS Gothic"/>
          <w:lang w:val="fr-FR"/>
        </w:rPr>
        <w:t>article 6 de la Convention.</w:t>
      </w:r>
    </w:p>
    <w:p w:rsidR="00AF131B" w:rsidRDefault="009A0B2E" w:rsidP="009A0B2E">
      <w:pPr>
        <w:pStyle w:val="ECHRPara"/>
        <w:rPr>
          <w:rFonts w:eastAsia="MS Gothic"/>
          <w:lang w:val="fr-FR"/>
        </w:rPr>
      </w:pPr>
      <w:r>
        <w:rPr>
          <w:rFonts w:eastAsia="MS Gothic"/>
          <w:lang w:val="fr-FR"/>
        </w:rPr>
        <w:fldChar w:fldCharType="begin"/>
      </w:r>
      <w:r>
        <w:rPr>
          <w:rFonts w:eastAsia="MS Gothic"/>
          <w:lang w:val="fr-FR"/>
        </w:rPr>
        <w:instrText xml:space="preserve"> SEQ level0 \*arabic </w:instrText>
      </w:r>
      <w:r>
        <w:rPr>
          <w:rFonts w:eastAsia="MS Gothic"/>
          <w:lang w:val="fr-FR"/>
        </w:rPr>
        <w:fldChar w:fldCharType="separate"/>
      </w:r>
      <w:r w:rsidR="00BD469E">
        <w:rPr>
          <w:rFonts w:eastAsia="MS Gothic"/>
          <w:noProof/>
          <w:lang w:val="fr-FR"/>
        </w:rPr>
        <w:t>77</w:t>
      </w:r>
      <w:r>
        <w:rPr>
          <w:rFonts w:eastAsia="MS Gothic"/>
          <w:lang w:val="fr-FR"/>
        </w:rPr>
        <w:fldChar w:fldCharType="end"/>
      </w:r>
      <w:r>
        <w:rPr>
          <w:rFonts w:eastAsia="MS Gothic"/>
          <w:lang w:val="fr-FR"/>
        </w:rPr>
        <w:t>.  Les requérants rétorquent qu</w:t>
      </w:r>
      <w:r w:rsidR="003C2190">
        <w:rPr>
          <w:rFonts w:eastAsia="MS Gothic"/>
          <w:lang w:val="fr-FR"/>
        </w:rPr>
        <w:t>’</w:t>
      </w:r>
      <w:r>
        <w:rPr>
          <w:rFonts w:eastAsia="MS Gothic"/>
          <w:lang w:val="fr-FR"/>
        </w:rPr>
        <w:t>ils étaient « accusés d</w:t>
      </w:r>
      <w:r w:rsidR="003C2190">
        <w:rPr>
          <w:rFonts w:eastAsia="MS Gothic"/>
          <w:lang w:val="fr-FR"/>
        </w:rPr>
        <w:t>’</w:t>
      </w:r>
      <w:r>
        <w:rPr>
          <w:rFonts w:eastAsia="MS Gothic"/>
          <w:lang w:val="fr-FR"/>
        </w:rPr>
        <w:t>une infraction » devant les juridictions administratives et, partant, le principe de la présomption d</w:t>
      </w:r>
      <w:r w:rsidR="003C2190">
        <w:rPr>
          <w:rFonts w:eastAsia="MS Gothic"/>
          <w:lang w:val="fr-FR"/>
        </w:rPr>
        <w:t>’</w:t>
      </w:r>
      <w:r>
        <w:rPr>
          <w:rFonts w:eastAsia="MS Gothic"/>
          <w:lang w:val="fr-FR"/>
        </w:rPr>
        <w:t>innocence entre automatiquement en jeu en l</w:t>
      </w:r>
      <w:r w:rsidR="003C2190">
        <w:rPr>
          <w:rFonts w:eastAsia="MS Gothic"/>
          <w:lang w:val="fr-FR"/>
        </w:rPr>
        <w:t>’</w:t>
      </w:r>
      <w:r>
        <w:rPr>
          <w:rFonts w:eastAsia="MS Gothic"/>
          <w:lang w:val="fr-FR"/>
        </w:rPr>
        <w:t>espèce.</w:t>
      </w:r>
    </w:p>
    <w:p w:rsidR="009A0B2E" w:rsidRDefault="009A0B2E" w:rsidP="009A0B2E">
      <w:pPr>
        <w:pStyle w:val="ECHRHeading4"/>
        <w:rPr>
          <w:rFonts w:eastAsia="MS Gothic"/>
          <w:lang w:val="fr-FR"/>
        </w:rPr>
      </w:pPr>
      <w:r>
        <w:rPr>
          <w:rFonts w:eastAsia="MS Gothic"/>
          <w:lang w:val="fr-FR"/>
        </w:rPr>
        <w:t>b)  L</w:t>
      </w:r>
      <w:r w:rsidR="003C2190">
        <w:rPr>
          <w:rFonts w:eastAsia="MS Gothic"/>
          <w:lang w:val="fr-FR"/>
        </w:rPr>
        <w:t>’</w:t>
      </w:r>
      <w:r>
        <w:rPr>
          <w:rFonts w:eastAsia="MS Gothic"/>
          <w:lang w:val="fr-FR"/>
        </w:rPr>
        <w:t>appréciation de la Cour</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78</w:t>
      </w:r>
      <w:r>
        <w:rPr>
          <w:rFonts w:eastAsia="MS Mincho"/>
          <w:lang w:val="fr-FR"/>
        </w:rPr>
        <w:fldChar w:fldCharType="end"/>
      </w:r>
      <w:r>
        <w:rPr>
          <w:rFonts w:eastAsia="MS Mincho"/>
          <w:lang w:val="fr-FR"/>
        </w:rPr>
        <w:t>.  Comme l</w:t>
      </w:r>
      <w:r w:rsidR="003C2190">
        <w:rPr>
          <w:rFonts w:eastAsia="MS Mincho"/>
          <w:lang w:val="fr-FR"/>
        </w:rPr>
        <w:t>’</w:t>
      </w:r>
      <w:r>
        <w:rPr>
          <w:rFonts w:eastAsia="MS Mincho"/>
          <w:lang w:val="fr-FR"/>
        </w:rPr>
        <w:t>indique expressément son libellé même, l</w:t>
      </w:r>
      <w:r w:rsidR="003C2190">
        <w:rPr>
          <w:rFonts w:eastAsia="MS Mincho"/>
          <w:lang w:val="fr-FR"/>
        </w:rPr>
        <w:t>’</w:t>
      </w:r>
      <w:r>
        <w:rPr>
          <w:rFonts w:eastAsia="MS Mincho"/>
          <w:lang w:val="fr-FR"/>
        </w:rPr>
        <w:t>article 6 § 2 s</w:t>
      </w:r>
      <w:r w:rsidR="003C2190">
        <w:rPr>
          <w:rFonts w:eastAsia="MS Mincho"/>
          <w:lang w:val="fr-FR"/>
        </w:rPr>
        <w:t>’</w:t>
      </w:r>
      <w:r>
        <w:rPr>
          <w:rFonts w:eastAsia="MS Mincho"/>
          <w:lang w:val="fr-FR"/>
        </w:rPr>
        <w:t>applique lorsqu</w:t>
      </w:r>
      <w:r w:rsidR="003C2190">
        <w:rPr>
          <w:rFonts w:eastAsia="MS Mincho"/>
          <w:lang w:val="fr-FR"/>
        </w:rPr>
        <w:t>’</w:t>
      </w:r>
      <w:r>
        <w:rPr>
          <w:rFonts w:eastAsia="MS Mincho"/>
          <w:lang w:val="fr-FR"/>
        </w:rPr>
        <w:t>une personne est « accusée d</w:t>
      </w:r>
      <w:r w:rsidR="003C2190">
        <w:rPr>
          <w:rFonts w:eastAsia="MS Mincho"/>
          <w:lang w:val="fr-FR"/>
        </w:rPr>
        <w:t>’</w:t>
      </w:r>
      <w:r>
        <w:rPr>
          <w:rFonts w:eastAsia="MS Mincho"/>
          <w:lang w:val="fr-FR"/>
        </w:rPr>
        <w:t xml:space="preserve">une infraction ». La Cour renvoie à son analyse ci-dessus sur les critères employés pour déterminer si </w:t>
      </w:r>
      <w:r>
        <w:rPr>
          <w:rFonts w:eastAsia="MS Mincho"/>
          <w:lang w:val="fr-FR"/>
        </w:rPr>
        <w:lastRenderedPageBreak/>
        <w:t>la procédure litigieuse portait sur le bien-fondé d</w:t>
      </w:r>
      <w:r w:rsidR="003C2190">
        <w:rPr>
          <w:rFonts w:eastAsia="MS Mincho"/>
          <w:lang w:val="fr-FR"/>
        </w:rPr>
        <w:t>’</w:t>
      </w:r>
      <w:r>
        <w:rPr>
          <w:rFonts w:eastAsia="MS Mincho"/>
          <w:lang w:val="fr-FR"/>
        </w:rPr>
        <w:t xml:space="preserve">une accusation en matière pénale, au sens de la jurisprudence de la Cour (voir paragraphe </w:t>
      </w:r>
      <w:r w:rsidR="001D1C62">
        <w:rPr>
          <w:rFonts w:eastAsia="MS Mincho"/>
          <w:lang w:val="fr-FR"/>
        </w:rPr>
        <w:t>51</w:t>
      </w:r>
      <w:r>
        <w:rPr>
          <w:rFonts w:eastAsia="MS Mincho"/>
          <w:lang w:val="fr-FR"/>
        </w:rPr>
        <w:t xml:space="preserve"> ci-dessus).</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79</w:t>
      </w:r>
      <w:r>
        <w:rPr>
          <w:rFonts w:eastAsia="MS Mincho"/>
          <w:lang w:val="fr-FR"/>
        </w:rPr>
        <w:fldChar w:fldCharType="end"/>
      </w:r>
      <w:r>
        <w:rPr>
          <w:rFonts w:eastAsia="MS Mincho"/>
          <w:lang w:val="fr-FR"/>
        </w:rPr>
        <w:t>.  En l</w:t>
      </w:r>
      <w:r w:rsidR="003C2190">
        <w:rPr>
          <w:rFonts w:eastAsia="MS Mincho"/>
          <w:lang w:val="fr-FR"/>
        </w:rPr>
        <w:t>’</w:t>
      </w:r>
      <w:r>
        <w:rPr>
          <w:rFonts w:eastAsia="MS Mincho"/>
          <w:lang w:val="fr-FR"/>
        </w:rPr>
        <w:t>occurrence, la Cour a déjà considéré, dans le cadre de l</w:t>
      </w:r>
      <w:r w:rsidR="003C2190">
        <w:rPr>
          <w:rFonts w:eastAsia="MS Mincho"/>
          <w:lang w:val="fr-FR"/>
        </w:rPr>
        <w:t>’</w:t>
      </w:r>
      <w:r>
        <w:rPr>
          <w:rFonts w:eastAsia="MS Mincho"/>
          <w:lang w:val="fr-FR"/>
        </w:rPr>
        <w:t>examen du grief tiré de l</w:t>
      </w:r>
      <w:r w:rsidR="003C2190">
        <w:rPr>
          <w:rFonts w:eastAsia="MS Mincho"/>
          <w:lang w:val="fr-FR"/>
        </w:rPr>
        <w:t>’</w:t>
      </w:r>
      <w:r>
        <w:rPr>
          <w:rFonts w:eastAsia="MS Mincho"/>
          <w:lang w:val="fr-FR"/>
        </w:rPr>
        <w:t>article 4 du Protocole n</w:t>
      </w:r>
      <w:r w:rsidR="007E7B24" w:rsidRPr="007E7B24">
        <w:rPr>
          <w:rFonts w:eastAsia="MS Mincho"/>
          <w:vertAlign w:val="superscript"/>
          <w:lang w:val="fr-FR"/>
        </w:rPr>
        <w:t>o</w:t>
      </w:r>
      <w:r>
        <w:rPr>
          <w:rFonts w:eastAsia="MS Mincho"/>
          <w:lang w:val="fr-FR"/>
        </w:rPr>
        <w:t xml:space="preserve"> 7, que les procédures administratives consécutives à la clôture des procédures pénales en cause ont donné lieu à de nouvelles accusations en matière pénale. Il s</w:t>
      </w:r>
      <w:r w:rsidR="003C2190">
        <w:rPr>
          <w:rFonts w:eastAsia="MS Mincho"/>
          <w:lang w:val="fr-FR"/>
        </w:rPr>
        <w:t>’</w:t>
      </w:r>
      <w:r>
        <w:rPr>
          <w:rFonts w:eastAsia="MS Mincho"/>
          <w:lang w:val="fr-FR"/>
        </w:rPr>
        <w:t>ensuit que l</w:t>
      </w:r>
      <w:r w:rsidR="003C2190">
        <w:rPr>
          <w:rFonts w:eastAsia="MS Mincho"/>
          <w:lang w:val="fr-FR"/>
        </w:rPr>
        <w:t>’</w:t>
      </w:r>
      <w:r>
        <w:rPr>
          <w:rFonts w:eastAsia="MS Mincho"/>
          <w:lang w:val="fr-FR"/>
        </w:rPr>
        <w:t>article 6 § 2 trouve à s</w:t>
      </w:r>
      <w:r w:rsidR="003C2190">
        <w:rPr>
          <w:rFonts w:eastAsia="MS Mincho"/>
          <w:lang w:val="fr-FR"/>
        </w:rPr>
        <w:t>’</w:t>
      </w:r>
      <w:r>
        <w:rPr>
          <w:rFonts w:eastAsia="MS Mincho"/>
          <w:lang w:val="fr-FR"/>
        </w:rPr>
        <w:t xml:space="preserve">appliquer dans les procédures administratives en cause. Par ailleurs, la Cour constate que </w:t>
      </w:r>
      <w:r>
        <w:rPr>
          <w:rFonts w:eastAsia="MS Mincho"/>
          <w:lang w:val="fr-FR" w:eastAsia="fr-FR"/>
        </w:rPr>
        <w:t xml:space="preserve">le présent grief </w:t>
      </w:r>
      <w:r>
        <w:rPr>
          <w:rFonts w:eastAsia="MS Mincho"/>
          <w:lang w:val="fr-FR"/>
        </w:rPr>
        <w:t>n</w:t>
      </w:r>
      <w:r w:rsidR="003C2190">
        <w:rPr>
          <w:rFonts w:eastAsia="MS Mincho"/>
          <w:lang w:val="fr-FR"/>
        </w:rPr>
        <w:t>’</w:t>
      </w:r>
      <w:r>
        <w:rPr>
          <w:rFonts w:eastAsia="MS Mincho"/>
          <w:lang w:val="fr-FR"/>
        </w:rPr>
        <w:t>est pas manifestement mal fondé au sens de l</w:t>
      </w:r>
      <w:r w:rsidR="003C2190">
        <w:rPr>
          <w:rFonts w:eastAsia="MS Mincho"/>
          <w:lang w:val="fr-FR"/>
        </w:rPr>
        <w:t>’</w:t>
      </w:r>
      <w:r>
        <w:rPr>
          <w:rFonts w:eastAsia="MS Mincho"/>
          <w:lang w:val="fr-FR"/>
        </w:rPr>
        <w:t>article 35 § 3 a) de la Convention. Elle relève par ailleurs qu</w:t>
      </w:r>
      <w:r w:rsidR="003C2190">
        <w:rPr>
          <w:rFonts w:eastAsia="MS Mincho"/>
          <w:lang w:val="fr-FR"/>
        </w:rPr>
        <w:t>’</w:t>
      </w:r>
      <w:r>
        <w:rPr>
          <w:rFonts w:eastAsia="MS Mincho"/>
          <w:lang w:val="fr-FR"/>
        </w:rPr>
        <w:t>il ne se heurte à aucun autre motif d</w:t>
      </w:r>
      <w:r w:rsidR="003C2190">
        <w:rPr>
          <w:rFonts w:eastAsia="MS Mincho"/>
          <w:lang w:val="fr-FR"/>
        </w:rPr>
        <w:t>’</w:t>
      </w:r>
      <w:r>
        <w:rPr>
          <w:rFonts w:eastAsia="MS Mincho"/>
          <w:lang w:val="fr-FR"/>
        </w:rPr>
        <w:t>irrecevabilité. Il convient donc de le déclarer recevable.</w:t>
      </w:r>
    </w:p>
    <w:p w:rsidR="009A0B2E" w:rsidRDefault="009A0B2E" w:rsidP="009A0B2E">
      <w:pPr>
        <w:pStyle w:val="ECHRHeading3"/>
        <w:rPr>
          <w:rFonts w:eastAsia="MS Gothic"/>
          <w:lang w:val="fr-FR"/>
        </w:rPr>
      </w:pPr>
      <w:r>
        <w:rPr>
          <w:rFonts w:eastAsia="MS Gothic"/>
          <w:lang w:val="fr-FR"/>
        </w:rPr>
        <w:t>2.  Sur le fond</w:t>
      </w:r>
    </w:p>
    <w:p w:rsidR="009A0B2E" w:rsidRDefault="009A0B2E" w:rsidP="009A0B2E">
      <w:pPr>
        <w:pStyle w:val="ECHRHeading4"/>
        <w:rPr>
          <w:rFonts w:eastAsia="MS Gothic"/>
          <w:lang w:val="fr-FR"/>
        </w:rPr>
      </w:pPr>
      <w:r>
        <w:rPr>
          <w:rFonts w:eastAsia="MS Gothic"/>
          <w:lang w:val="fr-FR"/>
        </w:rPr>
        <w:t>a)  Les thèses des parties</w:t>
      </w:r>
    </w:p>
    <w:p w:rsidR="00AF131B" w:rsidRDefault="009A0B2E" w:rsidP="009A0B2E">
      <w:pPr>
        <w:pStyle w:val="ECHRPara"/>
        <w:rPr>
          <w:lang w:val="fr-FR"/>
        </w:rPr>
      </w:pPr>
      <w:r>
        <w:rPr>
          <w:lang w:val="fr-FR"/>
        </w:rPr>
        <w:fldChar w:fldCharType="begin"/>
      </w:r>
      <w:r>
        <w:rPr>
          <w:lang w:val="fr-FR"/>
        </w:rPr>
        <w:instrText xml:space="preserve"> SEQ level0 \*arabic </w:instrText>
      </w:r>
      <w:r>
        <w:rPr>
          <w:lang w:val="fr-FR"/>
        </w:rPr>
        <w:fldChar w:fldCharType="separate"/>
      </w:r>
      <w:r w:rsidR="00BD469E">
        <w:rPr>
          <w:noProof/>
          <w:lang w:val="fr-FR"/>
        </w:rPr>
        <w:t>80</w:t>
      </w:r>
      <w:r>
        <w:rPr>
          <w:lang w:val="fr-FR"/>
        </w:rPr>
        <w:fldChar w:fldCharType="end"/>
      </w:r>
      <w:r>
        <w:rPr>
          <w:lang w:val="fr-FR"/>
        </w:rPr>
        <w:t>.  Le Gouvernement allègue notamment que l</w:t>
      </w:r>
      <w:r w:rsidR="003C2190">
        <w:rPr>
          <w:lang w:val="fr-FR"/>
        </w:rPr>
        <w:t>’</w:t>
      </w:r>
      <w:r>
        <w:rPr>
          <w:lang w:val="fr-FR"/>
        </w:rPr>
        <w:t>article 6 § 2 n</w:t>
      </w:r>
      <w:r w:rsidR="003C2190">
        <w:rPr>
          <w:lang w:val="fr-FR"/>
        </w:rPr>
        <w:t>’</w:t>
      </w:r>
      <w:r>
        <w:rPr>
          <w:lang w:val="fr-FR"/>
        </w:rPr>
        <w:t>interdit pas la sanction de la même conduite sur la base de deux procédures judiciaires, une pénale et une administrative. En se référant notamment à la jurisprudence de la Cour relative au chevauchement d</w:t>
      </w:r>
      <w:r w:rsidR="003C2190">
        <w:rPr>
          <w:lang w:val="fr-FR"/>
        </w:rPr>
        <w:t>’</w:t>
      </w:r>
      <w:r>
        <w:rPr>
          <w:lang w:val="fr-FR"/>
        </w:rPr>
        <w:t>une procédure pénale et d</w:t>
      </w:r>
      <w:r w:rsidR="003C2190">
        <w:rPr>
          <w:lang w:val="fr-FR"/>
        </w:rPr>
        <w:t>’</w:t>
      </w:r>
      <w:r>
        <w:rPr>
          <w:lang w:val="fr-FR"/>
        </w:rPr>
        <w:t>une procédure disciplinaire dans le cadre de l</w:t>
      </w:r>
      <w:r w:rsidR="003C2190">
        <w:rPr>
          <w:lang w:val="fr-FR"/>
        </w:rPr>
        <w:t>’</w:t>
      </w:r>
      <w:r>
        <w:rPr>
          <w:lang w:val="fr-FR"/>
        </w:rPr>
        <w:t>article 6 § 2 (</w:t>
      </w:r>
      <w:r>
        <w:rPr>
          <w:i/>
          <w:lang w:val="fr-FR"/>
        </w:rPr>
        <w:t>Vanjak c. Croatie</w:t>
      </w:r>
      <w:r>
        <w:rPr>
          <w:lang w:val="fr-FR"/>
        </w:rPr>
        <w:t>, n</w:t>
      </w:r>
      <w:r>
        <w:rPr>
          <w:vertAlign w:val="superscript"/>
          <w:lang w:val="fr-FR"/>
        </w:rPr>
        <w:t>o</w:t>
      </w:r>
      <w:r>
        <w:rPr>
          <w:lang w:val="fr-FR"/>
        </w:rPr>
        <w:t xml:space="preserve"> 29889/04, 14 janvier 2010 ; </w:t>
      </w:r>
      <w:r>
        <w:rPr>
          <w:i/>
          <w:lang w:val="fr-FR"/>
        </w:rPr>
        <w:t>Hrdalo c. Croatie</w:t>
      </w:r>
      <w:r>
        <w:rPr>
          <w:lang w:val="fr-FR"/>
        </w:rPr>
        <w:t>, n</w:t>
      </w:r>
      <w:r>
        <w:rPr>
          <w:vertAlign w:val="superscript"/>
          <w:lang w:val="fr-FR"/>
        </w:rPr>
        <w:t>o</w:t>
      </w:r>
      <w:r>
        <w:rPr>
          <w:lang w:val="fr-FR"/>
        </w:rPr>
        <w:t xml:space="preserve"> 23272/07, 27 septembre 2011), il soutient que l</w:t>
      </w:r>
      <w:r w:rsidR="003C2190">
        <w:rPr>
          <w:lang w:val="fr-FR"/>
        </w:rPr>
        <w:t>’</w:t>
      </w:r>
      <w:r>
        <w:rPr>
          <w:lang w:val="fr-FR"/>
        </w:rPr>
        <w:t>élément prépondérant dans ces cas c</w:t>
      </w:r>
      <w:r w:rsidR="003C2190">
        <w:rPr>
          <w:lang w:val="fr-FR"/>
        </w:rPr>
        <w:t>’</w:t>
      </w:r>
      <w:r>
        <w:rPr>
          <w:lang w:val="fr-FR"/>
        </w:rPr>
        <w:t>est le choix des termes employés par les autorités compétentes qui pourraient enfreindre le principe de la présomption d</w:t>
      </w:r>
      <w:r w:rsidR="003C2190">
        <w:rPr>
          <w:lang w:val="fr-FR"/>
        </w:rPr>
        <w:t>’</w:t>
      </w:r>
      <w:r>
        <w:rPr>
          <w:lang w:val="fr-FR"/>
        </w:rPr>
        <w:t>innocence.</w:t>
      </w:r>
    </w:p>
    <w:p w:rsidR="00AF131B" w:rsidRDefault="009A0B2E" w:rsidP="009A0B2E">
      <w:pPr>
        <w:pStyle w:val="ECHRPara"/>
        <w:rPr>
          <w:lang w:val="fr-FR"/>
        </w:rPr>
      </w:pPr>
      <w:r>
        <w:rPr>
          <w:lang w:val="fr-FR"/>
        </w:rPr>
        <w:fldChar w:fldCharType="begin"/>
      </w:r>
      <w:r>
        <w:rPr>
          <w:lang w:val="fr-FR"/>
        </w:rPr>
        <w:instrText xml:space="preserve"> SEQ level0 \*arabic </w:instrText>
      </w:r>
      <w:r>
        <w:rPr>
          <w:lang w:val="fr-FR"/>
        </w:rPr>
        <w:fldChar w:fldCharType="separate"/>
      </w:r>
      <w:r w:rsidR="00BD469E">
        <w:rPr>
          <w:noProof/>
          <w:lang w:val="fr-FR"/>
        </w:rPr>
        <w:t>81</w:t>
      </w:r>
      <w:r>
        <w:rPr>
          <w:lang w:val="fr-FR"/>
        </w:rPr>
        <w:fldChar w:fldCharType="end"/>
      </w:r>
      <w:r>
        <w:rPr>
          <w:lang w:val="fr-FR"/>
        </w:rPr>
        <w:t>.  Les requérants soutiennent que les arrêts des juridictions administratives ayant confirmé les amendes administratives imposées en raison des infractions du Code des douanes en cause ont directement enfreint le principe de la présomption d</w:t>
      </w:r>
      <w:r w:rsidR="003C2190">
        <w:rPr>
          <w:lang w:val="fr-FR"/>
        </w:rPr>
        <w:t>’</w:t>
      </w:r>
      <w:r>
        <w:rPr>
          <w:lang w:val="fr-FR"/>
        </w:rPr>
        <w:t>innocence découlant des décisions des juridictions pénales n</w:t>
      </w:r>
      <w:r>
        <w:rPr>
          <w:vertAlign w:val="superscript"/>
          <w:lang w:val="fr-FR"/>
        </w:rPr>
        <w:t>os</w:t>
      </w:r>
      <w:r>
        <w:rPr>
          <w:lang w:val="fr-FR"/>
        </w:rPr>
        <w:t> 1087/1992, 2828/2000 et 36398/1998.</w:t>
      </w:r>
    </w:p>
    <w:p w:rsidR="009A0B2E" w:rsidRDefault="009A0B2E" w:rsidP="009A0B2E">
      <w:pPr>
        <w:pStyle w:val="ECHRHeading4"/>
        <w:rPr>
          <w:rFonts w:eastAsia="MS Gothic"/>
          <w:lang w:val="fr-FR"/>
        </w:rPr>
      </w:pPr>
      <w:r>
        <w:rPr>
          <w:rFonts w:eastAsia="MS Gothic"/>
          <w:lang w:val="fr-FR"/>
        </w:rPr>
        <w:t>b)  L</w:t>
      </w:r>
      <w:r w:rsidR="003C2190">
        <w:rPr>
          <w:rFonts w:eastAsia="MS Gothic"/>
          <w:lang w:val="fr-FR"/>
        </w:rPr>
        <w:t>’</w:t>
      </w:r>
      <w:r>
        <w:rPr>
          <w:rFonts w:eastAsia="MS Gothic"/>
          <w:lang w:val="fr-FR"/>
        </w:rPr>
        <w:t>appréciation de la Cour</w:t>
      </w:r>
    </w:p>
    <w:p w:rsidR="009A0B2E" w:rsidRDefault="009A0B2E" w:rsidP="009A0B2E">
      <w:pPr>
        <w:pStyle w:val="ECHRHeading5"/>
        <w:rPr>
          <w:lang w:val="fr-FR"/>
        </w:rPr>
      </w:pPr>
      <w:r>
        <w:rPr>
          <w:lang w:val="fr-FR"/>
        </w:rPr>
        <w:t>i.  Principes généraux</w:t>
      </w:r>
    </w:p>
    <w:p w:rsidR="009A0B2E" w:rsidRDefault="009A0B2E" w:rsidP="009A0B2E">
      <w:pPr>
        <w:pStyle w:val="ECHRPara"/>
        <w:rPr>
          <w:lang w:val="fr-FR" w:eastAsia="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82</w:t>
      </w:r>
      <w:r>
        <w:rPr>
          <w:rFonts w:eastAsia="MS Mincho"/>
          <w:lang w:val="fr-FR"/>
        </w:rPr>
        <w:fldChar w:fldCharType="end"/>
      </w:r>
      <w:r>
        <w:rPr>
          <w:rFonts w:eastAsia="MS Mincho"/>
          <w:lang w:val="fr-FR"/>
        </w:rPr>
        <w:t>.  L</w:t>
      </w:r>
      <w:r w:rsidR="003C2190">
        <w:rPr>
          <w:rFonts w:eastAsia="MS Mincho"/>
          <w:lang w:val="fr-FR"/>
        </w:rPr>
        <w:t>’</w:t>
      </w:r>
      <w:r>
        <w:rPr>
          <w:rFonts w:eastAsia="MS Mincho"/>
          <w:lang w:val="fr-FR"/>
        </w:rPr>
        <w:t>article 6 § 2 protège le droit de toute personne à être « présumée innocente jusqu</w:t>
      </w:r>
      <w:r w:rsidR="003C2190">
        <w:rPr>
          <w:rFonts w:eastAsia="MS Mincho"/>
          <w:lang w:val="fr-FR"/>
        </w:rPr>
        <w:t>’</w:t>
      </w:r>
      <w:r>
        <w:rPr>
          <w:rFonts w:eastAsia="MS Mincho"/>
          <w:lang w:val="fr-FR"/>
        </w:rPr>
        <w:t>à ce que sa culpabilité ait été légalement établie ». Considérée comme une garantie procédurale dans le cadre du procès pénal lui-même, la présomption d</w:t>
      </w:r>
      <w:r w:rsidR="003C2190">
        <w:rPr>
          <w:rFonts w:eastAsia="MS Mincho"/>
          <w:lang w:val="fr-FR"/>
        </w:rPr>
        <w:t>’</w:t>
      </w:r>
      <w:r>
        <w:rPr>
          <w:rFonts w:eastAsia="MS Mincho"/>
          <w:lang w:val="fr-FR"/>
        </w:rPr>
        <w:t>innocence impose des conditions concernant notamment la charge de la preuve (</w:t>
      </w:r>
      <w:r>
        <w:rPr>
          <w:rFonts w:eastAsia="MS Mincho"/>
          <w:i/>
          <w:lang w:val="fr-FR"/>
        </w:rPr>
        <w:t>Barberà, Messegué et Jabardo c. Espagne</w:t>
      </w:r>
      <w:r>
        <w:rPr>
          <w:rFonts w:eastAsia="MS Mincho"/>
          <w:lang w:val="fr-FR"/>
        </w:rPr>
        <w:t>, 6 décembre 1988, § 77, série A n</w:t>
      </w:r>
      <w:r>
        <w:rPr>
          <w:rFonts w:eastAsia="MS Mincho"/>
          <w:vertAlign w:val="superscript"/>
          <w:lang w:val="fr-FR"/>
        </w:rPr>
        <w:t>o</w:t>
      </w:r>
      <w:r>
        <w:rPr>
          <w:rFonts w:eastAsia="MS Mincho"/>
          <w:lang w:val="fr-FR"/>
        </w:rPr>
        <w:t xml:space="preserve"> 146, et </w:t>
      </w:r>
      <w:r>
        <w:rPr>
          <w:rFonts w:eastAsia="MS Mincho"/>
          <w:i/>
          <w:lang w:val="fr-FR"/>
        </w:rPr>
        <w:t>Telfner c. Autriche</w:t>
      </w:r>
      <w:r>
        <w:rPr>
          <w:rFonts w:eastAsia="MS Mincho"/>
          <w:lang w:val="fr-FR"/>
        </w:rPr>
        <w:t>, n</w:t>
      </w:r>
      <w:r>
        <w:rPr>
          <w:rFonts w:eastAsia="MS Mincho"/>
          <w:vertAlign w:val="superscript"/>
          <w:lang w:val="fr-FR"/>
        </w:rPr>
        <w:t>o</w:t>
      </w:r>
      <w:r>
        <w:rPr>
          <w:rFonts w:eastAsia="MS Mincho"/>
          <w:lang w:val="fr-FR"/>
        </w:rPr>
        <w:t> 33501/96, § 15, 20 mars 2001) ; les présomptions de fait et de droit (</w:t>
      </w:r>
      <w:r>
        <w:rPr>
          <w:rFonts w:eastAsia="MS Mincho"/>
          <w:i/>
          <w:lang w:val="fr-FR"/>
        </w:rPr>
        <w:t>Salabiaku c. France</w:t>
      </w:r>
      <w:r>
        <w:rPr>
          <w:rFonts w:eastAsia="MS Mincho"/>
          <w:lang w:val="fr-FR"/>
        </w:rPr>
        <w:t>, 7 octobre 1988, § 28, série A n</w:t>
      </w:r>
      <w:r>
        <w:rPr>
          <w:rFonts w:eastAsia="MS Mincho"/>
          <w:vertAlign w:val="superscript"/>
          <w:lang w:val="fr-FR"/>
        </w:rPr>
        <w:t>o</w:t>
      </w:r>
      <w:r>
        <w:rPr>
          <w:rFonts w:eastAsia="MS Mincho"/>
          <w:lang w:val="fr-FR"/>
        </w:rPr>
        <w:t xml:space="preserve"> 141</w:t>
      </w:r>
      <w:r>
        <w:rPr>
          <w:rFonts w:eastAsia="MS Mincho"/>
          <w:lang w:val="fr-FR"/>
        </w:rPr>
        <w:noBreakHyphen/>
        <w:t xml:space="preserve">A, et </w:t>
      </w:r>
      <w:r>
        <w:rPr>
          <w:rFonts w:eastAsia="MS Mincho"/>
          <w:i/>
          <w:lang w:val="fr-FR"/>
        </w:rPr>
        <w:t>Radio France et autres c. France</w:t>
      </w:r>
      <w:r>
        <w:rPr>
          <w:rFonts w:eastAsia="MS Mincho"/>
          <w:lang w:val="fr-FR"/>
        </w:rPr>
        <w:t>,</w:t>
      </w:r>
      <w:r>
        <w:rPr>
          <w:rFonts w:eastAsia="MS Mincho"/>
          <w:iCs/>
          <w:lang w:val="fr-FR"/>
        </w:rPr>
        <w:t xml:space="preserve"> </w:t>
      </w:r>
      <w:r>
        <w:rPr>
          <w:rFonts w:eastAsia="MS Mincho"/>
          <w:lang w:val="fr-FR"/>
        </w:rPr>
        <w:t>n</w:t>
      </w:r>
      <w:r>
        <w:rPr>
          <w:rFonts w:eastAsia="MS Mincho"/>
          <w:vertAlign w:val="superscript"/>
          <w:lang w:val="fr-FR"/>
        </w:rPr>
        <w:t>o</w:t>
      </w:r>
      <w:r>
        <w:rPr>
          <w:rFonts w:eastAsia="MS Mincho"/>
          <w:lang w:val="fr-FR"/>
        </w:rPr>
        <w:t xml:space="preserve"> 53984/00, § 24, CEDH 2004</w:t>
      </w:r>
      <w:r>
        <w:rPr>
          <w:rFonts w:eastAsia="MS Mincho"/>
          <w:lang w:val="fr-FR"/>
        </w:rPr>
        <w:noBreakHyphen/>
        <w:t>II) ; le droit de ne pas contribuer à sa propre incrimination (</w:t>
      </w:r>
      <w:r>
        <w:rPr>
          <w:rFonts w:eastAsia="MS Mincho"/>
          <w:i/>
          <w:lang w:val="fr-FR"/>
        </w:rPr>
        <w:t>Saunders c. Royaume-Uni</w:t>
      </w:r>
      <w:r>
        <w:rPr>
          <w:rFonts w:eastAsia="MS Mincho"/>
          <w:lang w:val="fr-FR"/>
        </w:rPr>
        <w:t xml:space="preserve">, </w:t>
      </w:r>
      <w:r>
        <w:rPr>
          <w:rFonts w:eastAsia="MS Mincho"/>
          <w:lang w:val="fr-FR"/>
        </w:rPr>
        <w:lastRenderedPageBreak/>
        <w:t xml:space="preserve">17 décembre 1996, § 68, </w:t>
      </w:r>
      <w:r>
        <w:rPr>
          <w:rFonts w:eastAsia="MS Mincho"/>
          <w:i/>
          <w:lang w:val="fr-FR"/>
        </w:rPr>
        <w:t>Recueil des arrêts et décisions</w:t>
      </w:r>
      <w:r>
        <w:rPr>
          <w:rFonts w:eastAsia="MS Mincho"/>
          <w:lang w:val="fr-FR"/>
        </w:rPr>
        <w:t xml:space="preserve"> 1996</w:t>
      </w:r>
      <w:r>
        <w:rPr>
          <w:rFonts w:eastAsia="MS Mincho"/>
          <w:lang w:val="fr-FR"/>
        </w:rPr>
        <w:noBreakHyphen/>
        <w:t xml:space="preserve">VI, et </w:t>
      </w:r>
      <w:r>
        <w:rPr>
          <w:rFonts w:eastAsia="MS Mincho"/>
          <w:i/>
          <w:lang w:val="fr-FR"/>
        </w:rPr>
        <w:t>Heaney et McGuinness c. Irlande</w:t>
      </w:r>
      <w:r>
        <w:rPr>
          <w:rFonts w:eastAsia="MS Mincho"/>
          <w:lang w:val="fr-FR"/>
        </w:rPr>
        <w:t>, n</w:t>
      </w:r>
      <w:r>
        <w:rPr>
          <w:rFonts w:eastAsia="MS Mincho"/>
          <w:vertAlign w:val="superscript"/>
          <w:lang w:val="fr-FR"/>
        </w:rPr>
        <w:t>o</w:t>
      </w:r>
      <w:r>
        <w:rPr>
          <w:rFonts w:eastAsia="MS Mincho"/>
          <w:lang w:val="fr-FR"/>
        </w:rPr>
        <w:t xml:space="preserve"> 34720/97, § 40, CEDH 2000</w:t>
      </w:r>
      <w:r>
        <w:rPr>
          <w:rFonts w:eastAsia="MS Mincho"/>
          <w:lang w:val="fr-FR"/>
        </w:rPr>
        <w:noBreakHyphen/>
        <w:t>XII) ; la publicité pouvant être donnée à l</w:t>
      </w:r>
      <w:r w:rsidR="003C2190">
        <w:rPr>
          <w:rFonts w:eastAsia="MS Mincho"/>
          <w:lang w:val="fr-FR"/>
        </w:rPr>
        <w:t>’</w:t>
      </w:r>
      <w:r>
        <w:rPr>
          <w:rFonts w:eastAsia="MS Mincho"/>
          <w:lang w:val="fr-FR"/>
        </w:rPr>
        <w:t>affaire avant la tenue du procès (</w:t>
      </w:r>
      <w:r>
        <w:rPr>
          <w:rFonts w:eastAsia="MS Mincho"/>
          <w:i/>
          <w:lang w:val="fr-FR"/>
        </w:rPr>
        <w:t>Akay c. Turquie</w:t>
      </w:r>
      <w:r>
        <w:rPr>
          <w:rFonts w:eastAsia="MS Mincho"/>
          <w:lang w:val="fr-FR"/>
        </w:rPr>
        <w:t xml:space="preserve"> (déc.), n</w:t>
      </w:r>
      <w:r>
        <w:rPr>
          <w:rFonts w:eastAsia="MS Mincho"/>
          <w:vertAlign w:val="superscript"/>
          <w:lang w:val="fr-FR"/>
        </w:rPr>
        <w:t>o</w:t>
      </w:r>
      <w:r>
        <w:rPr>
          <w:rFonts w:eastAsia="MS Mincho"/>
          <w:lang w:val="fr-FR"/>
        </w:rPr>
        <w:t xml:space="preserve"> 34501/97, 19 février 2002, et </w:t>
      </w:r>
      <w:r>
        <w:rPr>
          <w:rFonts w:eastAsia="MS Mincho"/>
          <w:i/>
          <w:lang w:val="fr-FR"/>
        </w:rPr>
        <w:t>G.C.P. c. Roumanie</w:t>
      </w:r>
      <w:r>
        <w:rPr>
          <w:rFonts w:eastAsia="MS Mincho"/>
          <w:lang w:val="fr-FR"/>
        </w:rPr>
        <w:t>, n</w:t>
      </w:r>
      <w:r>
        <w:rPr>
          <w:rFonts w:eastAsia="MS Mincho"/>
          <w:vertAlign w:val="superscript"/>
          <w:lang w:val="fr-FR"/>
        </w:rPr>
        <w:t>o</w:t>
      </w:r>
      <w:r>
        <w:rPr>
          <w:rFonts w:eastAsia="MS Mincho"/>
          <w:lang w:val="fr-FR"/>
        </w:rPr>
        <w:t xml:space="preserve"> 20899/03</w:t>
      </w:r>
      <w:r>
        <w:rPr>
          <w:rFonts w:eastAsia="MS Mincho"/>
          <w:snapToGrid w:val="0"/>
          <w:szCs w:val="24"/>
          <w:lang w:val="fr-FR"/>
        </w:rPr>
        <w:t xml:space="preserve">, § 46, 20 </w:t>
      </w:r>
      <w:r>
        <w:rPr>
          <w:rFonts w:eastAsia="MS Mincho"/>
          <w:szCs w:val="24"/>
          <w:lang w:val="fr-FR"/>
        </w:rPr>
        <w:t xml:space="preserve">décembre </w:t>
      </w:r>
      <w:r>
        <w:rPr>
          <w:rFonts w:eastAsia="MS Mincho"/>
          <w:snapToGrid w:val="0"/>
          <w:szCs w:val="24"/>
          <w:lang w:val="fr-FR"/>
        </w:rPr>
        <w:t>2011</w:t>
      </w:r>
      <w:r>
        <w:rPr>
          <w:rFonts w:eastAsia="MS Mincho"/>
          <w:lang w:val="fr-FR"/>
        </w:rPr>
        <w:t>) ; la formulation par le juge du fond ou toute autre autorité publique de déclarations prématurées quant à la culpabilité d</w:t>
      </w:r>
      <w:r w:rsidR="003C2190">
        <w:rPr>
          <w:rFonts w:eastAsia="MS Mincho"/>
          <w:lang w:val="fr-FR"/>
        </w:rPr>
        <w:t>’</w:t>
      </w:r>
      <w:r>
        <w:rPr>
          <w:rFonts w:eastAsia="MS Mincho"/>
          <w:lang w:val="fr-FR"/>
        </w:rPr>
        <w:t>un prévenu (</w:t>
      </w:r>
      <w:r>
        <w:rPr>
          <w:i/>
          <w:lang w:val="fr-FR" w:eastAsia="fr-FR"/>
        </w:rPr>
        <w:t>Allenet de Ribemont c. France</w:t>
      </w:r>
      <w:r>
        <w:rPr>
          <w:lang w:val="fr-FR" w:eastAsia="fr-FR"/>
        </w:rPr>
        <w:t>, 10 février 1995, § § 35-36, série A n</w:t>
      </w:r>
      <w:r>
        <w:rPr>
          <w:vertAlign w:val="superscript"/>
          <w:lang w:val="fr-FR" w:eastAsia="fr-FR"/>
        </w:rPr>
        <w:t>o</w:t>
      </w:r>
      <w:r>
        <w:rPr>
          <w:lang w:val="fr-FR" w:eastAsia="fr-FR"/>
        </w:rPr>
        <w:t xml:space="preserve"> 308</w:t>
      </w:r>
      <w:r>
        <w:rPr>
          <w:rFonts w:eastAsia="MS Mincho"/>
          <w:lang w:val="fr-FR"/>
        </w:rPr>
        <w:t xml:space="preserve">, et </w:t>
      </w:r>
      <w:r>
        <w:rPr>
          <w:rFonts w:eastAsia="MS Mincho"/>
          <w:i/>
          <w:szCs w:val="24"/>
          <w:lang w:val="fr-FR"/>
        </w:rPr>
        <w:t>Nešťák c. Slovaquie</w:t>
      </w:r>
      <w:r>
        <w:rPr>
          <w:rFonts w:eastAsia="MS Mincho"/>
          <w:szCs w:val="24"/>
          <w:lang w:val="fr-FR"/>
        </w:rPr>
        <w:t>, n</w:t>
      </w:r>
      <w:r>
        <w:rPr>
          <w:rFonts w:eastAsia="MS Mincho"/>
          <w:szCs w:val="24"/>
          <w:vertAlign w:val="superscript"/>
          <w:lang w:val="fr-FR"/>
        </w:rPr>
        <w:t>o</w:t>
      </w:r>
      <w:r>
        <w:rPr>
          <w:rFonts w:eastAsia="MS Mincho"/>
          <w:szCs w:val="24"/>
          <w:lang w:val="fr-FR"/>
        </w:rPr>
        <w:t> 65559/01, § 88, 27 février 2007</w:t>
      </w:r>
      <w:r>
        <w:rPr>
          <w:rFonts w:eastAsia="MS Mincho"/>
          <w:lang w:val="fr-FR"/>
        </w:rPr>
        <w:t>).</w:t>
      </w:r>
    </w:p>
    <w:p w:rsidR="009A0B2E" w:rsidRDefault="009A0B2E" w:rsidP="009A0B2E">
      <w:pPr>
        <w:pStyle w:val="ECHRPara"/>
        <w:rPr>
          <w:i/>
          <w:lang w:val="fr-FR" w:eastAsia="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83</w:t>
      </w:r>
      <w:r>
        <w:rPr>
          <w:rFonts w:eastAsia="MS Mincho"/>
          <w:lang w:val="fr-FR"/>
        </w:rPr>
        <w:fldChar w:fldCharType="end"/>
      </w:r>
      <w:r>
        <w:rPr>
          <w:rFonts w:eastAsia="MS Mincho"/>
          <w:lang w:val="fr-FR"/>
        </w:rPr>
        <w:t>.  Compte tenu toutefois de la nécessité de veiller à ce que le droit garanti par l</w:t>
      </w:r>
      <w:r w:rsidR="003C2190">
        <w:rPr>
          <w:rFonts w:eastAsia="MS Mincho"/>
          <w:lang w:val="fr-FR"/>
        </w:rPr>
        <w:t>’</w:t>
      </w:r>
      <w:r>
        <w:rPr>
          <w:rFonts w:eastAsia="MS Mincho"/>
          <w:lang w:val="fr-FR"/>
        </w:rPr>
        <w:t>article 6 § 2 soit concret et effectif, la présomption d</w:t>
      </w:r>
      <w:r w:rsidR="003C2190">
        <w:rPr>
          <w:rFonts w:eastAsia="MS Mincho"/>
          <w:lang w:val="fr-FR"/>
        </w:rPr>
        <w:t>’</w:t>
      </w:r>
      <w:r>
        <w:rPr>
          <w:rFonts w:eastAsia="MS Mincho"/>
          <w:lang w:val="fr-FR"/>
        </w:rPr>
        <w:t>innocence revêt aussi un autre aspect. Son but général, dans le cadre de ce second volet, est d</w:t>
      </w:r>
      <w:r w:rsidR="003C2190">
        <w:rPr>
          <w:rFonts w:eastAsia="MS Mincho"/>
          <w:lang w:val="fr-FR"/>
        </w:rPr>
        <w:t>’</w:t>
      </w:r>
      <w:r>
        <w:rPr>
          <w:rFonts w:eastAsia="MS Mincho"/>
          <w:lang w:val="fr-FR"/>
        </w:rPr>
        <w:t>empêcher que des individus qui ont bénéficié d</w:t>
      </w:r>
      <w:r w:rsidR="003C2190">
        <w:rPr>
          <w:rFonts w:eastAsia="MS Mincho"/>
          <w:lang w:val="fr-FR"/>
        </w:rPr>
        <w:t>’</w:t>
      </w:r>
      <w:r>
        <w:rPr>
          <w:rFonts w:eastAsia="MS Mincho"/>
          <w:lang w:val="fr-FR"/>
        </w:rPr>
        <w:t>un acquittement ou d</w:t>
      </w:r>
      <w:r w:rsidR="003C2190">
        <w:rPr>
          <w:rFonts w:eastAsia="MS Mincho"/>
          <w:lang w:val="fr-FR"/>
        </w:rPr>
        <w:t>’</w:t>
      </w:r>
      <w:r>
        <w:rPr>
          <w:rFonts w:eastAsia="MS Mincho"/>
          <w:lang w:val="fr-FR"/>
        </w:rPr>
        <w:t>un abandon des poursuites soient traités par des agents ou autorités publics comme s</w:t>
      </w:r>
      <w:r w:rsidR="003C2190">
        <w:rPr>
          <w:rFonts w:eastAsia="MS Mincho"/>
          <w:lang w:val="fr-FR"/>
        </w:rPr>
        <w:t>’</w:t>
      </w:r>
      <w:r>
        <w:rPr>
          <w:rFonts w:eastAsia="MS Mincho"/>
          <w:lang w:val="fr-FR"/>
        </w:rPr>
        <w:t>ils étaient en fait coupables de l</w:t>
      </w:r>
      <w:r w:rsidR="003C2190">
        <w:rPr>
          <w:rFonts w:eastAsia="MS Mincho"/>
          <w:lang w:val="fr-FR"/>
        </w:rPr>
        <w:t>’</w:t>
      </w:r>
      <w:r>
        <w:rPr>
          <w:rFonts w:eastAsia="MS Mincho"/>
          <w:lang w:val="fr-FR"/>
        </w:rPr>
        <w:t>infraction qui leur avait été imputée (</w:t>
      </w:r>
      <w:r>
        <w:rPr>
          <w:i/>
          <w:lang w:val="fr-FR" w:eastAsia="fr-FR"/>
        </w:rPr>
        <w:t xml:space="preserve">Allen </w:t>
      </w:r>
      <w:r>
        <w:rPr>
          <w:i/>
          <w:snapToGrid w:val="0"/>
          <w:lang w:val="fr-FR" w:eastAsia="fr-FR"/>
        </w:rPr>
        <w:t xml:space="preserve">c. Royaume-Uni </w:t>
      </w:r>
      <w:r>
        <w:rPr>
          <w:snapToGrid w:val="0"/>
          <w:lang w:val="fr-FR" w:eastAsia="fr-FR"/>
        </w:rPr>
        <w:t>[GC], n</w:t>
      </w:r>
      <w:r>
        <w:rPr>
          <w:snapToGrid w:val="0"/>
          <w:vertAlign w:val="superscript"/>
          <w:lang w:val="fr-FR" w:eastAsia="fr-FR"/>
        </w:rPr>
        <w:t>o</w:t>
      </w:r>
      <w:r>
        <w:rPr>
          <w:snapToGrid w:val="0"/>
          <w:lang w:val="fr-FR" w:eastAsia="fr-FR"/>
        </w:rPr>
        <w:t xml:space="preserve"> 25424/09, § 94, </w:t>
      </w:r>
      <w:r>
        <w:rPr>
          <w:lang w:val="fr-FR" w:eastAsia="fr-FR"/>
        </w:rPr>
        <w:t>CEDH 2013</w:t>
      </w:r>
      <w:r>
        <w:rPr>
          <w:rFonts w:eastAsia="MS Mincho"/>
          <w:lang w:val="fr-FR"/>
        </w:rPr>
        <w:t>). Cela est dû au fait que la présomption d</w:t>
      </w:r>
      <w:r w:rsidR="003C2190">
        <w:rPr>
          <w:rFonts w:eastAsia="MS Mincho"/>
          <w:lang w:val="fr-FR"/>
        </w:rPr>
        <w:t>’</w:t>
      </w:r>
      <w:r>
        <w:rPr>
          <w:rFonts w:eastAsia="MS Mincho"/>
          <w:lang w:val="fr-FR"/>
        </w:rPr>
        <w:t>innocence, en tant que droit procédural, participe principalement au respect des droits de la défense et favorise en même temps le respect de l</w:t>
      </w:r>
      <w:r w:rsidR="003C2190">
        <w:rPr>
          <w:rFonts w:eastAsia="MS Mincho"/>
          <w:lang w:val="fr-FR"/>
        </w:rPr>
        <w:t>’</w:t>
      </w:r>
      <w:r>
        <w:rPr>
          <w:rFonts w:eastAsia="MS Mincho"/>
          <w:lang w:val="fr-FR"/>
        </w:rPr>
        <w:t>honneur et de la dignité de la personne poursuivie (</w:t>
      </w:r>
      <w:r>
        <w:rPr>
          <w:i/>
          <w:lang w:val="fr-FR" w:eastAsia="fr-FR"/>
        </w:rPr>
        <w:t>Konstas c. Grèce</w:t>
      </w:r>
      <w:r>
        <w:rPr>
          <w:lang w:val="fr-FR" w:eastAsia="fr-FR"/>
        </w:rPr>
        <w:t>, n</w:t>
      </w:r>
      <w:r>
        <w:rPr>
          <w:vertAlign w:val="superscript"/>
          <w:lang w:val="fr-FR" w:eastAsia="fr-FR"/>
        </w:rPr>
        <w:t>o</w:t>
      </w:r>
      <w:r>
        <w:rPr>
          <w:lang w:val="fr-FR" w:eastAsia="fr-FR"/>
        </w:rPr>
        <w:t xml:space="preserve"> 53466/07</w:t>
      </w:r>
      <w:r>
        <w:rPr>
          <w:snapToGrid w:val="0"/>
          <w:szCs w:val="24"/>
          <w:lang w:val="fr-FR" w:eastAsia="fr-FR"/>
        </w:rPr>
        <w:t xml:space="preserve">, § 32, 24 </w:t>
      </w:r>
      <w:r>
        <w:rPr>
          <w:szCs w:val="24"/>
          <w:lang w:val="fr-FR" w:eastAsia="fr-FR"/>
        </w:rPr>
        <w:t>mai</w:t>
      </w:r>
      <w:r>
        <w:rPr>
          <w:snapToGrid w:val="0"/>
          <w:szCs w:val="24"/>
          <w:lang w:val="fr-FR" w:eastAsia="fr-FR"/>
        </w:rPr>
        <w:t xml:space="preserve"> 2011</w:t>
      </w:r>
      <w:r>
        <w:rPr>
          <w:rFonts w:eastAsia="MS Mincho"/>
          <w:lang w:val="fr-FR"/>
        </w:rPr>
        <w:t>). Dans de telles situations, la présomption d</w:t>
      </w:r>
      <w:r w:rsidR="003C2190">
        <w:rPr>
          <w:rFonts w:eastAsia="MS Mincho"/>
          <w:lang w:val="fr-FR"/>
        </w:rPr>
        <w:t>’</w:t>
      </w:r>
      <w:r>
        <w:rPr>
          <w:rFonts w:eastAsia="MS Mincho"/>
          <w:lang w:val="fr-FR"/>
        </w:rPr>
        <w:t>innocence a déjà permis – par l</w:t>
      </w:r>
      <w:r w:rsidR="003C2190">
        <w:rPr>
          <w:rFonts w:eastAsia="MS Mincho"/>
          <w:lang w:val="fr-FR"/>
        </w:rPr>
        <w:t>’</w:t>
      </w:r>
      <w:r>
        <w:rPr>
          <w:rFonts w:eastAsia="MS Mincho"/>
          <w:lang w:val="fr-FR"/>
        </w:rPr>
        <w:t>application lors du procès des diverses exigences inhérentes à la garantie procédurale qu</w:t>
      </w:r>
      <w:r w:rsidR="003C2190">
        <w:rPr>
          <w:rFonts w:eastAsia="MS Mincho"/>
          <w:lang w:val="fr-FR"/>
        </w:rPr>
        <w:t>’</w:t>
      </w:r>
      <w:r>
        <w:rPr>
          <w:rFonts w:eastAsia="MS Mincho"/>
          <w:lang w:val="fr-FR"/>
        </w:rPr>
        <w:t>elle offre – d</w:t>
      </w:r>
      <w:r w:rsidR="003C2190">
        <w:rPr>
          <w:rFonts w:eastAsia="MS Mincho"/>
          <w:lang w:val="fr-FR"/>
        </w:rPr>
        <w:t>’</w:t>
      </w:r>
      <w:r>
        <w:rPr>
          <w:rFonts w:eastAsia="MS Mincho"/>
          <w:lang w:val="fr-FR"/>
        </w:rPr>
        <w:t>empêcher que soit prononcée une condamnation pénale injuste. Sans protection destinée à faire respecter dans toute procédure ultérieure un acquittement ou une décision d</w:t>
      </w:r>
      <w:r w:rsidR="003C2190">
        <w:rPr>
          <w:rFonts w:eastAsia="MS Mincho"/>
          <w:lang w:val="fr-FR"/>
        </w:rPr>
        <w:t>’</w:t>
      </w:r>
      <w:r>
        <w:rPr>
          <w:rFonts w:eastAsia="MS Mincho"/>
          <w:lang w:val="fr-FR"/>
        </w:rPr>
        <w:t>abandon des poursuites, les garanties d</w:t>
      </w:r>
      <w:r w:rsidR="003C2190">
        <w:rPr>
          <w:rFonts w:eastAsia="MS Mincho"/>
          <w:lang w:val="fr-FR"/>
        </w:rPr>
        <w:t>’</w:t>
      </w:r>
      <w:r>
        <w:rPr>
          <w:rFonts w:eastAsia="MS Mincho"/>
          <w:lang w:val="fr-FR"/>
        </w:rPr>
        <w:t>un procès équitable énoncées à l</w:t>
      </w:r>
      <w:r w:rsidR="003C2190">
        <w:rPr>
          <w:rFonts w:eastAsia="MS Mincho"/>
          <w:lang w:val="fr-FR"/>
        </w:rPr>
        <w:t>’</w:t>
      </w:r>
      <w:r>
        <w:rPr>
          <w:rFonts w:eastAsia="MS Mincho"/>
          <w:lang w:val="fr-FR"/>
        </w:rPr>
        <w:t>article 6 § 2 risqueraient de devenir théoriques et illusoires. Ce qui est également en jeu une fois la procédure pénale achevée, c</w:t>
      </w:r>
      <w:r w:rsidR="003C2190">
        <w:rPr>
          <w:rFonts w:eastAsia="MS Mincho"/>
          <w:lang w:val="fr-FR"/>
        </w:rPr>
        <w:t>’</w:t>
      </w:r>
      <w:r>
        <w:rPr>
          <w:rFonts w:eastAsia="MS Mincho"/>
          <w:lang w:val="fr-FR"/>
        </w:rPr>
        <w:t>est la réputation de l</w:t>
      </w:r>
      <w:r w:rsidR="003C2190">
        <w:rPr>
          <w:rFonts w:eastAsia="MS Mincho"/>
          <w:lang w:val="fr-FR"/>
        </w:rPr>
        <w:t>’</w:t>
      </w:r>
      <w:r>
        <w:rPr>
          <w:rFonts w:eastAsia="MS Mincho"/>
          <w:lang w:val="fr-FR"/>
        </w:rPr>
        <w:t>intéressé et la manière dont celui-ci est perçu par le public. Dans une certaine mesure, la protection offerte par l</w:t>
      </w:r>
      <w:r w:rsidR="003C2190">
        <w:rPr>
          <w:rFonts w:eastAsia="MS Mincho"/>
          <w:lang w:val="fr-FR"/>
        </w:rPr>
        <w:t>’</w:t>
      </w:r>
      <w:r>
        <w:rPr>
          <w:rFonts w:eastAsia="MS Mincho"/>
          <w:lang w:val="fr-FR"/>
        </w:rPr>
        <w:t>article 6 § 2 à cet égard peut recouvrir</w:t>
      </w:r>
      <w:r>
        <w:rPr>
          <w:rFonts w:eastAsia="MS Mincho"/>
          <w:b/>
          <w:lang w:val="fr-FR"/>
        </w:rPr>
        <w:t xml:space="preserve"> </w:t>
      </w:r>
      <w:r>
        <w:rPr>
          <w:rFonts w:eastAsia="MS Mincho"/>
          <w:lang w:val="fr-FR"/>
        </w:rPr>
        <w:t>celle qu</w:t>
      </w:r>
      <w:r w:rsidR="003C2190">
        <w:rPr>
          <w:rFonts w:eastAsia="MS Mincho"/>
          <w:lang w:val="fr-FR"/>
        </w:rPr>
        <w:t>’</w:t>
      </w:r>
      <w:r>
        <w:rPr>
          <w:rFonts w:eastAsia="MS Mincho"/>
          <w:lang w:val="fr-FR"/>
        </w:rPr>
        <w:t>apporte l</w:t>
      </w:r>
      <w:r w:rsidR="003C2190">
        <w:rPr>
          <w:rFonts w:eastAsia="MS Mincho"/>
          <w:lang w:val="fr-FR"/>
        </w:rPr>
        <w:t>’</w:t>
      </w:r>
      <w:r>
        <w:rPr>
          <w:rFonts w:eastAsia="MS Mincho"/>
          <w:lang w:val="fr-FR"/>
        </w:rPr>
        <w:t xml:space="preserve">article 8 (voir, par exemple, </w:t>
      </w:r>
      <w:r>
        <w:rPr>
          <w:rFonts w:eastAsia="MS Mincho"/>
          <w:i/>
          <w:lang w:val="fr-FR"/>
        </w:rPr>
        <w:t xml:space="preserve">Zollmann c. Royaume-Uni </w:t>
      </w:r>
      <w:r>
        <w:rPr>
          <w:rFonts w:eastAsia="MS Mincho"/>
          <w:lang w:val="fr-FR"/>
        </w:rPr>
        <w:t>(déc.),</w:t>
      </w:r>
      <w:r>
        <w:rPr>
          <w:rFonts w:eastAsia="MS Mincho"/>
          <w:iCs/>
          <w:lang w:val="fr-FR"/>
        </w:rPr>
        <w:t xml:space="preserve"> </w:t>
      </w:r>
      <w:r>
        <w:rPr>
          <w:rFonts w:eastAsia="MS Mincho"/>
          <w:lang w:val="fr-FR"/>
        </w:rPr>
        <w:t>n</w:t>
      </w:r>
      <w:r>
        <w:rPr>
          <w:rFonts w:eastAsia="MS Mincho"/>
          <w:vertAlign w:val="superscript"/>
          <w:lang w:val="fr-FR"/>
        </w:rPr>
        <w:t>o</w:t>
      </w:r>
      <w:r w:rsidR="00D72AF5">
        <w:rPr>
          <w:rFonts w:eastAsia="MS Mincho"/>
          <w:lang w:val="fr-FR"/>
        </w:rPr>
        <w:t> 62902/00, CEDH </w:t>
      </w:r>
      <w:r>
        <w:rPr>
          <w:rFonts w:eastAsia="MS Mincho"/>
          <w:lang w:val="fr-FR"/>
        </w:rPr>
        <w:t>2003</w:t>
      </w:r>
      <w:r>
        <w:rPr>
          <w:rFonts w:eastAsia="MS Mincho"/>
          <w:lang w:val="fr-FR"/>
        </w:rPr>
        <w:noBreakHyphen/>
        <w:t xml:space="preserve">XII, et </w:t>
      </w:r>
      <w:r>
        <w:rPr>
          <w:rFonts w:eastAsia="MS Mincho"/>
          <w:i/>
          <w:lang w:val="fr-FR"/>
        </w:rPr>
        <w:t>Taliadorou et Stylianou</w:t>
      </w:r>
      <w:r>
        <w:rPr>
          <w:rFonts w:eastAsia="MS Mincho"/>
          <w:lang w:val="fr-FR"/>
        </w:rPr>
        <w:t xml:space="preserve"> </w:t>
      </w:r>
      <w:r>
        <w:rPr>
          <w:rFonts w:eastAsia="MS Mincho"/>
          <w:i/>
          <w:lang w:val="fr-FR"/>
        </w:rPr>
        <w:t>c. Chypre</w:t>
      </w:r>
      <w:r>
        <w:rPr>
          <w:rFonts w:eastAsia="MS Mincho"/>
          <w:lang w:val="fr-FR"/>
        </w:rPr>
        <w:t xml:space="preserve">, </w:t>
      </w:r>
      <w:r>
        <w:rPr>
          <w:rFonts w:eastAsia="MS Mincho"/>
          <w:snapToGrid w:val="0"/>
          <w:lang w:val="fr-FR"/>
        </w:rPr>
        <w:t>n</w:t>
      </w:r>
      <w:r>
        <w:rPr>
          <w:rFonts w:eastAsia="MS Mincho"/>
          <w:snapToGrid w:val="0"/>
          <w:vertAlign w:val="superscript"/>
          <w:lang w:val="fr-FR"/>
        </w:rPr>
        <w:t>os</w:t>
      </w:r>
      <w:r>
        <w:rPr>
          <w:rFonts w:eastAsia="MS Mincho"/>
          <w:lang w:val="fr-FR"/>
        </w:rPr>
        <w:t> 39627/05 et 39631/05, §§ 27 et 56-59, 16 octobre 2008).</w:t>
      </w:r>
    </w:p>
    <w:p w:rsidR="009A0B2E" w:rsidRDefault="009A0B2E" w:rsidP="009A0B2E">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84</w:t>
      </w:r>
      <w:r>
        <w:rPr>
          <w:rFonts w:eastAsia="MS Mincho"/>
          <w:lang w:val="fr-FR"/>
        </w:rPr>
        <w:fldChar w:fldCharType="end"/>
      </w:r>
      <w:r>
        <w:rPr>
          <w:rFonts w:eastAsia="MS Mincho"/>
          <w:lang w:val="fr-FR"/>
        </w:rPr>
        <w:t>.  A cet égard, la Cour rappelle qu</w:t>
      </w:r>
      <w:r w:rsidR="003C2190">
        <w:rPr>
          <w:rFonts w:eastAsia="MS Mincho"/>
          <w:lang w:val="fr-FR"/>
        </w:rPr>
        <w:t>’</w:t>
      </w:r>
      <w:r>
        <w:rPr>
          <w:rFonts w:eastAsia="MS Mincho"/>
          <w:lang w:val="fr-FR"/>
        </w:rPr>
        <w:t>il n</w:t>
      </w:r>
      <w:r w:rsidR="003C2190">
        <w:rPr>
          <w:rFonts w:eastAsia="MS Mincho"/>
          <w:lang w:val="fr-FR"/>
        </w:rPr>
        <w:t>’</w:t>
      </w:r>
      <w:r>
        <w:rPr>
          <w:rFonts w:eastAsia="MS Mincho"/>
          <w:lang w:val="fr-FR"/>
        </w:rPr>
        <w:t>existe pas une manière unique de</w:t>
      </w:r>
      <w:r>
        <w:rPr>
          <w:rFonts w:eastAsia="MS Mincho"/>
          <w:b/>
          <w:lang w:val="fr-FR"/>
        </w:rPr>
        <w:t xml:space="preserve"> </w:t>
      </w:r>
      <w:r>
        <w:rPr>
          <w:rFonts w:eastAsia="MS Mincho"/>
          <w:lang w:val="fr-FR"/>
        </w:rPr>
        <w:t>déterminer les circonstances dans lesquelles il y a violation de l</w:t>
      </w:r>
      <w:r w:rsidR="003C2190">
        <w:rPr>
          <w:rFonts w:eastAsia="MS Mincho"/>
          <w:lang w:val="fr-FR"/>
        </w:rPr>
        <w:t>’</w:t>
      </w:r>
      <w:r>
        <w:rPr>
          <w:rFonts w:eastAsia="MS Mincho"/>
          <w:lang w:val="fr-FR"/>
        </w:rPr>
        <w:t>article 6 § 2 dans le contexte d</w:t>
      </w:r>
      <w:r w:rsidR="003C2190">
        <w:rPr>
          <w:rFonts w:eastAsia="MS Mincho"/>
          <w:lang w:val="fr-FR"/>
        </w:rPr>
        <w:t>’</w:t>
      </w:r>
      <w:r>
        <w:rPr>
          <w:rFonts w:eastAsia="MS Mincho"/>
          <w:lang w:val="fr-FR"/>
        </w:rPr>
        <w:t>une procédure postérieure à la clôture d</w:t>
      </w:r>
      <w:r w:rsidR="003C2190">
        <w:rPr>
          <w:rFonts w:eastAsia="MS Mincho"/>
          <w:lang w:val="fr-FR"/>
        </w:rPr>
        <w:t>’</w:t>
      </w:r>
      <w:r>
        <w:rPr>
          <w:rFonts w:eastAsia="MS Mincho"/>
          <w:lang w:val="fr-FR"/>
        </w:rPr>
        <w:t>une procédure pénale. Comme le montre la jurisprudence de la Cour, les choses dépendent largement</w:t>
      </w:r>
      <w:r>
        <w:rPr>
          <w:rFonts w:eastAsia="MS Mincho"/>
          <w:b/>
          <w:lang w:val="fr-FR"/>
        </w:rPr>
        <w:t xml:space="preserve"> </w:t>
      </w:r>
      <w:r>
        <w:rPr>
          <w:rFonts w:eastAsia="MS Mincho"/>
          <w:lang w:val="fr-FR"/>
        </w:rPr>
        <w:t>de la nature et du contexte de la procédure dans le cadre de laquelle la décision litigieuse a été adoptée. Dans tous les cas, et indépendamment de l</w:t>
      </w:r>
      <w:r w:rsidR="003C2190">
        <w:rPr>
          <w:rFonts w:eastAsia="MS Mincho"/>
          <w:lang w:val="fr-FR"/>
        </w:rPr>
        <w:t>’</w:t>
      </w:r>
      <w:r>
        <w:rPr>
          <w:rFonts w:eastAsia="MS Mincho"/>
          <w:lang w:val="fr-FR"/>
        </w:rPr>
        <w:t>approche adoptée, les termes employés par l</w:t>
      </w:r>
      <w:r w:rsidR="003C2190">
        <w:rPr>
          <w:rFonts w:eastAsia="MS Mincho"/>
          <w:lang w:val="fr-FR"/>
        </w:rPr>
        <w:t>’</w:t>
      </w:r>
      <w:r>
        <w:rPr>
          <w:rFonts w:eastAsia="MS Mincho"/>
          <w:lang w:val="fr-FR"/>
        </w:rPr>
        <w:t>autorité qui statue revêtent une importance cruciale lorsqu</w:t>
      </w:r>
      <w:r w:rsidR="003C2190">
        <w:rPr>
          <w:rFonts w:eastAsia="MS Mincho"/>
          <w:lang w:val="fr-FR"/>
        </w:rPr>
        <w:t>’</w:t>
      </w:r>
      <w:r>
        <w:rPr>
          <w:rFonts w:eastAsia="MS Mincho"/>
          <w:lang w:val="fr-FR"/>
        </w:rPr>
        <w:t>il s</w:t>
      </w:r>
      <w:r w:rsidR="003C2190">
        <w:rPr>
          <w:rFonts w:eastAsia="MS Mincho"/>
          <w:lang w:val="fr-FR"/>
        </w:rPr>
        <w:t>’</w:t>
      </w:r>
      <w:r>
        <w:rPr>
          <w:rFonts w:eastAsia="MS Mincho"/>
          <w:lang w:val="fr-FR"/>
        </w:rPr>
        <w:t>agit d</w:t>
      </w:r>
      <w:r w:rsidR="003C2190">
        <w:rPr>
          <w:rFonts w:eastAsia="MS Mincho"/>
          <w:lang w:val="fr-FR"/>
        </w:rPr>
        <w:t>’</w:t>
      </w:r>
      <w:r>
        <w:rPr>
          <w:rFonts w:eastAsia="MS Mincho"/>
          <w:lang w:val="fr-FR"/>
        </w:rPr>
        <w:t>apprécier la compatibilité avec l</w:t>
      </w:r>
      <w:r w:rsidR="003C2190">
        <w:rPr>
          <w:rFonts w:eastAsia="MS Mincho"/>
          <w:lang w:val="fr-FR"/>
        </w:rPr>
        <w:t>’</w:t>
      </w:r>
      <w:r>
        <w:rPr>
          <w:rFonts w:eastAsia="MS Mincho"/>
          <w:lang w:val="fr-FR"/>
        </w:rPr>
        <w:t>article 6 § 2 de la décision et du raisonnement suivi (</w:t>
      </w:r>
      <w:r>
        <w:rPr>
          <w:i/>
          <w:lang w:val="fr-FR" w:eastAsia="fr-FR"/>
        </w:rPr>
        <w:t>Allen</w:t>
      </w:r>
      <w:r>
        <w:rPr>
          <w:snapToGrid w:val="0"/>
          <w:lang w:val="fr-FR" w:eastAsia="fr-FR"/>
        </w:rPr>
        <w:t>, précité, § 125</w:t>
      </w:r>
      <w:r>
        <w:rPr>
          <w:rFonts w:eastAsia="MS Mincho"/>
          <w:lang w:val="fr-FR"/>
        </w:rPr>
        <w:t>).</w:t>
      </w:r>
    </w:p>
    <w:p w:rsidR="00AF0E1F" w:rsidRPr="004266D9" w:rsidRDefault="00AF0E1F" w:rsidP="00AF0E1F">
      <w:pPr>
        <w:pStyle w:val="ECHRPara"/>
        <w:rPr>
          <w:rFonts w:eastAsia="MS Mincho"/>
          <w:lang w:val="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85</w:t>
      </w:r>
      <w:r>
        <w:rPr>
          <w:rFonts w:eastAsia="MS Mincho"/>
          <w:lang w:val="fr-FR"/>
        </w:rPr>
        <w:fldChar w:fldCharType="end"/>
      </w:r>
      <w:r>
        <w:rPr>
          <w:rFonts w:eastAsia="MS Mincho"/>
          <w:lang w:val="fr-FR"/>
        </w:rPr>
        <w:t>.  La Cour a déjà considéré qu</w:t>
      </w:r>
      <w:r w:rsidR="003C2190">
        <w:rPr>
          <w:rFonts w:eastAsia="MS Mincho"/>
          <w:lang w:val="fr-FR"/>
        </w:rPr>
        <w:t>’</w:t>
      </w:r>
      <w:r>
        <w:rPr>
          <w:rFonts w:eastAsia="MS Mincho"/>
          <w:lang w:val="fr-FR"/>
        </w:rPr>
        <w:t>après l</w:t>
      </w:r>
      <w:r w:rsidR="003C2190">
        <w:rPr>
          <w:rFonts w:eastAsia="MS Mincho"/>
          <w:lang w:val="fr-FR"/>
        </w:rPr>
        <w:t>’</w:t>
      </w:r>
      <w:r>
        <w:rPr>
          <w:rFonts w:eastAsia="MS Mincho"/>
          <w:lang w:val="fr-FR"/>
        </w:rPr>
        <w:t>abandon de poursuites pénales la présomption d</w:t>
      </w:r>
      <w:r w:rsidR="003C2190">
        <w:rPr>
          <w:rFonts w:eastAsia="MS Mincho"/>
          <w:lang w:val="fr-FR"/>
        </w:rPr>
        <w:t>’</w:t>
      </w:r>
      <w:r>
        <w:rPr>
          <w:rFonts w:eastAsia="MS Mincho"/>
          <w:lang w:val="fr-FR"/>
        </w:rPr>
        <w:t xml:space="preserve">innocence exige de tenir compte, dans toute procédure </w:t>
      </w:r>
      <w:r>
        <w:rPr>
          <w:rFonts w:eastAsia="MS Mincho"/>
          <w:lang w:val="fr-FR"/>
        </w:rPr>
        <w:lastRenderedPageBreak/>
        <w:t>ultérieure, de quelque nature qu</w:t>
      </w:r>
      <w:r w:rsidR="003C2190">
        <w:rPr>
          <w:rFonts w:eastAsia="MS Mincho"/>
          <w:lang w:val="fr-FR"/>
        </w:rPr>
        <w:t>’</w:t>
      </w:r>
      <w:r>
        <w:rPr>
          <w:rFonts w:eastAsia="MS Mincho"/>
          <w:lang w:val="fr-FR"/>
        </w:rPr>
        <w:t>elle soit, du fait que l</w:t>
      </w:r>
      <w:r w:rsidR="003C2190">
        <w:rPr>
          <w:rFonts w:eastAsia="MS Mincho"/>
          <w:lang w:val="fr-FR"/>
        </w:rPr>
        <w:t>’</w:t>
      </w:r>
      <w:r>
        <w:rPr>
          <w:rFonts w:eastAsia="MS Mincho"/>
          <w:lang w:val="fr-FR"/>
        </w:rPr>
        <w:t>intéressé n</w:t>
      </w:r>
      <w:r w:rsidR="003C2190">
        <w:rPr>
          <w:rFonts w:eastAsia="MS Mincho"/>
          <w:lang w:val="fr-FR"/>
        </w:rPr>
        <w:t>’</w:t>
      </w:r>
      <w:r>
        <w:rPr>
          <w:rFonts w:eastAsia="MS Mincho"/>
          <w:lang w:val="fr-FR"/>
        </w:rPr>
        <w:t>a pas été condamné (</w:t>
      </w:r>
      <w:r>
        <w:rPr>
          <w:i/>
          <w:lang w:val="fr-FR" w:eastAsia="fr-FR"/>
        </w:rPr>
        <w:t>Vanjak</w:t>
      </w:r>
      <w:r>
        <w:rPr>
          <w:snapToGrid w:val="0"/>
          <w:lang w:val="fr-FR" w:eastAsia="fr-FR"/>
        </w:rPr>
        <w:t>, précité, § 41</w:t>
      </w:r>
      <w:r>
        <w:rPr>
          <w:rFonts w:eastAsia="MS Mincho"/>
          <w:lang w:val="fr-FR"/>
        </w:rPr>
        <w:t>). Elle a également indiqué que le dispositif d</w:t>
      </w:r>
      <w:r w:rsidR="003C2190">
        <w:rPr>
          <w:rFonts w:eastAsia="MS Mincho"/>
          <w:lang w:val="fr-FR"/>
        </w:rPr>
        <w:t>’</w:t>
      </w:r>
      <w:r>
        <w:rPr>
          <w:rFonts w:eastAsia="MS Mincho"/>
          <w:lang w:val="fr-FR"/>
        </w:rPr>
        <w:t>un jugement d</w:t>
      </w:r>
      <w:r w:rsidR="003C2190">
        <w:rPr>
          <w:rFonts w:eastAsia="MS Mincho"/>
          <w:lang w:val="fr-FR"/>
        </w:rPr>
        <w:t>’</w:t>
      </w:r>
      <w:r>
        <w:rPr>
          <w:rFonts w:eastAsia="MS Mincho"/>
          <w:lang w:val="fr-FR"/>
        </w:rPr>
        <w:t>acquittement doit être respecté par toute autorité qui se prononce, de manière directe ou incidente, sur la responsabilité pénale de l</w:t>
      </w:r>
      <w:r w:rsidR="003C2190">
        <w:rPr>
          <w:rFonts w:eastAsia="MS Mincho"/>
          <w:lang w:val="fr-FR"/>
        </w:rPr>
        <w:t>’</w:t>
      </w:r>
      <w:r>
        <w:rPr>
          <w:rFonts w:eastAsia="MS Mincho"/>
          <w:lang w:val="fr-FR"/>
        </w:rPr>
        <w:t>intéressé (</w:t>
      </w:r>
      <w:r>
        <w:rPr>
          <w:i/>
          <w:szCs w:val="24"/>
          <w:lang w:val="fr-FR" w:eastAsia="fr-FR"/>
        </w:rPr>
        <w:t>Vassilios Stavropoulos c. Grèce</w:t>
      </w:r>
      <w:r>
        <w:rPr>
          <w:szCs w:val="24"/>
          <w:lang w:val="fr-FR" w:eastAsia="fr-FR"/>
        </w:rPr>
        <w:t>, n</w:t>
      </w:r>
      <w:r>
        <w:rPr>
          <w:szCs w:val="24"/>
          <w:vertAlign w:val="superscript"/>
          <w:lang w:val="fr-FR" w:eastAsia="fr-FR"/>
        </w:rPr>
        <w:t>o</w:t>
      </w:r>
      <w:r>
        <w:rPr>
          <w:szCs w:val="24"/>
          <w:lang w:val="fr-FR" w:eastAsia="fr-FR"/>
        </w:rPr>
        <w:t xml:space="preserve"> 35522/04, § 39, 27 septembre </w:t>
      </w:r>
      <w:r w:rsidRPr="004266D9">
        <w:rPr>
          <w:szCs w:val="24"/>
          <w:lang w:val="fr-FR" w:eastAsia="fr-FR"/>
        </w:rPr>
        <w:t>2007</w:t>
      </w:r>
      <w:r w:rsidRPr="004266D9">
        <w:rPr>
          <w:rFonts w:eastAsia="MS Mincho"/>
          <w:lang w:val="fr-FR"/>
        </w:rPr>
        <w:t xml:space="preserve">). </w:t>
      </w:r>
      <w:r w:rsidRPr="004266D9">
        <w:rPr>
          <w:bCs/>
          <w:snapToGrid w:val="0"/>
          <w:lang w:val="fr-FR" w:eastAsia="fr-FR"/>
        </w:rPr>
        <w:t>En somme,  </w:t>
      </w:r>
      <w:r w:rsidRPr="004266D9">
        <w:rPr>
          <w:bCs/>
          <w:lang w:val="fr-FR"/>
        </w:rPr>
        <w:t>la présomption d</w:t>
      </w:r>
      <w:r w:rsidR="003C2190">
        <w:rPr>
          <w:bCs/>
          <w:lang w:val="fr-FR"/>
        </w:rPr>
        <w:t>’</w:t>
      </w:r>
      <w:r w:rsidRPr="004266D9">
        <w:rPr>
          <w:bCs/>
          <w:lang w:val="fr-FR"/>
        </w:rPr>
        <w:t>innocence signifie que si une accusation en matière pénale a été portée et que les poursuites ont abouti à un acquittement, la personne ayant fait l</w:t>
      </w:r>
      <w:r w:rsidR="003C2190">
        <w:rPr>
          <w:bCs/>
          <w:lang w:val="fr-FR"/>
        </w:rPr>
        <w:t>’</w:t>
      </w:r>
      <w:r w:rsidRPr="004266D9">
        <w:rPr>
          <w:bCs/>
          <w:lang w:val="fr-FR"/>
        </w:rPr>
        <w:t>objet de ces poursuites est considérée comme innocente au regard de la loi et doit être traitée comme telle. Dans cette mesure, dès lors, la présomption d</w:t>
      </w:r>
      <w:r w:rsidR="003C2190">
        <w:rPr>
          <w:bCs/>
          <w:lang w:val="fr-FR"/>
        </w:rPr>
        <w:t>’</w:t>
      </w:r>
      <w:r w:rsidRPr="004266D9">
        <w:rPr>
          <w:bCs/>
          <w:lang w:val="fr-FR"/>
        </w:rPr>
        <w:t>innocence subsiste après la clôture de la procédure pénale, ce qui permet de faire respecter l</w:t>
      </w:r>
      <w:r w:rsidR="003C2190">
        <w:rPr>
          <w:bCs/>
          <w:lang w:val="fr-FR"/>
        </w:rPr>
        <w:t>’</w:t>
      </w:r>
      <w:r w:rsidRPr="004266D9">
        <w:rPr>
          <w:bCs/>
          <w:lang w:val="fr-FR"/>
        </w:rPr>
        <w:t>innocence de l</w:t>
      </w:r>
      <w:r w:rsidR="003C2190">
        <w:rPr>
          <w:bCs/>
          <w:lang w:val="fr-FR"/>
        </w:rPr>
        <w:t>’</w:t>
      </w:r>
      <w:r w:rsidRPr="004266D9">
        <w:rPr>
          <w:bCs/>
          <w:lang w:val="fr-FR"/>
        </w:rPr>
        <w:t>intéressé relativement à toute accusation dont le bien-fondé n</w:t>
      </w:r>
      <w:r w:rsidR="003C2190">
        <w:rPr>
          <w:bCs/>
          <w:lang w:val="fr-FR"/>
        </w:rPr>
        <w:t>’</w:t>
      </w:r>
      <w:r w:rsidRPr="004266D9">
        <w:rPr>
          <w:bCs/>
          <w:lang w:val="fr-FR"/>
        </w:rPr>
        <w:t>a pas été prouvé (</w:t>
      </w:r>
      <w:r w:rsidRPr="004266D9">
        <w:rPr>
          <w:bCs/>
          <w:i/>
          <w:iCs/>
          <w:lang w:val="fr-FR"/>
        </w:rPr>
        <w:t xml:space="preserve">Allen, </w:t>
      </w:r>
      <w:r w:rsidRPr="004266D9">
        <w:rPr>
          <w:bCs/>
          <w:lang w:val="fr-FR"/>
        </w:rPr>
        <w:t>précité, § 103).</w:t>
      </w:r>
    </w:p>
    <w:p w:rsidR="009A0B2E" w:rsidRDefault="009A0B2E" w:rsidP="009A0B2E">
      <w:pPr>
        <w:pStyle w:val="ECHRHeading5"/>
        <w:rPr>
          <w:lang w:val="fr-FR"/>
        </w:rPr>
      </w:pPr>
      <w:r>
        <w:rPr>
          <w:lang w:val="fr-FR"/>
        </w:rPr>
        <w:t>ii.  Application en l</w:t>
      </w:r>
      <w:r w:rsidR="003C2190">
        <w:rPr>
          <w:lang w:val="fr-FR"/>
        </w:rPr>
        <w:t>’</w:t>
      </w:r>
      <w:r>
        <w:rPr>
          <w:lang w:val="fr-FR"/>
        </w:rPr>
        <w:t>espèce des principes susmentionnés</w:t>
      </w:r>
    </w:p>
    <w:p w:rsidR="00AF131B" w:rsidRDefault="009A0B2E" w:rsidP="009A0B2E">
      <w:pPr>
        <w:pStyle w:val="ECHRPara"/>
        <w:rPr>
          <w:rFonts w:ascii="Times New Roman" w:eastAsia="MS Mincho" w:hAnsi="Times New Roman" w:cs="Times New Roman"/>
          <w:lang w:val="fr-FR"/>
        </w:rPr>
      </w:pPr>
      <w:r>
        <w:rPr>
          <w:rFonts w:ascii="Times New Roman" w:eastAsia="MS Mincho" w:hAnsi="Times New Roman" w:cs="Times New Roman"/>
          <w:lang w:val="fr-FR"/>
        </w:rPr>
        <w:fldChar w:fldCharType="begin"/>
      </w:r>
      <w:r>
        <w:rPr>
          <w:rFonts w:ascii="Times New Roman" w:eastAsia="MS Mincho" w:hAnsi="Times New Roman" w:cs="Times New Roman"/>
          <w:lang w:val="fr-FR"/>
        </w:rPr>
        <w:instrText xml:space="preserve"> SEQ level0 \*arabic </w:instrText>
      </w:r>
      <w:r>
        <w:rPr>
          <w:rFonts w:ascii="Times New Roman" w:eastAsia="MS Mincho" w:hAnsi="Times New Roman" w:cs="Times New Roman"/>
          <w:lang w:val="fr-FR"/>
        </w:rPr>
        <w:fldChar w:fldCharType="separate"/>
      </w:r>
      <w:r w:rsidR="00BD469E">
        <w:rPr>
          <w:rFonts w:ascii="Times New Roman" w:eastAsia="MS Mincho" w:hAnsi="Times New Roman" w:cs="Times New Roman"/>
          <w:noProof/>
          <w:lang w:val="fr-FR"/>
        </w:rPr>
        <w:t>86</w:t>
      </w:r>
      <w:r>
        <w:rPr>
          <w:rFonts w:ascii="Times New Roman" w:eastAsia="MS Mincho" w:hAnsi="Times New Roman" w:cs="Times New Roman"/>
          <w:lang w:val="fr-FR"/>
        </w:rPr>
        <w:fldChar w:fldCharType="end"/>
      </w:r>
      <w:r>
        <w:rPr>
          <w:rFonts w:ascii="Times New Roman" w:eastAsia="MS Mincho" w:hAnsi="Times New Roman" w:cs="Times New Roman"/>
          <w:lang w:val="fr-FR"/>
        </w:rPr>
        <w:t>.  La Cour note d</w:t>
      </w:r>
      <w:r w:rsidR="003C2190">
        <w:rPr>
          <w:rFonts w:ascii="Times New Roman" w:eastAsia="MS Mincho" w:hAnsi="Times New Roman" w:cs="Times New Roman"/>
          <w:lang w:val="fr-FR"/>
        </w:rPr>
        <w:t>’</w:t>
      </w:r>
      <w:r>
        <w:rPr>
          <w:rFonts w:ascii="Times New Roman" w:eastAsia="MS Mincho" w:hAnsi="Times New Roman" w:cs="Times New Roman"/>
          <w:lang w:val="fr-FR"/>
        </w:rPr>
        <w:t>emblée qu</w:t>
      </w:r>
      <w:r w:rsidR="003C2190">
        <w:rPr>
          <w:rFonts w:ascii="Times New Roman" w:eastAsia="MS Mincho" w:hAnsi="Times New Roman" w:cs="Times New Roman"/>
          <w:lang w:val="fr-FR"/>
        </w:rPr>
        <w:t>’</w:t>
      </w:r>
      <w:r>
        <w:rPr>
          <w:rFonts w:ascii="Times New Roman" w:eastAsia="MS Mincho" w:hAnsi="Times New Roman" w:cs="Times New Roman"/>
          <w:lang w:val="fr-FR"/>
        </w:rPr>
        <w:t xml:space="preserve">en ce qui concerne la nature des procédures administratives et le contexte dans lequel les décisions des juridictions administratives ont été adoptées, ceux-ci se rapportaient à la matière pénale (voir paragraphe </w:t>
      </w:r>
      <w:r w:rsidR="001D1C62">
        <w:rPr>
          <w:rFonts w:ascii="Times New Roman" w:eastAsia="MS Mincho" w:hAnsi="Times New Roman" w:cs="Times New Roman"/>
          <w:lang w:val="fr-FR"/>
        </w:rPr>
        <w:t>7</w:t>
      </w:r>
      <w:r w:rsidR="004266D9">
        <w:rPr>
          <w:rFonts w:ascii="Times New Roman" w:eastAsia="MS Mincho" w:hAnsi="Times New Roman" w:cs="Times New Roman"/>
          <w:lang w:val="fr-FR"/>
        </w:rPr>
        <w:t>4</w:t>
      </w:r>
      <w:r>
        <w:rPr>
          <w:rFonts w:ascii="Times New Roman" w:eastAsia="MS Mincho" w:hAnsi="Times New Roman" w:cs="Times New Roman"/>
          <w:lang w:val="fr-FR"/>
        </w:rPr>
        <w:t xml:space="preserve"> ci-dessus). En d</w:t>
      </w:r>
      <w:r w:rsidR="003C2190">
        <w:rPr>
          <w:rFonts w:ascii="Times New Roman" w:eastAsia="MS Mincho" w:hAnsi="Times New Roman" w:cs="Times New Roman"/>
          <w:lang w:val="fr-FR"/>
        </w:rPr>
        <w:t>’</w:t>
      </w:r>
      <w:r>
        <w:rPr>
          <w:rFonts w:ascii="Times New Roman" w:eastAsia="MS Mincho" w:hAnsi="Times New Roman" w:cs="Times New Roman"/>
          <w:lang w:val="fr-FR"/>
        </w:rPr>
        <w:t>autres termes, à travers les procédures consécutives à l</w:t>
      </w:r>
      <w:r w:rsidR="003C2190">
        <w:rPr>
          <w:rFonts w:ascii="Times New Roman" w:eastAsia="MS Mincho" w:hAnsi="Times New Roman" w:cs="Times New Roman"/>
          <w:lang w:val="fr-FR"/>
        </w:rPr>
        <w:t>’</w:t>
      </w:r>
      <w:r>
        <w:rPr>
          <w:rFonts w:ascii="Times New Roman" w:eastAsia="MS Mincho" w:hAnsi="Times New Roman" w:cs="Times New Roman"/>
          <w:lang w:val="fr-FR"/>
        </w:rPr>
        <w:t>acquittement des requérants par les tribunaux pénaux, les juridictions administratives ont examiné, au sens de la Convention, le « bien-fondé » des accusations en matière pénale ; dans les deux séries de procédures, pénales et administratives, les sanctions prévues présentaient un caractère punitif. De surcroît, comme il ressort du dossier, les faits imputés aux requérants étaient identiques et les éléments constitutifs des infractions en cause étaient les mêmes.</w:t>
      </w:r>
    </w:p>
    <w:p w:rsidR="009A0B2E" w:rsidRPr="001B0624" w:rsidRDefault="009A0B2E" w:rsidP="009072E4">
      <w:pPr>
        <w:pStyle w:val="ECHRPara"/>
        <w:rPr>
          <w:lang w:val="fr-FR"/>
        </w:rPr>
      </w:pPr>
      <w:r w:rsidRPr="009072E4">
        <w:fldChar w:fldCharType="begin"/>
      </w:r>
      <w:r w:rsidRPr="009072E4">
        <w:rPr>
          <w:lang w:val="fr-FR"/>
        </w:rPr>
        <w:instrText xml:space="preserve"> SEQ level0 \*arabic </w:instrText>
      </w:r>
      <w:r w:rsidRPr="009072E4">
        <w:fldChar w:fldCharType="separate"/>
      </w:r>
      <w:r w:rsidR="00BD469E" w:rsidRPr="009072E4">
        <w:rPr>
          <w:lang w:val="fr-FR"/>
        </w:rPr>
        <w:t>87</w:t>
      </w:r>
      <w:r w:rsidRPr="009072E4">
        <w:fldChar w:fldCharType="end"/>
      </w:r>
      <w:r w:rsidRPr="009072E4">
        <w:rPr>
          <w:lang w:val="fr-FR"/>
        </w:rPr>
        <w:t>.  La présente affaire se distingue ainsi clairement des affaires déjà examinées par la Cour où l</w:t>
      </w:r>
      <w:r w:rsidR="003C2190">
        <w:rPr>
          <w:lang w:val="fr-FR"/>
        </w:rPr>
        <w:t>’</w:t>
      </w:r>
      <w:r w:rsidRPr="009072E4">
        <w:rPr>
          <w:lang w:val="fr-FR"/>
        </w:rPr>
        <w:t>autorité administrative investie d</w:t>
      </w:r>
      <w:r w:rsidR="003C2190">
        <w:rPr>
          <w:lang w:val="fr-FR"/>
        </w:rPr>
        <w:t>’</w:t>
      </w:r>
      <w:r w:rsidRPr="009072E4">
        <w:rPr>
          <w:lang w:val="fr-FR"/>
        </w:rPr>
        <w:t xml:space="preserve">un pouvoir disciplinaire avait sanctionné des faits reprochés à un agent public suite à son acquittement au pénal (voir </w:t>
      </w:r>
      <w:r w:rsidR="009072E4" w:rsidRPr="009072E4">
        <w:rPr>
          <w:i/>
          <w:lang w:val="fr-FR"/>
        </w:rPr>
        <w:t>Moullet c. France</w:t>
      </w:r>
      <w:r w:rsidRPr="009072E4">
        <w:rPr>
          <w:lang w:val="fr-FR"/>
        </w:rPr>
        <w:t xml:space="preserve"> (déc.), no</w:t>
      </w:r>
      <w:r w:rsidR="009072E4" w:rsidRPr="009072E4">
        <w:rPr>
          <w:lang w:val="fr-FR"/>
        </w:rPr>
        <w:t> 27521/04, 13 septembre 2007</w:t>
      </w:r>
      <w:r w:rsidRPr="009072E4">
        <w:rPr>
          <w:lang w:val="fr-FR"/>
        </w:rPr>
        <w:t xml:space="preserve">). </w:t>
      </w:r>
      <w:r w:rsidRPr="001B0624">
        <w:rPr>
          <w:lang w:val="fr-FR"/>
        </w:rPr>
        <w:t xml:space="preserve">Dans ces cas, la procédure disciplinaire présentait une certaine autonomie par rapport à la procédure pénale notamment dans les conditions de sa mise en œuvre et son objectif non répressif (voir, en ce sens, </w:t>
      </w:r>
      <w:r w:rsidRPr="001B0624">
        <w:rPr>
          <w:i/>
          <w:lang w:val="fr-FR"/>
        </w:rPr>
        <w:t>Vagenas c. Grèce</w:t>
      </w:r>
      <w:r w:rsidRPr="001B0624">
        <w:rPr>
          <w:lang w:val="fr-FR"/>
        </w:rPr>
        <w:t xml:space="preserve"> (déc.), no 53372/07, 23 août 2011). En raison de cette autonomie, l</w:t>
      </w:r>
      <w:r w:rsidR="003C2190">
        <w:rPr>
          <w:lang w:val="fr-FR"/>
        </w:rPr>
        <w:t>’</w:t>
      </w:r>
      <w:r w:rsidRPr="001B0624">
        <w:rPr>
          <w:lang w:val="fr-FR"/>
        </w:rPr>
        <w:t>imposition d</w:t>
      </w:r>
      <w:r w:rsidR="003C2190">
        <w:rPr>
          <w:lang w:val="fr-FR"/>
        </w:rPr>
        <w:t>’</w:t>
      </w:r>
      <w:r w:rsidRPr="001B0624">
        <w:rPr>
          <w:lang w:val="fr-FR"/>
        </w:rPr>
        <w:t>une sanction administrative à l</w:t>
      </w:r>
      <w:r w:rsidR="003C2190">
        <w:rPr>
          <w:lang w:val="fr-FR"/>
        </w:rPr>
        <w:t>’</w:t>
      </w:r>
      <w:r w:rsidRPr="001B0624">
        <w:rPr>
          <w:lang w:val="fr-FR"/>
        </w:rPr>
        <w:t>agent concerné n</w:t>
      </w:r>
      <w:r w:rsidR="003C2190">
        <w:rPr>
          <w:lang w:val="fr-FR"/>
        </w:rPr>
        <w:t>’</w:t>
      </w:r>
      <w:r w:rsidRPr="001B0624">
        <w:rPr>
          <w:lang w:val="fr-FR"/>
        </w:rPr>
        <w:t>avait pas été considérée comme méconnaissant elle-même le principe de la présomption d</w:t>
      </w:r>
      <w:r w:rsidR="003C2190">
        <w:rPr>
          <w:lang w:val="fr-FR"/>
        </w:rPr>
        <w:t>’</w:t>
      </w:r>
      <w:r w:rsidRPr="001B0624">
        <w:rPr>
          <w:lang w:val="fr-FR"/>
        </w:rPr>
        <w:t xml:space="preserve">innocence, dans la mesure où la décision de la juridiction administrative ne renfermait pas une déclaration imputant une responsabilité pénale au requérant (voir </w:t>
      </w:r>
      <w:r w:rsidRPr="001B0624">
        <w:rPr>
          <w:i/>
          <w:lang w:val="fr-FR"/>
        </w:rPr>
        <w:t>Vanjak</w:t>
      </w:r>
      <w:r w:rsidRPr="001B0624">
        <w:rPr>
          <w:lang w:val="fr-FR"/>
        </w:rPr>
        <w:t xml:space="preserve">, précité, §§ 69-72; </w:t>
      </w:r>
      <w:r w:rsidRPr="001B0624">
        <w:rPr>
          <w:i/>
          <w:lang w:val="fr-FR"/>
        </w:rPr>
        <w:t>Hrdalo</w:t>
      </w:r>
      <w:r w:rsidR="00D72AF5" w:rsidRPr="001B0624">
        <w:rPr>
          <w:lang w:val="fr-FR"/>
        </w:rPr>
        <w:t>, précité, §§ 54</w:t>
      </w:r>
      <w:r w:rsidR="00D72AF5" w:rsidRPr="001B0624">
        <w:rPr>
          <w:lang w:val="fr-FR"/>
        </w:rPr>
        <w:noBreakHyphen/>
      </w:r>
      <w:r w:rsidRPr="001B0624">
        <w:rPr>
          <w:lang w:val="fr-FR"/>
        </w:rPr>
        <w:t>55).</w:t>
      </w:r>
    </w:p>
    <w:p w:rsidR="00AF131B" w:rsidRDefault="009A0B2E" w:rsidP="009A0B2E">
      <w:pPr>
        <w:pStyle w:val="ECHRPara"/>
        <w:rPr>
          <w:rFonts w:ascii="Times New Roman" w:eastAsia="MS Mincho" w:hAnsi="Times New Roman" w:cs="Times New Roman"/>
          <w:lang w:val="fr-FR"/>
        </w:rPr>
      </w:pPr>
      <w:r>
        <w:rPr>
          <w:rFonts w:ascii="Times New Roman" w:eastAsia="MS Mincho" w:hAnsi="Times New Roman" w:cs="Times New Roman"/>
          <w:lang w:val="fr-FR"/>
        </w:rPr>
        <w:fldChar w:fldCharType="begin"/>
      </w:r>
      <w:r>
        <w:rPr>
          <w:rFonts w:ascii="Times New Roman" w:eastAsia="MS Mincho" w:hAnsi="Times New Roman" w:cs="Times New Roman"/>
          <w:lang w:val="fr-FR"/>
        </w:rPr>
        <w:instrText xml:space="preserve"> SEQ level0 \*arabic </w:instrText>
      </w:r>
      <w:r>
        <w:rPr>
          <w:rFonts w:ascii="Times New Roman" w:eastAsia="MS Mincho" w:hAnsi="Times New Roman" w:cs="Times New Roman"/>
          <w:lang w:val="fr-FR"/>
        </w:rPr>
        <w:fldChar w:fldCharType="separate"/>
      </w:r>
      <w:r w:rsidR="00BD469E">
        <w:rPr>
          <w:rFonts w:ascii="Times New Roman" w:eastAsia="MS Mincho" w:hAnsi="Times New Roman" w:cs="Times New Roman"/>
          <w:noProof/>
          <w:lang w:val="fr-FR"/>
        </w:rPr>
        <w:t>88</w:t>
      </w:r>
      <w:r>
        <w:rPr>
          <w:rFonts w:ascii="Times New Roman" w:eastAsia="MS Mincho" w:hAnsi="Times New Roman" w:cs="Times New Roman"/>
          <w:lang w:val="fr-FR"/>
        </w:rPr>
        <w:fldChar w:fldCharType="end"/>
      </w:r>
      <w:r>
        <w:rPr>
          <w:rFonts w:ascii="Times New Roman" w:eastAsia="MS Mincho" w:hAnsi="Times New Roman" w:cs="Times New Roman"/>
          <w:lang w:val="fr-FR"/>
        </w:rPr>
        <w:t>.  En l</w:t>
      </w:r>
      <w:r w:rsidR="003C2190">
        <w:rPr>
          <w:rFonts w:ascii="Times New Roman" w:eastAsia="MS Mincho" w:hAnsi="Times New Roman" w:cs="Times New Roman"/>
          <w:lang w:val="fr-FR"/>
        </w:rPr>
        <w:t>’</w:t>
      </w:r>
      <w:r>
        <w:rPr>
          <w:rFonts w:ascii="Times New Roman" w:eastAsia="MS Mincho" w:hAnsi="Times New Roman" w:cs="Times New Roman"/>
          <w:lang w:val="fr-FR"/>
        </w:rPr>
        <w:t xml:space="preserve">occurrence, les juridictions administratives de fond ont considéré, après avoir procédé à une appréciation des éléments des dossiers différente que celle appliquée par les juridictions pénales, que les requérants avaient commis les mêmes infractions de contrebande pour lesquelles ils </w:t>
      </w:r>
      <w:r>
        <w:rPr>
          <w:rFonts w:ascii="Times New Roman" w:eastAsia="MS Mincho" w:hAnsi="Times New Roman" w:cs="Times New Roman"/>
          <w:lang w:val="fr-FR"/>
        </w:rPr>
        <w:lastRenderedPageBreak/>
        <w:t>avaient précédemment été acquittés par les juridictions pénales. Ces considérations ont par la suite été confirmées, en dernière instance, par le Conseil d</w:t>
      </w:r>
      <w:r w:rsidR="003C2190">
        <w:rPr>
          <w:rFonts w:ascii="Times New Roman" w:eastAsia="MS Mincho" w:hAnsi="Times New Roman" w:cs="Times New Roman"/>
          <w:lang w:val="fr-FR"/>
        </w:rPr>
        <w:t>’</w:t>
      </w:r>
      <w:r>
        <w:rPr>
          <w:rFonts w:ascii="Times New Roman" w:eastAsia="MS Mincho" w:hAnsi="Times New Roman" w:cs="Times New Roman"/>
          <w:lang w:val="fr-FR"/>
        </w:rPr>
        <w:t>État. Étant donné l</w:t>
      </w:r>
      <w:r w:rsidR="003C2190">
        <w:rPr>
          <w:rFonts w:ascii="Times New Roman" w:eastAsia="MS Mincho" w:hAnsi="Times New Roman" w:cs="Times New Roman"/>
          <w:lang w:val="fr-FR"/>
        </w:rPr>
        <w:t>’</w:t>
      </w:r>
      <w:r>
        <w:rPr>
          <w:rFonts w:ascii="Times New Roman" w:eastAsia="MS Mincho" w:hAnsi="Times New Roman" w:cs="Times New Roman"/>
          <w:lang w:val="fr-FR"/>
        </w:rPr>
        <w:t>identité de la nature des deux séries de procédures en cause, des faits litigieux et des éléments constitutifs des infractions concernées, la Cour considère que la conclusion précitée des juridictions administratives a méconnu le principe de la présomption d</w:t>
      </w:r>
      <w:r w:rsidR="003C2190">
        <w:rPr>
          <w:rFonts w:ascii="Times New Roman" w:eastAsia="MS Mincho" w:hAnsi="Times New Roman" w:cs="Times New Roman"/>
          <w:lang w:val="fr-FR"/>
        </w:rPr>
        <w:t>’</w:t>
      </w:r>
      <w:r>
        <w:rPr>
          <w:rFonts w:ascii="Times New Roman" w:eastAsia="MS Mincho" w:hAnsi="Times New Roman" w:cs="Times New Roman"/>
          <w:lang w:val="fr-FR"/>
        </w:rPr>
        <w:t>innocence des requérants déjà établi par les jugements d</w:t>
      </w:r>
      <w:r w:rsidR="003C2190">
        <w:rPr>
          <w:rFonts w:ascii="Times New Roman" w:eastAsia="MS Mincho" w:hAnsi="Times New Roman" w:cs="Times New Roman"/>
          <w:lang w:val="fr-FR"/>
        </w:rPr>
        <w:t>’</w:t>
      </w:r>
      <w:r>
        <w:rPr>
          <w:rFonts w:ascii="Times New Roman" w:eastAsia="MS Mincho" w:hAnsi="Times New Roman" w:cs="Times New Roman"/>
          <w:lang w:val="fr-FR"/>
        </w:rPr>
        <w:t>acquittement des tribunaux pénaux. Partant, il y a eu violation de l</w:t>
      </w:r>
      <w:r w:rsidR="003C2190">
        <w:rPr>
          <w:rFonts w:ascii="Times New Roman" w:eastAsia="MS Mincho" w:hAnsi="Times New Roman" w:cs="Times New Roman"/>
          <w:lang w:val="fr-FR"/>
        </w:rPr>
        <w:t>’</w:t>
      </w:r>
      <w:r>
        <w:rPr>
          <w:rFonts w:ascii="Times New Roman" w:eastAsia="MS Mincho" w:hAnsi="Times New Roman" w:cs="Times New Roman"/>
          <w:lang w:val="fr-FR"/>
        </w:rPr>
        <w:t>article 6 § 2 de la Convention.</w:t>
      </w:r>
    </w:p>
    <w:p w:rsidR="009A0B2E" w:rsidRDefault="009A0B2E" w:rsidP="00FB14A2">
      <w:pPr>
        <w:pStyle w:val="ECHRHeading1"/>
        <w:rPr>
          <w:rFonts w:eastAsia="MS Gothic"/>
          <w:lang w:val="fr-FR"/>
        </w:rPr>
      </w:pPr>
      <w:r>
        <w:rPr>
          <w:rFonts w:eastAsia="MS Gothic"/>
          <w:lang w:val="fr-FR"/>
        </w:rPr>
        <w:t>III.  SUR LA VIOLATION ALLÉGUÉE DES ARTICLES 6 § 1 ET 13 DE LA CONVENTION ΕΝ CE QUI CONCERNE LA DURÉE DE LA PROCÉDURE</w:t>
      </w:r>
    </w:p>
    <w:p w:rsidR="009A0B2E" w:rsidRDefault="009A0B2E" w:rsidP="000E6085">
      <w:pPr>
        <w:pStyle w:val="ECHRPara"/>
        <w:rPr>
          <w:rFonts w:eastAsia="MS Mincho"/>
          <w:lang w:val="fr-FR" w:eastAsia="fr-FR"/>
        </w:rPr>
      </w:pPr>
      <w:r>
        <w:rPr>
          <w:rFonts w:eastAsia="MS Mincho"/>
          <w:lang w:val="fr-FR"/>
        </w:rPr>
        <w:fldChar w:fldCharType="begin"/>
      </w:r>
      <w:r>
        <w:rPr>
          <w:rFonts w:eastAsia="MS Mincho"/>
          <w:lang w:val="fr-FR"/>
        </w:rPr>
        <w:instrText xml:space="preserve"> SEQ level0 \*arabic </w:instrText>
      </w:r>
      <w:r>
        <w:rPr>
          <w:rFonts w:eastAsia="MS Mincho"/>
          <w:lang w:val="fr-FR"/>
        </w:rPr>
        <w:fldChar w:fldCharType="separate"/>
      </w:r>
      <w:r w:rsidR="00BD469E">
        <w:rPr>
          <w:rFonts w:eastAsia="MS Mincho"/>
          <w:noProof/>
          <w:lang w:val="fr-FR"/>
        </w:rPr>
        <w:t>89</w:t>
      </w:r>
      <w:r>
        <w:rPr>
          <w:rFonts w:eastAsia="MS Mincho"/>
          <w:lang w:val="fr-FR"/>
        </w:rPr>
        <w:fldChar w:fldCharType="end"/>
      </w:r>
      <w:r>
        <w:rPr>
          <w:rFonts w:eastAsia="MS Mincho"/>
          <w:lang w:val="fr-FR"/>
        </w:rPr>
        <w:t>.  Dans la requête n</w:t>
      </w:r>
      <w:r w:rsidR="007E7B24" w:rsidRPr="007E7B24">
        <w:rPr>
          <w:rFonts w:eastAsia="MS Mincho"/>
          <w:vertAlign w:val="superscript"/>
          <w:lang w:val="fr-FR"/>
        </w:rPr>
        <w:t>o</w:t>
      </w:r>
      <w:r>
        <w:rPr>
          <w:rFonts w:eastAsia="MS Mincho"/>
          <w:lang w:val="fr-FR"/>
        </w:rPr>
        <w:t xml:space="preserve"> 3453/12, le requérant se plaint </w:t>
      </w:r>
      <w:r>
        <w:rPr>
          <w:rFonts w:eastAsia="MS Mincho"/>
          <w:lang w:val="fr-FR" w:eastAsia="fr-FR"/>
        </w:rPr>
        <w:t>que la durée de la procédure a méconnu le principe du « délai raisonnable » tel que prévu par l</w:t>
      </w:r>
      <w:r w:rsidR="003C2190">
        <w:rPr>
          <w:rFonts w:eastAsia="MS Mincho"/>
          <w:lang w:val="fr-FR" w:eastAsia="fr-FR"/>
        </w:rPr>
        <w:t>’</w:t>
      </w:r>
      <w:r>
        <w:rPr>
          <w:rFonts w:eastAsia="MS Mincho"/>
          <w:lang w:val="fr-FR" w:eastAsia="fr-FR"/>
        </w:rPr>
        <w:t xml:space="preserve">article 6 § 1 de la Convention. Il </w:t>
      </w:r>
      <w:r>
        <w:rPr>
          <w:rFonts w:eastAsia="MS Mincho"/>
          <w:lang w:val="fr-FR" w:eastAsia="en-GB"/>
        </w:rPr>
        <w:t>affirme également qu</w:t>
      </w:r>
      <w:r w:rsidR="003C2190">
        <w:rPr>
          <w:rFonts w:eastAsia="MS Mincho"/>
          <w:lang w:val="fr-FR" w:eastAsia="en-GB"/>
        </w:rPr>
        <w:t>’</w:t>
      </w:r>
      <w:r>
        <w:rPr>
          <w:rFonts w:eastAsia="MS Mincho"/>
          <w:lang w:val="fr-FR" w:eastAsia="en-GB"/>
        </w:rPr>
        <w:t>à l</w:t>
      </w:r>
      <w:r w:rsidR="003C2190">
        <w:rPr>
          <w:rFonts w:eastAsia="MS Mincho"/>
          <w:lang w:val="fr-FR" w:eastAsia="en-GB"/>
        </w:rPr>
        <w:t>’</w:t>
      </w:r>
      <w:r>
        <w:rPr>
          <w:rFonts w:eastAsia="MS Mincho"/>
          <w:lang w:val="fr-FR" w:eastAsia="en-GB"/>
        </w:rPr>
        <w:t>époque des faits il n</w:t>
      </w:r>
      <w:r w:rsidR="003C2190">
        <w:rPr>
          <w:rFonts w:eastAsia="MS Mincho"/>
          <w:lang w:val="fr-FR" w:eastAsia="en-GB"/>
        </w:rPr>
        <w:t>’</w:t>
      </w:r>
      <w:r>
        <w:rPr>
          <w:rFonts w:eastAsia="MS Mincho"/>
          <w:lang w:val="fr-FR" w:eastAsia="en-GB"/>
        </w:rPr>
        <w:t>existait en Grèce aucun recours effectif pour se plaindre de la durée excessive de la procédure. Il invoque les articles 6 § 1 et 13 de la Convention, dispositions dont les parties pertinentes sont ainsi libellées :</w:t>
      </w:r>
    </w:p>
    <w:p w:rsidR="00AF131B" w:rsidRDefault="009A0B2E" w:rsidP="000E6085">
      <w:pPr>
        <w:pStyle w:val="ECHRTitleCentre3"/>
        <w:rPr>
          <w:rFonts w:eastAsia="MS Mincho"/>
          <w:lang w:val="fr-FR" w:eastAsia="fr-FR"/>
        </w:rPr>
      </w:pPr>
      <w:r>
        <w:rPr>
          <w:rFonts w:eastAsia="MS Mincho"/>
          <w:lang w:val="fr-FR" w:eastAsia="fr-FR"/>
        </w:rPr>
        <w:t>Article 6 § 1</w:t>
      </w:r>
    </w:p>
    <w:p w:rsidR="009A0B2E" w:rsidRDefault="009A0B2E" w:rsidP="009A0B2E">
      <w:pPr>
        <w:pStyle w:val="ECHRParaQuote"/>
        <w:rPr>
          <w:rFonts w:eastAsia="MS Mincho"/>
          <w:lang w:val="fr-FR" w:eastAsia="fr-FR"/>
        </w:rPr>
      </w:pPr>
      <w:r w:rsidRPr="009A0B2E">
        <w:rPr>
          <w:rFonts w:eastAsia="MS Mincho"/>
          <w:lang w:val="fr-FR"/>
        </w:rPr>
        <w:t>« Toute personne a droit à ce que sa cause soit entendue (...) dans un délai raisonnable, par un tribunal (...), qui décidera (...) des contestations sur ses droits et obligations de caractère civil (...) »</w:t>
      </w:r>
    </w:p>
    <w:p w:rsidR="009A0B2E" w:rsidRPr="000D3564" w:rsidRDefault="009A0B2E" w:rsidP="000E6085">
      <w:pPr>
        <w:pStyle w:val="ECHRTitleCentre3"/>
        <w:rPr>
          <w:lang w:val="fr-FR"/>
        </w:rPr>
      </w:pPr>
      <w:r w:rsidRPr="000D3564">
        <w:rPr>
          <w:lang w:val="fr-FR"/>
        </w:rPr>
        <w:t>Article 13</w:t>
      </w:r>
    </w:p>
    <w:p w:rsidR="009A0B2E" w:rsidRDefault="009A0B2E" w:rsidP="009A0B2E">
      <w:pPr>
        <w:pStyle w:val="ECHRParaQuote"/>
        <w:rPr>
          <w:rFonts w:eastAsia="MS Mincho"/>
          <w:lang w:val="fr-FR" w:eastAsia="en-GB"/>
        </w:rPr>
      </w:pPr>
      <w:r w:rsidRPr="009A0B2E">
        <w:rPr>
          <w:rFonts w:eastAsia="MS Mincho"/>
          <w:lang w:val="fr-FR" w:eastAsia="en-GB"/>
        </w:rPr>
        <w:t>« Toute personne dont les droits et libertés reconnus dans la (...) Convention ont été violés, a droit à l</w:t>
      </w:r>
      <w:r w:rsidR="003C2190">
        <w:rPr>
          <w:rFonts w:eastAsia="MS Mincho"/>
          <w:lang w:val="fr-FR" w:eastAsia="en-GB"/>
        </w:rPr>
        <w:t>’</w:t>
      </w:r>
      <w:r w:rsidRPr="009A0B2E">
        <w:rPr>
          <w:rFonts w:eastAsia="MS Mincho"/>
          <w:lang w:val="fr-FR" w:eastAsia="en-GB"/>
        </w:rPr>
        <w:t>octroi d</w:t>
      </w:r>
      <w:r w:rsidR="003C2190">
        <w:rPr>
          <w:rFonts w:eastAsia="MS Mincho"/>
          <w:lang w:val="fr-FR" w:eastAsia="en-GB"/>
        </w:rPr>
        <w:t>’</w:t>
      </w:r>
      <w:r w:rsidRPr="009A0B2E">
        <w:rPr>
          <w:rFonts w:eastAsia="MS Mincho"/>
          <w:lang w:val="fr-FR" w:eastAsia="en-GB"/>
        </w:rPr>
        <w:t>un recours effectif devant une instance nationale, alors même que la violation aurait été commise par des personnes agissant dans l</w:t>
      </w:r>
      <w:r w:rsidR="003C2190">
        <w:rPr>
          <w:rFonts w:eastAsia="MS Mincho"/>
          <w:lang w:val="fr-FR" w:eastAsia="en-GB"/>
        </w:rPr>
        <w:t>’</w:t>
      </w:r>
      <w:r w:rsidRPr="009A0B2E">
        <w:rPr>
          <w:rFonts w:eastAsia="MS Mincho"/>
          <w:lang w:val="fr-FR" w:eastAsia="en-GB"/>
        </w:rPr>
        <w:t>exercice de leurs fonctions officielles. »</w:t>
      </w:r>
    </w:p>
    <w:p w:rsidR="009A0B2E" w:rsidRDefault="009A0B2E" w:rsidP="000E6085">
      <w:pPr>
        <w:pStyle w:val="ECHRHeading2"/>
        <w:rPr>
          <w:rFonts w:eastAsia="MS Gothic"/>
          <w:lang w:val="fr-FR" w:eastAsia="fr-FR"/>
        </w:rPr>
      </w:pPr>
      <w:r>
        <w:rPr>
          <w:rFonts w:eastAsia="MS Gothic"/>
          <w:lang w:val="fr-FR" w:eastAsia="fr-FR"/>
        </w:rPr>
        <w:t>A.  Sur la recevabilité</w:t>
      </w:r>
    </w:p>
    <w:p w:rsidR="009A0B2E" w:rsidRDefault="009A0B2E" w:rsidP="000E6085">
      <w:pPr>
        <w:pStyle w:val="ECHRPara"/>
        <w:rPr>
          <w:rFonts w:eastAsia="MS Mincho"/>
          <w:lang w:val="fr-FR" w:eastAsia="fr-FR"/>
        </w:rPr>
      </w:pPr>
      <w:r>
        <w:rPr>
          <w:rFonts w:eastAsia="MS Mincho"/>
          <w:lang w:val="fr-FR" w:eastAsia="fr-FR"/>
        </w:rPr>
        <w:fldChar w:fldCharType="begin"/>
      </w:r>
      <w:r>
        <w:rPr>
          <w:rFonts w:eastAsia="MS Mincho"/>
          <w:lang w:val="fr-FR" w:eastAsia="fr-FR"/>
        </w:rPr>
        <w:instrText xml:space="preserve"> SEQ level0 \*arabic </w:instrText>
      </w:r>
      <w:r>
        <w:rPr>
          <w:rFonts w:eastAsia="MS Mincho"/>
          <w:lang w:val="fr-FR" w:eastAsia="fr-FR"/>
        </w:rPr>
        <w:fldChar w:fldCharType="separate"/>
      </w:r>
      <w:r w:rsidR="00BD469E">
        <w:rPr>
          <w:rFonts w:eastAsia="MS Mincho"/>
          <w:noProof/>
          <w:lang w:val="fr-FR" w:eastAsia="fr-FR"/>
        </w:rPr>
        <w:t>90</w:t>
      </w:r>
      <w:r>
        <w:rPr>
          <w:rFonts w:eastAsia="MS Mincho"/>
          <w:lang w:val="fr-FR" w:eastAsia="fr-FR"/>
        </w:rPr>
        <w:fldChar w:fldCharType="end"/>
      </w:r>
      <w:r>
        <w:rPr>
          <w:rFonts w:eastAsia="MS Mincho"/>
          <w:lang w:val="fr-FR" w:eastAsia="fr-FR"/>
        </w:rPr>
        <w:t>.  La Cour constate que ces griefs ne sont pas manifestement mal fondés au sens de l</w:t>
      </w:r>
      <w:r w:rsidR="003C2190">
        <w:rPr>
          <w:rFonts w:eastAsia="MS Mincho"/>
          <w:lang w:val="fr-FR" w:eastAsia="fr-FR"/>
        </w:rPr>
        <w:t>’</w:t>
      </w:r>
      <w:r>
        <w:rPr>
          <w:rFonts w:eastAsia="MS Mincho"/>
          <w:lang w:val="fr-FR" w:eastAsia="fr-FR"/>
        </w:rPr>
        <w:t>article 35 § 3 a) de la Convention. Elle relève par ailleurs qu</w:t>
      </w:r>
      <w:r w:rsidR="003C2190">
        <w:rPr>
          <w:rFonts w:eastAsia="MS Mincho"/>
          <w:lang w:val="fr-FR" w:eastAsia="fr-FR"/>
        </w:rPr>
        <w:t>’</w:t>
      </w:r>
      <w:r>
        <w:rPr>
          <w:rFonts w:eastAsia="MS Mincho"/>
          <w:lang w:val="fr-FR" w:eastAsia="fr-FR"/>
        </w:rPr>
        <w:t>ils ne se heurtent à aucun autre motif d</w:t>
      </w:r>
      <w:r w:rsidR="003C2190">
        <w:rPr>
          <w:rFonts w:eastAsia="MS Mincho"/>
          <w:lang w:val="fr-FR" w:eastAsia="fr-FR"/>
        </w:rPr>
        <w:t>’</w:t>
      </w:r>
      <w:r>
        <w:rPr>
          <w:rFonts w:eastAsia="MS Mincho"/>
          <w:lang w:val="fr-FR" w:eastAsia="fr-FR"/>
        </w:rPr>
        <w:t>irrecevabilité. Il convient donc de les déclarer recevables.</w:t>
      </w:r>
    </w:p>
    <w:p w:rsidR="009A0B2E" w:rsidRDefault="009A0B2E" w:rsidP="000E6085">
      <w:pPr>
        <w:pStyle w:val="ECHRHeading2"/>
        <w:rPr>
          <w:rFonts w:eastAsia="MS Gothic"/>
          <w:lang w:val="fr-FR" w:eastAsia="fr-FR"/>
        </w:rPr>
      </w:pPr>
      <w:r>
        <w:rPr>
          <w:rFonts w:eastAsia="MS Gothic"/>
          <w:lang w:val="fr-FR" w:eastAsia="fr-FR"/>
        </w:rPr>
        <w:lastRenderedPageBreak/>
        <w:t>B.  Sur le fond</w:t>
      </w:r>
    </w:p>
    <w:p w:rsidR="009A0B2E" w:rsidRDefault="009A0B2E" w:rsidP="000E6085">
      <w:pPr>
        <w:pStyle w:val="ECHRHeading3"/>
        <w:rPr>
          <w:rFonts w:eastAsia="MS Gothic"/>
          <w:lang w:val="fr-FR" w:eastAsia="fr-FR"/>
        </w:rPr>
      </w:pPr>
      <w:r>
        <w:rPr>
          <w:rFonts w:eastAsia="MS Gothic"/>
          <w:lang w:val="fr-FR" w:eastAsia="fr-FR"/>
        </w:rPr>
        <w:t>1.  En ce qui concerne la durée de la procédure</w:t>
      </w:r>
    </w:p>
    <w:p w:rsidR="009A0B2E" w:rsidRDefault="009A0B2E" w:rsidP="000E6085">
      <w:pPr>
        <w:pStyle w:val="ECHRHeading4"/>
        <w:rPr>
          <w:rFonts w:eastAsia="MS Gothic"/>
          <w:lang w:val="fr-FR"/>
        </w:rPr>
      </w:pPr>
      <w:r>
        <w:rPr>
          <w:rFonts w:eastAsia="MS Gothic"/>
          <w:lang w:val="fr-FR"/>
        </w:rPr>
        <w:t>a)  Période à prendre en considération</w:t>
      </w:r>
    </w:p>
    <w:p w:rsidR="00AF131B" w:rsidRDefault="009A0B2E" w:rsidP="000E6085">
      <w:pPr>
        <w:pStyle w:val="ECHRPara"/>
        <w:rPr>
          <w:rFonts w:eastAsia="MS Mincho"/>
          <w:color w:val="000000"/>
          <w:lang w:val="fr-FR" w:eastAsia="fr-FR"/>
        </w:rPr>
      </w:pPr>
      <w:r>
        <w:rPr>
          <w:rFonts w:eastAsia="MS Mincho"/>
          <w:lang w:val="fr-FR" w:eastAsia="fr-FR"/>
        </w:rPr>
        <w:fldChar w:fldCharType="begin"/>
      </w:r>
      <w:r>
        <w:rPr>
          <w:rFonts w:eastAsia="MS Mincho"/>
          <w:lang w:val="fr-FR" w:eastAsia="fr-FR"/>
        </w:rPr>
        <w:instrText xml:space="preserve"> SEQ level0 \*arabic </w:instrText>
      </w:r>
      <w:r>
        <w:rPr>
          <w:rFonts w:eastAsia="MS Mincho"/>
          <w:lang w:val="fr-FR" w:eastAsia="fr-FR"/>
        </w:rPr>
        <w:fldChar w:fldCharType="separate"/>
      </w:r>
      <w:r w:rsidR="00BD469E">
        <w:rPr>
          <w:rFonts w:eastAsia="MS Mincho"/>
          <w:noProof/>
          <w:lang w:val="fr-FR" w:eastAsia="fr-FR"/>
        </w:rPr>
        <w:t>91</w:t>
      </w:r>
      <w:r>
        <w:rPr>
          <w:rFonts w:eastAsia="MS Mincho"/>
          <w:lang w:val="fr-FR" w:eastAsia="fr-FR"/>
        </w:rPr>
        <w:fldChar w:fldCharType="end"/>
      </w:r>
      <w:r>
        <w:rPr>
          <w:rFonts w:eastAsia="MS Mincho"/>
          <w:lang w:val="fr-FR" w:eastAsia="fr-FR"/>
        </w:rPr>
        <w:t>.  La période à considérer a débuté le 3 novembre 1989, avec la saisine du tribunal administratif d</w:t>
      </w:r>
      <w:r w:rsidR="003C2190">
        <w:rPr>
          <w:rFonts w:eastAsia="MS Mincho"/>
          <w:lang w:val="fr-FR" w:eastAsia="fr-FR"/>
        </w:rPr>
        <w:t>’</w:t>
      </w:r>
      <w:r>
        <w:rPr>
          <w:rFonts w:eastAsia="MS Mincho"/>
          <w:lang w:val="fr-FR" w:eastAsia="fr-FR"/>
        </w:rPr>
        <w:t>Athènes et s</w:t>
      </w:r>
      <w:r w:rsidR="003C2190">
        <w:rPr>
          <w:rFonts w:eastAsia="MS Mincho"/>
          <w:lang w:val="fr-FR" w:eastAsia="fr-FR"/>
        </w:rPr>
        <w:t>’</w:t>
      </w:r>
      <w:r>
        <w:rPr>
          <w:rFonts w:eastAsia="MS Mincho"/>
          <w:lang w:val="fr-FR" w:eastAsia="fr-FR"/>
        </w:rPr>
        <w:t xml:space="preserve">est terminée le 3 novembre 2011, date </w:t>
      </w:r>
      <w:r>
        <w:rPr>
          <w:rFonts w:eastAsia="MS Mincho"/>
          <w:color w:val="000000"/>
          <w:lang w:val="fr-FR" w:eastAsia="fr-FR"/>
        </w:rPr>
        <w:t xml:space="preserve">à </w:t>
      </w:r>
      <w:r>
        <w:rPr>
          <w:rFonts w:eastAsia="MS Mincho"/>
          <w:lang w:val="fr-FR" w:eastAsia="fr-FR"/>
        </w:rPr>
        <w:t>laquelle l</w:t>
      </w:r>
      <w:r w:rsidR="003C2190">
        <w:rPr>
          <w:rFonts w:eastAsia="MS Mincho"/>
          <w:lang w:val="fr-FR" w:eastAsia="fr-FR"/>
        </w:rPr>
        <w:t>’</w:t>
      </w:r>
      <w:r>
        <w:rPr>
          <w:rFonts w:eastAsia="MS Mincho"/>
          <w:lang w:val="fr-FR" w:eastAsia="fr-FR"/>
        </w:rPr>
        <w:t>arrêt n</w:t>
      </w:r>
      <w:r>
        <w:rPr>
          <w:rFonts w:eastAsia="MS Mincho"/>
          <w:vertAlign w:val="superscript"/>
          <w:lang w:val="fr-FR" w:eastAsia="fr-FR"/>
        </w:rPr>
        <w:t>o</w:t>
      </w:r>
      <w:r>
        <w:rPr>
          <w:rFonts w:eastAsia="MS Mincho"/>
          <w:lang w:val="fr-FR" w:eastAsia="fr-FR"/>
        </w:rPr>
        <w:t xml:space="preserve"> 1999/2011 du Conseil d</w:t>
      </w:r>
      <w:r w:rsidR="003C2190">
        <w:rPr>
          <w:rFonts w:eastAsia="MS Mincho"/>
          <w:lang w:val="fr-FR" w:eastAsia="fr-FR"/>
        </w:rPr>
        <w:t>’</w:t>
      </w:r>
      <w:r>
        <w:rPr>
          <w:rFonts w:eastAsia="MS Mincho"/>
          <w:lang w:val="fr-FR" w:eastAsia="fr-FR"/>
        </w:rPr>
        <w:t>État a été mis au net et certifié conforme. Elle a donc duré vingt-deux ans pour trois instances</w:t>
      </w:r>
      <w:r>
        <w:rPr>
          <w:rFonts w:eastAsia="MS Mincho"/>
          <w:color w:val="000000"/>
          <w:lang w:val="fr-FR" w:eastAsia="fr-FR"/>
        </w:rPr>
        <w:t>.</w:t>
      </w:r>
    </w:p>
    <w:p w:rsidR="009A0B2E" w:rsidRDefault="009A0B2E" w:rsidP="000E6085">
      <w:pPr>
        <w:pStyle w:val="ECHRHeading4"/>
        <w:rPr>
          <w:rFonts w:eastAsia="MS Gothic"/>
          <w:lang w:val="fr-FR" w:eastAsia="fr-FR"/>
        </w:rPr>
      </w:pPr>
      <w:r>
        <w:rPr>
          <w:rFonts w:eastAsia="MS Gothic"/>
          <w:lang w:val="fr-FR" w:eastAsia="fr-FR"/>
        </w:rPr>
        <w:t>b)  Caractère raisonnable de la procédure</w:t>
      </w:r>
    </w:p>
    <w:p w:rsidR="00AF131B" w:rsidRDefault="009A0B2E" w:rsidP="000E6085">
      <w:pPr>
        <w:pStyle w:val="ECHRPara"/>
        <w:rPr>
          <w:rFonts w:eastAsia="MS Mincho"/>
          <w:lang w:val="fr-FR" w:eastAsia="fr-FR"/>
        </w:rPr>
      </w:pPr>
      <w:r>
        <w:rPr>
          <w:rFonts w:eastAsia="MS Mincho"/>
          <w:lang w:val="fr-FR" w:eastAsia="fr-FR"/>
        </w:rPr>
        <w:fldChar w:fldCharType="begin"/>
      </w:r>
      <w:r>
        <w:rPr>
          <w:rFonts w:eastAsia="MS Mincho"/>
          <w:lang w:val="fr-FR" w:eastAsia="fr-FR"/>
        </w:rPr>
        <w:instrText xml:space="preserve"> SEQ level0 \*arabic </w:instrText>
      </w:r>
      <w:r>
        <w:rPr>
          <w:rFonts w:eastAsia="MS Mincho"/>
          <w:lang w:val="fr-FR" w:eastAsia="fr-FR"/>
        </w:rPr>
        <w:fldChar w:fldCharType="separate"/>
      </w:r>
      <w:r w:rsidR="00BD469E">
        <w:rPr>
          <w:rFonts w:eastAsia="MS Mincho"/>
          <w:noProof/>
          <w:lang w:val="fr-FR" w:eastAsia="fr-FR"/>
        </w:rPr>
        <w:t>92</w:t>
      </w:r>
      <w:r>
        <w:rPr>
          <w:rFonts w:eastAsia="MS Mincho"/>
          <w:lang w:val="fr-FR" w:eastAsia="fr-FR"/>
        </w:rPr>
        <w:fldChar w:fldCharType="end"/>
      </w:r>
      <w:r>
        <w:rPr>
          <w:rFonts w:eastAsia="MS Mincho"/>
          <w:lang w:val="fr-FR" w:eastAsia="fr-FR"/>
        </w:rPr>
        <w:t>.  Le Gouvernement se réfère à la complexité de la procédure devant le Conseil d</w:t>
      </w:r>
      <w:r w:rsidR="003C2190">
        <w:rPr>
          <w:rFonts w:eastAsia="MS Mincho"/>
          <w:lang w:val="fr-FR" w:eastAsia="fr-FR"/>
        </w:rPr>
        <w:t>’</w:t>
      </w:r>
      <w:r>
        <w:rPr>
          <w:rFonts w:eastAsia="MS Mincho"/>
          <w:lang w:val="fr-FR" w:eastAsia="fr-FR"/>
        </w:rPr>
        <w:t>État. En outre, il affirme que le requérant était responsable pour un ajournement devant la haute juridiction administrative.</w:t>
      </w:r>
    </w:p>
    <w:p w:rsidR="00AF131B" w:rsidRDefault="009A0B2E" w:rsidP="000E6085">
      <w:pPr>
        <w:pStyle w:val="ECHRPara"/>
        <w:rPr>
          <w:rFonts w:eastAsia="MS Mincho"/>
          <w:iCs/>
          <w:lang w:val="fr-FR" w:eastAsia="en-GB"/>
        </w:rPr>
      </w:pPr>
      <w:r>
        <w:rPr>
          <w:rFonts w:eastAsia="MS Mincho"/>
          <w:lang w:val="fr-FR" w:eastAsia="en-GB"/>
        </w:rPr>
        <w:fldChar w:fldCharType="begin"/>
      </w:r>
      <w:r>
        <w:rPr>
          <w:rFonts w:eastAsia="MS Mincho"/>
          <w:lang w:val="fr-FR" w:eastAsia="en-GB"/>
        </w:rPr>
        <w:instrText xml:space="preserve"> SEQ level0 \*arabic </w:instrText>
      </w:r>
      <w:r>
        <w:rPr>
          <w:rFonts w:eastAsia="MS Mincho"/>
          <w:lang w:val="fr-FR" w:eastAsia="en-GB"/>
        </w:rPr>
        <w:fldChar w:fldCharType="separate"/>
      </w:r>
      <w:r w:rsidR="00BD469E">
        <w:rPr>
          <w:rFonts w:eastAsia="MS Mincho"/>
          <w:noProof/>
          <w:lang w:val="fr-FR" w:eastAsia="en-GB"/>
        </w:rPr>
        <w:t>93</w:t>
      </w:r>
      <w:r>
        <w:rPr>
          <w:rFonts w:eastAsia="MS Mincho"/>
          <w:lang w:val="fr-FR" w:eastAsia="en-GB"/>
        </w:rPr>
        <w:fldChar w:fldCharType="end"/>
      </w:r>
      <w:r>
        <w:rPr>
          <w:rFonts w:eastAsia="MS Mincho"/>
          <w:lang w:val="fr-FR" w:eastAsia="en-GB"/>
        </w:rPr>
        <w:t>.  La Cour rappelle que le caractère raisonnable de la durée d</w:t>
      </w:r>
      <w:r w:rsidR="003C2190">
        <w:rPr>
          <w:rFonts w:eastAsia="MS Mincho"/>
          <w:lang w:val="fr-FR" w:eastAsia="en-GB"/>
        </w:rPr>
        <w:t>’</w:t>
      </w:r>
      <w:r>
        <w:rPr>
          <w:rFonts w:eastAsia="MS Mincho"/>
          <w:lang w:val="fr-FR" w:eastAsia="en-GB"/>
        </w:rPr>
        <w:t>une procédure s</w:t>
      </w:r>
      <w:r w:rsidR="003C2190">
        <w:rPr>
          <w:rFonts w:eastAsia="MS Mincho"/>
          <w:lang w:val="fr-FR" w:eastAsia="en-GB"/>
        </w:rPr>
        <w:t>’</w:t>
      </w:r>
      <w:r>
        <w:rPr>
          <w:rFonts w:eastAsia="MS Mincho"/>
          <w:lang w:val="fr-FR" w:eastAsia="en-GB"/>
        </w:rPr>
        <w:t>apprécie suivant les circonstances de la cause et eu égard aux critères consacrés par sa jurisprudence, en particulier la complexité de l</w:t>
      </w:r>
      <w:r w:rsidR="003C2190">
        <w:rPr>
          <w:rFonts w:eastAsia="MS Mincho"/>
          <w:lang w:val="fr-FR" w:eastAsia="en-GB"/>
        </w:rPr>
        <w:t>’</w:t>
      </w:r>
      <w:r>
        <w:rPr>
          <w:rFonts w:eastAsia="MS Mincho"/>
          <w:lang w:val="fr-FR" w:eastAsia="en-GB"/>
        </w:rPr>
        <w:t>affaire, le comportement du requérant et celui des autorités compétentes ainsi que l</w:t>
      </w:r>
      <w:r w:rsidR="003C2190">
        <w:rPr>
          <w:rFonts w:eastAsia="MS Mincho"/>
          <w:lang w:val="fr-FR" w:eastAsia="en-GB"/>
        </w:rPr>
        <w:t>’</w:t>
      </w:r>
      <w:r>
        <w:rPr>
          <w:rFonts w:eastAsia="MS Mincho"/>
          <w:lang w:val="fr-FR" w:eastAsia="en-GB"/>
        </w:rPr>
        <w:t>enjeu du litige pour les intéressés (voir, parmi beaucoup d</w:t>
      </w:r>
      <w:r w:rsidR="003C2190">
        <w:rPr>
          <w:rFonts w:eastAsia="MS Mincho"/>
          <w:lang w:val="fr-FR" w:eastAsia="en-GB"/>
        </w:rPr>
        <w:t>’</w:t>
      </w:r>
      <w:r>
        <w:rPr>
          <w:rFonts w:eastAsia="MS Mincho"/>
          <w:lang w:val="fr-FR" w:eastAsia="en-GB"/>
        </w:rPr>
        <w:t>autres,</w:t>
      </w:r>
      <w:r>
        <w:rPr>
          <w:rFonts w:eastAsia="MS Mincho"/>
          <w:i/>
          <w:iCs/>
          <w:lang w:val="fr-FR"/>
        </w:rPr>
        <w:t xml:space="preserve"> Vassilios </w:t>
      </w:r>
      <w:r>
        <w:rPr>
          <w:rFonts w:eastAsia="MS Mincho"/>
          <w:i/>
          <w:lang w:val="fr-FR"/>
        </w:rPr>
        <w:t>Athanasiou et autres c. Grèce</w:t>
      </w:r>
      <w:r>
        <w:rPr>
          <w:rFonts w:eastAsia="MS Mincho"/>
          <w:lang w:val="fr-FR"/>
        </w:rPr>
        <w:t>, n</w:t>
      </w:r>
      <w:r>
        <w:rPr>
          <w:rFonts w:eastAsia="MS Mincho"/>
          <w:vertAlign w:val="superscript"/>
          <w:lang w:val="fr-FR"/>
        </w:rPr>
        <w:t>o</w:t>
      </w:r>
      <w:r>
        <w:rPr>
          <w:rFonts w:eastAsia="MS Mincho"/>
          <w:lang w:val="fr-FR"/>
        </w:rPr>
        <w:t xml:space="preserve"> 50973/08</w:t>
      </w:r>
      <w:r>
        <w:rPr>
          <w:rFonts w:eastAsia="MS Mincho"/>
          <w:snapToGrid w:val="0"/>
          <w:szCs w:val="24"/>
          <w:lang w:val="fr-FR"/>
        </w:rPr>
        <w:t xml:space="preserve">, 21 </w:t>
      </w:r>
      <w:r>
        <w:rPr>
          <w:rFonts w:eastAsia="MS Mincho"/>
          <w:szCs w:val="24"/>
          <w:lang w:val="fr-FR"/>
        </w:rPr>
        <w:t>décembre</w:t>
      </w:r>
      <w:r>
        <w:rPr>
          <w:rFonts w:eastAsia="MS Mincho"/>
          <w:snapToGrid w:val="0"/>
          <w:szCs w:val="24"/>
          <w:lang w:val="fr-FR"/>
        </w:rPr>
        <w:t xml:space="preserve"> 2010</w:t>
      </w:r>
      <w:r>
        <w:rPr>
          <w:rFonts w:eastAsia="MS Mincho"/>
          <w:iCs/>
          <w:lang w:val="fr-FR" w:eastAsia="en-GB"/>
        </w:rPr>
        <w:t>).</w:t>
      </w:r>
    </w:p>
    <w:p w:rsidR="009A0B2E" w:rsidRDefault="009A0B2E" w:rsidP="000E6085">
      <w:pPr>
        <w:pStyle w:val="ECHRPara"/>
        <w:rPr>
          <w:rFonts w:eastAsia="MS Mincho"/>
          <w:lang w:val="fr-FR" w:eastAsia="en-GB"/>
        </w:rPr>
      </w:pPr>
      <w:r>
        <w:rPr>
          <w:rFonts w:eastAsia="MS Mincho"/>
          <w:lang w:val="fr-FR" w:eastAsia="en-GB"/>
        </w:rPr>
        <w:fldChar w:fldCharType="begin"/>
      </w:r>
      <w:r>
        <w:rPr>
          <w:rFonts w:eastAsia="MS Mincho"/>
          <w:lang w:val="fr-FR" w:eastAsia="en-GB"/>
        </w:rPr>
        <w:instrText xml:space="preserve"> SEQ level0 \*arabic </w:instrText>
      </w:r>
      <w:r>
        <w:rPr>
          <w:rFonts w:eastAsia="MS Mincho"/>
          <w:lang w:val="fr-FR" w:eastAsia="en-GB"/>
        </w:rPr>
        <w:fldChar w:fldCharType="separate"/>
      </w:r>
      <w:r w:rsidR="00BD469E">
        <w:rPr>
          <w:rFonts w:eastAsia="MS Mincho"/>
          <w:noProof/>
          <w:lang w:val="fr-FR" w:eastAsia="en-GB"/>
        </w:rPr>
        <w:t>94</w:t>
      </w:r>
      <w:r>
        <w:rPr>
          <w:rFonts w:eastAsia="MS Mincho"/>
          <w:lang w:val="fr-FR" w:eastAsia="en-GB"/>
        </w:rPr>
        <w:fldChar w:fldCharType="end"/>
      </w:r>
      <w:r>
        <w:rPr>
          <w:rFonts w:eastAsia="MS Mincho"/>
          <w:lang w:val="fr-FR" w:eastAsia="en-GB"/>
        </w:rPr>
        <w:t>.  La Cour a traité à maintes reprises des affaires soulevant des questions semblables à celle du cas d</w:t>
      </w:r>
      <w:r w:rsidR="003C2190">
        <w:rPr>
          <w:rFonts w:eastAsia="MS Mincho"/>
          <w:lang w:val="fr-FR" w:eastAsia="en-GB"/>
        </w:rPr>
        <w:t>’</w:t>
      </w:r>
      <w:r>
        <w:rPr>
          <w:rFonts w:eastAsia="MS Mincho"/>
          <w:lang w:val="fr-FR" w:eastAsia="en-GB"/>
        </w:rPr>
        <w:t>espèce et a constaté la violation de l</w:t>
      </w:r>
      <w:r w:rsidR="003C2190">
        <w:rPr>
          <w:rFonts w:eastAsia="MS Mincho"/>
          <w:lang w:val="fr-FR" w:eastAsia="en-GB"/>
        </w:rPr>
        <w:t>’</w:t>
      </w:r>
      <w:r>
        <w:rPr>
          <w:rFonts w:eastAsia="MS Mincho"/>
          <w:lang w:val="fr-FR" w:eastAsia="en-GB"/>
        </w:rPr>
        <w:t xml:space="preserve">article 6 § 1 de la Convention (voir </w:t>
      </w:r>
      <w:r>
        <w:rPr>
          <w:rFonts w:eastAsia="MS Mincho"/>
          <w:i/>
          <w:iCs/>
          <w:lang w:val="fr-FR"/>
        </w:rPr>
        <w:t xml:space="preserve">Vassilios </w:t>
      </w:r>
      <w:r>
        <w:rPr>
          <w:rFonts w:eastAsia="MS Mincho"/>
          <w:i/>
          <w:lang w:val="fr-FR"/>
        </w:rPr>
        <w:t>Athanasiou et autres,</w:t>
      </w:r>
      <w:r>
        <w:rPr>
          <w:rFonts w:eastAsia="MS Mincho"/>
          <w:lang w:val="fr-FR" w:eastAsia="en-GB"/>
        </w:rPr>
        <w:t xml:space="preserve"> précité).</w:t>
      </w:r>
    </w:p>
    <w:p w:rsidR="009A0B2E" w:rsidRDefault="009A0B2E" w:rsidP="000E6085">
      <w:pPr>
        <w:pStyle w:val="ECHRPara"/>
        <w:rPr>
          <w:rFonts w:ascii="Times New Roman" w:eastAsia="MS Mincho" w:hAnsi="Times New Roman" w:cs="Times New Roman"/>
          <w:lang w:val="fr-FR" w:eastAsia="en-GB"/>
        </w:rPr>
      </w:pPr>
      <w:r>
        <w:rPr>
          <w:rFonts w:ascii="Times New Roman" w:eastAsia="MS Mincho" w:hAnsi="Times New Roman" w:cs="Times New Roman"/>
          <w:lang w:val="fr-FR" w:eastAsia="fr-FR"/>
        </w:rPr>
        <w:fldChar w:fldCharType="begin"/>
      </w:r>
      <w:r>
        <w:rPr>
          <w:rFonts w:ascii="Times New Roman" w:eastAsia="MS Mincho" w:hAnsi="Times New Roman" w:cs="Times New Roman"/>
          <w:lang w:val="fr-FR" w:eastAsia="fr-FR"/>
        </w:rPr>
        <w:instrText xml:space="preserve"> SEQ level0 \*arabic </w:instrText>
      </w:r>
      <w:r>
        <w:rPr>
          <w:rFonts w:ascii="Times New Roman" w:eastAsia="MS Mincho" w:hAnsi="Times New Roman" w:cs="Times New Roman"/>
          <w:lang w:val="fr-FR" w:eastAsia="fr-FR"/>
        </w:rPr>
        <w:fldChar w:fldCharType="separate"/>
      </w:r>
      <w:r w:rsidR="00BD469E">
        <w:rPr>
          <w:rFonts w:ascii="Times New Roman" w:eastAsia="MS Mincho" w:hAnsi="Times New Roman" w:cs="Times New Roman"/>
          <w:noProof/>
          <w:lang w:val="fr-FR" w:eastAsia="fr-FR"/>
        </w:rPr>
        <w:t>95</w:t>
      </w:r>
      <w:r>
        <w:rPr>
          <w:rFonts w:ascii="Times New Roman" w:eastAsia="MS Mincho" w:hAnsi="Times New Roman" w:cs="Times New Roman"/>
          <w:lang w:val="fr-FR" w:eastAsia="fr-FR"/>
        </w:rPr>
        <w:fldChar w:fldCharType="end"/>
      </w:r>
      <w:r>
        <w:rPr>
          <w:rFonts w:ascii="Times New Roman" w:eastAsia="MS Mincho" w:hAnsi="Times New Roman" w:cs="Times New Roman"/>
          <w:lang w:val="fr-FR" w:eastAsia="fr-FR"/>
        </w:rPr>
        <w:t>.  À supposer même que le requérant soit responsable d</w:t>
      </w:r>
      <w:r w:rsidR="003C2190">
        <w:rPr>
          <w:rFonts w:ascii="Times New Roman" w:eastAsia="MS Mincho" w:hAnsi="Times New Roman" w:cs="Times New Roman"/>
          <w:lang w:val="fr-FR" w:eastAsia="fr-FR"/>
        </w:rPr>
        <w:t>’</w:t>
      </w:r>
      <w:r>
        <w:rPr>
          <w:rFonts w:ascii="Times New Roman" w:eastAsia="MS Mincho" w:hAnsi="Times New Roman" w:cs="Times New Roman"/>
          <w:lang w:val="fr-FR" w:eastAsia="fr-FR"/>
        </w:rPr>
        <w:t>un ajournement d</w:t>
      </w:r>
      <w:r w:rsidR="003C2190">
        <w:rPr>
          <w:rFonts w:ascii="Times New Roman" w:eastAsia="MS Mincho" w:hAnsi="Times New Roman" w:cs="Times New Roman"/>
          <w:lang w:val="fr-FR" w:eastAsia="fr-FR"/>
        </w:rPr>
        <w:t>’</w:t>
      </w:r>
      <w:r>
        <w:rPr>
          <w:rFonts w:ascii="Times New Roman" w:eastAsia="MS Mincho" w:hAnsi="Times New Roman" w:cs="Times New Roman"/>
          <w:lang w:val="fr-FR" w:eastAsia="fr-FR"/>
        </w:rPr>
        <w:t>audience devant le Conseil d</w:t>
      </w:r>
      <w:r w:rsidR="003C2190">
        <w:rPr>
          <w:rFonts w:ascii="Times New Roman" w:eastAsia="MS Mincho" w:hAnsi="Times New Roman" w:cs="Times New Roman"/>
          <w:lang w:val="fr-FR" w:eastAsia="fr-FR"/>
        </w:rPr>
        <w:t>’</w:t>
      </w:r>
      <w:r>
        <w:rPr>
          <w:rFonts w:ascii="Times New Roman" w:eastAsia="MS Mincho" w:hAnsi="Times New Roman" w:cs="Times New Roman"/>
          <w:lang w:val="fr-FR" w:eastAsia="fr-FR"/>
        </w:rPr>
        <w:t>État et que la procédure devant cette juridiction ait présenté une certaine complexité, la Cour constate que la procédure s</w:t>
      </w:r>
      <w:r w:rsidR="003C2190">
        <w:rPr>
          <w:rFonts w:ascii="Times New Roman" w:eastAsia="MS Mincho" w:hAnsi="Times New Roman" w:cs="Times New Roman"/>
          <w:lang w:val="fr-FR" w:eastAsia="fr-FR"/>
        </w:rPr>
        <w:t>’</w:t>
      </w:r>
      <w:r>
        <w:rPr>
          <w:rFonts w:ascii="Times New Roman" w:eastAsia="MS Mincho" w:hAnsi="Times New Roman" w:cs="Times New Roman"/>
          <w:lang w:val="fr-FR" w:eastAsia="fr-FR"/>
        </w:rPr>
        <w:t xml:space="preserve">est étalée dans sa totalité sur vingt-deux ans pour trois instances. </w:t>
      </w:r>
      <w:r>
        <w:rPr>
          <w:rFonts w:ascii="Times New Roman" w:eastAsia="MS Mincho" w:hAnsi="Times New Roman" w:cs="Times New Roman"/>
          <w:lang w:val="fr-FR" w:eastAsia="en-GB"/>
        </w:rPr>
        <w:t>Compte tenu de sa jurisprudence en la matière, la Cour considère qu</w:t>
      </w:r>
      <w:r w:rsidR="003C2190">
        <w:rPr>
          <w:rFonts w:ascii="Times New Roman" w:eastAsia="MS Mincho" w:hAnsi="Times New Roman" w:cs="Times New Roman"/>
          <w:lang w:val="fr-FR" w:eastAsia="en-GB"/>
        </w:rPr>
        <w:t>’</w:t>
      </w:r>
      <w:r>
        <w:rPr>
          <w:rFonts w:ascii="Times New Roman" w:eastAsia="MS Mincho" w:hAnsi="Times New Roman" w:cs="Times New Roman"/>
          <w:lang w:val="fr-FR" w:eastAsia="en-GB"/>
        </w:rPr>
        <w:t>en l</w:t>
      </w:r>
      <w:r w:rsidR="003C2190">
        <w:rPr>
          <w:rFonts w:ascii="Times New Roman" w:eastAsia="MS Mincho" w:hAnsi="Times New Roman" w:cs="Times New Roman"/>
          <w:lang w:val="fr-FR" w:eastAsia="en-GB"/>
        </w:rPr>
        <w:t>’</w:t>
      </w:r>
      <w:r>
        <w:rPr>
          <w:rFonts w:ascii="Times New Roman" w:eastAsia="MS Mincho" w:hAnsi="Times New Roman" w:cs="Times New Roman"/>
          <w:lang w:val="fr-FR" w:eastAsia="en-GB"/>
        </w:rPr>
        <w:t>espèce la durée de la procédure litigieuse a été excessive et ne répond pas à l</w:t>
      </w:r>
      <w:r w:rsidR="003C2190">
        <w:rPr>
          <w:rFonts w:ascii="Times New Roman" w:eastAsia="MS Mincho" w:hAnsi="Times New Roman" w:cs="Times New Roman"/>
          <w:lang w:val="fr-FR" w:eastAsia="en-GB"/>
        </w:rPr>
        <w:t>’</w:t>
      </w:r>
      <w:r>
        <w:rPr>
          <w:rFonts w:ascii="Times New Roman" w:eastAsia="MS Mincho" w:hAnsi="Times New Roman" w:cs="Times New Roman"/>
          <w:lang w:val="fr-FR" w:eastAsia="en-GB"/>
        </w:rPr>
        <w:t>exigence du « délai raisonnable ».</w:t>
      </w:r>
    </w:p>
    <w:p w:rsidR="009A0B2E" w:rsidRDefault="009A0B2E" w:rsidP="000E6085">
      <w:pPr>
        <w:pStyle w:val="ECHRPara"/>
        <w:rPr>
          <w:rFonts w:ascii="Times New Roman" w:eastAsia="MS Mincho" w:hAnsi="Times New Roman" w:cs="Times New Roman"/>
          <w:lang w:val="fr-FR" w:eastAsia="en-GB"/>
        </w:rPr>
      </w:pPr>
      <w:r>
        <w:rPr>
          <w:rFonts w:ascii="Times New Roman" w:eastAsia="MS Mincho" w:hAnsi="Times New Roman" w:cs="Times New Roman"/>
          <w:lang w:val="fr-FR" w:eastAsia="en-GB"/>
        </w:rPr>
        <w:fldChar w:fldCharType="begin"/>
      </w:r>
      <w:r>
        <w:rPr>
          <w:rFonts w:ascii="Times New Roman" w:eastAsia="MS Mincho" w:hAnsi="Times New Roman" w:cs="Times New Roman"/>
          <w:lang w:val="fr-FR" w:eastAsia="en-GB"/>
        </w:rPr>
        <w:instrText xml:space="preserve"> SEQ level0 \*arabic </w:instrText>
      </w:r>
      <w:r>
        <w:rPr>
          <w:rFonts w:ascii="Times New Roman" w:eastAsia="MS Mincho" w:hAnsi="Times New Roman" w:cs="Times New Roman"/>
          <w:lang w:val="fr-FR" w:eastAsia="en-GB"/>
        </w:rPr>
        <w:fldChar w:fldCharType="separate"/>
      </w:r>
      <w:r w:rsidR="00BD469E">
        <w:rPr>
          <w:rFonts w:ascii="Times New Roman" w:eastAsia="MS Mincho" w:hAnsi="Times New Roman" w:cs="Times New Roman"/>
          <w:noProof/>
          <w:lang w:val="fr-FR" w:eastAsia="en-GB"/>
        </w:rPr>
        <w:t>96</w:t>
      </w:r>
      <w:r>
        <w:rPr>
          <w:rFonts w:ascii="Times New Roman" w:eastAsia="MS Mincho" w:hAnsi="Times New Roman" w:cs="Times New Roman"/>
          <w:lang w:val="fr-FR" w:eastAsia="en-GB"/>
        </w:rPr>
        <w:fldChar w:fldCharType="end"/>
      </w:r>
      <w:r>
        <w:rPr>
          <w:rFonts w:ascii="Times New Roman" w:eastAsia="MS Mincho" w:hAnsi="Times New Roman" w:cs="Times New Roman"/>
          <w:lang w:val="fr-FR" w:eastAsia="en-GB"/>
        </w:rPr>
        <w:t>.  Partant, en ce qui concerne la requête n</w:t>
      </w:r>
      <w:r w:rsidR="007E7B24" w:rsidRPr="007E7B24">
        <w:rPr>
          <w:rFonts w:ascii="Times New Roman" w:eastAsia="MS Mincho" w:hAnsi="Times New Roman" w:cs="Times New Roman"/>
          <w:vertAlign w:val="superscript"/>
          <w:lang w:val="fr-FR" w:eastAsia="en-GB"/>
        </w:rPr>
        <w:t>o</w:t>
      </w:r>
      <w:r>
        <w:rPr>
          <w:rFonts w:ascii="Times New Roman" w:eastAsia="MS Mincho" w:hAnsi="Times New Roman" w:cs="Times New Roman"/>
          <w:lang w:val="fr-FR" w:eastAsia="en-GB"/>
        </w:rPr>
        <w:t xml:space="preserve"> 3453/12, il y a eu violation de l</w:t>
      </w:r>
      <w:r w:rsidR="003C2190">
        <w:rPr>
          <w:rFonts w:ascii="Times New Roman" w:eastAsia="MS Mincho" w:hAnsi="Times New Roman" w:cs="Times New Roman"/>
          <w:lang w:val="fr-FR" w:eastAsia="en-GB"/>
        </w:rPr>
        <w:t>’</w:t>
      </w:r>
      <w:r>
        <w:rPr>
          <w:rFonts w:ascii="Times New Roman" w:eastAsia="MS Mincho" w:hAnsi="Times New Roman" w:cs="Times New Roman"/>
          <w:lang w:val="fr-FR" w:eastAsia="en-GB"/>
        </w:rPr>
        <w:t>article 6 § 1 quant à la durée de la procédure.</w:t>
      </w:r>
    </w:p>
    <w:p w:rsidR="009A0B2E" w:rsidRDefault="009A0B2E" w:rsidP="000E6085">
      <w:pPr>
        <w:pStyle w:val="ECHRHeading3"/>
        <w:rPr>
          <w:rFonts w:eastAsia="MS Gothic"/>
          <w:lang w:val="fr-FR" w:eastAsia="fr-FR"/>
        </w:rPr>
      </w:pPr>
      <w:r>
        <w:rPr>
          <w:rFonts w:eastAsia="MS Gothic"/>
          <w:lang w:val="fr-FR" w:eastAsia="fr-FR"/>
        </w:rPr>
        <w:t>2</w:t>
      </w:r>
      <w:r w:rsidR="000E6085">
        <w:rPr>
          <w:rFonts w:eastAsia="MS Gothic"/>
          <w:lang w:val="fr-FR" w:eastAsia="fr-FR"/>
        </w:rPr>
        <w:t>.</w:t>
      </w:r>
      <w:r>
        <w:rPr>
          <w:rFonts w:eastAsia="MS Gothic"/>
          <w:lang w:val="fr-FR" w:eastAsia="fr-FR"/>
        </w:rPr>
        <w:t>  En ce qui concerne l</w:t>
      </w:r>
      <w:r w:rsidR="003C2190">
        <w:rPr>
          <w:rFonts w:eastAsia="MS Gothic"/>
          <w:lang w:val="fr-FR" w:eastAsia="fr-FR"/>
        </w:rPr>
        <w:t>’</w:t>
      </w:r>
      <w:r>
        <w:rPr>
          <w:rFonts w:eastAsia="MS Gothic"/>
          <w:lang w:val="fr-FR" w:eastAsia="fr-FR"/>
        </w:rPr>
        <w:t>existence d</w:t>
      </w:r>
      <w:r w:rsidR="003C2190">
        <w:rPr>
          <w:rFonts w:eastAsia="MS Gothic"/>
          <w:lang w:val="fr-FR" w:eastAsia="fr-FR"/>
        </w:rPr>
        <w:t>’</w:t>
      </w:r>
      <w:r>
        <w:rPr>
          <w:rFonts w:eastAsia="MS Gothic"/>
          <w:lang w:val="fr-FR" w:eastAsia="fr-FR"/>
        </w:rPr>
        <w:t>un recours effectif quant à la durée de la procédure</w:t>
      </w:r>
    </w:p>
    <w:p w:rsidR="009A0B2E" w:rsidRDefault="009A0B2E" w:rsidP="000E6085">
      <w:pPr>
        <w:pStyle w:val="ECHRPara"/>
        <w:rPr>
          <w:rFonts w:eastAsia="MS Mincho"/>
          <w:lang w:val="fr-FR" w:eastAsia="en-GB"/>
        </w:rPr>
      </w:pPr>
      <w:r>
        <w:rPr>
          <w:rFonts w:eastAsia="MS Mincho"/>
          <w:lang w:val="fr-FR" w:eastAsia="en-GB"/>
        </w:rPr>
        <w:fldChar w:fldCharType="begin"/>
      </w:r>
      <w:r>
        <w:rPr>
          <w:rFonts w:eastAsia="MS Mincho"/>
          <w:lang w:val="fr-FR" w:eastAsia="en-GB"/>
        </w:rPr>
        <w:instrText xml:space="preserve"> SEQ level0 \*arabic </w:instrText>
      </w:r>
      <w:r>
        <w:rPr>
          <w:rFonts w:eastAsia="MS Mincho"/>
          <w:lang w:val="fr-FR" w:eastAsia="en-GB"/>
        </w:rPr>
        <w:fldChar w:fldCharType="separate"/>
      </w:r>
      <w:r w:rsidR="00BD469E">
        <w:rPr>
          <w:rFonts w:eastAsia="MS Mincho"/>
          <w:noProof/>
          <w:lang w:val="fr-FR" w:eastAsia="en-GB"/>
        </w:rPr>
        <w:t>97</w:t>
      </w:r>
      <w:r>
        <w:rPr>
          <w:rFonts w:eastAsia="MS Mincho"/>
          <w:lang w:val="fr-FR" w:eastAsia="en-GB"/>
        </w:rPr>
        <w:fldChar w:fldCharType="end"/>
      </w:r>
      <w:r>
        <w:rPr>
          <w:rFonts w:eastAsia="MS Mincho"/>
          <w:lang w:val="fr-FR" w:eastAsia="en-GB"/>
        </w:rPr>
        <w:t>.  La Cour rappelle que l</w:t>
      </w:r>
      <w:r w:rsidR="003C2190">
        <w:rPr>
          <w:rFonts w:eastAsia="MS Mincho"/>
          <w:lang w:val="fr-FR" w:eastAsia="en-GB"/>
        </w:rPr>
        <w:t>’</w:t>
      </w:r>
      <w:r>
        <w:rPr>
          <w:rFonts w:eastAsia="MS Mincho"/>
          <w:lang w:val="fr-FR" w:eastAsia="en-GB"/>
        </w:rPr>
        <w:t>article 13 garantit un recours effectif devant une instance nationale permettant de se plaindre d</w:t>
      </w:r>
      <w:r w:rsidR="003C2190">
        <w:rPr>
          <w:rFonts w:eastAsia="MS Mincho"/>
          <w:lang w:val="fr-FR" w:eastAsia="en-GB"/>
        </w:rPr>
        <w:t>’</w:t>
      </w:r>
      <w:r>
        <w:rPr>
          <w:rFonts w:eastAsia="MS Mincho"/>
          <w:lang w:val="fr-FR" w:eastAsia="en-GB"/>
        </w:rPr>
        <w:t>une méconnaissance de l</w:t>
      </w:r>
      <w:r w:rsidR="003C2190">
        <w:rPr>
          <w:rFonts w:eastAsia="MS Mincho"/>
          <w:lang w:val="fr-FR" w:eastAsia="en-GB"/>
        </w:rPr>
        <w:t>’</w:t>
      </w:r>
      <w:r>
        <w:rPr>
          <w:rFonts w:eastAsia="MS Mincho"/>
          <w:lang w:val="fr-FR" w:eastAsia="en-GB"/>
        </w:rPr>
        <w:t>obligation, imposée par l</w:t>
      </w:r>
      <w:r w:rsidR="003C2190">
        <w:rPr>
          <w:rFonts w:eastAsia="MS Mincho"/>
          <w:lang w:val="fr-FR" w:eastAsia="en-GB"/>
        </w:rPr>
        <w:t>’</w:t>
      </w:r>
      <w:r>
        <w:rPr>
          <w:rFonts w:eastAsia="MS Mincho"/>
          <w:lang w:val="fr-FR" w:eastAsia="en-GB"/>
        </w:rPr>
        <w:t>article 6 § 1, d</w:t>
      </w:r>
      <w:r w:rsidR="003C2190">
        <w:rPr>
          <w:rFonts w:eastAsia="MS Mincho"/>
          <w:lang w:val="fr-FR" w:eastAsia="en-GB"/>
        </w:rPr>
        <w:t>’</w:t>
      </w:r>
      <w:r>
        <w:rPr>
          <w:rFonts w:eastAsia="MS Mincho"/>
          <w:lang w:val="fr-FR" w:eastAsia="en-GB"/>
        </w:rPr>
        <w:t xml:space="preserve">entendre les causes dans un délai raisonnable (voir </w:t>
      </w:r>
      <w:r>
        <w:rPr>
          <w:rFonts w:eastAsia="MS Mincho"/>
          <w:i/>
          <w:iCs/>
          <w:lang w:val="fr-FR" w:eastAsia="en-GB"/>
        </w:rPr>
        <w:t xml:space="preserve">Kudła c. Pologne </w:t>
      </w:r>
      <w:r>
        <w:rPr>
          <w:rFonts w:eastAsia="MS Mincho"/>
          <w:lang w:val="fr-FR" w:eastAsia="en-GB"/>
        </w:rPr>
        <w:t>[GC], n</w:t>
      </w:r>
      <w:r>
        <w:rPr>
          <w:rFonts w:eastAsia="MS Mincho"/>
          <w:vertAlign w:val="superscript"/>
          <w:lang w:val="fr-FR" w:eastAsia="en-GB"/>
        </w:rPr>
        <w:t xml:space="preserve">o </w:t>
      </w:r>
      <w:r>
        <w:rPr>
          <w:rFonts w:eastAsia="MS Mincho"/>
          <w:lang w:val="fr-FR" w:eastAsia="en-GB"/>
        </w:rPr>
        <w:t>30210/96, § 156, CEDH 2000</w:t>
      </w:r>
      <w:r>
        <w:rPr>
          <w:rFonts w:eastAsia="MS Mincho"/>
          <w:lang w:val="fr-FR" w:eastAsia="en-GB"/>
        </w:rPr>
        <w:noBreakHyphen/>
        <w:t>XI).</w:t>
      </w:r>
    </w:p>
    <w:p w:rsidR="009A0B2E" w:rsidRDefault="009A0B2E" w:rsidP="000E6085">
      <w:pPr>
        <w:pStyle w:val="ECHRPara"/>
        <w:rPr>
          <w:rFonts w:eastAsia="MS Mincho"/>
          <w:lang w:val="fr-FR" w:eastAsia="en-GB"/>
        </w:rPr>
      </w:pPr>
      <w:r>
        <w:rPr>
          <w:rFonts w:eastAsia="MS Mincho"/>
          <w:lang w:val="fr-FR" w:eastAsia="en-GB"/>
        </w:rPr>
        <w:fldChar w:fldCharType="begin"/>
      </w:r>
      <w:r>
        <w:rPr>
          <w:rFonts w:eastAsia="MS Mincho"/>
          <w:lang w:val="fr-FR" w:eastAsia="en-GB"/>
        </w:rPr>
        <w:instrText xml:space="preserve"> SEQ level0 \*arabic </w:instrText>
      </w:r>
      <w:r>
        <w:rPr>
          <w:rFonts w:eastAsia="MS Mincho"/>
          <w:lang w:val="fr-FR" w:eastAsia="en-GB"/>
        </w:rPr>
        <w:fldChar w:fldCharType="separate"/>
      </w:r>
      <w:r w:rsidR="00BD469E">
        <w:rPr>
          <w:rFonts w:eastAsia="MS Mincho"/>
          <w:noProof/>
          <w:lang w:val="fr-FR" w:eastAsia="en-GB"/>
        </w:rPr>
        <w:t>98</w:t>
      </w:r>
      <w:r>
        <w:rPr>
          <w:rFonts w:eastAsia="MS Mincho"/>
          <w:lang w:val="fr-FR" w:eastAsia="en-GB"/>
        </w:rPr>
        <w:fldChar w:fldCharType="end"/>
      </w:r>
      <w:r>
        <w:rPr>
          <w:rFonts w:eastAsia="MS Mincho"/>
          <w:lang w:val="fr-FR" w:eastAsia="en-GB"/>
        </w:rPr>
        <w:t>.  Par ailleurs, la Cour a déjà eu l</w:t>
      </w:r>
      <w:r w:rsidR="003C2190">
        <w:rPr>
          <w:rFonts w:eastAsia="MS Mincho"/>
          <w:lang w:val="fr-FR" w:eastAsia="en-GB"/>
        </w:rPr>
        <w:t>’</w:t>
      </w:r>
      <w:r>
        <w:rPr>
          <w:rFonts w:eastAsia="MS Mincho"/>
          <w:lang w:val="fr-FR" w:eastAsia="en-GB"/>
        </w:rPr>
        <w:t>occasion de constater que l</w:t>
      </w:r>
      <w:r w:rsidR="003C2190">
        <w:rPr>
          <w:rFonts w:eastAsia="MS Mincho"/>
          <w:lang w:val="fr-FR" w:eastAsia="en-GB"/>
        </w:rPr>
        <w:t>’</w:t>
      </w:r>
      <w:r>
        <w:rPr>
          <w:rFonts w:eastAsia="MS Mincho"/>
          <w:lang w:val="fr-FR" w:eastAsia="en-GB"/>
        </w:rPr>
        <w:t>ordre juridique hellénique n</w:t>
      </w:r>
      <w:r w:rsidR="003C2190">
        <w:rPr>
          <w:rFonts w:eastAsia="MS Mincho"/>
          <w:lang w:val="fr-FR" w:eastAsia="en-GB"/>
        </w:rPr>
        <w:t>’</w:t>
      </w:r>
      <w:r>
        <w:rPr>
          <w:rFonts w:eastAsia="MS Mincho"/>
          <w:lang w:val="fr-FR" w:eastAsia="en-GB"/>
        </w:rPr>
        <w:t>offrait pas aux intéressés un recours effectif au sens de l</w:t>
      </w:r>
      <w:r w:rsidR="003C2190">
        <w:rPr>
          <w:rFonts w:eastAsia="MS Mincho"/>
          <w:lang w:val="fr-FR" w:eastAsia="en-GB"/>
        </w:rPr>
        <w:t>’</w:t>
      </w:r>
      <w:r>
        <w:rPr>
          <w:rFonts w:eastAsia="MS Mincho"/>
          <w:lang w:val="fr-FR" w:eastAsia="en-GB"/>
        </w:rPr>
        <w:t xml:space="preserve">article 13 de la Convention leur permettant de se plaindre de la durée </w:t>
      </w:r>
      <w:r>
        <w:rPr>
          <w:rFonts w:eastAsia="MS Mincho"/>
          <w:lang w:val="fr-FR" w:eastAsia="en-GB"/>
        </w:rPr>
        <w:lastRenderedPageBreak/>
        <w:t>d</w:t>
      </w:r>
      <w:r w:rsidR="003C2190">
        <w:rPr>
          <w:rFonts w:eastAsia="MS Mincho"/>
          <w:lang w:val="fr-FR" w:eastAsia="en-GB"/>
        </w:rPr>
        <w:t>’</w:t>
      </w:r>
      <w:r>
        <w:rPr>
          <w:rFonts w:eastAsia="MS Mincho"/>
          <w:lang w:val="fr-FR" w:eastAsia="en-GB"/>
        </w:rPr>
        <w:t>une procédure (</w:t>
      </w:r>
      <w:r>
        <w:rPr>
          <w:rFonts w:eastAsia="MS Mincho"/>
          <w:iCs/>
          <w:lang w:val="fr-FR" w:eastAsia="en-GB"/>
        </w:rPr>
        <w:t>voir, parmi beaucoup d</w:t>
      </w:r>
      <w:r w:rsidR="003C2190">
        <w:rPr>
          <w:rFonts w:eastAsia="MS Mincho"/>
          <w:iCs/>
          <w:lang w:val="fr-FR" w:eastAsia="en-GB"/>
        </w:rPr>
        <w:t>’</w:t>
      </w:r>
      <w:r>
        <w:rPr>
          <w:rFonts w:eastAsia="MS Mincho"/>
          <w:iCs/>
          <w:lang w:val="fr-FR" w:eastAsia="en-GB"/>
        </w:rPr>
        <w:t xml:space="preserve">autres, </w:t>
      </w:r>
      <w:r>
        <w:rPr>
          <w:rFonts w:eastAsia="MS Mincho"/>
          <w:i/>
          <w:iCs/>
          <w:lang w:val="fr-FR"/>
        </w:rPr>
        <w:t xml:space="preserve">Vassilios </w:t>
      </w:r>
      <w:r>
        <w:rPr>
          <w:rFonts w:eastAsia="MS Mincho"/>
          <w:i/>
          <w:lang w:val="fr-FR"/>
        </w:rPr>
        <w:t>Athanasiou et autres,</w:t>
      </w:r>
      <w:r>
        <w:rPr>
          <w:rFonts w:eastAsia="MS Mincho"/>
          <w:lang w:val="fr-FR" w:eastAsia="en-GB"/>
        </w:rPr>
        <w:t xml:space="preserve"> précité, §§ 33-35).</w:t>
      </w:r>
    </w:p>
    <w:p w:rsidR="009A0B2E" w:rsidRDefault="006D5EF7" w:rsidP="000E6085">
      <w:pPr>
        <w:pStyle w:val="ECHRPara"/>
        <w:rPr>
          <w:rFonts w:eastAsia="MS Mincho"/>
          <w:color w:val="000000"/>
          <w:szCs w:val="24"/>
          <w:lang w:val="fr-FR" w:eastAsia="en-GB"/>
        </w:rPr>
      </w:pPr>
      <w:r>
        <w:rPr>
          <w:rFonts w:eastAsia="MS Mincho"/>
          <w:color w:val="000000"/>
          <w:szCs w:val="24"/>
          <w:lang w:val="fr-FR" w:eastAsia="en-GB"/>
        </w:rPr>
        <w:fldChar w:fldCharType="begin"/>
      </w:r>
      <w:r>
        <w:rPr>
          <w:rFonts w:eastAsia="MS Mincho"/>
          <w:color w:val="000000"/>
          <w:szCs w:val="24"/>
          <w:lang w:val="fr-FR" w:eastAsia="en-GB"/>
        </w:rPr>
        <w:instrText xml:space="preserve"> SEQ level0 \*arabic </w:instrText>
      </w:r>
      <w:r>
        <w:rPr>
          <w:rFonts w:eastAsia="MS Mincho"/>
          <w:color w:val="000000"/>
          <w:szCs w:val="24"/>
          <w:lang w:val="fr-FR" w:eastAsia="en-GB"/>
        </w:rPr>
        <w:fldChar w:fldCharType="separate"/>
      </w:r>
      <w:r w:rsidR="00BD469E">
        <w:rPr>
          <w:rFonts w:eastAsia="MS Mincho"/>
          <w:noProof/>
          <w:color w:val="000000"/>
          <w:szCs w:val="24"/>
          <w:lang w:val="fr-FR" w:eastAsia="en-GB"/>
        </w:rPr>
        <w:t>99</w:t>
      </w:r>
      <w:r>
        <w:rPr>
          <w:rFonts w:eastAsia="MS Mincho"/>
          <w:color w:val="000000"/>
          <w:szCs w:val="24"/>
          <w:lang w:val="fr-FR" w:eastAsia="en-GB"/>
        </w:rPr>
        <w:fldChar w:fldCharType="end"/>
      </w:r>
      <w:r>
        <w:rPr>
          <w:rFonts w:eastAsia="MS Mincho"/>
          <w:color w:val="000000"/>
          <w:szCs w:val="24"/>
          <w:lang w:val="fr-FR" w:eastAsia="en-GB"/>
        </w:rPr>
        <w:t>.  </w:t>
      </w:r>
      <w:r w:rsidR="009A0B2E">
        <w:rPr>
          <w:rFonts w:eastAsia="MS Mincho"/>
          <w:color w:val="000000"/>
          <w:szCs w:val="24"/>
          <w:lang w:val="fr-FR" w:eastAsia="en-GB"/>
        </w:rPr>
        <w:t>La Cour note que le 12 mars 2012 a été publiée la loi n</w:t>
      </w:r>
      <w:r w:rsidR="009A0B2E">
        <w:rPr>
          <w:rFonts w:eastAsia="MS Mincho"/>
          <w:color w:val="000000"/>
          <w:szCs w:val="24"/>
          <w:vertAlign w:val="superscript"/>
          <w:lang w:val="fr-FR" w:eastAsia="en-GB"/>
        </w:rPr>
        <w:t xml:space="preserve">o </w:t>
      </w:r>
      <w:r w:rsidR="009A0B2E">
        <w:rPr>
          <w:rFonts w:eastAsia="MS Mincho"/>
          <w:color w:val="000000"/>
          <w:szCs w:val="24"/>
          <w:lang w:val="fr-FR" w:eastAsia="en-GB"/>
        </w:rPr>
        <w:t>4055/2012 portant sur l</w:t>
      </w:r>
      <w:r w:rsidR="003C2190">
        <w:rPr>
          <w:rFonts w:eastAsia="MS Mincho"/>
          <w:color w:val="000000"/>
          <w:szCs w:val="24"/>
          <w:lang w:val="fr-FR" w:eastAsia="en-GB"/>
        </w:rPr>
        <w:t>’</w:t>
      </w:r>
      <w:r w:rsidR="009A0B2E">
        <w:rPr>
          <w:rFonts w:eastAsia="MS Mincho"/>
          <w:color w:val="000000"/>
          <w:szCs w:val="24"/>
          <w:lang w:val="fr-FR" w:eastAsia="en-GB"/>
        </w:rPr>
        <w:t>équité et la durée raisonnable de la procédure judiciaire, qui est entrée en vigueur le 2 avril 2012. En vertu des articles 53 suiv. de la loi précitée, un nouveau recours a été établi permettant aux intéressés de se plaindre de la durée de chaque instance d</w:t>
      </w:r>
      <w:r w:rsidR="003C2190">
        <w:rPr>
          <w:rFonts w:eastAsia="MS Mincho"/>
          <w:color w:val="000000"/>
          <w:szCs w:val="24"/>
          <w:lang w:val="fr-FR" w:eastAsia="en-GB"/>
        </w:rPr>
        <w:t>’</w:t>
      </w:r>
      <w:r w:rsidR="009A0B2E">
        <w:rPr>
          <w:rFonts w:eastAsia="MS Mincho"/>
          <w:color w:val="000000"/>
          <w:szCs w:val="24"/>
          <w:lang w:val="fr-FR" w:eastAsia="en-GB"/>
        </w:rPr>
        <w:t xml:space="preserve">une procédure administrative dans un délai de six mois à partir de la date de publication de la décision y relative (voir paragraphe </w:t>
      </w:r>
      <w:r w:rsidR="001D1C62">
        <w:rPr>
          <w:rFonts w:eastAsia="MS Mincho"/>
          <w:color w:val="000000"/>
          <w:szCs w:val="24"/>
          <w:lang w:val="fr-FR" w:eastAsia="en-GB"/>
        </w:rPr>
        <w:t>41</w:t>
      </w:r>
      <w:r w:rsidR="009A0B2E">
        <w:rPr>
          <w:rFonts w:eastAsia="MS Mincho"/>
          <w:color w:val="000000"/>
          <w:szCs w:val="24"/>
          <w:lang w:val="fr-FR" w:eastAsia="en-GB"/>
        </w:rPr>
        <w:t xml:space="preserve"> ci-dessus). Par sa décision </w:t>
      </w:r>
      <w:r w:rsidR="009A0B2E">
        <w:rPr>
          <w:rFonts w:eastAsia="MS Mincho"/>
          <w:i/>
          <w:color w:val="000000"/>
          <w:szCs w:val="24"/>
          <w:lang w:val="fr-FR" w:eastAsia="en-GB"/>
        </w:rPr>
        <w:t>Techniki Olympiaki A.E. c. Grèce,</w:t>
      </w:r>
      <w:r w:rsidR="009A0B2E">
        <w:rPr>
          <w:rFonts w:eastAsia="MS Mincho"/>
          <w:color w:val="000000"/>
          <w:szCs w:val="24"/>
          <w:lang w:val="fr-FR" w:eastAsia="en-GB"/>
        </w:rPr>
        <w:t xml:space="preserve"> la Cour a jugé que ce recours est effectif au sens de l</w:t>
      </w:r>
      <w:r w:rsidR="003C2190">
        <w:rPr>
          <w:rFonts w:eastAsia="MS Mincho"/>
          <w:color w:val="000000"/>
          <w:szCs w:val="24"/>
          <w:lang w:val="fr-FR" w:eastAsia="en-GB"/>
        </w:rPr>
        <w:t>’</w:t>
      </w:r>
      <w:r w:rsidR="00D72AF5">
        <w:rPr>
          <w:rFonts w:eastAsia="MS Mincho"/>
          <w:color w:val="000000"/>
          <w:szCs w:val="24"/>
          <w:lang w:val="fr-FR" w:eastAsia="en-GB"/>
        </w:rPr>
        <w:t>article </w:t>
      </w:r>
      <w:r w:rsidR="009A0B2E">
        <w:rPr>
          <w:rFonts w:eastAsia="MS Mincho"/>
          <w:color w:val="000000"/>
          <w:szCs w:val="24"/>
          <w:lang w:val="fr-FR" w:eastAsia="en-GB"/>
        </w:rPr>
        <w:t>13 de la Convention (</w:t>
      </w:r>
      <w:r w:rsidR="009A0B2E">
        <w:rPr>
          <w:rFonts w:eastAsia="MS Mincho"/>
          <w:i/>
          <w:color w:val="000000"/>
          <w:szCs w:val="24"/>
          <w:lang w:val="fr-FR" w:eastAsia="en-GB"/>
        </w:rPr>
        <w:t xml:space="preserve">Techniki Olympiaki A.E. c. Grèce </w:t>
      </w:r>
      <w:r w:rsidR="009A0B2E">
        <w:rPr>
          <w:rFonts w:eastAsia="MS Mincho"/>
          <w:color w:val="000000"/>
          <w:szCs w:val="24"/>
          <w:lang w:val="fr-FR" w:eastAsia="en-GB"/>
        </w:rPr>
        <w:t>(déc.), n</w:t>
      </w:r>
      <w:r w:rsidR="007E7B24" w:rsidRPr="007E7B24">
        <w:rPr>
          <w:rFonts w:eastAsia="MS Mincho"/>
          <w:color w:val="000000"/>
          <w:szCs w:val="24"/>
          <w:vertAlign w:val="superscript"/>
          <w:lang w:val="fr-FR" w:eastAsia="en-GB"/>
        </w:rPr>
        <w:t>o</w:t>
      </w:r>
      <w:r w:rsidR="00D72AF5">
        <w:rPr>
          <w:rFonts w:eastAsia="MS Mincho"/>
          <w:color w:val="000000"/>
          <w:szCs w:val="24"/>
          <w:lang w:val="fr-FR" w:eastAsia="en-GB"/>
        </w:rPr>
        <w:t> </w:t>
      </w:r>
      <w:r w:rsidR="009A0B2E">
        <w:rPr>
          <w:rFonts w:eastAsia="MS Mincho"/>
          <w:color w:val="000000"/>
          <w:szCs w:val="24"/>
          <w:lang w:val="fr-FR" w:eastAsia="en-GB"/>
        </w:rPr>
        <w:t>40547/10, 1</w:t>
      </w:r>
      <w:r w:rsidR="009A0B2E">
        <w:rPr>
          <w:rFonts w:eastAsia="MS Mincho"/>
          <w:color w:val="000000"/>
          <w:szCs w:val="24"/>
          <w:vertAlign w:val="superscript"/>
          <w:lang w:val="fr-FR" w:eastAsia="en-GB"/>
        </w:rPr>
        <w:t>er</w:t>
      </w:r>
      <w:r w:rsidR="009A0B2E">
        <w:rPr>
          <w:rFonts w:eastAsia="MS Mincho"/>
          <w:color w:val="000000"/>
          <w:szCs w:val="24"/>
          <w:lang w:val="fr-FR" w:eastAsia="en-GB"/>
        </w:rPr>
        <w:t xml:space="preserve"> octobre 2013, § 58). Cependant, la Cour observe que cette loi n</w:t>
      </w:r>
      <w:r w:rsidR="003C2190">
        <w:rPr>
          <w:rFonts w:eastAsia="MS Mincho"/>
          <w:color w:val="000000"/>
          <w:szCs w:val="24"/>
          <w:lang w:val="fr-FR" w:eastAsia="en-GB"/>
        </w:rPr>
        <w:t>’</w:t>
      </w:r>
      <w:r w:rsidR="009A0B2E">
        <w:rPr>
          <w:rFonts w:eastAsia="MS Mincho"/>
          <w:color w:val="000000"/>
          <w:szCs w:val="24"/>
          <w:lang w:val="fr-FR" w:eastAsia="en-GB"/>
        </w:rPr>
        <w:t>a pas d</w:t>
      </w:r>
      <w:r w:rsidR="003C2190">
        <w:rPr>
          <w:rFonts w:eastAsia="MS Mincho"/>
          <w:color w:val="000000"/>
          <w:szCs w:val="24"/>
          <w:lang w:val="fr-FR" w:eastAsia="en-GB"/>
        </w:rPr>
        <w:t>’</w:t>
      </w:r>
      <w:r w:rsidR="009A0B2E">
        <w:rPr>
          <w:rFonts w:eastAsia="MS Mincho"/>
          <w:color w:val="000000"/>
          <w:szCs w:val="24"/>
          <w:lang w:val="fr-FR" w:eastAsia="en-GB"/>
        </w:rPr>
        <w:t>effet rétroactif.</w:t>
      </w:r>
      <w:r w:rsidR="00AF131B">
        <w:rPr>
          <w:rFonts w:eastAsia="MS Mincho"/>
          <w:color w:val="000000"/>
          <w:szCs w:val="24"/>
          <w:lang w:val="fr-FR" w:eastAsia="en-GB"/>
        </w:rPr>
        <w:t xml:space="preserve"> </w:t>
      </w:r>
      <w:r w:rsidR="009A0B2E">
        <w:rPr>
          <w:rFonts w:eastAsia="MS Mincho"/>
          <w:color w:val="000000"/>
          <w:szCs w:val="24"/>
          <w:lang w:val="fr-FR" w:eastAsia="en-GB"/>
        </w:rPr>
        <w:t>Par conséquent, elle ne prévoit pas un tel recours pour les affaires déjà terminées six mois avant son entrée en vigueur.</w:t>
      </w:r>
    </w:p>
    <w:p w:rsidR="00AF131B" w:rsidRDefault="009A0B2E" w:rsidP="000E6085">
      <w:pPr>
        <w:pStyle w:val="ECHRPara"/>
        <w:rPr>
          <w:rFonts w:eastAsia="MS Mincho"/>
          <w:color w:val="000000"/>
          <w:szCs w:val="24"/>
          <w:lang w:val="fr-FR" w:eastAsia="en-GB"/>
        </w:rPr>
      </w:pPr>
      <w:r>
        <w:rPr>
          <w:rFonts w:eastAsia="MS Mincho"/>
          <w:color w:val="000000"/>
          <w:szCs w:val="24"/>
          <w:lang w:val="fr-FR" w:eastAsia="en-GB"/>
        </w:rPr>
        <w:fldChar w:fldCharType="begin"/>
      </w:r>
      <w:r>
        <w:rPr>
          <w:rFonts w:eastAsia="MS Mincho"/>
          <w:color w:val="000000"/>
          <w:szCs w:val="24"/>
          <w:lang w:val="fr-FR" w:eastAsia="en-GB"/>
        </w:rPr>
        <w:instrText xml:space="preserve"> SEQ level0 \*arabic </w:instrText>
      </w:r>
      <w:r>
        <w:rPr>
          <w:rFonts w:eastAsia="MS Mincho"/>
          <w:color w:val="000000"/>
          <w:szCs w:val="24"/>
          <w:lang w:val="fr-FR" w:eastAsia="en-GB"/>
        </w:rPr>
        <w:fldChar w:fldCharType="separate"/>
      </w:r>
      <w:r w:rsidR="00BD469E">
        <w:rPr>
          <w:rFonts w:eastAsia="MS Mincho"/>
          <w:noProof/>
          <w:color w:val="000000"/>
          <w:szCs w:val="24"/>
          <w:lang w:val="fr-FR" w:eastAsia="en-GB"/>
        </w:rPr>
        <w:t>100</w:t>
      </w:r>
      <w:r>
        <w:rPr>
          <w:rFonts w:eastAsia="MS Mincho"/>
          <w:color w:val="000000"/>
          <w:szCs w:val="24"/>
          <w:lang w:val="fr-FR" w:eastAsia="en-GB"/>
        </w:rPr>
        <w:fldChar w:fldCharType="end"/>
      </w:r>
      <w:r>
        <w:rPr>
          <w:rFonts w:eastAsia="MS Mincho"/>
          <w:color w:val="000000"/>
          <w:szCs w:val="24"/>
          <w:lang w:val="fr-FR" w:eastAsia="en-GB"/>
        </w:rPr>
        <w:t>.  En l</w:t>
      </w:r>
      <w:r w:rsidR="003C2190">
        <w:rPr>
          <w:rFonts w:eastAsia="MS Mincho"/>
          <w:color w:val="000000"/>
          <w:szCs w:val="24"/>
          <w:lang w:val="fr-FR" w:eastAsia="en-GB"/>
        </w:rPr>
        <w:t>’</w:t>
      </w:r>
      <w:r>
        <w:rPr>
          <w:rFonts w:eastAsia="MS Mincho"/>
          <w:color w:val="000000"/>
          <w:szCs w:val="24"/>
          <w:lang w:val="fr-FR" w:eastAsia="en-GB"/>
        </w:rPr>
        <w:t xml:space="preserve">espèce, </w:t>
      </w:r>
      <w:r>
        <w:rPr>
          <w:rFonts w:eastAsia="MS Mincho"/>
          <w:lang w:val="fr-FR" w:eastAsia="fr-FR"/>
        </w:rPr>
        <w:t>l</w:t>
      </w:r>
      <w:r w:rsidR="003C2190">
        <w:rPr>
          <w:rFonts w:eastAsia="MS Mincho"/>
          <w:lang w:val="fr-FR" w:eastAsia="fr-FR"/>
        </w:rPr>
        <w:t>’</w:t>
      </w:r>
      <w:r>
        <w:rPr>
          <w:rFonts w:eastAsia="MS Mincho"/>
          <w:lang w:val="fr-FR" w:eastAsia="fr-FR"/>
        </w:rPr>
        <w:t>arrêt n</w:t>
      </w:r>
      <w:r>
        <w:rPr>
          <w:rFonts w:eastAsia="MS Mincho"/>
          <w:vertAlign w:val="superscript"/>
          <w:lang w:val="fr-FR" w:eastAsia="fr-FR"/>
        </w:rPr>
        <w:t>o</w:t>
      </w:r>
      <w:r>
        <w:rPr>
          <w:rFonts w:eastAsia="MS Mincho"/>
          <w:lang w:val="fr-FR" w:eastAsia="fr-FR"/>
        </w:rPr>
        <w:t xml:space="preserve"> 1999/2011 du Conseil d</w:t>
      </w:r>
      <w:r w:rsidR="003C2190">
        <w:rPr>
          <w:rFonts w:eastAsia="MS Mincho"/>
          <w:lang w:val="fr-FR" w:eastAsia="fr-FR"/>
        </w:rPr>
        <w:t>’</w:t>
      </w:r>
      <w:r>
        <w:rPr>
          <w:rFonts w:eastAsia="MS Mincho"/>
          <w:lang w:val="fr-FR" w:eastAsia="fr-FR"/>
        </w:rPr>
        <w:t xml:space="preserve">État a été publié </w:t>
      </w:r>
      <w:r>
        <w:rPr>
          <w:rFonts w:eastAsia="MS Mincho"/>
          <w:color w:val="000000"/>
          <w:szCs w:val="24"/>
          <w:lang w:val="fr-FR" w:eastAsia="en-GB"/>
        </w:rPr>
        <w:t>le 28 juin 2011, à savoir plus de six mois avant l</w:t>
      </w:r>
      <w:r w:rsidR="003C2190">
        <w:rPr>
          <w:rFonts w:eastAsia="MS Mincho"/>
          <w:color w:val="000000"/>
          <w:szCs w:val="24"/>
          <w:lang w:val="fr-FR" w:eastAsia="en-GB"/>
        </w:rPr>
        <w:t>’</w:t>
      </w:r>
      <w:r>
        <w:rPr>
          <w:rFonts w:eastAsia="MS Mincho"/>
          <w:color w:val="000000"/>
          <w:szCs w:val="24"/>
          <w:lang w:val="fr-FR" w:eastAsia="en-GB"/>
        </w:rPr>
        <w:t>entrée en vigueur de la loi n</w:t>
      </w:r>
      <w:r>
        <w:rPr>
          <w:rFonts w:eastAsia="MS Mincho"/>
          <w:color w:val="000000"/>
          <w:szCs w:val="24"/>
          <w:vertAlign w:val="superscript"/>
          <w:lang w:val="fr-FR" w:eastAsia="en-GB"/>
        </w:rPr>
        <w:t>o </w:t>
      </w:r>
      <w:r>
        <w:rPr>
          <w:rFonts w:eastAsia="MS Mincho"/>
          <w:color w:val="000000"/>
          <w:szCs w:val="24"/>
          <w:lang w:val="fr-FR" w:eastAsia="en-GB"/>
        </w:rPr>
        <w:t xml:space="preserve">4055/2012. Partant, le requérant ne pouvait pas exercer ledit recours. </w:t>
      </w:r>
      <w:r>
        <w:rPr>
          <w:rFonts w:eastAsia="MS Mincho"/>
          <w:lang w:val="fr-FR" w:eastAsia="fr-FR"/>
        </w:rPr>
        <w:t>Au vu des considérations qui précèdent</w:t>
      </w:r>
      <w:r>
        <w:rPr>
          <w:rFonts w:eastAsia="MS Mincho"/>
          <w:color w:val="000000"/>
          <w:szCs w:val="24"/>
          <w:lang w:val="fr-FR" w:eastAsia="en-GB"/>
        </w:rPr>
        <w:t>, la Cour estime qu</w:t>
      </w:r>
      <w:r w:rsidR="003C2190">
        <w:rPr>
          <w:rFonts w:eastAsia="MS Mincho"/>
          <w:color w:val="000000"/>
          <w:szCs w:val="24"/>
          <w:lang w:val="fr-FR" w:eastAsia="en-GB"/>
        </w:rPr>
        <w:t>’</w:t>
      </w:r>
      <w:r>
        <w:rPr>
          <w:rFonts w:eastAsia="MS Mincho"/>
          <w:color w:val="000000"/>
          <w:szCs w:val="24"/>
          <w:lang w:val="fr-FR" w:eastAsia="en-GB"/>
        </w:rPr>
        <w:t>il y a eu violation de l</w:t>
      </w:r>
      <w:r w:rsidR="003C2190">
        <w:rPr>
          <w:rFonts w:eastAsia="MS Mincho"/>
          <w:color w:val="000000"/>
          <w:szCs w:val="24"/>
          <w:lang w:val="fr-FR" w:eastAsia="en-GB"/>
        </w:rPr>
        <w:t>’</w:t>
      </w:r>
      <w:r>
        <w:rPr>
          <w:rFonts w:eastAsia="MS Mincho"/>
          <w:color w:val="000000"/>
          <w:szCs w:val="24"/>
          <w:lang w:val="fr-FR" w:eastAsia="en-GB"/>
        </w:rPr>
        <w:t>article 13 de la Convention en raison, à l</w:t>
      </w:r>
      <w:r w:rsidR="003C2190">
        <w:rPr>
          <w:rFonts w:eastAsia="MS Mincho"/>
          <w:color w:val="000000"/>
          <w:szCs w:val="24"/>
          <w:lang w:val="fr-FR" w:eastAsia="en-GB"/>
        </w:rPr>
        <w:t>’</w:t>
      </w:r>
      <w:r>
        <w:rPr>
          <w:rFonts w:eastAsia="MS Mincho"/>
          <w:color w:val="000000"/>
          <w:szCs w:val="24"/>
          <w:lang w:val="fr-FR" w:eastAsia="en-GB"/>
        </w:rPr>
        <w:t>époque des faits, de l</w:t>
      </w:r>
      <w:r w:rsidR="003C2190">
        <w:rPr>
          <w:rFonts w:eastAsia="MS Mincho"/>
          <w:color w:val="000000"/>
          <w:szCs w:val="24"/>
          <w:lang w:val="fr-FR" w:eastAsia="en-GB"/>
        </w:rPr>
        <w:t>’</w:t>
      </w:r>
      <w:r>
        <w:rPr>
          <w:rFonts w:eastAsia="MS Mincho"/>
          <w:color w:val="000000"/>
          <w:szCs w:val="24"/>
          <w:lang w:val="fr-FR" w:eastAsia="en-GB"/>
        </w:rPr>
        <w:t>absence en droit interne d</w:t>
      </w:r>
      <w:r w:rsidR="003C2190">
        <w:rPr>
          <w:rFonts w:eastAsia="MS Mincho"/>
          <w:color w:val="000000"/>
          <w:szCs w:val="24"/>
          <w:lang w:val="fr-FR" w:eastAsia="en-GB"/>
        </w:rPr>
        <w:t>’</w:t>
      </w:r>
      <w:r>
        <w:rPr>
          <w:rFonts w:eastAsia="MS Mincho"/>
          <w:color w:val="000000"/>
          <w:szCs w:val="24"/>
          <w:lang w:val="fr-FR" w:eastAsia="en-GB"/>
        </w:rPr>
        <w:t>un recours qui aurait permis au requérant dans la requête n</w:t>
      </w:r>
      <w:r w:rsidR="007E7B24" w:rsidRPr="007E7B24">
        <w:rPr>
          <w:rFonts w:eastAsia="MS Mincho"/>
          <w:color w:val="000000"/>
          <w:szCs w:val="24"/>
          <w:vertAlign w:val="superscript"/>
          <w:lang w:val="fr-FR" w:eastAsia="en-GB"/>
        </w:rPr>
        <w:t>o</w:t>
      </w:r>
      <w:r>
        <w:rPr>
          <w:rFonts w:eastAsia="MS Mincho"/>
          <w:color w:val="000000"/>
          <w:szCs w:val="24"/>
          <w:lang w:val="fr-FR" w:eastAsia="en-GB"/>
        </w:rPr>
        <w:t> 3453/12, d</w:t>
      </w:r>
      <w:r w:rsidR="003C2190">
        <w:rPr>
          <w:rFonts w:eastAsia="MS Mincho"/>
          <w:color w:val="000000"/>
          <w:szCs w:val="24"/>
          <w:lang w:val="fr-FR" w:eastAsia="en-GB"/>
        </w:rPr>
        <w:t>’</w:t>
      </w:r>
      <w:r>
        <w:rPr>
          <w:rFonts w:eastAsia="MS Mincho"/>
          <w:color w:val="000000"/>
          <w:szCs w:val="24"/>
          <w:lang w:val="fr-FR" w:eastAsia="en-GB"/>
        </w:rPr>
        <w:t>obtenir la sanction de son droit à voir sa cause entendue dans un délai raisonnable, au sens de l</w:t>
      </w:r>
      <w:r w:rsidR="003C2190">
        <w:rPr>
          <w:rFonts w:eastAsia="MS Mincho"/>
          <w:color w:val="000000"/>
          <w:szCs w:val="24"/>
          <w:lang w:val="fr-FR" w:eastAsia="en-GB"/>
        </w:rPr>
        <w:t>’</w:t>
      </w:r>
      <w:r>
        <w:rPr>
          <w:rFonts w:eastAsia="MS Mincho"/>
          <w:color w:val="000000"/>
          <w:szCs w:val="24"/>
          <w:lang w:val="fr-FR" w:eastAsia="en-GB"/>
        </w:rPr>
        <w:t>article 6 § 1 de la Convention.</w:t>
      </w:r>
    </w:p>
    <w:p w:rsidR="009A0B2E" w:rsidRDefault="009A0B2E" w:rsidP="009A0B2E">
      <w:pPr>
        <w:pStyle w:val="ECHRHeading1"/>
        <w:rPr>
          <w:rFonts w:eastAsia="MS Gothic"/>
          <w:lang w:val="fr-FR"/>
        </w:rPr>
      </w:pPr>
      <w:r>
        <w:rPr>
          <w:rFonts w:eastAsia="MS Gothic"/>
          <w:lang w:val="fr-FR"/>
        </w:rPr>
        <w:t>IV.  SUR LA VIOLATION ALLÉGUÉE DE L</w:t>
      </w:r>
      <w:r w:rsidR="003C2190">
        <w:rPr>
          <w:rFonts w:eastAsia="MS Gothic"/>
          <w:lang w:val="fr-FR"/>
        </w:rPr>
        <w:t>’</w:t>
      </w:r>
      <w:r>
        <w:rPr>
          <w:rFonts w:eastAsia="MS Gothic"/>
          <w:lang w:val="fr-FR"/>
        </w:rPr>
        <w:t>ARTICLE 1 DU PROTOCOLE N</w:t>
      </w:r>
      <w:r>
        <w:rPr>
          <w:rFonts w:eastAsia="MS Gothic"/>
          <w:vertAlign w:val="superscript"/>
          <w:lang w:val="fr-FR"/>
        </w:rPr>
        <w:t>o</w:t>
      </w:r>
      <w:r>
        <w:rPr>
          <w:rFonts w:eastAsia="MS Gothic"/>
          <w:lang w:val="fr-FR"/>
        </w:rPr>
        <w:t xml:space="preserve"> 1</w:t>
      </w:r>
    </w:p>
    <w:p w:rsidR="009A0B2E" w:rsidRDefault="009A0B2E" w:rsidP="009A0B2E">
      <w:pPr>
        <w:pStyle w:val="ECHRPara"/>
        <w:rPr>
          <w:lang w:val="fr-FR"/>
        </w:rPr>
      </w:pPr>
      <w:r>
        <w:rPr>
          <w:rFonts w:eastAsia="MS Mincho"/>
          <w:lang w:val="fr-FR" w:eastAsia="ja-JP"/>
        </w:rPr>
        <w:fldChar w:fldCharType="begin"/>
      </w:r>
      <w:r>
        <w:rPr>
          <w:rFonts w:eastAsia="MS Mincho"/>
          <w:lang w:val="fr-FR" w:eastAsia="ja-JP"/>
        </w:rPr>
        <w:instrText xml:space="preserve"> SEQ level0 \*arabic </w:instrText>
      </w:r>
      <w:r>
        <w:rPr>
          <w:rFonts w:eastAsia="MS Mincho"/>
          <w:lang w:val="fr-FR" w:eastAsia="ja-JP"/>
        </w:rPr>
        <w:fldChar w:fldCharType="separate"/>
      </w:r>
      <w:r w:rsidR="00BD469E">
        <w:rPr>
          <w:rFonts w:eastAsia="MS Mincho"/>
          <w:noProof/>
          <w:lang w:val="fr-FR" w:eastAsia="ja-JP"/>
        </w:rPr>
        <w:t>101</w:t>
      </w:r>
      <w:r>
        <w:rPr>
          <w:rFonts w:eastAsia="MS Mincho"/>
          <w:lang w:val="fr-FR" w:eastAsia="ja-JP"/>
        </w:rPr>
        <w:fldChar w:fldCharType="end"/>
      </w:r>
      <w:r>
        <w:rPr>
          <w:rFonts w:eastAsia="MS Mincho"/>
          <w:lang w:val="fr-FR" w:eastAsia="ja-JP"/>
        </w:rPr>
        <w:t>.  Dans les requêtes n</w:t>
      </w:r>
      <w:r>
        <w:rPr>
          <w:rFonts w:eastAsia="MS Mincho"/>
          <w:vertAlign w:val="superscript"/>
          <w:lang w:val="fr-FR" w:eastAsia="ja-JP"/>
        </w:rPr>
        <w:t>os</w:t>
      </w:r>
      <w:r>
        <w:rPr>
          <w:rFonts w:eastAsia="MS Mincho"/>
          <w:lang w:val="fr-FR" w:eastAsia="ja-JP"/>
        </w:rPr>
        <w:t xml:space="preserve"> 42941/12 et 9028/13, les requérants allèguent que les amendes administratives infligées pour délit de contrebande étaient exorbitantes, ne respectaient pas le principe de proportionnalité et portaient ainsi atteinte au droit à la protection des biens. </w:t>
      </w:r>
      <w:r>
        <w:rPr>
          <w:lang w:val="fr-FR"/>
        </w:rPr>
        <w:t>Ils invoquent l</w:t>
      </w:r>
      <w:r w:rsidR="003C2190">
        <w:rPr>
          <w:lang w:val="fr-FR"/>
        </w:rPr>
        <w:t>’</w:t>
      </w:r>
      <w:r>
        <w:rPr>
          <w:lang w:val="fr-FR"/>
        </w:rPr>
        <w:t>article 1 du Protocole n</w:t>
      </w:r>
      <w:r>
        <w:rPr>
          <w:vertAlign w:val="superscript"/>
          <w:lang w:val="fr-FR"/>
        </w:rPr>
        <w:t>o</w:t>
      </w:r>
      <w:r>
        <w:rPr>
          <w:lang w:val="fr-FR"/>
        </w:rPr>
        <w:t xml:space="preserve"> 1, disposition ainsi libellée :</w:t>
      </w:r>
    </w:p>
    <w:p w:rsidR="009A0B2E" w:rsidRDefault="009A0B2E" w:rsidP="009A0B2E">
      <w:pPr>
        <w:pStyle w:val="ECHRParaQuote"/>
        <w:rPr>
          <w:lang w:val="fr-FR"/>
        </w:rPr>
      </w:pPr>
      <w:r w:rsidRPr="009A0B2E">
        <w:rPr>
          <w:lang w:val="fr-FR"/>
        </w:rPr>
        <w:t>« Toute personne physique ou morale a droit au respect de ses biens. Nul ne peut être privé de sa propriété que pour cause d</w:t>
      </w:r>
      <w:r w:rsidR="003C2190">
        <w:rPr>
          <w:lang w:val="fr-FR"/>
        </w:rPr>
        <w:t>’</w:t>
      </w:r>
      <w:r w:rsidRPr="009A0B2E">
        <w:rPr>
          <w:lang w:val="fr-FR"/>
        </w:rPr>
        <w:t>utilité publique et dans les conditions prévues par la loi et les principes généraux du droit international.</w:t>
      </w:r>
    </w:p>
    <w:p w:rsidR="009A0B2E" w:rsidRPr="009A0B2E" w:rsidRDefault="009A0B2E" w:rsidP="009A0B2E">
      <w:pPr>
        <w:pStyle w:val="ECHRParaQuote"/>
        <w:rPr>
          <w:lang w:val="fr-FR"/>
        </w:rPr>
      </w:pPr>
      <w:r w:rsidRPr="009A0B2E">
        <w:rPr>
          <w:lang w:val="fr-FR"/>
        </w:rPr>
        <w:t>Les dispositions précédentes ne portent pas atteinte au droit que possèdent les États de mettre en vigueur les lois qu</w:t>
      </w:r>
      <w:r w:rsidR="003C2190">
        <w:rPr>
          <w:lang w:val="fr-FR"/>
        </w:rPr>
        <w:t>’</w:t>
      </w:r>
      <w:r w:rsidRPr="009A0B2E">
        <w:rPr>
          <w:lang w:val="fr-FR"/>
        </w:rPr>
        <w:t>ils jugent nécessaires pour réglementer l</w:t>
      </w:r>
      <w:r w:rsidR="003C2190">
        <w:rPr>
          <w:lang w:val="fr-FR"/>
        </w:rPr>
        <w:t>’</w:t>
      </w:r>
      <w:r w:rsidRPr="009A0B2E">
        <w:rPr>
          <w:lang w:val="fr-FR"/>
        </w:rPr>
        <w:t>usage des biens conformément à l</w:t>
      </w:r>
      <w:r w:rsidR="003C2190">
        <w:rPr>
          <w:lang w:val="fr-FR"/>
        </w:rPr>
        <w:t>’</w:t>
      </w:r>
      <w:r w:rsidRPr="009A0B2E">
        <w:rPr>
          <w:lang w:val="fr-FR"/>
        </w:rPr>
        <w:t>intérêt général ou pour assurer le paiement des impôts ou d</w:t>
      </w:r>
      <w:r w:rsidR="003C2190">
        <w:rPr>
          <w:lang w:val="fr-FR"/>
        </w:rPr>
        <w:t>’</w:t>
      </w:r>
      <w:r w:rsidRPr="009A0B2E">
        <w:rPr>
          <w:lang w:val="fr-FR"/>
        </w:rPr>
        <w:t>autres contributions ou des amendes. »</w:t>
      </w:r>
    </w:p>
    <w:p w:rsidR="009A0B2E" w:rsidRDefault="009A0B2E" w:rsidP="009A0B2E">
      <w:pPr>
        <w:pStyle w:val="ECHRHeading2"/>
        <w:rPr>
          <w:rFonts w:eastAsia="MS Mincho"/>
          <w:lang w:val="fr-FR" w:eastAsia="ja-JP"/>
        </w:rPr>
      </w:pPr>
      <w:r>
        <w:rPr>
          <w:rFonts w:eastAsia="MS Mincho"/>
          <w:lang w:val="fr-FR" w:eastAsia="ja-JP"/>
        </w:rPr>
        <w:t>Sur la recevabilité</w:t>
      </w:r>
    </w:p>
    <w:p w:rsidR="00AF131B" w:rsidRDefault="009A0B2E" w:rsidP="000E6085">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102</w:t>
      </w:r>
      <w:r>
        <w:rPr>
          <w:lang w:val="fr-FR" w:eastAsia="fr-FR"/>
        </w:rPr>
        <w:fldChar w:fldCharType="end"/>
      </w:r>
      <w:r>
        <w:rPr>
          <w:lang w:val="fr-FR" w:eastAsia="fr-FR"/>
        </w:rPr>
        <w:t>.  Le Gouvernement excipe du non-épuisement des voies de recours internes. Il allègue que, dans les requêtes précitées, les requérants n</w:t>
      </w:r>
      <w:r w:rsidR="003C2190">
        <w:rPr>
          <w:lang w:val="fr-FR" w:eastAsia="fr-FR"/>
        </w:rPr>
        <w:t>’</w:t>
      </w:r>
      <w:r>
        <w:rPr>
          <w:lang w:val="fr-FR" w:eastAsia="fr-FR"/>
        </w:rPr>
        <w:t xml:space="preserve">ont pas </w:t>
      </w:r>
      <w:r>
        <w:rPr>
          <w:lang w:val="fr-FR" w:eastAsia="fr-FR"/>
        </w:rPr>
        <w:lastRenderedPageBreak/>
        <w:t>invoqué devant les juridictions administratives l</w:t>
      </w:r>
      <w:r w:rsidR="003C2190">
        <w:rPr>
          <w:lang w:val="fr-FR" w:eastAsia="fr-FR"/>
        </w:rPr>
        <w:t>’</w:t>
      </w:r>
      <w:r>
        <w:rPr>
          <w:lang w:val="fr-FR" w:eastAsia="fr-FR"/>
        </w:rPr>
        <w:t>atteinte au droit à la protection de leur propriété en raison de l</w:t>
      </w:r>
      <w:r w:rsidR="003C2190">
        <w:rPr>
          <w:lang w:val="fr-FR" w:eastAsia="fr-FR"/>
        </w:rPr>
        <w:t>’</w:t>
      </w:r>
      <w:r>
        <w:rPr>
          <w:lang w:val="fr-FR" w:eastAsia="fr-FR"/>
        </w:rPr>
        <w:t>imposition des amendes administratives en cause.</w:t>
      </w:r>
    </w:p>
    <w:p w:rsidR="00AF131B" w:rsidRDefault="009A0B2E" w:rsidP="000E6085">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103</w:t>
      </w:r>
      <w:r>
        <w:rPr>
          <w:lang w:val="fr-FR" w:eastAsia="fr-FR"/>
        </w:rPr>
        <w:fldChar w:fldCharType="end"/>
      </w:r>
      <w:r>
        <w:rPr>
          <w:lang w:val="fr-FR" w:eastAsia="fr-FR"/>
        </w:rPr>
        <w:t>.  Les requérants rétorquent que les amendes en cause constituaient une restriction disproportionnée de leur droit à la protection des biens. Le troisième requérant relève en particulier qu</w:t>
      </w:r>
      <w:r w:rsidR="003C2190">
        <w:rPr>
          <w:lang w:val="fr-FR" w:eastAsia="fr-FR"/>
        </w:rPr>
        <w:t>’</w:t>
      </w:r>
      <w:r>
        <w:rPr>
          <w:lang w:val="fr-FR" w:eastAsia="fr-FR"/>
        </w:rPr>
        <w:t xml:space="preserve">à travers son grief fondé sur le principe </w:t>
      </w:r>
      <w:r>
        <w:rPr>
          <w:i/>
          <w:lang w:val="fr-FR" w:eastAsia="fr-FR"/>
        </w:rPr>
        <w:t xml:space="preserve">ne bis in idem, </w:t>
      </w:r>
      <w:r>
        <w:rPr>
          <w:lang w:val="fr-FR" w:eastAsia="fr-FR"/>
        </w:rPr>
        <w:t>il s</w:t>
      </w:r>
      <w:r w:rsidR="003C2190">
        <w:rPr>
          <w:lang w:val="fr-FR" w:eastAsia="fr-FR"/>
        </w:rPr>
        <w:t>’</w:t>
      </w:r>
      <w:r>
        <w:rPr>
          <w:lang w:val="fr-FR" w:eastAsia="fr-FR"/>
        </w:rPr>
        <w:t>est plaint de l</w:t>
      </w:r>
      <w:r w:rsidR="003C2190">
        <w:rPr>
          <w:lang w:val="fr-FR" w:eastAsia="fr-FR"/>
        </w:rPr>
        <w:t>’</w:t>
      </w:r>
      <w:r>
        <w:rPr>
          <w:lang w:val="fr-FR" w:eastAsia="fr-FR"/>
        </w:rPr>
        <w:t>imposition d</w:t>
      </w:r>
      <w:r w:rsidR="003C2190">
        <w:rPr>
          <w:lang w:val="fr-FR" w:eastAsia="fr-FR"/>
        </w:rPr>
        <w:t>’</w:t>
      </w:r>
      <w:r>
        <w:rPr>
          <w:lang w:val="fr-FR" w:eastAsia="fr-FR"/>
        </w:rPr>
        <w:t>une double peine sévère pour les mêmes faits.</w:t>
      </w:r>
    </w:p>
    <w:p w:rsidR="009A0B2E" w:rsidRDefault="009A0B2E" w:rsidP="000E6085">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104</w:t>
      </w:r>
      <w:r>
        <w:rPr>
          <w:lang w:val="fr-FR" w:eastAsia="fr-FR"/>
        </w:rPr>
        <w:fldChar w:fldCharType="end"/>
      </w:r>
      <w:r>
        <w:rPr>
          <w:lang w:val="fr-FR" w:eastAsia="fr-FR"/>
        </w:rPr>
        <w:t>.  La Cour rappelle que le fondement de la règle de l</w:t>
      </w:r>
      <w:r w:rsidR="003C2190">
        <w:rPr>
          <w:lang w:val="fr-FR" w:eastAsia="fr-FR"/>
        </w:rPr>
        <w:t>’</w:t>
      </w:r>
      <w:r>
        <w:rPr>
          <w:lang w:val="fr-FR" w:eastAsia="fr-FR"/>
        </w:rPr>
        <w:t>épuisement des voies de recours internes énoncée à l</w:t>
      </w:r>
      <w:r w:rsidR="003C2190">
        <w:rPr>
          <w:lang w:val="fr-FR" w:eastAsia="fr-FR"/>
        </w:rPr>
        <w:t>’</w:t>
      </w:r>
      <w:r>
        <w:rPr>
          <w:lang w:val="fr-FR" w:eastAsia="fr-FR"/>
        </w:rPr>
        <w:t>article 35 § 1 de la Convention consiste en ce que, avant de saisir un tribunal international, le requérant doit avoir donné à l</w:t>
      </w:r>
      <w:r w:rsidR="003C2190">
        <w:rPr>
          <w:lang w:val="fr-FR" w:eastAsia="fr-FR"/>
        </w:rPr>
        <w:t>’</w:t>
      </w:r>
      <w:r>
        <w:rPr>
          <w:lang w:val="fr-FR" w:eastAsia="fr-FR"/>
        </w:rPr>
        <w:t>État responsable la faculté de remédier aux violations alléguées par des moyens internes, en utilisant les ressources judiciaires offertes par la législation nationale, pourvu qu</w:t>
      </w:r>
      <w:r w:rsidR="003C2190">
        <w:rPr>
          <w:lang w:val="fr-FR" w:eastAsia="fr-FR"/>
        </w:rPr>
        <w:t>’</w:t>
      </w:r>
      <w:r>
        <w:rPr>
          <w:lang w:val="fr-FR" w:eastAsia="fr-FR"/>
        </w:rPr>
        <w:t xml:space="preserve">elles se révèlent efficaces et suffisantes (voir, entre autres, </w:t>
      </w:r>
      <w:r>
        <w:rPr>
          <w:i/>
          <w:iCs/>
          <w:lang w:val="fr-FR" w:eastAsia="fr-FR"/>
        </w:rPr>
        <w:t>Fressoz et Roire c. France</w:t>
      </w:r>
      <w:r>
        <w:rPr>
          <w:lang w:val="fr-FR" w:eastAsia="fr-FR"/>
        </w:rPr>
        <w:t xml:space="preserve"> [GC], n</w:t>
      </w:r>
      <w:r>
        <w:rPr>
          <w:vertAlign w:val="superscript"/>
          <w:lang w:val="fr-FR" w:eastAsia="fr-FR"/>
        </w:rPr>
        <w:t>o</w:t>
      </w:r>
      <w:r>
        <w:rPr>
          <w:lang w:val="fr-FR" w:eastAsia="fr-FR"/>
        </w:rPr>
        <w:t> 29183/95, § 37, CEDH 1999–I). En effet, l</w:t>
      </w:r>
      <w:r w:rsidR="003C2190">
        <w:rPr>
          <w:lang w:val="fr-FR" w:eastAsia="fr-FR"/>
        </w:rPr>
        <w:t>’</w:t>
      </w:r>
      <w:r>
        <w:rPr>
          <w:lang w:val="fr-FR" w:eastAsia="fr-FR"/>
        </w:rPr>
        <w:t>article 35 § 1 de la Convention ne prescrit l</w:t>
      </w:r>
      <w:r w:rsidR="003C2190">
        <w:rPr>
          <w:lang w:val="fr-FR" w:eastAsia="fr-FR"/>
        </w:rPr>
        <w:t>’</w:t>
      </w:r>
      <w:r>
        <w:rPr>
          <w:lang w:val="fr-FR" w:eastAsia="fr-FR"/>
        </w:rPr>
        <w:t>épuisement que des recours à la fois relatifs aux violations incriminées, disponibles et adéquats. Ils doivent exister à un degré suffisant de certitude non seulement en théorie mais aussi en pratique, sans quoi leur manquent l</w:t>
      </w:r>
      <w:r w:rsidR="003C2190">
        <w:rPr>
          <w:lang w:val="fr-FR" w:eastAsia="fr-FR"/>
        </w:rPr>
        <w:t>’</w:t>
      </w:r>
      <w:r>
        <w:rPr>
          <w:lang w:val="fr-FR" w:eastAsia="fr-FR"/>
        </w:rPr>
        <w:t>effectivité et l</w:t>
      </w:r>
      <w:r w:rsidR="003C2190">
        <w:rPr>
          <w:lang w:val="fr-FR" w:eastAsia="fr-FR"/>
        </w:rPr>
        <w:t>’</w:t>
      </w:r>
      <w:r>
        <w:rPr>
          <w:lang w:val="fr-FR" w:eastAsia="fr-FR"/>
        </w:rPr>
        <w:t>accessibilité voulues ; il incombe à l</w:t>
      </w:r>
      <w:r w:rsidR="003C2190">
        <w:rPr>
          <w:lang w:val="fr-FR" w:eastAsia="fr-FR"/>
        </w:rPr>
        <w:t>’</w:t>
      </w:r>
      <w:r>
        <w:rPr>
          <w:lang w:val="fr-FR" w:eastAsia="fr-FR"/>
        </w:rPr>
        <w:t>Etat défendeur de démontrer que ces exigences se trouvent réunies (voir, parmi beaucoup d</w:t>
      </w:r>
      <w:r w:rsidR="003C2190">
        <w:rPr>
          <w:lang w:val="fr-FR" w:eastAsia="fr-FR"/>
        </w:rPr>
        <w:t>’</w:t>
      </w:r>
      <w:r>
        <w:rPr>
          <w:lang w:val="fr-FR" w:eastAsia="fr-FR"/>
        </w:rPr>
        <w:t xml:space="preserve">autres, </w:t>
      </w:r>
      <w:r>
        <w:rPr>
          <w:i/>
          <w:iCs/>
          <w:lang w:val="fr-FR" w:eastAsia="fr-FR"/>
        </w:rPr>
        <w:t>Dalia c. France</w:t>
      </w:r>
      <w:r>
        <w:rPr>
          <w:lang w:val="fr-FR" w:eastAsia="fr-FR"/>
        </w:rPr>
        <w:t xml:space="preserve">, 19 février 1998, § 38, </w:t>
      </w:r>
      <w:r>
        <w:rPr>
          <w:i/>
          <w:iCs/>
          <w:lang w:val="fr-FR" w:eastAsia="fr-FR"/>
        </w:rPr>
        <w:t xml:space="preserve">Recueil </w:t>
      </w:r>
      <w:r>
        <w:rPr>
          <w:lang w:val="fr-FR" w:eastAsia="fr-FR"/>
        </w:rPr>
        <w:t xml:space="preserve">1998-I, et </w:t>
      </w:r>
      <w:r w:rsidR="00D72AF5">
        <w:rPr>
          <w:i/>
          <w:lang w:val="fr-FR" w:eastAsia="fr-FR"/>
        </w:rPr>
        <w:t>Fix c. </w:t>
      </w:r>
      <w:r>
        <w:rPr>
          <w:i/>
          <w:lang w:val="fr-FR" w:eastAsia="fr-FR"/>
        </w:rPr>
        <w:t>Grèce</w:t>
      </w:r>
      <w:r>
        <w:rPr>
          <w:lang w:val="fr-FR" w:eastAsia="fr-FR"/>
        </w:rPr>
        <w:t>, n</w:t>
      </w:r>
      <w:r>
        <w:rPr>
          <w:vertAlign w:val="superscript"/>
          <w:lang w:val="fr-FR" w:eastAsia="fr-FR"/>
        </w:rPr>
        <w:t>o</w:t>
      </w:r>
      <w:r>
        <w:rPr>
          <w:lang w:val="fr-FR" w:eastAsia="fr-FR"/>
        </w:rPr>
        <w:t xml:space="preserve"> 1001/09, § 51, 12 juillet 2011). Cependant, le simple fait de nourrir des doutes quant aux perspectives de succès d</w:t>
      </w:r>
      <w:r w:rsidR="003C2190">
        <w:rPr>
          <w:lang w:val="fr-FR" w:eastAsia="fr-FR"/>
        </w:rPr>
        <w:t>’</w:t>
      </w:r>
      <w:r>
        <w:rPr>
          <w:lang w:val="fr-FR" w:eastAsia="fr-FR"/>
        </w:rPr>
        <w:t>un recours donné qui n</w:t>
      </w:r>
      <w:r w:rsidR="003C2190">
        <w:rPr>
          <w:lang w:val="fr-FR" w:eastAsia="fr-FR"/>
        </w:rPr>
        <w:t>’</w:t>
      </w:r>
      <w:r>
        <w:rPr>
          <w:lang w:val="fr-FR" w:eastAsia="fr-FR"/>
        </w:rPr>
        <w:t>est pas de toute évidence voué à l</w:t>
      </w:r>
      <w:r w:rsidR="003C2190">
        <w:rPr>
          <w:lang w:val="fr-FR" w:eastAsia="fr-FR"/>
        </w:rPr>
        <w:t>’</w:t>
      </w:r>
      <w:r>
        <w:rPr>
          <w:lang w:val="fr-FR" w:eastAsia="fr-FR"/>
        </w:rPr>
        <w:t>échec ne constitue pas une raison valable pour justifier la non</w:t>
      </w:r>
      <w:r>
        <w:rPr>
          <w:lang w:val="fr-FR" w:eastAsia="fr-FR"/>
        </w:rPr>
        <w:noBreakHyphen/>
        <w:t>utilisation de recours internes (</w:t>
      </w:r>
      <w:r>
        <w:rPr>
          <w:i/>
          <w:lang w:val="fr-FR" w:eastAsia="fr-FR"/>
        </w:rPr>
        <w:t>Brusco c. Italie</w:t>
      </w:r>
      <w:r>
        <w:rPr>
          <w:lang w:val="fr-FR" w:eastAsia="fr-FR"/>
        </w:rPr>
        <w:t xml:space="preserve"> (déc.), n</w:t>
      </w:r>
      <w:r>
        <w:rPr>
          <w:vertAlign w:val="superscript"/>
          <w:lang w:val="fr-FR" w:eastAsia="fr-FR"/>
        </w:rPr>
        <w:t>o </w:t>
      </w:r>
      <w:r>
        <w:rPr>
          <w:lang w:val="fr-FR" w:eastAsia="fr-FR"/>
        </w:rPr>
        <w:t xml:space="preserve">69789/01, CEDH 2001-IX, et </w:t>
      </w:r>
      <w:r>
        <w:rPr>
          <w:i/>
          <w:lang w:val="fr-FR" w:eastAsia="fr-FR"/>
        </w:rPr>
        <w:t>Pellegriti c. Italie</w:t>
      </w:r>
      <w:r>
        <w:rPr>
          <w:lang w:val="fr-FR" w:eastAsia="fr-FR"/>
        </w:rPr>
        <w:t xml:space="preserve"> (déc.), n</w:t>
      </w:r>
      <w:r>
        <w:rPr>
          <w:vertAlign w:val="superscript"/>
          <w:lang w:val="fr-FR" w:eastAsia="fr-FR"/>
        </w:rPr>
        <w:t>o</w:t>
      </w:r>
      <w:r w:rsidR="00D72AF5">
        <w:rPr>
          <w:lang w:val="fr-FR" w:eastAsia="fr-FR"/>
        </w:rPr>
        <w:t> </w:t>
      </w:r>
      <w:r>
        <w:rPr>
          <w:lang w:val="fr-FR" w:eastAsia="fr-FR"/>
        </w:rPr>
        <w:t>77363/01, 26 mai 2005).</w:t>
      </w:r>
    </w:p>
    <w:p w:rsidR="00AF131B" w:rsidRDefault="009A0B2E" w:rsidP="000E6085">
      <w:pPr>
        <w:pStyle w:val="ECHRPara"/>
        <w:rPr>
          <w:snapToGrid w:val="0"/>
          <w:szCs w:val="24"/>
          <w:lang w:val="fr-FR" w:eastAsia="fr-FR"/>
        </w:rPr>
      </w:pPr>
      <w:r>
        <w:rPr>
          <w:rFonts w:eastAsia="MS Gothic"/>
          <w:bCs/>
          <w:szCs w:val="28"/>
          <w:lang w:val="fr-FR"/>
        </w:rPr>
        <w:fldChar w:fldCharType="begin"/>
      </w:r>
      <w:r>
        <w:rPr>
          <w:rFonts w:eastAsia="MS Gothic"/>
          <w:bCs/>
          <w:szCs w:val="28"/>
          <w:lang w:val="fr-FR"/>
        </w:rPr>
        <w:instrText xml:space="preserve"> SEQ level0 \*arabic </w:instrText>
      </w:r>
      <w:r>
        <w:rPr>
          <w:rFonts w:eastAsia="MS Gothic"/>
          <w:bCs/>
          <w:szCs w:val="28"/>
          <w:lang w:val="fr-FR"/>
        </w:rPr>
        <w:fldChar w:fldCharType="separate"/>
      </w:r>
      <w:r w:rsidR="00BD469E">
        <w:rPr>
          <w:rFonts w:eastAsia="MS Gothic"/>
          <w:bCs/>
          <w:noProof/>
          <w:szCs w:val="28"/>
          <w:lang w:val="fr-FR"/>
        </w:rPr>
        <w:t>105</w:t>
      </w:r>
      <w:r>
        <w:rPr>
          <w:rFonts w:eastAsia="MS Gothic"/>
          <w:bCs/>
          <w:szCs w:val="28"/>
          <w:lang w:val="fr-FR"/>
        </w:rPr>
        <w:fldChar w:fldCharType="end"/>
      </w:r>
      <w:r>
        <w:rPr>
          <w:rFonts w:eastAsia="MS Gothic"/>
          <w:bCs/>
          <w:szCs w:val="28"/>
          <w:lang w:val="fr-FR"/>
        </w:rPr>
        <w:t>.  En l</w:t>
      </w:r>
      <w:r w:rsidR="003C2190">
        <w:rPr>
          <w:rFonts w:eastAsia="MS Gothic"/>
          <w:bCs/>
          <w:szCs w:val="28"/>
          <w:lang w:val="fr-FR"/>
        </w:rPr>
        <w:t>’</w:t>
      </w:r>
      <w:r>
        <w:rPr>
          <w:rFonts w:eastAsia="MS Gothic"/>
          <w:bCs/>
          <w:szCs w:val="28"/>
          <w:lang w:val="fr-FR"/>
        </w:rPr>
        <w:t>occurrence, la Cour note qu</w:t>
      </w:r>
      <w:r w:rsidR="003C2190">
        <w:rPr>
          <w:rFonts w:eastAsia="MS Gothic"/>
          <w:bCs/>
          <w:szCs w:val="28"/>
          <w:lang w:val="fr-FR"/>
        </w:rPr>
        <w:t>’</w:t>
      </w:r>
      <w:r>
        <w:rPr>
          <w:rFonts w:eastAsia="MS Gothic"/>
          <w:bCs/>
          <w:szCs w:val="28"/>
          <w:lang w:val="fr-FR"/>
        </w:rPr>
        <w:t>en ce qui concerne la requête n</w:t>
      </w:r>
      <w:r w:rsidR="007E7B24" w:rsidRPr="007E7B24">
        <w:rPr>
          <w:rFonts w:eastAsia="MS Gothic"/>
          <w:bCs/>
          <w:szCs w:val="28"/>
          <w:vertAlign w:val="superscript"/>
          <w:lang w:val="fr-FR"/>
        </w:rPr>
        <w:t>o</w:t>
      </w:r>
      <w:r>
        <w:rPr>
          <w:rFonts w:eastAsia="MS Gothic"/>
          <w:bCs/>
          <w:szCs w:val="28"/>
          <w:lang w:val="fr-FR"/>
        </w:rPr>
        <w:t> 42941/12, il ressort du dossier que le requérant n</w:t>
      </w:r>
      <w:r w:rsidR="003C2190">
        <w:rPr>
          <w:rFonts w:eastAsia="MS Gothic"/>
          <w:bCs/>
          <w:szCs w:val="28"/>
          <w:lang w:val="fr-FR"/>
        </w:rPr>
        <w:t>’</w:t>
      </w:r>
      <w:r>
        <w:rPr>
          <w:rFonts w:eastAsia="MS Gothic"/>
          <w:bCs/>
          <w:szCs w:val="28"/>
          <w:lang w:val="fr-FR"/>
        </w:rPr>
        <w:t>a à aucun stade de la procédure devant les juridictions administratives invoqué le droit à la protection de ses biens et le caractère éventuellement exorbitant des amendes imposées. Quant à la requête n</w:t>
      </w:r>
      <w:r w:rsidR="007E7B24" w:rsidRPr="007E7B24">
        <w:rPr>
          <w:rFonts w:eastAsia="MS Gothic"/>
          <w:bCs/>
          <w:szCs w:val="28"/>
          <w:vertAlign w:val="superscript"/>
          <w:lang w:val="fr-FR"/>
        </w:rPr>
        <w:t>o</w:t>
      </w:r>
      <w:r>
        <w:rPr>
          <w:rFonts w:eastAsia="MS Gothic"/>
          <w:bCs/>
          <w:szCs w:val="28"/>
          <w:lang w:val="fr-FR"/>
        </w:rPr>
        <w:t xml:space="preserve"> 9028/13, il ressort de l</w:t>
      </w:r>
      <w:r w:rsidR="003C2190">
        <w:rPr>
          <w:rFonts w:eastAsia="MS Gothic"/>
          <w:bCs/>
          <w:szCs w:val="28"/>
          <w:lang w:val="fr-FR"/>
        </w:rPr>
        <w:t>’</w:t>
      </w:r>
      <w:r>
        <w:rPr>
          <w:rFonts w:eastAsia="MS Gothic"/>
          <w:bCs/>
          <w:szCs w:val="28"/>
          <w:lang w:val="fr-FR"/>
        </w:rPr>
        <w:t>arrêt n</w:t>
      </w:r>
      <w:r w:rsidR="007E7B24" w:rsidRPr="007E7B24">
        <w:rPr>
          <w:rFonts w:eastAsia="MS Gothic"/>
          <w:bCs/>
          <w:szCs w:val="28"/>
          <w:vertAlign w:val="superscript"/>
          <w:lang w:val="fr-FR"/>
        </w:rPr>
        <w:t>o</w:t>
      </w:r>
      <w:r>
        <w:rPr>
          <w:rFonts w:eastAsia="MS Gothic"/>
          <w:bCs/>
          <w:szCs w:val="28"/>
          <w:lang w:val="fr-FR"/>
        </w:rPr>
        <w:t> 1461/2008 de la cour administrative d</w:t>
      </w:r>
      <w:r w:rsidR="003C2190">
        <w:rPr>
          <w:rFonts w:eastAsia="MS Gothic"/>
          <w:bCs/>
          <w:szCs w:val="28"/>
          <w:lang w:val="fr-FR"/>
        </w:rPr>
        <w:t>’</w:t>
      </w:r>
      <w:r>
        <w:rPr>
          <w:rFonts w:eastAsia="MS Gothic"/>
          <w:bCs/>
          <w:szCs w:val="28"/>
          <w:lang w:val="fr-FR"/>
        </w:rPr>
        <w:t>appel du Pirée que le requérant a mis spécifiquement en cause devant elle l</w:t>
      </w:r>
      <w:r w:rsidR="003C2190">
        <w:rPr>
          <w:rFonts w:eastAsia="MS Gothic"/>
          <w:bCs/>
          <w:szCs w:val="28"/>
          <w:lang w:val="fr-FR"/>
        </w:rPr>
        <w:t>’</w:t>
      </w:r>
      <w:r>
        <w:rPr>
          <w:rFonts w:eastAsia="MS Gothic"/>
          <w:bCs/>
          <w:szCs w:val="28"/>
          <w:lang w:val="fr-FR"/>
        </w:rPr>
        <w:t>importance de la somme imposée à titre d</w:t>
      </w:r>
      <w:r w:rsidR="003C2190">
        <w:rPr>
          <w:rFonts w:eastAsia="MS Gothic"/>
          <w:bCs/>
          <w:szCs w:val="28"/>
          <w:lang w:val="fr-FR"/>
        </w:rPr>
        <w:t>’</w:t>
      </w:r>
      <w:r>
        <w:rPr>
          <w:rFonts w:eastAsia="MS Gothic"/>
          <w:bCs/>
          <w:szCs w:val="28"/>
          <w:lang w:val="fr-FR"/>
        </w:rPr>
        <w:t>amende. Pour sa part, ladite juridiction a rejeté ce grief en constatant que l</w:t>
      </w:r>
      <w:r w:rsidR="003C2190">
        <w:rPr>
          <w:rFonts w:eastAsia="MS Gothic"/>
          <w:bCs/>
          <w:szCs w:val="28"/>
          <w:lang w:val="fr-FR"/>
        </w:rPr>
        <w:t>’</w:t>
      </w:r>
      <w:r>
        <w:rPr>
          <w:rFonts w:eastAsia="MS Gothic"/>
          <w:bCs/>
          <w:szCs w:val="28"/>
          <w:lang w:val="fr-FR"/>
        </w:rPr>
        <w:t>amende imposée ne contredisait pas le principe de proportionnalité, puisqu</w:t>
      </w:r>
      <w:r w:rsidR="003C2190">
        <w:rPr>
          <w:rFonts w:eastAsia="MS Gothic"/>
          <w:bCs/>
          <w:szCs w:val="28"/>
          <w:lang w:val="fr-FR"/>
        </w:rPr>
        <w:t>’</w:t>
      </w:r>
      <w:r>
        <w:rPr>
          <w:rFonts w:eastAsia="MS Gothic"/>
          <w:bCs/>
          <w:szCs w:val="28"/>
          <w:lang w:val="fr-FR"/>
        </w:rPr>
        <w:t>il ne représentait que le double des taxes et douanes impayées. Or, le requérant n</w:t>
      </w:r>
      <w:r w:rsidR="003C2190">
        <w:rPr>
          <w:rFonts w:eastAsia="MS Gothic"/>
          <w:bCs/>
          <w:szCs w:val="28"/>
          <w:lang w:val="fr-FR"/>
        </w:rPr>
        <w:t>’</w:t>
      </w:r>
      <w:r>
        <w:rPr>
          <w:rFonts w:eastAsia="MS Gothic"/>
          <w:bCs/>
          <w:szCs w:val="28"/>
          <w:lang w:val="fr-FR"/>
        </w:rPr>
        <w:t>a pas contesté cette conclusion de la cour administrative d</w:t>
      </w:r>
      <w:r w:rsidR="003C2190">
        <w:rPr>
          <w:rFonts w:eastAsia="MS Gothic"/>
          <w:bCs/>
          <w:szCs w:val="28"/>
          <w:lang w:val="fr-FR"/>
        </w:rPr>
        <w:t>’</w:t>
      </w:r>
      <w:r>
        <w:rPr>
          <w:rFonts w:eastAsia="MS Gothic"/>
          <w:bCs/>
          <w:szCs w:val="28"/>
          <w:lang w:val="fr-FR"/>
        </w:rPr>
        <w:t>appel dans son pourvoi en cassation devant le Conseil d</w:t>
      </w:r>
      <w:r w:rsidR="003C2190">
        <w:rPr>
          <w:rFonts w:eastAsia="MS Gothic"/>
          <w:bCs/>
          <w:szCs w:val="28"/>
          <w:lang w:val="fr-FR"/>
        </w:rPr>
        <w:t>’</w:t>
      </w:r>
      <w:r>
        <w:rPr>
          <w:rFonts w:eastAsia="MS Gothic"/>
          <w:bCs/>
          <w:szCs w:val="28"/>
          <w:lang w:val="fr-FR"/>
        </w:rPr>
        <w:t>État. Ce faisant, il n</w:t>
      </w:r>
      <w:r w:rsidR="003C2190">
        <w:rPr>
          <w:rFonts w:eastAsia="MS Gothic"/>
          <w:bCs/>
          <w:szCs w:val="28"/>
          <w:lang w:val="fr-FR"/>
        </w:rPr>
        <w:t>’</w:t>
      </w:r>
      <w:r>
        <w:rPr>
          <w:rFonts w:eastAsia="MS Gothic"/>
          <w:bCs/>
          <w:szCs w:val="28"/>
          <w:lang w:val="fr-FR"/>
        </w:rPr>
        <w:t>a pas donné à la haute juridiction administrative l</w:t>
      </w:r>
      <w:r w:rsidR="003C2190">
        <w:rPr>
          <w:rFonts w:eastAsia="MS Gothic"/>
          <w:bCs/>
          <w:szCs w:val="28"/>
          <w:lang w:val="fr-FR"/>
        </w:rPr>
        <w:t>’</w:t>
      </w:r>
      <w:r>
        <w:rPr>
          <w:rFonts w:eastAsia="MS Gothic"/>
          <w:bCs/>
          <w:szCs w:val="28"/>
          <w:lang w:val="fr-FR"/>
        </w:rPr>
        <w:t xml:space="preserve">occasion de remédier à la situation dont il se plaint à travers le présent grief (voir </w:t>
      </w:r>
      <w:r>
        <w:rPr>
          <w:i/>
          <w:lang w:val="fr-FR" w:eastAsia="fr-FR"/>
        </w:rPr>
        <w:t xml:space="preserve">Association Les Témoins de Jéhovah c. France </w:t>
      </w:r>
      <w:r>
        <w:rPr>
          <w:lang w:val="fr-FR" w:eastAsia="fr-FR"/>
        </w:rPr>
        <w:t>(déc.), n</w:t>
      </w:r>
      <w:r>
        <w:rPr>
          <w:vertAlign w:val="superscript"/>
          <w:lang w:val="fr-FR" w:eastAsia="fr-FR"/>
        </w:rPr>
        <w:t>o</w:t>
      </w:r>
      <w:r>
        <w:rPr>
          <w:lang w:val="fr-FR" w:eastAsia="fr-FR"/>
        </w:rPr>
        <w:t> 8916/05</w:t>
      </w:r>
      <w:r>
        <w:rPr>
          <w:snapToGrid w:val="0"/>
          <w:szCs w:val="24"/>
          <w:lang w:val="fr-FR" w:eastAsia="fr-FR"/>
        </w:rPr>
        <w:t xml:space="preserve">, 21 </w:t>
      </w:r>
      <w:r>
        <w:rPr>
          <w:szCs w:val="24"/>
          <w:lang w:val="fr-FR" w:eastAsia="fr-FR"/>
        </w:rPr>
        <w:t>septembre</w:t>
      </w:r>
      <w:r>
        <w:rPr>
          <w:snapToGrid w:val="0"/>
          <w:szCs w:val="24"/>
          <w:lang w:val="fr-FR" w:eastAsia="fr-FR"/>
        </w:rPr>
        <w:t xml:space="preserve"> 2010).</w:t>
      </w:r>
    </w:p>
    <w:p w:rsidR="009A0B2E" w:rsidRDefault="009A0B2E" w:rsidP="000E6085">
      <w:pPr>
        <w:pStyle w:val="ECHRPara"/>
        <w:rPr>
          <w:rFonts w:eastAsia="MS Gothic"/>
          <w:bCs/>
          <w:szCs w:val="28"/>
          <w:lang w:val="fr-FR"/>
        </w:rPr>
      </w:pPr>
      <w:r>
        <w:rPr>
          <w:rFonts w:eastAsia="MS Gothic"/>
          <w:bCs/>
          <w:szCs w:val="28"/>
          <w:lang w:val="fr-FR"/>
        </w:rPr>
        <w:lastRenderedPageBreak/>
        <w:fldChar w:fldCharType="begin"/>
      </w:r>
      <w:r>
        <w:rPr>
          <w:rFonts w:eastAsia="MS Gothic"/>
          <w:bCs/>
          <w:szCs w:val="28"/>
          <w:lang w:val="fr-FR"/>
        </w:rPr>
        <w:instrText xml:space="preserve"> SEQ level0 \*arabic </w:instrText>
      </w:r>
      <w:r>
        <w:rPr>
          <w:rFonts w:eastAsia="MS Gothic"/>
          <w:bCs/>
          <w:szCs w:val="28"/>
          <w:lang w:val="fr-FR"/>
        </w:rPr>
        <w:fldChar w:fldCharType="separate"/>
      </w:r>
      <w:r w:rsidR="00BD469E">
        <w:rPr>
          <w:rFonts w:eastAsia="MS Gothic"/>
          <w:bCs/>
          <w:noProof/>
          <w:szCs w:val="28"/>
          <w:lang w:val="fr-FR"/>
        </w:rPr>
        <w:t>106</w:t>
      </w:r>
      <w:r>
        <w:rPr>
          <w:rFonts w:eastAsia="MS Gothic"/>
          <w:bCs/>
          <w:szCs w:val="28"/>
          <w:lang w:val="fr-FR"/>
        </w:rPr>
        <w:fldChar w:fldCharType="end"/>
      </w:r>
      <w:r>
        <w:rPr>
          <w:rFonts w:eastAsia="MS Gothic"/>
          <w:bCs/>
          <w:szCs w:val="28"/>
          <w:lang w:val="fr-FR"/>
        </w:rPr>
        <w:t xml:space="preserve">.  Au vu de ce qui précède, la Cour considère que les requérants, dans les requêtes </w:t>
      </w:r>
      <w:r>
        <w:rPr>
          <w:rFonts w:eastAsia="MS Mincho"/>
          <w:lang w:val="fr-FR" w:eastAsia="ja-JP"/>
        </w:rPr>
        <w:t>n</w:t>
      </w:r>
      <w:r>
        <w:rPr>
          <w:rFonts w:eastAsia="MS Mincho"/>
          <w:vertAlign w:val="superscript"/>
          <w:lang w:val="fr-FR" w:eastAsia="ja-JP"/>
        </w:rPr>
        <w:t>os</w:t>
      </w:r>
      <w:r>
        <w:rPr>
          <w:rFonts w:eastAsia="MS Mincho"/>
          <w:lang w:val="fr-FR" w:eastAsia="ja-JP"/>
        </w:rPr>
        <w:t xml:space="preserve"> 42941/12 et 9028/13, n</w:t>
      </w:r>
      <w:r w:rsidR="003C2190">
        <w:rPr>
          <w:rFonts w:eastAsia="MS Mincho"/>
          <w:lang w:val="fr-FR" w:eastAsia="ja-JP"/>
        </w:rPr>
        <w:t>’</w:t>
      </w:r>
      <w:r>
        <w:rPr>
          <w:rFonts w:eastAsia="MS Mincho"/>
          <w:lang w:val="fr-FR" w:eastAsia="ja-JP"/>
        </w:rPr>
        <w:t xml:space="preserve">ont pas </w:t>
      </w:r>
      <w:r>
        <w:rPr>
          <w:lang w:val="fr-FR" w:eastAsia="fr-FR"/>
        </w:rPr>
        <w:t>donné à l</w:t>
      </w:r>
      <w:r w:rsidR="003C2190">
        <w:rPr>
          <w:lang w:val="fr-FR" w:eastAsia="fr-FR"/>
        </w:rPr>
        <w:t>’</w:t>
      </w:r>
      <w:r>
        <w:rPr>
          <w:lang w:val="fr-FR" w:eastAsia="fr-FR"/>
        </w:rPr>
        <w:t xml:space="preserve">État responsable la faculté de remédier aux violations alléguées du droit à la protection des biens, en utilisant les ressources judiciaires offertes par le droit interne. Par conséquent, </w:t>
      </w:r>
      <w:r>
        <w:rPr>
          <w:lang w:val="fr-FR"/>
        </w:rPr>
        <w:t>ce grief doit être rejeté pour non-épuisement des voies de recours internes, en application de l</w:t>
      </w:r>
      <w:r w:rsidR="003C2190">
        <w:rPr>
          <w:lang w:val="fr-FR"/>
        </w:rPr>
        <w:t>’</w:t>
      </w:r>
      <w:r>
        <w:rPr>
          <w:lang w:val="fr-FR"/>
        </w:rPr>
        <w:t>article 35 §§ 1 et 4 de la Convention.</w:t>
      </w:r>
    </w:p>
    <w:p w:rsidR="009A0B2E" w:rsidRDefault="009A0B2E" w:rsidP="009A0B2E">
      <w:pPr>
        <w:pStyle w:val="ECHRHeading1"/>
        <w:rPr>
          <w:rFonts w:eastAsia="MS Gothic"/>
          <w:lang w:val="fr-FR"/>
        </w:rPr>
      </w:pPr>
      <w:r>
        <w:rPr>
          <w:rFonts w:eastAsia="MS Gothic"/>
          <w:lang w:val="fr-FR"/>
        </w:rPr>
        <w:t>V.  SUR LES AUTRES VIOLATIONS ALLÉGUÉES</w:t>
      </w:r>
    </w:p>
    <w:p w:rsidR="00AF131B" w:rsidRDefault="00EA28D9" w:rsidP="00EA28D9">
      <w:pPr>
        <w:pStyle w:val="ECHRPara"/>
        <w:rPr>
          <w:rFonts w:ascii="Times New Roman" w:eastAsia="MS Mincho" w:hAnsi="Times New Roman" w:cs="Times New Roman"/>
          <w:lang w:val="fr-FR"/>
        </w:rPr>
      </w:pPr>
      <w:r w:rsidRPr="00EA28D9">
        <w:rPr>
          <w:rFonts w:eastAsia="MS Mincho"/>
          <w:lang w:val="fr-FR"/>
        </w:rPr>
        <w:fldChar w:fldCharType="begin"/>
      </w:r>
      <w:r w:rsidRPr="00EA28D9">
        <w:rPr>
          <w:rFonts w:eastAsia="MS Mincho"/>
          <w:lang w:val="fr-FR"/>
        </w:rPr>
        <w:instrText xml:space="preserve"> SEQ level0 \*arabic </w:instrText>
      </w:r>
      <w:r w:rsidRPr="00EA28D9">
        <w:rPr>
          <w:rFonts w:eastAsia="MS Mincho"/>
          <w:lang w:val="fr-FR"/>
        </w:rPr>
        <w:fldChar w:fldCharType="separate"/>
      </w:r>
      <w:r w:rsidR="00BD469E">
        <w:rPr>
          <w:rFonts w:eastAsia="MS Mincho"/>
          <w:noProof/>
          <w:lang w:val="fr-FR"/>
        </w:rPr>
        <w:t>107</w:t>
      </w:r>
      <w:r w:rsidRPr="00EA28D9">
        <w:rPr>
          <w:rFonts w:eastAsia="MS Mincho"/>
          <w:lang w:val="fr-FR"/>
        </w:rPr>
        <w:fldChar w:fldCharType="end"/>
      </w:r>
      <w:r w:rsidRPr="00EA28D9">
        <w:rPr>
          <w:rFonts w:eastAsia="MS Mincho"/>
          <w:lang w:val="fr-FR"/>
        </w:rPr>
        <w:t>.  Invoquant les articles 6 § 1 et 13 de la Convention, les requérants se plaignent de l</w:t>
      </w:r>
      <w:r w:rsidR="003C2190">
        <w:rPr>
          <w:rFonts w:eastAsia="MS Mincho"/>
          <w:lang w:val="fr-FR"/>
        </w:rPr>
        <w:t>’</w:t>
      </w:r>
      <w:r w:rsidRPr="00EA28D9">
        <w:rPr>
          <w:rFonts w:eastAsia="MS Mincho"/>
          <w:lang w:val="fr-FR"/>
        </w:rPr>
        <w:t>iniquité de la procédure, notamment du fait que les juridictions administratives n</w:t>
      </w:r>
      <w:r w:rsidR="003C2190">
        <w:rPr>
          <w:rFonts w:eastAsia="MS Mincho"/>
          <w:lang w:val="fr-FR"/>
        </w:rPr>
        <w:t>’</w:t>
      </w:r>
      <w:r w:rsidRPr="00EA28D9">
        <w:rPr>
          <w:rFonts w:eastAsia="MS Mincho"/>
          <w:lang w:val="fr-FR"/>
        </w:rPr>
        <w:t>ont pas respecté les principes de la présomption d</w:t>
      </w:r>
      <w:r w:rsidR="003C2190">
        <w:rPr>
          <w:rFonts w:eastAsia="MS Mincho"/>
          <w:lang w:val="fr-FR"/>
        </w:rPr>
        <w:t>’</w:t>
      </w:r>
      <w:r w:rsidRPr="00EA28D9">
        <w:rPr>
          <w:rFonts w:eastAsia="MS Mincho"/>
          <w:lang w:val="fr-FR"/>
        </w:rPr>
        <w:t xml:space="preserve">innocence et du </w:t>
      </w:r>
      <w:r w:rsidRPr="00EA28D9">
        <w:rPr>
          <w:rFonts w:eastAsia="MS Mincho"/>
          <w:i/>
          <w:lang w:val="fr-FR"/>
        </w:rPr>
        <w:t xml:space="preserve">ne bis in idem. </w:t>
      </w:r>
      <w:r w:rsidRPr="00EA28D9">
        <w:rPr>
          <w:rFonts w:eastAsia="MS Mincho"/>
          <w:lang w:val="fr-FR"/>
        </w:rPr>
        <w:t xml:space="preserve">En outre, </w:t>
      </w:r>
      <w:r w:rsidRPr="00EA28D9">
        <w:rPr>
          <w:rFonts w:ascii="Times New Roman" w:eastAsia="MS Mincho" w:hAnsi="Times New Roman" w:cs="Times New Roman"/>
          <w:lang w:val="fr-FR"/>
        </w:rPr>
        <w:t>dans la requête n</w:t>
      </w:r>
      <w:r w:rsidR="00AF131B" w:rsidRPr="00AF131B">
        <w:rPr>
          <w:rFonts w:ascii="Times New Roman" w:eastAsia="MS Mincho" w:hAnsi="Times New Roman" w:cs="Times New Roman"/>
          <w:vertAlign w:val="superscript"/>
          <w:lang w:val="fr-FR"/>
        </w:rPr>
        <w:t>o</w:t>
      </w:r>
      <w:r w:rsidRPr="00EA28D9">
        <w:rPr>
          <w:rFonts w:ascii="Times New Roman" w:eastAsia="MS Mincho" w:hAnsi="Times New Roman" w:cs="Times New Roman"/>
          <w:lang w:val="fr-FR"/>
        </w:rPr>
        <w:t> 9028/13, le requérant invoque l</w:t>
      </w:r>
      <w:r w:rsidR="003C2190">
        <w:rPr>
          <w:rFonts w:ascii="Times New Roman" w:eastAsia="MS Mincho" w:hAnsi="Times New Roman" w:cs="Times New Roman"/>
          <w:lang w:val="fr-FR"/>
        </w:rPr>
        <w:t>’</w:t>
      </w:r>
      <w:r w:rsidRPr="00EA28D9">
        <w:rPr>
          <w:rFonts w:ascii="Times New Roman" w:eastAsia="MS Mincho" w:hAnsi="Times New Roman" w:cs="Times New Roman"/>
          <w:lang w:val="fr-FR"/>
        </w:rPr>
        <w:t>article 7 de la Convention. Il affirme que les juridictions administratives auraient dû appliquer en l</w:t>
      </w:r>
      <w:r w:rsidR="003C2190">
        <w:rPr>
          <w:rFonts w:ascii="Times New Roman" w:eastAsia="MS Mincho" w:hAnsi="Times New Roman" w:cs="Times New Roman"/>
          <w:lang w:val="fr-FR"/>
        </w:rPr>
        <w:t>’</w:t>
      </w:r>
      <w:r w:rsidRPr="00EA28D9">
        <w:rPr>
          <w:rFonts w:ascii="Times New Roman" w:eastAsia="MS Mincho" w:hAnsi="Times New Roman" w:cs="Times New Roman"/>
          <w:lang w:val="fr-FR"/>
        </w:rPr>
        <w:t>espèce rétroactivement le nouveau Code des douanes (loi n</w:t>
      </w:r>
      <w:r w:rsidR="00AF131B" w:rsidRPr="00AF131B">
        <w:rPr>
          <w:rFonts w:ascii="Times New Roman" w:eastAsia="MS Mincho" w:hAnsi="Times New Roman" w:cs="Times New Roman"/>
          <w:vertAlign w:val="superscript"/>
          <w:lang w:val="fr-FR"/>
        </w:rPr>
        <w:t>o</w:t>
      </w:r>
      <w:r w:rsidRPr="00EA28D9">
        <w:rPr>
          <w:rFonts w:ascii="Times New Roman" w:eastAsia="MS Mincho" w:hAnsi="Times New Roman" w:cs="Times New Roman"/>
          <w:lang w:val="fr-FR"/>
        </w:rPr>
        <w:t xml:space="preserve"> 2960/2001) qui était entré en vigueur après la commission de l</w:t>
      </w:r>
      <w:r w:rsidR="003C2190">
        <w:rPr>
          <w:rFonts w:ascii="Times New Roman" w:eastAsia="MS Mincho" w:hAnsi="Times New Roman" w:cs="Times New Roman"/>
          <w:lang w:val="fr-FR"/>
        </w:rPr>
        <w:t>’</w:t>
      </w:r>
      <w:r w:rsidRPr="00EA28D9">
        <w:rPr>
          <w:rFonts w:ascii="Times New Roman" w:eastAsia="MS Mincho" w:hAnsi="Times New Roman" w:cs="Times New Roman"/>
          <w:lang w:val="fr-FR"/>
        </w:rPr>
        <w:t>acte incriminé. Il relève que dans ce cas l</w:t>
      </w:r>
      <w:r w:rsidR="003C2190">
        <w:rPr>
          <w:rFonts w:ascii="Times New Roman" w:eastAsia="MS Mincho" w:hAnsi="Times New Roman" w:cs="Times New Roman"/>
          <w:lang w:val="fr-FR"/>
        </w:rPr>
        <w:t>’</w:t>
      </w:r>
      <w:r w:rsidRPr="00EA28D9">
        <w:rPr>
          <w:rFonts w:ascii="Times New Roman" w:eastAsia="MS Mincho" w:hAnsi="Times New Roman" w:cs="Times New Roman"/>
          <w:lang w:val="fr-FR"/>
        </w:rPr>
        <w:t>acte en cause aurait été qualifié de contravention douanière simple, ce qui aurait entraîné l</w:t>
      </w:r>
      <w:r w:rsidR="003C2190">
        <w:rPr>
          <w:rFonts w:ascii="Times New Roman" w:eastAsia="MS Mincho" w:hAnsi="Times New Roman" w:cs="Times New Roman"/>
          <w:lang w:val="fr-FR"/>
        </w:rPr>
        <w:t>’</w:t>
      </w:r>
      <w:r w:rsidRPr="00EA28D9">
        <w:rPr>
          <w:rFonts w:ascii="Times New Roman" w:eastAsia="MS Mincho" w:hAnsi="Times New Roman" w:cs="Times New Roman"/>
          <w:lang w:val="fr-FR"/>
        </w:rPr>
        <w:t>imposition d</w:t>
      </w:r>
      <w:r w:rsidR="003C2190">
        <w:rPr>
          <w:rFonts w:ascii="Times New Roman" w:eastAsia="MS Mincho" w:hAnsi="Times New Roman" w:cs="Times New Roman"/>
          <w:lang w:val="fr-FR"/>
        </w:rPr>
        <w:t>’</w:t>
      </w:r>
      <w:r w:rsidRPr="00EA28D9">
        <w:rPr>
          <w:rFonts w:ascii="Times New Roman" w:eastAsia="MS Mincho" w:hAnsi="Times New Roman" w:cs="Times New Roman"/>
          <w:lang w:val="fr-FR"/>
        </w:rPr>
        <w:t>une amende moins élevée.</w:t>
      </w:r>
    </w:p>
    <w:p w:rsidR="009A0B2E" w:rsidRDefault="009A0B2E" w:rsidP="009A0B2E">
      <w:pPr>
        <w:pStyle w:val="ECHRHeading2"/>
        <w:rPr>
          <w:rFonts w:eastAsia="MS Mincho"/>
          <w:lang w:val="fr-FR" w:eastAsia="ja-JP"/>
        </w:rPr>
      </w:pPr>
      <w:r>
        <w:rPr>
          <w:rFonts w:eastAsia="MS Mincho"/>
          <w:lang w:val="fr-FR" w:eastAsia="ja-JP"/>
        </w:rPr>
        <w:t>Sur la recevabilité</w:t>
      </w:r>
    </w:p>
    <w:p w:rsidR="009A0B2E" w:rsidRDefault="009A0B2E" w:rsidP="009A0B2E">
      <w:pPr>
        <w:pStyle w:val="ECHRPara"/>
        <w:rPr>
          <w:lang w:val="fr-FR"/>
        </w:rPr>
      </w:pPr>
      <w:r>
        <w:rPr>
          <w:lang w:val="fr-FR"/>
        </w:rPr>
        <w:fldChar w:fldCharType="begin"/>
      </w:r>
      <w:r>
        <w:rPr>
          <w:lang w:val="fr-FR"/>
        </w:rPr>
        <w:instrText xml:space="preserve"> SEQ level0 \*arabic </w:instrText>
      </w:r>
      <w:r>
        <w:rPr>
          <w:lang w:val="fr-FR"/>
        </w:rPr>
        <w:fldChar w:fldCharType="separate"/>
      </w:r>
      <w:r w:rsidR="00BD469E">
        <w:rPr>
          <w:noProof/>
          <w:lang w:val="fr-FR"/>
        </w:rPr>
        <w:t>108</w:t>
      </w:r>
      <w:r>
        <w:rPr>
          <w:lang w:val="fr-FR"/>
        </w:rPr>
        <w:fldChar w:fldCharType="end"/>
      </w:r>
      <w:r>
        <w:rPr>
          <w:lang w:val="fr-FR"/>
        </w:rPr>
        <w:t>.  S</w:t>
      </w:r>
      <w:r w:rsidR="003C2190">
        <w:rPr>
          <w:lang w:val="fr-FR"/>
        </w:rPr>
        <w:t>’</w:t>
      </w:r>
      <w:r>
        <w:rPr>
          <w:lang w:val="fr-FR"/>
        </w:rPr>
        <w:t>agissant des griefs tirés des articles 6 § 1 et 13 de la Convention, la Cour note que les requérants réitèrent de fait leurs allégations déjà examinées par la Cour dans le cadre des articles 6 § 2 de la Convention et 4 du Protocole n</w:t>
      </w:r>
      <w:r w:rsidR="007E7B24" w:rsidRPr="007E7B24">
        <w:rPr>
          <w:vertAlign w:val="superscript"/>
          <w:lang w:val="fr-FR"/>
        </w:rPr>
        <w:t>o</w:t>
      </w:r>
      <w:r>
        <w:rPr>
          <w:lang w:val="fr-FR"/>
        </w:rPr>
        <w:t xml:space="preserve"> 7. Dans la mesure où à travers ces griefs, ils mettent en cause l</w:t>
      </w:r>
      <w:r w:rsidR="003C2190">
        <w:rPr>
          <w:lang w:val="fr-FR"/>
        </w:rPr>
        <w:t>’</w:t>
      </w:r>
      <w:r>
        <w:rPr>
          <w:lang w:val="fr-FR"/>
        </w:rPr>
        <w:t>équité de la procédure devant les juridictions administratives, la Cour ne décèle aucun indice d</w:t>
      </w:r>
      <w:r w:rsidR="003C2190">
        <w:rPr>
          <w:lang w:val="fr-FR"/>
        </w:rPr>
        <w:t>’</w:t>
      </w:r>
      <w:r>
        <w:rPr>
          <w:lang w:val="fr-FR"/>
        </w:rPr>
        <w:t>arbitraire dans le déroulement de ces procédures qui a respecté le droit d</w:t>
      </w:r>
      <w:r w:rsidR="003C2190">
        <w:rPr>
          <w:lang w:val="fr-FR"/>
        </w:rPr>
        <w:t>’</w:t>
      </w:r>
      <w:r>
        <w:rPr>
          <w:lang w:val="fr-FR"/>
        </w:rPr>
        <w:t>accès à un tribunal. De plus, les arrêts litigieux étaient suffisamment motivés. Partant, cette partie de la requête est manifestement mal fondée et doit être rejetée en application de l</w:t>
      </w:r>
      <w:r w:rsidR="003C2190">
        <w:rPr>
          <w:lang w:val="fr-FR"/>
        </w:rPr>
        <w:t>’</w:t>
      </w:r>
      <w:r>
        <w:rPr>
          <w:lang w:val="fr-FR"/>
        </w:rPr>
        <w:t>article 35 §§ 3 a) et 4 de la Convention.</w:t>
      </w:r>
    </w:p>
    <w:p w:rsidR="00EA28D9" w:rsidRDefault="00EA28D9" w:rsidP="00EA28D9">
      <w:pPr>
        <w:pStyle w:val="ECHRPara"/>
        <w:rPr>
          <w:lang w:val="fr-FR"/>
        </w:rPr>
      </w:pPr>
      <w:r w:rsidRPr="00EA28D9">
        <w:rPr>
          <w:lang w:val="fr-FR"/>
        </w:rPr>
        <w:fldChar w:fldCharType="begin"/>
      </w:r>
      <w:r w:rsidRPr="00EA28D9">
        <w:rPr>
          <w:lang w:val="fr-FR"/>
        </w:rPr>
        <w:instrText xml:space="preserve"> SEQ level0 \*arabic </w:instrText>
      </w:r>
      <w:r w:rsidRPr="00EA28D9">
        <w:rPr>
          <w:lang w:val="fr-FR"/>
        </w:rPr>
        <w:fldChar w:fldCharType="separate"/>
      </w:r>
      <w:r w:rsidR="00BD469E">
        <w:rPr>
          <w:noProof/>
          <w:lang w:val="fr-FR"/>
        </w:rPr>
        <w:t>109</w:t>
      </w:r>
      <w:r w:rsidRPr="00EA28D9">
        <w:rPr>
          <w:lang w:val="fr-FR"/>
        </w:rPr>
        <w:fldChar w:fldCharType="end"/>
      </w:r>
      <w:r w:rsidRPr="00EA28D9">
        <w:rPr>
          <w:lang w:val="fr-FR"/>
        </w:rPr>
        <w:t>.  En outre, s</w:t>
      </w:r>
      <w:r w:rsidR="003C2190">
        <w:rPr>
          <w:lang w:val="fr-FR"/>
        </w:rPr>
        <w:t>’</w:t>
      </w:r>
      <w:r w:rsidRPr="00EA28D9">
        <w:rPr>
          <w:lang w:val="fr-FR"/>
        </w:rPr>
        <w:t>agissant du grief tiré de l</w:t>
      </w:r>
      <w:r w:rsidR="003C2190">
        <w:rPr>
          <w:lang w:val="fr-FR"/>
        </w:rPr>
        <w:t>’</w:t>
      </w:r>
      <w:r w:rsidRPr="00EA28D9">
        <w:rPr>
          <w:lang w:val="fr-FR"/>
        </w:rPr>
        <w:t>article 7 de la Convention, la Cour note que le Conseil d</w:t>
      </w:r>
      <w:r w:rsidR="003C2190">
        <w:rPr>
          <w:lang w:val="fr-FR"/>
        </w:rPr>
        <w:t>’</w:t>
      </w:r>
      <w:r w:rsidRPr="00EA28D9">
        <w:rPr>
          <w:lang w:val="fr-FR"/>
        </w:rPr>
        <w:t>État s</w:t>
      </w:r>
      <w:r w:rsidR="003C2190">
        <w:rPr>
          <w:lang w:val="fr-FR"/>
        </w:rPr>
        <w:t>’</w:t>
      </w:r>
      <w:r w:rsidRPr="00EA28D9">
        <w:rPr>
          <w:lang w:val="fr-FR"/>
        </w:rPr>
        <w:t>est penché sur la question de l</w:t>
      </w:r>
      <w:r w:rsidR="003C2190">
        <w:rPr>
          <w:lang w:val="fr-FR"/>
        </w:rPr>
        <w:t>’</w:t>
      </w:r>
      <w:r w:rsidRPr="00EA28D9">
        <w:rPr>
          <w:lang w:val="fr-FR"/>
        </w:rPr>
        <w:t>application rétroactive du nouveau Code des douanes. Il a relevé que l</w:t>
      </w:r>
      <w:r w:rsidR="003C2190">
        <w:rPr>
          <w:lang w:val="fr-FR"/>
        </w:rPr>
        <w:t>’</w:t>
      </w:r>
      <w:r w:rsidRPr="00EA28D9">
        <w:rPr>
          <w:lang w:val="fr-FR"/>
        </w:rPr>
        <w:t>affaire en cause soulevait la question spécifique de l</w:t>
      </w:r>
      <w:r w:rsidR="003C2190">
        <w:rPr>
          <w:lang w:val="fr-FR"/>
        </w:rPr>
        <w:t>’</w:t>
      </w:r>
      <w:r w:rsidRPr="00EA28D9">
        <w:rPr>
          <w:lang w:val="fr-FR"/>
        </w:rPr>
        <w:t>emploi par le requérant de subterfuges pour se soustraire au paiement des droits de douane dus lors de l</w:t>
      </w:r>
      <w:r w:rsidR="003C2190">
        <w:rPr>
          <w:lang w:val="fr-FR"/>
        </w:rPr>
        <w:t>’</w:t>
      </w:r>
      <w:r w:rsidRPr="00EA28D9">
        <w:rPr>
          <w:lang w:val="fr-FR"/>
        </w:rPr>
        <w:t>importation des véhicules litigieux. Sur cette base, il a considéré que selon l</w:t>
      </w:r>
      <w:r w:rsidR="003C2190">
        <w:rPr>
          <w:lang w:val="fr-FR"/>
        </w:rPr>
        <w:t>’</w:t>
      </w:r>
      <w:r w:rsidRPr="00EA28D9">
        <w:rPr>
          <w:lang w:val="fr-FR"/>
        </w:rPr>
        <w:t xml:space="preserve">article 137 </w:t>
      </w:r>
      <w:r w:rsidRPr="00EA28D9">
        <w:rPr>
          <w:lang w:val="el-GR"/>
        </w:rPr>
        <w:t>Γ</w:t>
      </w:r>
      <w:r w:rsidRPr="00EA28D9">
        <w:rPr>
          <w:lang w:val="fr-FR"/>
        </w:rPr>
        <w:t>. § 7 du nouveau Code des douanes, l</w:t>
      </w:r>
      <w:r w:rsidR="003C2190">
        <w:rPr>
          <w:lang w:val="fr-FR"/>
        </w:rPr>
        <w:t>’</w:t>
      </w:r>
      <w:r w:rsidRPr="00EA28D9">
        <w:rPr>
          <w:lang w:val="fr-FR"/>
        </w:rPr>
        <w:t>acte en cause aurait aussi été qualifié de contrebande et que, par conséquent, les deux Codes appliquaient « le même régime juridique », y compris la sanction prévue. Dans ces conditions, le Conseil d</w:t>
      </w:r>
      <w:r w:rsidR="003C2190">
        <w:rPr>
          <w:lang w:val="fr-FR"/>
        </w:rPr>
        <w:t>’</w:t>
      </w:r>
      <w:r w:rsidRPr="00EA28D9">
        <w:rPr>
          <w:lang w:val="fr-FR"/>
        </w:rPr>
        <w:t>État a conclu qu</w:t>
      </w:r>
      <w:r w:rsidR="003C2190">
        <w:rPr>
          <w:lang w:val="fr-FR"/>
        </w:rPr>
        <w:t>’</w:t>
      </w:r>
      <w:r w:rsidRPr="00EA28D9">
        <w:rPr>
          <w:lang w:val="fr-FR"/>
        </w:rPr>
        <w:t>il n</w:t>
      </w:r>
      <w:r w:rsidR="003C2190">
        <w:rPr>
          <w:lang w:val="fr-FR"/>
        </w:rPr>
        <w:t>’</w:t>
      </w:r>
      <w:r w:rsidRPr="00EA28D9">
        <w:rPr>
          <w:lang w:val="fr-FR"/>
        </w:rPr>
        <w:t>y avait aucune raison d</w:t>
      </w:r>
      <w:r w:rsidR="003C2190">
        <w:rPr>
          <w:lang w:val="fr-FR"/>
        </w:rPr>
        <w:t>’</w:t>
      </w:r>
      <w:r w:rsidRPr="00EA28D9">
        <w:rPr>
          <w:lang w:val="fr-FR"/>
        </w:rPr>
        <w:t>appliquer le nouveau Code des douanes. La Cour estime que cette conclusion du Conseil d</w:t>
      </w:r>
      <w:r w:rsidR="003C2190">
        <w:rPr>
          <w:lang w:val="fr-FR"/>
        </w:rPr>
        <w:t>’</w:t>
      </w:r>
      <w:r w:rsidRPr="00EA28D9">
        <w:rPr>
          <w:lang w:val="fr-FR"/>
        </w:rPr>
        <w:t xml:space="preserve">État était </w:t>
      </w:r>
      <w:r>
        <w:rPr>
          <w:lang w:val="fr-FR"/>
        </w:rPr>
        <w:t xml:space="preserve">raisonnable et à suffisance motivée et </w:t>
      </w:r>
      <w:r>
        <w:rPr>
          <w:lang w:val="fr-FR"/>
        </w:rPr>
        <w:lastRenderedPageBreak/>
        <w:t>qu</w:t>
      </w:r>
      <w:r w:rsidR="003C2190">
        <w:rPr>
          <w:lang w:val="fr-FR"/>
        </w:rPr>
        <w:t>’</w:t>
      </w:r>
      <w:r>
        <w:rPr>
          <w:lang w:val="fr-FR"/>
        </w:rPr>
        <w:t>aucune violation de l</w:t>
      </w:r>
      <w:r w:rsidR="003C2190">
        <w:rPr>
          <w:lang w:val="fr-FR"/>
        </w:rPr>
        <w:t>’</w:t>
      </w:r>
      <w:r>
        <w:rPr>
          <w:lang w:val="fr-FR"/>
        </w:rPr>
        <w:t>article 7 ne résulte des circonstances de l</w:t>
      </w:r>
      <w:r w:rsidR="003C2190">
        <w:rPr>
          <w:lang w:val="fr-FR"/>
        </w:rPr>
        <w:t>’</w:t>
      </w:r>
      <w:r>
        <w:rPr>
          <w:lang w:val="fr-FR"/>
        </w:rPr>
        <w:t>espèce. Au vu de ce qui précède, la Cour considère que ce grief est manifestement mal fondé et doit être rejeté en application de l</w:t>
      </w:r>
      <w:r w:rsidR="003C2190">
        <w:rPr>
          <w:lang w:val="fr-FR"/>
        </w:rPr>
        <w:t>’</w:t>
      </w:r>
      <w:r>
        <w:rPr>
          <w:lang w:val="fr-FR"/>
        </w:rPr>
        <w:t>article 35 §§ 3 a) et 4 de la Convention.</w:t>
      </w:r>
    </w:p>
    <w:p w:rsidR="009A0B2E" w:rsidRDefault="009A0B2E" w:rsidP="009A0B2E">
      <w:pPr>
        <w:pStyle w:val="ECHRHeading1"/>
        <w:rPr>
          <w:rFonts w:eastAsia="MS Gothic"/>
          <w:lang w:val="fr-FR"/>
        </w:rPr>
      </w:pPr>
      <w:r>
        <w:rPr>
          <w:rFonts w:eastAsia="MS Gothic"/>
          <w:lang w:val="fr-FR"/>
        </w:rPr>
        <w:t>VI.  SUR L</w:t>
      </w:r>
      <w:r w:rsidR="003C2190">
        <w:rPr>
          <w:rFonts w:eastAsia="MS Gothic"/>
          <w:lang w:val="fr-FR"/>
        </w:rPr>
        <w:t>’</w:t>
      </w:r>
      <w:r>
        <w:rPr>
          <w:rFonts w:eastAsia="MS Gothic"/>
          <w:lang w:val="fr-FR"/>
        </w:rPr>
        <w:t>APPLICATION DE L</w:t>
      </w:r>
      <w:r w:rsidR="003C2190">
        <w:rPr>
          <w:rFonts w:eastAsia="MS Gothic"/>
          <w:lang w:val="fr-FR"/>
        </w:rPr>
        <w:t>’</w:t>
      </w:r>
      <w:r>
        <w:rPr>
          <w:rFonts w:eastAsia="MS Gothic"/>
          <w:lang w:val="fr-FR"/>
        </w:rPr>
        <w:t>ARTICLE 41 DE LA CONVENTION</w:t>
      </w:r>
    </w:p>
    <w:p w:rsidR="009A0B2E" w:rsidRDefault="009A0B2E" w:rsidP="009A0B2E">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110</w:t>
      </w:r>
      <w:r>
        <w:rPr>
          <w:lang w:val="fr-FR" w:eastAsia="fr-FR"/>
        </w:rPr>
        <w:fldChar w:fldCharType="end"/>
      </w:r>
      <w:r>
        <w:rPr>
          <w:lang w:val="fr-FR" w:eastAsia="fr-FR"/>
        </w:rPr>
        <w:t>.  Aux termes de l</w:t>
      </w:r>
      <w:r w:rsidR="003C2190">
        <w:rPr>
          <w:lang w:val="fr-FR" w:eastAsia="fr-FR"/>
        </w:rPr>
        <w:t>’</w:t>
      </w:r>
      <w:r>
        <w:rPr>
          <w:lang w:val="fr-FR" w:eastAsia="fr-FR"/>
        </w:rPr>
        <w:t>article 41 de la Convention,</w:t>
      </w:r>
    </w:p>
    <w:p w:rsidR="009A0B2E" w:rsidRDefault="009A0B2E" w:rsidP="00D72AF5">
      <w:pPr>
        <w:pStyle w:val="ECHRParaQuote"/>
        <w:rPr>
          <w:lang w:val="fr-FR" w:eastAsia="fr-FR"/>
        </w:rPr>
      </w:pPr>
      <w:r w:rsidRPr="009A0B2E">
        <w:rPr>
          <w:lang w:val="fr-FR"/>
        </w:rPr>
        <w:t>« Si la Cour déclare qu</w:t>
      </w:r>
      <w:r w:rsidR="003C2190">
        <w:rPr>
          <w:lang w:val="fr-FR"/>
        </w:rPr>
        <w:t>’</w:t>
      </w:r>
      <w:r w:rsidRPr="009A0B2E">
        <w:rPr>
          <w:lang w:val="fr-FR"/>
        </w:rPr>
        <w:t>il y a eu violation de la Convention ou de ses Protocoles, et si le droit interne de la Haute Partie contractante ne permet d</w:t>
      </w:r>
      <w:r w:rsidR="003C2190">
        <w:rPr>
          <w:lang w:val="fr-FR"/>
        </w:rPr>
        <w:t>’</w:t>
      </w:r>
      <w:r w:rsidRPr="009A0B2E">
        <w:rPr>
          <w:lang w:val="fr-FR"/>
        </w:rPr>
        <w:t>effacer qu</w:t>
      </w:r>
      <w:r w:rsidR="003C2190">
        <w:rPr>
          <w:lang w:val="fr-FR"/>
        </w:rPr>
        <w:t>’</w:t>
      </w:r>
      <w:r w:rsidRPr="009A0B2E">
        <w:rPr>
          <w:lang w:val="fr-FR"/>
        </w:rPr>
        <w:t>imparfaitement les conséquences de cette violation, la Cour accorde à la partie lésée, s</w:t>
      </w:r>
      <w:r w:rsidR="003C2190">
        <w:rPr>
          <w:lang w:val="fr-FR"/>
        </w:rPr>
        <w:t>’</w:t>
      </w:r>
      <w:r w:rsidRPr="009A0B2E">
        <w:rPr>
          <w:lang w:val="fr-FR"/>
        </w:rPr>
        <w:t>il y a lieu, une satisfaction équitable. »</w:t>
      </w:r>
    </w:p>
    <w:p w:rsidR="009A0B2E" w:rsidRDefault="009A0B2E" w:rsidP="000E6085">
      <w:pPr>
        <w:pStyle w:val="ECHRHeading2"/>
        <w:rPr>
          <w:lang w:val="fr-FR" w:eastAsia="fr-FR"/>
        </w:rPr>
      </w:pPr>
      <w:r>
        <w:rPr>
          <w:lang w:val="fr-FR" w:eastAsia="fr-FR"/>
        </w:rPr>
        <w:t>A.  Dommage</w:t>
      </w:r>
    </w:p>
    <w:p w:rsidR="00AF131B" w:rsidRDefault="009A0B2E" w:rsidP="009A0B2E">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111</w:t>
      </w:r>
      <w:r>
        <w:rPr>
          <w:lang w:val="fr-FR" w:eastAsia="fr-FR"/>
        </w:rPr>
        <w:fldChar w:fldCharType="end"/>
      </w:r>
      <w:r>
        <w:rPr>
          <w:lang w:val="fr-FR" w:eastAsia="fr-FR"/>
        </w:rPr>
        <w:t>.  Le premier requérant réclame 19 165 820 euros (EUR), le deuxième 586 259, 29 EUR et le troisième 164 167, 23 EUR au titre du préjudice matériel qu</w:t>
      </w:r>
      <w:r w:rsidR="003C2190">
        <w:rPr>
          <w:lang w:val="fr-FR" w:eastAsia="fr-FR"/>
        </w:rPr>
        <w:t>’</w:t>
      </w:r>
      <w:r>
        <w:rPr>
          <w:lang w:val="fr-FR" w:eastAsia="fr-FR"/>
        </w:rPr>
        <w:t>ils auraient subi en raison des violations de la Convention alléguées. Ils se réfèrent notamment au manque à gagner et au préjudice économique que leurs entreprises ont subi en raison de la situation litigieuse. En outre, ils demandent 300 000, 50 000 et 300 000 EUR respectivement, à titre de dommage moral.</w:t>
      </w:r>
    </w:p>
    <w:p w:rsidR="00AF131B" w:rsidRDefault="009A0B2E" w:rsidP="009A0B2E">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112</w:t>
      </w:r>
      <w:r>
        <w:rPr>
          <w:lang w:val="fr-FR" w:eastAsia="fr-FR"/>
        </w:rPr>
        <w:fldChar w:fldCharType="end"/>
      </w:r>
      <w:r>
        <w:rPr>
          <w:lang w:val="fr-FR" w:eastAsia="fr-FR"/>
        </w:rPr>
        <w:t>.  Le Gouvernement soutient</w:t>
      </w:r>
      <w:r w:rsidR="00AF131B">
        <w:rPr>
          <w:lang w:val="fr-FR" w:eastAsia="fr-FR"/>
        </w:rPr>
        <w:t xml:space="preserve"> </w:t>
      </w:r>
      <w:r>
        <w:rPr>
          <w:lang w:val="fr-FR" w:eastAsia="fr-FR"/>
        </w:rPr>
        <w:t>que ces sommes sont excessives et non justifiées par les circonstances de la cause. Il affirme qu</w:t>
      </w:r>
      <w:r w:rsidR="003C2190">
        <w:rPr>
          <w:lang w:val="fr-FR" w:eastAsia="fr-FR"/>
        </w:rPr>
        <w:t>’</w:t>
      </w:r>
      <w:r>
        <w:rPr>
          <w:lang w:val="fr-FR" w:eastAsia="fr-FR"/>
        </w:rPr>
        <w:t>il n</w:t>
      </w:r>
      <w:r w:rsidR="003C2190">
        <w:rPr>
          <w:lang w:val="fr-FR" w:eastAsia="fr-FR"/>
        </w:rPr>
        <w:t>’</w:t>
      </w:r>
      <w:r>
        <w:rPr>
          <w:lang w:val="fr-FR" w:eastAsia="fr-FR"/>
        </w:rPr>
        <w:t>existe pas de lien de causalité entre les sommes réclamées et les violations de la Convention alléguées. De l</w:t>
      </w:r>
      <w:r w:rsidR="003C2190">
        <w:rPr>
          <w:lang w:val="fr-FR" w:eastAsia="fr-FR"/>
        </w:rPr>
        <w:t>’</w:t>
      </w:r>
      <w:r>
        <w:rPr>
          <w:lang w:val="fr-FR" w:eastAsia="fr-FR"/>
        </w:rPr>
        <w:t>avis du Gouvernement, le constat de violation de la Convention constituerait lui-même une satisfaction équitable en l</w:t>
      </w:r>
      <w:r w:rsidR="003C2190">
        <w:rPr>
          <w:lang w:val="fr-FR" w:eastAsia="fr-FR"/>
        </w:rPr>
        <w:t>’</w:t>
      </w:r>
      <w:r>
        <w:rPr>
          <w:lang w:val="fr-FR" w:eastAsia="fr-FR"/>
        </w:rPr>
        <w:t>espèce au sens de l</w:t>
      </w:r>
      <w:r w:rsidR="003C2190">
        <w:rPr>
          <w:lang w:val="fr-FR" w:eastAsia="fr-FR"/>
        </w:rPr>
        <w:t>’</w:t>
      </w:r>
      <w:r>
        <w:rPr>
          <w:lang w:val="fr-FR" w:eastAsia="fr-FR"/>
        </w:rPr>
        <w:t>article 41 de la Convention.</w:t>
      </w:r>
    </w:p>
    <w:p w:rsidR="009A0B2E" w:rsidRDefault="009A0B2E" w:rsidP="009A0B2E">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113</w:t>
      </w:r>
      <w:r>
        <w:rPr>
          <w:lang w:val="fr-FR" w:eastAsia="fr-FR"/>
        </w:rPr>
        <w:fldChar w:fldCharType="end"/>
      </w:r>
      <w:r>
        <w:rPr>
          <w:lang w:val="fr-FR" w:eastAsia="fr-FR"/>
        </w:rPr>
        <w:t>.  A l</w:t>
      </w:r>
      <w:r w:rsidR="003C2190">
        <w:rPr>
          <w:lang w:val="fr-FR" w:eastAsia="fr-FR"/>
        </w:rPr>
        <w:t>’</w:t>
      </w:r>
      <w:r>
        <w:rPr>
          <w:lang w:val="fr-FR" w:eastAsia="fr-FR"/>
        </w:rPr>
        <w:t>instar du Gouvernement, la Cour n</w:t>
      </w:r>
      <w:r w:rsidR="003C2190">
        <w:rPr>
          <w:lang w:val="fr-FR" w:eastAsia="fr-FR"/>
        </w:rPr>
        <w:t>’</w:t>
      </w:r>
      <w:r>
        <w:rPr>
          <w:lang w:val="fr-FR" w:eastAsia="fr-FR"/>
        </w:rPr>
        <w:t>aperçoit pas de lien de causalité entre les sommes demandées à titre de dommage matériel et les violations de la Convention conclues. En revanche, elle estime que les requérants doivent percevoir une indemnité pour le dommage moral subi, eu égard à la souffrance ressentie en raison des violations de la Convention constatées dans la présente affaire. Statuant en équité, comme le veut l</w:t>
      </w:r>
      <w:r w:rsidR="003C2190">
        <w:rPr>
          <w:lang w:val="fr-FR" w:eastAsia="fr-FR"/>
        </w:rPr>
        <w:t>’</w:t>
      </w:r>
      <w:r>
        <w:rPr>
          <w:lang w:val="fr-FR" w:eastAsia="fr-FR"/>
        </w:rPr>
        <w:t>article 41, elle considère qu</w:t>
      </w:r>
      <w:r w:rsidR="003C2190">
        <w:rPr>
          <w:lang w:val="fr-FR" w:eastAsia="fr-FR"/>
        </w:rPr>
        <w:t>’</w:t>
      </w:r>
      <w:r>
        <w:rPr>
          <w:lang w:val="fr-FR" w:eastAsia="fr-FR"/>
        </w:rPr>
        <w:t>il y a lieu d</w:t>
      </w:r>
      <w:r w:rsidR="003C2190">
        <w:rPr>
          <w:lang w:val="fr-FR" w:eastAsia="fr-FR"/>
        </w:rPr>
        <w:t>’</w:t>
      </w:r>
      <w:r>
        <w:rPr>
          <w:lang w:val="fr-FR" w:eastAsia="fr-FR"/>
        </w:rPr>
        <w:t xml:space="preserve">octroyer au premier requérant 14 000 EUR et 5 000 EUR à chacun des deuxième et troisième requérants au titre du dommage moral subi, </w:t>
      </w:r>
      <w:r>
        <w:rPr>
          <w:lang w:val="fr-FR"/>
        </w:rPr>
        <w:t>plus tout montant pouvant être dû à titre d</w:t>
      </w:r>
      <w:r w:rsidR="003C2190">
        <w:rPr>
          <w:lang w:val="fr-FR"/>
        </w:rPr>
        <w:t>’</w:t>
      </w:r>
      <w:r>
        <w:rPr>
          <w:lang w:val="fr-FR"/>
        </w:rPr>
        <w:t>impôt.</w:t>
      </w:r>
    </w:p>
    <w:p w:rsidR="009A0B2E" w:rsidRDefault="009A0B2E" w:rsidP="000E6085">
      <w:pPr>
        <w:pStyle w:val="ECHRHeading2"/>
        <w:rPr>
          <w:lang w:val="fr-FR" w:eastAsia="fr-FR"/>
        </w:rPr>
      </w:pPr>
      <w:r>
        <w:rPr>
          <w:lang w:val="fr-FR" w:eastAsia="fr-FR"/>
        </w:rPr>
        <w:t>B.  Frais et dépens</w:t>
      </w:r>
    </w:p>
    <w:p w:rsidR="00AF131B" w:rsidRDefault="009A0B2E" w:rsidP="009A0B2E">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114</w:t>
      </w:r>
      <w:r>
        <w:rPr>
          <w:lang w:val="fr-FR" w:eastAsia="fr-FR"/>
        </w:rPr>
        <w:fldChar w:fldCharType="end"/>
      </w:r>
      <w:r>
        <w:rPr>
          <w:lang w:val="fr-FR" w:eastAsia="fr-FR"/>
        </w:rPr>
        <w:t>.  Le premier requérant demande 2 460 EUR, facture à l</w:t>
      </w:r>
      <w:r w:rsidR="003C2190">
        <w:rPr>
          <w:lang w:val="fr-FR" w:eastAsia="fr-FR"/>
        </w:rPr>
        <w:t>’</w:t>
      </w:r>
      <w:r>
        <w:rPr>
          <w:lang w:val="fr-FR" w:eastAsia="fr-FR"/>
        </w:rPr>
        <w:t xml:space="preserve">appui, pour les frais et dépens engagés devant la Cour. Le deuxième requérant demande au total 6 680 EUR pour les frais et dépens engagés devant les juridictions </w:t>
      </w:r>
      <w:r>
        <w:rPr>
          <w:lang w:val="fr-FR" w:eastAsia="fr-FR"/>
        </w:rPr>
        <w:lastRenderedPageBreak/>
        <w:t>internes et la Cour. Il soumet la copie d</w:t>
      </w:r>
      <w:r w:rsidR="003C2190">
        <w:rPr>
          <w:lang w:val="fr-FR" w:eastAsia="fr-FR"/>
        </w:rPr>
        <w:t>’</w:t>
      </w:r>
      <w:r>
        <w:rPr>
          <w:lang w:val="fr-FR" w:eastAsia="fr-FR"/>
        </w:rPr>
        <w:t>un accord entre lui et ses représentants, aux termes duquel il paiera ses avocats à l</w:t>
      </w:r>
      <w:r w:rsidR="003C2190">
        <w:rPr>
          <w:lang w:val="fr-FR" w:eastAsia="fr-FR"/>
        </w:rPr>
        <w:t>’</w:t>
      </w:r>
      <w:r>
        <w:rPr>
          <w:lang w:val="fr-FR" w:eastAsia="fr-FR"/>
        </w:rPr>
        <w:t xml:space="preserve">issue de la procédure. </w:t>
      </w:r>
      <w:r>
        <w:rPr>
          <w:lang w:val="fr-FR"/>
        </w:rPr>
        <w:t>Il demande que toute indemnité qui lui serait accordée à ce titre soit versée directement sur le compte bancaire de M</w:t>
      </w:r>
      <w:r>
        <w:rPr>
          <w:vertAlign w:val="superscript"/>
          <w:lang w:val="fr-FR"/>
        </w:rPr>
        <w:t>e</w:t>
      </w:r>
      <w:r>
        <w:rPr>
          <w:lang w:val="fr-FR"/>
        </w:rPr>
        <w:t xml:space="preserve"> D. Farmakidis-Markou. </w:t>
      </w:r>
      <w:r>
        <w:rPr>
          <w:lang w:val="fr-FR" w:eastAsia="fr-FR"/>
        </w:rPr>
        <w:t>Le troisième requérant demande 1 000 EUR, facture à l</w:t>
      </w:r>
      <w:r w:rsidR="003C2190">
        <w:rPr>
          <w:lang w:val="fr-FR" w:eastAsia="fr-FR"/>
        </w:rPr>
        <w:t>’</w:t>
      </w:r>
      <w:r>
        <w:rPr>
          <w:lang w:val="fr-FR" w:eastAsia="fr-FR"/>
        </w:rPr>
        <w:t>appui, pour les frais et dépens engagés devant la Cour.</w:t>
      </w:r>
    </w:p>
    <w:p w:rsidR="009A0B2E" w:rsidRDefault="009A0B2E" w:rsidP="009A0B2E">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115</w:t>
      </w:r>
      <w:r>
        <w:rPr>
          <w:lang w:val="fr-FR" w:eastAsia="fr-FR"/>
        </w:rPr>
        <w:fldChar w:fldCharType="end"/>
      </w:r>
      <w:r>
        <w:rPr>
          <w:lang w:val="fr-FR" w:eastAsia="fr-FR"/>
        </w:rPr>
        <w:t>.  Le Gouvernement soutient qu</w:t>
      </w:r>
      <w:r w:rsidR="003C2190">
        <w:rPr>
          <w:lang w:val="fr-FR" w:eastAsia="fr-FR"/>
        </w:rPr>
        <w:t>’</w:t>
      </w:r>
      <w:r>
        <w:rPr>
          <w:lang w:val="fr-FR" w:eastAsia="fr-FR"/>
        </w:rPr>
        <w:t>en ce qui concerne le deuxième requérant, la demande au titre des frais et dépens est excessive et doit être rejetée.</w:t>
      </w:r>
    </w:p>
    <w:p w:rsidR="00AF131B" w:rsidRDefault="009A0B2E" w:rsidP="009A0B2E">
      <w:pPr>
        <w:pStyle w:val="ECHRPara"/>
        <w:rPr>
          <w:lang w:val="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116</w:t>
      </w:r>
      <w:r>
        <w:rPr>
          <w:lang w:val="fr-FR" w:eastAsia="fr-FR"/>
        </w:rPr>
        <w:fldChar w:fldCharType="end"/>
      </w:r>
      <w:r>
        <w:rPr>
          <w:lang w:val="fr-FR" w:eastAsia="fr-FR"/>
        </w:rPr>
        <w:t>.  Selon la jurisprudence de la Cour, un requérant ne peut obtenir le remboursement de ses frais et dépens que dans la mesure où se trouvent établis leur réalité, leur nécessité et le caractère raisonnable de leur taux (</w:t>
      </w:r>
      <w:r>
        <w:rPr>
          <w:i/>
          <w:lang w:val="fr-FR" w:eastAsia="fr-FR"/>
        </w:rPr>
        <w:t>Creangă c. Roumanie</w:t>
      </w:r>
      <w:r>
        <w:rPr>
          <w:lang w:val="fr-FR" w:eastAsia="fr-FR"/>
        </w:rPr>
        <w:t xml:space="preserve"> [GC], n</w:t>
      </w:r>
      <w:r>
        <w:rPr>
          <w:vertAlign w:val="superscript"/>
          <w:lang w:val="fr-FR" w:eastAsia="fr-FR"/>
        </w:rPr>
        <w:t>o </w:t>
      </w:r>
      <w:r>
        <w:rPr>
          <w:lang w:val="fr-FR" w:eastAsia="fr-FR"/>
        </w:rPr>
        <w:t>29226/03</w:t>
      </w:r>
      <w:r>
        <w:rPr>
          <w:szCs w:val="24"/>
          <w:lang w:val="fr-FR" w:eastAsia="fr-FR"/>
        </w:rPr>
        <w:t>, § 130, 23 février 2012)</w:t>
      </w:r>
      <w:r>
        <w:rPr>
          <w:lang w:val="fr-FR" w:eastAsia="fr-FR"/>
        </w:rPr>
        <w:t xml:space="preserve">. </w:t>
      </w:r>
      <w:r>
        <w:rPr>
          <w:lang w:val="fr-FR"/>
        </w:rPr>
        <w:t>Compte tenu des documents en sa possession et des critères susmentionnés, la Cour considère qu</w:t>
      </w:r>
      <w:r w:rsidR="003C2190">
        <w:rPr>
          <w:lang w:val="fr-FR"/>
        </w:rPr>
        <w:t>’</w:t>
      </w:r>
      <w:r>
        <w:rPr>
          <w:lang w:val="fr-FR"/>
        </w:rPr>
        <w:t>il y a lieu d</w:t>
      </w:r>
      <w:r w:rsidR="003C2190">
        <w:rPr>
          <w:lang w:val="fr-FR"/>
        </w:rPr>
        <w:t>’</w:t>
      </w:r>
      <w:r>
        <w:rPr>
          <w:lang w:val="fr-FR"/>
        </w:rPr>
        <w:t>accorder au premier et troisième requérants les sommes sollicitées, à savoir 2 460 EUR au premier requérant et 1 000 au troisième requérant, plus tout montant pouvant être dû par eux à titre d</w:t>
      </w:r>
      <w:r w:rsidR="003C2190">
        <w:rPr>
          <w:lang w:val="fr-FR"/>
        </w:rPr>
        <w:t>’</w:t>
      </w:r>
      <w:r>
        <w:rPr>
          <w:lang w:val="fr-FR"/>
        </w:rPr>
        <w:t>impôt.</w:t>
      </w:r>
    </w:p>
    <w:p w:rsidR="009A0B2E" w:rsidRDefault="009A0B2E" w:rsidP="009A0B2E">
      <w:pPr>
        <w:pStyle w:val="ECHRPara"/>
        <w:rPr>
          <w:lang w:val="fr-FR" w:eastAsia="fr-FR"/>
        </w:rPr>
      </w:pPr>
      <w:r>
        <w:rPr>
          <w:lang w:val="fr-FR"/>
        </w:rPr>
        <w:fldChar w:fldCharType="begin"/>
      </w:r>
      <w:r>
        <w:rPr>
          <w:lang w:val="fr-FR"/>
        </w:rPr>
        <w:instrText xml:space="preserve"> SEQ level0 \*arabic </w:instrText>
      </w:r>
      <w:r>
        <w:rPr>
          <w:lang w:val="fr-FR"/>
        </w:rPr>
        <w:fldChar w:fldCharType="separate"/>
      </w:r>
      <w:r w:rsidR="00BD469E">
        <w:rPr>
          <w:noProof/>
          <w:lang w:val="fr-FR"/>
        </w:rPr>
        <w:t>117</w:t>
      </w:r>
      <w:r>
        <w:rPr>
          <w:lang w:val="fr-FR"/>
        </w:rPr>
        <w:fldChar w:fldCharType="end"/>
      </w:r>
      <w:r>
        <w:rPr>
          <w:lang w:val="fr-FR"/>
        </w:rPr>
        <w:t xml:space="preserve">.  En outre, quant au deuxième requérant, la Cour </w:t>
      </w:r>
      <w:r>
        <w:rPr>
          <w:lang w:val="fr-FR" w:eastAsia="fr-FR"/>
        </w:rPr>
        <w:t>juge établi qu</w:t>
      </w:r>
      <w:r w:rsidR="003C2190">
        <w:rPr>
          <w:lang w:val="fr-FR" w:eastAsia="fr-FR"/>
        </w:rPr>
        <w:t>’</w:t>
      </w:r>
      <w:r>
        <w:rPr>
          <w:lang w:val="fr-FR" w:eastAsia="fr-FR"/>
        </w:rPr>
        <w:t>il a réellement exposé des frais, quant à la procédure devant les juridictions internes et devant elle, dès lors qu</w:t>
      </w:r>
      <w:r w:rsidR="003C2190">
        <w:rPr>
          <w:lang w:val="fr-FR" w:eastAsia="fr-FR"/>
        </w:rPr>
        <w:t>’</w:t>
      </w:r>
      <w:r>
        <w:rPr>
          <w:lang w:val="fr-FR" w:eastAsia="fr-FR"/>
        </w:rPr>
        <w:t>en sa qualité de client il a contracté l</w:t>
      </w:r>
      <w:r w:rsidR="003C2190">
        <w:rPr>
          <w:lang w:val="fr-FR" w:eastAsia="fr-FR"/>
        </w:rPr>
        <w:t>’</w:t>
      </w:r>
      <w:r>
        <w:rPr>
          <w:lang w:val="fr-FR" w:eastAsia="fr-FR"/>
        </w:rPr>
        <w:t xml:space="preserve">obligation juridique de payer ses représentants en justice sur une base convenue (voir, </w:t>
      </w:r>
      <w:r>
        <w:rPr>
          <w:i/>
          <w:lang w:val="fr-FR" w:eastAsia="fr-FR"/>
        </w:rPr>
        <w:t>mutatis mutandis, Sanoma Uitgevers B.V. c. Pays-Bas</w:t>
      </w:r>
      <w:r>
        <w:rPr>
          <w:lang w:val="fr-FR" w:eastAsia="fr-FR"/>
        </w:rPr>
        <w:t>, n</w:t>
      </w:r>
      <w:r>
        <w:rPr>
          <w:vertAlign w:val="superscript"/>
          <w:lang w:val="fr-FR" w:eastAsia="fr-FR"/>
        </w:rPr>
        <w:t>o </w:t>
      </w:r>
      <w:r>
        <w:rPr>
          <w:lang w:val="fr-FR" w:eastAsia="fr-FR"/>
        </w:rPr>
        <w:t xml:space="preserve">38224/03, § 110, 31 mars 2009, et </w:t>
      </w:r>
      <w:r>
        <w:rPr>
          <w:bCs/>
          <w:i/>
          <w:color w:val="000000"/>
          <w:lang w:val="fr-FR" w:eastAsia="fr-FR"/>
        </w:rPr>
        <w:t>Vallianatos</w:t>
      </w:r>
      <w:r>
        <w:rPr>
          <w:b/>
          <w:bCs/>
          <w:i/>
          <w:color w:val="000000"/>
          <w:lang w:val="fr-FR" w:eastAsia="fr-FR"/>
        </w:rPr>
        <w:t xml:space="preserve"> </w:t>
      </w:r>
      <w:r>
        <w:rPr>
          <w:i/>
          <w:lang w:val="fr-FR" w:eastAsia="fr-FR"/>
        </w:rPr>
        <w:t xml:space="preserve">et autres c. Grèce </w:t>
      </w:r>
      <w:r>
        <w:rPr>
          <w:lang w:val="fr-FR" w:eastAsia="fr-FR"/>
        </w:rPr>
        <w:t>[GC], n</w:t>
      </w:r>
      <w:r>
        <w:rPr>
          <w:vertAlign w:val="superscript"/>
          <w:lang w:val="fr-FR" w:eastAsia="fr-FR"/>
        </w:rPr>
        <w:t>os</w:t>
      </w:r>
      <w:r w:rsidR="00D72AF5">
        <w:rPr>
          <w:lang w:val="fr-FR" w:eastAsia="fr-FR"/>
        </w:rPr>
        <w:t> </w:t>
      </w:r>
      <w:r>
        <w:rPr>
          <w:lang w:val="fr-FR" w:eastAsia="fr-FR"/>
        </w:rPr>
        <w:t>29381/09 et 32684/09</w:t>
      </w:r>
      <w:r>
        <w:rPr>
          <w:snapToGrid w:val="0"/>
          <w:lang w:val="fr-FR" w:eastAsia="fr-FR"/>
        </w:rPr>
        <w:t xml:space="preserve">, § 103, </w:t>
      </w:r>
      <w:r>
        <w:rPr>
          <w:lang w:val="fr-FR" w:eastAsia="fr-FR"/>
        </w:rPr>
        <w:t>CEDH 2013 (extraits)). La Cour considère qu</w:t>
      </w:r>
      <w:r w:rsidR="003C2190">
        <w:rPr>
          <w:lang w:val="fr-FR" w:eastAsia="fr-FR"/>
        </w:rPr>
        <w:t>’</w:t>
      </w:r>
      <w:r>
        <w:rPr>
          <w:lang w:val="fr-FR" w:eastAsia="fr-FR"/>
        </w:rPr>
        <w:t xml:space="preserve">il y a lieu de lui accorder </w:t>
      </w:r>
      <w:r>
        <w:rPr>
          <w:lang w:val="fr-FR"/>
        </w:rPr>
        <w:t>la somme de 2 500 EUR,</w:t>
      </w:r>
      <w:r>
        <w:rPr>
          <w:lang w:val="fr-FR" w:eastAsia="en-GB"/>
        </w:rPr>
        <w:t xml:space="preserve"> plus tout montant pouvant être dû par lui à titre d</w:t>
      </w:r>
      <w:r w:rsidR="003C2190">
        <w:rPr>
          <w:lang w:val="fr-FR" w:eastAsia="en-GB"/>
        </w:rPr>
        <w:t>’</w:t>
      </w:r>
      <w:r>
        <w:rPr>
          <w:lang w:val="fr-FR" w:eastAsia="en-GB"/>
        </w:rPr>
        <w:t>impôt</w:t>
      </w:r>
      <w:r>
        <w:rPr>
          <w:lang w:val="fr-FR"/>
        </w:rPr>
        <w:t xml:space="preserve">, à verser directement sur le compte bancaire de son représentant (voir, en ce sens, </w:t>
      </w:r>
      <w:r>
        <w:rPr>
          <w:i/>
          <w:lang w:val="fr-FR"/>
        </w:rPr>
        <w:t>Carabulea c. Roumanie</w:t>
      </w:r>
      <w:r>
        <w:rPr>
          <w:lang w:val="fr-FR"/>
        </w:rPr>
        <w:t>, n</w:t>
      </w:r>
      <w:r>
        <w:rPr>
          <w:vertAlign w:val="superscript"/>
          <w:lang w:val="fr-FR"/>
        </w:rPr>
        <w:t>o</w:t>
      </w:r>
      <w:r>
        <w:rPr>
          <w:lang w:val="fr-FR"/>
        </w:rPr>
        <w:t> 45661/99</w:t>
      </w:r>
      <w:r>
        <w:rPr>
          <w:snapToGrid w:val="0"/>
          <w:szCs w:val="24"/>
          <w:lang w:val="fr-FR"/>
        </w:rPr>
        <w:t xml:space="preserve">, § 180, </w:t>
      </w:r>
      <w:r>
        <w:rPr>
          <w:szCs w:val="24"/>
          <w:lang w:val="fr-FR"/>
        </w:rPr>
        <w:t>13</w:t>
      </w:r>
      <w:r>
        <w:rPr>
          <w:snapToGrid w:val="0"/>
          <w:szCs w:val="24"/>
          <w:lang w:val="fr-FR"/>
        </w:rPr>
        <w:t xml:space="preserve"> </w:t>
      </w:r>
      <w:r>
        <w:rPr>
          <w:szCs w:val="24"/>
          <w:lang w:val="fr-FR"/>
        </w:rPr>
        <w:t>juillet</w:t>
      </w:r>
      <w:r>
        <w:rPr>
          <w:snapToGrid w:val="0"/>
          <w:szCs w:val="24"/>
          <w:lang w:val="fr-FR"/>
        </w:rPr>
        <w:t xml:space="preserve"> 2010).</w:t>
      </w:r>
    </w:p>
    <w:p w:rsidR="009A0B2E" w:rsidRDefault="009A0B2E" w:rsidP="000E6085">
      <w:pPr>
        <w:pStyle w:val="ECHRHeading2"/>
        <w:rPr>
          <w:lang w:val="fr-FR" w:eastAsia="fr-FR"/>
        </w:rPr>
      </w:pPr>
      <w:r>
        <w:rPr>
          <w:lang w:val="fr-FR" w:eastAsia="fr-FR"/>
        </w:rPr>
        <w:t>C.  Intérêts moratoires</w:t>
      </w:r>
    </w:p>
    <w:p w:rsidR="009A0B2E" w:rsidRDefault="009A0B2E" w:rsidP="000E6085">
      <w:pPr>
        <w:pStyle w:val="ECHRPara"/>
        <w:rPr>
          <w:lang w:val="fr-FR" w:eastAsia="fr-FR"/>
        </w:rPr>
      </w:pPr>
      <w:r>
        <w:rPr>
          <w:lang w:val="fr-FR" w:eastAsia="fr-FR"/>
        </w:rPr>
        <w:fldChar w:fldCharType="begin"/>
      </w:r>
      <w:r>
        <w:rPr>
          <w:lang w:val="fr-FR" w:eastAsia="fr-FR"/>
        </w:rPr>
        <w:instrText xml:space="preserve"> SEQ level0 \*arabic </w:instrText>
      </w:r>
      <w:r>
        <w:rPr>
          <w:lang w:val="fr-FR" w:eastAsia="fr-FR"/>
        </w:rPr>
        <w:fldChar w:fldCharType="separate"/>
      </w:r>
      <w:r w:rsidR="00BD469E">
        <w:rPr>
          <w:noProof/>
          <w:lang w:val="fr-FR" w:eastAsia="fr-FR"/>
        </w:rPr>
        <w:t>118</w:t>
      </w:r>
      <w:r>
        <w:rPr>
          <w:lang w:val="fr-FR" w:eastAsia="fr-FR"/>
        </w:rPr>
        <w:fldChar w:fldCharType="end"/>
      </w:r>
      <w:r>
        <w:rPr>
          <w:lang w:val="fr-FR" w:eastAsia="fr-FR"/>
        </w:rPr>
        <w:t>.  La Cour juge approprié de calquer le taux des intérêts moratoires sur le taux d</w:t>
      </w:r>
      <w:r w:rsidR="003C2190">
        <w:rPr>
          <w:lang w:val="fr-FR" w:eastAsia="fr-FR"/>
        </w:rPr>
        <w:t>’</w:t>
      </w:r>
      <w:r>
        <w:rPr>
          <w:lang w:val="fr-FR" w:eastAsia="fr-FR"/>
        </w:rPr>
        <w:t>intérêt de la facilité de prêt marginal de la Banque centrale européenne majoré de trois points de pourcentage.</w:t>
      </w:r>
    </w:p>
    <w:p w:rsidR="009A0B2E" w:rsidRDefault="009A0B2E" w:rsidP="000E6085">
      <w:pPr>
        <w:pStyle w:val="ECHRTitle1"/>
        <w:rPr>
          <w:rFonts w:eastAsia="MS Mincho"/>
          <w:lang w:val="fr-FR"/>
        </w:rPr>
      </w:pPr>
      <w:r>
        <w:rPr>
          <w:rFonts w:eastAsia="MS Mincho"/>
          <w:lang w:val="fr-FR"/>
        </w:rPr>
        <w:t>PAR CES MOTIFS, LA COUR, À L</w:t>
      </w:r>
      <w:r w:rsidR="003C2190">
        <w:rPr>
          <w:rFonts w:eastAsia="MS Mincho"/>
          <w:lang w:val="fr-FR"/>
        </w:rPr>
        <w:t>’</w:t>
      </w:r>
      <w:r>
        <w:rPr>
          <w:rFonts w:eastAsia="MS Mincho"/>
          <w:lang w:val="fr-FR"/>
        </w:rPr>
        <w:t>UNANIMITÉ,</w:t>
      </w:r>
    </w:p>
    <w:p w:rsidR="009A0B2E" w:rsidRDefault="009A0B2E" w:rsidP="000E6085">
      <w:pPr>
        <w:pStyle w:val="JuList"/>
        <w:rPr>
          <w:lang w:val="fr-FR"/>
        </w:rPr>
      </w:pPr>
      <w:r>
        <w:rPr>
          <w:lang w:val="fr-FR"/>
        </w:rPr>
        <w:t>1.  </w:t>
      </w:r>
      <w:r>
        <w:rPr>
          <w:i/>
          <w:lang w:val="fr-FR"/>
        </w:rPr>
        <w:t>Décide</w:t>
      </w:r>
      <w:r>
        <w:rPr>
          <w:lang w:val="fr-FR"/>
        </w:rPr>
        <w:t xml:space="preserve"> de joindre les requêtes ;</w:t>
      </w:r>
    </w:p>
    <w:p w:rsidR="009A0B2E" w:rsidRDefault="009A0B2E" w:rsidP="000E6085">
      <w:pPr>
        <w:pStyle w:val="JuList"/>
        <w:rPr>
          <w:rFonts w:ascii="Times New Roman" w:eastAsia="MS Mincho" w:hAnsi="Times New Roman" w:cs="Times New Roman"/>
          <w:lang w:val="fr-FR"/>
        </w:rPr>
      </w:pPr>
    </w:p>
    <w:p w:rsidR="009A0B2E" w:rsidRDefault="009A0B2E" w:rsidP="000E6085">
      <w:pPr>
        <w:pStyle w:val="JuList"/>
        <w:rPr>
          <w:rFonts w:ascii="Times New Roman" w:eastAsia="MS Mincho" w:hAnsi="Times New Roman" w:cs="Times New Roman"/>
          <w:lang w:val="fr-FR"/>
        </w:rPr>
      </w:pPr>
      <w:r>
        <w:rPr>
          <w:rFonts w:ascii="Times New Roman" w:eastAsia="MS Mincho" w:hAnsi="Times New Roman" w:cs="Times New Roman"/>
          <w:lang w:val="fr-FR"/>
        </w:rPr>
        <w:t>2.  </w:t>
      </w:r>
      <w:r>
        <w:rPr>
          <w:rFonts w:ascii="Times New Roman" w:eastAsia="MS Mincho" w:hAnsi="Times New Roman" w:cs="Times New Roman"/>
          <w:i/>
          <w:lang w:val="fr-FR"/>
        </w:rPr>
        <w:t>Déclare</w:t>
      </w:r>
      <w:r>
        <w:rPr>
          <w:rFonts w:ascii="Times New Roman" w:eastAsia="MS Mincho" w:hAnsi="Times New Roman" w:cs="Times New Roman"/>
          <w:lang w:val="fr-FR"/>
        </w:rPr>
        <w:t xml:space="preserve"> la requête n</w:t>
      </w:r>
      <w:r w:rsidR="007E7B24" w:rsidRPr="007E7B24">
        <w:rPr>
          <w:rFonts w:ascii="Times New Roman" w:eastAsia="MS Mincho" w:hAnsi="Times New Roman" w:cs="Times New Roman"/>
          <w:vertAlign w:val="superscript"/>
          <w:lang w:val="fr-FR"/>
        </w:rPr>
        <w:t>o</w:t>
      </w:r>
      <w:r>
        <w:rPr>
          <w:rFonts w:ascii="Times New Roman" w:eastAsia="MS Mincho" w:hAnsi="Times New Roman" w:cs="Times New Roman"/>
          <w:lang w:val="fr-FR"/>
        </w:rPr>
        <w:t xml:space="preserve"> 3453/12 recevable quan</w:t>
      </w:r>
      <w:r w:rsidR="00D72AF5">
        <w:rPr>
          <w:rFonts w:ascii="Times New Roman" w:eastAsia="MS Mincho" w:hAnsi="Times New Roman" w:cs="Times New Roman"/>
          <w:lang w:val="fr-FR"/>
        </w:rPr>
        <w:t>t aux griefs tirés des articles </w:t>
      </w:r>
      <w:r>
        <w:rPr>
          <w:rFonts w:ascii="Times New Roman" w:eastAsia="MS Mincho" w:hAnsi="Times New Roman" w:cs="Times New Roman"/>
          <w:lang w:val="fr-FR"/>
        </w:rPr>
        <w:t xml:space="preserve">6 § 1 et 13 de la Convention en ce qui concerne la durée de la </w:t>
      </w:r>
      <w:r>
        <w:rPr>
          <w:rFonts w:ascii="Times New Roman" w:eastAsia="MS Mincho" w:hAnsi="Times New Roman" w:cs="Times New Roman"/>
          <w:lang w:val="fr-FR"/>
        </w:rPr>
        <w:lastRenderedPageBreak/>
        <w:t>procédure et l</w:t>
      </w:r>
      <w:r w:rsidR="003C2190">
        <w:rPr>
          <w:rFonts w:ascii="Times New Roman" w:eastAsia="MS Mincho" w:hAnsi="Times New Roman" w:cs="Times New Roman"/>
          <w:lang w:val="fr-FR"/>
        </w:rPr>
        <w:t>’</w:t>
      </w:r>
      <w:r>
        <w:rPr>
          <w:rFonts w:ascii="Times New Roman" w:eastAsia="MS Mincho" w:hAnsi="Times New Roman" w:cs="Times New Roman"/>
          <w:lang w:val="fr-FR"/>
        </w:rPr>
        <w:t>absence de recours effectif à cet égard, ainsi qu</w:t>
      </w:r>
      <w:r w:rsidR="003C2190">
        <w:rPr>
          <w:rFonts w:ascii="Times New Roman" w:eastAsia="MS Mincho" w:hAnsi="Times New Roman" w:cs="Times New Roman"/>
          <w:lang w:val="fr-FR"/>
        </w:rPr>
        <w:t>’</w:t>
      </w:r>
      <w:r>
        <w:rPr>
          <w:rFonts w:ascii="Times New Roman" w:eastAsia="MS Mincho" w:hAnsi="Times New Roman" w:cs="Times New Roman"/>
          <w:lang w:val="fr-FR"/>
        </w:rPr>
        <w:t>aux griefs tirés des articles 6 § 2 de la Convention et 4 du Protocole n</w:t>
      </w:r>
      <w:r w:rsidR="007E7B24" w:rsidRPr="007E7B24">
        <w:rPr>
          <w:rFonts w:ascii="Times New Roman" w:eastAsia="MS Mincho" w:hAnsi="Times New Roman" w:cs="Times New Roman"/>
          <w:vertAlign w:val="superscript"/>
          <w:lang w:val="fr-FR"/>
        </w:rPr>
        <w:t>o</w:t>
      </w:r>
      <w:r>
        <w:rPr>
          <w:rFonts w:ascii="Times New Roman" w:eastAsia="MS Mincho" w:hAnsi="Times New Roman" w:cs="Times New Roman"/>
          <w:lang w:val="fr-FR"/>
        </w:rPr>
        <w:t xml:space="preserve"> 7, et irrecevable pour le surplus ;</w:t>
      </w:r>
    </w:p>
    <w:p w:rsidR="009A0B2E" w:rsidRDefault="009A0B2E" w:rsidP="000E6085">
      <w:pPr>
        <w:pStyle w:val="JuList"/>
        <w:rPr>
          <w:rFonts w:ascii="Times New Roman" w:eastAsia="MS Mincho" w:hAnsi="Times New Roman" w:cs="Times New Roman"/>
          <w:lang w:val="fr-FR"/>
        </w:rPr>
      </w:pPr>
    </w:p>
    <w:p w:rsidR="009A0B2E" w:rsidRDefault="009A0B2E" w:rsidP="000E6085">
      <w:pPr>
        <w:pStyle w:val="JuList"/>
        <w:rPr>
          <w:rFonts w:ascii="Times New Roman" w:eastAsia="MS Mincho" w:hAnsi="Times New Roman" w:cs="Times New Roman"/>
          <w:lang w:val="fr-FR"/>
        </w:rPr>
      </w:pPr>
      <w:r>
        <w:rPr>
          <w:rFonts w:ascii="Times New Roman" w:eastAsia="MS Mincho" w:hAnsi="Times New Roman" w:cs="Times New Roman"/>
          <w:lang w:val="fr-FR"/>
        </w:rPr>
        <w:t>3.  </w:t>
      </w:r>
      <w:r>
        <w:rPr>
          <w:rFonts w:ascii="Times New Roman" w:eastAsia="MS Mincho" w:hAnsi="Times New Roman" w:cs="Times New Roman"/>
          <w:i/>
          <w:lang w:val="fr-FR"/>
        </w:rPr>
        <w:t>Déclare</w:t>
      </w:r>
      <w:r>
        <w:rPr>
          <w:rFonts w:ascii="Times New Roman" w:eastAsia="MS Mincho" w:hAnsi="Times New Roman" w:cs="Times New Roman"/>
          <w:lang w:val="fr-FR"/>
        </w:rPr>
        <w:t xml:space="preserve"> les requêtes n</w:t>
      </w:r>
      <w:r>
        <w:rPr>
          <w:rFonts w:ascii="Times New Roman" w:eastAsia="MS Mincho" w:hAnsi="Times New Roman" w:cs="Times New Roman"/>
          <w:vertAlign w:val="superscript"/>
          <w:lang w:val="fr-FR"/>
        </w:rPr>
        <w:t>os</w:t>
      </w:r>
      <w:r>
        <w:rPr>
          <w:rFonts w:ascii="Times New Roman" w:eastAsia="MS Mincho" w:hAnsi="Times New Roman" w:cs="Times New Roman"/>
          <w:lang w:val="fr-FR"/>
        </w:rPr>
        <w:t xml:space="preserve"> 52941/12 et 9028/13, recevables quant aux griefs tirés des articles 6 § 2 de la Convention et 4 du Protocole n</w:t>
      </w:r>
      <w:r w:rsidR="007E7B24" w:rsidRPr="007E7B24">
        <w:rPr>
          <w:rFonts w:ascii="Times New Roman" w:eastAsia="MS Mincho" w:hAnsi="Times New Roman" w:cs="Times New Roman"/>
          <w:vertAlign w:val="superscript"/>
          <w:lang w:val="fr-FR"/>
        </w:rPr>
        <w:t>o</w:t>
      </w:r>
      <w:r>
        <w:rPr>
          <w:rFonts w:ascii="Times New Roman" w:eastAsia="MS Mincho" w:hAnsi="Times New Roman" w:cs="Times New Roman"/>
          <w:lang w:val="fr-FR"/>
        </w:rPr>
        <w:t xml:space="preserve"> 7, et irrecevables pour le surplus ;</w:t>
      </w:r>
    </w:p>
    <w:p w:rsidR="009A0B2E" w:rsidRDefault="009A0B2E" w:rsidP="000E6085">
      <w:pPr>
        <w:pStyle w:val="JuList"/>
        <w:rPr>
          <w:rFonts w:ascii="Times New Roman" w:eastAsia="MS Mincho" w:hAnsi="Times New Roman" w:cs="Times New Roman"/>
          <w:lang w:val="fr-FR"/>
        </w:rPr>
      </w:pPr>
    </w:p>
    <w:p w:rsidR="009A0B2E" w:rsidRDefault="009A0B2E" w:rsidP="000E6085">
      <w:pPr>
        <w:pStyle w:val="JuList"/>
        <w:rPr>
          <w:rFonts w:ascii="Times New Roman" w:eastAsia="MS Mincho" w:hAnsi="Times New Roman" w:cs="Times New Roman"/>
          <w:lang w:val="fr-FR"/>
        </w:rPr>
      </w:pPr>
      <w:r>
        <w:rPr>
          <w:rFonts w:ascii="Times New Roman" w:eastAsia="MS Mincho" w:hAnsi="Times New Roman" w:cs="Times New Roman"/>
          <w:lang w:val="fr-FR"/>
        </w:rPr>
        <w:t>4.  </w:t>
      </w:r>
      <w:r>
        <w:rPr>
          <w:rFonts w:ascii="Times New Roman" w:eastAsia="MS Mincho" w:hAnsi="Times New Roman" w:cs="Times New Roman"/>
          <w:i/>
          <w:lang w:val="fr-FR"/>
        </w:rPr>
        <w:t>Dit</w:t>
      </w:r>
      <w:r>
        <w:rPr>
          <w:rFonts w:ascii="Times New Roman" w:eastAsia="MS Mincho" w:hAnsi="Times New Roman" w:cs="Times New Roman"/>
          <w:lang w:val="fr-FR"/>
        </w:rPr>
        <w:t>, en ce qui concerne la requête n</w:t>
      </w:r>
      <w:r w:rsidR="007E7B24" w:rsidRPr="007E7B24">
        <w:rPr>
          <w:rFonts w:ascii="Times New Roman" w:eastAsia="MS Mincho" w:hAnsi="Times New Roman" w:cs="Times New Roman"/>
          <w:vertAlign w:val="superscript"/>
          <w:lang w:val="fr-FR"/>
        </w:rPr>
        <w:t>o</w:t>
      </w:r>
      <w:r>
        <w:rPr>
          <w:rFonts w:ascii="Times New Roman" w:eastAsia="MS Mincho" w:hAnsi="Times New Roman" w:cs="Times New Roman"/>
          <w:lang w:val="fr-FR"/>
        </w:rPr>
        <w:t xml:space="preserve"> 3453/12, qu</w:t>
      </w:r>
      <w:r w:rsidR="003C2190">
        <w:rPr>
          <w:rFonts w:ascii="Times New Roman" w:eastAsia="MS Mincho" w:hAnsi="Times New Roman" w:cs="Times New Roman"/>
          <w:lang w:val="fr-FR"/>
        </w:rPr>
        <w:t>’</w:t>
      </w:r>
      <w:r>
        <w:rPr>
          <w:rFonts w:ascii="Times New Roman" w:eastAsia="MS Mincho" w:hAnsi="Times New Roman" w:cs="Times New Roman"/>
          <w:lang w:val="fr-FR"/>
        </w:rPr>
        <w:t>il y a eu violation des articles 6 § 1 et 13 de la Convention ;</w:t>
      </w:r>
    </w:p>
    <w:p w:rsidR="009A0B2E" w:rsidRDefault="009A0B2E" w:rsidP="000E6085">
      <w:pPr>
        <w:pStyle w:val="JuList"/>
        <w:rPr>
          <w:rFonts w:ascii="Times New Roman" w:eastAsia="MS Mincho" w:hAnsi="Times New Roman" w:cs="Times New Roman"/>
          <w:lang w:val="fr-FR"/>
        </w:rPr>
      </w:pPr>
    </w:p>
    <w:p w:rsidR="009A0B2E" w:rsidRDefault="009A0B2E" w:rsidP="000E6085">
      <w:pPr>
        <w:pStyle w:val="JuList"/>
        <w:rPr>
          <w:rFonts w:ascii="Times New Roman" w:eastAsia="MS Mincho" w:hAnsi="Times New Roman" w:cs="Times New Roman"/>
          <w:lang w:val="fr-FR"/>
        </w:rPr>
      </w:pPr>
      <w:r>
        <w:rPr>
          <w:rFonts w:ascii="Times New Roman" w:eastAsia="MS Mincho" w:hAnsi="Times New Roman" w:cs="Times New Roman"/>
          <w:lang w:val="fr-FR"/>
        </w:rPr>
        <w:t>5.  </w:t>
      </w:r>
      <w:r>
        <w:rPr>
          <w:rFonts w:ascii="Times New Roman" w:eastAsia="MS Mincho" w:hAnsi="Times New Roman" w:cs="Times New Roman"/>
          <w:i/>
          <w:lang w:val="fr-FR"/>
        </w:rPr>
        <w:t>Dit</w:t>
      </w:r>
      <w:r>
        <w:rPr>
          <w:rFonts w:ascii="Times New Roman" w:eastAsia="MS Mincho" w:hAnsi="Times New Roman" w:cs="Times New Roman"/>
          <w:lang w:val="fr-FR"/>
        </w:rPr>
        <w:t xml:space="preserve"> en ce qui concerne toutes les requêtes qu</w:t>
      </w:r>
      <w:r w:rsidR="003C2190">
        <w:rPr>
          <w:rFonts w:ascii="Times New Roman" w:eastAsia="MS Mincho" w:hAnsi="Times New Roman" w:cs="Times New Roman"/>
          <w:lang w:val="fr-FR"/>
        </w:rPr>
        <w:t>’</w:t>
      </w:r>
      <w:r>
        <w:rPr>
          <w:rFonts w:ascii="Times New Roman" w:eastAsia="MS Mincho" w:hAnsi="Times New Roman" w:cs="Times New Roman"/>
          <w:lang w:val="fr-FR"/>
        </w:rPr>
        <w:t>il y a eu violation des articles 6 § 2 de la Convention et 4 du Protocole n</w:t>
      </w:r>
      <w:r w:rsidR="007E7B24" w:rsidRPr="007E7B24">
        <w:rPr>
          <w:rFonts w:ascii="Times New Roman" w:eastAsia="MS Mincho" w:hAnsi="Times New Roman" w:cs="Times New Roman"/>
          <w:vertAlign w:val="superscript"/>
          <w:lang w:val="fr-FR"/>
        </w:rPr>
        <w:t>o</w:t>
      </w:r>
      <w:r>
        <w:rPr>
          <w:rFonts w:ascii="Times New Roman" w:eastAsia="MS Mincho" w:hAnsi="Times New Roman" w:cs="Times New Roman"/>
          <w:lang w:val="fr-FR"/>
        </w:rPr>
        <w:t xml:space="preserve"> 7 ;</w:t>
      </w:r>
    </w:p>
    <w:p w:rsidR="009A0B2E" w:rsidRDefault="009A0B2E" w:rsidP="000E6085">
      <w:pPr>
        <w:pStyle w:val="JuList"/>
        <w:rPr>
          <w:rFonts w:ascii="Times New Roman" w:eastAsia="MS Mincho" w:hAnsi="Times New Roman" w:cs="Times New Roman"/>
          <w:lang w:val="fr-FR"/>
        </w:rPr>
      </w:pPr>
    </w:p>
    <w:p w:rsidR="00AF131B" w:rsidRDefault="009A0B2E" w:rsidP="000E6085">
      <w:pPr>
        <w:pStyle w:val="JuList"/>
        <w:rPr>
          <w:rFonts w:eastAsia="MS Mincho"/>
          <w:lang w:val="fr-FR"/>
        </w:rPr>
      </w:pPr>
      <w:r>
        <w:rPr>
          <w:rFonts w:eastAsia="MS Mincho"/>
          <w:lang w:val="fr-FR"/>
        </w:rPr>
        <w:t>6.  </w:t>
      </w:r>
      <w:r>
        <w:rPr>
          <w:rFonts w:eastAsia="MS Mincho"/>
          <w:i/>
          <w:lang w:val="fr-FR"/>
        </w:rPr>
        <w:t>Dit</w:t>
      </w:r>
    </w:p>
    <w:p w:rsidR="009A0B2E" w:rsidRDefault="009A0B2E" w:rsidP="009A0B2E">
      <w:pPr>
        <w:pStyle w:val="JuLista"/>
        <w:rPr>
          <w:lang w:val="fr-FR"/>
        </w:rPr>
      </w:pPr>
      <w:r>
        <w:rPr>
          <w:lang w:val="fr-FR"/>
        </w:rPr>
        <w:t>a)  que l</w:t>
      </w:r>
      <w:r w:rsidR="003C2190">
        <w:rPr>
          <w:lang w:val="fr-FR"/>
        </w:rPr>
        <w:t>’</w:t>
      </w:r>
      <w:r>
        <w:rPr>
          <w:lang w:val="fr-FR"/>
        </w:rPr>
        <w:t>Etat défendeur doit verser, dans les trois mois à compter du jour où l</w:t>
      </w:r>
      <w:r w:rsidR="003C2190">
        <w:rPr>
          <w:lang w:val="fr-FR"/>
        </w:rPr>
        <w:t>’</w:t>
      </w:r>
      <w:r>
        <w:rPr>
          <w:lang w:val="fr-FR"/>
        </w:rPr>
        <w:t>arrêt sera devenu définitif conformément à l</w:t>
      </w:r>
      <w:r w:rsidR="003C2190">
        <w:rPr>
          <w:lang w:val="fr-FR"/>
        </w:rPr>
        <w:t>’</w:t>
      </w:r>
      <w:r>
        <w:rPr>
          <w:lang w:val="fr-FR"/>
        </w:rPr>
        <w:t>article 44 § 2 de la Convention, les sommes suivantes :</w:t>
      </w:r>
    </w:p>
    <w:p w:rsidR="009A0B2E" w:rsidRDefault="009A0B2E" w:rsidP="009A0B2E">
      <w:pPr>
        <w:pStyle w:val="JuListi"/>
        <w:rPr>
          <w:lang w:val="fr-FR" w:eastAsia="en-GB"/>
        </w:rPr>
      </w:pPr>
      <w:r>
        <w:rPr>
          <w:lang w:val="fr-FR" w:eastAsia="en-GB"/>
        </w:rPr>
        <w:t xml:space="preserve">i)  14 000 EUR (quatorze mille euros) au premier </w:t>
      </w:r>
      <w:r w:rsidR="00D72AF5">
        <w:rPr>
          <w:lang w:val="fr-FR" w:eastAsia="en-GB"/>
        </w:rPr>
        <w:t>requérant et 5 000 </w:t>
      </w:r>
      <w:r>
        <w:rPr>
          <w:lang w:val="fr-FR" w:eastAsia="en-GB"/>
        </w:rPr>
        <w:t>EUR (cinq mille euros) à chacun des deuxième et troisième requérants, plus tout montant pouvant être dû à titre d</w:t>
      </w:r>
      <w:r w:rsidR="003C2190">
        <w:rPr>
          <w:lang w:val="fr-FR" w:eastAsia="en-GB"/>
        </w:rPr>
        <w:t>’</w:t>
      </w:r>
      <w:r>
        <w:rPr>
          <w:lang w:val="fr-FR" w:eastAsia="en-GB"/>
        </w:rPr>
        <w:t>impôt, pour dommage moral ;</w:t>
      </w:r>
    </w:p>
    <w:p w:rsidR="009A0B2E" w:rsidRDefault="009A0B2E" w:rsidP="009A0B2E">
      <w:pPr>
        <w:pStyle w:val="JuListi"/>
        <w:rPr>
          <w:lang w:val="fr-FR" w:eastAsia="en-GB"/>
        </w:rPr>
      </w:pPr>
      <w:r>
        <w:rPr>
          <w:lang w:val="fr-FR" w:eastAsia="en-GB"/>
        </w:rPr>
        <w:t>ii)  2 460 EUR (deux mille quatre cent soixante euros) au premier requérant, 2 500 EUR (deux mille cinq cents euros) au deuxième requérant et 1 000 EUR (mille euros) au troisième requérant, plus tout montant pouvant être dû à titre d</w:t>
      </w:r>
      <w:r w:rsidR="003C2190">
        <w:rPr>
          <w:lang w:val="fr-FR" w:eastAsia="en-GB"/>
        </w:rPr>
        <w:t>’</w:t>
      </w:r>
      <w:r>
        <w:rPr>
          <w:lang w:val="fr-FR" w:eastAsia="en-GB"/>
        </w:rPr>
        <w:t>impôt par eux, pour frais et dépens ;</w:t>
      </w:r>
    </w:p>
    <w:p w:rsidR="009A0B2E" w:rsidRDefault="009A0B2E" w:rsidP="009A0B2E">
      <w:pPr>
        <w:pStyle w:val="JuLista"/>
        <w:rPr>
          <w:lang w:val="fr-FR"/>
        </w:rPr>
      </w:pPr>
      <w:r>
        <w:rPr>
          <w:lang w:val="fr-FR"/>
        </w:rPr>
        <w:t>b)  qu</w:t>
      </w:r>
      <w:r w:rsidR="003C2190">
        <w:rPr>
          <w:lang w:val="fr-FR"/>
        </w:rPr>
        <w:t>’</w:t>
      </w:r>
      <w:r>
        <w:rPr>
          <w:lang w:val="fr-FR"/>
        </w:rPr>
        <w:t>à compter de l</w:t>
      </w:r>
      <w:r w:rsidR="003C2190">
        <w:rPr>
          <w:lang w:val="fr-FR"/>
        </w:rPr>
        <w:t>’</w:t>
      </w:r>
      <w:r>
        <w:rPr>
          <w:lang w:val="fr-FR"/>
        </w:rPr>
        <w:t>expiration dudit délai et jusqu</w:t>
      </w:r>
      <w:r w:rsidR="003C2190">
        <w:rPr>
          <w:lang w:val="fr-FR"/>
        </w:rPr>
        <w:t>’</w:t>
      </w:r>
      <w:r>
        <w:rPr>
          <w:lang w:val="fr-FR"/>
        </w:rPr>
        <w:t>au versement, ces montants seront à majorer d</w:t>
      </w:r>
      <w:r w:rsidR="003C2190">
        <w:rPr>
          <w:lang w:val="fr-FR"/>
        </w:rPr>
        <w:t>’</w:t>
      </w:r>
      <w:r>
        <w:rPr>
          <w:lang w:val="fr-FR"/>
        </w:rPr>
        <w:t>un intérêt simple à un taux égal à celui de la facilité de prêt marginal de la Banque centrale européenne applicable pendant cette période, augmenté de trois points de pourcentage ;</w:t>
      </w:r>
    </w:p>
    <w:p w:rsidR="001B0624" w:rsidRDefault="001B0624" w:rsidP="009A0B2E">
      <w:pPr>
        <w:pStyle w:val="JuLista"/>
        <w:rPr>
          <w:lang w:val="fr-FR"/>
        </w:rPr>
      </w:pPr>
    </w:p>
    <w:p w:rsidR="009A0B2E" w:rsidRDefault="009A0B2E" w:rsidP="000E6085">
      <w:pPr>
        <w:pStyle w:val="JuList"/>
        <w:rPr>
          <w:rFonts w:eastAsia="MS Mincho"/>
          <w:lang w:val="fr-FR"/>
        </w:rPr>
      </w:pPr>
      <w:r>
        <w:rPr>
          <w:rFonts w:eastAsia="MS Mincho"/>
          <w:lang w:val="fr-FR"/>
        </w:rPr>
        <w:t>7.  </w:t>
      </w:r>
      <w:r>
        <w:rPr>
          <w:rFonts w:eastAsia="MS Mincho"/>
          <w:i/>
          <w:lang w:val="fr-FR"/>
        </w:rPr>
        <w:t>Rejette</w:t>
      </w:r>
      <w:r w:rsidR="00C057CE">
        <w:rPr>
          <w:rFonts w:eastAsia="MS Mincho"/>
          <w:lang w:val="fr-FR"/>
        </w:rPr>
        <w:t xml:space="preserve"> </w:t>
      </w:r>
      <w:r>
        <w:rPr>
          <w:rFonts w:eastAsia="MS Mincho"/>
          <w:lang w:val="fr-FR"/>
        </w:rPr>
        <w:t>la demande de satisfaction équitable pour le surplus.</w:t>
      </w:r>
    </w:p>
    <w:p w:rsidR="009A0B2E" w:rsidRDefault="009A0B2E" w:rsidP="000E6085">
      <w:pPr>
        <w:pStyle w:val="JuParaLast"/>
        <w:rPr>
          <w:rFonts w:eastAsia="MS Mincho"/>
          <w:lang w:val="fr-FR"/>
        </w:rPr>
      </w:pPr>
      <w:r>
        <w:rPr>
          <w:rFonts w:eastAsia="MS Mincho"/>
          <w:lang w:val="fr-FR"/>
        </w:rPr>
        <w:t>Fait en françai</w:t>
      </w:r>
      <w:r w:rsidR="007B58FA">
        <w:rPr>
          <w:rFonts w:eastAsia="MS Mincho"/>
          <w:lang w:val="fr-FR"/>
        </w:rPr>
        <w:t xml:space="preserve">s, puis communiqué par écrit le </w:t>
      </w:r>
      <w:r w:rsidR="00BD469E">
        <w:rPr>
          <w:rFonts w:eastAsia="MS Mincho"/>
          <w:lang w:val="fr-FR"/>
        </w:rPr>
        <w:t>30</w:t>
      </w:r>
      <w:r w:rsidR="00C057CE">
        <w:rPr>
          <w:rFonts w:eastAsia="MS Mincho"/>
          <w:lang w:val="fr-FR"/>
        </w:rPr>
        <w:t xml:space="preserve"> avril 2015</w:t>
      </w:r>
      <w:r>
        <w:rPr>
          <w:rFonts w:eastAsia="MS Mincho"/>
          <w:lang w:val="fr-FR"/>
        </w:rPr>
        <w:t>, en application de l</w:t>
      </w:r>
      <w:r w:rsidR="003C2190">
        <w:rPr>
          <w:rFonts w:eastAsia="MS Mincho"/>
          <w:lang w:val="fr-FR"/>
        </w:rPr>
        <w:t>’</w:t>
      </w:r>
      <w:r>
        <w:rPr>
          <w:rFonts w:eastAsia="MS Mincho"/>
          <w:lang w:val="fr-FR"/>
        </w:rPr>
        <w:t>article 77 §§ 2 et 3 du règlement.</w:t>
      </w:r>
    </w:p>
    <w:p w:rsidR="009A0B2E" w:rsidRPr="00AF131B" w:rsidRDefault="009A0B2E" w:rsidP="000E6085">
      <w:pPr>
        <w:pStyle w:val="JuSigned"/>
        <w:rPr>
          <w:rFonts w:eastAsia="MS Mincho"/>
          <w:lang w:val="de-DE"/>
        </w:rPr>
      </w:pPr>
      <w:r>
        <w:rPr>
          <w:rFonts w:eastAsia="MS Mincho"/>
          <w:lang w:val="fr-FR"/>
        </w:rPr>
        <w:tab/>
      </w:r>
      <w:r w:rsidRPr="00AF131B">
        <w:rPr>
          <w:rFonts w:eastAsia="MS Mincho"/>
          <w:lang w:val="de-DE"/>
        </w:rPr>
        <w:t>Søren Nielsen</w:t>
      </w:r>
      <w:r w:rsidRPr="00AF131B">
        <w:rPr>
          <w:rFonts w:eastAsia="MS Mincho"/>
          <w:lang w:val="de-DE"/>
        </w:rPr>
        <w:tab/>
      </w:r>
      <w:r w:rsidR="005C5DF7" w:rsidRPr="00AF131B">
        <w:rPr>
          <w:rFonts w:eastAsia="MS Mincho"/>
          <w:szCs w:val="24"/>
          <w:lang w:val="de-DE"/>
        </w:rPr>
        <w:t>Elisabeth Steiner</w:t>
      </w:r>
      <w:r w:rsidRPr="00AF131B">
        <w:rPr>
          <w:rFonts w:eastAsia="MS Mincho"/>
          <w:lang w:val="de-DE"/>
        </w:rPr>
        <w:br/>
      </w:r>
      <w:r w:rsidRPr="00AF131B">
        <w:rPr>
          <w:rFonts w:eastAsia="MS Mincho"/>
          <w:lang w:val="de-DE"/>
        </w:rPr>
        <w:tab/>
        <w:t>Greffier</w:t>
      </w:r>
      <w:r w:rsidRPr="00AF131B">
        <w:rPr>
          <w:rFonts w:eastAsia="MS Mincho"/>
          <w:lang w:val="de-DE"/>
        </w:rPr>
        <w:tab/>
        <w:t>Présidente</w:t>
      </w:r>
    </w:p>
    <w:p w:rsidR="009A0B2E" w:rsidRPr="00AF131B" w:rsidRDefault="009A0B2E" w:rsidP="009A0B2E">
      <w:pPr>
        <w:jc w:val="left"/>
        <w:rPr>
          <w:rFonts w:ascii="Times New Roman" w:eastAsia="MS Mincho" w:hAnsi="Times New Roman" w:cs="Times New Roman"/>
          <w:lang w:val="de-DE"/>
        </w:rPr>
      </w:pPr>
    </w:p>
    <w:sectPr w:rsidR="009A0B2E" w:rsidRPr="00AF131B" w:rsidSect="004D50F2">
      <w:headerReference w:type="even" r:id="rId16"/>
      <w:headerReference w:type="default" r:id="rId17"/>
      <w:footerReference w:type="default" r:id="rId18"/>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80B" w:rsidRDefault="00C3580B" w:rsidP="00E77CB3">
      <w:r>
        <w:separator/>
      </w:r>
    </w:p>
  </w:endnote>
  <w:endnote w:type="continuationSeparator" w:id="0">
    <w:p w:rsidR="00C3580B" w:rsidRDefault="00C3580B"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4A2" w:rsidRDefault="00FB14A2" w:rsidP="00FB14A2">
    <w:pPr>
      <w:pStyle w:val="Stopka"/>
      <w:jc w:val="center"/>
    </w:pPr>
    <w:r>
      <w:rPr>
        <w:noProof/>
        <w:lang w:val="pl-PL" w:eastAsia="pl-PL"/>
      </w:rPr>
      <w:drawing>
        <wp:inline distT="0" distB="0" distL="0" distR="0" wp14:anchorId="3E86ECF1" wp14:editId="593CC0F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4A2" w:rsidRDefault="00FB14A2" w:rsidP="00FB14A2">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80B" w:rsidRDefault="00C3580B" w:rsidP="00E77CB3">
      <w:r>
        <w:separator/>
      </w:r>
    </w:p>
  </w:footnote>
  <w:footnote w:type="continuationSeparator" w:id="0">
    <w:p w:rsidR="00C3580B" w:rsidRDefault="00C3580B"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4A2" w:rsidRPr="006A6E21" w:rsidRDefault="00FB14A2" w:rsidP="00C611D8">
    <w:pPr>
      <w:pStyle w:val="ECHRHeader"/>
      <w:rPr>
        <w:lang w:val="fr-FR"/>
      </w:rPr>
    </w:pPr>
    <w:r w:rsidRPr="006A6E21">
      <w:rPr>
        <w:rStyle w:val="Numerstrony"/>
        <w:lang w:val="fr-FR"/>
      </w:rPr>
      <w:tab/>
    </w:r>
    <w:r>
      <w:rPr>
        <w:rStyle w:val="Numerstrony"/>
        <w:lang w:val="fr-FR"/>
      </w:rPr>
      <w:t xml:space="preserve">ARRÊT </w:t>
    </w:r>
    <w:r w:rsidRPr="006A6E21">
      <w:rPr>
        <w:lang w:val="fr-FR"/>
      </w:rPr>
      <w:t>KAPETANIOS ET AUTRES c. GRÈCE</w:t>
    </w:r>
    <w:r>
      <w:rPr>
        <w:lang w:val="fr-FR"/>
      </w:rPr>
      <w:tab/>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4A2" w:rsidRPr="00497E5E" w:rsidRDefault="00FB14A2" w:rsidP="00497E5E">
    <w:pPr>
      <w:pStyle w:val="Nagwek"/>
      <w:jc w:val="center"/>
    </w:pPr>
    <w:r>
      <w:rPr>
        <w:noProof/>
        <w:lang w:val="pl-PL" w:eastAsia="pl-PL"/>
      </w:rPr>
      <w:drawing>
        <wp:inline distT="0" distB="0" distL="0" distR="0" wp14:anchorId="6842BF38" wp14:editId="63AEA899">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4A2" w:rsidRDefault="00FB14A2" w:rsidP="00497E5E">
    <w:pPr>
      <w:pStyle w:val="Nagwek"/>
      <w:jc w:val="center"/>
    </w:pPr>
    <w:r>
      <w:rPr>
        <w:noProof/>
        <w:lang w:val="pl-PL" w:eastAsia="pl-PL"/>
      </w:rPr>
      <w:drawing>
        <wp:inline distT="0" distB="0" distL="0" distR="0" wp14:anchorId="0AC31D98" wp14:editId="7A531899">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7889323"/>
      <w:docPartObj>
        <w:docPartGallery w:val="Page Numbers (Top of Page)"/>
        <w:docPartUnique/>
      </w:docPartObj>
    </w:sdtPr>
    <w:sdtEndPr>
      <w:rPr>
        <w:lang w:val="fr-FR"/>
      </w:rPr>
    </w:sdtEndPr>
    <w:sdtContent>
      <w:p w:rsidR="00FB14A2" w:rsidRPr="00665D3F" w:rsidRDefault="00FB14A2" w:rsidP="00665D3F">
        <w:pPr>
          <w:pStyle w:val="ECHRHeader"/>
          <w:rPr>
            <w:lang w:val="fr-FR"/>
          </w:rPr>
        </w:pPr>
        <w:r>
          <w:rPr>
            <w:lang w:val="fr-FR"/>
          </w:rPr>
          <w:fldChar w:fldCharType="begin"/>
        </w:r>
        <w:r w:rsidRPr="00665D3F">
          <w:rPr>
            <w:lang w:val="fr-FR"/>
          </w:rPr>
          <w:instrText xml:space="preserve"> PAGE </w:instrText>
        </w:r>
        <w:r>
          <w:rPr>
            <w:lang w:val="fr-FR"/>
          </w:rPr>
          <w:fldChar w:fldCharType="separate"/>
        </w:r>
        <w:r w:rsidR="00B91823">
          <w:rPr>
            <w:noProof/>
            <w:lang w:val="fr-FR"/>
          </w:rPr>
          <w:t>32</w:t>
        </w:r>
        <w:r>
          <w:rPr>
            <w:lang w:val="fr-FR"/>
          </w:rPr>
          <w:fldChar w:fldCharType="end"/>
        </w:r>
        <w:r>
          <w:rPr>
            <w:lang w:val="fr-FR"/>
          </w:rPr>
          <w:tab/>
        </w:r>
        <w:r w:rsidRPr="00383A4F">
          <w:rPr>
            <w:lang w:val="fr-FR"/>
          </w:rPr>
          <w:t xml:space="preserve">ARRÊT </w:t>
        </w:r>
        <w:r>
          <w:rPr>
            <w:lang w:val="fr-FR"/>
          </w:rPr>
          <w:t xml:space="preserve">KAPETANIOS ET AUTRES C. </w:t>
        </w:r>
        <w:r w:rsidRPr="00383A4F">
          <w:rPr>
            <w:lang w:val="fr-FR"/>
          </w:rPr>
          <w:t>GRÈCE</w:t>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236617"/>
      <w:docPartObj>
        <w:docPartGallery w:val="Page Numbers (Top of Page)"/>
        <w:docPartUnique/>
      </w:docPartObj>
    </w:sdtPr>
    <w:sdtEndPr>
      <w:rPr>
        <w:lang w:val="fr-FR"/>
      </w:rPr>
    </w:sdtEndPr>
    <w:sdtContent>
      <w:p w:rsidR="00FB14A2" w:rsidRPr="00665D3F" w:rsidRDefault="00FB14A2" w:rsidP="00665D3F">
        <w:pPr>
          <w:pStyle w:val="ECHRHeader"/>
          <w:rPr>
            <w:lang w:val="fr-FR"/>
          </w:rPr>
        </w:pPr>
        <w:r w:rsidRPr="00665D3F">
          <w:rPr>
            <w:lang w:val="fr-FR"/>
          </w:rPr>
          <w:tab/>
        </w:r>
        <w:r w:rsidRPr="00383A4F">
          <w:rPr>
            <w:lang w:val="fr-FR"/>
          </w:rPr>
          <w:t xml:space="preserve">ARRÊT </w:t>
        </w:r>
        <w:r w:rsidRPr="00665D3F">
          <w:rPr>
            <w:lang w:val="fr-FR"/>
          </w:rPr>
          <w:t xml:space="preserve">KAPETANIOS ET AUTRES C. </w:t>
        </w:r>
        <w:r w:rsidRPr="00383A4F">
          <w:rPr>
            <w:lang w:val="fr-FR"/>
          </w:rPr>
          <w:t>GRÈCE</w:t>
        </w:r>
        <w:r w:rsidRPr="00665D3F">
          <w:rPr>
            <w:lang w:val="fr-FR"/>
          </w:rPr>
          <w:tab/>
        </w:r>
        <w:r>
          <w:rPr>
            <w:lang w:val="fr-FR"/>
          </w:rPr>
          <w:fldChar w:fldCharType="begin"/>
        </w:r>
        <w:r w:rsidRPr="00665D3F">
          <w:rPr>
            <w:lang w:val="fr-FR"/>
          </w:rPr>
          <w:instrText xml:space="preserve"> PAGE </w:instrText>
        </w:r>
        <w:r>
          <w:rPr>
            <w:lang w:val="fr-FR"/>
          </w:rPr>
          <w:fldChar w:fldCharType="separate"/>
        </w:r>
        <w:r w:rsidR="00B91823">
          <w:rPr>
            <w:noProof/>
            <w:lang w:val="fr-FR"/>
          </w:rPr>
          <w:t>1</w:t>
        </w:r>
        <w:r>
          <w:rPr>
            <w:lang w:val="fr-FR"/>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8E460DB"/>
    <w:multiLevelType w:val="hybridMultilevel"/>
    <w:tmpl w:val="F258B774"/>
    <w:lvl w:ilvl="0" w:tplc="B5D0757A">
      <w:start w:val="1"/>
      <w:numFmt w:val="decimal"/>
      <w:lvlRestart w:val="0"/>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D5191D"/>
    <w:rsid w:val="00000405"/>
    <w:rsid w:val="00001F3D"/>
    <w:rsid w:val="000041F8"/>
    <w:rsid w:val="000042A8"/>
    <w:rsid w:val="00004308"/>
    <w:rsid w:val="00005BF0"/>
    <w:rsid w:val="000065A4"/>
    <w:rsid w:val="00007154"/>
    <w:rsid w:val="000103AE"/>
    <w:rsid w:val="00011D69"/>
    <w:rsid w:val="00012AD3"/>
    <w:rsid w:val="00015C2D"/>
    <w:rsid w:val="00015F00"/>
    <w:rsid w:val="000203D1"/>
    <w:rsid w:val="00020914"/>
    <w:rsid w:val="00021C37"/>
    <w:rsid w:val="00022C1D"/>
    <w:rsid w:val="00026952"/>
    <w:rsid w:val="00027BD9"/>
    <w:rsid w:val="00032F6B"/>
    <w:rsid w:val="00034987"/>
    <w:rsid w:val="00034BA3"/>
    <w:rsid w:val="0003799B"/>
    <w:rsid w:val="00044623"/>
    <w:rsid w:val="0005443D"/>
    <w:rsid w:val="000602DF"/>
    <w:rsid w:val="00060A9D"/>
    <w:rsid w:val="00061B05"/>
    <w:rsid w:val="000632D5"/>
    <w:rsid w:val="000644EE"/>
    <w:rsid w:val="00066A71"/>
    <w:rsid w:val="000700C4"/>
    <w:rsid w:val="00070F3B"/>
    <w:rsid w:val="000754E0"/>
    <w:rsid w:val="0007642C"/>
    <w:rsid w:val="000863FC"/>
    <w:rsid w:val="000925AD"/>
    <w:rsid w:val="00092FF1"/>
    <w:rsid w:val="00096181"/>
    <w:rsid w:val="0009794B"/>
    <w:rsid w:val="000A24EB"/>
    <w:rsid w:val="000B0A97"/>
    <w:rsid w:val="000B12D4"/>
    <w:rsid w:val="000B168B"/>
    <w:rsid w:val="000B3A84"/>
    <w:rsid w:val="000B52DB"/>
    <w:rsid w:val="000B5BCD"/>
    <w:rsid w:val="000B6923"/>
    <w:rsid w:val="000C0303"/>
    <w:rsid w:val="000C5F3C"/>
    <w:rsid w:val="000C6DCC"/>
    <w:rsid w:val="000D2BB8"/>
    <w:rsid w:val="000D3564"/>
    <w:rsid w:val="000D3B35"/>
    <w:rsid w:val="000D47AA"/>
    <w:rsid w:val="000D68C5"/>
    <w:rsid w:val="000D6C7F"/>
    <w:rsid w:val="000D721F"/>
    <w:rsid w:val="000D74C1"/>
    <w:rsid w:val="000E069B"/>
    <w:rsid w:val="000E0E82"/>
    <w:rsid w:val="000E1DC5"/>
    <w:rsid w:val="000E223F"/>
    <w:rsid w:val="000E2514"/>
    <w:rsid w:val="000E6085"/>
    <w:rsid w:val="000E7D45"/>
    <w:rsid w:val="000F1243"/>
    <w:rsid w:val="000F7851"/>
    <w:rsid w:val="00101108"/>
    <w:rsid w:val="00104E23"/>
    <w:rsid w:val="00106371"/>
    <w:rsid w:val="00111106"/>
    <w:rsid w:val="00111B0C"/>
    <w:rsid w:val="0011344D"/>
    <w:rsid w:val="00115E41"/>
    <w:rsid w:val="0011700F"/>
    <w:rsid w:val="00120D6C"/>
    <w:rsid w:val="00124CDB"/>
    <w:rsid w:val="001257EC"/>
    <w:rsid w:val="00133D33"/>
    <w:rsid w:val="00134D64"/>
    <w:rsid w:val="00134F02"/>
    <w:rsid w:val="00135A30"/>
    <w:rsid w:val="00135E17"/>
    <w:rsid w:val="0013612C"/>
    <w:rsid w:val="00136B94"/>
    <w:rsid w:val="00137FF6"/>
    <w:rsid w:val="001404AA"/>
    <w:rsid w:val="001404B9"/>
    <w:rsid w:val="00141650"/>
    <w:rsid w:val="00143A16"/>
    <w:rsid w:val="001472DE"/>
    <w:rsid w:val="00151652"/>
    <w:rsid w:val="00152476"/>
    <w:rsid w:val="00154C65"/>
    <w:rsid w:val="00156A69"/>
    <w:rsid w:val="00156AC2"/>
    <w:rsid w:val="00157056"/>
    <w:rsid w:val="00162168"/>
    <w:rsid w:val="00162A12"/>
    <w:rsid w:val="00166530"/>
    <w:rsid w:val="00171F64"/>
    <w:rsid w:val="0017604A"/>
    <w:rsid w:val="00176FD1"/>
    <w:rsid w:val="0017719D"/>
    <w:rsid w:val="001832BD"/>
    <w:rsid w:val="00186823"/>
    <w:rsid w:val="00186B81"/>
    <w:rsid w:val="00191A07"/>
    <w:rsid w:val="001943B5"/>
    <w:rsid w:val="00195134"/>
    <w:rsid w:val="001969B4"/>
    <w:rsid w:val="001A01A8"/>
    <w:rsid w:val="001A145B"/>
    <w:rsid w:val="001A674C"/>
    <w:rsid w:val="001B0624"/>
    <w:rsid w:val="001B3B24"/>
    <w:rsid w:val="001B7B9A"/>
    <w:rsid w:val="001C0F98"/>
    <w:rsid w:val="001C2A42"/>
    <w:rsid w:val="001D1405"/>
    <w:rsid w:val="001D18B2"/>
    <w:rsid w:val="001D1C62"/>
    <w:rsid w:val="001D1E6C"/>
    <w:rsid w:val="001D4953"/>
    <w:rsid w:val="001D531E"/>
    <w:rsid w:val="001D605C"/>
    <w:rsid w:val="001D63ED"/>
    <w:rsid w:val="001D6664"/>
    <w:rsid w:val="001D7348"/>
    <w:rsid w:val="001E035B"/>
    <w:rsid w:val="001E0961"/>
    <w:rsid w:val="001E3EAE"/>
    <w:rsid w:val="001E5467"/>
    <w:rsid w:val="001E6F32"/>
    <w:rsid w:val="001E7304"/>
    <w:rsid w:val="001F2145"/>
    <w:rsid w:val="001F6262"/>
    <w:rsid w:val="001F67B0"/>
    <w:rsid w:val="001F7B3D"/>
    <w:rsid w:val="00200AB8"/>
    <w:rsid w:val="00204506"/>
    <w:rsid w:val="00205F9F"/>
    <w:rsid w:val="00206AC8"/>
    <w:rsid w:val="00210338"/>
    <w:rsid w:val="002115FC"/>
    <w:rsid w:val="00212BB2"/>
    <w:rsid w:val="0021407F"/>
    <w:rsid w:val="0021423C"/>
    <w:rsid w:val="002217F6"/>
    <w:rsid w:val="00222628"/>
    <w:rsid w:val="002229CB"/>
    <w:rsid w:val="00226B41"/>
    <w:rsid w:val="0022779D"/>
    <w:rsid w:val="00230714"/>
    <w:rsid w:val="00230D00"/>
    <w:rsid w:val="00230ED5"/>
    <w:rsid w:val="00231DF7"/>
    <w:rsid w:val="00231FD1"/>
    <w:rsid w:val="002334F3"/>
    <w:rsid w:val="00233863"/>
    <w:rsid w:val="002339E0"/>
    <w:rsid w:val="00233B43"/>
    <w:rsid w:val="00233CF8"/>
    <w:rsid w:val="00235746"/>
    <w:rsid w:val="0023575D"/>
    <w:rsid w:val="00237148"/>
    <w:rsid w:val="002374E0"/>
    <w:rsid w:val="0024222D"/>
    <w:rsid w:val="00244B0E"/>
    <w:rsid w:val="00244F6C"/>
    <w:rsid w:val="00246211"/>
    <w:rsid w:val="0025082C"/>
    <w:rsid w:val="002532C5"/>
    <w:rsid w:val="002537E1"/>
    <w:rsid w:val="00260C03"/>
    <w:rsid w:val="00261B7C"/>
    <w:rsid w:val="0026540E"/>
    <w:rsid w:val="002675D9"/>
    <w:rsid w:val="00275123"/>
    <w:rsid w:val="00282240"/>
    <w:rsid w:val="00283161"/>
    <w:rsid w:val="002841E2"/>
    <w:rsid w:val="00286731"/>
    <w:rsid w:val="00287DE1"/>
    <w:rsid w:val="002948AD"/>
    <w:rsid w:val="00297239"/>
    <w:rsid w:val="002A01CC"/>
    <w:rsid w:val="002A2125"/>
    <w:rsid w:val="002A27EF"/>
    <w:rsid w:val="002A2A50"/>
    <w:rsid w:val="002A2A60"/>
    <w:rsid w:val="002A52A1"/>
    <w:rsid w:val="002A61B1"/>
    <w:rsid w:val="002A663C"/>
    <w:rsid w:val="002B018F"/>
    <w:rsid w:val="002B1B95"/>
    <w:rsid w:val="002B2D5E"/>
    <w:rsid w:val="002B444B"/>
    <w:rsid w:val="002B46BA"/>
    <w:rsid w:val="002B5887"/>
    <w:rsid w:val="002C0E27"/>
    <w:rsid w:val="002C3040"/>
    <w:rsid w:val="002C4BB5"/>
    <w:rsid w:val="002C5351"/>
    <w:rsid w:val="002D022D"/>
    <w:rsid w:val="002D041F"/>
    <w:rsid w:val="002D0D4C"/>
    <w:rsid w:val="002D1C6E"/>
    <w:rsid w:val="002D24BB"/>
    <w:rsid w:val="002E02CB"/>
    <w:rsid w:val="002E2C69"/>
    <w:rsid w:val="002E39AB"/>
    <w:rsid w:val="002E69F4"/>
    <w:rsid w:val="002F0A7C"/>
    <w:rsid w:val="002F0BD3"/>
    <w:rsid w:val="002F2AF7"/>
    <w:rsid w:val="002F504F"/>
    <w:rsid w:val="002F7E1C"/>
    <w:rsid w:val="00301A75"/>
    <w:rsid w:val="00302F70"/>
    <w:rsid w:val="0030336F"/>
    <w:rsid w:val="003036AD"/>
    <w:rsid w:val="0030375E"/>
    <w:rsid w:val="003043CE"/>
    <w:rsid w:val="00307893"/>
    <w:rsid w:val="00312A30"/>
    <w:rsid w:val="00314064"/>
    <w:rsid w:val="00320F72"/>
    <w:rsid w:val="0032463E"/>
    <w:rsid w:val="00326224"/>
    <w:rsid w:val="00332A0D"/>
    <w:rsid w:val="00333A57"/>
    <w:rsid w:val="00334430"/>
    <w:rsid w:val="00337EE4"/>
    <w:rsid w:val="00340FFD"/>
    <w:rsid w:val="003450B2"/>
    <w:rsid w:val="00346E72"/>
    <w:rsid w:val="00350683"/>
    <w:rsid w:val="003506B1"/>
    <w:rsid w:val="0035167A"/>
    <w:rsid w:val="003540B2"/>
    <w:rsid w:val="00354656"/>
    <w:rsid w:val="003552C2"/>
    <w:rsid w:val="003568AD"/>
    <w:rsid w:val="00356AC7"/>
    <w:rsid w:val="003609FA"/>
    <w:rsid w:val="00362ED3"/>
    <w:rsid w:val="00363AF1"/>
    <w:rsid w:val="0036411C"/>
    <w:rsid w:val="0036569B"/>
    <w:rsid w:val="00370CF0"/>
    <w:rsid w:val="003710C8"/>
    <w:rsid w:val="00371933"/>
    <w:rsid w:val="003750BE"/>
    <w:rsid w:val="00375111"/>
    <w:rsid w:val="00377691"/>
    <w:rsid w:val="00380923"/>
    <w:rsid w:val="00380BC4"/>
    <w:rsid w:val="00381C9A"/>
    <w:rsid w:val="00381D04"/>
    <w:rsid w:val="0038678F"/>
    <w:rsid w:val="00387B9D"/>
    <w:rsid w:val="0039364F"/>
    <w:rsid w:val="00394233"/>
    <w:rsid w:val="00396686"/>
    <w:rsid w:val="0039778E"/>
    <w:rsid w:val="003A4699"/>
    <w:rsid w:val="003B0EA6"/>
    <w:rsid w:val="003B15B1"/>
    <w:rsid w:val="003B18DF"/>
    <w:rsid w:val="003B4941"/>
    <w:rsid w:val="003B70FD"/>
    <w:rsid w:val="003C0848"/>
    <w:rsid w:val="003C1C85"/>
    <w:rsid w:val="003C2190"/>
    <w:rsid w:val="003C5714"/>
    <w:rsid w:val="003C6B9F"/>
    <w:rsid w:val="003C6E2A"/>
    <w:rsid w:val="003C753D"/>
    <w:rsid w:val="003D0299"/>
    <w:rsid w:val="003E10A7"/>
    <w:rsid w:val="003E1154"/>
    <w:rsid w:val="003E299F"/>
    <w:rsid w:val="003E31DE"/>
    <w:rsid w:val="003E6D80"/>
    <w:rsid w:val="003F05FA"/>
    <w:rsid w:val="003F244A"/>
    <w:rsid w:val="003F30B8"/>
    <w:rsid w:val="003F3C02"/>
    <w:rsid w:val="003F4C45"/>
    <w:rsid w:val="003F5F7B"/>
    <w:rsid w:val="003F61BC"/>
    <w:rsid w:val="003F7D64"/>
    <w:rsid w:val="0040114E"/>
    <w:rsid w:val="0040165A"/>
    <w:rsid w:val="00402133"/>
    <w:rsid w:val="00403D8C"/>
    <w:rsid w:val="004048B8"/>
    <w:rsid w:val="004048FC"/>
    <w:rsid w:val="00404BC6"/>
    <w:rsid w:val="00406C4E"/>
    <w:rsid w:val="00410C61"/>
    <w:rsid w:val="00414300"/>
    <w:rsid w:val="004170A2"/>
    <w:rsid w:val="0041727B"/>
    <w:rsid w:val="0041793D"/>
    <w:rsid w:val="00417BB2"/>
    <w:rsid w:val="004223D1"/>
    <w:rsid w:val="00425C67"/>
    <w:rsid w:val="004266D9"/>
    <w:rsid w:val="00426BD0"/>
    <w:rsid w:val="00427E7A"/>
    <w:rsid w:val="00427ED4"/>
    <w:rsid w:val="004320D0"/>
    <w:rsid w:val="00433440"/>
    <w:rsid w:val="004338CA"/>
    <w:rsid w:val="004353F6"/>
    <w:rsid w:val="00436C49"/>
    <w:rsid w:val="00437036"/>
    <w:rsid w:val="004374A6"/>
    <w:rsid w:val="00445366"/>
    <w:rsid w:val="00447F5B"/>
    <w:rsid w:val="004537CC"/>
    <w:rsid w:val="00454B02"/>
    <w:rsid w:val="00454C64"/>
    <w:rsid w:val="00454E50"/>
    <w:rsid w:val="00455245"/>
    <w:rsid w:val="00461DB0"/>
    <w:rsid w:val="00461F18"/>
    <w:rsid w:val="004627DF"/>
    <w:rsid w:val="00463926"/>
    <w:rsid w:val="00463AA1"/>
    <w:rsid w:val="00464C9A"/>
    <w:rsid w:val="00471557"/>
    <w:rsid w:val="00474F3D"/>
    <w:rsid w:val="00476BFE"/>
    <w:rsid w:val="004778D6"/>
    <w:rsid w:val="00477E3A"/>
    <w:rsid w:val="00480A81"/>
    <w:rsid w:val="00481D31"/>
    <w:rsid w:val="00483E5F"/>
    <w:rsid w:val="00485FF9"/>
    <w:rsid w:val="004862EE"/>
    <w:rsid w:val="00487A5D"/>
    <w:rsid w:val="00487ED3"/>
    <w:rsid w:val="004907F0"/>
    <w:rsid w:val="0049140B"/>
    <w:rsid w:val="004923A5"/>
    <w:rsid w:val="00493CD7"/>
    <w:rsid w:val="00496BFB"/>
    <w:rsid w:val="00497C94"/>
    <w:rsid w:val="00497E5E"/>
    <w:rsid w:val="004A15C7"/>
    <w:rsid w:val="004A1B7B"/>
    <w:rsid w:val="004A22EB"/>
    <w:rsid w:val="004A2B27"/>
    <w:rsid w:val="004A3401"/>
    <w:rsid w:val="004A7E6F"/>
    <w:rsid w:val="004B013B"/>
    <w:rsid w:val="004B112B"/>
    <w:rsid w:val="004B3E3C"/>
    <w:rsid w:val="004B4A5C"/>
    <w:rsid w:val="004B5CA5"/>
    <w:rsid w:val="004B797E"/>
    <w:rsid w:val="004C01E4"/>
    <w:rsid w:val="004C086C"/>
    <w:rsid w:val="004C1F56"/>
    <w:rsid w:val="004C251B"/>
    <w:rsid w:val="004C27BC"/>
    <w:rsid w:val="004C3271"/>
    <w:rsid w:val="004C5B4D"/>
    <w:rsid w:val="004C5E69"/>
    <w:rsid w:val="004C7BDF"/>
    <w:rsid w:val="004D15F3"/>
    <w:rsid w:val="004D162D"/>
    <w:rsid w:val="004D17A1"/>
    <w:rsid w:val="004D50F2"/>
    <w:rsid w:val="004D5311"/>
    <w:rsid w:val="004D545B"/>
    <w:rsid w:val="004D5DCC"/>
    <w:rsid w:val="004E616E"/>
    <w:rsid w:val="004F10AF"/>
    <w:rsid w:val="004F11A4"/>
    <w:rsid w:val="004F1789"/>
    <w:rsid w:val="004F17CD"/>
    <w:rsid w:val="004F2389"/>
    <w:rsid w:val="004F2979"/>
    <w:rsid w:val="004F304D"/>
    <w:rsid w:val="004F61BE"/>
    <w:rsid w:val="004F66B1"/>
    <w:rsid w:val="004F7AA0"/>
    <w:rsid w:val="0050178B"/>
    <w:rsid w:val="005032C3"/>
    <w:rsid w:val="00503450"/>
    <w:rsid w:val="00503C26"/>
    <w:rsid w:val="0050489F"/>
    <w:rsid w:val="00504AA9"/>
    <w:rsid w:val="00511C07"/>
    <w:rsid w:val="005173A6"/>
    <w:rsid w:val="00520374"/>
    <w:rsid w:val="00520BAA"/>
    <w:rsid w:val="00521FED"/>
    <w:rsid w:val="00524FA2"/>
    <w:rsid w:val="00525208"/>
    <w:rsid w:val="005257A5"/>
    <w:rsid w:val="005264C0"/>
    <w:rsid w:val="00526A8A"/>
    <w:rsid w:val="00531191"/>
    <w:rsid w:val="00531DF2"/>
    <w:rsid w:val="005327F2"/>
    <w:rsid w:val="00532A62"/>
    <w:rsid w:val="00532C79"/>
    <w:rsid w:val="00536CD6"/>
    <w:rsid w:val="005442EE"/>
    <w:rsid w:val="00547353"/>
    <w:rsid w:val="005474E7"/>
    <w:rsid w:val="005512A3"/>
    <w:rsid w:val="0055177B"/>
    <w:rsid w:val="0055188B"/>
    <w:rsid w:val="00554461"/>
    <w:rsid w:val="005578CE"/>
    <w:rsid w:val="00560DD2"/>
    <w:rsid w:val="00562781"/>
    <w:rsid w:val="005651F6"/>
    <w:rsid w:val="00566C48"/>
    <w:rsid w:val="005675E9"/>
    <w:rsid w:val="0057271C"/>
    <w:rsid w:val="00572845"/>
    <w:rsid w:val="00573046"/>
    <w:rsid w:val="005853C4"/>
    <w:rsid w:val="00590B0C"/>
    <w:rsid w:val="00591B09"/>
    <w:rsid w:val="00592772"/>
    <w:rsid w:val="0059574A"/>
    <w:rsid w:val="00596290"/>
    <w:rsid w:val="00596468"/>
    <w:rsid w:val="00596C35"/>
    <w:rsid w:val="005A02CB"/>
    <w:rsid w:val="005A1B9B"/>
    <w:rsid w:val="005A268A"/>
    <w:rsid w:val="005A4BC3"/>
    <w:rsid w:val="005A4D6A"/>
    <w:rsid w:val="005A6751"/>
    <w:rsid w:val="005B013E"/>
    <w:rsid w:val="005B092E"/>
    <w:rsid w:val="005B152C"/>
    <w:rsid w:val="005B1EE0"/>
    <w:rsid w:val="005B2B24"/>
    <w:rsid w:val="005B2E19"/>
    <w:rsid w:val="005B3CD7"/>
    <w:rsid w:val="005B4425"/>
    <w:rsid w:val="005B4B94"/>
    <w:rsid w:val="005C3EE8"/>
    <w:rsid w:val="005C5DF7"/>
    <w:rsid w:val="005C5E12"/>
    <w:rsid w:val="005D34F9"/>
    <w:rsid w:val="005D4190"/>
    <w:rsid w:val="005D67A3"/>
    <w:rsid w:val="005E1F7E"/>
    <w:rsid w:val="005E2988"/>
    <w:rsid w:val="005E3085"/>
    <w:rsid w:val="005E3AEF"/>
    <w:rsid w:val="005E5EDA"/>
    <w:rsid w:val="005F1D48"/>
    <w:rsid w:val="005F51E1"/>
    <w:rsid w:val="005F5498"/>
    <w:rsid w:val="005F6911"/>
    <w:rsid w:val="005F6C64"/>
    <w:rsid w:val="005F7D1A"/>
    <w:rsid w:val="00600797"/>
    <w:rsid w:val="006023B4"/>
    <w:rsid w:val="00604A58"/>
    <w:rsid w:val="0061124C"/>
    <w:rsid w:val="00611C80"/>
    <w:rsid w:val="00613C17"/>
    <w:rsid w:val="00617044"/>
    <w:rsid w:val="00617208"/>
    <w:rsid w:val="006200C1"/>
    <w:rsid w:val="00620692"/>
    <w:rsid w:val="00622B01"/>
    <w:rsid w:val="00622BF8"/>
    <w:rsid w:val="006242CA"/>
    <w:rsid w:val="00624D19"/>
    <w:rsid w:val="00627507"/>
    <w:rsid w:val="00633613"/>
    <w:rsid w:val="00633717"/>
    <w:rsid w:val="006344E1"/>
    <w:rsid w:val="00634E73"/>
    <w:rsid w:val="00635EC0"/>
    <w:rsid w:val="00637EB3"/>
    <w:rsid w:val="00642C9B"/>
    <w:rsid w:val="00643EC5"/>
    <w:rsid w:val="00645DB8"/>
    <w:rsid w:val="00646221"/>
    <w:rsid w:val="00646B2B"/>
    <w:rsid w:val="00647A39"/>
    <w:rsid w:val="006545C4"/>
    <w:rsid w:val="00657F38"/>
    <w:rsid w:val="00660CDC"/>
    <w:rsid w:val="00661971"/>
    <w:rsid w:val="00661CE8"/>
    <w:rsid w:val="006623D9"/>
    <w:rsid w:val="00662454"/>
    <w:rsid w:val="00662C3A"/>
    <w:rsid w:val="0066550C"/>
    <w:rsid w:val="00665A12"/>
    <w:rsid w:val="00665D3F"/>
    <w:rsid w:val="00667B26"/>
    <w:rsid w:val="006716F2"/>
    <w:rsid w:val="00673A6E"/>
    <w:rsid w:val="00674679"/>
    <w:rsid w:val="00680E73"/>
    <w:rsid w:val="0068184C"/>
    <w:rsid w:val="00681DA3"/>
    <w:rsid w:val="00682BF2"/>
    <w:rsid w:val="006859CE"/>
    <w:rsid w:val="00685DD1"/>
    <w:rsid w:val="00691270"/>
    <w:rsid w:val="00693CB5"/>
    <w:rsid w:val="00694BA8"/>
    <w:rsid w:val="006A037C"/>
    <w:rsid w:val="006A36F4"/>
    <w:rsid w:val="006A406F"/>
    <w:rsid w:val="006A5D3A"/>
    <w:rsid w:val="006A6E21"/>
    <w:rsid w:val="006B230F"/>
    <w:rsid w:val="006B3594"/>
    <w:rsid w:val="006B3E4B"/>
    <w:rsid w:val="006B3ECB"/>
    <w:rsid w:val="006B579F"/>
    <w:rsid w:val="006C1BCB"/>
    <w:rsid w:val="006C23D4"/>
    <w:rsid w:val="006C7BB0"/>
    <w:rsid w:val="006D3237"/>
    <w:rsid w:val="006D45E2"/>
    <w:rsid w:val="006D5C87"/>
    <w:rsid w:val="006D5EF7"/>
    <w:rsid w:val="006D7D4D"/>
    <w:rsid w:val="006E2819"/>
    <w:rsid w:val="006E2E37"/>
    <w:rsid w:val="006E2EE0"/>
    <w:rsid w:val="006E3BE5"/>
    <w:rsid w:val="006E3CF1"/>
    <w:rsid w:val="006E7E80"/>
    <w:rsid w:val="006F24B5"/>
    <w:rsid w:val="006F2D09"/>
    <w:rsid w:val="006F3793"/>
    <w:rsid w:val="006F48CA"/>
    <w:rsid w:val="006F5023"/>
    <w:rsid w:val="006F5BCA"/>
    <w:rsid w:val="006F64DD"/>
    <w:rsid w:val="006F7A9E"/>
    <w:rsid w:val="00711652"/>
    <w:rsid w:val="007130EE"/>
    <w:rsid w:val="00714129"/>
    <w:rsid w:val="00715127"/>
    <w:rsid w:val="00715E8E"/>
    <w:rsid w:val="00717640"/>
    <w:rsid w:val="00720B52"/>
    <w:rsid w:val="00720CF5"/>
    <w:rsid w:val="00722372"/>
    <w:rsid w:val="00723580"/>
    <w:rsid w:val="00723755"/>
    <w:rsid w:val="00724543"/>
    <w:rsid w:val="0073136C"/>
    <w:rsid w:val="00731F0F"/>
    <w:rsid w:val="007323FF"/>
    <w:rsid w:val="00733250"/>
    <w:rsid w:val="0073502E"/>
    <w:rsid w:val="00736287"/>
    <w:rsid w:val="007364E1"/>
    <w:rsid w:val="00741404"/>
    <w:rsid w:val="00744726"/>
    <w:rsid w:val="007449E5"/>
    <w:rsid w:val="007472CB"/>
    <w:rsid w:val="00747FF0"/>
    <w:rsid w:val="00755176"/>
    <w:rsid w:val="00764D4E"/>
    <w:rsid w:val="007659D4"/>
    <w:rsid w:val="00765A1F"/>
    <w:rsid w:val="007666B8"/>
    <w:rsid w:val="0076798F"/>
    <w:rsid w:val="00767C31"/>
    <w:rsid w:val="0077151D"/>
    <w:rsid w:val="00774024"/>
    <w:rsid w:val="00775B6D"/>
    <w:rsid w:val="007769F9"/>
    <w:rsid w:val="00776D68"/>
    <w:rsid w:val="00780B38"/>
    <w:rsid w:val="007850EE"/>
    <w:rsid w:val="00785B95"/>
    <w:rsid w:val="00785C49"/>
    <w:rsid w:val="00790098"/>
    <w:rsid w:val="00790E96"/>
    <w:rsid w:val="0079319C"/>
    <w:rsid w:val="00793366"/>
    <w:rsid w:val="00794AD7"/>
    <w:rsid w:val="007952DA"/>
    <w:rsid w:val="007A1050"/>
    <w:rsid w:val="007A51C8"/>
    <w:rsid w:val="007A6FD4"/>
    <w:rsid w:val="007A716F"/>
    <w:rsid w:val="007B270A"/>
    <w:rsid w:val="007B4780"/>
    <w:rsid w:val="007B4B56"/>
    <w:rsid w:val="007B50AC"/>
    <w:rsid w:val="007B58FA"/>
    <w:rsid w:val="007B66E5"/>
    <w:rsid w:val="007B7037"/>
    <w:rsid w:val="007B7767"/>
    <w:rsid w:val="007C0695"/>
    <w:rsid w:val="007C419A"/>
    <w:rsid w:val="007C4CC8"/>
    <w:rsid w:val="007C5426"/>
    <w:rsid w:val="007C5680"/>
    <w:rsid w:val="007C5798"/>
    <w:rsid w:val="007C67D6"/>
    <w:rsid w:val="007D1388"/>
    <w:rsid w:val="007D16E3"/>
    <w:rsid w:val="007D3F01"/>
    <w:rsid w:val="007D4832"/>
    <w:rsid w:val="007D7160"/>
    <w:rsid w:val="007E21B2"/>
    <w:rsid w:val="007E2BEB"/>
    <w:rsid w:val="007E2C4E"/>
    <w:rsid w:val="007E32C3"/>
    <w:rsid w:val="007E7B24"/>
    <w:rsid w:val="007F1905"/>
    <w:rsid w:val="007F350B"/>
    <w:rsid w:val="007F37D5"/>
    <w:rsid w:val="007F40BF"/>
    <w:rsid w:val="007F4871"/>
    <w:rsid w:val="007F5341"/>
    <w:rsid w:val="00801300"/>
    <w:rsid w:val="008013D7"/>
    <w:rsid w:val="00802617"/>
    <w:rsid w:val="00802C64"/>
    <w:rsid w:val="008033E0"/>
    <w:rsid w:val="00805C80"/>
    <w:rsid w:val="00805E52"/>
    <w:rsid w:val="008061D0"/>
    <w:rsid w:val="0080766E"/>
    <w:rsid w:val="00810B38"/>
    <w:rsid w:val="00816502"/>
    <w:rsid w:val="008204C7"/>
    <w:rsid w:val="00820992"/>
    <w:rsid w:val="00820BA7"/>
    <w:rsid w:val="00820C29"/>
    <w:rsid w:val="00823602"/>
    <w:rsid w:val="00824E59"/>
    <w:rsid w:val="008255F5"/>
    <w:rsid w:val="00826F84"/>
    <w:rsid w:val="0083014E"/>
    <w:rsid w:val="008302AF"/>
    <w:rsid w:val="0083214A"/>
    <w:rsid w:val="00832AC0"/>
    <w:rsid w:val="00834220"/>
    <w:rsid w:val="00840F30"/>
    <w:rsid w:val="00842A68"/>
    <w:rsid w:val="0084351A"/>
    <w:rsid w:val="00845723"/>
    <w:rsid w:val="00850678"/>
    <w:rsid w:val="00851859"/>
    <w:rsid w:val="00851EF9"/>
    <w:rsid w:val="0085443D"/>
    <w:rsid w:val="008573E7"/>
    <w:rsid w:val="008577FD"/>
    <w:rsid w:val="00857B31"/>
    <w:rsid w:val="00860308"/>
    <w:rsid w:val="00860B03"/>
    <w:rsid w:val="00862881"/>
    <w:rsid w:val="008648A8"/>
    <w:rsid w:val="0086497A"/>
    <w:rsid w:val="008655BC"/>
    <w:rsid w:val="008669C8"/>
    <w:rsid w:val="00867A98"/>
    <w:rsid w:val="008708B3"/>
    <w:rsid w:val="0087138E"/>
    <w:rsid w:val="008713A1"/>
    <w:rsid w:val="008754AB"/>
    <w:rsid w:val="00875C93"/>
    <w:rsid w:val="0088060C"/>
    <w:rsid w:val="00887B3F"/>
    <w:rsid w:val="008901F6"/>
    <w:rsid w:val="008903A5"/>
    <w:rsid w:val="0089061E"/>
    <w:rsid w:val="00892DCA"/>
    <w:rsid w:val="00893576"/>
    <w:rsid w:val="00893E73"/>
    <w:rsid w:val="00896C60"/>
    <w:rsid w:val="00896E5D"/>
    <w:rsid w:val="008A4752"/>
    <w:rsid w:val="008A6B5B"/>
    <w:rsid w:val="008A7CF7"/>
    <w:rsid w:val="008B02DC"/>
    <w:rsid w:val="008B0B00"/>
    <w:rsid w:val="008B3EF4"/>
    <w:rsid w:val="008B52EF"/>
    <w:rsid w:val="008B57CE"/>
    <w:rsid w:val="008B61ED"/>
    <w:rsid w:val="008B6F08"/>
    <w:rsid w:val="008C05A9"/>
    <w:rsid w:val="008C248A"/>
    <w:rsid w:val="008C26DE"/>
    <w:rsid w:val="008C5334"/>
    <w:rsid w:val="008D2225"/>
    <w:rsid w:val="008D42C1"/>
    <w:rsid w:val="008D45FE"/>
    <w:rsid w:val="008D4752"/>
    <w:rsid w:val="008D4D41"/>
    <w:rsid w:val="008D71F6"/>
    <w:rsid w:val="008E179A"/>
    <w:rsid w:val="008E20C6"/>
    <w:rsid w:val="008E271C"/>
    <w:rsid w:val="008E418E"/>
    <w:rsid w:val="008E572D"/>
    <w:rsid w:val="008E5BC6"/>
    <w:rsid w:val="008E6A25"/>
    <w:rsid w:val="008E7002"/>
    <w:rsid w:val="008F0280"/>
    <w:rsid w:val="008F0D4F"/>
    <w:rsid w:val="008F1828"/>
    <w:rsid w:val="008F1AF1"/>
    <w:rsid w:val="008F5193"/>
    <w:rsid w:val="009013A7"/>
    <w:rsid w:val="009017FB"/>
    <w:rsid w:val="009017FC"/>
    <w:rsid w:val="0090439C"/>
    <w:rsid w:val="0090506B"/>
    <w:rsid w:val="009050C9"/>
    <w:rsid w:val="00905CA2"/>
    <w:rsid w:val="009066FC"/>
    <w:rsid w:val="009072E4"/>
    <w:rsid w:val="009120AB"/>
    <w:rsid w:val="009140A3"/>
    <w:rsid w:val="009144A2"/>
    <w:rsid w:val="0091510C"/>
    <w:rsid w:val="00921862"/>
    <w:rsid w:val="0092348E"/>
    <w:rsid w:val="00923A2B"/>
    <w:rsid w:val="009251CA"/>
    <w:rsid w:val="009259AC"/>
    <w:rsid w:val="00926F38"/>
    <w:rsid w:val="00930C23"/>
    <w:rsid w:val="00932132"/>
    <w:rsid w:val="00934301"/>
    <w:rsid w:val="00936C2D"/>
    <w:rsid w:val="00936CD1"/>
    <w:rsid w:val="00940CEC"/>
    <w:rsid w:val="00941747"/>
    <w:rsid w:val="00941EFB"/>
    <w:rsid w:val="00947AFB"/>
    <w:rsid w:val="00947CB0"/>
    <w:rsid w:val="00951344"/>
    <w:rsid w:val="00951D7D"/>
    <w:rsid w:val="00952677"/>
    <w:rsid w:val="00955352"/>
    <w:rsid w:val="0096081A"/>
    <w:rsid w:val="009630C7"/>
    <w:rsid w:val="00966097"/>
    <w:rsid w:val="009718A6"/>
    <w:rsid w:val="00971FA9"/>
    <w:rsid w:val="00972B55"/>
    <w:rsid w:val="00973308"/>
    <w:rsid w:val="0097433A"/>
    <w:rsid w:val="009743B7"/>
    <w:rsid w:val="0097715F"/>
    <w:rsid w:val="00980AB6"/>
    <w:rsid w:val="00981B1F"/>
    <w:rsid w:val="0098228B"/>
    <w:rsid w:val="009828DA"/>
    <w:rsid w:val="009831AC"/>
    <w:rsid w:val="00984273"/>
    <w:rsid w:val="00985BAB"/>
    <w:rsid w:val="009862D5"/>
    <w:rsid w:val="00996DFC"/>
    <w:rsid w:val="009A0B2E"/>
    <w:rsid w:val="009A14EB"/>
    <w:rsid w:val="009A2A0F"/>
    <w:rsid w:val="009A2EEE"/>
    <w:rsid w:val="009A5212"/>
    <w:rsid w:val="009A6CBC"/>
    <w:rsid w:val="009B14D2"/>
    <w:rsid w:val="009B1B5F"/>
    <w:rsid w:val="009B2D20"/>
    <w:rsid w:val="009B361F"/>
    <w:rsid w:val="009B6673"/>
    <w:rsid w:val="009C191B"/>
    <w:rsid w:val="009C2BD6"/>
    <w:rsid w:val="009C4333"/>
    <w:rsid w:val="009C52CF"/>
    <w:rsid w:val="009C5ECF"/>
    <w:rsid w:val="009C6725"/>
    <w:rsid w:val="009D07E8"/>
    <w:rsid w:val="009D5578"/>
    <w:rsid w:val="009D5842"/>
    <w:rsid w:val="009D5D66"/>
    <w:rsid w:val="009E1F32"/>
    <w:rsid w:val="009E66AB"/>
    <w:rsid w:val="009E6A31"/>
    <w:rsid w:val="009E776C"/>
    <w:rsid w:val="009E7B16"/>
    <w:rsid w:val="009F4C51"/>
    <w:rsid w:val="009F593F"/>
    <w:rsid w:val="00A00144"/>
    <w:rsid w:val="00A05EA4"/>
    <w:rsid w:val="00A104F0"/>
    <w:rsid w:val="00A1280C"/>
    <w:rsid w:val="00A1726E"/>
    <w:rsid w:val="00A204CF"/>
    <w:rsid w:val="00A21FFC"/>
    <w:rsid w:val="00A232FC"/>
    <w:rsid w:val="00A23D49"/>
    <w:rsid w:val="00A23FE7"/>
    <w:rsid w:val="00A27004"/>
    <w:rsid w:val="00A30C29"/>
    <w:rsid w:val="00A326CA"/>
    <w:rsid w:val="00A330C6"/>
    <w:rsid w:val="00A331B2"/>
    <w:rsid w:val="00A34DD6"/>
    <w:rsid w:val="00A34EE8"/>
    <w:rsid w:val="00A36819"/>
    <w:rsid w:val="00A36989"/>
    <w:rsid w:val="00A36EF7"/>
    <w:rsid w:val="00A40857"/>
    <w:rsid w:val="00A40A1B"/>
    <w:rsid w:val="00A43628"/>
    <w:rsid w:val="00A44C89"/>
    <w:rsid w:val="00A44F68"/>
    <w:rsid w:val="00A4536D"/>
    <w:rsid w:val="00A46FFB"/>
    <w:rsid w:val="00A47DCC"/>
    <w:rsid w:val="00A54192"/>
    <w:rsid w:val="00A6035E"/>
    <w:rsid w:val="00A606A1"/>
    <w:rsid w:val="00A60CE2"/>
    <w:rsid w:val="00A6144C"/>
    <w:rsid w:val="00A61E7F"/>
    <w:rsid w:val="00A66617"/>
    <w:rsid w:val="00A671F8"/>
    <w:rsid w:val="00A6727B"/>
    <w:rsid w:val="00A673A4"/>
    <w:rsid w:val="00A71F29"/>
    <w:rsid w:val="00A724AE"/>
    <w:rsid w:val="00A73329"/>
    <w:rsid w:val="00A73814"/>
    <w:rsid w:val="00A82359"/>
    <w:rsid w:val="00A8551A"/>
    <w:rsid w:val="00A865D2"/>
    <w:rsid w:val="00A86960"/>
    <w:rsid w:val="00A902F8"/>
    <w:rsid w:val="00A94C20"/>
    <w:rsid w:val="00AA0D57"/>
    <w:rsid w:val="00AA1E3C"/>
    <w:rsid w:val="00AA227F"/>
    <w:rsid w:val="00AA3BC7"/>
    <w:rsid w:val="00AA4092"/>
    <w:rsid w:val="00AA4FB3"/>
    <w:rsid w:val="00AA65F8"/>
    <w:rsid w:val="00AA754A"/>
    <w:rsid w:val="00AB099E"/>
    <w:rsid w:val="00AB1B57"/>
    <w:rsid w:val="00AB4328"/>
    <w:rsid w:val="00AB50BF"/>
    <w:rsid w:val="00AC0743"/>
    <w:rsid w:val="00AC1ACC"/>
    <w:rsid w:val="00AC4A6B"/>
    <w:rsid w:val="00AC4E91"/>
    <w:rsid w:val="00AC59E2"/>
    <w:rsid w:val="00AD412E"/>
    <w:rsid w:val="00AD4540"/>
    <w:rsid w:val="00AD4DD9"/>
    <w:rsid w:val="00AD5390"/>
    <w:rsid w:val="00AD5CCC"/>
    <w:rsid w:val="00AD6DBF"/>
    <w:rsid w:val="00AE0A2E"/>
    <w:rsid w:val="00AE1595"/>
    <w:rsid w:val="00AE354C"/>
    <w:rsid w:val="00AE4608"/>
    <w:rsid w:val="00AE4E7B"/>
    <w:rsid w:val="00AE5A82"/>
    <w:rsid w:val="00AE5BA1"/>
    <w:rsid w:val="00AE7B04"/>
    <w:rsid w:val="00AF0E1F"/>
    <w:rsid w:val="00AF131B"/>
    <w:rsid w:val="00AF4B07"/>
    <w:rsid w:val="00AF55C8"/>
    <w:rsid w:val="00AF6186"/>
    <w:rsid w:val="00AF66D7"/>
    <w:rsid w:val="00AF7244"/>
    <w:rsid w:val="00AF7A3A"/>
    <w:rsid w:val="00B01528"/>
    <w:rsid w:val="00B02886"/>
    <w:rsid w:val="00B05420"/>
    <w:rsid w:val="00B06BE5"/>
    <w:rsid w:val="00B07675"/>
    <w:rsid w:val="00B12B7B"/>
    <w:rsid w:val="00B14518"/>
    <w:rsid w:val="00B155A6"/>
    <w:rsid w:val="00B160DB"/>
    <w:rsid w:val="00B16876"/>
    <w:rsid w:val="00B17DCA"/>
    <w:rsid w:val="00B20836"/>
    <w:rsid w:val="00B21672"/>
    <w:rsid w:val="00B235BB"/>
    <w:rsid w:val="00B27345"/>
    <w:rsid w:val="00B27A44"/>
    <w:rsid w:val="00B30BBF"/>
    <w:rsid w:val="00B33C03"/>
    <w:rsid w:val="00B44E56"/>
    <w:rsid w:val="00B46543"/>
    <w:rsid w:val="00B47D33"/>
    <w:rsid w:val="00B528E8"/>
    <w:rsid w:val="00B52BE0"/>
    <w:rsid w:val="00B54133"/>
    <w:rsid w:val="00B5421A"/>
    <w:rsid w:val="00B5744F"/>
    <w:rsid w:val="00B66172"/>
    <w:rsid w:val="00B665CD"/>
    <w:rsid w:val="00B701ED"/>
    <w:rsid w:val="00B73BE1"/>
    <w:rsid w:val="00B74610"/>
    <w:rsid w:val="00B8086C"/>
    <w:rsid w:val="00B80F08"/>
    <w:rsid w:val="00B861B4"/>
    <w:rsid w:val="00B86AA3"/>
    <w:rsid w:val="00B86DFE"/>
    <w:rsid w:val="00B87017"/>
    <w:rsid w:val="00B9019F"/>
    <w:rsid w:val="00B90990"/>
    <w:rsid w:val="00B91823"/>
    <w:rsid w:val="00B922FF"/>
    <w:rsid w:val="00B9281E"/>
    <w:rsid w:val="00B93925"/>
    <w:rsid w:val="00B949EC"/>
    <w:rsid w:val="00B95187"/>
    <w:rsid w:val="00B953CC"/>
    <w:rsid w:val="00B9776F"/>
    <w:rsid w:val="00B97BEC"/>
    <w:rsid w:val="00BA150F"/>
    <w:rsid w:val="00BA2D55"/>
    <w:rsid w:val="00BA71B1"/>
    <w:rsid w:val="00BB0637"/>
    <w:rsid w:val="00BB345F"/>
    <w:rsid w:val="00BB4B15"/>
    <w:rsid w:val="00BB6097"/>
    <w:rsid w:val="00BB61BB"/>
    <w:rsid w:val="00BB68EA"/>
    <w:rsid w:val="00BB6A94"/>
    <w:rsid w:val="00BC1800"/>
    <w:rsid w:val="00BC1C27"/>
    <w:rsid w:val="00BC4A8F"/>
    <w:rsid w:val="00BC6BBF"/>
    <w:rsid w:val="00BD1572"/>
    <w:rsid w:val="00BD1931"/>
    <w:rsid w:val="00BD2BA8"/>
    <w:rsid w:val="00BD34E7"/>
    <w:rsid w:val="00BD469E"/>
    <w:rsid w:val="00BE1467"/>
    <w:rsid w:val="00BE14E3"/>
    <w:rsid w:val="00BE2495"/>
    <w:rsid w:val="00BE3774"/>
    <w:rsid w:val="00BE41E5"/>
    <w:rsid w:val="00BE4BC9"/>
    <w:rsid w:val="00BE701B"/>
    <w:rsid w:val="00BF16CC"/>
    <w:rsid w:val="00BF4109"/>
    <w:rsid w:val="00BF4CC3"/>
    <w:rsid w:val="00BF6B74"/>
    <w:rsid w:val="00C00686"/>
    <w:rsid w:val="00C054C7"/>
    <w:rsid w:val="00C057B5"/>
    <w:rsid w:val="00C057CE"/>
    <w:rsid w:val="00C06E15"/>
    <w:rsid w:val="00C07C44"/>
    <w:rsid w:val="00C1262B"/>
    <w:rsid w:val="00C22687"/>
    <w:rsid w:val="00C227CC"/>
    <w:rsid w:val="00C22926"/>
    <w:rsid w:val="00C31189"/>
    <w:rsid w:val="00C32E4D"/>
    <w:rsid w:val="00C333A0"/>
    <w:rsid w:val="00C3405F"/>
    <w:rsid w:val="00C34987"/>
    <w:rsid w:val="00C3580B"/>
    <w:rsid w:val="00C35D07"/>
    <w:rsid w:val="00C36408"/>
    <w:rsid w:val="00C36A81"/>
    <w:rsid w:val="00C41974"/>
    <w:rsid w:val="00C41BE0"/>
    <w:rsid w:val="00C42C0B"/>
    <w:rsid w:val="00C50F20"/>
    <w:rsid w:val="00C53332"/>
    <w:rsid w:val="00C53F4A"/>
    <w:rsid w:val="00C54125"/>
    <w:rsid w:val="00C55B54"/>
    <w:rsid w:val="00C568FF"/>
    <w:rsid w:val="00C6098E"/>
    <w:rsid w:val="00C611D8"/>
    <w:rsid w:val="00C6152C"/>
    <w:rsid w:val="00C6254E"/>
    <w:rsid w:val="00C63990"/>
    <w:rsid w:val="00C64EF6"/>
    <w:rsid w:val="00C66C96"/>
    <w:rsid w:val="00C70819"/>
    <w:rsid w:val="00C715F5"/>
    <w:rsid w:val="00C71E2B"/>
    <w:rsid w:val="00C74810"/>
    <w:rsid w:val="00C77108"/>
    <w:rsid w:val="00C84839"/>
    <w:rsid w:val="00C85359"/>
    <w:rsid w:val="00C858AB"/>
    <w:rsid w:val="00C86514"/>
    <w:rsid w:val="00C90D68"/>
    <w:rsid w:val="00C939FE"/>
    <w:rsid w:val="00CA4BDA"/>
    <w:rsid w:val="00CB1F66"/>
    <w:rsid w:val="00CB2951"/>
    <w:rsid w:val="00CB376F"/>
    <w:rsid w:val="00CB7EBD"/>
    <w:rsid w:val="00CC69CF"/>
    <w:rsid w:val="00CD009D"/>
    <w:rsid w:val="00CD282B"/>
    <w:rsid w:val="00CD4033"/>
    <w:rsid w:val="00CD4A58"/>
    <w:rsid w:val="00CD4C35"/>
    <w:rsid w:val="00CD4F7B"/>
    <w:rsid w:val="00CD599C"/>
    <w:rsid w:val="00CD7369"/>
    <w:rsid w:val="00CE0B0E"/>
    <w:rsid w:val="00CE3831"/>
    <w:rsid w:val="00CE4766"/>
    <w:rsid w:val="00CE62EF"/>
    <w:rsid w:val="00CF00EF"/>
    <w:rsid w:val="00CF0BA9"/>
    <w:rsid w:val="00CF1736"/>
    <w:rsid w:val="00D00ABB"/>
    <w:rsid w:val="00D02EEC"/>
    <w:rsid w:val="00D033D9"/>
    <w:rsid w:val="00D0345D"/>
    <w:rsid w:val="00D03551"/>
    <w:rsid w:val="00D05930"/>
    <w:rsid w:val="00D05A4E"/>
    <w:rsid w:val="00D06A63"/>
    <w:rsid w:val="00D07E0E"/>
    <w:rsid w:val="00D107E7"/>
    <w:rsid w:val="00D11478"/>
    <w:rsid w:val="00D12350"/>
    <w:rsid w:val="00D15ED0"/>
    <w:rsid w:val="00D210C5"/>
    <w:rsid w:val="00D21B3E"/>
    <w:rsid w:val="00D21FED"/>
    <w:rsid w:val="00D2373E"/>
    <w:rsid w:val="00D24251"/>
    <w:rsid w:val="00D25736"/>
    <w:rsid w:val="00D25DC6"/>
    <w:rsid w:val="00D262E9"/>
    <w:rsid w:val="00D27187"/>
    <w:rsid w:val="00D31E27"/>
    <w:rsid w:val="00D325CB"/>
    <w:rsid w:val="00D33C4B"/>
    <w:rsid w:val="00D343E2"/>
    <w:rsid w:val="00D34665"/>
    <w:rsid w:val="00D34EE1"/>
    <w:rsid w:val="00D36095"/>
    <w:rsid w:val="00D361A2"/>
    <w:rsid w:val="00D3625C"/>
    <w:rsid w:val="00D376D6"/>
    <w:rsid w:val="00D37C1F"/>
    <w:rsid w:val="00D41EA4"/>
    <w:rsid w:val="00D42AFF"/>
    <w:rsid w:val="00D44C2E"/>
    <w:rsid w:val="00D45414"/>
    <w:rsid w:val="00D50924"/>
    <w:rsid w:val="00D50D09"/>
    <w:rsid w:val="00D515F9"/>
    <w:rsid w:val="00D51691"/>
    <w:rsid w:val="00D5191D"/>
    <w:rsid w:val="00D566BD"/>
    <w:rsid w:val="00D570CB"/>
    <w:rsid w:val="00D57A4D"/>
    <w:rsid w:val="00D60AA7"/>
    <w:rsid w:val="00D63ECE"/>
    <w:rsid w:val="00D6435F"/>
    <w:rsid w:val="00D64983"/>
    <w:rsid w:val="00D72AF5"/>
    <w:rsid w:val="00D73ECE"/>
    <w:rsid w:val="00D75E28"/>
    <w:rsid w:val="00D772C2"/>
    <w:rsid w:val="00D8008E"/>
    <w:rsid w:val="00D80E5B"/>
    <w:rsid w:val="00D82C45"/>
    <w:rsid w:val="00D908A8"/>
    <w:rsid w:val="00D90B74"/>
    <w:rsid w:val="00D946A1"/>
    <w:rsid w:val="00D94D87"/>
    <w:rsid w:val="00D977B6"/>
    <w:rsid w:val="00DA056F"/>
    <w:rsid w:val="00DA187E"/>
    <w:rsid w:val="00DA4A31"/>
    <w:rsid w:val="00DA7B04"/>
    <w:rsid w:val="00DB1F7E"/>
    <w:rsid w:val="00DB36C2"/>
    <w:rsid w:val="00DB587F"/>
    <w:rsid w:val="00DB5D9D"/>
    <w:rsid w:val="00DB7A23"/>
    <w:rsid w:val="00DC169B"/>
    <w:rsid w:val="00DC2604"/>
    <w:rsid w:val="00DC2AB9"/>
    <w:rsid w:val="00DC4477"/>
    <w:rsid w:val="00DC5876"/>
    <w:rsid w:val="00DC5AB5"/>
    <w:rsid w:val="00DC63F0"/>
    <w:rsid w:val="00DD0C28"/>
    <w:rsid w:val="00DD3A11"/>
    <w:rsid w:val="00DD5146"/>
    <w:rsid w:val="00DD6EE5"/>
    <w:rsid w:val="00DE386C"/>
    <w:rsid w:val="00DE3D32"/>
    <w:rsid w:val="00DE3F08"/>
    <w:rsid w:val="00DE4D35"/>
    <w:rsid w:val="00DE7391"/>
    <w:rsid w:val="00DF098B"/>
    <w:rsid w:val="00DF11C4"/>
    <w:rsid w:val="00DF210C"/>
    <w:rsid w:val="00DF2BDC"/>
    <w:rsid w:val="00DF3762"/>
    <w:rsid w:val="00DF3EE1"/>
    <w:rsid w:val="00DF3F03"/>
    <w:rsid w:val="00DF4B6A"/>
    <w:rsid w:val="00DF609B"/>
    <w:rsid w:val="00DF7488"/>
    <w:rsid w:val="00E01E65"/>
    <w:rsid w:val="00E02C09"/>
    <w:rsid w:val="00E04D59"/>
    <w:rsid w:val="00E05EAB"/>
    <w:rsid w:val="00E07DA1"/>
    <w:rsid w:val="00E1057F"/>
    <w:rsid w:val="00E123CB"/>
    <w:rsid w:val="00E14094"/>
    <w:rsid w:val="00E14A0F"/>
    <w:rsid w:val="00E1663D"/>
    <w:rsid w:val="00E17684"/>
    <w:rsid w:val="00E20E13"/>
    <w:rsid w:val="00E21DBC"/>
    <w:rsid w:val="00E236C1"/>
    <w:rsid w:val="00E275D7"/>
    <w:rsid w:val="00E27DBE"/>
    <w:rsid w:val="00E304C7"/>
    <w:rsid w:val="00E32AB1"/>
    <w:rsid w:val="00E36C71"/>
    <w:rsid w:val="00E40404"/>
    <w:rsid w:val="00E40986"/>
    <w:rsid w:val="00E4114C"/>
    <w:rsid w:val="00E44320"/>
    <w:rsid w:val="00E44434"/>
    <w:rsid w:val="00E4529A"/>
    <w:rsid w:val="00E459C6"/>
    <w:rsid w:val="00E46269"/>
    <w:rsid w:val="00E4705D"/>
    <w:rsid w:val="00E47589"/>
    <w:rsid w:val="00E552F4"/>
    <w:rsid w:val="00E56E0D"/>
    <w:rsid w:val="00E627FD"/>
    <w:rsid w:val="00E64915"/>
    <w:rsid w:val="00E661D4"/>
    <w:rsid w:val="00E671C4"/>
    <w:rsid w:val="00E70091"/>
    <w:rsid w:val="00E71606"/>
    <w:rsid w:val="00E720F5"/>
    <w:rsid w:val="00E731DB"/>
    <w:rsid w:val="00E7536E"/>
    <w:rsid w:val="00E76D47"/>
    <w:rsid w:val="00E77CB3"/>
    <w:rsid w:val="00E81A1B"/>
    <w:rsid w:val="00E849F7"/>
    <w:rsid w:val="00E90302"/>
    <w:rsid w:val="00E95213"/>
    <w:rsid w:val="00E97396"/>
    <w:rsid w:val="00EA185E"/>
    <w:rsid w:val="00EA24DF"/>
    <w:rsid w:val="00EA28D9"/>
    <w:rsid w:val="00EA358E"/>
    <w:rsid w:val="00EA3F40"/>
    <w:rsid w:val="00EA592A"/>
    <w:rsid w:val="00EB14E4"/>
    <w:rsid w:val="00EB2AC3"/>
    <w:rsid w:val="00EB3239"/>
    <w:rsid w:val="00EB32A5"/>
    <w:rsid w:val="00EB34ED"/>
    <w:rsid w:val="00EB7BE0"/>
    <w:rsid w:val="00EB7E63"/>
    <w:rsid w:val="00EC1A54"/>
    <w:rsid w:val="00EC315E"/>
    <w:rsid w:val="00EC58BC"/>
    <w:rsid w:val="00ED077C"/>
    <w:rsid w:val="00ED1190"/>
    <w:rsid w:val="00ED3015"/>
    <w:rsid w:val="00ED326B"/>
    <w:rsid w:val="00ED4F78"/>
    <w:rsid w:val="00ED6544"/>
    <w:rsid w:val="00ED7B49"/>
    <w:rsid w:val="00EE0277"/>
    <w:rsid w:val="00EE0A47"/>
    <w:rsid w:val="00EE3E00"/>
    <w:rsid w:val="00EE3FDF"/>
    <w:rsid w:val="00EE5DD2"/>
    <w:rsid w:val="00EF5410"/>
    <w:rsid w:val="00EF68FD"/>
    <w:rsid w:val="00EF7A68"/>
    <w:rsid w:val="00F00A79"/>
    <w:rsid w:val="00F00E86"/>
    <w:rsid w:val="00F01AF0"/>
    <w:rsid w:val="00F0373C"/>
    <w:rsid w:val="00F0568C"/>
    <w:rsid w:val="00F06171"/>
    <w:rsid w:val="00F06898"/>
    <w:rsid w:val="00F07C1E"/>
    <w:rsid w:val="00F105DB"/>
    <w:rsid w:val="00F132BC"/>
    <w:rsid w:val="00F13D80"/>
    <w:rsid w:val="00F14B81"/>
    <w:rsid w:val="00F16AAA"/>
    <w:rsid w:val="00F20792"/>
    <w:rsid w:val="00F21161"/>
    <w:rsid w:val="00F218EF"/>
    <w:rsid w:val="00F21BC7"/>
    <w:rsid w:val="00F220E8"/>
    <w:rsid w:val="00F22975"/>
    <w:rsid w:val="00F266A2"/>
    <w:rsid w:val="00F26BEB"/>
    <w:rsid w:val="00F32269"/>
    <w:rsid w:val="00F33F18"/>
    <w:rsid w:val="00F40FD8"/>
    <w:rsid w:val="00F474EF"/>
    <w:rsid w:val="00F516CB"/>
    <w:rsid w:val="00F53D1C"/>
    <w:rsid w:val="00F56A6F"/>
    <w:rsid w:val="00F5709C"/>
    <w:rsid w:val="00F6213E"/>
    <w:rsid w:val="00F64EF1"/>
    <w:rsid w:val="00F65143"/>
    <w:rsid w:val="00F65252"/>
    <w:rsid w:val="00F66253"/>
    <w:rsid w:val="00F754D7"/>
    <w:rsid w:val="00F768D6"/>
    <w:rsid w:val="00F8765F"/>
    <w:rsid w:val="00F879F5"/>
    <w:rsid w:val="00F90767"/>
    <w:rsid w:val="00F97DBA"/>
    <w:rsid w:val="00FA185C"/>
    <w:rsid w:val="00FA685B"/>
    <w:rsid w:val="00FA6909"/>
    <w:rsid w:val="00FB0C01"/>
    <w:rsid w:val="00FB14A2"/>
    <w:rsid w:val="00FB2517"/>
    <w:rsid w:val="00FC18F2"/>
    <w:rsid w:val="00FC39E5"/>
    <w:rsid w:val="00FC3A78"/>
    <w:rsid w:val="00FC516A"/>
    <w:rsid w:val="00FC57F2"/>
    <w:rsid w:val="00FC7509"/>
    <w:rsid w:val="00FC7618"/>
    <w:rsid w:val="00FD1005"/>
    <w:rsid w:val="00FD6C75"/>
    <w:rsid w:val="00FD742E"/>
    <w:rsid w:val="00FE0CD0"/>
    <w:rsid w:val="00FE1E0F"/>
    <w:rsid w:val="00FE2E35"/>
    <w:rsid w:val="00FE376B"/>
    <w:rsid w:val="00FE51E7"/>
    <w:rsid w:val="00FE71B3"/>
    <w:rsid w:val="00FF00D3"/>
    <w:rsid w:val="00FF091D"/>
    <w:rsid w:val="00FF1441"/>
    <w:rsid w:val="00FF191B"/>
    <w:rsid w:val="00FF2BD7"/>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DC5AB5"/>
    <w:pPr>
      <w:jc w:val="both"/>
    </w:pPr>
    <w:rPr>
      <w:rFonts w:eastAsiaTheme="minorEastAsia"/>
      <w:sz w:val="24"/>
    </w:rPr>
  </w:style>
  <w:style w:type="paragraph" w:styleId="Nagwek1">
    <w:name w:val="heading 1"/>
    <w:basedOn w:val="Normalny"/>
    <w:next w:val="Normalny"/>
    <w:link w:val="Nagwek1Znak"/>
    <w:uiPriority w:val="99"/>
    <w:semiHidden/>
    <w:rsid w:val="00DC5A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C5A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C5A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C5A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C5AB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C5A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C5AB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C5AB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C5AB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C5AB5"/>
    <w:rPr>
      <w:rFonts w:ascii="Tahoma" w:hAnsi="Tahoma" w:cs="Tahoma"/>
      <w:sz w:val="16"/>
      <w:szCs w:val="16"/>
    </w:rPr>
  </w:style>
  <w:style w:type="character" w:customStyle="1" w:styleId="TekstdymkaZnak">
    <w:name w:val="Tekst dymka Znak"/>
    <w:basedOn w:val="Domylnaczcionkaakapitu"/>
    <w:link w:val="Tekstdymka"/>
    <w:uiPriority w:val="99"/>
    <w:semiHidden/>
    <w:rsid w:val="00DC5AB5"/>
    <w:rPr>
      <w:rFonts w:ascii="Tahoma" w:eastAsiaTheme="minorEastAsia" w:hAnsi="Tahoma" w:cs="Tahoma"/>
      <w:sz w:val="16"/>
      <w:szCs w:val="16"/>
    </w:rPr>
  </w:style>
  <w:style w:type="character" w:styleId="Tytuksiki">
    <w:name w:val="Book Title"/>
    <w:uiPriority w:val="99"/>
    <w:semiHidden/>
    <w:qFormat/>
    <w:rsid w:val="00DC5AB5"/>
    <w:rPr>
      <w:i/>
      <w:iCs/>
      <w:smallCaps/>
      <w:spacing w:val="5"/>
    </w:rPr>
  </w:style>
  <w:style w:type="paragraph" w:customStyle="1" w:styleId="ECHRHeader">
    <w:name w:val="ECHR_Header"/>
    <w:aliases w:val="Ju_Header"/>
    <w:basedOn w:val="Nagwek"/>
    <w:uiPriority w:val="4"/>
    <w:qFormat/>
    <w:rsid w:val="00DC5AB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C5AB5"/>
    <w:pPr>
      <w:jc w:val="left"/>
    </w:pPr>
    <w:rPr>
      <w:sz w:val="8"/>
    </w:rPr>
  </w:style>
  <w:style w:type="character" w:styleId="Pogrubienie">
    <w:name w:val="Strong"/>
    <w:uiPriority w:val="99"/>
    <w:semiHidden/>
    <w:qFormat/>
    <w:rsid w:val="00DC5AB5"/>
    <w:rPr>
      <w:b/>
      <w:bCs/>
    </w:rPr>
  </w:style>
  <w:style w:type="paragraph" w:styleId="Bezodstpw">
    <w:name w:val="No Spacing"/>
    <w:basedOn w:val="Normalny"/>
    <w:link w:val="BezodstpwZnak"/>
    <w:semiHidden/>
    <w:qFormat/>
    <w:rsid w:val="00DC5AB5"/>
    <w:rPr>
      <w:sz w:val="22"/>
    </w:rPr>
  </w:style>
  <w:style w:type="character" w:customStyle="1" w:styleId="BezodstpwZnak">
    <w:name w:val="Bez odstępów Znak"/>
    <w:basedOn w:val="Domylnaczcionkaakapitu"/>
    <w:link w:val="Bezodstpw"/>
    <w:semiHidden/>
    <w:rsid w:val="00DC5AB5"/>
    <w:rPr>
      <w:rFonts w:eastAsiaTheme="minorEastAsia"/>
    </w:rPr>
  </w:style>
  <w:style w:type="paragraph" w:customStyle="1" w:styleId="ECHRFooterLine">
    <w:name w:val="ECHR_Footer_Line"/>
    <w:aliases w:val="Footer_Line"/>
    <w:basedOn w:val="Normalny"/>
    <w:next w:val="ECHRFooter"/>
    <w:uiPriority w:val="57"/>
    <w:semiHidden/>
    <w:rsid w:val="00DC5AB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C5AB5"/>
    <w:pPr>
      <w:numPr>
        <w:numId w:val="15"/>
      </w:numPr>
      <w:jc w:val="left"/>
    </w:pPr>
    <w:rPr>
      <w:b/>
    </w:rPr>
  </w:style>
  <w:style w:type="paragraph" w:customStyle="1" w:styleId="OpiPara">
    <w:name w:val="Opi_Para"/>
    <w:basedOn w:val="ECHRPara"/>
    <w:uiPriority w:val="46"/>
    <w:qFormat/>
    <w:rsid w:val="00DC5AB5"/>
  </w:style>
  <w:style w:type="paragraph" w:customStyle="1" w:styleId="JuParaSub">
    <w:name w:val="Ju_Para_Sub"/>
    <w:basedOn w:val="ECHRPara"/>
    <w:uiPriority w:val="13"/>
    <w:qFormat/>
    <w:rsid w:val="00DC5AB5"/>
    <w:pPr>
      <w:ind w:left="284"/>
    </w:pPr>
  </w:style>
  <w:style w:type="paragraph" w:customStyle="1" w:styleId="ECHRTitleCentre3">
    <w:name w:val="ECHR_Title_Centre_3"/>
    <w:aliases w:val="Ju_H_Article"/>
    <w:basedOn w:val="Normalny"/>
    <w:next w:val="ECHRParaQuote"/>
    <w:uiPriority w:val="27"/>
    <w:qFormat/>
    <w:rsid w:val="00DC5AB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C5AB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C5AB5"/>
    <w:pPr>
      <w:ind w:left="567"/>
    </w:pPr>
  </w:style>
  <w:style w:type="paragraph" w:customStyle="1" w:styleId="OpiParaSub">
    <w:name w:val="Opi_Para_Sub"/>
    <w:basedOn w:val="JuParaSub"/>
    <w:uiPriority w:val="47"/>
    <w:qFormat/>
    <w:rsid w:val="00DC5AB5"/>
  </w:style>
  <w:style w:type="paragraph" w:customStyle="1" w:styleId="OpiQuot">
    <w:name w:val="Opi_Quot"/>
    <w:basedOn w:val="ECHRParaQuote"/>
    <w:uiPriority w:val="48"/>
    <w:qFormat/>
    <w:rsid w:val="00DC5AB5"/>
  </w:style>
  <w:style w:type="paragraph" w:customStyle="1" w:styleId="OpiQuotSub">
    <w:name w:val="Opi_Quot_Sub"/>
    <w:basedOn w:val="JuQuotSub"/>
    <w:uiPriority w:val="49"/>
    <w:qFormat/>
    <w:rsid w:val="00DC5AB5"/>
  </w:style>
  <w:style w:type="paragraph" w:customStyle="1" w:styleId="ECHRTitleCentre2">
    <w:name w:val="ECHR_Title_Centre_2"/>
    <w:aliases w:val="Dec_H_Case"/>
    <w:basedOn w:val="Normalny"/>
    <w:next w:val="ECHRPara"/>
    <w:uiPriority w:val="8"/>
    <w:rsid w:val="00DC5AB5"/>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DC5AB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C5AB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DC5AB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DC5AB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link w:val="JuHiChar"/>
    <w:uiPriority w:val="23"/>
    <w:qFormat/>
    <w:rsid w:val="00DC5A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C5AB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C5AB5"/>
    <w:pPr>
      <w:keepNext/>
      <w:keepLines/>
      <w:spacing w:before="240" w:after="120"/>
      <w:ind w:left="1236"/>
    </w:pPr>
    <w:rPr>
      <w:sz w:val="20"/>
    </w:rPr>
  </w:style>
  <w:style w:type="paragraph" w:customStyle="1" w:styleId="JuTitle">
    <w:name w:val="Ju_Title"/>
    <w:basedOn w:val="Normalny"/>
    <w:next w:val="ECHRPara"/>
    <w:uiPriority w:val="3"/>
    <w:rsid w:val="00DC5AB5"/>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DC5AB5"/>
    <w:pPr>
      <w:tabs>
        <w:tab w:val="center" w:pos="6407"/>
      </w:tabs>
      <w:spacing w:before="720"/>
      <w:jc w:val="right"/>
    </w:pPr>
  </w:style>
  <w:style w:type="paragraph" w:customStyle="1" w:styleId="OpiHA">
    <w:name w:val="Opi_H_A"/>
    <w:basedOn w:val="ECHRHeading1"/>
    <w:next w:val="OpiPara"/>
    <w:uiPriority w:val="41"/>
    <w:qFormat/>
    <w:rsid w:val="00DC5AB5"/>
    <w:pPr>
      <w:tabs>
        <w:tab w:val="clear" w:pos="357"/>
      </w:tabs>
      <w:outlineLvl w:val="1"/>
    </w:pPr>
    <w:rPr>
      <w:b/>
    </w:rPr>
  </w:style>
  <w:style w:type="paragraph" w:styleId="Nagwek">
    <w:name w:val="header"/>
    <w:basedOn w:val="Normalny"/>
    <w:link w:val="NagwekZnak"/>
    <w:uiPriority w:val="57"/>
    <w:rsid w:val="00DC5AB5"/>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DC5AB5"/>
    <w:rPr>
      <w:sz w:val="24"/>
    </w:rPr>
  </w:style>
  <w:style w:type="character" w:customStyle="1" w:styleId="Nagwek1Znak">
    <w:name w:val="Nagłówek 1 Znak"/>
    <w:basedOn w:val="Domylnaczcionkaakapitu"/>
    <w:link w:val="Nagwek1"/>
    <w:uiPriority w:val="99"/>
    <w:rsid w:val="00DC5AB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DC5AB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DC5AB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C5AB5"/>
    <w:rPr>
      <w:rFonts w:asciiTheme="majorHAnsi" w:eastAsiaTheme="majorEastAsia" w:hAnsiTheme="majorHAnsi" w:cstheme="majorBidi"/>
      <w:b/>
      <w:bCs/>
      <w:color w:val="4D4D4D"/>
      <w:sz w:val="26"/>
      <w:szCs w:val="26"/>
    </w:rPr>
  </w:style>
  <w:style w:type="character" w:customStyle="1" w:styleId="JUNAMES">
    <w:name w:val="JU_NAMES"/>
    <w:uiPriority w:val="17"/>
    <w:qFormat/>
    <w:rsid w:val="00DC5AB5"/>
    <w:rPr>
      <w:caps w:val="0"/>
      <w:smallCaps/>
    </w:rPr>
  </w:style>
  <w:style w:type="paragraph" w:customStyle="1" w:styleId="ECHRDecisionBody">
    <w:name w:val="ECHR_Decision_Body"/>
    <w:aliases w:val="Ju_Judges"/>
    <w:basedOn w:val="Normalny"/>
    <w:uiPriority w:val="11"/>
    <w:qFormat/>
    <w:rsid w:val="00DC5AB5"/>
    <w:pPr>
      <w:tabs>
        <w:tab w:val="left" w:pos="567"/>
        <w:tab w:val="left" w:pos="1134"/>
      </w:tabs>
      <w:jc w:val="left"/>
    </w:pPr>
  </w:style>
  <w:style w:type="character" w:customStyle="1" w:styleId="Nagwek3Znak">
    <w:name w:val="Nagłówek 3 Znak"/>
    <w:basedOn w:val="Domylnaczcionkaakapitu"/>
    <w:link w:val="Nagwek3"/>
    <w:uiPriority w:val="99"/>
    <w:semiHidden/>
    <w:rsid w:val="00DC5AB5"/>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DC5AB5"/>
    <w:pPr>
      <w:ind w:firstLine="284"/>
    </w:pPr>
  </w:style>
  <w:style w:type="character" w:customStyle="1" w:styleId="Nagwek4Znak">
    <w:name w:val="Nagłówek 4 Znak"/>
    <w:basedOn w:val="Domylnaczcionkaakapitu"/>
    <w:link w:val="Nagwek4"/>
    <w:uiPriority w:val="99"/>
    <w:semiHidden/>
    <w:rsid w:val="00DC5AB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C5AB5"/>
    <w:rPr>
      <w:rFonts w:asciiTheme="majorHAnsi" w:eastAsiaTheme="majorEastAsia" w:hAnsiTheme="majorHAnsi" w:cstheme="majorBidi"/>
      <w:b/>
      <w:bCs/>
      <w:color w:val="808080"/>
    </w:rPr>
  </w:style>
  <w:style w:type="character" w:styleId="Wyrnieniedelikatne">
    <w:name w:val="Subtle Emphasis"/>
    <w:uiPriority w:val="99"/>
    <w:semiHidden/>
    <w:qFormat/>
    <w:rsid w:val="00DC5AB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DC5AB5"/>
    <w:pPr>
      <w:keepNext/>
      <w:keepLines/>
      <w:spacing w:before="720" w:after="240"/>
      <w:outlineLvl w:val="0"/>
    </w:pPr>
    <w:rPr>
      <w:rFonts w:asciiTheme="majorHAnsi" w:hAnsiTheme="majorHAnsi"/>
      <w:sz w:val="28"/>
    </w:rPr>
  </w:style>
  <w:style w:type="character" w:styleId="Uwydatnienie">
    <w:name w:val="Emphasis"/>
    <w:uiPriority w:val="99"/>
    <w:semiHidden/>
    <w:qFormat/>
    <w:rsid w:val="00DC5AB5"/>
    <w:rPr>
      <w:b/>
      <w:bCs/>
      <w:i/>
      <w:iCs/>
      <w:spacing w:val="10"/>
      <w:bdr w:val="none" w:sz="0" w:space="0" w:color="auto"/>
      <w:shd w:val="clear" w:color="auto" w:fill="auto"/>
    </w:rPr>
  </w:style>
  <w:style w:type="paragraph" w:styleId="Stopka">
    <w:name w:val="footer"/>
    <w:basedOn w:val="Normalny"/>
    <w:link w:val="StopkaZnak"/>
    <w:uiPriority w:val="57"/>
    <w:semiHidden/>
    <w:rsid w:val="00DC5AB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C5AB5"/>
    <w:rPr>
      <w:sz w:val="24"/>
    </w:rPr>
  </w:style>
  <w:style w:type="character" w:styleId="Odwoanieprzypisudolnego">
    <w:name w:val="footnote reference"/>
    <w:basedOn w:val="Domylnaczcionkaakapitu"/>
    <w:uiPriority w:val="99"/>
    <w:semiHidden/>
    <w:rsid w:val="00DC5AB5"/>
    <w:rPr>
      <w:vertAlign w:val="superscript"/>
    </w:rPr>
  </w:style>
  <w:style w:type="paragraph" w:styleId="Tekstprzypisudolnego">
    <w:name w:val="footnote text"/>
    <w:basedOn w:val="Normalny"/>
    <w:link w:val="TekstprzypisudolnegoZnak"/>
    <w:uiPriority w:val="99"/>
    <w:semiHidden/>
    <w:rsid w:val="00DC5AB5"/>
    <w:rPr>
      <w:sz w:val="20"/>
      <w:szCs w:val="20"/>
    </w:rPr>
  </w:style>
  <w:style w:type="character" w:customStyle="1" w:styleId="TekstprzypisudolnegoZnak">
    <w:name w:val="Tekst przypisu dolnego Znak"/>
    <w:basedOn w:val="Domylnaczcionkaakapitu"/>
    <w:link w:val="Tekstprzypisudolnego"/>
    <w:uiPriority w:val="99"/>
    <w:semiHidden/>
    <w:rsid w:val="00DC5AB5"/>
    <w:rPr>
      <w:rFonts w:eastAsiaTheme="minorEastAsia"/>
      <w:sz w:val="20"/>
      <w:szCs w:val="20"/>
    </w:rPr>
  </w:style>
  <w:style w:type="character" w:customStyle="1" w:styleId="Nagwek6Znak">
    <w:name w:val="Nagłówek 6 Znak"/>
    <w:basedOn w:val="Domylnaczcionkaakapitu"/>
    <w:link w:val="Nagwek6"/>
    <w:uiPriority w:val="99"/>
    <w:semiHidden/>
    <w:rsid w:val="00DC5AB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C5AB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C5AB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C5AB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C5AB5"/>
    <w:rPr>
      <w:color w:val="0072BC" w:themeColor="hyperlink"/>
      <w:u w:val="single"/>
    </w:rPr>
  </w:style>
  <w:style w:type="character" w:styleId="Wyrnienieintensywne">
    <w:name w:val="Intense Emphasis"/>
    <w:uiPriority w:val="99"/>
    <w:semiHidden/>
    <w:qFormat/>
    <w:rsid w:val="00DC5AB5"/>
    <w:rPr>
      <w:b/>
      <w:bCs/>
    </w:rPr>
  </w:style>
  <w:style w:type="paragraph" w:styleId="Cytatintensywny">
    <w:name w:val="Intense Quote"/>
    <w:basedOn w:val="Normalny"/>
    <w:next w:val="Normalny"/>
    <w:link w:val="CytatintensywnyZnak"/>
    <w:uiPriority w:val="99"/>
    <w:semiHidden/>
    <w:qFormat/>
    <w:rsid w:val="00DC5AB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C5AB5"/>
    <w:rPr>
      <w:rFonts w:eastAsiaTheme="minorEastAsia"/>
      <w:b/>
      <w:bCs/>
      <w:i/>
      <w:iCs/>
      <w:lang w:bidi="en-US"/>
    </w:rPr>
  </w:style>
  <w:style w:type="character" w:styleId="Odwoanieintensywne">
    <w:name w:val="Intense Reference"/>
    <w:uiPriority w:val="99"/>
    <w:semiHidden/>
    <w:qFormat/>
    <w:rsid w:val="00DC5AB5"/>
    <w:rPr>
      <w:smallCaps/>
      <w:spacing w:val="5"/>
      <w:u w:val="single"/>
    </w:rPr>
  </w:style>
  <w:style w:type="paragraph" w:styleId="Akapitzlist">
    <w:name w:val="List Paragraph"/>
    <w:basedOn w:val="Normalny"/>
    <w:uiPriority w:val="99"/>
    <w:semiHidden/>
    <w:qFormat/>
    <w:rsid w:val="00DC5AB5"/>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C5AB5"/>
    <w:pPr>
      <w:spacing w:before="200"/>
      <w:ind w:left="360" w:right="360"/>
    </w:pPr>
    <w:rPr>
      <w:i/>
      <w:iCs/>
      <w:sz w:val="22"/>
      <w:lang w:bidi="en-US"/>
    </w:rPr>
  </w:style>
  <w:style w:type="character" w:customStyle="1" w:styleId="CytatZnak">
    <w:name w:val="Cytat Znak"/>
    <w:basedOn w:val="Domylnaczcionkaakapitu"/>
    <w:link w:val="Cytat"/>
    <w:uiPriority w:val="99"/>
    <w:semiHidden/>
    <w:rsid w:val="00DC5AB5"/>
    <w:rPr>
      <w:rFonts w:eastAsiaTheme="minorEastAsia"/>
      <w:i/>
      <w:iCs/>
      <w:lang w:bidi="en-US"/>
    </w:rPr>
  </w:style>
  <w:style w:type="character" w:styleId="Odwoaniedelikatne">
    <w:name w:val="Subtle Reference"/>
    <w:uiPriority w:val="99"/>
    <w:semiHidden/>
    <w:qFormat/>
    <w:rsid w:val="00DC5AB5"/>
    <w:rPr>
      <w:smallCaps/>
    </w:rPr>
  </w:style>
  <w:style w:type="table" w:styleId="Tabela-Siatka">
    <w:name w:val="Table Grid"/>
    <w:basedOn w:val="Standardowy"/>
    <w:uiPriority w:val="59"/>
    <w:semiHidden/>
    <w:rsid w:val="00DC5AB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C5A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C5AB5"/>
    <w:pPr>
      <w:spacing w:after="60"/>
      <w:ind w:left="680" w:right="340" w:hanging="340"/>
    </w:pPr>
  </w:style>
  <w:style w:type="paragraph" w:styleId="Spistreci3">
    <w:name w:val="toc 3"/>
    <w:basedOn w:val="Normalny"/>
    <w:next w:val="Normalny"/>
    <w:autoRedefine/>
    <w:uiPriority w:val="99"/>
    <w:semiHidden/>
    <w:rsid w:val="00DC5AB5"/>
    <w:pPr>
      <w:spacing w:after="60"/>
      <w:ind w:left="1020" w:right="340" w:hanging="340"/>
    </w:pPr>
  </w:style>
  <w:style w:type="paragraph" w:styleId="Spistreci4">
    <w:name w:val="toc 4"/>
    <w:basedOn w:val="Normalny"/>
    <w:next w:val="Normalny"/>
    <w:autoRedefine/>
    <w:uiPriority w:val="99"/>
    <w:semiHidden/>
    <w:rsid w:val="00DC5AB5"/>
    <w:pPr>
      <w:tabs>
        <w:tab w:val="right" w:leader="dot" w:pos="9017"/>
      </w:tabs>
      <w:spacing w:after="60"/>
      <w:ind w:left="1361" w:right="340" w:hanging="340"/>
    </w:pPr>
  </w:style>
  <w:style w:type="paragraph" w:styleId="Spistreci5">
    <w:name w:val="toc 5"/>
    <w:basedOn w:val="Normalny"/>
    <w:next w:val="Normalny"/>
    <w:autoRedefine/>
    <w:uiPriority w:val="99"/>
    <w:semiHidden/>
    <w:rsid w:val="00DC5AB5"/>
    <w:pPr>
      <w:spacing w:after="60"/>
      <w:ind w:left="1701" w:right="340" w:hanging="340"/>
    </w:pPr>
  </w:style>
  <w:style w:type="paragraph" w:styleId="Nagwekspisutreci">
    <w:name w:val="TOC Heading"/>
    <w:basedOn w:val="Nagwek1"/>
    <w:next w:val="Normalny"/>
    <w:uiPriority w:val="99"/>
    <w:semiHidden/>
    <w:qFormat/>
    <w:rsid w:val="00DC5AB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C5AB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uiPriority w:val="14"/>
    <w:qFormat/>
    <w:rsid w:val="00DC5AB5"/>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C5AB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DC5AB5"/>
    <w:pPr>
      <w:tabs>
        <w:tab w:val="center" w:pos="851"/>
        <w:tab w:val="center" w:pos="6407"/>
      </w:tabs>
      <w:spacing w:before="720"/>
      <w:jc w:val="left"/>
    </w:pPr>
  </w:style>
  <w:style w:type="paragraph" w:customStyle="1" w:styleId="JuParaLast">
    <w:name w:val="Ju_Para_Last"/>
    <w:basedOn w:val="Normalny"/>
    <w:next w:val="ECHRPara"/>
    <w:uiPriority w:val="30"/>
    <w:qFormat/>
    <w:rsid w:val="00DC5AB5"/>
    <w:pPr>
      <w:keepNext/>
      <w:keepLines/>
      <w:spacing w:before="240"/>
      <w:ind w:firstLine="284"/>
    </w:pPr>
  </w:style>
  <w:style w:type="paragraph" w:customStyle="1" w:styleId="JuCase">
    <w:name w:val="Ju_Case"/>
    <w:basedOn w:val="Normalny"/>
    <w:next w:val="ECHRPara"/>
    <w:uiPriority w:val="10"/>
    <w:rsid w:val="00DC5AB5"/>
    <w:pPr>
      <w:ind w:firstLine="284"/>
    </w:pPr>
    <w:rPr>
      <w:b/>
    </w:rPr>
  </w:style>
  <w:style w:type="paragraph" w:customStyle="1" w:styleId="JuList">
    <w:name w:val="Ju_List"/>
    <w:basedOn w:val="Normalny"/>
    <w:uiPriority w:val="28"/>
    <w:qFormat/>
    <w:rsid w:val="00DC5AB5"/>
    <w:pPr>
      <w:ind w:left="340" w:hanging="340"/>
    </w:pPr>
  </w:style>
  <w:style w:type="character" w:customStyle="1" w:styleId="JuITMark">
    <w:name w:val="Ju_ITMark"/>
    <w:basedOn w:val="Domylnaczcionkaakapitu"/>
    <w:uiPriority w:val="38"/>
    <w:qFormat/>
    <w:rsid w:val="00DC5AB5"/>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DC5AB5"/>
    <w:pPr>
      <w:ind w:left="346" w:firstLine="0"/>
    </w:pPr>
  </w:style>
  <w:style w:type="paragraph" w:customStyle="1" w:styleId="JuListi">
    <w:name w:val="Ju_List_i"/>
    <w:basedOn w:val="Normalny"/>
    <w:next w:val="JuLista"/>
    <w:uiPriority w:val="28"/>
    <w:qFormat/>
    <w:rsid w:val="00DC5AB5"/>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Translation">
    <w:name w:val="Opi_Translation"/>
    <w:basedOn w:val="Normalny"/>
    <w:next w:val="OpiPara"/>
    <w:uiPriority w:val="40"/>
    <w:qFormat/>
    <w:rsid w:val="00DC5AB5"/>
    <w:pPr>
      <w:jc w:val="center"/>
      <w:outlineLvl w:val="0"/>
    </w:pPr>
    <w:rPr>
      <w:i/>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rsid w:val="00DC5AB5"/>
  </w:style>
  <w:style w:type="paragraph" w:styleId="Podtytu">
    <w:name w:val="Subtitle"/>
    <w:basedOn w:val="Normalny"/>
    <w:next w:val="Normalny"/>
    <w:link w:val="PodtytuZnak"/>
    <w:uiPriority w:val="99"/>
    <w:semiHidden/>
    <w:qFormat/>
    <w:rsid w:val="00DC5AB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C5AB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Ju_Para Char"/>
    <w:link w:val="ECHRPara"/>
    <w:uiPriority w:val="12"/>
    <w:rsid w:val="00E4114C"/>
    <w:rPr>
      <w:rFonts w:eastAsiaTheme="minorEastAsia"/>
      <w:sz w:val="24"/>
    </w:rPr>
  </w:style>
  <w:style w:type="character" w:customStyle="1" w:styleId="JuH1Char">
    <w:name w:val="Ju_H_1. Char"/>
    <w:link w:val="ECHRHeading3"/>
    <w:uiPriority w:val="21"/>
    <w:rsid w:val="00E4114C"/>
    <w:rPr>
      <w:rFonts w:asciiTheme="majorHAnsi" w:eastAsiaTheme="majorEastAsia" w:hAnsiTheme="majorHAnsi" w:cstheme="majorBidi"/>
      <w:bCs/>
      <w:i/>
      <w:sz w:val="24"/>
    </w:rPr>
  </w:style>
  <w:style w:type="character" w:customStyle="1" w:styleId="JuHaChar">
    <w:name w:val="Ju_H_a Char"/>
    <w:link w:val="ECHRHeading4"/>
    <w:uiPriority w:val="22"/>
    <w:rsid w:val="00E4114C"/>
    <w:rPr>
      <w:rFonts w:asciiTheme="majorHAnsi" w:eastAsiaTheme="majorEastAsia" w:hAnsiTheme="majorHAnsi" w:cstheme="majorBidi"/>
      <w:b/>
      <w:bCs/>
      <w:iCs/>
      <w:sz w:val="20"/>
    </w:rPr>
  </w:style>
  <w:style w:type="paragraph" w:customStyle="1" w:styleId="JuCourt">
    <w:name w:val="Ju_Court"/>
    <w:basedOn w:val="Normalny"/>
    <w:next w:val="Normalny"/>
    <w:uiPriority w:val="16"/>
    <w:qFormat/>
    <w:rsid w:val="00DC5AB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C5AB5"/>
    <w:pPr>
      <w:spacing w:before="240"/>
      <w:ind w:left="284"/>
    </w:pPr>
  </w:style>
  <w:style w:type="paragraph" w:customStyle="1" w:styleId="OpiH1">
    <w:name w:val="Opi_H_1"/>
    <w:basedOn w:val="ECHRHeading2"/>
    <w:uiPriority w:val="42"/>
    <w:qFormat/>
    <w:rsid w:val="00DC5AB5"/>
    <w:pPr>
      <w:ind w:left="635" w:hanging="357"/>
      <w:outlineLvl w:val="2"/>
    </w:pPr>
  </w:style>
  <w:style w:type="paragraph" w:customStyle="1" w:styleId="OpiHa0">
    <w:name w:val="Opi_H_a"/>
    <w:basedOn w:val="ECHRHeading3"/>
    <w:uiPriority w:val="43"/>
    <w:qFormat/>
    <w:rsid w:val="00DC5AB5"/>
    <w:pPr>
      <w:ind w:left="833" w:hanging="357"/>
      <w:outlineLvl w:val="3"/>
    </w:pPr>
    <w:rPr>
      <w:b/>
      <w:i w:val="0"/>
      <w:sz w:val="20"/>
    </w:rPr>
  </w:style>
  <w:style w:type="paragraph" w:customStyle="1" w:styleId="OpiHi">
    <w:name w:val="Opi_H_i"/>
    <w:basedOn w:val="ECHRHeading4"/>
    <w:uiPriority w:val="44"/>
    <w:qFormat/>
    <w:rsid w:val="00DC5AB5"/>
    <w:pPr>
      <w:ind w:left="1037" w:hanging="357"/>
      <w:outlineLvl w:val="4"/>
    </w:pPr>
    <w:rPr>
      <w:b w:val="0"/>
      <w:i/>
    </w:rPr>
  </w:style>
  <w:style w:type="character" w:customStyle="1" w:styleId="JuHIRomanChar">
    <w:name w:val="Ju_H_I_Roman Char"/>
    <w:link w:val="ECHRHeading1"/>
    <w:uiPriority w:val="19"/>
    <w:rsid w:val="008E20C6"/>
    <w:rPr>
      <w:rFonts w:asciiTheme="majorHAnsi" w:eastAsiaTheme="majorEastAsia" w:hAnsiTheme="majorHAnsi" w:cstheme="majorBidi"/>
      <w:bCs/>
      <w:sz w:val="24"/>
      <w:szCs w:val="28"/>
    </w:rPr>
  </w:style>
  <w:style w:type="paragraph" w:customStyle="1" w:styleId="DummyStyle">
    <w:name w:val="Dummy_Style"/>
    <w:basedOn w:val="Normalny"/>
    <w:semiHidden/>
    <w:qFormat/>
    <w:rsid w:val="00DC5AB5"/>
    <w:rPr>
      <w:color w:val="00B050"/>
    </w:rPr>
  </w:style>
  <w:style w:type="paragraph" w:customStyle="1" w:styleId="Page">
    <w:name w:val="Page"/>
    <w:basedOn w:val="ECHRHeader"/>
    <w:rsid w:val="004D50F2"/>
    <w:rPr>
      <w:lang w:val="fr-FR"/>
    </w:rPr>
  </w:style>
  <w:style w:type="character" w:customStyle="1" w:styleId="JuQuotChar">
    <w:name w:val="Ju_Quot Char"/>
    <w:basedOn w:val="Domylnaczcionkaakapitu"/>
    <w:link w:val="ECHRParaQuote"/>
    <w:uiPriority w:val="14"/>
    <w:rsid w:val="00DC5AB5"/>
    <w:rPr>
      <w:rFonts w:eastAsiaTheme="minorEastAsia"/>
      <w:sz w:val="20"/>
    </w:rPr>
  </w:style>
  <w:style w:type="table" w:customStyle="1" w:styleId="TableSimple11">
    <w:name w:val="Table Simple 11"/>
    <w:basedOn w:val="Standardowy"/>
    <w:next w:val="Tabela-Prosty1"/>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unhideWhenUsed/>
    <w:rsid w:val="009120AB"/>
    <w:pPr>
      <w:jc w:val="both"/>
    </w:pPr>
    <w:rPr>
      <w:rFonts w:ascii="Times New Roman" w:eastAsia="Times New Roman" w:hAnsi="Times New Roman" w:cs="Times New Roman"/>
      <w:lang w:val="fr-FR" w:eastAsia="fr-FR"/>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Standardowy"/>
    <w:next w:val="Tabela-Klasyczny1"/>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unhideWhenUsed/>
    <w:rsid w:val="009120AB"/>
    <w:pPr>
      <w:jc w:val="both"/>
    </w:pPr>
    <w:rPr>
      <w:rFonts w:ascii="Times New Roman" w:eastAsia="Times New Roman" w:hAnsi="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unhideWhenUsed/>
    <w:rsid w:val="009120AB"/>
    <w:pPr>
      <w:jc w:val="both"/>
    </w:pPr>
    <w:rPr>
      <w:rFonts w:ascii="Times New Roman" w:eastAsia="Times New Roman" w:hAnsi="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unhideWhenUsed/>
    <w:rsid w:val="009120AB"/>
    <w:pPr>
      <w:jc w:val="both"/>
    </w:pPr>
    <w:rPr>
      <w:rFonts w:ascii="Times New Roman" w:eastAsia="Times New Roman" w:hAnsi="Times New Roman" w:cs="Times New Roman"/>
      <w:lang w:val="fr-FR" w:eastAsia="fr-FR"/>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unhideWhenUsed/>
    <w:rsid w:val="009120AB"/>
    <w:pPr>
      <w:jc w:val="both"/>
    </w:pPr>
    <w:rPr>
      <w:rFonts w:ascii="Times New Roman" w:eastAsia="Times New Roman" w:hAnsi="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unhideWhenUsed/>
    <w:rsid w:val="009120AB"/>
    <w:pPr>
      <w:jc w:val="both"/>
    </w:pPr>
    <w:rPr>
      <w:rFonts w:ascii="Times New Roman" w:eastAsia="Times New Roman" w:hAnsi="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unhideWhenUsed/>
    <w:rsid w:val="009120AB"/>
    <w:pPr>
      <w:jc w:val="both"/>
    </w:pPr>
    <w:rPr>
      <w:rFonts w:ascii="Times New Roman" w:eastAsia="Times New Roman" w:hAnsi="Times New Roman" w:cs="Times New Roman"/>
      <w:b/>
      <w:bCs/>
      <w:lang w:val="fr-FR" w:eastAsia="fr-FR"/>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unhideWhenUsed/>
    <w:rsid w:val="009120AB"/>
    <w:pPr>
      <w:jc w:val="both"/>
    </w:pPr>
    <w:rPr>
      <w:rFonts w:ascii="Times New Roman" w:eastAsia="Times New Roman" w:hAnsi="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unhideWhenUsed/>
    <w:rsid w:val="009120AB"/>
    <w:pPr>
      <w:jc w:val="both"/>
    </w:pPr>
    <w:rPr>
      <w:rFonts w:ascii="Times New Roman" w:eastAsia="Times New Roman" w:hAnsi="Times New Roman" w:cs="Times New Roman"/>
      <w:lang w:val="fr-FR" w:eastAsia="fr-FR"/>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unhideWhenUsed/>
    <w:rsid w:val="009120AB"/>
    <w:pPr>
      <w:jc w:val="both"/>
    </w:pPr>
    <w:rPr>
      <w:rFonts w:ascii="Times New Roman" w:eastAsia="Times New Roman" w:hAnsi="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Standardowy"/>
    <w:next w:val="Tabela-Siatka1"/>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unhideWhenUsed/>
    <w:rsid w:val="009120AB"/>
    <w:pPr>
      <w:jc w:val="both"/>
    </w:pPr>
    <w:rPr>
      <w:rFonts w:ascii="Times New Roman" w:eastAsia="Times New Roman" w:hAnsi="Times New Roman" w:cs="Times New Roman"/>
      <w:lang w:val="fr-FR" w:eastAsia="fr-FR"/>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unhideWhenUsed/>
    <w:rsid w:val="009120AB"/>
    <w:pPr>
      <w:jc w:val="both"/>
    </w:pPr>
    <w:rPr>
      <w:rFonts w:ascii="Times New Roman" w:eastAsia="Times New Roman" w:hAnsi="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unhideWhenUsed/>
    <w:rsid w:val="009120AB"/>
    <w:pPr>
      <w:jc w:val="both"/>
    </w:pPr>
    <w:rPr>
      <w:rFonts w:ascii="Times New Roman" w:eastAsia="Times New Roman" w:hAnsi="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unhideWhenUsed/>
    <w:rsid w:val="009120AB"/>
    <w:pPr>
      <w:jc w:val="both"/>
    </w:pPr>
    <w:rPr>
      <w:rFonts w:ascii="Times New Roman" w:eastAsia="Times New Roman" w:hAnsi="Times New Roman" w:cs="Times New Roman"/>
      <w:lang w:val="fr-FR" w:eastAsia="fr-FR"/>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
    <w:name w:val="Table 3D effects 11"/>
    <w:basedOn w:val="Standardowy"/>
    <w:next w:val="Tabela-Efekty3W1"/>
    <w:uiPriority w:val="99"/>
    <w:semiHidden/>
    <w:unhideWhenUsed/>
    <w:rsid w:val="009120AB"/>
    <w:pPr>
      <w:jc w:val="both"/>
    </w:pPr>
    <w:rPr>
      <w:rFonts w:ascii="Times New Roman" w:eastAsia="Times New Roman" w:hAnsi="Times New Roman" w:cs="Times New Roman"/>
      <w:lang w:val="fr-FR" w:eastAsia="fr-FR"/>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unhideWhenUsed/>
    <w:rsid w:val="009120AB"/>
    <w:pPr>
      <w:jc w:val="both"/>
    </w:pPr>
    <w:rPr>
      <w:rFonts w:ascii="Times New Roman" w:eastAsia="Times New Roman" w:hAnsi="Times New Roman" w:cs="Times New Roman"/>
      <w:lang w:val="fr-FR" w:eastAsia="fr-FR"/>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unhideWhenUsed/>
    <w:rsid w:val="009120AB"/>
    <w:pPr>
      <w:jc w:val="both"/>
    </w:pPr>
    <w:rPr>
      <w:rFonts w:ascii="Times New Roman" w:eastAsia="Times New Roman" w:hAnsi="Times New Roman" w:cs="Times New Roman"/>
      <w:lang w:val="fr-FR" w:eastAsia="fr-FR"/>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ntemporary1">
    <w:name w:val="Table Contemporary1"/>
    <w:basedOn w:val="Standardowy"/>
    <w:next w:val="Tabela-Wspczesny"/>
    <w:uiPriority w:val="99"/>
    <w:semiHidden/>
    <w:unhideWhenUsed/>
    <w:rsid w:val="009120AB"/>
    <w:pPr>
      <w:jc w:val="both"/>
    </w:pPr>
    <w:rPr>
      <w:rFonts w:ascii="Times New Roman" w:eastAsia="Times New Roman" w:hAnsi="Times New Roman" w:cs="Times New Roman"/>
      <w:lang w:val="fr-FR"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unhideWhenUsed/>
    <w:rsid w:val="009120AB"/>
    <w:pPr>
      <w:jc w:val="both"/>
    </w:pPr>
    <w:rPr>
      <w:rFonts w:ascii="Times New Roman" w:eastAsia="Times New Roman" w:hAnsi="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TableProfessional1">
    <w:name w:val="Table Professional1"/>
    <w:basedOn w:val="Standardowy"/>
    <w:next w:val="Tabela-Profesjonalny"/>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unhideWhenUsed/>
    <w:rsid w:val="009120AB"/>
    <w:pPr>
      <w:jc w:val="both"/>
    </w:pPr>
    <w:rPr>
      <w:rFonts w:ascii="Times New Roman" w:eastAsia="Times New Roman" w:hAnsi="Times New Roman" w:cs="Times New Roman"/>
      <w:lang w:val="fr-FR" w:eastAsia="fr-FR"/>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unhideWhenUsed/>
    <w:rsid w:val="009120AB"/>
    <w:pPr>
      <w:jc w:val="both"/>
    </w:pPr>
    <w:rPr>
      <w:rFonts w:ascii="Times New Roman" w:eastAsia="Times New Roman" w:hAnsi="Times New Roman" w:cs="Times New Roman"/>
      <w:lang w:val="fr-FR" w:eastAsia="fr-FR"/>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Web11">
    <w:name w:val="Table Web 11"/>
    <w:basedOn w:val="Standardowy"/>
    <w:next w:val="Tabela-SieWeb1"/>
    <w:uiPriority w:val="99"/>
    <w:semiHidden/>
    <w:unhideWhenUsed/>
    <w:rsid w:val="009120AB"/>
    <w:pPr>
      <w:jc w:val="both"/>
    </w:pPr>
    <w:rPr>
      <w:rFonts w:ascii="Times New Roman" w:eastAsia="Times New Roman" w:hAnsi="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unhideWhenUsed/>
    <w:rsid w:val="009120AB"/>
    <w:pPr>
      <w:jc w:val="both"/>
    </w:pPr>
    <w:rPr>
      <w:rFonts w:ascii="Times New Roman" w:eastAsia="Times New Roman" w:hAnsi="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unhideWhenUsed/>
    <w:rsid w:val="009120AB"/>
    <w:pPr>
      <w:jc w:val="both"/>
    </w:pPr>
    <w:rPr>
      <w:rFonts w:ascii="Times New Roman" w:eastAsia="Times New Roman" w:hAnsi="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Standardowy"/>
    <w:next w:val="Tabela-Siatka"/>
    <w:uiPriority w:val="99"/>
    <w:rsid w:val="009120AB"/>
    <w:rPr>
      <w:rFonts w:ascii="Times New Roman" w:eastAsia="MS Mincho" w:hAnsi="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Theme1">
    <w:name w:val="Table Theme1"/>
    <w:basedOn w:val="Standardowy"/>
    <w:next w:val="Tabela-Motyw"/>
    <w:uiPriority w:val="99"/>
    <w:semiHidden/>
    <w:unhideWhenUsed/>
    <w:rsid w:val="009120AB"/>
    <w:pPr>
      <w:jc w:val="both"/>
    </w:pPr>
    <w:rPr>
      <w:rFonts w:ascii="Times New Roman" w:eastAsia="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Standardowy"/>
    <w:next w:val="Jasnecieniowanie"/>
    <w:uiPriority w:val="99"/>
    <w:rsid w:val="009120AB"/>
    <w:rPr>
      <w:rFonts w:ascii="Times New Roman" w:eastAsia="Times New Roman" w:hAnsi="Times New Roman" w:cs="Times New Roman"/>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List1">
    <w:name w:val="Light List1"/>
    <w:basedOn w:val="Standardowy"/>
    <w:next w:val="Jasnalista"/>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Grid1">
    <w:name w:val="Light Grid1"/>
    <w:basedOn w:val="Standardowy"/>
    <w:next w:val="Jasnasiatka"/>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11">
    <w:name w:val="Medium Shading 11"/>
    <w:basedOn w:val="Standardowy"/>
    <w:next w:val="redniecieniowanie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Standardowy"/>
    <w:next w:val="redniecieniowanie2"/>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Standardowy"/>
    <w:next w:val="rednialista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21">
    <w:name w:val="Medium List 21"/>
    <w:basedOn w:val="Standardowy"/>
    <w:next w:val="rednialista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1">
    <w:name w:val="Medium Grid 11"/>
    <w:basedOn w:val="Standardowy"/>
    <w:next w:val="redniasiatka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1">
    <w:name w:val="Medium Grid 21"/>
    <w:basedOn w:val="Standardowy"/>
    <w:next w:val="redniasiatka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31">
    <w:name w:val="Medium Grid 31"/>
    <w:basedOn w:val="Standardowy"/>
    <w:next w:val="redniasiatka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DarkList1">
    <w:name w:val="Dark List1"/>
    <w:basedOn w:val="Standardowy"/>
    <w:next w:val="Ciemnalista"/>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ColorfulShading1">
    <w:name w:val="Colorful Shading1"/>
    <w:basedOn w:val="Standardowy"/>
    <w:next w:val="Kolorowecieniowanie"/>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Standardowy"/>
    <w:next w:val="Kolorowalista"/>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Grid1">
    <w:name w:val="Colorful Grid1"/>
    <w:basedOn w:val="Standardowy"/>
    <w:next w:val="Kolorowasiatka"/>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Accent11">
    <w:name w:val="Light Shading - Accent 11"/>
    <w:basedOn w:val="Standardowy"/>
    <w:next w:val="Jasnecieniowanieakcent1"/>
    <w:uiPriority w:val="99"/>
    <w:rsid w:val="009120AB"/>
    <w:rPr>
      <w:rFonts w:ascii="Times New Roman" w:eastAsia="Times New Roman" w:hAnsi="Times New Roman" w:cs="Times New Roman"/>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LightList-Accent11">
    <w:name w:val="Light List - Accent 11"/>
    <w:basedOn w:val="Standardowy"/>
    <w:next w:val="Jasnalista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0072BC" w:themeFill="accent1"/>
      </w:tcPr>
    </w:tblStylePr>
    <w:tblStylePr w:type="lastRow">
      <w:pPr>
        <w:spacing w:beforeLines="0" w:before="0" w:beforeAutospacing="0" w:afterLines="0" w:after="0" w:afterAutospacing="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Grid-Accent11">
    <w:name w:val="Light Grid - Accent 11"/>
    <w:basedOn w:val="Standardowy"/>
    <w:next w:val="Jasnasiatka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MediumShading1-Accent11">
    <w:name w:val="Medium Shading 1 - Accent 11"/>
    <w:basedOn w:val="Standardowy"/>
    <w:next w:val="redniecieniowanie1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Lines="0" w:before="0" w:beforeAutospacing="0" w:afterLines="0" w:after="0" w:afterAutospacing="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Standardowy"/>
    <w:next w:val="redniecieniowanie2akcent1"/>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11">
    <w:name w:val="Medium List 1 - Accent 11"/>
    <w:basedOn w:val="Standardowy"/>
    <w:next w:val="rednialista1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2-Accent11">
    <w:name w:val="Medium List 2 - Accent 11"/>
    <w:basedOn w:val="Standardowy"/>
    <w:next w:val="rednialista2akcent1"/>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11">
    <w:name w:val="Medium Grid 1 - Accent 11"/>
    <w:basedOn w:val="Standardowy"/>
    <w:next w:val="redniasiatka1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MediumGrid2-Accent11">
    <w:name w:val="Medium Grid 2 - Accent 11"/>
    <w:basedOn w:val="Standardowy"/>
    <w:next w:val="redniasiatka2akcent1"/>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customStyle="1" w:styleId="MediumGrid3-Accent11">
    <w:name w:val="Medium Grid 3 - Accent 11"/>
    <w:basedOn w:val="Standardowy"/>
    <w:next w:val="redniasiatka3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customStyle="1" w:styleId="DarkList-Accent11">
    <w:name w:val="Dark List - Accent 11"/>
    <w:basedOn w:val="Standardowy"/>
    <w:next w:val="Ciemnalista2akcent1"/>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customStyle="1" w:styleId="ColorfulShading-Accent11">
    <w:name w:val="Colorful Shading - Accent 11"/>
    <w:basedOn w:val="Standardowy"/>
    <w:next w:val="Kolorowecieniowanie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customStyle="1" w:styleId="ColorfulList-Accent11">
    <w:name w:val="Colorful List - Accent 11"/>
    <w:basedOn w:val="Standardowy"/>
    <w:next w:val="Kolorowalista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customStyle="1" w:styleId="ColorfulGrid-Accent11">
    <w:name w:val="Colorful Grid - Accent 11"/>
    <w:basedOn w:val="Standardowy"/>
    <w:next w:val="Kolorowasiatka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LightShading-Accent21">
    <w:name w:val="Light Shading - Accent 21"/>
    <w:basedOn w:val="Standardowy"/>
    <w:next w:val="Jasnecieniowanieakcent2"/>
    <w:uiPriority w:val="99"/>
    <w:rsid w:val="009120AB"/>
    <w:rPr>
      <w:rFonts w:ascii="Times New Roman" w:eastAsia="Times New Roman" w:hAnsi="Times New Roman" w:cs="Times New Roman"/>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customStyle="1" w:styleId="LightList-Accent21">
    <w:name w:val="Light List - Accent 21"/>
    <w:basedOn w:val="Standardowy"/>
    <w:next w:val="Jasnalista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C00000" w:themeFill="accent2"/>
      </w:tcPr>
    </w:tblStylePr>
    <w:tblStylePr w:type="lastRow">
      <w:pPr>
        <w:spacing w:beforeLines="0" w:before="0" w:beforeAutospacing="0" w:afterLines="0" w:after="0" w:afterAutospacing="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customStyle="1" w:styleId="LightGrid-Accent21">
    <w:name w:val="Light Grid - Accent 21"/>
    <w:basedOn w:val="Standardowy"/>
    <w:next w:val="Jasnasiatka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customStyle="1" w:styleId="MediumShading1-Accent21">
    <w:name w:val="Medium Shading 1 - Accent 21"/>
    <w:basedOn w:val="Standardowy"/>
    <w:next w:val="redniecieniowanie1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Lines="0" w:before="0" w:beforeAutospacing="0" w:afterLines="0" w:after="0" w:afterAutospacing="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customStyle="1" w:styleId="MediumShading2-Accent21">
    <w:name w:val="Medium Shading 2 - Accent 21"/>
    <w:basedOn w:val="Standardowy"/>
    <w:next w:val="redniecieniowanie2akcent2"/>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21">
    <w:name w:val="Medium List 1 - Accent 21"/>
    <w:basedOn w:val="Standardowy"/>
    <w:next w:val="rednialista1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customStyle="1" w:styleId="MediumList2-Accent21">
    <w:name w:val="Medium List 2 - Accent 21"/>
    <w:basedOn w:val="Standardowy"/>
    <w:next w:val="rednialista2akcent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21">
    <w:name w:val="Medium Grid 1 - Accent 21"/>
    <w:basedOn w:val="Standardowy"/>
    <w:next w:val="redniasiatka1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MediumGrid2-Accent21">
    <w:name w:val="Medium Grid 2 - Accent 21"/>
    <w:basedOn w:val="Standardowy"/>
    <w:next w:val="redniasiatka2akcent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customStyle="1" w:styleId="MediumGrid3-Accent21">
    <w:name w:val="Medium Grid 3 - Accent 21"/>
    <w:basedOn w:val="Standardowy"/>
    <w:next w:val="redniasiatka3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customStyle="1" w:styleId="DarkList-Accent21">
    <w:name w:val="Dark List - Accent 21"/>
    <w:basedOn w:val="Standardowy"/>
    <w:next w:val="Ciemnalistaakcent2"/>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customStyle="1" w:styleId="ColorfulShading-Accent21">
    <w:name w:val="Colorful Shading - Accent 21"/>
    <w:basedOn w:val="Standardowy"/>
    <w:next w:val="Kolorowecieniowanie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customStyle="1" w:styleId="ColorfulList-Accent21">
    <w:name w:val="Colorful List - Accent 21"/>
    <w:basedOn w:val="Standardowy"/>
    <w:next w:val="Kolorowalista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customStyle="1" w:styleId="ColorfulGrid-Accent21">
    <w:name w:val="Colorful Grid - Accent 21"/>
    <w:basedOn w:val="Standardowy"/>
    <w:next w:val="Kolorowasiatka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LightShading-Accent31">
    <w:name w:val="Light Shading - Accent 31"/>
    <w:basedOn w:val="Standardowy"/>
    <w:next w:val="Jasnecieniowanieakcent3"/>
    <w:uiPriority w:val="99"/>
    <w:rsid w:val="009120AB"/>
    <w:rPr>
      <w:rFonts w:ascii="Times New Roman" w:eastAsia="Times New Roman" w:hAnsi="Times New Roman" w:cs="Times New Roman"/>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customStyle="1" w:styleId="LightList-Accent31">
    <w:name w:val="Light List - Accent 31"/>
    <w:basedOn w:val="Standardowy"/>
    <w:next w:val="Jasnalista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5F5F5F" w:themeFill="accent3"/>
      </w:tcPr>
    </w:tblStylePr>
    <w:tblStylePr w:type="lastRow">
      <w:pPr>
        <w:spacing w:beforeLines="0" w:before="0" w:beforeAutospacing="0" w:afterLines="0" w:after="0" w:afterAutospacing="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customStyle="1" w:styleId="LightGrid-Accent31">
    <w:name w:val="Light Grid - Accent 31"/>
    <w:basedOn w:val="Standardowy"/>
    <w:next w:val="Jasnasiatka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customStyle="1" w:styleId="MediumShading1-Accent31">
    <w:name w:val="Medium Shading 1 - Accent 31"/>
    <w:basedOn w:val="Standardowy"/>
    <w:next w:val="redniecieniowanie1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Lines="0" w:before="0" w:beforeAutospacing="0" w:afterLines="0" w:after="0" w:afterAutospacing="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customStyle="1" w:styleId="MediumShading2-Accent31">
    <w:name w:val="Medium Shading 2 - Accent 31"/>
    <w:basedOn w:val="Standardowy"/>
    <w:next w:val="redniecieniowanie2akcent3"/>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31">
    <w:name w:val="Medium List 1 - Accent 31"/>
    <w:basedOn w:val="Standardowy"/>
    <w:next w:val="rednialista1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customStyle="1" w:styleId="MediumList2-Accent31">
    <w:name w:val="Medium List 2 - Accent 31"/>
    <w:basedOn w:val="Standardowy"/>
    <w:next w:val="rednialista2akcent3"/>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31">
    <w:name w:val="Medium Grid 1 - Accent 31"/>
    <w:basedOn w:val="Standardowy"/>
    <w:next w:val="redniasiatka1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MediumGrid2-Accent31">
    <w:name w:val="Medium Grid 2 - Accent 31"/>
    <w:basedOn w:val="Standardowy"/>
    <w:next w:val="redniasiatka2akcent3"/>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customStyle="1" w:styleId="MediumGrid3-Accent31">
    <w:name w:val="Medium Grid 3 - Accent 31"/>
    <w:basedOn w:val="Standardowy"/>
    <w:next w:val="redniasiatka3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customStyle="1" w:styleId="DarkList-Accent31">
    <w:name w:val="Dark List - Accent 31"/>
    <w:basedOn w:val="Standardowy"/>
    <w:next w:val="Ciemnalistaakcent3"/>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customStyle="1" w:styleId="ColorfulShading-Accent31">
    <w:name w:val="Colorful Shading - Accent 31"/>
    <w:basedOn w:val="Standardowy"/>
    <w:next w:val="Kolorowecieniowanie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customStyle="1" w:styleId="ColorfulList-Accent31">
    <w:name w:val="Colorful List - Accent 31"/>
    <w:basedOn w:val="Standardowy"/>
    <w:next w:val="Kolorowalista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customStyle="1" w:styleId="ColorfulGrid-Accent31">
    <w:name w:val="Colorful Grid - Accent 31"/>
    <w:basedOn w:val="Standardowy"/>
    <w:next w:val="Kolorowasiatka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LightShading-Accent41">
    <w:name w:val="Light Shading - Accent 41"/>
    <w:basedOn w:val="Standardowy"/>
    <w:next w:val="Jasnecieniowanieakcent4"/>
    <w:uiPriority w:val="99"/>
    <w:rsid w:val="009120AB"/>
    <w:rPr>
      <w:rFonts w:ascii="Times New Roman" w:eastAsia="Times New Roman" w:hAnsi="Times New Roman" w:cs="Times New Roman"/>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customStyle="1" w:styleId="LightList-Accent41">
    <w:name w:val="Light List - Accent 41"/>
    <w:basedOn w:val="Standardowy"/>
    <w:next w:val="Jasnalista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969696" w:themeFill="accent4"/>
      </w:tcPr>
    </w:tblStylePr>
    <w:tblStylePr w:type="lastRow">
      <w:pPr>
        <w:spacing w:beforeLines="0" w:before="0" w:beforeAutospacing="0" w:afterLines="0" w:after="0" w:afterAutospacing="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customStyle="1" w:styleId="LightGrid-Accent41">
    <w:name w:val="Light Grid - Accent 41"/>
    <w:basedOn w:val="Standardowy"/>
    <w:next w:val="Jasnasiatka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customStyle="1" w:styleId="MediumShading1-Accent41">
    <w:name w:val="Medium Shading 1 - Accent 41"/>
    <w:basedOn w:val="Standardowy"/>
    <w:next w:val="redniecieniowanie1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Lines="0" w:before="0" w:beforeAutospacing="0" w:afterLines="0" w:after="0" w:afterAutospacing="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customStyle="1" w:styleId="MediumShading2-Accent41">
    <w:name w:val="Medium Shading 2 - Accent 41"/>
    <w:basedOn w:val="Standardowy"/>
    <w:next w:val="redniecieniowanie2akcent4"/>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41">
    <w:name w:val="Medium List 1 - Accent 41"/>
    <w:basedOn w:val="Standardowy"/>
    <w:next w:val="rednialista1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customStyle="1" w:styleId="MediumList2-Accent41">
    <w:name w:val="Medium List 2 - Accent 41"/>
    <w:basedOn w:val="Standardowy"/>
    <w:next w:val="rednialista2akcent4"/>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41">
    <w:name w:val="Medium Grid 1 - Accent 41"/>
    <w:basedOn w:val="Standardowy"/>
    <w:next w:val="redniasiatka1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MediumGrid2-Accent41">
    <w:name w:val="Medium Grid 2 - Accent 41"/>
    <w:basedOn w:val="Standardowy"/>
    <w:next w:val="redniasiatka2akcent4"/>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customStyle="1" w:styleId="MediumGrid3-Accent41">
    <w:name w:val="Medium Grid 3 - Accent 41"/>
    <w:basedOn w:val="Standardowy"/>
    <w:next w:val="redniasiatka3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customStyle="1" w:styleId="DarkList-Accent41">
    <w:name w:val="Dark List - Accent 41"/>
    <w:basedOn w:val="Standardowy"/>
    <w:next w:val="Ciemnalistaakcent4"/>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customStyle="1" w:styleId="ColorfulShading-Accent41">
    <w:name w:val="Colorful Shading - Accent 41"/>
    <w:basedOn w:val="Standardowy"/>
    <w:next w:val="Kolorowecieniowanie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customStyle="1" w:styleId="ColorfulList-Accent41">
    <w:name w:val="Colorful List - Accent 41"/>
    <w:basedOn w:val="Standardowy"/>
    <w:next w:val="Kolorowalista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customStyle="1" w:styleId="ColorfulGrid-Accent41">
    <w:name w:val="Colorful Grid - Accent 41"/>
    <w:basedOn w:val="Standardowy"/>
    <w:next w:val="Kolorowasiatka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LightShading-Accent51">
    <w:name w:val="Light Shading - Accent 51"/>
    <w:basedOn w:val="Standardowy"/>
    <w:next w:val="Jasnecieniowanieakcent5"/>
    <w:uiPriority w:val="99"/>
    <w:rsid w:val="009120AB"/>
    <w:rPr>
      <w:rFonts w:ascii="Times New Roman" w:eastAsia="Times New Roman" w:hAnsi="Times New Roman" w:cs="Times New Roman"/>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customStyle="1" w:styleId="LightList-Accent51">
    <w:name w:val="Light List - Accent 51"/>
    <w:basedOn w:val="Standardowy"/>
    <w:next w:val="Jasnalista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5F5F5F" w:themeFill="accent5"/>
      </w:tcPr>
    </w:tblStylePr>
    <w:tblStylePr w:type="lastRow">
      <w:pPr>
        <w:spacing w:beforeLines="0" w:before="0" w:beforeAutospacing="0" w:afterLines="0" w:after="0" w:afterAutospacing="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customStyle="1" w:styleId="LightGrid-Accent51">
    <w:name w:val="Light Grid - Accent 51"/>
    <w:basedOn w:val="Standardowy"/>
    <w:next w:val="Jasnasiatka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customStyle="1" w:styleId="MediumShading1-Accent51">
    <w:name w:val="Medium Shading 1 - Accent 51"/>
    <w:basedOn w:val="Standardowy"/>
    <w:next w:val="redniecieniowanie1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Lines="0" w:before="0" w:beforeAutospacing="0" w:afterLines="0" w:after="0" w:afterAutospacing="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customStyle="1" w:styleId="MediumShading2-Accent51">
    <w:name w:val="Medium Shading 2 - Accent 51"/>
    <w:basedOn w:val="Standardowy"/>
    <w:next w:val="redniecieniowanie2akcent5"/>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51">
    <w:name w:val="Medium List 1 - Accent 51"/>
    <w:basedOn w:val="Standardowy"/>
    <w:next w:val="rednialista1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customStyle="1" w:styleId="MediumList2-Accent51">
    <w:name w:val="Medium List 2 - Accent 51"/>
    <w:basedOn w:val="Standardowy"/>
    <w:next w:val="rednialista2akcent5"/>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51">
    <w:name w:val="Medium Grid 1 - Accent 51"/>
    <w:basedOn w:val="Standardowy"/>
    <w:next w:val="redniasiatka1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MediumGrid2-Accent51">
    <w:name w:val="Medium Grid 2 - Accent 51"/>
    <w:basedOn w:val="Standardowy"/>
    <w:next w:val="redniasiatka2akcent5"/>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customStyle="1" w:styleId="MediumGrid3-Accent51">
    <w:name w:val="Medium Grid 3 - Accent 51"/>
    <w:basedOn w:val="Standardowy"/>
    <w:next w:val="redniasiatka3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customStyle="1" w:styleId="DarkList-Accent51">
    <w:name w:val="Dark List - Accent 51"/>
    <w:basedOn w:val="Standardowy"/>
    <w:next w:val="Ciemnalistaakcent5"/>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customStyle="1" w:styleId="ColorfulShading-Accent51">
    <w:name w:val="Colorful Shading - Accent 51"/>
    <w:basedOn w:val="Standardowy"/>
    <w:next w:val="Kolorowecieniowanie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customStyle="1" w:styleId="ColorfulList-Accent51">
    <w:name w:val="Colorful List - Accent 51"/>
    <w:basedOn w:val="Standardowy"/>
    <w:next w:val="Kolorowalista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customStyle="1" w:styleId="ColorfulGrid-Accent51">
    <w:name w:val="Colorful Grid - Accent 51"/>
    <w:basedOn w:val="Standardowy"/>
    <w:next w:val="Kolorowasiatka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LightShading-Accent61">
    <w:name w:val="Light Shading - Accent 61"/>
    <w:basedOn w:val="Standardowy"/>
    <w:next w:val="Jasnecieniowanieakcent6"/>
    <w:uiPriority w:val="99"/>
    <w:rsid w:val="009120AB"/>
    <w:rPr>
      <w:rFonts w:ascii="Times New Roman" w:eastAsia="Times New Roman" w:hAnsi="Times New Roman" w:cs="Times New Roman"/>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customStyle="1" w:styleId="LightList-Accent61">
    <w:name w:val="Light List - Accent 61"/>
    <w:basedOn w:val="Standardowy"/>
    <w:next w:val="Jasnalista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4D4D4D" w:themeFill="accent6"/>
      </w:tcPr>
    </w:tblStylePr>
    <w:tblStylePr w:type="lastRow">
      <w:pPr>
        <w:spacing w:beforeLines="0" w:before="0" w:beforeAutospacing="0" w:afterLines="0" w:after="0" w:afterAutospacing="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Grid-Accent61">
    <w:name w:val="Light Grid - Accent 61"/>
    <w:basedOn w:val="Standardowy"/>
    <w:next w:val="Jasnasiatka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MediumShading1-Accent61">
    <w:name w:val="Medium Shading 1 - Accent 61"/>
    <w:basedOn w:val="Standardowy"/>
    <w:next w:val="redniecieniowanie1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Lines="0" w:before="0" w:beforeAutospacing="0" w:afterLines="0" w:after="0" w:afterAutospacing="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Accent61">
    <w:name w:val="Medium Shading 2 - Accent 61"/>
    <w:basedOn w:val="Standardowy"/>
    <w:next w:val="redniecieniowanie2akcent6"/>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61">
    <w:name w:val="Medium List 1 - Accent 61"/>
    <w:basedOn w:val="Standardowy"/>
    <w:next w:val="rednialista1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Accent61">
    <w:name w:val="Medium List 2 - Accent 61"/>
    <w:basedOn w:val="Standardowy"/>
    <w:next w:val="rednialista2akcent6"/>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61">
    <w:name w:val="Medium Grid 1 - Accent 61"/>
    <w:basedOn w:val="Standardowy"/>
    <w:next w:val="redniasiatka1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Accent61">
    <w:name w:val="Medium Grid 2 - Accent 61"/>
    <w:basedOn w:val="Standardowy"/>
    <w:next w:val="redniasiatka2akcent6"/>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Accent61">
    <w:name w:val="Medium Grid 3 - Accent 61"/>
    <w:basedOn w:val="Standardowy"/>
    <w:next w:val="redniasiatka3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DarkList-Accent61">
    <w:name w:val="Dark List - Accent 61"/>
    <w:basedOn w:val="Standardowy"/>
    <w:next w:val="Ciemnalistaakcent6"/>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customStyle="1" w:styleId="ColorfulShading-Accent61">
    <w:name w:val="Colorful Shading - Accent 61"/>
    <w:basedOn w:val="Standardowy"/>
    <w:next w:val="Kolorowecieniowanie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olorfulList-Accent61">
    <w:name w:val="Colorful List - Accent 61"/>
    <w:basedOn w:val="Standardowy"/>
    <w:next w:val="Kolorowalista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Grid-Accent61">
    <w:name w:val="Colorful Grid - Accent 61"/>
    <w:basedOn w:val="Standardowy"/>
    <w:next w:val="Kolorowasiatka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ECHRTable1">
    <w:name w:val="ECHR_Table1"/>
    <w:basedOn w:val="Standardowy"/>
    <w:rsid w:val="009120AB"/>
    <w:rPr>
      <w:rFonts w:ascii="Times New Roman" w:eastAsia="Times New Roman" w:hAnsi="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1">
    <w:name w:val="ECHR_Table_Box_Header1"/>
    <w:basedOn w:val="Standardowy"/>
    <w:rsid w:val="009120A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1">
    <w:name w:val="Ltr_Table_Address1"/>
    <w:basedOn w:val="Standardowy"/>
    <w:uiPriority w:val="99"/>
    <w:rsid w:val="009120AB"/>
    <w:rPr>
      <w:rFonts w:ascii="Times New Roman" w:eastAsia="Times New Roman" w:hAnsi="Times New Roman" w:cs="Times New Roman"/>
    </w:rPr>
    <w:tblPr>
      <w:tblCellMar>
        <w:top w:w="0" w:type="dxa"/>
        <w:left w:w="108" w:type="dxa"/>
        <w:bottom w:w="0" w:type="dxa"/>
        <w:right w:w="108" w:type="dxa"/>
      </w:tblCellMar>
    </w:tblPr>
  </w:style>
  <w:style w:type="table" w:customStyle="1" w:styleId="UGTable1">
    <w:name w:val="UG_Table1"/>
    <w:basedOn w:val="Standardowy"/>
    <w:uiPriority w:val="99"/>
    <w:rsid w:val="009120AB"/>
    <w:rPr>
      <w:rFonts w:ascii="Times New Roman" w:eastAsia="MS Mincho" w:hAnsi="Times New Roman" w:cs="Times New Roman"/>
      <w:sz w:val="20"/>
      <w:lang w:val="en-GB" w:eastAsia="en-GB"/>
    </w:rPr>
    <w:tblPr>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9120AB"/>
    <w:rPr>
      <w:rFonts w:ascii="Times New Roman" w:eastAsia="MS Mincho" w:hAnsi="Times New Roman" w:cs="Times New Roman"/>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1">
    <w:name w:val="PCF_Table_Style1"/>
    <w:basedOn w:val="Standardowy"/>
    <w:uiPriority w:val="99"/>
    <w:rsid w:val="009120AB"/>
    <w:rPr>
      <w:rFonts w:ascii="Times New Roman" w:eastAsia="Times New Roman" w:hAnsi="Times New Roman" w:cs="Times New Roman"/>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00" w:beforeAutospacing="1" w:afterLines="0" w:after="100" w:afterAutospacing="1" w:line="240" w:lineRule="auto"/>
        <w:contextualSpacing/>
        <w:jc w:val="center"/>
      </w:pPr>
      <w:rPr>
        <w:b/>
        <w:i w:val="0"/>
        <w:color w:val="FFFFFF"/>
        <w:sz w:val="20"/>
        <w:szCs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1">
    <w:name w:val="ECHR_Table_Fax1"/>
    <w:basedOn w:val="Standardowy"/>
    <w:uiPriority w:val="99"/>
    <w:rsid w:val="009120AB"/>
    <w:rPr>
      <w:rFonts w:ascii="Times New Roman" w:eastAsia="Times New Roman" w:hAnsi="Times New Roman" w:cs="Times New Roman"/>
      <w:color w:val="000000" w:themeColor="text1"/>
    </w:rPr>
    <w:tblPr>
      <w:tblBorders>
        <w:insideH w:val="single" w:sz="4" w:space="0" w:color="C6C6C6" w:themeColor="text2"/>
        <w:insideV w:val="single" w:sz="4" w:space="0" w:color="C6C6C6" w:themeColor="text2"/>
      </w:tblBorders>
      <w:tblCellMar>
        <w:top w:w="142" w:type="dxa"/>
        <w:left w:w="108" w:type="dxa"/>
        <w:bottom w:w="142" w:type="dxa"/>
        <w:right w:w="108" w:type="dxa"/>
      </w:tblCellMar>
    </w:tblPr>
  </w:style>
  <w:style w:type="table" w:customStyle="1" w:styleId="ECHRTableMemo1">
    <w:name w:val="ECHR_Table_Memo1"/>
    <w:basedOn w:val="Standardowy"/>
    <w:uiPriority w:val="99"/>
    <w:rsid w:val="009120AB"/>
    <w:rPr>
      <w:rFonts w:ascii="Times New Roman" w:eastAsia="Times New Roman" w:hAnsi="Times New Roman" w:cs="Times New Roman"/>
    </w:rPr>
    <w:tblPr>
      <w:tblCellMar>
        <w:top w:w="113" w:type="dxa"/>
        <w:left w:w="0" w:type="dxa"/>
        <w:bottom w:w="113" w:type="dxa"/>
        <w:right w:w="0" w:type="dxa"/>
      </w:tblCellMar>
    </w:tbl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DNTable1">
    <w:name w:val="DN_Table1"/>
    <w:basedOn w:val="Standardowy"/>
    <w:uiPriority w:val="99"/>
    <w:rsid w:val="009120AB"/>
    <w:rPr>
      <w:rFonts w:ascii="Times New Roman" w:eastAsia="Times New Roman" w:hAnsi="Times New Roman" w:cs="Times New Roman"/>
    </w:rPr>
    <w:tblP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cPr>
      <w:vAlign w:val="center"/>
    </w:tcPr>
    <w:tblStylePr w:type="firstRow">
      <w:pPr>
        <w:wordWrap/>
        <w:spacing w:beforeLines="0" w:before="0" w:beforeAutospacing="0"/>
        <w:ind w:leftChars="0" w:left="0"/>
      </w:pPr>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1">
    <w:name w:val="ECHR_Table_Simple_Box1"/>
    <w:basedOn w:val="Standardowy"/>
    <w:uiPriority w:val="99"/>
    <w:rsid w:val="009120AB"/>
    <w:rPr>
      <w:rFonts w:ascii="Times New Roman" w:eastAsia="Times New Roman" w:hAnsi="Times New Roman" w:cs="Times New Roman"/>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1">
    <w:name w:val="ECHR_Table_No_Lines1"/>
    <w:basedOn w:val="Standardowy"/>
    <w:uiPriority w:val="99"/>
    <w:rsid w:val="009120AB"/>
    <w:rPr>
      <w:rFonts w:ascii="Times New Roman" w:eastAsia="Times New Roman" w:hAnsi="Times New Roman" w:cs="Times New Roman"/>
    </w:rPr>
    <w:tblPr>
      <w:tblCellMar>
        <w:top w:w="85" w:type="dxa"/>
        <w:left w:w="142" w:type="dxa"/>
        <w:bottom w:w="28" w:type="dxa"/>
        <w:right w:w="142" w:type="dxa"/>
      </w:tblCellMar>
    </w:tblPr>
    <w:tblStylePr w:type="firstRow">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1">
    <w:name w:val="ECHR_Table_For_Internal_Use1"/>
    <w:basedOn w:val="Standardowy"/>
    <w:uiPriority w:val="99"/>
    <w:rsid w:val="009120AB"/>
    <w:rPr>
      <w:rFonts w:ascii="Times New Roman" w:eastAsia="Times New Roman" w:hAnsi="Times New Roman" w:cs="Times New Roman"/>
      <w:color w:val="636363" w:themeColor="text2" w:themeShade="80"/>
      <w:sz w:val="18"/>
    </w:rPr>
    <w:tblPr>
      <w:tblStyleColBandSize w:val="1"/>
      <w:tblCellMar>
        <w:top w:w="113" w:type="dxa"/>
        <w:left w:w="108" w:type="dxa"/>
        <w:bottom w:w="28" w:type="dxa"/>
        <w:right w:w="108" w:type="dxa"/>
      </w:tblCellMar>
    </w:tbl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1">
    <w:name w:val="ECHR_List_Table1"/>
    <w:basedOn w:val="Standardowy"/>
    <w:uiPriority w:val="99"/>
    <w:rsid w:val="009120AB"/>
    <w:rPr>
      <w:rFonts w:ascii="Times New Roman" w:eastAsia="Times New Roman" w:hAnsi="Times New Roman" w:cs="Times New Roman"/>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1">
    <w:name w:val="ECHR_Header_Table1"/>
    <w:basedOn w:val="Standardowy"/>
    <w:uiPriority w:val="99"/>
    <w:rsid w:val="009120AB"/>
    <w:rPr>
      <w:rFonts w:ascii="Times New Roman" w:eastAsia="Times New Roman" w:hAnsi="Times New Roman" w:cs="Times New Roman"/>
    </w:rPr>
    <w:tblPr>
      <w:tblBorders>
        <w:bottom w:val="single" w:sz="6" w:space="0" w:color="949494" w:themeColor="text2" w:themeShade="BF"/>
      </w:tblBorders>
      <w:tblCellMar>
        <w:top w:w="0" w:type="dxa"/>
        <w:left w:w="0" w:type="dxa"/>
        <w:bottom w:w="28" w:type="dxa"/>
        <w:right w:w="0" w:type="dxa"/>
      </w:tblCellMar>
    </w:tblPr>
    <w:tcPr>
      <w:vAlign w:val="both"/>
    </w:tcPr>
    <w:tblStylePr w:type="lastCol">
      <w:pPr>
        <w:wordWrap/>
        <w:jc w:val="both"/>
      </w:pPr>
    </w:tblStylePr>
  </w:style>
  <w:style w:type="table" w:customStyle="1" w:styleId="ECHRTableOddBanded1">
    <w:name w:val="ECHR_Table_Odd_Banded1"/>
    <w:basedOn w:val="Standardowy"/>
    <w:uiPriority w:val="99"/>
    <w:rsid w:val="009120AB"/>
    <w:rPr>
      <w:rFonts w:ascii="Times New Roman" w:eastAsia="Times New Roman" w:hAnsi="Times New Roman" w:cs="Times New Roman"/>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1">
    <w:name w:val="ECHR_Header_Table_Reduced1"/>
    <w:basedOn w:val="Standardowy"/>
    <w:uiPriority w:val="99"/>
    <w:rsid w:val="009120AB"/>
    <w:rPr>
      <w:rFonts w:ascii="Times New Roman" w:eastAsia="Times New Roman" w:hAnsi="Times New Roman" w:cs="Times New Roman"/>
    </w:rPr>
    <w:tblPr>
      <w:tblCellMar>
        <w:top w:w="0" w:type="dxa"/>
        <w:left w:w="0" w:type="dxa"/>
        <w:bottom w:w="0" w:type="dxa"/>
        <w:right w:w="0" w:type="dxa"/>
      </w:tblCellMar>
    </w:tblPr>
    <w:tcPr>
      <w:vAlign w:val="both"/>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HiChar">
    <w:name w:val="Ju_H_i Char"/>
    <w:link w:val="ECHRHeading5"/>
    <w:uiPriority w:val="23"/>
    <w:rsid w:val="00DE7391"/>
    <w:rPr>
      <w:rFonts w:asciiTheme="majorHAnsi" w:eastAsiaTheme="majorEastAsia" w:hAnsiTheme="majorHAnsi" w:cstheme="majorBidi"/>
      <w:bCs/>
      <w:i/>
      <w:sz w:val="20"/>
    </w:rPr>
  </w:style>
  <w:style w:type="paragraph" w:customStyle="1" w:styleId="jupara">
    <w:name w:val="jupara"/>
    <w:basedOn w:val="Normalny"/>
    <w:rsid w:val="003C219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C2190"/>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DC5AB5"/>
    <w:pPr>
      <w:jc w:val="both"/>
    </w:pPr>
    <w:rPr>
      <w:rFonts w:eastAsiaTheme="minorEastAsia"/>
      <w:sz w:val="24"/>
    </w:rPr>
  </w:style>
  <w:style w:type="paragraph" w:styleId="Nagwek1">
    <w:name w:val="heading 1"/>
    <w:basedOn w:val="Normalny"/>
    <w:next w:val="Normalny"/>
    <w:link w:val="Nagwek1Znak"/>
    <w:uiPriority w:val="99"/>
    <w:semiHidden/>
    <w:rsid w:val="00DC5A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C5A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C5A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C5A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C5AB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C5A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C5AB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C5AB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C5AB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C5AB5"/>
    <w:rPr>
      <w:rFonts w:ascii="Tahoma" w:hAnsi="Tahoma" w:cs="Tahoma"/>
      <w:sz w:val="16"/>
      <w:szCs w:val="16"/>
    </w:rPr>
  </w:style>
  <w:style w:type="character" w:customStyle="1" w:styleId="TekstdymkaZnak">
    <w:name w:val="Tekst dymka Znak"/>
    <w:basedOn w:val="Domylnaczcionkaakapitu"/>
    <w:link w:val="Tekstdymka"/>
    <w:uiPriority w:val="99"/>
    <w:semiHidden/>
    <w:rsid w:val="00DC5AB5"/>
    <w:rPr>
      <w:rFonts w:ascii="Tahoma" w:eastAsiaTheme="minorEastAsia" w:hAnsi="Tahoma" w:cs="Tahoma"/>
      <w:sz w:val="16"/>
      <w:szCs w:val="16"/>
    </w:rPr>
  </w:style>
  <w:style w:type="character" w:styleId="Tytuksiki">
    <w:name w:val="Book Title"/>
    <w:uiPriority w:val="99"/>
    <w:semiHidden/>
    <w:qFormat/>
    <w:rsid w:val="00DC5AB5"/>
    <w:rPr>
      <w:i/>
      <w:iCs/>
      <w:smallCaps/>
      <w:spacing w:val="5"/>
    </w:rPr>
  </w:style>
  <w:style w:type="paragraph" w:customStyle="1" w:styleId="ECHRHeader">
    <w:name w:val="ECHR_Header"/>
    <w:aliases w:val="Ju_Header"/>
    <w:basedOn w:val="Nagwek"/>
    <w:uiPriority w:val="4"/>
    <w:qFormat/>
    <w:rsid w:val="00DC5AB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C5AB5"/>
    <w:pPr>
      <w:jc w:val="left"/>
    </w:pPr>
    <w:rPr>
      <w:sz w:val="8"/>
    </w:rPr>
  </w:style>
  <w:style w:type="character" w:styleId="Pogrubienie">
    <w:name w:val="Strong"/>
    <w:uiPriority w:val="99"/>
    <w:semiHidden/>
    <w:qFormat/>
    <w:rsid w:val="00DC5AB5"/>
    <w:rPr>
      <w:b/>
      <w:bCs/>
    </w:rPr>
  </w:style>
  <w:style w:type="paragraph" w:styleId="Bezodstpw">
    <w:name w:val="No Spacing"/>
    <w:basedOn w:val="Normalny"/>
    <w:link w:val="BezodstpwZnak"/>
    <w:semiHidden/>
    <w:qFormat/>
    <w:rsid w:val="00DC5AB5"/>
    <w:rPr>
      <w:sz w:val="22"/>
    </w:rPr>
  </w:style>
  <w:style w:type="character" w:customStyle="1" w:styleId="BezodstpwZnak">
    <w:name w:val="Bez odstępów Znak"/>
    <w:basedOn w:val="Domylnaczcionkaakapitu"/>
    <w:link w:val="Bezodstpw"/>
    <w:semiHidden/>
    <w:rsid w:val="00DC5AB5"/>
    <w:rPr>
      <w:rFonts w:eastAsiaTheme="minorEastAsia"/>
    </w:rPr>
  </w:style>
  <w:style w:type="paragraph" w:customStyle="1" w:styleId="ECHRFooterLine">
    <w:name w:val="ECHR_Footer_Line"/>
    <w:aliases w:val="Footer_Line"/>
    <w:basedOn w:val="Normalny"/>
    <w:next w:val="ECHRFooter"/>
    <w:uiPriority w:val="57"/>
    <w:semiHidden/>
    <w:rsid w:val="00DC5AB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C5AB5"/>
    <w:pPr>
      <w:numPr>
        <w:numId w:val="15"/>
      </w:numPr>
      <w:jc w:val="left"/>
    </w:pPr>
    <w:rPr>
      <w:b/>
    </w:rPr>
  </w:style>
  <w:style w:type="paragraph" w:customStyle="1" w:styleId="OpiPara">
    <w:name w:val="Opi_Para"/>
    <w:basedOn w:val="ECHRPara"/>
    <w:uiPriority w:val="46"/>
    <w:qFormat/>
    <w:rsid w:val="00DC5AB5"/>
  </w:style>
  <w:style w:type="paragraph" w:customStyle="1" w:styleId="JuParaSub">
    <w:name w:val="Ju_Para_Sub"/>
    <w:basedOn w:val="ECHRPara"/>
    <w:uiPriority w:val="13"/>
    <w:qFormat/>
    <w:rsid w:val="00DC5AB5"/>
    <w:pPr>
      <w:ind w:left="284"/>
    </w:pPr>
  </w:style>
  <w:style w:type="paragraph" w:customStyle="1" w:styleId="ECHRTitleCentre3">
    <w:name w:val="ECHR_Title_Centre_3"/>
    <w:aliases w:val="Ju_H_Article"/>
    <w:basedOn w:val="Normalny"/>
    <w:next w:val="ECHRParaQuote"/>
    <w:uiPriority w:val="27"/>
    <w:qFormat/>
    <w:rsid w:val="00DC5AB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C5AB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C5AB5"/>
    <w:pPr>
      <w:ind w:left="567"/>
    </w:pPr>
  </w:style>
  <w:style w:type="paragraph" w:customStyle="1" w:styleId="OpiParaSub">
    <w:name w:val="Opi_Para_Sub"/>
    <w:basedOn w:val="JuParaSub"/>
    <w:uiPriority w:val="47"/>
    <w:qFormat/>
    <w:rsid w:val="00DC5AB5"/>
  </w:style>
  <w:style w:type="paragraph" w:customStyle="1" w:styleId="OpiQuot">
    <w:name w:val="Opi_Quot"/>
    <w:basedOn w:val="ECHRParaQuote"/>
    <w:uiPriority w:val="48"/>
    <w:qFormat/>
    <w:rsid w:val="00DC5AB5"/>
  </w:style>
  <w:style w:type="paragraph" w:customStyle="1" w:styleId="OpiQuotSub">
    <w:name w:val="Opi_Quot_Sub"/>
    <w:basedOn w:val="JuQuotSub"/>
    <w:uiPriority w:val="49"/>
    <w:qFormat/>
    <w:rsid w:val="00DC5AB5"/>
  </w:style>
  <w:style w:type="paragraph" w:customStyle="1" w:styleId="ECHRTitleCentre2">
    <w:name w:val="ECHR_Title_Centre_2"/>
    <w:aliases w:val="Dec_H_Case"/>
    <w:basedOn w:val="Normalny"/>
    <w:next w:val="ECHRPara"/>
    <w:uiPriority w:val="8"/>
    <w:rsid w:val="00DC5AB5"/>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DC5AB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C5AB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DC5AB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DC5AB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link w:val="JuHiChar"/>
    <w:uiPriority w:val="23"/>
    <w:qFormat/>
    <w:rsid w:val="00DC5A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C5AB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C5AB5"/>
    <w:pPr>
      <w:keepNext/>
      <w:keepLines/>
      <w:spacing w:before="240" w:after="120"/>
      <w:ind w:left="1236"/>
    </w:pPr>
    <w:rPr>
      <w:sz w:val="20"/>
    </w:rPr>
  </w:style>
  <w:style w:type="paragraph" w:customStyle="1" w:styleId="JuTitle">
    <w:name w:val="Ju_Title"/>
    <w:basedOn w:val="Normalny"/>
    <w:next w:val="ECHRPara"/>
    <w:uiPriority w:val="3"/>
    <w:rsid w:val="00DC5AB5"/>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DC5AB5"/>
    <w:pPr>
      <w:tabs>
        <w:tab w:val="center" w:pos="6407"/>
      </w:tabs>
      <w:spacing w:before="720"/>
      <w:jc w:val="right"/>
    </w:pPr>
  </w:style>
  <w:style w:type="paragraph" w:customStyle="1" w:styleId="OpiHA">
    <w:name w:val="Opi_H_A"/>
    <w:basedOn w:val="ECHRHeading1"/>
    <w:next w:val="OpiPara"/>
    <w:uiPriority w:val="41"/>
    <w:qFormat/>
    <w:rsid w:val="00DC5AB5"/>
    <w:pPr>
      <w:tabs>
        <w:tab w:val="clear" w:pos="357"/>
      </w:tabs>
      <w:outlineLvl w:val="1"/>
    </w:pPr>
    <w:rPr>
      <w:b/>
    </w:rPr>
  </w:style>
  <w:style w:type="paragraph" w:styleId="Nagwek">
    <w:name w:val="header"/>
    <w:basedOn w:val="Normalny"/>
    <w:link w:val="NagwekZnak"/>
    <w:uiPriority w:val="57"/>
    <w:rsid w:val="00DC5AB5"/>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DC5AB5"/>
    <w:rPr>
      <w:sz w:val="24"/>
    </w:rPr>
  </w:style>
  <w:style w:type="character" w:customStyle="1" w:styleId="Nagwek1Znak">
    <w:name w:val="Nagłówek 1 Znak"/>
    <w:basedOn w:val="Domylnaczcionkaakapitu"/>
    <w:link w:val="Nagwek1"/>
    <w:uiPriority w:val="99"/>
    <w:rsid w:val="00DC5AB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DC5AB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DC5AB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C5AB5"/>
    <w:rPr>
      <w:rFonts w:asciiTheme="majorHAnsi" w:eastAsiaTheme="majorEastAsia" w:hAnsiTheme="majorHAnsi" w:cstheme="majorBidi"/>
      <w:b/>
      <w:bCs/>
      <w:color w:val="4D4D4D"/>
      <w:sz w:val="26"/>
      <w:szCs w:val="26"/>
    </w:rPr>
  </w:style>
  <w:style w:type="character" w:customStyle="1" w:styleId="JUNAMES">
    <w:name w:val="JU_NAMES"/>
    <w:uiPriority w:val="17"/>
    <w:qFormat/>
    <w:rsid w:val="00DC5AB5"/>
    <w:rPr>
      <w:caps w:val="0"/>
      <w:smallCaps/>
    </w:rPr>
  </w:style>
  <w:style w:type="paragraph" w:customStyle="1" w:styleId="ECHRDecisionBody">
    <w:name w:val="ECHR_Decision_Body"/>
    <w:aliases w:val="Ju_Judges"/>
    <w:basedOn w:val="Normalny"/>
    <w:uiPriority w:val="11"/>
    <w:qFormat/>
    <w:rsid w:val="00DC5AB5"/>
    <w:pPr>
      <w:tabs>
        <w:tab w:val="left" w:pos="567"/>
        <w:tab w:val="left" w:pos="1134"/>
      </w:tabs>
      <w:jc w:val="left"/>
    </w:pPr>
  </w:style>
  <w:style w:type="character" w:customStyle="1" w:styleId="Nagwek3Znak">
    <w:name w:val="Nagłówek 3 Znak"/>
    <w:basedOn w:val="Domylnaczcionkaakapitu"/>
    <w:link w:val="Nagwek3"/>
    <w:uiPriority w:val="99"/>
    <w:semiHidden/>
    <w:rsid w:val="00DC5AB5"/>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DC5AB5"/>
    <w:pPr>
      <w:ind w:firstLine="284"/>
    </w:pPr>
  </w:style>
  <w:style w:type="character" w:customStyle="1" w:styleId="Nagwek4Znak">
    <w:name w:val="Nagłówek 4 Znak"/>
    <w:basedOn w:val="Domylnaczcionkaakapitu"/>
    <w:link w:val="Nagwek4"/>
    <w:uiPriority w:val="99"/>
    <w:semiHidden/>
    <w:rsid w:val="00DC5AB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C5AB5"/>
    <w:rPr>
      <w:rFonts w:asciiTheme="majorHAnsi" w:eastAsiaTheme="majorEastAsia" w:hAnsiTheme="majorHAnsi" w:cstheme="majorBidi"/>
      <w:b/>
      <w:bCs/>
      <w:color w:val="808080"/>
    </w:rPr>
  </w:style>
  <w:style w:type="character" w:styleId="Wyrnieniedelikatne">
    <w:name w:val="Subtle Emphasis"/>
    <w:uiPriority w:val="99"/>
    <w:semiHidden/>
    <w:qFormat/>
    <w:rsid w:val="00DC5AB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DC5AB5"/>
    <w:pPr>
      <w:keepNext/>
      <w:keepLines/>
      <w:spacing w:before="720" w:after="240"/>
      <w:outlineLvl w:val="0"/>
    </w:pPr>
    <w:rPr>
      <w:rFonts w:asciiTheme="majorHAnsi" w:hAnsiTheme="majorHAnsi"/>
      <w:sz w:val="28"/>
    </w:rPr>
  </w:style>
  <w:style w:type="character" w:styleId="Uwydatnienie">
    <w:name w:val="Emphasis"/>
    <w:uiPriority w:val="99"/>
    <w:semiHidden/>
    <w:qFormat/>
    <w:rsid w:val="00DC5AB5"/>
    <w:rPr>
      <w:b/>
      <w:bCs/>
      <w:i/>
      <w:iCs/>
      <w:spacing w:val="10"/>
      <w:bdr w:val="none" w:sz="0" w:space="0" w:color="auto"/>
      <w:shd w:val="clear" w:color="auto" w:fill="auto"/>
    </w:rPr>
  </w:style>
  <w:style w:type="paragraph" w:styleId="Stopka">
    <w:name w:val="footer"/>
    <w:basedOn w:val="Normalny"/>
    <w:link w:val="StopkaZnak"/>
    <w:uiPriority w:val="57"/>
    <w:semiHidden/>
    <w:rsid w:val="00DC5AB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C5AB5"/>
    <w:rPr>
      <w:sz w:val="24"/>
    </w:rPr>
  </w:style>
  <w:style w:type="character" w:styleId="Odwoanieprzypisudolnego">
    <w:name w:val="footnote reference"/>
    <w:basedOn w:val="Domylnaczcionkaakapitu"/>
    <w:uiPriority w:val="99"/>
    <w:semiHidden/>
    <w:rsid w:val="00DC5AB5"/>
    <w:rPr>
      <w:vertAlign w:val="superscript"/>
    </w:rPr>
  </w:style>
  <w:style w:type="paragraph" w:styleId="Tekstprzypisudolnego">
    <w:name w:val="footnote text"/>
    <w:basedOn w:val="Normalny"/>
    <w:link w:val="TekstprzypisudolnegoZnak"/>
    <w:uiPriority w:val="99"/>
    <w:semiHidden/>
    <w:rsid w:val="00DC5AB5"/>
    <w:rPr>
      <w:sz w:val="20"/>
      <w:szCs w:val="20"/>
    </w:rPr>
  </w:style>
  <w:style w:type="character" w:customStyle="1" w:styleId="TekstprzypisudolnegoZnak">
    <w:name w:val="Tekst przypisu dolnego Znak"/>
    <w:basedOn w:val="Domylnaczcionkaakapitu"/>
    <w:link w:val="Tekstprzypisudolnego"/>
    <w:uiPriority w:val="99"/>
    <w:semiHidden/>
    <w:rsid w:val="00DC5AB5"/>
    <w:rPr>
      <w:rFonts w:eastAsiaTheme="minorEastAsia"/>
      <w:sz w:val="20"/>
      <w:szCs w:val="20"/>
    </w:rPr>
  </w:style>
  <w:style w:type="character" w:customStyle="1" w:styleId="Nagwek6Znak">
    <w:name w:val="Nagłówek 6 Znak"/>
    <w:basedOn w:val="Domylnaczcionkaakapitu"/>
    <w:link w:val="Nagwek6"/>
    <w:uiPriority w:val="99"/>
    <w:semiHidden/>
    <w:rsid w:val="00DC5AB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C5AB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C5AB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C5AB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C5AB5"/>
    <w:rPr>
      <w:color w:val="0072BC" w:themeColor="hyperlink"/>
      <w:u w:val="single"/>
    </w:rPr>
  </w:style>
  <w:style w:type="character" w:styleId="Wyrnienieintensywne">
    <w:name w:val="Intense Emphasis"/>
    <w:uiPriority w:val="99"/>
    <w:semiHidden/>
    <w:qFormat/>
    <w:rsid w:val="00DC5AB5"/>
    <w:rPr>
      <w:b/>
      <w:bCs/>
    </w:rPr>
  </w:style>
  <w:style w:type="paragraph" w:styleId="Cytatintensywny">
    <w:name w:val="Intense Quote"/>
    <w:basedOn w:val="Normalny"/>
    <w:next w:val="Normalny"/>
    <w:link w:val="CytatintensywnyZnak"/>
    <w:uiPriority w:val="99"/>
    <w:semiHidden/>
    <w:qFormat/>
    <w:rsid w:val="00DC5AB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C5AB5"/>
    <w:rPr>
      <w:rFonts w:eastAsiaTheme="minorEastAsia"/>
      <w:b/>
      <w:bCs/>
      <w:i/>
      <w:iCs/>
      <w:lang w:bidi="en-US"/>
    </w:rPr>
  </w:style>
  <w:style w:type="character" w:styleId="Odwoanieintensywne">
    <w:name w:val="Intense Reference"/>
    <w:uiPriority w:val="99"/>
    <w:semiHidden/>
    <w:qFormat/>
    <w:rsid w:val="00DC5AB5"/>
    <w:rPr>
      <w:smallCaps/>
      <w:spacing w:val="5"/>
      <w:u w:val="single"/>
    </w:rPr>
  </w:style>
  <w:style w:type="paragraph" w:styleId="Akapitzlist">
    <w:name w:val="List Paragraph"/>
    <w:basedOn w:val="Normalny"/>
    <w:uiPriority w:val="99"/>
    <w:semiHidden/>
    <w:qFormat/>
    <w:rsid w:val="00DC5AB5"/>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C5AB5"/>
    <w:pPr>
      <w:spacing w:before="200"/>
      <w:ind w:left="360" w:right="360"/>
    </w:pPr>
    <w:rPr>
      <w:i/>
      <w:iCs/>
      <w:sz w:val="22"/>
      <w:lang w:bidi="en-US"/>
    </w:rPr>
  </w:style>
  <w:style w:type="character" w:customStyle="1" w:styleId="CytatZnak">
    <w:name w:val="Cytat Znak"/>
    <w:basedOn w:val="Domylnaczcionkaakapitu"/>
    <w:link w:val="Cytat"/>
    <w:uiPriority w:val="99"/>
    <w:semiHidden/>
    <w:rsid w:val="00DC5AB5"/>
    <w:rPr>
      <w:rFonts w:eastAsiaTheme="minorEastAsia"/>
      <w:i/>
      <w:iCs/>
      <w:lang w:bidi="en-US"/>
    </w:rPr>
  </w:style>
  <w:style w:type="character" w:styleId="Odwoaniedelikatne">
    <w:name w:val="Subtle Reference"/>
    <w:uiPriority w:val="99"/>
    <w:semiHidden/>
    <w:qFormat/>
    <w:rsid w:val="00DC5AB5"/>
    <w:rPr>
      <w:smallCaps/>
    </w:rPr>
  </w:style>
  <w:style w:type="table" w:styleId="Tabela-Siatka">
    <w:name w:val="Table Grid"/>
    <w:basedOn w:val="Standardowy"/>
    <w:uiPriority w:val="59"/>
    <w:semiHidden/>
    <w:rsid w:val="00DC5AB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C5A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C5AB5"/>
    <w:pPr>
      <w:spacing w:after="60"/>
      <w:ind w:left="680" w:right="340" w:hanging="340"/>
    </w:pPr>
  </w:style>
  <w:style w:type="paragraph" w:styleId="Spistreci3">
    <w:name w:val="toc 3"/>
    <w:basedOn w:val="Normalny"/>
    <w:next w:val="Normalny"/>
    <w:autoRedefine/>
    <w:uiPriority w:val="99"/>
    <w:semiHidden/>
    <w:rsid w:val="00DC5AB5"/>
    <w:pPr>
      <w:spacing w:after="60"/>
      <w:ind w:left="1020" w:right="340" w:hanging="340"/>
    </w:pPr>
  </w:style>
  <w:style w:type="paragraph" w:styleId="Spistreci4">
    <w:name w:val="toc 4"/>
    <w:basedOn w:val="Normalny"/>
    <w:next w:val="Normalny"/>
    <w:autoRedefine/>
    <w:uiPriority w:val="99"/>
    <w:semiHidden/>
    <w:rsid w:val="00DC5AB5"/>
    <w:pPr>
      <w:tabs>
        <w:tab w:val="right" w:leader="dot" w:pos="9017"/>
      </w:tabs>
      <w:spacing w:after="60"/>
      <w:ind w:left="1361" w:right="340" w:hanging="340"/>
    </w:pPr>
  </w:style>
  <w:style w:type="paragraph" w:styleId="Spistreci5">
    <w:name w:val="toc 5"/>
    <w:basedOn w:val="Normalny"/>
    <w:next w:val="Normalny"/>
    <w:autoRedefine/>
    <w:uiPriority w:val="99"/>
    <w:semiHidden/>
    <w:rsid w:val="00DC5AB5"/>
    <w:pPr>
      <w:spacing w:after="60"/>
      <w:ind w:left="1701" w:right="340" w:hanging="340"/>
    </w:pPr>
  </w:style>
  <w:style w:type="paragraph" w:styleId="Nagwekspisutreci">
    <w:name w:val="TOC Heading"/>
    <w:basedOn w:val="Nagwek1"/>
    <w:next w:val="Normalny"/>
    <w:uiPriority w:val="99"/>
    <w:semiHidden/>
    <w:qFormat/>
    <w:rsid w:val="00DC5AB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C5AB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uiPriority w:val="14"/>
    <w:qFormat/>
    <w:rsid w:val="00DC5AB5"/>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C5AB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DC5AB5"/>
    <w:pPr>
      <w:tabs>
        <w:tab w:val="center" w:pos="851"/>
        <w:tab w:val="center" w:pos="6407"/>
      </w:tabs>
      <w:spacing w:before="720"/>
      <w:jc w:val="left"/>
    </w:pPr>
  </w:style>
  <w:style w:type="paragraph" w:customStyle="1" w:styleId="JuParaLast">
    <w:name w:val="Ju_Para_Last"/>
    <w:basedOn w:val="Normalny"/>
    <w:next w:val="ECHRPara"/>
    <w:uiPriority w:val="30"/>
    <w:qFormat/>
    <w:rsid w:val="00DC5AB5"/>
    <w:pPr>
      <w:keepNext/>
      <w:keepLines/>
      <w:spacing w:before="240"/>
      <w:ind w:firstLine="284"/>
    </w:pPr>
  </w:style>
  <w:style w:type="paragraph" w:customStyle="1" w:styleId="JuCase">
    <w:name w:val="Ju_Case"/>
    <w:basedOn w:val="Normalny"/>
    <w:next w:val="ECHRPara"/>
    <w:uiPriority w:val="10"/>
    <w:rsid w:val="00DC5AB5"/>
    <w:pPr>
      <w:ind w:firstLine="284"/>
    </w:pPr>
    <w:rPr>
      <w:b/>
    </w:rPr>
  </w:style>
  <w:style w:type="paragraph" w:customStyle="1" w:styleId="JuList">
    <w:name w:val="Ju_List"/>
    <w:basedOn w:val="Normalny"/>
    <w:uiPriority w:val="28"/>
    <w:qFormat/>
    <w:rsid w:val="00DC5AB5"/>
    <w:pPr>
      <w:ind w:left="340" w:hanging="340"/>
    </w:pPr>
  </w:style>
  <w:style w:type="character" w:customStyle="1" w:styleId="JuITMark">
    <w:name w:val="Ju_ITMark"/>
    <w:basedOn w:val="Domylnaczcionkaakapitu"/>
    <w:uiPriority w:val="38"/>
    <w:qFormat/>
    <w:rsid w:val="00DC5AB5"/>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DC5AB5"/>
    <w:pPr>
      <w:ind w:left="346" w:firstLine="0"/>
    </w:pPr>
  </w:style>
  <w:style w:type="paragraph" w:customStyle="1" w:styleId="JuListi">
    <w:name w:val="Ju_List_i"/>
    <w:basedOn w:val="Normalny"/>
    <w:next w:val="JuLista"/>
    <w:uiPriority w:val="28"/>
    <w:qFormat/>
    <w:rsid w:val="00DC5AB5"/>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Translation">
    <w:name w:val="Opi_Translation"/>
    <w:basedOn w:val="Normalny"/>
    <w:next w:val="OpiPara"/>
    <w:uiPriority w:val="40"/>
    <w:qFormat/>
    <w:rsid w:val="00DC5AB5"/>
    <w:pPr>
      <w:jc w:val="center"/>
      <w:outlineLvl w:val="0"/>
    </w:pPr>
    <w:rPr>
      <w:i/>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rsid w:val="00DC5AB5"/>
  </w:style>
  <w:style w:type="paragraph" w:styleId="Podtytu">
    <w:name w:val="Subtitle"/>
    <w:basedOn w:val="Normalny"/>
    <w:next w:val="Normalny"/>
    <w:link w:val="PodtytuZnak"/>
    <w:uiPriority w:val="99"/>
    <w:semiHidden/>
    <w:qFormat/>
    <w:rsid w:val="00DC5AB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C5AB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Ju_Para Char"/>
    <w:link w:val="ECHRPara"/>
    <w:uiPriority w:val="12"/>
    <w:rsid w:val="00E4114C"/>
    <w:rPr>
      <w:rFonts w:eastAsiaTheme="minorEastAsia"/>
      <w:sz w:val="24"/>
    </w:rPr>
  </w:style>
  <w:style w:type="character" w:customStyle="1" w:styleId="JuH1Char">
    <w:name w:val="Ju_H_1. Char"/>
    <w:link w:val="ECHRHeading3"/>
    <w:uiPriority w:val="21"/>
    <w:rsid w:val="00E4114C"/>
    <w:rPr>
      <w:rFonts w:asciiTheme="majorHAnsi" w:eastAsiaTheme="majorEastAsia" w:hAnsiTheme="majorHAnsi" w:cstheme="majorBidi"/>
      <w:bCs/>
      <w:i/>
      <w:sz w:val="24"/>
    </w:rPr>
  </w:style>
  <w:style w:type="character" w:customStyle="1" w:styleId="JuHaChar">
    <w:name w:val="Ju_H_a Char"/>
    <w:link w:val="ECHRHeading4"/>
    <w:uiPriority w:val="22"/>
    <w:rsid w:val="00E4114C"/>
    <w:rPr>
      <w:rFonts w:asciiTheme="majorHAnsi" w:eastAsiaTheme="majorEastAsia" w:hAnsiTheme="majorHAnsi" w:cstheme="majorBidi"/>
      <w:b/>
      <w:bCs/>
      <w:iCs/>
      <w:sz w:val="20"/>
    </w:rPr>
  </w:style>
  <w:style w:type="paragraph" w:customStyle="1" w:styleId="JuCourt">
    <w:name w:val="Ju_Court"/>
    <w:basedOn w:val="Normalny"/>
    <w:next w:val="Normalny"/>
    <w:uiPriority w:val="16"/>
    <w:qFormat/>
    <w:rsid w:val="00DC5AB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C5AB5"/>
    <w:pPr>
      <w:spacing w:before="240"/>
      <w:ind w:left="284"/>
    </w:pPr>
  </w:style>
  <w:style w:type="paragraph" w:customStyle="1" w:styleId="OpiH1">
    <w:name w:val="Opi_H_1"/>
    <w:basedOn w:val="ECHRHeading2"/>
    <w:uiPriority w:val="42"/>
    <w:qFormat/>
    <w:rsid w:val="00DC5AB5"/>
    <w:pPr>
      <w:ind w:left="635" w:hanging="357"/>
      <w:outlineLvl w:val="2"/>
    </w:pPr>
  </w:style>
  <w:style w:type="paragraph" w:customStyle="1" w:styleId="OpiHa0">
    <w:name w:val="Opi_H_a"/>
    <w:basedOn w:val="ECHRHeading3"/>
    <w:uiPriority w:val="43"/>
    <w:qFormat/>
    <w:rsid w:val="00DC5AB5"/>
    <w:pPr>
      <w:ind w:left="833" w:hanging="357"/>
      <w:outlineLvl w:val="3"/>
    </w:pPr>
    <w:rPr>
      <w:b/>
      <w:i w:val="0"/>
      <w:sz w:val="20"/>
    </w:rPr>
  </w:style>
  <w:style w:type="paragraph" w:customStyle="1" w:styleId="OpiHi">
    <w:name w:val="Opi_H_i"/>
    <w:basedOn w:val="ECHRHeading4"/>
    <w:uiPriority w:val="44"/>
    <w:qFormat/>
    <w:rsid w:val="00DC5AB5"/>
    <w:pPr>
      <w:ind w:left="1037" w:hanging="357"/>
      <w:outlineLvl w:val="4"/>
    </w:pPr>
    <w:rPr>
      <w:b w:val="0"/>
      <w:i/>
    </w:rPr>
  </w:style>
  <w:style w:type="character" w:customStyle="1" w:styleId="JuHIRomanChar">
    <w:name w:val="Ju_H_I_Roman Char"/>
    <w:link w:val="ECHRHeading1"/>
    <w:uiPriority w:val="19"/>
    <w:rsid w:val="008E20C6"/>
    <w:rPr>
      <w:rFonts w:asciiTheme="majorHAnsi" w:eastAsiaTheme="majorEastAsia" w:hAnsiTheme="majorHAnsi" w:cstheme="majorBidi"/>
      <w:bCs/>
      <w:sz w:val="24"/>
      <w:szCs w:val="28"/>
    </w:rPr>
  </w:style>
  <w:style w:type="paragraph" w:customStyle="1" w:styleId="DummyStyle">
    <w:name w:val="Dummy_Style"/>
    <w:basedOn w:val="Normalny"/>
    <w:semiHidden/>
    <w:qFormat/>
    <w:rsid w:val="00DC5AB5"/>
    <w:rPr>
      <w:color w:val="00B050"/>
    </w:rPr>
  </w:style>
  <w:style w:type="paragraph" w:customStyle="1" w:styleId="Page">
    <w:name w:val="Page"/>
    <w:basedOn w:val="ECHRHeader"/>
    <w:rsid w:val="004D50F2"/>
    <w:rPr>
      <w:lang w:val="fr-FR"/>
    </w:rPr>
  </w:style>
  <w:style w:type="character" w:customStyle="1" w:styleId="JuQuotChar">
    <w:name w:val="Ju_Quot Char"/>
    <w:basedOn w:val="Domylnaczcionkaakapitu"/>
    <w:link w:val="ECHRParaQuote"/>
    <w:uiPriority w:val="14"/>
    <w:rsid w:val="00DC5AB5"/>
    <w:rPr>
      <w:rFonts w:eastAsiaTheme="minorEastAsia"/>
      <w:sz w:val="20"/>
    </w:rPr>
  </w:style>
  <w:style w:type="table" w:customStyle="1" w:styleId="TableSimple11">
    <w:name w:val="Table Simple 11"/>
    <w:basedOn w:val="Standardowy"/>
    <w:next w:val="Tabela-Prosty1"/>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unhideWhenUsed/>
    <w:rsid w:val="009120AB"/>
    <w:pPr>
      <w:jc w:val="both"/>
    </w:pPr>
    <w:rPr>
      <w:rFonts w:ascii="Times New Roman" w:eastAsia="Times New Roman" w:hAnsi="Times New Roman" w:cs="Times New Roman"/>
      <w:lang w:val="fr-FR" w:eastAsia="fr-FR"/>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Standardowy"/>
    <w:next w:val="Tabela-Klasyczny1"/>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unhideWhenUsed/>
    <w:rsid w:val="009120AB"/>
    <w:pPr>
      <w:jc w:val="both"/>
    </w:pPr>
    <w:rPr>
      <w:rFonts w:ascii="Times New Roman" w:eastAsia="Times New Roman" w:hAnsi="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unhideWhenUsed/>
    <w:rsid w:val="009120AB"/>
    <w:pPr>
      <w:jc w:val="both"/>
    </w:pPr>
    <w:rPr>
      <w:rFonts w:ascii="Times New Roman" w:eastAsia="Times New Roman" w:hAnsi="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unhideWhenUsed/>
    <w:rsid w:val="009120AB"/>
    <w:pPr>
      <w:jc w:val="both"/>
    </w:pPr>
    <w:rPr>
      <w:rFonts w:ascii="Times New Roman" w:eastAsia="Times New Roman" w:hAnsi="Times New Roman" w:cs="Times New Roman"/>
      <w:lang w:val="fr-FR" w:eastAsia="fr-FR"/>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unhideWhenUsed/>
    <w:rsid w:val="009120AB"/>
    <w:pPr>
      <w:jc w:val="both"/>
    </w:pPr>
    <w:rPr>
      <w:rFonts w:ascii="Times New Roman" w:eastAsia="Times New Roman" w:hAnsi="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unhideWhenUsed/>
    <w:rsid w:val="009120AB"/>
    <w:pPr>
      <w:jc w:val="both"/>
    </w:pPr>
    <w:rPr>
      <w:rFonts w:ascii="Times New Roman" w:eastAsia="Times New Roman" w:hAnsi="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unhideWhenUsed/>
    <w:rsid w:val="009120AB"/>
    <w:pPr>
      <w:jc w:val="both"/>
    </w:pPr>
    <w:rPr>
      <w:rFonts w:ascii="Times New Roman" w:eastAsia="Times New Roman" w:hAnsi="Times New Roman" w:cs="Times New Roman"/>
      <w:b/>
      <w:bCs/>
      <w:lang w:val="fr-FR" w:eastAsia="fr-FR"/>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unhideWhenUsed/>
    <w:rsid w:val="009120AB"/>
    <w:pPr>
      <w:jc w:val="both"/>
    </w:pPr>
    <w:rPr>
      <w:rFonts w:ascii="Times New Roman" w:eastAsia="Times New Roman" w:hAnsi="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unhideWhenUsed/>
    <w:rsid w:val="009120AB"/>
    <w:pPr>
      <w:jc w:val="both"/>
    </w:pPr>
    <w:rPr>
      <w:rFonts w:ascii="Times New Roman" w:eastAsia="Times New Roman" w:hAnsi="Times New Roman" w:cs="Times New Roman"/>
      <w:lang w:val="fr-FR" w:eastAsia="fr-FR"/>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unhideWhenUsed/>
    <w:rsid w:val="009120AB"/>
    <w:pPr>
      <w:jc w:val="both"/>
    </w:pPr>
    <w:rPr>
      <w:rFonts w:ascii="Times New Roman" w:eastAsia="Times New Roman" w:hAnsi="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Standardowy"/>
    <w:next w:val="Tabela-Siatka1"/>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unhideWhenUsed/>
    <w:rsid w:val="009120AB"/>
    <w:pPr>
      <w:jc w:val="both"/>
    </w:pPr>
    <w:rPr>
      <w:rFonts w:ascii="Times New Roman" w:eastAsia="Times New Roman" w:hAnsi="Times New Roman" w:cs="Times New Roman"/>
      <w:lang w:val="fr-FR" w:eastAsia="fr-FR"/>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unhideWhenUsed/>
    <w:rsid w:val="009120AB"/>
    <w:pPr>
      <w:jc w:val="both"/>
    </w:pPr>
    <w:rPr>
      <w:rFonts w:ascii="Times New Roman" w:eastAsia="Times New Roman" w:hAnsi="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unhideWhenUsed/>
    <w:rsid w:val="009120AB"/>
    <w:pPr>
      <w:jc w:val="both"/>
    </w:pPr>
    <w:rPr>
      <w:rFonts w:ascii="Times New Roman" w:eastAsia="Times New Roman" w:hAnsi="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unhideWhenUsed/>
    <w:rsid w:val="009120AB"/>
    <w:pPr>
      <w:jc w:val="both"/>
    </w:pPr>
    <w:rPr>
      <w:rFonts w:ascii="Times New Roman" w:eastAsia="Times New Roman" w:hAnsi="Times New Roman" w:cs="Times New Roman"/>
      <w:lang w:val="fr-FR" w:eastAsia="fr-FR"/>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unhideWhenUsed/>
    <w:rsid w:val="009120AB"/>
    <w:pPr>
      <w:jc w:val="both"/>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unhideWhenUsed/>
    <w:rsid w:val="009120AB"/>
    <w:pPr>
      <w:jc w:val="both"/>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
    <w:name w:val="Table 3D effects 11"/>
    <w:basedOn w:val="Standardowy"/>
    <w:next w:val="Tabela-Efekty3W1"/>
    <w:uiPriority w:val="99"/>
    <w:semiHidden/>
    <w:unhideWhenUsed/>
    <w:rsid w:val="009120AB"/>
    <w:pPr>
      <w:jc w:val="both"/>
    </w:pPr>
    <w:rPr>
      <w:rFonts w:ascii="Times New Roman" w:eastAsia="Times New Roman" w:hAnsi="Times New Roman" w:cs="Times New Roman"/>
      <w:lang w:val="fr-FR" w:eastAsia="fr-FR"/>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unhideWhenUsed/>
    <w:rsid w:val="009120AB"/>
    <w:pPr>
      <w:jc w:val="both"/>
    </w:pPr>
    <w:rPr>
      <w:rFonts w:ascii="Times New Roman" w:eastAsia="Times New Roman" w:hAnsi="Times New Roman" w:cs="Times New Roman"/>
      <w:lang w:val="fr-FR" w:eastAsia="fr-FR"/>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unhideWhenUsed/>
    <w:rsid w:val="009120AB"/>
    <w:pPr>
      <w:jc w:val="both"/>
    </w:pPr>
    <w:rPr>
      <w:rFonts w:ascii="Times New Roman" w:eastAsia="Times New Roman" w:hAnsi="Times New Roman" w:cs="Times New Roman"/>
      <w:lang w:val="fr-FR" w:eastAsia="fr-FR"/>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ntemporary1">
    <w:name w:val="Table Contemporary1"/>
    <w:basedOn w:val="Standardowy"/>
    <w:next w:val="Tabela-Wspczesny"/>
    <w:uiPriority w:val="99"/>
    <w:semiHidden/>
    <w:unhideWhenUsed/>
    <w:rsid w:val="009120AB"/>
    <w:pPr>
      <w:jc w:val="both"/>
    </w:pPr>
    <w:rPr>
      <w:rFonts w:ascii="Times New Roman" w:eastAsia="Times New Roman" w:hAnsi="Times New Roman" w:cs="Times New Roman"/>
      <w:lang w:val="fr-FR"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unhideWhenUsed/>
    <w:rsid w:val="009120AB"/>
    <w:pPr>
      <w:jc w:val="both"/>
    </w:pPr>
    <w:rPr>
      <w:rFonts w:ascii="Times New Roman" w:eastAsia="Times New Roman" w:hAnsi="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TableProfessional1">
    <w:name w:val="Table Professional1"/>
    <w:basedOn w:val="Standardowy"/>
    <w:next w:val="Tabela-Profesjonalny"/>
    <w:uiPriority w:val="99"/>
    <w:semiHidden/>
    <w:unhideWhenUsed/>
    <w:rsid w:val="009120AB"/>
    <w:pPr>
      <w:jc w:val="both"/>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unhideWhenUsed/>
    <w:rsid w:val="009120AB"/>
    <w:pPr>
      <w:jc w:val="both"/>
    </w:pPr>
    <w:rPr>
      <w:rFonts w:ascii="Times New Roman" w:eastAsia="Times New Roman" w:hAnsi="Times New Roman" w:cs="Times New Roman"/>
      <w:lang w:val="fr-FR" w:eastAsia="fr-FR"/>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unhideWhenUsed/>
    <w:rsid w:val="009120AB"/>
    <w:pPr>
      <w:jc w:val="both"/>
    </w:pPr>
    <w:rPr>
      <w:rFonts w:ascii="Times New Roman" w:eastAsia="Times New Roman" w:hAnsi="Times New Roman" w:cs="Times New Roman"/>
      <w:lang w:val="fr-FR" w:eastAsia="fr-FR"/>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Web11">
    <w:name w:val="Table Web 11"/>
    <w:basedOn w:val="Standardowy"/>
    <w:next w:val="Tabela-SieWeb1"/>
    <w:uiPriority w:val="99"/>
    <w:semiHidden/>
    <w:unhideWhenUsed/>
    <w:rsid w:val="009120AB"/>
    <w:pPr>
      <w:jc w:val="both"/>
    </w:pPr>
    <w:rPr>
      <w:rFonts w:ascii="Times New Roman" w:eastAsia="Times New Roman" w:hAnsi="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unhideWhenUsed/>
    <w:rsid w:val="009120AB"/>
    <w:pPr>
      <w:jc w:val="both"/>
    </w:pPr>
    <w:rPr>
      <w:rFonts w:ascii="Times New Roman" w:eastAsia="Times New Roman" w:hAnsi="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unhideWhenUsed/>
    <w:rsid w:val="009120AB"/>
    <w:pPr>
      <w:jc w:val="both"/>
    </w:pPr>
    <w:rPr>
      <w:rFonts w:ascii="Times New Roman" w:eastAsia="Times New Roman" w:hAnsi="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Standardowy"/>
    <w:next w:val="Tabela-Siatka"/>
    <w:uiPriority w:val="99"/>
    <w:rsid w:val="009120AB"/>
    <w:rPr>
      <w:rFonts w:ascii="Times New Roman" w:eastAsia="MS Mincho" w:hAnsi="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Theme1">
    <w:name w:val="Table Theme1"/>
    <w:basedOn w:val="Standardowy"/>
    <w:next w:val="Tabela-Motyw"/>
    <w:uiPriority w:val="99"/>
    <w:semiHidden/>
    <w:unhideWhenUsed/>
    <w:rsid w:val="009120AB"/>
    <w:pPr>
      <w:jc w:val="both"/>
    </w:pPr>
    <w:rPr>
      <w:rFonts w:ascii="Times New Roman" w:eastAsia="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Standardowy"/>
    <w:next w:val="Jasnecieniowanie"/>
    <w:uiPriority w:val="99"/>
    <w:rsid w:val="009120AB"/>
    <w:rPr>
      <w:rFonts w:ascii="Times New Roman" w:eastAsia="Times New Roman" w:hAnsi="Times New Roman" w:cs="Times New Roman"/>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List1">
    <w:name w:val="Light List1"/>
    <w:basedOn w:val="Standardowy"/>
    <w:next w:val="Jasnalista"/>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Grid1">
    <w:name w:val="Light Grid1"/>
    <w:basedOn w:val="Standardowy"/>
    <w:next w:val="Jasnasiatka"/>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11">
    <w:name w:val="Medium Shading 11"/>
    <w:basedOn w:val="Standardowy"/>
    <w:next w:val="redniecieniowanie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Standardowy"/>
    <w:next w:val="redniecieniowanie2"/>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Standardowy"/>
    <w:next w:val="rednialista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21">
    <w:name w:val="Medium List 21"/>
    <w:basedOn w:val="Standardowy"/>
    <w:next w:val="rednialista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1">
    <w:name w:val="Medium Grid 11"/>
    <w:basedOn w:val="Standardowy"/>
    <w:next w:val="redniasiatka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1">
    <w:name w:val="Medium Grid 21"/>
    <w:basedOn w:val="Standardowy"/>
    <w:next w:val="redniasiatka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31">
    <w:name w:val="Medium Grid 31"/>
    <w:basedOn w:val="Standardowy"/>
    <w:next w:val="redniasiatka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DarkList1">
    <w:name w:val="Dark List1"/>
    <w:basedOn w:val="Standardowy"/>
    <w:next w:val="Ciemnalista"/>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ColorfulShading1">
    <w:name w:val="Colorful Shading1"/>
    <w:basedOn w:val="Standardowy"/>
    <w:next w:val="Kolorowecieniowanie"/>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Standardowy"/>
    <w:next w:val="Kolorowalista"/>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Grid1">
    <w:name w:val="Colorful Grid1"/>
    <w:basedOn w:val="Standardowy"/>
    <w:next w:val="Kolorowasiatka"/>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Accent11">
    <w:name w:val="Light Shading - Accent 11"/>
    <w:basedOn w:val="Standardowy"/>
    <w:next w:val="Jasnecieniowanieakcent1"/>
    <w:uiPriority w:val="99"/>
    <w:rsid w:val="009120AB"/>
    <w:rPr>
      <w:rFonts w:ascii="Times New Roman" w:eastAsia="Times New Roman" w:hAnsi="Times New Roman" w:cs="Times New Roman"/>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LightList-Accent11">
    <w:name w:val="Light List - Accent 11"/>
    <w:basedOn w:val="Standardowy"/>
    <w:next w:val="Jasnalista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0072BC" w:themeFill="accent1"/>
      </w:tcPr>
    </w:tblStylePr>
    <w:tblStylePr w:type="lastRow">
      <w:pPr>
        <w:spacing w:beforeLines="0" w:before="0" w:beforeAutospacing="0" w:afterLines="0" w:after="0" w:afterAutospacing="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Grid-Accent11">
    <w:name w:val="Light Grid - Accent 11"/>
    <w:basedOn w:val="Standardowy"/>
    <w:next w:val="Jasnasiatka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MediumShading1-Accent11">
    <w:name w:val="Medium Shading 1 - Accent 11"/>
    <w:basedOn w:val="Standardowy"/>
    <w:next w:val="redniecieniowanie1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Lines="0" w:before="0" w:beforeAutospacing="0" w:afterLines="0" w:after="0" w:afterAutospacing="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Standardowy"/>
    <w:next w:val="redniecieniowanie2akcent1"/>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11">
    <w:name w:val="Medium List 1 - Accent 11"/>
    <w:basedOn w:val="Standardowy"/>
    <w:next w:val="rednialista1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2-Accent11">
    <w:name w:val="Medium List 2 - Accent 11"/>
    <w:basedOn w:val="Standardowy"/>
    <w:next w:val="rednialista2akcent1"/>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11">
    <w:name w:val="Medium Grid 1 - Accent 11"/>
    <w:basedOn w:val="Standardowy"/>
    <w:next w:val="redniasiatka1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MediumGrid2-Accent11">
    <w:name w:val="Medium Grid 2 - Accent 11"/>
    <w:basedOn w:val="Standardowy"/>
    <w:next w:val="redniasiatka2akcent1"/>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customStyle="1" w:styleId="MediumGrid3-Accent11">
    <w:name w:val="Medium Grid 3 - Accent 11"/>
    <w:basedOn w:val="Standardowy"/>
    <w:next w:val="redniasiatka3akcent1"/>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customStyle="1" w:styleId="DarkList-Accent11">
    <w:name w:val="Dark List - Accent 11"/>
    <w:basedOn w:val="Standardowy"/>
    <w:next w:val="Ciemnalista2akcent1"/>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customStyle="1" w:styleId="ColorfulShading-Accent11">
    <w:name w:val="Colorful Shading - Accent 11"/>
    <w:basedOn w:val="Standardowy"/>
    <w:next w:val="Kolorowecieniowanie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customStyle="1" w:styleId="ColorfulList-Accent11">
    <w:name w:val="Colorful List - Accent 11"/>
    <w:basedOn w:val="Standardowy"/>
    <w:next w:val="Kolorowalista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customStyle="1" w:styleId="ColorfulGrid-Accent11">
    <w:name w:val="Colorful Grid - Accent 11"/>
    <w:basedOn w:val="Standardowy"/>
    <w:next w:val="Kolorowasiatkaakcent1"/>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LightShading-Accent21">
    <w:name w:val="Light Shading - Accent 21"/>
    <w:basedOn w:val="Standardowy"/>
    <w:next w:val="Jasnecieniowanieakcent2"/>
    <w:uiPriority w:val="99"/>
    <w:rsid w:val="009120AB"/>
    <w:rPr>
      <w:rFonts w:ascii="Times New Roman" w:eastAsia="Times New Roman" w:hAnsi="Times New Roman" w:cs="Times New Roman"/>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customStyle="1" w:styleId="LightList-Accent21">
    <w:name w:val="Light List - Accent 21"/>
    <w:basedOn w:val="Standardowy"/>
    <w:next w:val="Jasnalista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C00000" w:themeFill="accent2"/>
      </w:tcPr>
    </w:tblStylePr>
    <w:tblStylePr w:type="lastRow">
      <w:pPr>
        <w:spacing w:beforeLines="0" w:before="0" w:beforeAutospacing="0" w:afterLines="0" w:after="0" w:afterAutospacing="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customStyle="1" w:styleId="LightGrid-Accent21">
    <w:name w:val="Light Grid - Accent 21"/>
    <w:basedOn w:val="Standardowy"/>
    <w:next w:val="Jasnasiatka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customStyle="1" w:styleId="MediumShading1-Accent21">
    <w:name w:val="Medium Shading 1 - Accent 21"/>
    <w:basedOn w:val="Standardowy"/>
    <w:next w:val="redniecieniowanie1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Lines="0" w:before="0" w:beforeAutospacing="0" w:afterLines="0" w:after="0" w:afterAutospacing="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customStyle="1" w:styleId="MediumShading2-Accent21">
    <w:name w:val="Medium Shading 2 - Accent 21"/>
    <w:basedOn w:val="Standardowy"/>
    <w:next w:val="redniecieniowanie2akcent2"/>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21">
    <w:name w:val="Medium List 1 - Accent 21"/>
    <w:basedOn w:val="Standardowy"/>
    <w:next w:val="rednialista1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customStyle="1" w:styleId="MediumList2-Accent21">
    <w:name w:val="Medium List 2 - Accent 21"/>
    <w:basedOn w:val="Standardowy"/>
    <w:next w:val="rednialista2akcent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21">
    <w:name w:val="Medium Grid 1 - Accent 21"/>
    <w:basedOn w:val="Standardowy"/>
    <w:next w:val="redniasiatka1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MediumGrid2-Accent21">
    <w:name w:val="Medium Grid 2 - Accent 21"/>
    <w:basedOn w:val="Standardowy"/>
    <w:next w:val="redniasiatka2akcent2"/>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customStyle="1" w:styleId="MediumGrid3-Accent21">
    <w:name w:val="Medium Grid 3 - Accent 21"/>
    <w:basedOn w:val="Standardowy"/>
    <w:next w:val="redniasiatka3akcent2"/>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customStyle="1" w:styleId="DarkList-Accent21">
    <w:name w:val="Dark List - Accent 21"/>
    <w:basedOn w:val="Standardowy"/>
    <w:next w:val="Ciemnalistaakcent2"/>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customStyle="1" w:styleId="ColorfulShading-Accent21">
    <w:name w:val="Colorful Shading - Accent 21"/>
    <w:basedOn w:val="Standardowy"/>
    <w:next w:val="Kolorowecieniowanie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customStyle="1" w:styleId="ColorfulList-Accent21">
    <w:name w:val="Colorful List - Accent 21"/>
    <w:basedOn w:val="Standardowy"/>
    <w:next w:val="Kolorowalista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customStyle="1" w:styleId="ColorfulGrid-Accent21">
    <w:name w:val="Colorful Grid - Accent 21"/>
    <w:basedOn w:val="Standardowy"/>
    <w:next w:val="Kolorowasiatkaakcent2"/>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LightShading-Accent31">
    <w:name w:val="Light Shading - Accent 31"/>
    <w:basedOn w:val="Standardowy"/>
    <w:next w:val="Jasnecieniowanieakcent3"/>
    <w:uiPriority w:val="99"/>
    <w:rsid w:val="009120AB"/>
    <w:rPr>
      <w:rFonts w:ascii="Times New Roman" w:eastAsia="Times New Roman" w:hAnsi="Times New Roman" w:cs="Times New Roman"/>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customStyle="1" w:styleId="LightList-Accent31">
    <w:name w:val="Light List - Accent 31"/>
    <w:basedOn w:val="Standardowy"/>
    <w:next w:val="Jasnalista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5F5F5F" w:themeFill="accent3"/>
      </w:tcPr>
    </w:tblStylePr>
    <w:tblStylePr w:type="lastRow">
      <w:pPr>
        <w:spacing w:beforeLines="0" w:before="0" w:beforeAutospacing="0" w:afterLines="0" w:after="0" w:afterAutospacing="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customStyle="1" w:styleId="LightGrid-Accent31">
    <w:name w:val="Light Grid - Accent 31"/>
    <w:basedOn w:val="Standardowy"/>
    <w:next w:val="Jasnasiatka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customStyle="1" w:styleId="MediumShading1-Accent31">
    <w:name w:val="Medium Shading 1 - Accent 31"/>
    <w:basedOn w:val="Standardowy"/>
    <w:next w:val="redniecieniowanie1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Lines="0" w:before="0" w:beforeAutospacing="0" w:afterLines="0" w:after="0" w:afterAutospacing="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customStyle="1" w:styleId="MediumShading2-Accent31">
    <w:name w:val="Medium Shading 2 - Accent 31"/>
    <w:basedOn w:val="Standardowy"/>
    <w:next w:val="redniecieniowanie2akcent3"/>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31">
    <w:name w:val="Medium List 1 - Accent 31"/>
    <w:basedOn w:val="Standardowy"/>
    <w:next w:val="rednialista1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customStyle="1" w:styleId="MediumList2-Accent31">
    <w:name w:val="Medium List 2 - Accent 31"/>
    <w:basedOn w:val="Standardowy"/>
    <w:next w:val="rednialista2akcent3"/>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31">
    <w:name w:val="Medium Grid 1 - Accent 31"/>
    <w:basedOn w:val="Standardowy"/>
    <w:next w:val="redniasiatka1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MediumGrid2-Accent31">
    <w:name w:val="Medium Grid 2 - Accent 31"/>
    <w:basedOn w:val="Standardowy"/>
    <w:next w:val="redniasiatka2akcent3"/>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customStyle="1" w:styleId="MediumGrid3-Accent31">
    <w:name w:val="Medium Grid 3 - Accent 31"/>
    <w:basedOn w:val="Standardowy"/>
    <w:next w:val="redniasiatka3akcent3"/>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customStyle="1" w:styleId="DarkList-Accent31">
    <w:name w:val="Dark List - Accent 31"/>
    <w:basedOn w:val="Standardowy"/>
    <w:next w:val="Ciemnalistaakcent3"/>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customStyle="1" w:styleId="ColorfulShading-Accent31">
    <w:name w:val="Colorful Shading - Accent 31"/>
    <w:basedOn w:val="Standardowy"/>
    <w:next w:val="Kolorowecieniowanie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customStyle="1" w:styleId="ColorfulList-Accent31">
    <w:name w:val="Colorful List - Accent 31"/>
    <w:basedOn w:val="Standardowy"/>
    <w:next w:val="Kolorowalista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customStyle="1" w:styleId="ColorfulGrid-Accent31">
    <w:name w:val="Colorful Grid - Accent 31"/>
    <w:basedOn w:val="Standardowy"/>
    <w:next w:val="Kolorowasiatkaakcent3"/>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LightShading-Accent41">
    <w:name w:val="Light Shading - Accent 41"/>
    <w:basedOn w:val="Standardowy"/>
    <w:next w:val="Jasnecieniowanieakcent4"/>
    <w:uiPriority w:val="99"/>
    <w:rsid w:val="009120AB"/>
    <w:rPr>
      <w:rFonts w:ascii="Times New Roman" w:eastAsia="Times New Roman" w:hAnsi="Times New Roman" w:cs="Times New Roman"/>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customStyle="1" w:styleId="LightList-Accent41">
    <w:name w:val="Light List - Accent 41"/>
    <w:basedOn w:val="Standardowy"/>
    <w:next w:val="Jasnalista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969696" w:themeFill="accent4"/>
      </w:tcPr>
    </w:tblStylePr>
    <w:tblStylePr w:type="lastRow">
      <w:pPr>
        <w:spacing w:beforeLines="0" w:before="0" w:beforeAutospacing="0" w:afterLines="0" w:after="0" w:afterAutospacing="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customStyle="1" w:styleId="LightGrid-Accent41">
    <w:name w:val="Light Grid - Accent 41"/>
    <w:basedOn w:val="Standardowy"/>
    <w:next w:val="Jasnasiatka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customStyle="1" w:styleId="MediumShading1-Accent41">
    <w:name w:val="Medium Shading 1 - Accent 41"/>
    <w:basedOn w:val="Standardowy"/>
    <w:next w:val="redniecieniowanie1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Lines="0" w:before="0" w:beforeAutospacing="0" w:afterLines="0" w:after="0" w:afterAutospacing="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customStyle="1" w:styleId="MediumShading2-Accent41">
    <w:name w:val="Medium Shading 2 - Accent 41"/>
    <w:basedOn w:val="Standardowy"/>
    <w:next w:val="redniecieniowanie2akcent4"/>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41">
    <w:name w:val="Medium List 1 - Accent 41"/>
    <w:basedOn w:val="Standardowy"/>
    <w:next w:val="rednialista1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customStyle="1" w:styleId="MediumList2-Accent41">
    <w:name w:val="Medium List 2 - Accent 41"/>
    <w:basedOn w:val="Standardowy"/>
    <w:next w:val="rednialista2akcent4"/>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41">
    <w:name w:val="Medium Grid 1 - Accent 41"/>
    <w:basedOn w:val="Standardowy"/>
    <w:next w:val="redniasiatka1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MediumGrid2-Accent41">
    <w:name w:val="Medium Grid 2 - Accent 41"/>
    <w:basedOn w:val="Standardowy"/>
    <w:next w:val="redniasiatka2akcent4"/>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customStyle="1" w:styleId="MediumGrid3-Accent41">
    <w:name w:val="Medium Grid 3 - Accent 41"/>
    <w:basedOn w:val="Standardowy"/>
    <w:next w:val="redniasiatka3akcent4"/>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customStyle="1" w:styleId="DarkList-Accent41">
    <w:name w:val="Dark List - Accent 41"/>
    <w:basedOn w:val="Standardowy"/>
    <w:next w:val="Ciemnalistaakcent4"/>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customStyle="1" w:styleId="ColorfulShading-Accent41">
    <w:name w:val="Colorful Shading - Accent 41"/>
    <w:basedOn w:val="Standardowy"/>
    <w:next w:val="Kolorowecieniowanie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customStyle="1" w:styleId="ColorfulList-Accent41">
    <w:name w:val="Colorful List - Accent 41"/>
    <w:basedOn w:val="Standardowy"/>
    <w:next w:val="Kolorowalista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customStyle="1" w:styleId="ColorfulGrid-Accent41">
    <w:name w:val="Colorful Grid - Accent 41"/>
    <w:basedOn w:val="Standardowy"/>
    <w:next w:val="Kolorowasiatkaakcent4"/>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LightShading-Accent51">
    <w:name w:val="Light Shading - Accent 51"/>
    <w:basedOn w:val="Standardowy"/>
    <w:next w:val="Jasnecieniowanieakcent5"/>
    <w:uiPriority w:val="99"/>
    <w:rsid w:val="009120AB"/>
    <w:rPr>
      <w:rFonts w:ascii="Times New Roman" w:eastAsia="Times New Roman" w:hAnsi="Times New Roman" w:cs="Times New Roman"/>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customStyle="1" w:styleId="LightList-Accent51">
    <w:name w:val="Light List - Accent 51"/>
    <w:basedOn w:val="Standardowy"/>
    <w:next w:val="Jasnalista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5F5F5F" w:themeFill="accent5"/>
      </w:tcPr>
    </w:tblStylePr>
    <w:tblStylePr w:type="lastRow">
      <w:pPr>
        <w:spacing w:beforeLines="0" w:before="0" w:beforeAutospacing="0" w:afterLines="0" w:after="0" w:afterAutospacing="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customStyle="1" w:styleId="LightGrid-Accent51">
    <w:name w:val="Light Grid - Accent 51"/>
    <w:basedOn w:val="Standardowy"/>
    <w:next w:val="Jasnasiatka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customStyle="1" w:styleId="MediumShading1-Accent51">
    <w:name w:val="Medium Shading 1 - Accent 51"/>
    <w:basedOn w:val="Standardowy"/>
    <w:next w:val="redniecieniowanie1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Lines="0" w:before="0" w:beforeAutospacing="0" w:afterLines="0" w:after="0" w:afterAutospacing="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customStyle="1" w:styleId="MediumShading2-Accent51">
    <w:name w:val="Medium Shading 2 - Accent 51"/>
    <w:basedOn w:val="Standardowy"/>
    <w:next w:val="redniecieniowanie2akcent5"/>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51">
    <w:name w:val="Medium List 1 - Accent 51"/>
    <w:basedOn w:val="Standardowy"/>
    <w:next w:val="rednialista1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customStyle="1" w:styleId="MediumList2-Accent51">
    <w:name w:val="Medium List 2 - Accent 51"/>
    <w:basedOn w:val="Standardowy"/>
    <w:next w:val="rednialista2akcent5"/>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51">
    <w:name w:val="Medium Grid 1 - Accent 51"/>
    <w:basedOn w:val="Standardowy"/>
    <w:next w:val="redniasiatka1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MediumGrid2-Accent51">
    <w:name w:val="Medium Grid 2 - Accent 51"/>
    <w:basedOn w:val="Standardowy"/>
    <w:next w:val="redniasiatka2akcent5"/>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customStyle="1" w:styleId="MediumGrid3-Accent51">
    <w:name w:val="Medium Grid 3 - Accent 51"/>
    <w:basedOn w:val="Standardowy"/>
    <w:next w:val="redniasiatka3akcent5"/>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customStyle="1" w:styleId="DarkList-Accent51">
    <w:name w:val="Dark List - Accent 51"/>
    <w:basedOn w:val="Standardowy"/>
    <w:next w:val="Ciemnalistaakcent5"/>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customStyle="1" w:styleId="ColorfulShading-Accent51">
    <w:name w:val="Colorful Shading - Accent 51"/>
    <w:basedOn w:val="Standardowy"/>
    <w:next w:val="Kolorowecieniowanie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customStyle="1" w:styleId="ColorfulList-Accent51">
    <w:name w:val="Colorful List - Accent 51"/>
    <w:basedOn w:val="Standardowy"/>
    <w:next w:val="Kolorowalista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customStyle="1" w:styleId="ColorfulGrid-Accent51">
    <w:name w:val="Colorful Grid - Accent 51"/>
    <w:basedOn w:val="Standardowy"/>
    <w:next w:val="Kolorowasiatkaakcent5"/>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LightShading-Accent61">
    <w:name w:val="Light Shading - Accent 61"/>
    <w:basedOn w:val="Standardowy"/>
    <w:next w:val="Jasnecieniowanieakcent6"/>
    <w:uiPriority w:val="99"/>
    <w:rsid w:val="009120AB"/>
    <w:rPr>
      <w:rFonts w:ascii="Times New Roman" w:eastAsia="Times New Roman" w:hAnsi="Times New Roman" w:cs="Times New Roman"/>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customStyle="1" w:styleId="LightList-Accent61">
    <w:name w:val="Light List - Accent 61"/>
    <w:basedOn w:val="Standardowy"/>
    <w:next w:val="Jasnalista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shd w:val="clear" w:color="auto" w:fill="4D4D4D" w:themeFill="accent6"/>
      </w:tcPr>
    </w:tblStylePr>
    <w:tblStylePr w:type="lastRow">
      <w:pPr>
        <w:spacing w:beforeLines="0" w:before="0" w:beforeAutospacing="0" w:afterLines="0" w:after="0" w:afterAutospacing="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Grid-Accent61">
    <w:name w:val="Light Grid - Accent 61"/>
    <w:basedOn w:val="Standardowy"/>
    <w:next w:val="Jasnasiatka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Lines="0" w:before="0" w:beforeAutospacing="0" w:afterLines="0" w:after="0" w:afterAutospacing="0" w:line="240" w:lineRule="auto"/>
      </w:pPr>
      <w:rPr>
        <w:rFonts w:ascii="Times New Roman" w:eastAsia="MS Gothic" w:hAnsi="Times New Roman" w:cs="Times New Roman" w:hint="default"/>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imes New Roman" w:eastAsia="MS Gothic" w:hAnsi="Times New Roman" w:cs="Times New Roman" w:hint="default"/>
        <w:b/>
        <w:bCs/>
      </w:rPr>
    </w:tblStylePr>
    <w:tblStylePr w:type="lastCol">
      <w:rPr>
        <w:rFonts w:ascii="Times New Roman" w:eastAsia="MS Gothic" w:hAnsi="Times New Roman" w:cs="Times New Roman" w:hint="default"/>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MediumShading1-Accent61">
    <w:name w:val="Medium Shading 1 - Accent 61"/>
    <w:basedOn w:val="Standardowy"/>
    <w:next w:val="redniecieniowanie1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Lines="0" w:before="0" w:beforeAutospacing="0" w:afterLines="0" w:after="0" w:afterAutospacing="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Accent61">
    <w:name w:val="Medium Shading 2 - Accent 61"/>
    <w:basedOn w:val="Standardowy"/>
    <w:next w:val="redniecieniowanie2akcent6"/>
    <w:uiPriority w:val="99"/>
    <w:rsid w:val="009120AB"/>
    <w:rPr>
      <w:rFonts w:ascii="Times New Roman" w:eastAsia="Times New Roman" w:hAnsi="Times New Roman" w:cs="Times New Roman"/>
      <w:lang w:val="fr-FR" w:eastAsia="fr-F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61">
    <w:name w:val="Medium List 1 - Accent 61"/>
    <w:basedOn w:val="Standardowy"/>
    <w:next w:val="rednialista1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imes New Roman" w:eastAsia="MS Gothic" w:hAnsi="Times New Roman" w:cs="Times New Roman" w:hint="default"/>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Accent61">
    <w:name w:val="Medium List 2 - Accent 61"/>
    <w:basedOn w:val="Standardowy"/>
    <w:next w:val="rednialista2akcent6"/>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61">
    <w:name w:val="Medium Grid 1 - Accent 61"/>
    <w:basedOn w:val="Standardowy"/>
    <w:next w:val="redniasiatka1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Accent61">
    <w:name w:val="Medium Grid 2 - Accent 61"/>
    <w:basedOn w:val="Standardowy"/>
    <w:next w:val="redniasiatka2akcent6"/>
    <w:uiPriority w:val="99"/>
    <w:rsid w:val="009120AB"/>
    <w:rPr>
      <w:rFonts w:ascii="Times New Roman" w:eastAsia="MS Gothic" w:hAnsi="Times New Roman" w:cs="Times New Roman"/>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Accent61">
    <w:name w:val="Medium Grid 3 - Accent 61"/>
    <w:basedOn w:val="Standardowy"/>
    <w:next w:val="redniasiatka3akcent6"/>
    <w:uiPriority w:val="99"/>
    <w:rsid w:val="009120AB"/>
    <w:rPr>
      <w:rFonts w:ascii="Times New Roman" w:eastAsia="Times New Roman" w:hAnsi="Times New Roman" w:cs="Times New Roman"/>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DarkList-Accent61">
    <w:name w:val="Dark List - Accent 61"/>
    <w:basedOn w:val="Standardowy"/>
    <w:next w:val="Ciemnalistaakcent6"/>
    <w:uiPriority w:val="99"/>
    <w:rsid w:val="009120AB"/>
    <w:rPr>
      <w:rFonts w:ascii="Times New Roman" w:eastAsia="Times New Roman" w:hAnsi="Times New Roman" w:cs="Times New Roman"/>
      <w:color w:val="0072BC" w:themeColor="background1"/>
      <w:lang w:val="fr-FR" w:eastAsia="fr-FR"/>
    </w:rPr>
    <w:tblPr>
      <w:tblStyleRowBandSize w:val="1"/>
      <w:tblStyleColBandSize w:val="1"/>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customStyle="1" w:styleId="ColorfulShading-Accent61">
    <w:name w:val="Colorful Shading - Accent 61"/>
    <w:basedOn w:val="Standardowy"/>
    <w:next w:val="Kolorowecieniowanie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olorfulList-Accent61">
    <w:name w:val="Colorful List - Accent 61"/>
    <w:basedOn w:val="Standardowy"/>
    <w:next w:val="Kolorowalista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Grid-Accent61">
    <w:name w:val="Colorful Grid - Accent 61"/>
    <w:basedOn w:val="Standardowy"/>
    <w:next w:val="Kolorowasiatkaakcent6"/>
    <w:uiPriority w:val="99"/>
    <w:rsid w:val="009120AB"/>
    <w:rPr>
      <w:rFonts w:ascii="Times New Roman" w:eastAsia="Times New Roman" w:hAnsi="Times New Roman" w:cs="Times New Roman"/>
      <w:color w:val="000000" w:themeColor="text1"/>
      <w:lang w:val="fr-FR" w:eastAsia="fr-FR"/>
    </w:rPr>
    <w:tblPr>
      <w:tblStyleRowBandSize w:val="1"/>
      <w:tblStyleColBandSize w:val="1"/>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ECHRTable1">
    <w:name w:val="ECHR_Table1"/>
    <w:basedOn w:val="Standardowy"/>
    <w:rsid w:val="009120AB"/>
    <w:rPr>
      <w:rFonts w:ascii="Times New Roman" w:eastAsia="Times New Roman" w:hAnsi="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1">
    <w:name w:val="ECHR_Table_Box_Header1"/>
    <w:basedOn w:val="Standardowy"/>
    <w:rsid w:val="009120A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1">
    <w:name w:val="Ltr_Table_Address1"/>
    <w:basedOn w:val="Standardowy"/>
    <w:uiPriority w:val="99"/>
    <w:rsid w:val="009120AB"/>
    <w:rPr>
      <w:rFonts w:ascii="Times New Roman" w:eastAsia="Times New Roman" w:hAnsi="Times New Roman" w:cs="Times New Roman"/>
    </w:rPr>
    <w:tblPr>
      <w:tblCellMar>
        <w:top w:w="0" w:type="dxa"/>
        <w:left w:w="108" w:type="dxa"/>
        <w:bottom w:w="0" w:type="dxa"/>
        <w:right w:w="108" w:type="dxa"/>
      </w:tblCellMar>
    </w:tblPr>
  </w:style>
  <w:style w:type="table" w:customStyle="1" w:styleId="UGTable1">
    <w:name w:val="UG_Table1"/>
    <w:basedOn w:val="Standardowy"/>
    <w:uiPriority w:val="99"/>
    <w:rsid w:val="009120AB"/>
    <w:rPr>
      <w:rFonts w:ascii="Times New Roman" w:eastAsia="MS Mincho" w:hAnsi="Times New Roman" w:cs="Times New Roman"/>
      <w:sz w:val="20"/>
      <w:lang w:val="en-GB" w:eastAsia="en-GB"/>
    </w:rPr>
    <w:tblPr>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9120AB"/>
    <w:rPr>
      <w:rFonts w:ascii="Times New Roman" w:eastAsia="MS Mincho" w:hAnsi="Times New Roman" w:cs="Times New Roman"/>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1">
    <w:name w:val="PCF_Table_Style1"/>
    <w:basedOn w:val="Standardowy"/>
    <w:uiPriority w:val="99"/>
    <w:rsid w:val="009120AB"/>
    <w:rPr>
      <w:rFonts w:ascii="Times New Roman" w:eastAsia="Times New Roman" w:hAnsi="Times New Roman" w:cs="Times New Roman"/>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00" w:beforeAutospacing="1" w:afterLines="0" w:after="100" w:afterAutospacing="1" w:line="240" w:lineRule="auto"/>
        <w:contextualSpacing/>
        <w:jc w:val="center"/>
      </w:pPr>
      <w:rPr>
        <w:b/>
        <w:i w:val="0"/>
        <w:color w:val="FFFFFF"/>
        <w:sz w:val="20"/>
        <w:szCs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1">
    <w:name w:val="ECHR_Table_Fax1"/>
    <w:basedOn w:val="Standardowy"/>
    <w:uiPriority w:val="99"/>
    <w:rsid w:val="009120AB"/>
    <w:rPr>
      <w:rFonts w:ascii="Times New Roman" w:eastAsia="Times New Roman" w:hAnsi="Times New Roman" w:cs="Times New Roman"/>
      <w:color w:val="000000" w:themeColor="text1"/>
    </w:rPr>
    <w:tblPr>
      <w:tblBorders>
        <w:insideH w:val="single" w:sz="4" w:space="0" w:color="C6C6C6" w:themeColor="text2"/>
        <w:insideV w:val="single" w:sz="4" w:space="0" w:color="C6C6C6" w:themeColor="text2"/>
      </w:tblBorders>
      <w:tblCellMar>
        <w:top w:w="142" w:type="dxa"/>
        <w:left w:w="108" w:type="dxa"/>
        <w:bottom w:w="142" w:type="dxa"/>
        <w:right w:w="108" w:type="dxa"/>
      </w:tblCellMar>
    </w:tblPr>
  </w:style>
  <w:style w:type="table" w:customStyle="1" w:styleId="ECHRTableMemo1">
    <w:name w:val="ECHR_Table_Memo1"/>
    <w:basedOn w:val="Standardowy"/>
    <w:uiPriority w:val="99"/>
    <w:rsid w:val="009120AB"/>
    <w:rPr>
      <w:rFonts w:ascii="Times New Roman" w:eastAsia="Times New Roman" w:hAnsi="Times New Roman" w:cs="Times New Roman"/>
    </w:rPr>
    <w:tblPr>
      <w:tblCellMar>
        <w:top w:w="113" w:type="dxa"/>
        <w:left w:w="0" w:type="dxa"/>
        <w:bottom w:w="113" w:type="dxa"/>
        <w:right w:w="0" w:type="dxa"/>
      </w:tblCellMar>
    </w:tbl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DNTable1">
    <w:name w:val="DN_Table1"/>
    <w:basedOn w:val="Standardowy"/>
    <w:uiPriority w:val="99"/>
    <w:rsid w:val="009120AB"/>
    <w:rPr>
      <w:rFonts w:ascii="Times New Roman" w:eastAsia="Times New Roman" w:hAnsi="Times New Roman" w:cs="Times New Roman"/>
    </w:rPr>
    <w:tblP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cPr>
      <w:vAlign w:val="center"/>
    </w:tcPr>
    <w:tblStylePr w:type="firstRow">
      <w:pPr>
        <w:wordWrap/>
        <w:spacing w:beforeLines="0" w:before="0" w:beforeAutospacing="0"/>
        <w:ind w:leftChars="0" w:left="0"/>
      </w:pPr>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1">
    <w:name w:val="ECHR_Table_Simple_Box1"/>
    <w:basedOn w:val="Standardowy"/>
    <w:uiPriority w:val="99"/>
    <w:rsid w:val="009120AB"/>
    <w:rPr>
      <w:rFonts w:ascii="Times New Roman" w:eastAsia="Times New Roman" w:hAnsi="Times New Roman" w:cs="Times New Roman"/>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1">
    <w:name w:val="ECHR_Table_No_Lines1"/>
    <w:basedOn w:val="Standardowy"/>
    <w:uiPriority w:val="99"/>
    <w:rsid w:val="009120AB"/>
    <w:rPr>
      <w:rFonts w:ascii="Times New Roman" w:eastAsia="Times New Roman" w:hAnsi="Times New Roman" w:cs="Times New Roman"/>
    </w:rPr>
    <w:tblPr>
      <w:tblCellMar>
        <w:top w:w="85" w:type="dxa"/>
        <w:left w:w="142" w:type="dxa"/>
        <w:bottom w:w="28" w:type="dxa"/>
        <w:right w:w="142" w:type="dxa"/>
      </w:tblCellMar>
    </w:tblPr>
    <w:tblStylePr w:type="firstRow">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1">
    <w:name w:val="ECHR_Table_For_Internal_Use1"/>
    <w:basedOn w:val="Standardowy"/>
    <w:uiPriority w:val="99"/>
    <w:rsid w:val="009120AB"/>
    <w:rPr>
      <w:rFonts w:ascii="Times New Roman" w:eastAsia="Times New Roman" w:hAnsi="Times New Roman" w:cs="Times New Roman"/>
      <w:color w:val="636363" w:themeColor="text2" w:themeShade="80"/>
      <w:sz w:val="18"/>
    </w:rPr>
    <w:tblPr>
      <w:tblStyleColBandSize w:val="1"/>
      <w:tblCellMar>
        <w:top w:w="113" w:type="dxa"/>
        <w:left w:w="108" w:type="dxa"/>
        <w:bottom w:w="28" w:type="dxa"/>
        <w:right w:w="108" w:type="dxa"/>
      </w:tblCellMar>
    </w:tbl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1">
    <w:name w:val="ECHR_List_Table1"/>
    <w:basedOn w:val="Standardowy"/>
    <w:uiPriority w:val="99"/>
    <w:rsid w:val="009120AB"/>
    <w:rPr>
      <w:rFonts w:ascii="Times New Roman" w:eastAsia="Times New Roman" w:hAnsi="Times New Roman" w:cs="Times New Roman"/>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1">
    <w:name w:val="ECHR_Header_Table1"/>
    <w:basedOn w:val="Standardowy"/>
    <w:uiPriority w:val="99"/>
    <w:rsid w:val="009120AB"/>
    <w:rPr>
      <w:rFonts w:ascii="Times New Roman" w:eastAsia="Times New Roman" w:hAnsi="Times New Roman" w:cs="Times New Roman"/>
    </w:rPr>
    <w:tblPr>
      <w:tblBorders>
        <w:bottom w:val="single" w:sz="6" w:space="0" w:color="949494" w:themeColor="text2" w:themeShade="BF"/>
      </w:tblBorders>
      <w:tblCellMar>
        <w:top w:w="0" w:type="dxa"/>
        <w:left w:w="0" w:type="dxa"/>
        <w:bottom w:w="28" w:type="dxa"/>
        <w:right w:w="0" w:type="dxa"/>
      </w:tblCellMar>
    </w:tblPr>
    <w:tcPr>
      <w:vAlign w:val="both"/>
    </w:tcPr>
    <w:tblStylePr w:type="lastCol">
      <w:pPr>
        <w:wordWrap/>
        <w:jc w:val="both"/>
      </w:pPr>
    </w:tblStylePr>
  </w:style>
  <w:style w:type="table" w:customStyle="1" w:styleId="ECHRTableOddBanded1">
    <w:name w:val="ECHR_Table_Odd_Banded1"/>
    <w:basedOn w:val="Standardowy"/>
    <w:uiPriority w:val="99"/>
    <w:rsid w:val="009120AB"/>
    <w:rPr>
      <w:rFonts w:ascii="Times New Roman" w:eastAsia="Times New Roman" w:hAnsi="Times New Roman" w:cs="Times New Roman"/>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1">
    <w:name w:val="ECHR_Header_Table_Reduced1"/>
    <w:basedOn w:val="Standardowy"/>
    <w:uiPriority w:val="99"/>
    <w:rsid w:val="009120AB"/>
    <w:rPr>
      <w:rFonts w:ascii="Times New Roman" w:eastAsia="Times New Roman" w:hAnsi="Times New Roman" w:cs="Times New Roman"/>
    </w:rPr>
    <w:tblPr>
      <w:tblCellMar>
        <w:top w:w="0" w:type="dxa"/>
        <w:left w:w="0" w:type="dxa"/>
        <w:bottom w:w="0" w:type="dxa"/>
        <w:right w:w="0" w:type="dxa"/>
      </w:tblCellMar>
    </w:tblPr>
    <w:tcPr>
      <w:vAlign w:val="both"/>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HiChar">
    <w:name w:val="Ju_H_i Char"/>
    <w:link w:val="ECHRHeading5"/>
    <w:uiPriority w:val="23"/>
    <w:rsid w:val="00DE7391"/>
    <w:rPr>
      <w:rFonts w:asciiTheme="majorHAnsi" w:eastAsiaTheme="majorEastAsia" w:hAnsiTheme="majorHAnsi" w:cstheme="majorBidi"/>
      <w:bCs/>
      <w:i/>
      <w:sz w:val="20"/>
    </w:rPr>
  </w:style>
  <w:style w:type="paragraph" w:customStyle="1" w:styleId="jupara">
    <w:name w:val="jupara"/>
    <w:basedOn w:val="Normalny"/>
    <w:rsid w:val="003C219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C219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228243">
      <w:bodyDiv w:val="1"/>
      <w:marLeft w:val="0"/>
      <w:marRight w:val="0"/>
      <w:marTop w:val="0"/>
      <w:marBottom w:val="0"/>
      <w:divBdr>
        <w:top w:val="none" w:sz="0" w:space="0" w:color="auto"/>
        <w:left w:val="none" w:sz="0" w:space="0" w:color="auto"/>
        <w:bottom w:val="none" w:sz="0" w:space="0" w:color="auto"/>
        <w:right w:val="none" w:sz="0" w:space="0" w:color="auto"/>
      </w:divBdr>
      <w:divsChild>
        <w:div w:id="873082350">
          <w:marLeft w:val="0"/>
          <w:marRight w:val="0"/>
          <w:marTop w:val="0"/>
          <w:marBottom w:val="0"/>
          <w:divBdr>
            <w:top w:val="none" w:sz="0" w:space="0" w:color="auto"/>
            <w:left w:val="none" w:sz="0" w:space="0" w:color="auto"/>
            <w:bottom w:val="none" w:sz="0" w:space="0" w:color="auto"/>
            <w:right w:val="none" w:sz="0" w:space="0" w:color="auto"/>
          </w:divBdr>
          <w:divsChild>
            <w:div w:id="1365713140">
              <w:marLeft w:val="0"/>
              <w:marRight w:val="0"/>
              <w:marTop w:val="0"/>
              <w:marBottom w:val="0"/>
              <w:divBdr>
                <w:top w:val="none" w:sz="0" w:space="0" w:color="auto"/>
                <w:left w:val="none" w:sz="0" w:space="0" w:color="auto"/>
                <w:bottom w:val="none" w:sz="0" w:space="0" w:color="auto"/>
                <w:right w:val="none" w:sz="0" w:space="0" w:color="auto"/>
              </w:divBdr>
              <w:divsChild>
                <w:div w:id="359286567">
                  <w:marLeft w:val="0"/>
                  <w:marRight w:val="0"/>
                  <w:marTop w:val="0"/>
                  <w:marBottom w:val="0"/>
                  <w:divBdr>
                    <w:top w:val="none" w:sz="0" w:space="0" w:color="auto"/>
                    <w:left w:val="none" w:sz="0" w:space="0" w:color="auto"/>
                    <w:bottom w:val="none" w:sz="0" w:space="0" w:color="auto"/>
                    <w:right w:val="none" w:sz="0" w:space="0" w:color="auto"/>
                  </w:divBdr>
                  <w:divsChild>
                    <w:div w:id="49545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043418">
      <w:bodyDiv w:val="1"/>
      <w:marLeft w:val="0"/>
      <w:marRight w:val="0"/>
      <w:marTop w:val="0"/>
      <w:marBottom w:val="0"/>
      <w:divBdr>
        <w:top w:val="none" w:sz="0" w:space="0" w:color="auto"/>
        <w:left w:val="none" w:sz="0" w:space="0" w:color="auto"/>
        <w:bottom w:val="none" w:sz="0" w:space="0" w:color="auto"/>
        <w:right w:val="none" w:sz="0" w:space="0" w:color="auto"/>
      </w:divBdr>
    </w:div>
    <w:div w:id="920984354">
      <w:bodyDiv w:val="1"/>
      <w:marLeft w:val="0"/>
      <w:marRight w:val="0"/>
      <w:marTop w:val="0"/>
      <w:marBottom w:val="0"/>
      <w:divBdr>
        <w:top w:val="none" w:sz="0" w:space="0" w:color="auto"/>
        <w:left w:val="none" w:sz="0" w:space="0" w:color="auto"/>
        <w:bottom w:val="none" w:sz="0" w:space="0" w:color="auto"/>
        <w:right w:val="none" w:sz="0" w:space="0" w:color="auto"/>
      </w:divBdr>
    </w:div>
    <w:div w:id="1127970946">
      <w:bodyDiv w:val="1"/>
      <w:marLeft w:val="0"/>
      <w:marRight w:val="0"/>
      <w:marTop w:val="0"/>
      <w:marBottom w:val="0"/>
      <w:divBdr>
        <w:top w:val="none" w:sz="0" w:space="0" w:color="auto"/>
        <w:left w:val="none" w:sz="0" w:space="0" w:color="auto"/>
        <w:bottom w:val="none" w:sz="0" w:space="0" w:color="auto"/>
        <w:right w:val="none" w:sz="0" w:space="0" w:color="auto"/>
      </w:divBdr>
    </w:div>
    <w:div w:id="133098783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40539502">
      <w:bodyDiv w:val="1"/>
      <w:marLeft w:val="0"/>
      <w:marRight w:val="0"/>
      <w:marTop w:val="0"/>
      <w:marBottom w:val="0"/>
      <w:divBdr>
        <w:top w:val="none" w:sz="0" w:space="0" w:color="auto"/>
        <w:left w:val="none" w:sz="0" w:space="0" w:color="auto"/>
        <w:bottom w:val="none" w:sz="0" w:space="0" w:color="auto"/>
        <w:right w:val="none" w:sz="0" w:space="0" w:color="auto"/>
      </w:divBdr>
      <w:divsChild>
        <w:div w:id="1931308880">
          <w:marLeft w:val="0"/>
          <w:marRight w:val="0"/>
          <w:marTop w:val="0"/>
          <w:marBottom w:val="0"/>
          <w:divBdr>
            <w:top w:val="none" w:sz="0" w:space="0" w:color="auto"/>
            <w:left w:val="none" w:sz="0" w:space="0" w:color="auto"/>
            <w:bottom w:val="none" w:sz="0" w:space="0" w:color="auto"/>
            <w:right w:val="none" w:sz="0" w:space="0" w:color="auto"/>
          </w:divBdr>
          <w:divsChild>
            <w:div w:id="1044720709">
              <w:marLeft w:val="0"/>
              <w:marRight w:val="0"/>
              <w:marTop w:val="0"/>
              <w:marBottom w:val="0"/>
              <w:divBdr>
                <w:top w:val="none" w:sz="0" w:space="0" w:color="auto"/>
                <w:left w:val="none" w:sz="0" w:space="0" w:color="auto"/>
                <w:bottom w:val="none" w:sz="0" w:space="0" w:color="auto"/>
                <w:right w:val="none" w:sz="0" w:space="0" w:color="auto"/>
              </w:divBdr>
              <w:divsChild>
                <w:div w:id="430668627">
                  <w:marLeft w:val="0"/>
                  <w:marRight w:val="0"/>
                  <w:marTop w:val="0"/>
                  <w:marBottom w:val="0"/>
                  <w:divBdr>
                    <w:top w:val="none" w:sz="0" w:space="0" w:color="auto"/>
                    <w:left w:val="none" w:sz="0" w:space="0" w:color="auto"/>
                    <w:bottom w:val="none" w:sz="0" w:space="0" w:color="auto"/>
                    <w:right w:val="none" w:sz="0" w:space="0" w:color="auto"/>
                  </w:divBdr>
                  <w:divsChild>
                    <w:div w:id="10238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15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51678-9098-43D7-BB4C-2E0A99AE05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ED8038-B87D-4C8C-BDDD-4BD1BCA92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9AC3CE6-FC05-4464-BF2B-3D2672A0AF98}">
  <ds:schemaRefs>
    <ds:schemaRef ds:uri="http://schemas.microsoft.com/sharepoint/v3/contenttype/forms"/>
  </ds:schemaRefs>
</ds:datastoreItem>
</file>

<file path=customXml/itemProps4.xml><?xml version="1.0" encoding="utf-8"?>
<ds:datastoreItem xmlns:ds="http://schemas.openxmlformats.org/officeDocument/2006/customXml" ds:itemID="{B167BB4B-9D39-468D-8C3C-F6CFD79B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12746</Words>
  <Characters>76477</Characters>
  <Application>Microsoft Office Word</Application>
  <DocSecurity>0</DocSecurity>
  <Lines>637</Lines>
  <Paragraphs>178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89045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2017-03-29T08:06:00Z</dcterms:created>
  <dcterms:modified xsi:type="dcterms:W3CDTF">2017-03-29T08:06:00Z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