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B32E40" w:rsidRDefault="00014566" w:rsidP="00792CFD">
      <w:pPr>
        <w:pStyle w:val="ECHRDecisionBody"/>
        <w:rPr>
          <w:b/>
          <w:lang w:val="pl-PL"/>
        </w:rPr>
      </w:pPr>
      <w:bookmarkStart w:id="0" w:name="_GoBack"/>
      <w:bookmarkEnd w:id="0"/>
    </w:p>
    <w:p w:rsidR="00967916" w:rsidRPr="00B32E40" w:rsidRDefault="00967916" w:rsidP="00792CFD">
      <w:pPr>
        <w:pStyle w:val="ECHRDecisionBody"/>
        <w:rPr>
          <w:b/>
          <w:lang w:val="pl-PL"/>
        </w:rPr>
      </w:pPr>
    </w:p>
    <w:p w:rsidR="00967916" w:rsidRPr="00B32E40" w:rsidRDefault="00967916" w:rsidP="00792CFD">
      <w:pPr>
        <w:pStyle w:val="ECHRDecisionBody"/>
        <w:rPr>
          <w:b/>
          <w:lang w:val="pl-PL"/>
        </w:rPr>
      </w:pPr>
    </w:p>
    <w:p w:rsidR="00B9115D" w:rsidRPr="00B32E40" w:rsidRDefault="00B9115D" w:rsidP="00B9115D">
      <w:pPr>
        <w:pStyle w:val="ECHRPara"/>
        <w:jc w:val="center"/>
        <w:rPr>
          <w:rFonts w:ascii="Times New Roman" w:hAnsi="Times New Roman" w:cs="Times New Roman"/>
          <w:lang w:val="pl-PL"/>
        </w:rPr>
      </w:pPr>
      <w:r w:rsidRPr="00B32E40">
        <w:rPr>
          <w:rFonts w:ascii="Times New Roman" w:hAnsi="Times New Roman" w:cs="Times New Roman"/>
          <w:lang w:val="pl-PL"/>
        </w:rPr>
        <w:t>SEKCJA CZWARTA</w:t>
      </w:r>
    </w:p>
    <w:p w:rsidR="00014566" w:rsidRPr="00B32E40" w:rsidRDefault="00014566" w:rsidP="00792CFD">
      <w:pPr>
        <w:jc w:val="center"/>
        <w:rPr>
          <w:lang w:val="pl-PL"/>
        </w:rPr>
      </w:pPr>
    </w:p>
    <w:p w:rsidR="00967916" w:rsidRPr="00B32E40" w:rsidRDefault="00967916" w:rsidP="00792CFD">
      <w:pPr>
        <w:jc w:val="center"/>
        <w:rPr>
          <w:lang w:val="pl-PL"/>
        </w:rPr>
      </w:pPr>
    </w:p>
    <w:p w:rsidR="00967916" w:rsidRPr="00B32E40" w:rsidRDefault="00967916" w:rsidP="00792CFD">
      <w:pPr>
        <w:jc w:val="center"/>
        <w:rPr>
          <w:lang w:val="pl-PL"/>
        </w:rPr>
      </w:pPr>
    </w:p>
    <w:p w:rsidR="00967916" w:rsidRPr="00B32E40" w:rsidRDefault="00967916" w:rsidP="00792CFD">
      <w:pPr>
        <w:jc w:val="center"/>
        <w:rPr>
          <w:lang w:val="pl-PL"/>
        </w:rPr>
      </w:pPr>
    </w:p>
    <w:p w:rsidR="00967916" w:rsidRPr="00B32E40" w:rsidRDefault="00967916" w:rsidP="00792CFD">
      <w:pPr>
        <w:jc w:val="center"/>
        <w:rPr>
          <w:lang w:val="pl-PL"/>
        </w:rPr>
      </w:pPr>
    </w:p>
    <w:p w:rsidR="00967916" w:rsidRPr="00B32E40" w:rsidRDefault="00967916" w:rsidP="00792CFD">
      <w:pPr>
        <w:jc w:val="center"/>
        <w:rPr>
          <w:lang w:val="pl-PL"/>
        </w:rPr>
      </w:pPr>
    </w:p>
    <w:p w:rsidR="00792CFD" w:rsidRPr="00B32E40" w:rsidRDefault="00792CFD" w:rsidP="00792CFD">
      <w:pPr>
        <w:jc w:val="center"/>
        <w:rPr>
          <w:lang w:val="pl-PL"/>
        </w:rPr>
      </w:pPr>
    </w:p>
    <w:p w:rsidR="00B9115D" w:rsidRPr="00B32E40" w:rsidRDefault="00B9115D" w:rsidP="00B9115D">
      <w:pPr>
        <w:pStyle w:val="ECHRPara"/>
        <w:jc w:val="center"/>
        <w:rPr>
          <w:b/>
          <w:lang w:val="pl-PL"/>
        </w:rPr>
      </w:pPr>
      <w:r w:rsidRPr="00B32E40">
        <w:rPr>
          <w:b/>
          <w:lang w:val="pl-PL"/>
        </w:rPr>
        <w:t>SPRAWA ZYBERTOWICZ PRZECIWKO POLSCE (NR 2)</w:t>
      </w:r>
    </w:p>
    <w:p w:rsidR="00014566" w:rsidRPr="00B32E40" w:rsidRDefault="00014566" w:rsidP="00792CFD">
      <w:pPr>
        <w:jc w:val="center"/>
        <w:rPr>
          <w:b/>
          <w:lang w:val="pl-PL"/>
        </w:rPr>
      </w:pPr>
    </w:p>
    <w:p w:rsidR="00014566" w:rsidRPr="00B32E40" w:rsidRDefault="00014566" w:rsidP="00792CFD">
      <w:pPr>
        <w:jc w:val="center"/>
        <w:rPr>
          <w:lang w:val="pl-PL"/>
        </w:rPr>
      </w:pPr>
    </w:p>
    <w:p w:rsidR="00014566" w:rsidRPr="00B32E40" w:rsidRDefault="00014566" w:rsidP="00792CFD">
      <w:pPr>
        <w:jc w:val="center"/>
        <w:rPr>
          <w:i/>
          <w:lang w:val="pl-PL"/>
        </w:rPr>
      </w:pPr>
      <w:r w:rsidRPr="00B32E40">
        <w:rPr>
          <w:i/>
          <w:lang w:val="pl-PL"/>
        </w:rPr>
        <w:t>(</w:t>
      </w:r>
      <w:r w:rsidR="00B9115D" w:rsidRPr="00B32E40">
        <w:rPr>
          <w:rFonts w:ascii="Times New Roman" w:hAnsi="Times New Roman" w:cs="Times New Roman"/>
          <w:lang w:val="pl-PL"/>
        </w:rPr>
        <w:t xml:space="preserve">Skarga nr </w:t>
      </w:r>
      <w:r w:rsidR="00952298" w:rsidRPr="00B32E40">
        <w:rPr>
          <w:i/>
          <w:lang w:val="pl-PL"/>
        </w:rPr>
        <w:t>65937/11</w:t>
      </w:r>
      <w:r w:rsidRPr="00B32E40">
        <w:rPr>
          <w:i/>
          <w:lang w:val="pl-PL"/>
        </w:rPr>
        <w:t>)</w:t>
      </w:r>
    </w:p>
    <w:p w:rsidR="00813ED8" w:rsidRPr="00B32E40" w:rsidRDefault="00813ED8" w:rsidP="00792CFD">
      <w:pPr>
        <w:jc w:val="center"/>
        <w:rPr>
          <w:i/>
          <w:lang w:val="pl-PL"/>
        </w:rPr>
      </w:pPr>
    </w:p>
    <w:p w:rsidR="00813ED8" w:rsidRPr="00B32E40" w:rsidRDefault="00813ED8" w:rsidP="00792CFD">
      <w:pPr>
        <w:pStyle w:val="JuCase"/>
        <w:ind w:firstLine="0"/>
        <w:jc w:val="center"/>
        <w:rPr>
          <w:b w:val="0"/>
          <w:lang w:val="pl-PL"/>
        </w:rPr>
      </w:pPr>
    </w:p>
    <w:p w:rsidR="00813ED8" w:rsidRPr="00B32E40" w:rsidRDefault="00813ED8" w:rsidP="00792CFD">
      <w:pPr>
        <w:pStyle w:val="JuCase"/>
        <w:ind w:firstLine="0"/>
        <w:jc w:val="center"/>
        <w:rPr>
          <w:b w:val="0"/>
          <w:lang w:val="pl-PL"/>
        </w:rPr>
      </w:pPr>
    </w:p>
    <w:p w:rsidR="00014566" w:rsidRPr="00B32E40" w:rsidRDefault="00014566" w:rsidP="00792CFD">
      <w:pPr>
        <w:pStyle w:val="JuCase"/>
        <w:ind w:firstLine="0"/>
        <w:jc w:val="center"/>
        <w:rPr>
          <w:b w:val="0"/>
          <w:lang w:val="pl-PL"/>
        </w:rPr>
      </w:pPr>
    </w:p>
    <w:p w:rsidR="00014566" w:rsidRPr="00B32E40" w:rsidRDefault="00014566" w:rsidP="00792CFD">
      <w:pPr>
        <w:jc w:val="center"/>
        <w:rPr>
          <w:lang w:val="pl-PL"/>
        </w:rPr>
      </w:pPr>
    </w:p>
    <w:p w:rsidR="00014566" w:rsidRPr="00B32E40" w:rsidRDefault="00014566" w:rsidP="00792CFD">
      <w:pPr>
        <w:jc w:val="center"/>
        <w:rPr>
          <w:lang w:val="pl-PL"/>
        </w:rPr>
      </w:pPr>
    </w:p>
    <w:p w:rsidR="00014566" w:rsidRPr="00B32E40" w:rsidRDefault="00014566" w:rsidP="00792CFD">
      <w:pPr>
        <w:jc w:val="center"/>
        <w:rPr>
          <w:lang w:val="pl-PL"/>
        </w:rPr>
      </w:pPr>
    </w:p>
    <w:p w:rsidR="00014566" w:rsidRPr="00B32E40" w:rsidRDefault="00014566" w:rsidP="00792CFD">
      <w:pPr>
        <w:jc w:val="center"/>
        <w:rPr>
          <w:lang w:val="pl-PL"/>
        </w:rPr>
      </w:pPr>
    </w:p>
    <w:p w:rsidR="00014566" w:rsidRPr="00B32E40" w:rsidRDefault="00014566" w:rsidP="00792CFD">
      <w:pPr>
        <w:jc w:val="center"/>
        <w:rPr>
          <w:lang w:val="pl-PL"/>
        </w:rPr>
      </w:pPr>
    </w:p>
    <w:p w:rsidR="005D403C" w:rsidRPr="00B32E40" w:rsidRDefault="00D20A6B" w:rsidP="00792CFD">
      <w:pPr>
        <w:ind w:firstLine="284"/>
        <w:jc w:val="center"/>
        <w:rPr>
          <w:lang w:val="pl-PL"/>
        </w:rPr>
      </w:pPr>
      <w:r w:rsidRPr="00B32E40">
        <w:rPr>
          <w:rFonts w:ascii="Times New Roman" w:hAnsi="Times New Roman" w:cs="Times New Roman"/>
          <w:color w:val="000000"/>
          <w:szCs w:val="24"/>
          <w:lang w:val="pl-PL"/>
        </w:rPr>
        <w:t>WYROK</w:t>
      </w:r>
    </w:p>
    <w:p w:rsidR="00967916" w:rsidRPr="00B32E40" w:rsidRDefault="00967916" w:rsidP="00792CFD">
      <w:pPr>
        <w:pStyle w:val="ECHRPara"/>
        <w:rPr>
          <w:lang w:val="pl-PL"/>
        </w:rPr>
      </w:pPr>
    </w:p>
    <w:p w:rsidR="00967916" w:rsidRPr="00B32E40" w:rsidRDefault="00967916" w:rsidP="00792CFD">
      <w:pPr>
        <w:pStyle w:val="JuCase"/>
        <w:ind w:firstLine="0"/>
        <w:jc w:val="center"/>
        <w:rPr>
          <w:b w:val="0"/>
          <w:lang w:val="pl-PL"/>
        </w:rPr>
      </w:pPr>
    </w:p>
    <w:p w:rsidR="00967916" w:rsidRPr="00B32E40" w:rsidRDefault="00967916" w:rsidP="00792CFD">
      <w:pPr>
        <w:pStyle w:val="JuCase"/>
        <w:ind w:firstLine="0"/>
        <w:jc w:val="center"/>
        <w:rPr>
          <w:b w:val="0"/>
          <w:lang w:val="pl-PL"/>
        </w:rPr>
      </w:pPr>
      <w:r w:rsidRPr="00B32E40">
        <w:rPr>
          <w:b w:val="0"/>
          <w:lang w:val="pl-PL"/>
        </w:rPr>
        <w:t>STRASBOURG</w:t>
      </w:r>
    </w:p>
    <w:p w:rsidR="00967916" w:rsidRPr="00B32E40" w:rsidRDefault="00967916" w:rsidP="00792CFD">
      <w:pPr>
        <w:pStyle w:val="JuCase"/>
        <w:ind w:firstLine="0"/>
        <w:jc w:val="center"/>
        <w:rPr>
          <w:b w:val="0"/>
          <w:lang w:val="pl-PL"/>
        </w:rPr>
      </w:pPr>
    </w:p>
    <w:p w:rsidR="00967916" w:rsidRPr="00B32E40" w:rsidRDefault="00967916" w:rsidP="00792CFD">
      <w:pPr>
        <w:pStyle w:val="JuCase"/>
        <w:ind w:firstLine="0"/>
        <w:jc w:val="center"/>
        <w:rPr>
          <w:b w:val="0"/>
          <w:lang w:val="pl-PL"/>
        </w:rPr>
      </w:pPr>
      <w:r w:rsidRPr="00B32E40">
        <w:rPr>
          <w:b w:val="0"/>
          <w:lang w:val="pl-PL"/>
        </w:rPr>
        <w:t xml:space="preserve">17 </w:t>
      </w:r>
      <w:r w:rsidR="00D20A6B" w:rsidRPr="00B32E40">
        <w:rPr>
          <w:b w:val="0"/>
          <w:lang w:val="pl-PL"/>
        </w:rPr>
        <w:t>stycz</w:t>
      </w:r>
      <w:r w:rsidR="00E95843">
        <w:rPr>
          <w:b w:val="0"/>
          <w:lang w:val="pl-PL"/>
        </w:rPr>
        <w:t>nia</w:t>
      </w:r>
      <w:r w:rsidRPr="00B32E40">
        <w:rPr>
          <w:b w:val="0"/>
          <w:lang w:val="pl-PL"/>
        </w:rPr>
        <w:t xml:space="preserve"> 2017</w:t>
      </w:r>
    </w:p>
    <w:p w:rsidR="00967916" w:rsidRPr="00B32E40" w:rsidRDefault="00967916" w:rsidP="00792CFD">
      <w:pPr>
        <w:pStyle w:val="JuCase"/>
        <w:ind w:firstLine="0"/>
        <w:jc w:val="center"/>
        <w:rPr>
          <w:b w:val="0"/>
          <w:lang w:val="pl-PL"/>
        </w:rPr>
      </w:pPr>
    </w:p>
    <w:p w:rsidR="00967916" w:rsidRPr="00B32E40" w:rsidRDefault="00967916" w:rsidP="00792CFD">
      <w:pPr>
        <w:pStyle w:val="JuCase"/>
        <w:ind w:firstLine="0"/>
        <w:jc w:val="center"/>
        <w:rPr>
          <w:b w:val="0"/>
          <w:lang w:val="pl-PL"/>
        </w:rPr>
      </w:pPr>
    </w:p>
    <w:p w:rsidR="00967916" w:rsidRPr="00B32E40" w:rsidRDefault="00967916" w:rsidP="00792CFD">
      <w:pPr>
        <w:pStyle w:val="ECHRPara"/>
        <w:rPr>
          <w:lang w:val="pl-PL"/>
        </w:rPr>
      </w:pPr>
    </w:p>
    <w:p w:rsidR="00967916" w:rsidRPr="00B32E40" w:rsidRDefault="00967916" w:rsidP="00792CFD">
      <w:pPr>
        <w:pStyle w:val="ECHRPara"/>
        <w:rPr>
          <w:lang w:val="pl-PL"/>
        </w:rPr>
      </w:pPr>
    </w:p>
    <w:p w:rsidR="00D20A6B" w:rsidRPr="00B32E40" w:rsidRDefault="00D20A6B" w:rsidP="00D20A6B">
      <w:pPr>
        <w:pStyle w:val="JuCase"/>
        <w:ind w:firstLine="0"/>
        <w:jc w:val="left"/>
        <w:rPr>
          <w:b w:val="0"/>
          <w:i/>
          <w:sz w:val="22"/>
          <w:lang w:val="pl-PL"/>
        </w:rPr>
      </w:pPr>
      <w:r w:rsidRPr="00B32E40">
        <w:rPr>
          <w:b w:val="0"/>
          <w:i/>
          <w:sz w:val="22"/>
          <w:lang w:val="pl-PL"/>
        </w:rPr>
        <w:t>Wyrok ten stał się ostateczny zgodnie z warunkami określonymi przez artykuł 44 § 2 Konwencji. Wyrok może podlegać korekcie wydawniczej.</w:t>
      </w:r>
    </w:p>
    <w:p w:rsidR="005C6DD9" w:rsidRPr="00B32E40" w:rsidRDefault="005C6DD9" w:rsidP="00792CFD">
      <w:pPr>
        <w:pStyle w:val="ECHRPara"/>
        <w:rPr>
          <w:lang w:val="pl-PL"/>
        </w:rPr>
      </w:pPr>
    </w:p>
    <w:p w:rsidR="00792CFD" w:rsidRPr="00B32E40" w:rsidRDefault="00792CFD" w:rsidP="00792CFD">
      <w:pPr>
        <w:pStyle w:val="ECHRPara"/>
        <w:rPr>
          <w:lang w:val="pl-PL"/>
        </w:rPr>
        <w:sectPr w:rsidR="00792CFD" w:rsidRPr="00B32E40" w:rsidSect="00967916">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AA4454" w:rsidRPr="00B32E40" w:rsidRDefault="00AA4454" w:rsidP="00AA4454">
      <w:pPr>
        <w:pStyle w:val="ECHRPara"/>
        <w:rPr>
          <w:rFonts w:ascii="Times New Roman" w:hAnsi="Times New Roman" w:cs="Times New Roman"/>
          <w:b/>
          <w:lang w:val="pl-PL"/>
        </w:rPr>
      </w:pPr>
      <w:r w:rsidRPr="00B32E40">
        <w:rPr>
          <w:rFonts w:ascii="Times New Roman" w:hAnsi="Times New Roman" w:cs="Times New Roman"/>
          <w:b/>
          <w:lang w:val="pl-PL"/>
        </w:rPr>
        <w:lastRenderedPageBreak/>
        <w:t>W sprawie Zybertowicz przeciwko Polsce (nr 2),</w:t>
      </w:r>
    </w:p>
    <w:p w:rsidR="00AA4454" w:rsidRPr="00B32E40" w:rsidRDefault="00AA4454" w:rsidP="00AA4454">
      <w:pPr>
        <w:pStyle w:val="ECHRPara"/>
        <w:rPr>
          <w:rFonts w:ascii="Times New Roman" w:hAnsi="Times New Roman" w:cs="Times New Roman"/>
          <w:lang w:val="pl-PL"/>
        </w:rPr>
      </w:pPr>
      <w:r w:rsidRPr="00B32E40">
        <w:rPr>
          <w:rFonts w:ascii="Times New Roman" w:hAnsi="Times New Roman" w:cs="Times New Roman"/>
          <w:lang w:val="pl-PL"/>
        </w:rPr>
        <w:t>Europejski Trybunał Praw Człowieka (Czwarta Sekcja), zasiadając jako Izba w składzie:</w:t>
      </w:r>
    </w:p>
    <w:p w:rsidR="00AA4454" w:rsidRPr="00B32E40" w:rsidRDefault="00AA4454" w:rsidP="00AA4454">
      <w:pPr>
        <w:pStyle w:val="ECHRPara"/>
        <w:rPr>
          <w:rFonts w:ascii="Times New Roman" w:hAnsi="Times New Roman" w:cs="Times New Roman"/>
          <w:i/>
          <w:lang w:val="pl-PL"/>
        </w:rPr>
      </w:pPr>
      <w:r w:rsidRPr="00B32E40">
        <w:rPr>
          <w:rFonts w:ascii="Times New Roman" w:hAnsi="Times New Roman" w:cs="Times New Roman"/>
          <w:lang w:val="pl-PL"/>
        </w:rPr>
        <w:t xml:space="preserve">András Sajó, </w:t>
      </w:r>
      <w:r w:rsidRPr="00B32E40">
        <w:rPr>
          <w:rFonts w:ascii="Times New Roman" w:hAnsi="Times New Roman" w:cs="Times New Roman"/>
          <w:i/>
          <w:lang w:val="pl-PL"/>
        </w:rPr>
        <w:t>Przewodniczący</w:t>
      </w:r>
    </w:p>
    <w:p w:rsidR="00AA4454" w:rsidRPr="00B32E40" w:rsidRDefault="00AA4454" w:rsidP="00AA4454">
      <w:pPr>
        <w:pStyle w:val="ECHRPara"/>
        <w:rPr>
          <w:rFonts w:ascii="Times New Roman" w:hAnsi="Times New Roman" w:cs="Times New Roman"/>
          <w:lang w:val="pl-PL"/>
        </w:rPr>
      </w:pPr>
      <w:r w:rsidRPr="00B32E40">
        <w:rPr>
          <w:rFonts w:ascii="Times New Roman" w:hAnsi="Times New Roman" w:cs="Times New Roman"/>
          <w:lang w:val="pl-PL"/>
        </w:rPr>
        <w:t>Vincent A. De Gaetano,</w:t>
      </w:r>
    </w:p>
    <w:p w:rsidR="00AA4454" w:rsidRPr="00B32E40" w:rsidRDefault="00AA4454" w:rsidP="00AA4454">
      <w:pPr>
        <w:pStyle w:val="ECHRPara"/>
        <w:rPr>
          <w:rFonts w:ascii="Times New Roman" w:hAnsi="Times New Roman" w:cs="Times New Roman"/>
          <w:lang w:val="pl-PL"/>
        </w:rPr>
      </w:pPr>
      <w:r w:rsidRPr="00B32E40">
        <w:rPr>
          <w:rFonts w:ascii="Times New Roman" w:hAnsi="Times New Roman" w:cs="Times New Roman"/>
          <w:lang w:val="pl-PL"/>
        </w:rPr>
        <w:t>Paulo Pinto de Albuquerque,</w:t>
      </w:r>
    </w:p>
    <w:p w:rsidR="00AA4454" w:rsidRPr="00B32E40" w:rsidRDefault="00AA4454" w:rsidP="00AA4454">
      <w:pPr>
        <w:pStyle w:val="ECHRPara"/>
        <w:rPr>
          <w:rFonts w:ascii="Times New Roman" w:hAnsi="Times New Roman" w:cs="Times New Roman"/>
          <w:lang w:val="pl-PL"/>
        </w:rPr>
      </w:pPr>
      <w:r w:rsidRPr="00B32E40">
        <w:rPr>
          <w:rFonts w:ascii="Times New Roman" w:hAnsi="Times New Roman" w:cs="Times New Roman"/>
          <w:lang w:val="pl-PL"/>
        </w:rPr>
        <w:t>Krzysztof Wojtyczek,</w:t>
      </w:r>
    </w:p>
    <w:p w:rsidR="00AA4454" w:rsidRPr="00B32E40" w:rsidRDefault="00AA4454" w:rsidP="00AA4454">
      <w:pPr>
        <w:pStyle w:val="ECHRPara"/>
        <w:rPr>
          <w:rFonts w:ascii="Times New Roman" w:hAnsi="Times New Roman" w:cs="Times New Roman"/>
          <w:lang w:val="pl-PL"/>
        </w:rPr>
      </w:pPr>
      <w:r w:rsidRPr="00B32E40">
        <w:rPr>
          <w:rFonts w:ascii="Times New Roman" w:hAnsi="Times New Roman" w:cs="Times New Roman"/>
          <w:lang w:val="pl-PL"/>
        </w:rPr>
        <w:t>Egidijus Kūris,</w:t>
      </w:r>
    </w:p>
    <w:p w:rsidR="00AA4454" w:rsidRPr="00B32E40" w:rsidRDefault="00AA4454" w:rsidP="00AA4454">
      <w:pPr>
        <w:pStyle w:val="ECHRPara"/>
        <w:rPr>
          <w:rFonts w:ascii="Times New Roman" w:hAnsi="Times New Roman" w:cs="Times New Roman"/>
          <w:lang w:val="pl-PL"/>
        </w:rPr>
      </w:pPr>
      <w:r w:rsidRPr="00B32E40">
        <w:rPr>
          <w:rFonts w:ascii="Times New Roman" w:hAnsi="Times New Roman" w:cs="Times New Roman"/>
          <w:lang w:val="pl-PL"/>
        </w:rPr>
        <w:t>Iulia MOTOC,</w:t>
      </w:r>
    </w:p>
    <w:p w:rsidR="00AA4454" w:rsidRPr="00B32E40" w:rsidRDefault="00AA4454" w:rsidP="00AA4454">
      <w:pPr>
        <w:pStyle w:val="ECHRPara"/>
        <w:rPr>
          <w:rFonts w:ascii="Times New Roman" w:hAnsi="Times New Roman" w:cs="Times New Roman"/>
          <w:lang w:val="pl-PL"/>
        </w:rPr>
      </w:pPr>
      <w:r w:rsidRPr="00B32E40">
        <w:rPr>
          <w:rFonts w:ascii="Times New Roman" w:hAnsi="Times New Roman" w:cs="Times New Roman"/>
          <w:lang w:val="pl-PL"/>
        </w:rPr>
        <w:t xml:space="preserve">Gabriele Kucskę-Stadlmayer, </w:t>
      </w:r>
      <w:r w:rsidRPr="00B32E40">
        <w:rPr>
          <w:rFonts w:ascii="Times New Roman" w:hAnsi="Times New Roman" w:cs="Times New Roman"/>
          <w:i/>
          <w:lang w:val="pl-PL"/>
        </w:rPr>
        <w:t>sędziowie,</w:t>
      </w:r>
    </w:p>
    <w:p w:rsidR="00AA4454" w:rsidRPr="00B32E40" w:rsidRDefault="00AA4454" w:rsidP="00AA4454">
      <w:pPr>
        <w:pStyle w:val="ECHRPara"/>
        <w:rPr>
          <w:rFonts w:ascii="Times New Roman" w:hAnsi="Times New Roman" w:cs="Times New Roman"/>
          <w:i/>
          <w:lang w:val="pl-PL"/>
        </w:rPr>
      </w:pPr>
      <w:r w:rsidRPr="00B32E40">
        <w:rPr>
          <w:rFonts w:ascii="Times New Roman" w:hAnsi="Times New Roman" w:cs="Times New Roman"/>
          <w:lang w:val="pl-PL"/>
        </w:rPr>
        <w:t xml:space="preserve">i Marialena Tsirli, </w:t>
      </w:r>
      <w:r w:rsidRPr="00B32E40">
        <w:rPr>
          <w:rFonts w:ascii="Times New Roman" w:hAnsi="Times New Roman" w:cs="Times New Roman"/>
          <w:i/>
          <w:lang w:val="pl-PL"/>
        </w:rPr>
        <w:t>Kanclerz Sekcji,</w:t>
      </w:r>
    </w:p>
    <w:p w:rsidR="00AA4454" w:rsidRPr="00B32E40" w:rsidRDefault="00AA4454" w:rsidP="00AA4454">
      <w:pPr>
        <w:pStyle w:val="ECHRPara"/>
        <w:rPr>
          <w:rFonts w:ascii="Times New Roman" w:hAnsi="Times New Roman" w:cs="Times New Roman"/>
          <w:lang w:val="pl-PL"/>
        </w:rPr>
      </w:pPr>
      <w:r w:rsidRPr="00B32E40">
        <w:rPr>
          <w:rFonts w:ascii="Times New Roman" w:hAnsi="Times New Roman" w:cs="Times New Roman"/>
          <w:lang w:val="pl-PL"/>
        </w:rPr>
        <w:t>Obradując</w:t>
      </w:r>
      <w:r w:rsidR="006D1436" w:rsidRPr="00B32E40">
        <w:rPr>
          <w:rFonts w:ascii="Times New Roman" w:hAnsi="Times New Roman" w:cs="Times New Roman"/>
          <w:lang w:val="pl-PL"/>
        </w:rPr>
        <w:t xml:space="preserve"> </w:t>
      </w:r>
      <w:r w:rsidR="006D1436" w:rsidRPr="00B32E40">
        <w:rPr>
          <w:lang w:val="pl-PL"/>
        </w:rPr>
        <w:t>na posiedzeniu zamkniętym</w:t>
      </w:r>
      <w:r w:rsidRPr="00B32E40">
        <w:rPr>
          <w:rFonts w:ascii="Times New Roman" w:hAnsi="Times New Roman" w:cs="Times New Roman"/>
          <w:lang w:val="pl-PL"/>
        </w:rPr>
        <w:t xml:space="preserve"> w dniu 6 grudnia 2016 roku,</w:t>
      </w:r>
    </w:p>
    <w:p w:rsidR="00AA4454" w:rsidRPr="00B32E40" w:rsidRDefault="00AA4454" w:rsidP="00AA4454">
      <w:pPr>
        <w:pStyle w:val="ECHRPara"/>
        <w:rPr>
          <w:rFonts w:ascii="Times New Roman" w:hAnsi="Times New Roman" w:cs="Times New Roman"/>
          <w:lang w:val="pl-PL"/>
        </w:rPr>
      </w:pPr>
      <w:r w:rsidRPr="00B32E40">
        <w:rPr>
          <w:rFonts w:ascii="Times New Roman" w:hAnsi="Times New Roman" w:cs="Times New Roman"/>
          <w:lang w:val="pl-PL"/>
        </w:rPr>
        <w:t>Wydaje następujący wyrok, który został przyjęty w tym dniu:</w:t>
      </w:r>
    </w:p>
    <w:p w:rsidR="00014566" w:rsidRPr="00B32E40" w:rsidRDefault="00E95843" w:rsidP="00792CFD">
      <w:pPr>
        <w:pStyle w:val="ECHRTitle1"/>
        <w:rPr>
          <w:lang w:val="pl-PL"/>
        </w:rPr>
      </w:pPr>
      <w:r>
        <w:rPr>
          <w:lang w:val="pl-PL"/>
        </w:rPr>
        <w:t>POSTĘPOWANIE</w:t>
      </w:r>
    </w:p>
    <w:p w:rsidR="006D1436" w:rsidRPr="00B32E40" w:rsidRDefault="006D1436" w:rsidP="006D1436">
      <w:pPr>
        <w:pStyle w:val="ECHRPara"/>
        <w:rPr>
          <w:rFonts w:ascii="Times New Roman" w:hAnsi="Times New Roman" w:cs="Times New Roman"/>
          <w:lang w:val="pl-PL"/>
        </w:rPr>
      </w:pPr>
      <w:r w:rsidRPr="00B32E40">
        <w:rPr>
          <w:rFonts w:ascii="Times New Roman" w:hAnsi="Times New Roman" w:cs="Times New Roman"/>
          <w:lang w:val="pl-PL"/>
        </w:rPr>
        <w:t>1. Sprawa wywodzi się ze skargi (nr 65937\11) złożonej przed Trybunałem przeciwko Rzeczpospolitej Polskiej na mocy Art. 34 Konwencji o Ochronie Praw Człowieka i Podstawowych Wolności („Konwencja”), przez obywatela Polski Pana Andrzeja Zybertowicza („skarżący”) dnia 7 października 2011</w:t>
      </w:r>
      <w:r w:rsidR="00E95843">
        <w:rPr>
          <w:rFonts w:ascii="Times New Roman" w:hAnsi="Times New Roman" w:cs="Times New Roman"/>
          <w:lang w:val="pl-PL"/>
        </w:rPr>
        <w:t>.</w:t>
      </w:r>
    </w:p>
    <w:p w:rsidR="006D1436" w:rsidRPr="00B32E40" w:rsidRDefault="006D1436" w:rsidP="006D1436">
      <w:pPr>
        <w:pStyle w:val="ECHRPara"/>
        <w:rPr>
          <w:rFonts w:ascii="Times New Roman" w:hAnsi="Times New Roman" w:cs="Times New Roman"/>
          <w:lang w:val="pl-PL"/>
        </w:rPr>
      </w:pPr>
      <w:r w:rsidRPr="00B32E40">
        <w:rPr>
          <w:rFonts w:ascii="Times New Roman" w:hAnsi="Times New Roman" w:cs="Times New Roman"/>
          <w:lang w:val="pl-PL"/>
        </w:rPr>
        <w:t>2. Skarżący był reprezentowany przez pana P. Cybula, prawnika praktykującego w Krakowie. Rząd polski ("Rząd") był reprezentowany przez swojego pełnomocnika, Panią J. Chrzanowską z Ministerstwa Spraw Zagranicznych .</w:t>
      </w:r>
    </w:p>
    <w:p w:rsidR="006D1436" w:rsidRPr="00B32E40" w:rsidRDefault="006D1436" w:rsidP="006D1436">
      <w:pPr>
        <w:pStyle w:val="ECHRPara"/>
        <w:rPr>
          <w:rFonts w:ascii="Times New Roman" w:hAnsi="Times New Roman" w:cs="Times New Roman"/>
          <w:lang w:val="pl-PL"/>
        </w:rPr>
      </w:pPr>
      <w:r w:rsidRPr="00B32E40">
        <w:rPr>
          <w:rFonts w:ascii="Times New Roman" w:hAnsi="Times New Roman" w:cs="Times New Roman"/>
          <w:lang w:val="pl-PL"/>
        </w:rPr>
        <w:t>3. Skarżący zarzucił, że jego prawo do swobody wypowiedzi zostało naruszone, poprzez pogwałcenie artykułu 10 Konwencji.</w:t>
      </w:r>
    </w:p>
    <w:p w:rsidR="006D1436" w:rsidRPr="00B32E40" w:rsidRDefault="006D1436" w:rsidP="006D1436">
      <w:pPr>
        <w:pStyle w:val="ECHRPara"/>
        <w:rPr>
          <w:rFonts w:ascii="Times New Roman" w:hAnsi="Times New Roman" w:cs="Times New Roman"/>
          <w:lang w:val="pl-PL"/>
        </w:rPr>
      </w:pPr>
      <w:r w:rsidRPr="00B32E40">
        <w:rPr>
          <w:rFonts w:ascii="Times New Roman" w:hAnsi="Times New Roman" w:cs="Times New Roman"/>
          <w:lang w:val="pl-PL"/>
        </w:rPr>
        <w:t xml:space="preserve">4. W dniu 29 września 2014 roku </w:t>
      </w:r>
      <w:r w:rsidR="00E95843">
        <w:rPr>
          <w:rFonts w:ascii="Times New Roman" w:hAnsi="Times New Roman" w:cs="Times New Roman"/>
          <w:lang w:val="pl-PL"/>
        </w:rPr>
        <w:t xml:space="preserve">skarga została zakomunikowana </w:t>
      </w:r>
      <w:r w:rsidRPr="00B32E40">
        <w:rPr>
          <w:rFonts w:ascii="Times New Roman" w:hAnsi="Times New Roman" w:cs="Times New Roman"/>
          <w:lang w:val="pl-PL"/>
        </w:rPr>
        <w:t>Rządowi.</w:t>
      </w:r>
    </w:p>
    <w:p w:rsidR="00014566" w:rsidRPr="00B32E40" w:rsidRDefault="006D1436" w:rsidP="00792CFD">
      <w:pPr>
        <w:pStyle w:val="ECHRTitle1"/>
        <w:rPr>
          <w:lang w:val="pl-PL"/>
        </w:rPr>
      </w:pPr>
      <w:r w:rsidRPr="00B32E40">
        <w:rPr>
          <w:lang w:val="pl-PL"/>
        </w:rPr>
        <w:t>FAKTY</w:t>
      </w:r>
    </w:p>
    <w:p w:rsidR="00014566" w:rsidRPr="00B32E40" w:rsidRDefault="00A143D2" w:rsidP="00A143D2">
      <w:pPr>
        <w:pStyle w:val="ECHRPara"/>
        <w:rPr>
          <w:rFonts w:ascii="Times New Roman" w:hAnsi="Times New Roman" w:cs="Times New Roman"/>
          <w:lang w:val="pl-PL"/>
        </w:rPr>
      </w:pPr>
      <w:r w:rsidRPr="00B32E40">
        <w:rPr>
          <w:rFonts w:ascii="Times New Roman" w:hAnsi="Times New Roman" w:cs="Times New Roman"/>
          <w:lang w:val="pl-PL"/>
        </w:rPr>
        <w:t>I. OKOLICZNOŚCI SPRAWY</w:t>
      </w:r>
    </w:p>
    <w:p w:rsidR="00A143D2" w:rsidRPr="00B32E40" w:rsidRDefault="00A143D2" w:rsidP="00A143D2">
      <w:pPr>
        <w:pStyle w:val="ECHRPara"/>
        <w:ind w:left="360" w:firstLine="0"/>
        <w:rPr>
          <w:rFonts w:ascii="Times New Roman" w:hAnsi="Times New Roman" w:cs="Times New Roman"/>
          <w:lang w:val="pl-PL"/>
        </w:rPr>
      </w:pPr>
      <w:r w:rsidRPr="00B32E40">
        <w:rPr>
          <w:rFonts w:ascii="Times New Roman" w:hAnsi="Times New Roman" w:cs="Times New Roman"/>
          <w:lang w:val="pl-PL"/>
        </w:rPr>
        <w:t>5. Skarżący urodził się w 1954 roku i mieszka w Toruniu.</w:t>
      </w:r>
    </w:p>
    <w:p w:rsidR="00A143D2" w:rsidRPr="00B32E40" w:rsidRDefault="00A143D2" w:rsidP="00A143D2">
      <w:pPr>
        <w:pStyle w:val="ECHRPara"/>
        <w:ind w:left="360" w:firstLine="0"/>
        <w:rPr>
          <w:rFonts w:ascii="Times New Roman" w:hAnsi="Times New Roman" w:cs="Times New Roman"/>
          <w:lang w:val="pl-PL"/>
        </w:rPr>
      </w:pPr>
      <w:r w:rsidRPr="00B32E40">
        <w:rPr>
          <w:rFonts w:ascii="Times New Roman" w:hAnsi="Times New Roman" w:cs="Times New Roman"/>
          <w:lang w:val="pl-PL"/>
        </w:rPr>
        <w:t>6. Skarżący jest publicystą i profesorem socjologii.</w:t>
      </w:r>
    </w:p>
    <w:p w:rsidR="00A143D2" w:rsidRPr="00B32E40" w:rsidRDefault="00A143D2" w:rsidP="00A143D2">
      <w:pPr>
        <w:pStyle w:val="ECHRPara"/>
        <w:rPr>
          <w:rFonts w:ascii="Times New Roman" w:hAnsi="Times New Roman" w:cs="Times New Roman"/>
          <w:lang w:val="pl-PL"/>
        </w:rPr>
      </w:pPr>
    </w:p>
    <w:p w:rsidR="00A143D2" w:rsidRPr="00B32E40" w:rsidRDefault="00A30DD3" w:rsidP="00A143D2">
      <w:pPr>
        <w:pStyle w:val="ECHRPara"/>
        <w:rPr>
          <w:rFonts w:ascii="Times New Roman" w:hAnsi="Times New Roman" w:cs="Times New Roman"/>
          <w:b/>
          <w:lang w:val="pl-PL"/>
        </w:rPr>
      </w:pPr>
      <w:r w:rsidRPr="00B32E40">
        <w:rPr>
          <w:lang w:val="pl-PL"/>
        </w:rPr>
        <w:t>A.  </w:t>
      </w:r>
      <w:r w:rsidR="00A143D2" w:rsidRPr="00B32E40">
        <w:rPr>
          <w:rFonts w:ascii="Times New Roman" w:hAnsi="Times New Roman" w:cs="Times New Roman"/>
          <w:b/>
          <w:lang w:val="pl-PL"/>
        </w:rPr>
        <w:t>Oświadczenie w sprawie</w:t>
      </w:r>
    </w:p>
    <w:p w:rsidR="00CF4780" w:rsidRPr="00B32E40" w:rsidRDefault="00CF4780" w:rsidP="00CF4780">
      <w:pPr>
        <w:rPr>
          <w:rFonts w:ascii="Times New Roman" w:hAnsi="Times New Roman" w:cs="Times New Roman"/>
          <w:szCs w:val="24"/>
          <w:lang w:val="pl-PL"/>
        </w:rPr>
      </w:pPr>
      <w:r w:rsidRPr="00B32E40">
        <w:rPr>
          <w:lang w:val="pl-PL"/>
        </w:rPr>
        <w:t xml:space="preserve">       </w:t>
      </w:r>
      <w:r w:rsidR="0057069D" w:rsidRPr="00B32E40">
        <w:rPr>
          <w:lang w:val="pl-PL"/>
        </w:rPr>
        <w:fldChar w:fldCharType="begin"/>
      </w:r>
      <w:r w:rsidR="00025740" w:rsidRPr="00B32E40">
        <w:rPr>
          <w:lang w:val="pl-PL"/>
        </w:rPr>
        <w:instrText xml:space="preserve"> SEQ level0 \*arabic </w:instrText>
      </w:r>
      <w:r w:rsidR="0057069D" w:rsidRPr="00B32E40">
        <w:rPr>
          <w:lang w:val="pl-PL"/>
        </w:rPr>
        <w:fldChar w:fldCharType="separate"/>
      </w:r>
      <w:r w:rsidR="00792CFD" w:rsidRPr="00B32E40">
        <w:rPr>
          <w:noProof/>
          <w:lang w:val="pl-PL"/>
        </w:rPr>
        <w:t>7</w:t>
      </w:r>
      <w:r w:rsidR="0057069D" w:rsidRPr="00B32E40">
        <w:rPr>
          <w:lang w:val="pl-PL"/>
        </w:rPr>
        <w:fldChar w:fldCharType="end"/>
      </w:r>
      <w:r w:rsidRPr="00B32E40">
        <w:rPr>
          <w:lang w:val="pl-PL"/>
        </w:rPr>
        <w:t>. </w:t>
      </w:r>
      <w:r w:rsidRPr="00B32E40">
        <w:rPr>
          <w:rFonts w:ascii="Times New Roman" w:hAnsi="Times New Roman" w:cs="Times New Roman"/>
          <w:szCs w:val="24"/>
          <w:lang w:val="pl-PL"/>
        </w:rPr>
        <w:t>W dniu 11 stycznia 2008</w:t>
      </w:r>
      <w:r w:rsidR="002533B4">
        <w:rPr>
          <w:rFonts w:ascii="Times New Roman" w:hAnsi="Times New Roman" w:cs="Times New Roman"/>
          <w:szCs w:val="24"/>
          <w:lang w:val="pl-PL"/>
        </w:rPr>
        <w:t xml:space="preserve"> roku</w:t>
      </w:r>
      <w:r w:rsidRPr="00B32E40">
        <w:rPr>
          <w:rFonts w:ascii="Times New Roman" w:hAnsi="Times New Roman" w:cs="Times New Roman"/>
          <w:szCs w:val="24"/>
          <w:lang w:val="pl-PL"/>
        </w:rPr>
        <w:t xml:space="preserve"> </w:t>
      </w:r>
      <w:r w:rsidRPr="00B32E40">
        <w:rPr>
          <w:rFonts w:ascii="Times New Roman" w:hAnsi="Times New Roman" w:cs="Times New Roman"/>
          <w:i/>
          <w:szCs w:val="24"/>
          <w:lang w:val="pl-PL"/>
        </w:rPr>
        <w:t>Rzeczpospolita</w:t>
      </w:r>
      <w:r w:rsidRPr="00B32E40">
        <w:rPr>
          <w:rFonts w:ascii="Times New Roman" w:hAnsi="Times New Roman" w:cs="Times New Roman"/>
          <w:szCs w:val="24"/>
          <w:lang w:val="pl-PL"/>
        </w:rPr>
        <w:t xml:space="preserve">, krajowy dziennik, opublikował artykuł zatytułowany " Zybertowicz: na razie 2: 0 dla III RP ". W artykule zawarto informacje na temat trzech pozwów cywilnych przeciwko skarżącemu złożonych przez A. M., redaktora naczelnego jednej </w:t>
      </w:r>
      <w:r w:rsidRPr="00B32E40">
        <w:rPr>
          <w:rFonts w:ascii="Times New Roman" w:hAnsi="Times New Roman" w:cs="Times New Roman"/>
          <w:szCs w:val="24"/>
          <w:lang w:val="pl-PL"/>
        </w:rPr>
        <w:lastRenderedPageBreak/>
        <w:t xml:space="preserve">z największych gazet codziennych, </w:t>
      </w:r>
      <w:r w:rsidRPr="00B32E40">
        <w:rPr>
          <w:rFonts w:ascii="Times New Roman" w:hAnsi="Times New Roman" w:cs="Times New Roman"/>
          <w:i/>
          <w:szCs w:val="24"/>
          <w:lang w:val="pl-PL"/>
        </w:rPr>
        <w:t>Gazety Wyborczej</w:t>
      </w:r>
      <w:r w:rsidRPr="00B32E40">
        <w:rPr>
          <w:rFonts w:ascii="Times New Roman" w:hAnsi="Times New Roman" w:cs="Times New Roman"/>
          <w:szCs w:val="24"/>
          <w:lang w:val="pl-PL"/>
        </w:rPr>
        <w:t xml:space="preserve">, oraz M.S i Z.S. W artykule zawarto również komentarz </w:t>
      </w:r>
      <w:r w:rsidR="00E95843">
        <w:rPr>
          <w:rFonts w:ascii="Times New Roman" w:hAnsi="Times New Roman" w:cs="Times New Roman"/>
          <w:szCs w:val="24"/>
          <w:lang w:val="pl-PL"/>
        </w:rPr>
        <w:t>skarżącego</w:t>
      </w:r>
      <w:r w:rsidR="00E95843"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dotyczący pozwu, o którym mowa:</w:t>
      </w:r>
    </w:p>
    <w:p w:rsidR="00CF4780" w:rsidRPr="00B32E40" w:rsidRDefault="00CF4780" w:rsidP="00CF4780">
      <w:pPr>
        <w:pStyle w:val="ECHRParaQuote"/>
        <w:ind w:left="0"/>
        <w:rPr>
          <w:rFonts w:ascii="Times New Roman" w:hAnsi="Times New Roman" w:cs="Times New Roman"/>
          <w:lang w:val="pl-PL"/>
        </w:rPr>
      </w:pPr>
      <w:r w:rsidRPr="00B32E40">
        <w:rPr>
          <w:rFonts w:ascii="Times New Roman" w:hAnsi="Times New Roman" w:cs="Times New Roman"/>
          <w:lang w:val="pl-PL"/>
        </w:rPr>
        <w:t>“Swoją drogą to ciekawe, kto mnie  pozwał do sądu: dwóch agentów i jeden ich zaciekły obrońca”</w:t>
      </w:r>
    </w:p>
    <w:p w:rsidR="00CF4780" w:rsidRPr="00B32E40" w:rsidRDefault="00CF4780" w:rsidP="00792CFD">
      <w:pPr>
        <w:pStyle w:val="ECHRPara"/>
        <w:rPr>
          <w:rFonts w:ascii="Times New Roman" w:hAnsi="Times New Roman" w:cs="Times New Roman"/>
          <w:b/>
          <w:szCs w:val="24"/>
          <w:lang w:val="pl-PL"/>
        </w:rPr>
      </w:pPr>
    </w:p>
    <w:p w:rsidR="00CF4780" w:rsidRPr="00B32E40" w:rsidRDefault="00CF4780" w:rsidP="00792CFD">
      <w:pPr>
        <w:pStyle w:val="ECHRPara"/>
        <w:rPr>
          <w:lang w:val="pl-PL"/>
        </w:rPr>
      </w:pPr>
      <w:r w:rsidRPr="00B32E40">
        <w:rPr>
          <w:rFonts w:ascii="Times New Roman" w:hAnsi="Times New Roman" w:cs="Times New Roman"/>
          <w:b/>
          <w:szCs w:val="24"/>
          <w:lang w:val="pl-PL"/>
        </w:rPr>
        <w:t>B. Postępowanie cywilne przeciwko skarżącemu</w:t>
      </w:r>
      <w:r w:rsidRPr="00B32E40">
        <w:rPr>
          <w:lang w:val="pl-PL"/>
        </w:rPr>
        <w:t xml:space="preserve"> </w:t>
      </w:r>
    </w:p>
    <w:p w:rsidR="00CF4780" w:rsidRPr="00B32E40" w:rsidRDefault="00CF4780" w:rsidP="00792CFD">
      <w:pPr>
        <w:pStyle w:val="ECHRPara"/>
        <w:rPr>
          <w:lang w:val="pl-PL"/>
        </w:rPr>
      </w:pPr>
    </w:p>
    <w:p w:rsidR="00CF4780" w:rsidRPr="00B32E40" w:rsidRDefault="00CF4780" w:rsidP="00CF4780">
      <w:pPr>
        <w:pStyle w:val="ECHRParaQuote"/>
        <w:spacing w:before="0" w:after="0"/>
        <w:ind w:left="0"/>
        <w:rPr>
          <w:rFonts w:ascii="Times New Roman" w:hAnsi="Times New Roman" w:cs="Times New Roman"/>
          <w:sz w:val="24"/>
          <w:szCs w:val="24"/>
          <w:lang w:val="pl-PL"/>
        </w:rPr>
      </w:pPr>
      <w:r w:rsidRPr="00B32E40">
        <w:rPr>
          <w:rFonts w:ascii="Times New Roman" w:hAnsi="Times New Roman" w:cs="Times New Roman"/>
          <w:sz w:val="24"/>
          <w:szCs w:val="24"/>
          <w:lang w:val="pl-PL"/>
        </w:rPr>
        <w:t xml:space="preserve">   8. W dniu 19 marca 2008 roku, A.M. </w:t>
      </w:r>
      <w:r w:rsidR="00E95843">
        <w:rPr>
          <w:rFonts w:ascii="Times New Roman" w:hAnsi="Times New Roman" w:cs="Times New Roman"/>
          <w:sz w:val="24"/>
          <w:szCs w:val="24"/>
          <w:lang w:val="pl-PL"/>
        </w:rPr>
        <w:t>wniósł</w:t>
      </w:r>
      <w:r w:rsidR="00E95843" w:rsidRPr="00B32E40">
        <w:rPr>
          <w:rFonts w:ascii="Times New Roman" w:hAnsi="Times New Roman" w:cs="Times New Roman"/>
          <w:sz w:val="24"/>
          <w:szCs w:val="24"/>
          <w:lang w:val="pl-PL"/>
        </w:rPr>
        <w:t xml:space="preserve"> </w:t>
      </w:r>
      <w:r w:rsidRPr="00B32E40">
        <w:rPr>
          <w:rFonts w:ascii="Times New Roman" w:hAnsi="Times New Roman" w:cs="Times New Roman"/>
          <w:sz w:val="24"/>
          <w:szCs w:val="24"/>
          <w:lang w:val="pl-PL"/>
        </w:rPr>
        <w:t xml:space="preserve">powództwo cywilne </w:t>
      </w:r>
      <w:r w:rsidR="00E95843">
        <w:rPr>
          <w:rFonts w:ascii="Times New Roman" w:hAnsi="Times New Roman" w:cs="Times New Roman"/>
          <w:sz w:val="24"/>
          <w:szCs w:val="24"/>
          <w:lang w:val="pl-PL"/>
        </w:rPr>
        <w:t xml:space="preserve">do </w:t>
      </w:r>
      <w:r w:rsidRPr="00B32E40">
        <w:rPr>
          <w:rFonts w:ascii="Times New Roman" w:hAnsi="Times New Roman" w:cs="Times New Roman"/>
          <w:sz w:val="24"/>
          <w:szCs w:val="24"/>
          <w:lang w:val="pl-PL"/>
        </w:rPr>
        <w:t>Sąd</w:t>
      </w:r>
      <w:r w:rsidR="00E95843">
        <w:rPr>
          <w:rFonts w:ascii="Times New Roman" w:hAnsi="Times New Roman" w:cs="Times New Roman"/>
          <w:sz w:val="24"/>
          <w:szCs w:val="24"/>
          <w:lang w:val="pl-PL"/>
        </w:rPr>
        <w:t>u</w:t>
      </w:r>
      <w:r w:rsidRPr="00B32E40">
        <w:rPr>
          <w:rFonts w:ascii="Times New Roman" w:hAnsi="Times New Roman" w:cs="Times New Roman"/>
          <w:sz w:val="24"/>
          <w:szCs w:val="24"/>
          <w:lang w:val="pl-PL"/>
        </w:rPr>
        <w:t xml:space="preserve"> Okręgo</w:t>
      </w:r>
      <w:r w:rsidR="00E95843">
        <w:rPr>
          <w:rFonts w:ascii="Times New Roman" w:hAnsi="Times New Roman" w:cs="Times New Roman"/>
          <w:sz w:val="24"/>
          <w:szCs w:val="24"/>
          <w:lang w:val="pl-PL"/>
        </w:rPr>
        <w:t>wego</w:t>
      </w:r>
      <w:r w:rsidRPr="00B32E40">
        <w:rPr>
          <w:rFonts w:ascii="Times New Roman" w:hAnsi="Times New Roman" w:cs="Times New Roman"/>
          <w:sz w:val="24"/>
          <w:szCs w:val="24"/>
          <w:lang w:val="pl-PL"/>
        </w:rPr>
        <w:t xml:space="preserve"> w Warszawie</w:t>
      </w:r>
      <w:r w:rsidR="00E95843">
        <w:rPr>
          <w:rFonts w:ascii="Times New Roman" w:hAnsi="Times New Roman" w:cs="Times New Roman"/>
          <w:sz w:val="24"/>
          <w:szCs w:val="24"/>
          <w:lang w:val="pl-PL"/>
        </w:rPr>
        <w:t>,</w:t>
      </w:r>
      <w:r w:rsidRPr="00B32E40">
        <w:rPr>
          <w:rFonts w:ascii="Times New Roman" w:hAnsi="Times New Roman" w:cs="Times New Roman"/>
          <w:sz w:val="24"/>
          <w:szCs w:val="24"/>
          <w:lang w:val="pl-PL"/>
        </w:rPr>
        <w:t xml:space="preserve"> ubiegając się o ochronę prawną swoich dóbr osobistych. Domagał się</w:t>
      </w:r>
      <w:r w:rsidR="00E95843">
        <w:rPr>
          <w:rFonts w:ascii="Times New Roman" w:hAnsi="Times New Roman" w:cs="Times New Roman"/>
          <w:sz w:val="24"/>
          <w:szCs w:val="24"/>
          <w:lang w:val="pl-PL"/>
        </w:rPr>
        <w:t>,</w:t>
      </w:r>
      <w:r w:rsidRPr="00B32E40">
        <w:rPr>
          <w:rFonts w:ascii="Times New Roman" w:hAnsi="Times New Roman" w:cs="Times New Roman"/>
          <w:sz w:val="24"/>
          <w:szCs w:val="24"/>
          <w:lang w:val="pl-PL"/>
        </w:rPr>
        <w:t xml:space="preserve"> aby skarżący został zobowiązany do opublikowania przeprosin </w:t>
      </w:r>
      <w:r w:rsidR="00E95843">
        <w:rPr>
          <w:rFonts w:ascii="Times New Roman" w:hAnsi="Times New Roman" w:cs="Times New Roman"/>
          <w:sz w:val="24"/>
          <w:szCs w:val="24"/>
          <w:lang w:val="pl-PL"/>
        </w:rPr>
        <w:t xml:space="preserve">oraz zapłaty </w:t>
      </w:r>
      <w:r w:rsidRPr="00B32E40">
        <w:rPr>
          <w:rFonts w:ascii="Times New Roman" w:hAnsi="Times New Roman" w:cs="Times New Roman"/>
          <w:sz w:val="24"/>
          <w:szCs w:val="24"/>
          <w:lang w:val="pl-PL"/>
        </w:rPr>
        <w:t>20.000 złotych polskich (około 4761 euro) na</w:t>
      </w:r>
      <w:r w:rsidR="00E95843">
        <w:rPr>
          <w:rFonts w:ascii="Times New Roman" w:hAnsi="Times New Roman" w:cs="Times New Roman"/>
          <w:sz w:val="24"/>
          <w:szCs w:val="24"/>
          <w:lang w:val="pl-PL"/>
        </w:rPr>
        <w:t xml:space="preserve"> wskazany cel społeczny</w:t>
      </w:r>
      <w:r w:rsidRPr="00B32E40">
        <w:rPr>
          <w:rFonts w:ascii="Times New Roman" w:hAnsi="Times New Roman" w:cs="Times New Roman"/>
          <w:sz w:val="24"/>
          <w:szCs w:val="24"/>
          <w:lang w:val="pl-PL"/>
        </w:rPr>
        <w:t>.</w:t>
      </w:r>
    </w:p>
    <w:p w:rsidR="00CF4780" w:rsidRPr="00B32E40" w:rsidRDefault="00CF4780" w:rsidP="00CF4780">
      <w:pPr>
        <w:pStyle w:val="ECHRParaQuote"/>
        <w:spacing w:before="0" w:after="0"/>
        <w:ind w:left="0"/>
        <w:rPr>
          <w:rFonts w:ascii="Times New Roman" w:hAnsi="Times New Roman" w:cs="Times New Roman"/>
          <w:sz w:val="24"/>
          <w:szCs w:val="24"/>
          <w:lang w:val="pl-PL"/>
        </w:rPr>
      </w:pPr>
      <w:r w:rsidRPr="00B32E40">
        <w:rPr>
          <w:rFonts w:ascii="Times New Roman" w:hAnsi="Times New Roman" w:cs="Times New Roman"/>
          <w:sz w:val="24"/>
          <w:szCs w:val="24"/>
          <w:lang w:val="pl-PL"/>
        </w:rPr>
        <w:t xml:space="preserve">    9. W dniu 1 kwietnia 2008 roku Sąd Okręgowy w Warszawie przekazał sprawę do Sądu Okręgowego w Toruniu.</w:t>
      </w:r>
    </w:p>
    <w:p w:rsidR="00CF4780" w:rsidRPr="00B32E40" w:rsidRDefault="00CF4780" w:rsidP="00CF4780">
      <w:pPr>
        <w:pStyle w:val="ECHRParaQuote"/>
        <w:spacing w:before="0" w:after="0"/>
        <w:ind w:left="0"/>
        <w:rPr>
          <w:rFonts w:ascii="Times New Roman" w:hAnsi="Times New Roman" w:cs="Times New Roman"/>
          <w:sz w:val="24"/>
          <w:szCs w:val="24"/>
          <w:lang w:val="pl-PL"/>
        </w:rPr>
      </w:pPr>
      <w:r w:rsidRPr="00B32E40">
        <w:rPr>
          <w:rFonts w:ascii="Times New Roman" w:hAnsi="Times New Roman" w:cs="Times New Roman"/>
          <w:sz w:val="24"/>
          <w:szCs w:val="24"/>
          <w:lang w:val="pl-PL"/>
        </w:rPr>
        <w:t xml:space="preserve">  10. W dniu 20 sierpnia 2008 roku Sąd Apelacyjny w Warszawie uchylił </w:t>
      </w:r>
      <w:r w:rsidR="00E741D1">
        <w:rPr>
          <w:rFonts w:ascii="Times New Roman" w:hAnsi="Times New Roman" w:cs="Times New Roman"/>
          <w:sz w:val="24"/>
          <w:szCs w:val="24"/>
          <w:lang w:val="pl-PL"/>
        </w:rPr>
        <w:t>to postanowienie</w:t>
      </w:r>
      <w:r w:rsidRPr="00B32E40">
        <w:rPr>
          <w:rFonts w:ascii="Times New Roman" w:hAnsi="Times New Roman" w:cs="Times New Roman"/>
          <w:sz w:val="24"/>
          <w:szCs w:val="24"/>
          <w:lang w:val="pl-PL"/>
        </w:rPr>
        <w:t>.</w:t>
      </w:r>
    </w:p>
    <w:p w:rsidR="00CF4780" w:rsidRPr="00B32E40" w:rsidRDefault="00CF4780" w:rsidP="00CF4780">
      <w:pPr>
        <w:pStyle w:val="ECHRParaQuote"/>
        <w:spacing w:before="0" w:after="0"/>
        <w:ind w:left="0"/>
        <w:rPr>
          <w:rFonts w:ascii="Times New Roman" w:hAnsi="Times New Roman" w:cs="Times New Roman"/>
          <w:sz w:val="24"/>
          <w:szCs w:val="24"/>
          <w:lang w:val="pl-PL"/>
        </w:rPr>
      </w:pPr>
      <w:r w:rsidRPr="00B32E40">
        <w:rPr>
          <w:rFonts w:ascii="Times New Roman" w:hAnsi="Times New Roman" w:cs="Times New Roman"/>
          <w:sz w:val="24"/>
          <w:szCs w:val="24"/>
          <w:lang w:val="pl-PL"/>
        </w:rPr>
        <w:t xml:space="preserve">  11. W dniu 9 czerwca 2009 roku Sąd Okręgowy w Warszawie wydał wyrok, i częściowo uwzględnił roszczenie powoda. Nakazał skarżącemu opublikowanie przeprosin na pierwszej, drugiej lub trzeciej stronie </w:t>
      </w:r>
      <w:r w:rsidRPr="00B32E40">
        <w:rPr>
          <w:rFonts w:ascii="Times New Roman" w:hAnsi="Times New Roman" w:cs="Times New Roman"/>
          <w:i/>
          <w:sz w:val="24"/>
          <w:szCs w:val="24"/>
          <w:lang w:val="pl-PL"/>
        </w:rPr>
        <w:t>Rzeczpospolitej</w:t>
      </w:r>
      <w:r w:rsidRPr="00B32E40">
        <w:rPr>
          <w:rFonts w:ascii="Times New Roman" w:hAnsi="Times New Roman" w:cs="Times New Roman"/>
          <w:sz w:val="24"/>
          <w:szCs w:val="24"/>
          <w:lang w:val="pl-PL"/>
        </w:rPr>
        <w:t>. Ponadto określ</w:t>
      </w:r>
      <w:r w:rsidR="00E95843">
        <w:rPr>
          <w:rFonts w:ascii="Times New Roman" w:hAnsi="Times New Roman" w:cs="Times New Roman"/>
          <w:sz w:val="24"/>
          <w:szCs w:val="24"/>
          <w:lang w:val="pl-PL"/>
        </w:rPr>
        <w:t>ił</w:t>
      </w:r>
      <w:r w:rsidRPr="00B32E40">
        <w:rPr>
          <w:rFonts w:ascii="Times New Roman" w:hAnsi="Times New Roman" w:cs="Times New Roman"/>
          <w:sz w:val="24"/>
          <w:szCs w:val="24"/>
          <w:lang w:val="pl-PL"/>
        </w:rPr>
        <w:t xml:space="preserve"> dokładny rozmiar i treść przeprosin. Sąd nakazał także skarżącemu zapłacić 1000 złotych (około 238 euro) na c</w:t>
      </w:r>
      <w:r w:rsidR="00E95843">
        <w:rPr>
          <w:rFonts w:ascii="Times New Roman" w:hAnsi="Times New Roman" w:cs="Times New Roman"/>
          <w:sz w:val="24"/>
          <w:szCs w:val="24"/>
          <w:lang w:val="pl-PL"/>
        </w:rPr>
        <w:t xml:space="preserve">el społeczny </w:t>
      </w:r>
      <w:r w:rsidRPr="00B32E40">
        <w:rPr>
          <w:rFonts w:ascii="Times New Roman" w:hAnsi="Times New Roman" w:cs="Times New Roman"/>
          <w:sz w:val="24"/>
          <w:szCs w:val="24"/>
          <w:lang w:val="pl-PL"/>
        </w:rPr>
        <w:t>i 1025 złotych (około 244 euro) opłat sądowych.</w:t>
      </w:r>
    </w:p>
    <w:p w:rsidR="00CF4780" w:rsidRPr="00B32E40" w:rsidRDefault="00CF4780" w:rsidP="00CF4780">
      <w:pPr>
        <w:rPr>
          <w:rFonts w:ascii="Times New Roman" w:hAnsi="Times New Roman" w:cs="Times New Roman"/>
          <w:szCs w:val="24"/>
          <w:lang w:val="pl-PL"/>
        </w:rPr>
      </w:pPr>
      <w:r w:rsidRPr="00B32E40">
        <w:rPr>
          <w:rFonts w:ascii="Times New Roman" w:hAnsi="Times New Roman" w:cs="Times New Roman"/>
          <w:szCs w:val="24"/>
          <w:lang w:val="pl-PL"/>
        </w:rPr>
        <w:t xml:space="preserve">    12. W trakcie postępowania sąd przesłuchał zarówno skarżącego</w:t>
      </w:r>
      <w:r w:rsidR="00FA2EA1">
        <w:rPr>
          <w:rFonts w:ascii="Times New Roman" w:hAnsi="Times New Roman" w:cs="Times New Roman"/>
          <w:szCs w:val="24"/>
          <w:lang w:val="pl-PL"/>
        </w:rPr>
        <w:t xml:space="preserve"> jak</w:t>
      </w:r>
      <w:r w:rsidRPr="00B32E40">
        <w:rPr>
          <w:rFonts w:ascii="Times New Roman" w:hAnsi="Times New Roman" w:cs="Times New Roman"/>
          <w:szCs w:val="24"/>
          <w:lang w:val="pl-PL"/>
        </w:rPr>
        <w:t xml:space="preserve"> i powoda. Skarżący twierdził, że w wyrażeniu będącym przedmiotem sprawy reprezentował swoją opinię na temat publicznej wypowiedzi A.M.. Odnosząc się do kilku opublikowanych wypowiedzi i fragmentów artykułów napisanych przez A. M., skarżący twierdził, że miał solidne podstawy wypowiadając tę opinię na temat poglądów A.M. dotyczących lustracji.</w:t>
      </w:r>
    </w:p>
    <w:p w:rsidR="00CF4780" w:rsidRPr="00B32E40" w:rsidRDefault="00CF4780" w:rsidP="00CF4780">
      <w:pPr>
        <w:rPr>
          <w:rFonts w:ascii="Times New Roman" w:hAnsi="Times New Roman" w:cs="Times New Roman"/>
          <w:szCs w:val="24"/>
          <w:lang w:val="pl-PL"/>
        </w:rPr>
      </w:pPr>
      <w:r w:rsidRPr="00B32E40">
        <w:rPr>
          <w:rFonts w:ascii="Times New Roman" w:hAnsi="Times New Roman" w:cs="Times New Roman"/>
          <w:szCs w:val="24"/>
          <w:lang w:val="pl-PL"/>
        </w:rPr>
        <w:t xml:space="preserve">     13. Sąd uzyskał również opinię </w:t>
      </w:r>
      <w:r w:rsidR="00FA2EA1">
        <w:rPr>
          <w:rFonts w:ascii="Times New Roman" w:hAnsi="Times New Roman" w:cs="Times New Roman"/>
          <w:szCs w:val="24"/>
          <w:lang w:val="pl-PL"/>
        </w:rPr>
        <w:t>biegłego z zakresu językoznawstwa</w:t>
      </w:r>
      <w:r w:rsidRPr="00B32E40">
        <w:rPr>
          <w:rFonts w:ascii="Times New Roman" w:hAnsi="Times New Roman" w:cs="Times New Roman"/>
          <w:szCs w:val="24"/>
          <w:lang w:val="pl-PL"/>
        </w:rPr>
        <w:t xml:space="preserve">. </w:t>
      </w:r>
      <w:r w:rsidR="00FA2EA1">
        <w:rPr>
          <w:rFonts w:ascii="Times New Roman" w:hAnsi="Times New Roman" w:cs="Times New Roman"/>
          <w:szCs w:val="24"/>
          <w:lang w:val="pl-PL"/>
        </w:rPr>
        <w:t>Biegły</w:t>
      </w:r>
      <w:r w:rsidR="00FA2EA1"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został poproszony w szczególności o udzielenie odpowiedzi na pytanie, czy wyrażenie "dwóch agentów i jeden ich zaciekły obrońca", w kontekście sprawy, stanowi stwierdzenie faktu czy opini</w:t>
      </w:r>
      <w:r w:rsidR="00FA2EA1">
        <w:rPr>
          <w:rFonts w:ascii="Times New Roman" w:hAnsi="Times New Roman" w:cs="Times New Roman"/>
          <w:szCs w:val="24"/>
          <w:lang w:val="pl-PL"/>
        </w:rPr>
        <w:t>ę</w:t>
      </w:r>
      <w:r w:rsidRPr="00B32E40">
        <w:rPr>
          <w:rFonts w:ascii="Times New Roman" w:hAnsi="Times New Roman" w:cs="Times New Roman"/>
          <w:szCs w:val="24"/>
          <w:lang w:val="pl-PL"/>
        </w:rPr>
        <w:t xml:space="preserve">. W swojej opinii z dnia 6 maja 2009 roku </w:t>
      </w:r>
      <w:r w:rsidR="00FA2EA1">
        <w:rPr>
          <w:rFonts w:ascii="Times New Roman" w:hAnsi="Times New Roman" w:cs="Times New Roman"/>
          <w:szCs w:val="24"/>
          <w:lang w:val="pl-PL"/>
        </w:rPr>
        <w:t>biegły</w:t>
      </w:r>
      <w:r w:rsidRPr="00B32E40">
        <w:rPr>
          <w:rFonts w:ascii="Times New Roman" w:hAnsi="Times New Roman" w:cs="Times New Roman"/>
          <w:szCs w:val="24"/>
          <w:lang w:val="pl-PL"/>
        </w:rPr>
        <w:t xml:space="preserve"> stwierdził, że </w:t>
      </w:r>
      <w:r w:rsidR="00667A7B">
        <w:rPr>
          <w:rFonts w:ascii="Times New Roman" w:hAnsi="Times New Roman" w:cs="Times New Roman"/>
          <w:szCs w:val="24"/>
          <w:lang w:val="pl-PL"/>
        </w:rPr>
        <w:t>zawarte</w:t>
      </w:r>
      <w:r w:rsidRPr="00B32E40">
        <w:rPr>
          <w:rFonts w:ascii="Times New Roman" w:hAnsi="Times New Roman" w:cs="Times New Roman"/>
          <w:szCs w:val="24"/>
          <w:lang w:val="pl-PL"/>
        </w:rPr>
        <w:t xml:space="preserve"> w pytaniu </w:t>
      </w:r>
      <w:r w:rsidR="00667A7B">
        <w:rPr>
          <w:rFonts w:ascii="Times New Roman" w:hAnsi="Times New Roman" w:cs="Times New Roman"/>
          <w:szCs w:val="24"/>
          <w:lang w:val="pl-PL"/>
        </w:rPr>
        <w:t xml:space="preserve">wyrażenie </w:t>
      </w:r>
      <w:r w:rsidRPr="00B32E40">
        <w:rPr>
          <w:rFonts w:ascii="Times New Roman" w:hAnsi="Times New Roman" w:cs="Times New Roman"/>
          <w:szCs w:val="24"/>
          <w:lang w:val="pl-PL"/>
        </w:rPr>
        <w:t>było stwierdzeniem faktu, a nie hipotezą lub przypuszczeniem. Ponadto, biorąc pod uwagę domniemaną ogólną wiedzę  czytelników było oczywiste, że A. M. został zidentyfikowany w artykule jako obrońca dwóch agentów. Powód złożył w sądzie drugą ekspertyzę (dnia 2 stycznia 2009 roku), w któr</w:t>
      </w:r>
      <w:r w:rsidR="00FA2EA1">
        <w:rPr>
          <w:rFonts w:ascii="Times New Roman" w:hAnsi="Times New Roman" w:cs="Times New Roman"/>
          <w:szCs w:val="24"/>
          <w:lang w:val="pl-PL"/>
        </w:rPr>
        <w:t>ej</w:t>
      </w:r>
      <w:r w:rsidRPr="00B32E40">
        <w:rPr>
          <w:rFonts w:ascii="Times New Roman" w:hAnsi="Times New Roman" w:cs="Times New Roman"/>
          <w:szCs w:val="24"/>
          <w:lang w:val="pl-PL"/>
        </w:rPr>
        <w:t xml:space="preserve"> inny </w:t>
      </w:r>
      <w:r w:rsidR="00FA2EA1">
        <w:rPr>
          <w:rFonts w:ascii="Times New Roman" w:hAnsi="Times New Roman" w:cs="Times New Roman"/>
          <w:szCs w:val="24"/>
          <w:lang w:val="pl-PL"/>
        </w:rPr>
        <w:t>biegły z zakresu</w:t>
      </w:r>
      <w:r w:rsidRPr="00B32E40">
        <w:rPr>
          <w:rFonts w:ascii="Times New Roman" w:hAnsi="Times New Roman" w:cs="Times New Roman"/>
          <w:szCs w:val="24"/>
          <w:lang w:val="pl-PL"/>
        </w:rPr>
        <w:t xml:space="preserve"> analizy języka potwierdził, że oświadczenie skarżącego było stwierdzeniem faktu.</w:t>
      </w:r>
    </w:p>
    <w:p w:rsidR="00CF4780" w:rsidRPr="00B32E40" w:rsidRDefault="00CF4780" w:rsidP="00CF4780">
      <w:pPr>
        <w:rPr>
          <w:rFonts w:ascii="Times New Roman" w:hAnsi="Times New Roman" w:cs="Times New Roman"/>
          <w:szCs w:val="24"/>
          <w:lang w:val="pl-PL"/>
        </w:rPr>
      </w:pPr>
      <w:r w:rsidRPr="00B32E40">
        <w:rPr>
          <w:rFonts w:ascii="Times New Roman" w:hAnsi="Times New Roman" w:cs="Times New Roman"/>
          <w:szCs w:val="24"/>
          <w:lang w:val="pl-PL"/>
        </w:rPr>
        <w:t xml:space="preserve">    14. Sąd Okręgowy w Warszawie zauważył, że skarżący, przy formułowaniu wypowiedzi, o której mowa w pytaniu, odnosił się w </w:t>
      </w:r>
      <w:r w:rsidRPr="00B32E40">
        <w:rPr>
          <w:rFonts w:ascii="Times New Roman" w:hAnsi="Times New Roman" w:cs="Times New Roman"/>
          <w:szCs w:val="24"/>
          <w:lang w:val="pl-PL"/>
        </w:rPr>
        <w:lastRenderedPageBreak/>
        <w:t>szczególności do liczby publikowanych  przez A. M. artykułów</w:t>
      </w:r>
      <w:r w:rsidR="00FA2EA1">
        <w:rPr>
          <w:rFonts w:ascii="Times New Roman" w:hAnsi="Times New Roman" w:cs="Times New Roman"/>
          <w:szCs w:val="24"/>
          <w:lang w:val="pl-PL"/>
        </w:rPr>
        <w:t>,</w:t>
      </w:r>
      <w:r w:rsidRPr="00B32E40">
        <w:rPr>
          <w:rFonts w:ascii="Times New Roman" w:hAnsi="Times New Roman" w:cs="Times New Roman"/>
          <w:szCs w:val="24"/>
          <w:lang w:val="pl-PL"/>
        </w:rPr>
        <w:t xml:space="preserve"> w których ten krytykował ustawę lustracyjną. Skarżący powołał się także na wcześniejszy wyroku warszawskiego Sądu Apelacyjnego potwierdzający, że Z.S. rzeczywiście współpracował w czasach komunizmu z Służbą Bezpieczeństwa.</w:t>
      </w:r>
    </w:p>
    <w:p w:rsidR="00CF4780" w:rsidRPr="00B32E40" w:rsidRDefault="00CF4780" w:rsidP="00CF4780">
      <w:pPr>
        <w:rPr>
          <w:rFonts w:ascii="Times New Roman" w:hAnsi="Times New Roman" w:cs="Times New Roman"/>
          <w:szCs w:val="24"/>
          <w:lang w:val="pl-PL"/>
        </w:rPr>
      </w:pPr>
      <w:r w:rsidRPr="00B32E40">
        <w:rPr>
          <w:rFonts w:ascii="Times New Roman" w:hAnsi="Times New Roman" w:cs="Times New Roman"/>
          <w:szCs w:val="24"/>
          <w:lang w:val="pl-PL"/>
        </w:rPr>
        <w:t xml:space="preserve">     15. Sąd stwierdził ponadto, że wszyscy, którzy nie śledzą starannie wiadomości, byli świadomi, że M. S. i Z.S. zostali oskarżeni o współpracę </w:t>
      </w:r>
      <w:r w:rsidR="005362B2">
        <w:rPr>
          <w:rFonts w:ascii="Times New Roman" w:hAnsi="Times New Roman" w:cs="Times New Roman"/>
          <w:szCs w:val="24"/>
          <w:lang w:val="pl-PL"/>
        </w:rPr>
        <w:br/>
      </w:r>
      <w:r w:rsidRPr="00B32E40">
        <w:rPr>
          <w:rFonts w:ascii="Times New Roman" w:hAnsi="Times New Roman" w:cs="Times New Roman"/>
          <w:szCs w:val="24"/>
          <w:lang w:val="pl-PL"/>
        </w:rPr>
        <w:t>z Służbą Bezpieczeństwa. W szczególności, czytelnicy Rzeczpospolitej powinni byli wiedzieć o tym fakcie, ponieważ gazeta ta opublikowała wiele artykułów na ten temat.</w:t>
      </w:r>
    </w:p>
    <w:p w:rsidR="003D30DC" w:rsidRPr="00B32E40" w:rsidRDefault="003D30DC" w:rsidP="003D30DC">
      <w:pPr>
        <w:rPr>
          <w:rFonts w:ascii="Times New Roman" w:hAnsi="Times New Roman" w:cs="Times New Roman"/>
          <w:szCs w:val="24"/>
          <w:lang w:val="pl-PL"/>
        </w:rPr>
      </w:pPr>
      <w:r w:rsidRPr="00B32E40">
        <w:rPr>
          <w:lang w:val="pl-PL"/>
        </w:rPr>
        <w:t xml:space="preserve">     </w:t>
      </w:r>
      <w:r w:rsidR="0057069D" w:rsidRPr="00B32E40">
        <w:rPr>
          <w:lang w:val="pl-PL"/>
        </w:rPr>
        <w:fldChar w:fldCharType="begin"/>
      </w:r>
      <w:r w:rsidR="00025740" w:rsidRPr="00B32E40">
        <w:rPr>
          <w:lang w:val="pl-PL"/>
        </w:rPr>
        <w:instrText xml:space="preserve"> SEQ level0 \*arabic </w:instrText>
      </w:r>
      <w:r w:rsidR="0057069D" w:rsidRPr="00B32E40">
        <w:rPr>
          <w:lang w:val="pl-PL"/>
        </w:rPr>
        <w:fldChar w:fldCharType="separate"/>
      </w:r>
      <w:r w:rsidR="00792CFD" w:rsidRPr="00B32E40">
        <w:rPr>
          <w:noProof/>
          <w:lang w:val="pl-PL"/>
        </w:rPr>
        <w:t>16</w:t>
      </w:r>
      <w:r w:rsidR="0057069D" w:rsidRPr="00B32E40">
        <w:rPr>
          <w:lang w:val="pl-PL"/>
        </w:rPr>
        <w:fldChar w:fldCharType="end"/>
      </w:r>
      <w:r w:rsidR="004A3997" w:rsidRPr="00B32E40">
        <w:rPr>
          <w:lang w:val="pl-PL"/>
        </w:rPr>
        <w:t>.  </w:t>
      </w:r>
      <w:r w:rsidRPr="00B32E40">
        <w:rPr>
          <w:rFonts w:ascii="Times New Roman" w:hAnsi="Times New Roman" w:cs="Times New Roman"/>
          <w:szCs w:val="24"/>
          <w:lang w:val="pl-PL"/>
        </w:rPr>
        <w:t xml:space="preserve"> Sąd Okręgowy w Warszawie uznał również, że, rozpatrując zarówno wypowiedzi skarżącego oraz cały artykuł, trudno w sposób jednoznaczny stwierdzić, że A. M. był "agentem". Chociaż skarżący </w:t>
      </w:r>
      <w:r w:rsidR="005362B2">
        <w:rPr>
          <w:rFonts w:ascii="Times New Roman" w:hAnsi="Times New Roman" w:cs="Times New Roman"/>
          <w:szCs w:val="24"/>
          <w:lang w:val="pl-PL"/>
        </w:rPr>
        <w:br/>
      </w:r>
      <w:r w:rsidRPr="00B32E40">
        <w:rPr>
          <w:rFonts w:ascii="Times New Roman" w:hAnsi="Times New Roman" w:cs="Times New Roman"/>
          <w:szCs w:val="24"/>
          <w:lang w:val="pl-PL"/>
        </w:rPr>
        <w:t>w swojej wypowiedzi nie podaje, kto jego zdaniem był "agentem", a kto "ich zaciekłym obrońcą",</w:t>
      </w:r>
      <w:r w:rsidR="00FA2EA1">
        <w:rPr>
          <w:rFonts w:ascii="Times New Roman" w:hAnsi="Times New Roman" w:cs="Times New Roman"/>
          <w:szCs w:val="24"/>
          <w:lang w:val="pl-PL"/>
        </w:rPr>
        <w:t xml:space="preserve"> to</w:t>
      </w:r>
      <w:r w:rsidRPr="00B32E40">
        <w:rPr>
          <w:rFonts w:ascii="Times New Roman" w:hAnsi="Times New Roman" w:cs="Times New Roman"/>
          <w:szCs w:val="24"/>
          <w:lang w:val="pl-PL"/>
        </w:rPr>
        <w:t xml:space="preserve"> z charakteru publikacji, biorąc pod uwagę ogólną wiedzę czytelników było jasne, że</w:t>
      </w:r>
      <w:r w:rsidR="00FA2EA1">
        <w:rPr>
          <w:rFonts w:ascii="Times New Roman" w:hAnsi="Times New Roman" w:cs="Times New Roman"/>
          <w:szCs w:val="24"/>
          <w:lang w:val="pl-PL"/>
        </w:rPr>
        <w:t xml:space="preserve"> to</w:t>
      </w:r>
      <w:r w:rsidRPr="00B32E40">
        <w:rPr>
          <w:rFonts w:ascii="Times New Roman" w:hAnsi="Times New Roman" w:cs="Times New Roman"/>
          <w:szCs w:val="24"/>
          <w:lang w:val="pl-PL"/>
        </w:rPr>
        <w:t xml:space="preserve"> powód został uznany za "zaciekłego obrońcę dwóch agentów".  Jednocześnie sąd uznał, że gdyby skarżący wykorzystał bardziej ogólne sformułowanie, w którym mowa </w:t>
      </w:r>
      <w:r w:rsidR="00FA2EA1">
        <w:rPr>
          <w:rFonts w:ascii="Times New Roman" w:hAnsi="Times New Roman" w:cs="Times New Roman"/>
          <w:szCs w:val="24"/>
          <w:lang w:val="pl-PL"/>
        </w:rPr>
        <w:t xml:space="preserve">byłaby </w:t>
      </w:r>
      <w:r w:rsidRPr="00B32E40">
        <w:rPr>
          <w:rFonts w:ascii="Times New Roman" w:hAnsi="Times New Roman" w:cs="Times New Roman"/>
          <w:szCs w:val="24"/>
          <w:lang w:val="pl-PL"/>
        </w:rPr>
        <w:t>tylko o postawie A.M. wobec ustawy lustracyjnej</w:t>
      </w:r>
      <w:r w:rsidR="00FA2EA1">
        <w:rPr>
          <w:rFonts w:ascii="Times New Roman" w:hAnsi="Times New Roman" w:cs="Times New Roman"/>
          <w:szCs w:val="24"/>
          <w:lang w:val="pl-PL"/>
        </w:rPr>
        <w:t>, to</w:t>
      </w:r>
      <w:r w:rsidRPr="00B32E40">
        <w:rPr>
          <w:rFonts w:ascii="Times New Roman" w:hAnsi="Times New Roman" w:cs="Times New Roman"/>
          <w:szCs w:val="24"/>
          <w:lang w:val="pl-PL"/>
        </w:rPr>
        <w:t xml:space="preserve"> takie słowa mogły paść w granicach dopuszczalnej krytyki i nie istniałaby  konieczność ochrony </w:t>
      </w:r>
      <w:r w:rsidR="00FA2EA1">
        <w:rPr>
          <w:rFonts w:ascii="Times New Roman" w:hAnsi="Times New Roman" w:cs="Times New Roman"/>
          <w:szCs w:val="24"/>
          <w:lang w:val="pl-PL"/>
        </w:rPr>
        <w:t>dóbr</w:t>
      </w:r>
      <w:r w:rsidRPr="00B32E40">
        <w:rPr>
          <w:rFonts w:ascii="Times New Roman" w:hAnsi="Times New Roman" w:cs="Times New Roman"/>
          <w:szCs w:val="24"/>
          <w:lang w:val="pl-PL"/>
        </w:rPr>
        <w:t xml:space="preserve"> osobistych A.M.</w:t>
      </w:r>
    </w:p>
    <w:p w:rsidR="003D30DC" w:rsidRPr="00B32E40" w:rsidRDefault="003D30DC" w:rsidP="003D30DC">
      <w:pPr>
        <w:rPr>
          <w:rFonts w:ascii="Times New Roman" w:hAnsi="Times New Roman" w:cs="Times New Roman"/>
          <w:szCs w:val="24"/>
          <w:lang w:val="pl-PL"/>
        </w:rPr>
      </w:pPr>
      <w:r w:rsidRPr="00B32E40">
        <w:rPr>
          <w:rFonts w:ascii="Times New Roman" w:hAnsi="Times New Roman" w:cs="Times New Roman"/>
          <w:szCs w:val="24"/>
          <w:lang w:val="pl-PL"/>
        </w:rPr>
        <w:t xml:space="preserve">     17. Wreszcie, sąd uznał, że z opublikowanych oświadczeń i cytatów </w:t>
      </w:r>
      <w:r w:rsidR="005362B2">
        <w:rPr>
          <w:rFonts w:ascii="Times New Roman" w:hAnsi="Times New Roman" w:cs="Times New Roman"/>
          <w:szCs w:val="24"/>
          <w:lang w:val="pl-PL"/>
        </w:rPr>
        <w:br/>
      </w:r>
      <w:r w:rsidRPr="00B32E40">
        <w:rPr>
          <w:rFonts w:ascii="Times New Roman" w:hAnsi="Times New Roman" w:cs="Times New Roman"/>
          <w:szCs w:val="24"/>
          <w:lang w:val="pl-PL"/>
        </w:rPr>
        <w:t>z wypowiedzi A.M.</w:t>
      </w:r>
      <w:r w:rsidR="00FA2EA1">
        <w:rPr>
          <w:rFonts w:ascii="Times New Roman" w:hAnsi="Times New Roman" w:cs="Times New Roman"/>
          <w:szCs w:val="24"/>
          <w:lang w:val="pl-PL"/>
        </w:rPr>
        <w:t>,</w:t>
      </w:r>
      <w:r w:rsidRPr="00B32E40">
        <w:rPr>
          <w:rFonts w:ascii="Times New Roman" w:hAnsi="Times New Roman" w:cs="Times New Roman"/>
          <w:szCs w:val="24"/>
          <w:lang w:val="pl-PL"/>
        </w:rPr>
        <w:t xml:space="preserve"> które skarżący przedłożył w toku postępowania nie wynika, że A. M. kiedykolwiek faktycznie bronił tych dwóch konkretnych osób.</w:t>
      </w:r>
    </w:p>
    <w:p w:rsidR="003D30DC" w:rsidRPr="00B32E40" w:rsidRDefault="003D30DC" w:rsidP="003D30DC">
      <w:pPr>
        <w:rPr>
          <w:rFonts w:ascii="Times New Roman" w:hAnsi="Times New Roman" w:cs="Times New Roman"/>
          <w:szCs w:val="24"/>
          <w:lang w:val="pl-PL"/>
        </w:rPr>
      </w:pPr>
      <w:r w:rsidRPr="00B32E40">
        <w:rPr>
          <w:rFonts w:ascii="Times New Roman" w:hAnsi="Times New Roman" w:cs="Times New Roman"/>
          <w:szCs w:val="24"/>
          <w:lang w:val="pl-PL"/>
        </w:rPr>
        <w:t xml:space="preserve">     18. Podsumowując, sąd uznał, że </w:t>
      </w:r>
      <w:r w:rsidR="00FA2EA1">
        <w:rPr>
          <w:rFonts w:ascii="Times New Roman" w:hAnsi="Times New Roman" w:cs="Times New Roman"/>
          <w:szCs w:val="24"/>
          <w:lang w:val="pl-PL"/>
        </w:rPr>
        <w:t>dobra</w:t>
      </w:r>
      <w:r w:rsidRPr="00B32E40">
        <w:rPr>
          <w:rFonts w:ascii="Times New Roman" w:hAnsi="Times New Roman" w:cs="Times New Roman"/>
          <w:szCs w:val="24"/>
          <w:lang w:val="pl-PL"/>
        </w:rPr>
        <w:t xml:space="preserve"> osobiste A.M. zostały naruszone, ale tylko częściowo. Z tego powodu sąd uznał, że roszczenie powoda </w:t>
      </w:r>
      <w:r w:rsidR="00FA2EA1">
        <w:rPr>
          <w:rFonts w:ascii="Times New Roman" w:hAnsi="Times New Roman" w:cs="Times New Roman"/>
          <w:szCs w:val="24"/>
          <w:lang w:val="pl-PL"/>
        </w:rPr>
        <w:t>było nadmierne</w:t>
      </w:r>
      <w:r w:rsidRPr="00B32E40">
        <w:rPr>
          <w:rFonts w:ascii="Times New Roman" w:hAnsi="Times New Roman" w:cs="Times New Roman"/>
          <w:szCs w:val="24"/>
          <w:lang w:val="pl-PL"/>
        </w:rPr>
        <w:t>; dlatego obniżył sumę zasądzon</w:t>
      </w:r>
      <w:r w:rsidR="00FA2EA1">
        <w:rPr>
          <w:rFonts w:ascii="Times New Roman" w:hAnsi="Times New Roman" w:cs="Times New Roman"/>
          <w:szCs w:val="24"/>
          <w:lang w:val="pl-PL"/>
        </w:rPr>
        <w:t>ą</w:t>
      </w:r>
      <w:r w:rsidRPr="00B32E40">
        <w:rPr>
          <w:rFonts w:ascii="Times New Roman" w:hAnsi="Times New Roman" w:cs="Times New Roman"/>
          <w:szCs w:val="24"/>
          <w:lang w:val="pl-PL"/>
        </w:rPr>
        <w:t xml:space="preserve"> na </w:t>
      </w:r>
      <w:r w:rsidR="00FA2EA1">
        <w:rPr>
          <w:rFonts w:ascii="Times New Roman" w:hAnsi="Times New Roman" w:cs="Times New Roman"/>
          <w:szCs w:val="24"/>
          <w:lang w:val="pl-PL"/>
        </w:rPr>
        <w:t>cel społeczny</w:t>
      </w:r>
      <w:r w:rsidRPr="00B32E40">
        <w:rPr>
          <w:rFonts w:ascii="Times New Roman" w:hAnsi="Times New Roman" w:cs="Times New Roman"/>
          <w:szCs w:val="24"/>
          <w:lang w:val="pl-PL"/>
        </w:rPr>
        <w:t>.</w:t>
      </w:r>
    </w:p>
    <w:p w:rsidR="003D30DC" w:rsidRPr="00B32E40" w:rsidRDefault="003D30DC" w:rsidP="003D30DC">
      <w:pPr>
        <w:rPr>
          <w:rFonts w:ascii="Times New Roman" w:hAnsi="Times New Roman" w:cs="Times New Roman"/>
          <w:szCs w:val="24"/>
          <w:lang w:val="pl-PL"/>
        </w:rPr>
      </w:pPr>
      <w:r w:rsidRPr="00B32E40">
        <w:rPr>
          <w:rFonts w:ascii="Times New Roman" w:hAnsi="Times New Roman" w:cs="Times New Roman"/>
          <w:szCs w:val="24"/>
          <w:lang w:val="pl-PL"/>
        </w:rPr>
        <w:t xml:space="preserve">     19. Obie strony się odwołały.</w:t>
      </w:r>
    </w:p>
    <w:p w:rsidR="003D30DC" w:rsidRPr="00B32E40" w:rsidRDefault="003D30DC" w:rsidP="003D30DC">
      <w:pPr>
        <w:rPr>
          <w:rFonts w:ascii="Times New Roman" w:hAnsi="Times New Roman" w:cs="Times New Roman"/>
          <w:szCs w:val="24"/>
          <w:lang w:val="pl-PL"/>
        </w:rPr>
      </w:pPr>
      <w:r w:rsidRPr="00B32E40">
        <w:rPr>
          <w:rFonts w:ascii="Times New Roman" w:hAnsi="Times New Roman" w:cs="Times New Roman"/>
          <w:szCs w:val="24"/>
          <w:lang w:val="pl-PL"/>
        </w:rPr>
        <w:t xml:space="preserve">     20. W dniu 11 marca 2010 roku Sąd Apelacyjny w Warszawie zmienił wyrok pierwszej instancji i nakazał skarżącemu zapłacić 10.000 złotych (w przybliżeniu, euro 2380) na cele </w:t>
      </w:r>
      <w:r w:rsidR="00FA2EA1">
        <w:rPr>
          <w:rFonts w:ascii="Times New Roman" w:hAnsi="Times New Roman" w:cs="Times New Roman"/>
          <w:szCs w:val="24"/>
          <w:lang w:val="pl-PL"/>
        </w:rPr>
        <w:t>społeczne</w:t>
      </w:r>
      <w:r w:rsidR="00FA2EA1"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i 2845 złotych (około 677 euro) z tytułu opłat sądowych. Skarżącemu nakazano również opublikowanie przeprosin w</w:t>
      </w:r>
      <w:r w:rsidRPr="00B32E40">
        <w:rPr>
          <w:rFonts w:ascii="Times New Roman" w:hAnsi="Times New Roman" w:cs="Times New Roman"/>
          <w:i/>
          <w:szCs w:val="24"/>
          <w:lang w:val="pl-PL"/>
        </w:rPr>
        <w:t xml:space="preserve"> Rzeczpospolitej</w:t>
      </w:r>
      <w:r w:rsidRPr="00B32E40">
        <w:rPr>
          <w:rFonts w:ascii="Times New Roman" w:hAnsi="Times New Roman" w:cs="Times New Roman"/>
          <w:szCs w:val="24"/>
          <w:lang w:val="pl-PL"/>
        </w:rPr>
        <w:t>.</w:t>
      </w:r>
    </w:p>
    <w:p w:rsidR="003D30DC" w:rsidRPr="00B32E40" w:rsidRDefault="003D30DC" w:rsidP="003D30DC">
      <w:pPr>
        <w:rPr>
          <w:rFonts w:ascii="Times New Roman" w:hAnsi="Times New Roman" w:cs="Times New Roman"/>
          <w:szCs w:val="24"/>
          <w:lang w:val="pl-PL"/>
        </w:rPr>
      </w:pPr>
      <w:r w:rsidRPr="00B32E40">
        <w:rPr>
          <w:rFonts w:ascii="Times New Roman" w:hAnsi="Times New Roman" w:cs="Times New Roman"/>
          <w:szCs w:val="24"/>
          <w:lang w:val="pl-PL"/>
        </w:rPr>
        <w:t xml:space="preserve">     21. Sąd w zasadzie zgodził się z uzasadnieniem przedstawionym przez Sąd Okręgowy. Stwierdził on, że mimo iż wyrażenie "zaciekły obrońca dwóch agentów" naruszyło dobra osobiste A.M., to nie było zniesławiające. Sąd przychylił się ponadto do stwierdzenia Sądu Okręgowego, że skarżący określił A. M. jako obrońcę dwóch konkretnych osób. Jednak nie udało mu się udowodnić, że jego wypowiedź była prawdziwa. W konsekwencji Sąd uznał, że sformułowanie użyte przez skarżącego naruszyło dobra osobiste powoda (w szczególności jego dobre imię) i kolidowało z wartościami przez niego reprezentowanymi.</w:t>
      </w:r>
    </w:p>
    <w:p w:rsidR="003D30DC" w:rsidRPr="00B32E40" w:rsidRDefault="003D30DC" w:rsidP="003D30DC">
      <w:pPr>
        <w:rPr>
          <w:rFonts w:ascii="Times New Roman" w:hAnsi="Times New Roman" w:cs="Times New Roman"/>
          <w:szCs w:val="24"/>
          <w:lang w:val="pl-PL"/>
        </w:rPr>
      </w:pPr>
      <w:r w:rsidRPr="00B32E40">
        <w:rPr>
          <w:rFonts w:ascii="Times New Roman" w:hAnsi="Times New Roman" w:cs="Times New Roman"/>
          <w:szCs w:val="24"/>
          <w:lang w:val="pl-PL"/>
        </w:rPr>
        <w:lastRenderedPageBreak/>
        <w:t xml:space="preserve">    22. Sąd odniósł się do toczącej się debaty publicznej w Polsce </w:t>
      </w:r>
      <w:r w:rsidR="00F849F5">
        <w:rPr>
          <w:rFonts w:ascii="Times New Roman" w:hAnsi="Times New Roman" w:cs="Times New Roman"/>
          <w:szCs w:val="24"/>
          <w:lang w:val="pl-PL"/>
        </w:rPr>
        <w:br/>
      </w:r>
      <w:r w:rsidRPr="00B32E40">
        <w:rPr>
          <w:rFonts w:ascii="Times New Roman" w:hAnsi="Times New Roman" w:cs="Times New Roman"/>
          <w:szCs w:val="24"/>
          <w:lang w:val="pl-PL"/>
        </w:rPr>
        <w:t xml:space="preserve">o konieczności lustracji w celu wyjaśnienia i ujawnienia roli różnych służb specjalnych po II wojnie światowej. Należy zauważyć, że w kontekście tej debaty określenie, że ktoś jest "zaciekłym obrońcą ... agentów" </w:t>
      </w:r>
      <w:r w:rsidR="00B91EAB">
        <w:rPr>
          <w:rFonts w:ascii="Times New Roman" w:hAnsi="Times New Roman" w:cs="Times New Roman"/>
          <w:szCs w:val="24"/>
          <w:lang w:val="pl-PL"/>
        </w:rPr>
        <w:t>sugeruje</w:t>
      </w:r>
      <w:r w:rsidRPr="00B32E40">
        <w:rPr>
          <w:rFonts w:ascii="Times New Roman" w:hAnsi="Times New Roman" w:cs="Times New Roman"/>
          <w:szCs w:val="24"/>
          <w:lang w:val="pl-PL"/>
        </w:rPr>
        <w:t>, że osoba bronił</w:t>
      </w:r>
      <w:r w:rsidR="00B91EAB">
        <w:rPr>
          <w:rFonts w:ascii="Times New Roman" w:hAnsi="Times New Roman" w:cs="Times New Roman"/>
          <w:szCs w:val="24"/>
          <w:lang w:val="pl-PL"/>
        </w:rPr>
        <w:t>a</w:t>
      </w:r>
      <w:r w:rsidRPr="00B32E40">
        <w:rPr>
          <w:rFonts w:ascii="Times New Roman" w:hAnsi="Times New Roman" w:cs="Times New Roman"/>
          <w:szCs w:val="24"/>
          <w:lang w:val="pl-PL"/>
        </w:rPr>
        <w:t xml:space="preserve"> tych agentów</w:t>
      </w:r>
      <w:r w:rsidR="00B91EAB">
        <w:rPr>
          <w:rFonts w:ascii="Times New Roman" w:hAnsi="Times New Roman" w:cs="Times New Roman"/>
          <w:szCs w:val="24"/>
          <w:lang w:val="pl-PL"/>
        </w:rPr>
        <w:t>,</w:t>
      </w:r>
      <w:r w:rsidRPr="00B32E40">
        <w:rPr>
          <w:rFonts w:ascii="Times New Roman" w:hAnsi="Times New Roman" w:cs="Times New Roman"/>
          <w:szCs w:val="24"/>
          <w:lang w:val="pl-PL"/>
        </w:rPr>
        <w:t xml:space="preserve"> uzasadniał</w:t>
      </w:r>
      <w:r w:rsidR="00B91EAB">
        <w:rPr>
          <w:rFonts w:ascii="Times New Roman" w:hAnsi="Times New Roman" w:cs="Times New Roman"/>
          <w:szCs w:val="24"/>
          <w:lang w:val="pl-PL"/>
        </w:rPr>
        <w:t>a</w:t>
      </w:r>
      <w:r w:rsidRPr="00B32E40">
        <w:rPr>
          <w:rFonts w:ascii="Times New Roman" w:hAnsi="Times New Roman" w:cs="Times New Roman"/>
          <w:szCs w:val="24"/>
          <w:lang w:val="pl-PL"/>
        </w:rPr>
        <w:t xml:space="preserve"> ich działania i szukał</w:t>
      </w:r>
      <w:r w:rsidR="00B91EAB">
        <w:rPr>
          <w:rFonts w:ascii="Times New Roman" w:hAnsi="Times New Roman" w:cs="Times New Roman"/>
          <w:szCs w:val="24"/>
          <w:lang w:val="pl-PL"/>
        </w:rPr>
        <w:t>a</w:t>
      </w:r>
      <w:r w:rsidRPr="00B32E40">
        <w:rPr>
          <w:rFonts w:ascii="Times New Roman" w:hAnsi="Times New Roman" w:cs="Times New Roman"/>
          <w:szCs w:val="24"/>
          <w:lang w:val="pl-PL"/>
        </w:rPr>
        <w:t xml:space="preserve"> sposobu na zwolnienie ich z odpowiedzialności w oczach społeczeństwa. W związku z tym, przypisując komuś rolę "zaciętego obrońcy  ... agentów" było naruszeniem dobrego imienia tej osoby i </w:t>
      </w:r>
      <w:r w:rsidR="00B91EAB">
        <w:rPr>
          <w:rFonts w:ascii="Times New Roman" w:hAnsi="Times New Roman" w:cs="Times New Roman"/>
          <w:szCs w:val="24"/>
          <w:lang w:val="pl-PL"/>
        </w:rPr>
        <w:t>sugerowało</w:t>
      </w:r>
      <w:r w:rsidRPr="00B32E40">
        <w:rPr>
          <w:rFonts w:ascii="Times New Roman" w:hAnsi="Times New Roman" w:cs="Times New Roman"/>
          <w:szCs w:val="24"/>
          <w:lang w:val="pl-PL"/>
        </w:rPr>
        <w:t>, że zachowanie tej osoby było sprzeczne z dobrem publicznym.</w:t>
      </w:r>
    </w:p>
    <w:p w:rsidR="009279C8" w:rsidRPr="00B32E40" w:rsidRDefault="009279C8" w:rsidP="009279C8">
      <w:pPr>
        <w:rPr>
          <w:rFonts w:ascii="Times New Roman" w:hAnsi="Times New Roman" w:cs="Times New Roman"/>
          <w:szCs w:val="24"/>
          <w:lang w:val="pl-PL"/>
        </w:rPr>
      </w:pPr>
      <w:r w:rsidRPr="00B32E40">
        <w:rPr>
          <w:lang w:val="pl-PL"/>
        </w:rPr>
        <w:t xml:space="preserve">    </w:t>
      </w:r>
      <w:r w:rsidR="0057069D" w:rsidRPr="00B32E40">
        <w:rPr>
          <w:lang w:val="pl-PL"/>
        </w:rPr>
        <w:fldChar w:fldCharType="begin"/>
      </w:r>
      <w:r w:rsidR="00025740" w:rsidRPr="00B32E40">
        <w:rPr>
          <w:lang w:val="pl-PL"/>
        </w:rPr>
        <w:instrText xml:space="preserve"> SEQ level0 \*arabic </w:instrText>
      </w:r>
      <w:r w:rsidR="0057069D" w:rsidRPr="00B32E40">
        <w:rPr>
          <w:lang w:val="pl-PL"/>
        </w:rPr>
        <w:fldChar w:fldCharType="separate"/>
      </w:r>
      <w:r w:rsidR="00792CFD" w:rsidRPr="00B32E40">
        <w:rPr>
          <w:noProof/>
          <w:lang w:val="pl-PL"/>
        </w:rPr>
        <w:t>23</w:t>
      </w:r>
      <w:r w:rsidR="0057069D" w:rsidRPr="00B32E40">
        <w:rPr>
          <w:lang w:val="pl-PL"/>
        </w:rPr>
        <w:fldChar w:fldCharType="end"/>
      </w:r>
      <w:r w:rsidR="001861CD" w:rsidRPr="00B32E40">
        <w:rPr>
          <w:lang w:val="pl-PL"/>
        </w:rPr>
        <w:t>. </w:t>
      </w:r>
      <w:r w:rsidRPr="00B32E40">
        <w:rPr>
          <w:rFonts w:ascii="Times New Roman" w:hAnsi="Times New Roman" w:cs="Times New Roman"/>
          <w:szCs w:val="24"/>
          <w:lang w:val="pl-PL"/>
        </w:rPr>
        <w:t xml:space="preserve">Sąd stwierdził również, że wypowiedź będąca przedmiotem sprawy była stwierdzeniem faktu. Jednak uważał, że nie było podstaw do stwierdzenia, że A.M. bronił jakichkolwiek agentów, lub bardziej ogólnie, bronił działań komunistycznych tajnych służb, które były szkodliwe dla społeczeństwa. Wręcz przeciwnie, zdecydowanie potępiał takie działania. Sprzeciwiał się lustracji rozumianej jako narzędzie do niszczenia ludzi </w:t>
      </w:r>
      <w:r w:rsidR="00F849F5">
        <w:rPr>
          <w:rFonts w:ascii="Times New Roman" w:hAnsi="Times New Roman" w:cs="Times New Roman"/>
          <w:szCs w:val="24"/>
          <w:lang w:val="pl-PL"/>
        </w:rPr>
        <w:br/>
      </w:r>
      <w:r w:rsidRPr="00B32E40">
        <w:rPr>
          <w:rFonts w:ascii="Times New Roman" w:hAnsi="Times New Roman" w:cs="Times New Roman"/>
          <w:szCs w:val="24"/>
          <w:lang w:val="pl-PL"/>
        </w:rPr>
        <w:t>i wykorzystywanej jako argument w grach politycznych.</w:t>
      </w:r>
    </w:p>
    <w:p w:rsidR="009279C8" w:rsidRPr="00B32E40" w:rsidRDefault="009279C8" w:rsidP="009279C8">
      <w:pPr>
        <w:rPr>
          <w:rFonts w:ascii="Times New Roman" w:hAnsi="Times New Roman" w:cs="Times New Roman"/>
          <w:szCs w:val="24"/>
          <w:lang w:val="pl-PL"/>
        </w:rPr>
      </w:pPr>
      <w:r w:rsidRPr="00B32E40">
        <w:rPr>
          <w:rFonts w:ascii="Times New Roman" w:hAnsi="Times New Roman" w:cs="Times New Roman"/>
          <w:szCs w:val="24"/>
          <w:lang w:val="pl-PL"/>
        </w:rPr>
        <w:t xml:space="preserve">    24. W odniesieniu do </w:t>
      </w:r>
      <w:r w:rsidR="00B91EAB">
        <w:rPr>
          <w:rFonts w:ascii="Times New Roman" w:hAnsi="Times New Roman" w:cs="Times New Roman"/>
          <w:szCs w:val="24"/>
          <w:lang w:val="pl-PL"/>
        </w:rPr>
        <w:t>zapłaty wskazanej kwoty na cel społeczny</w:t>
      </w:r>
      <w:r w:rsidRPr="00B32E40">
        <w:rPr>
          <w:rFonts w:ascii="Times New Roman" w:hAnsi="Times New Roman" w:cs="Times New Roman"/>
          <w:szCs w:val="24"/>
          <w:lang w:val="pl-PL"/>
        </w:rPr>
        <w:t xml:space="preserve"> sąd zauważył, że </w:t>
      </w:r>
      <w:r w:rsidR="00B91EAB">
        <w:rPr>
          <w:rFonts w:ascii="Times New Roman" w:hAnsi="Times New Roman" w:cs="Times New Roman"/>
          <w:szCs w:val="24"/>
          <w:lang w:val="pl-PL"/>
        </w:rPr>
        <w:t>skarżący</w:t>
      </w:r>
      <w:r w:rsidR="00B91EAB"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 xml:space="preserve">był wykształconym profesorem uniwersytecki </w:t>
      </w:r>
      <w:r w:rsidR="00684A70">
        <w:rPr>
          <w:rFonts w:ascii="Times New Roman" w:hAnsi="Times New Roman" w:cs="Times New Roman"/>
          <w:szCs w:val="24"/>
          <w:lang w:val="pl-PL"/>
        </w:rPr>
        <w:t>pełniącym</w:t>
      </w:r>
      <w:r w:rsidRPr="00B32E40">
        <w:rPr>
          <w:rFonts w:ascii="Times New Roman" w:hAnsi="Times New Roman" w:cs="Times New Roman"/>
          <w:szCs w:val="24"/>
          <w:lang w:val="pl-PL"/>
        </w:rPr>
        <w:t xml:space="preserve"> wiele funkcji publicznych. Osoba w sytuacji skarżącego powinna mieć świadomość tego, jak jego wypowiedź zostałaby zrozumiana przez przeciętnego czytelnika </w:t>
      </w:r>
      <w:r w:rsidRPr="00B32E40">
        <w:rPr>
          <w:rFonts w:ascii="Times New Roman" w:hAnsi="Times New Roman" w:cs="Times New Roman"/>
          <w:i/>
          <w:szCs w:val="24"/>
          <w:lang w:val="pl-PL"/>
        </w:rPr>
        <w:t>Rzeczpospolitej</w:t>
      </w:r>
      <w:r w:rsidRPr="00B32E40">
        <w:rPr>
          <w:rFonts w:ascii="Times New Roman" w:hAnsi="Times New Roman" w:cs="Times New Roman"/>
          <w:szCs w:val="24"/>
          <w:lang w:val="pl-PL"/>
        </w:rPr>
        <w:t xml:space="preserve"> i czy były jakiekolwiek podstawy do przypisywania komuś roli "[zaciętego] obrońcy..." agentów. Sąd stwierdził ponadto, że kwota 1000 zł  zasądzona na </w:t>
      </w:r>
      <w:r w:rsidR="00B91EAB">
        <w:rPr>
          <w:rFonts w:ascii="Times New Roman" w:hAnsi="Times New Roman" w:cs="Times New Roman"/>
          <w:szCs w:val="24"/>
          <w:lang w:val="pl-PL"/>
        </w:rPr>
        <w:t>cel społeczny</w:t>
      </w:r>
      <w:r w:rsidRPr="00B32E40">
        <w:rPr>
          <w:rFonts w:ascii="Times New Roman" w:hAnsi="Times New Roman" w:cs="Times New Roman"/>
          <w:szCs w:val="24"/>
          <w:lang w:val="pl-PL"/>
        </w:rPr>
        <w:t xml:space="preserve"> była symboliczna, a 10.000 zł było bardziej odpowiednią sumą, biorąc pod uwagę okoliczności sprawy - zwłaszcza fakt, że nie było to nadmierne obciążenie finansowe dla </w:t>
      </w:r>
      <w:r w:rsidR="00B91EAB">
        <w:rPr>
          <w:rFonts w:ascii="Times New Roman" w:hAnsi="Times New Roman" w:cs="Times New Roman"/>
          <w:szCs w:val="24"/>
          <w:lang w:val="pl-PL"/>
        </w:rPr>
        <w:t>skarżącego</w:t>
      </w:r>
      <w:r w:rsidRPr="00B32E40">
        <w:rPr>
          <w:rFonts w:ascii="Times New Roman" w:hAnsi="Times New Roman" w:cs="Times New Roman"/>
          <w:szCs w:val="24"/>
          <w:lang w:val="pl-PL"/>
        </w:rPr>
        <w:t>.</w:t>
      </w:r>
    </w:p>
    <w:p w:rsidR="009279C8" w:rsidRPr="00B32E40" w:rsidRDefault="009279C8" w:rsidP="009279C8">
      <w:pPr>
        <w:rPr>
          <w:rFonts w:ascii="Times New Roman" w:hAnsi="Times New Roman" w:cs="Times New Roman"/>
          <w:szCs w:val="24"/>
          <w:lang w:val="pl-PL"/>
        </w:rPr>
      </w:pPr>
      <w:r w:rsidRPr="00B32E40">
        <w:rPr>
          <w:rFonts w:ascii="Times New Roman" w:hAnsi="Times New Roman" w:cs="Times New Roman"/>
          <w:szCs w:val="24"/>
          <w:lang w:val="pl-PL"/>
        </w:rPr>
        <w:t xml:space="preserve">     25. Skarżący wniósł </w:t>
      </w:r>
      <w:r w:rsidR="00B91EAB">
        <w:rPr>
          <w:rFonts w:ascii="Times New Roman" w:hAnsi="Times New Roman" w:cs="Times New Roman"/>
          <w:szCs w:val="24"/>
          <w:lang w:val="pl-PL"/>
        </w:rPr>
        <w:t xml:space="preserve">skargę </w:t>
      </w:r>
      <w:r w:rsidRPr="00B32E40">
        <w:rPr>
          <w:rFonts w:ascii="Times New Roman" w:hAnsi="Times New Roman" w:cs="Times New Roman"/>
          <w:szCs w:val="24"/>
          <w:lang w:val="pl-PL"/>
        </w:rPr>
        <w:t>kasac</w:t>
      </w:r>
      <w:r w:rsidR="00B91EAB">
        <w:rPr>
          <w:rFonts w:ascii="Times New Roman" w:hAnsi="Times New Roman" w:cs="Times New Roman"/>
          <w:szCs w:val="24"/>
          <w:lang w:val="pl-PL"/>
        </w:rPr>
        <w:t>yjną</w:t>
      </w:r>
      <w:r w:rsidRPr="00B32E40">
        <w:rPr>
          <w:rFonts w:ascii="Times New Roman" w:hAnsi="Times New Roman" w:cs="Times New Roman"/>
          <w:szCs w:val="24"/>
          <w:lang w:val="pl-PL"/>
        </w:rPr>
        <w:t>. W szczególności odniósł się do artykułu 10 Konwencji.</w:t>
      </w:r>
    </w:p>
    <w:p w:rsidR="009F3803" w:rsidRPr="00B32E40" w:rsidRDefault="009279C8" w:rsidP="009279C8">
      <w:pPr>
        <w:pStyle w:val="ECHRPara"/>
        <w:rPr>
          <w:lang w:val="pl-PL"/>
        </w:rPr>
      </w:pPr>
      <w:r w:rsidRPr="00B32E40">
        <w:rPr>
          <w:rFonts w:ascii="Times New Roman" w:hAnsi="Times New Roman" w:cs="Times New Roman"/>
          <w:szCs w:val="24"/>
          <w:lang w:val="pl-PL"/>
        </w:rPr>
        <w:t xml:space="preserve">26. W dniu 24 marca 2011 roku Sąd Najwyższy odmówił rozpoznania skargi kasacyjnej </w:t>
      </w:r>
      <w:r w:rsidR="00B91EAB">
        <w:rPr>
          <w:rFonts w:ascii="Times New Roman" w:hAnsi="Times New Roman" w:cs="Times New Roman"/>
          <w:szCs w:val="24"/>
          <w:lang w:val="pl-PL"/>
        </w:rPr>
        <w:t>skarżącego</w:t>
      </w:r>
      <w:r w:rsidR="00B91EAB"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ze względu na brak istotnych zagadnień prawnych, które należałoby uwzględnić w tej sprawie. Sąd, powołując się na artykuł 10 Konwencji, zauważył, że wolność słowa nie ma charakteru absolutnego. Ponadto, nawiąz</w:t>
      </w:r>
      <w:r w:rsidR="00B91EAB">
        <w:rPr>
          <w:rFonts w:ascii="Times New Roman" w:hAnsi="Times New Roman" w:cs="Times New Roman"/>
          <w:szCs w:val="24"/>
          <w:lang w:val="pl-PL"/>
        </w:rPr>
        <w:t>ał</w:t>
      </w:r>
      <w:r w:rsidRPr="00B32E40">
        <w:rPr>
          <w:rFonts w:ascii="Times New Roman" w:hAnsi="Times New Roman" w:cs="Times New Roman"/>
          <w:szCs w:val="24"/>
          <w:lang w:val="pl-PL"/>
        </w:rPr>
        <w:t xml:space="preserve"> do własnego orzecznictwa, zgodnie z którym konieczność udowodnienia, że stwierdzenie faktu  jest prawdą</w:t>
      </w:r>
      <w:r w:rsidR="00AF0BAD">
        <w:rPr>
          <w:rFonts w:ascii="Times New Roman" w:hAnsi="Times New Roman" w:cs="Times New Roman"/>
          <w:szCs w:val="24"/>
          <w:lang w:val="pl-PL"/>
        </w:rPr>
        <w:t>,</w:t>
      </w:r>
      <w:r w:rsidRPr="00B32E40">
        <w:rPr>
          <w:rFonts w:ascii="Times New Roman" w:hAnsi="Times New Roman" w:cs="Times New Roman"/>
          <w:szCs w:val="24"/>
          <w:lang w:val="pl-PL"/>
        </w:rPr>
        <w:t xml:space="preserve"> nie była nadmiernym wymogiem i nie naruszała swobody debaty politycznej.</w:t>
      </w:r>
    </w:p>
    <w:p w:rsidR="00A30DD3" w:rsidRPr="00B32E40" w:rsidRDefault="00A30DD3" w:rsidP="00792CFD">
      <w:pPr>
        <w:pStyle w:val="ECHRHeading2"/>
        <w:rPr>
          <w:lang w:val="pl-PL"/>
        </w:rPr>
      </w:pPr>
      <w:r w:rsidRPr="00B32E40">
        <w:rPr>
          <w:lang w:val="pl-PL"/>
        </w:rPr>
        <w:t>C.  </w:t>
      </w:r>
      <w:r w:rsidR="009279C8" w:rsidRPr="00B32E40">
        <w:rPr>
          <w:lang w:val="pl-PL"/>
        </w:rPr>
        <w:t>Postępowanie egzekucyjne</w:t>
      </w:r>
    </w:p>
    <w:p w:rsidR="00CC2A6D" w:rsidRPr="00B32E40" w:rsidRDefault="00CC2A6D" w:rsidP="00CC2A6D">
      <w:pPr>
        <w:rPr>
          <w:rFonts w:ascii="Times New Roman" w:hAnsi="Times New Roman" w:cs="Times New Roman"/>
          <w:szCs w:val="24"/>
          <w:lang w:val="pl-PL"/>
        </w:rPr>
      </w:pPr>
      <w:r w:rsidRPr="00B32E40">
        <w:rPr>
          <w:lang w:val="pl-PL"/>
        </w:rPr>
        <w:t xml:space="preserve">    </w:t>
      </w:r>
      <w:r w:rsidR="0057069D" w:rsidRPr="00B32E40">
        <w:rPr>
          <w:lang w:val="pl-PL"/>
        </w:rPr>
        <w:fldChar w:fldCharType="begin"/>
      </w:r>
      <w:r w:rsidR="00025740" w:rsidRPr="00B32E40">
        <w:rPr>
          <w:lang w:val="pl-PL"/>
        </w:rPr>
        <w:instrText xml:space="preserve"> SEQ level0 \*arabic </w:instrText>
      </w:r>
      <w:r w:rsidR="0057069D" w:rsidRPr="00B32E40">
        <w:rPr>
          <w:lang w:val="pl-PL"/>
        </w:rPr>
        <w:fldChar w:fldCharType="separate"/>
      </w:r>
      <w:r w:rsidR="00792CFD" w:rsidRPr="00B32E40">
        <w:rPr>
          <w:noProof/>
          <w:lang w:val="pl-PL"/>
        </w:rPr>
        <w:t>27</w:t>
      </w:r>
      <w:r w:rsidR="0057069D" w:rsidRPr="00B32E40">
        <w:rPr>
          <w:lang w:val="pl-PL"/>
        </w:rPr>
        <w:fldChar w:fldCharType="end"/>
      </w:r>
      <w:r w:rsidR="001F2E53" w:rsidRPr="00B32E40">
        <w:rPr>
          <w:lang w:val="pl-PL"/>
        </w:rPr>
        <w:t>.  </w:t>
      </w:r>
      <w:r w:rsidRPr="00B32E40">
        <w:rPr>
          <w:rFonts w:ascii="Times New Roman" w:hAnsi="Times New Roman" w:cs="Times New Roman"/>
          <w:szCs w:val="24"/>
          <w:lang w:val="pl-PL"/>
        </w:rPr>
        <w:t xml:space="preserve">W dniu 19 kwietnia 2010 roku pełnomocnik A.M. wszczął postępowanie egzekucyjne w Sądzie Rejonowym </w:t>
      </w:r>
      <w:r w:rsidR="00DD2E31">
        <w:rPr>
          <w:rFonts w:ascii="Times New Roman" w:hAnsi="Times New Roman" w:cs="Times New Roman"/>
          <w:szCs w:val="24"/>
          <w:lang w:val="pl-PL"/>
        </w:rPr>
        <w:t xml:space="preserve">dla Warszawy-Woli </w:t>
      </w:r>
      <w:r w:rsidR="0028566D">
        <w:rPr>
          <w:rFonts w:ascii="Times New Roman" w:hAnsi="Times New Roman" w:cs="Times New Roman"/>
          <w:szCs w:val="24"/>
          <w:lang w:val="pl-PL"/>
        </w:rPr>
        <w:br/>
      </w:r>
      <w:r w:rsidRPr="00B32E40">
        <w:rPr>
          <w:rFonts w:ascii="Times New Roman" w:hAnsi="Times New Roman" w:cs="Times New Roman"/>
          <w:szCs w:val="24"/>
          <w:lang w:val="pl-PL"/>
        </w:rPr>
        <w:t>w Warszawie w celu zmuszenia skarżącego do wykonania obowiązków nałożonych przez Sąd Apelacyjny w Warszawie dnia 11 marca 2010 roku.</w:t>
      </w:r>
    </w:p>
    <w:p w:rsidR="00CC2A6D" w:rsidRPr="00B32E40" w:rsidRDefault="00CC2A6D" w:rsidP="00CC2A6D">
      <w:pPr>
        <w:rPr>
          <w:rFonts w:ascii="Times New Roman" w:hAnsi="Times New Roman" w:cs="Times New Roman"/>
          <w:szCs w:val="24"/>
          <w:lang w:val="pl-PL"/>
        </w:rPr>
      </w:pPr>
      <w:r w:rsidRPr="00B32E40">
        <w:rPr>
          <w:rFonts w:ascii="Times New Roman" w:hAnsi="Times New Roman" w:cs="Times New Roman"/>
          <w:szCs w:val="24"/>
          <w:lang w:val="pl-PL"/>
        </w:rPr>
        <w:t xml:space="preserve">    28. W dniu 15 czerwca 2010 roku Sąd </w:t>
      </w:r>
      <w:r w:rsidR="00AF0BAD">
        <w:rPr>
          <w:rFonts w:ascii="Times New Roman" w:hAnsi="Times New Roman" w:cs="Times New Roman"/>
          <w:szCs w:val="24"/>
          <w:lang w:val="pl-PL"/>
        </w:rPr>
        <w:t>Rejonowy</w:t>
      </w:r>
      <w:r w:rsidR="00DD2E31">
        <w:rPr>
          <w:rFonts w:ascii="Times New Roman" w:hAnsi="Times New Roman" w:cs="Times New Roman"/>
          <w:szCs w:val="24"/>
          <w:lang w:val="pl-PL"/>
        </w:rPr>
        <w:t xml:space="preserve"> dla Warszawy-Woli</w:t>
      </w:r>
      <w:r w:rsidR="00AF0BAD"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 xml:space="preserve">w Warszawie nakazał skarżącemu opublikować przeprosiny zasądzone przez </w:t>
      </w:r>
      <w:r w:rsidRPr="00B32E40">
        <w:rPr>
          <w:rFonts w:ascii="Times New Roman" w:hAnsi="Times New Roman" w:cs="Times New Roman"/>
          <w:szCs w:val="24"/>
          <w:lang w:val="pl-PL"/>
        </w:rPr>
        <w:lastRenderedPageBreak/>
        <w:t xml:space="preserve">Sąd Apelacyjny w Warszawie w </w:t>
      </w:r>
      <w:r w:rsidRPr="00B32E40">
        <w:rPr>
          <w:rFonts w:ascii="Times New Roman" w:hAnsi="Times New Roman" w:cs="Times New Roman"/>
          <w:i/>
          <w:szCs w:val="24"/>
          <w:lang w:val="pl-PL"/>
        </w:rPr>
        <w:t>Rzeczpospolitej</w:t>
      </w:r>
      <w:r w:rsidRPr="00B32E40">
        <w:rPr>
          <w:rFonts w:ascii="Times New Roman" w:hAnsi="Times New Roman" w:cs="Times New Roman"/>
          <w:szCs w:val="24"/>
          <w:lang w:val="pl-PL"/>
        </w:rPr>
        <w:t xml:space="preserve">. Gdy skarżący nie zastosował się do tego nakazu, w dniu 10 czerwca 2011 roku Sąd Rejonowy </w:t>
      </w:r>
      <w:r w:rsidR="006D339E">
        <w:rPr>
          <w:rFonts w:ascii="Times New Roman" w:hAnsi="Times New Roman" w:cs="Times New Roman"/>
          <w:szCs w:val="24"/>
          <w:lang w:val="pl-PL"/>
        </w:rPr>
        <w:t>dla Warszawy-Woli</w:t>
      </w:r>
      <w:r w:rsidR="006D339E"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w Warszawie zezwolił A.M. na opublikowanie przeprosin w</w:t>
      </w:r>
      <w:r w:rsidRPr="00B32E40">
        <w:rPr>
          <w:rFonts w:ascii="Times New Roman" w:hAnsi="Times New Roman" w:cs="Times New Roman"/>
          <w:i/>
          <w:szCs w:val="24"/>
          <w:lang w:val="pl-PL"/>
        </w:rPr>
        <w:t xml:space="preserve"> Rzeczpospolitej</w:t>
      </w:r>
      <w:r w:rsidRPr="00B32E40">
        <w:rPr>
          <w:rFonts w:ascii="Times New Roman" w:hAnsi="Times New Roman" w:cs="Times New Roman"/>
          <w:szCs w:val="24"/>
          <w:lang w:val="pl-PL"/>
        </w:rPr>
        <w:t xml:space="preserve"> w imieniu skarżącego i nakazał temu pokrycie kosztów jego publikacji w wysokości 23.124 zł (około 5505 euro). Skarżący otrzymał znaczną zniżkę.</w:t>
      </w:r>
    </w:p>
    <w:p w:rsidR="00CC2A6D" w:rsidRPr="00B32E40" w:rsidRDefault="00CC2A6D" w:rsidP="00CC2A6D">
      <w:pPr>
        <w:pStyle w:val="ECHRPara"/>
        <w:keepNext/>
        <w:keepLines/>
        <w:rPr>
          <w:lang w:val="pl-PL"/>
        </w:rPr>
      </w:pPr>
    </w:p>
    <w:p w:rsidR="00014566" w:rsidRPr="00B32E40" w:rsidRDefault="00014566" w:rsidP="00CC2A6D">
      <w:pPr>
        <w:pStyle w:val="ECHRPara"/>
        <w:keepNext/>
        <w:keepLines/>
        <w:rPr>
          <w:rFonts w:ascii="Times New Roman" w:hAnsi="Times New Roman" w:cs="Times New Roman"/>
          <w:szCs w:val="24"/>
          <w:lang w:val="pl-PL"/>
        </w:rPr>
      </w:pPr>
      <w:r w:rsidRPr="00B32E40">
        <w:rPr>
          <w:lang w:val="pl-PL"/>
        </w:rPr>
        <w:t>II.</w:t>
      </w:r>
      <w:r w:rsidR="00B1554A" w:rsidRPr="00B32E40">
        <w:rPr>
          <w:lang w:val="pl-PL"/>
        </w:rPr>
        <w:t>  </w:t>
      </w:r>
      <w:r w:rsidR="00AF0BAD">
        <w:rPr>
          <w:lang w:val="pl-PL"/>
        </w:rPr>
        <w:t xml:space="preserve">WŁAŚCIWE </w:t>
      </w:r>
      <w:r w:rsidR="00CC2A6D" w:rsidRPr="00B32E40">
        <w:rPr>
          <w:rFonts w:ascii="Times New Roman" w:hAnsi="Times New Roman" w:cs="Times New Roman"/>
          <w:szCs w:val="24"/>
          <w:lang w:val="pl-PL"/>
        </w:rPr>
        <w:t>PRAWO KRAJOWE I PRAKTYKA</w:t>
      </w:r>
    </w:p>
    <w:p w:rsidR="00CC2A6D" w:rsidRPr="00B32E40" w:rsidRDefault="00CC2A6D" w:rsidP="00CC2A6D">
      <w:pPr>
        <w:pStyle w:val="ECHRPara"/>
        <w:keepNext/>
        <w:keepLines/>
        <w:rPr>
          <w:lang w:val="pl-PL"/>
        </w:rPr>
      </w:pPr>
    </w:p>
    <w:p w:rsidR="00CC2A6D" w:rsidRPr="00B32E40" w:rsidRDefault="00CC2A6D" w:rsidP="00CC2A6D">
      <w:pPr>
        <w:rPr>
          <w:rFonts w:ascii="Times New Roman" w:hAnsi="Times New Roman" w:cs="Times New Roman"/>
          <w:szCs w:val="24"/>
          <w:lang w:val="pl-PL"/>
        </w:rPr>
      </w:pPr>
      <w:r w:rsidRPr="00B32E40">
        <w:rPr>
          <w:rStyle w:val="ECHRParaChar"/>
          <w:lang w:val="pl-PL"/>
        </w:rPr>
        <w:t xml:space="preserve">    </w:t>
      </w:r>
      <w:r w:rsidR="0057069D" w:rsidRPr="00B32E40">
        <w:rPr>
          <w:rStyle w:val="ECHRParaChar"/>
          <w:lang w:val="pl-PL"/>
        </w:rPr>
        <w:fldChar w:fldCharType="begin"/>
      </w:r>
      <w:r w:rsidR="005153FB" w:rsidRPr="00B32E40">
        <w:rPr>
          <w:rStyle w:val="ECHRParaChar"/>
          <w:lang w:val="pl-PL"/>
        </w:rPr>
        <w:instrText xml:space="preserve"> SEQ level0 \*arabic </w:instrText>
      </w:r>
      <w:r w:rsidR="0057069D" w:rsidRPr="00B32E40">
        <w:rPr>
          <w:rStyle w:val="ECHRParaChar"/>
          <w:lang w:val="pl-PL"/>
        </w:rPr>
        <w:fldChar w:fldCharType="separate"/>
      </w:r>
      <w:r w:rsidR="00792CFD" w:rsidRPr="00B32E40">
        <w:rPr>
          <w:rStyle w:val="ECHRParaChar"/>
          <w:noProof/>
          <w:lang w:val="pl-PL"/>
        </w:rPr>
        <w:t>29</w:t>
      </w:r>
      <w:r w:rsidR="0057069D" w:rsidRPr="00B32E40">
        <w:rPr>
          <w:rStyle w:val="ECHRParaChar"/>
          <w:lang w:val="pl-PL"/>
        </w:rPr>
        <w:fldChar w:fldCharType="end"/>
      </w:r>
      <w:r w:rsidR="005153FB" w:rsidRPr="00B32E40">
        <w:rPr>
          <w:rStyle w:val="ECHRParaChar"/>
          <w:lang w:val="pl-PL"/>
        </w:rPr>
        <w:t>. </w:t>
      </w:r>
      <w:r w:rsidRPr="00B32E40">
        <w:rPr>
          <w:rFonts w:ascii="Times New Roman" w:hAnsi="Times New Roman" w:cs="Times New Roman"/>
          <w:szCs w:val="24"/>
          <w:lang w:val="pl-PL"/>
        </w:rPr>
        <w:t xml:space="preserve"> Artykuł 23 Kodeksu Cywilnego zawiera </w:t>
      </w:r>
      <w:r w:rsidR="00AF0BAD">
        <w:rPr>
          <w:rFonts w:ascii="Times New Roman" w:hAnsi="Times New Roman" w:cs="Times New Roman"/>
          <w:szCs w:val="24"/>
          <w:lang w:val="pl-PL"/>
        </w:rPr>
        <w:t xml:space="preserve">otwarty katalog </w:t>
      </w:r>
      <w:r w:rsidRPr="00B32E40">
        <w:rPr>
          <w:rFonts w:ascii="Times New Roman" w:hAnsi="Times New Roman" w:cs="Times New Roman"/>
          <w:szCs w:val="24"/>
          <w:lang w:val="pl-PL"/>
        </w:rPr>
        <w:t>praw zwanych "dobra</w:t>
      </w:r>
      <w:r w:rsidR="00AF0BAD">
        <w:rPr>
          <w:rFonts w:ascii="Times New Roman" w:hAnsi="Times New Roman" w:cs="Times New Roman"/>
          <w:szCs w:val="24"/>
          <w:lang w:val="pl-PL"/>
        </w:rPr>
        <w:t>mi osobistymi</w:t>
      </w:r>
      <w:r w:rsidR="00057CC0">
        <w:rPr>
          <w:rFonts w:ascii="Times New Roman" w:hAnsi="Times New Roman" w:cs="Times New Roman"/>
          <w:szCs w:val="24"/>
          <w:lang w:val="pl-PL"/>
        </w:rPr>
        <w:t>"</w:t>
      </w:r>
      <w:r w:rsidRPr="00B32E40">
        <w:rPr>
          <w:rFonts w:ascii="Times New Roman" w:hAnsi="Times New Roman" w:cs="Times New Roman"/>
          <w:szCs w:val="24"/>
          <w:lang w:val="pl-PL"/>
        </w:rPr>
        <w:t>. Przepis ten stanowi, że:</w:t>
      </w:r>
    </w:p>
    <w:p w:rsidR="00CC2A6D" w:rsidRPr="00B32E40" w:rsidRDefault="00CC2A6D" w:rsidP="00CC2A6D">
      <w:pPr>
        <w:pStyle w:val="ECHRParaQuote"/>
        <w:rPr>
          <w:rFonts w:eastAsiaTheme="minorHAnsi"/>
          <w:lang w:val="pl-PL"/>
        </w:rPr>
      </w:pPr>
      <w:r w:rsidRPr="00B32E40">
        <w:rPr>
          <w:rFonts w:ascii="Times New Roman" w:hAnsi="Times New Roman" w:cs="Times New Roman"/>
          <w:lang w:val="pl-PL"/>
        </w:rPr>
        <w:tab/>
      </w:r>
      <w:r w:rsidRPr="00B32E40">
        <w:rPr>
          <w:rFonts w:eastAsiaTheme="minorHAnsi"/>
          <w:lang w:val="pl-PL"/>
        </w:rPr>
        <w:t xml:space="preserve">"Dobra osobiste człowieka, jak w szczególności zdrowie, wolność, cześć, swoboda sumienia, nazwisko lub pseudonim, wizerunek, tajemnica korespondencji, nietykalność mieszkania, twórczość naukowa, artystyczna, wynalazcza </w:t>
      </w:r>
      <w:r w:rsidR="00057CC0">
        <w:rPr>
          <w:rFonts w:eastAsiaTheme="minorHAnsi"/>
          <w:lang w:val="pl-PL"/>
        </w:rPr>
        <w:br/>
      </w:r>
      <w:r w:rsidRPr="00B32E40">
        <w:rPr>
          <w:rFonts w:eastAsiaTheme="minorHAnsi"/>
          <w:lang w:val="pl-PL"/>
        </w:rPr>
        <w:t>i racjonalizatorska, pozostają pod ochroną prawa cywilnego niezależnie od ochrony przewidzianej w innych przepisach."</w:t>
      </w:r>
    </w:p>
    <w:p w:rsidR="00CC2A6D" w:rsidRPr="00B32E40" w:rsidRDefault="00CC2A6D" w:rsidP="00CC2A6D">
      <w:pPr>
        <w:rPr>
          <w:rFonts w:ascii="Times New Roman" w:hAnsi="Times New Roman" w:cs="Times New Roman"/>
          <w:szCs w:val="24"/>
          <w:lang w:val="pl-PL"/>
        </w:rPr>
      </w:pPr>
      <w:r w:rsidRPr="00B32E40">
        <w:rPr>
          <w:rFonts w:ascii="Times New Roman" w:hAnsi="Times New Roman" w:cs="Times New Roman"/>
          <w:szCs w:val="24"/>
          <w:lang w:val="pl-PL"/>
        </w:rPr>
        <w:t xml:space="preserve">   30. Artykuł 24 Kodeksu Cywilnego przewiduje </w:t>
      </w:r>
      <w:r w:rsidR="00AF0BAD">
        <w:rPr>
          <w:rFonts w:ascii="Times New Roman" w:hAnsi="Times New Roman" w:cs="Times New Roman"/>
          <w:szCs w:val="24"/>
          <w:lang w:val="pl-PL"/>
        </w:rPr>
        <w:t>środki ochrony</w:t>
      </w:r>
      <w:r w:rsidRPr="00B32E40">
        <w:rPr>
          <w:rFonts w:ascii="Times New Roman" w:hAnsi="Times New Roman" w:cs="Times New Roman"/>
          <w:szCs w:val="24"/>
          <w:lang w:val="pl-PL"/>
        </w:rPr>
        <w:t xml:space="preserve"> dóbr osobistych. Zgodnie z tym przepisem osoba</w:t>
      </w:r>
      <w:r w:rsidR="00AF0BAD">
        <w:rPr>
          <w:rFonts w:ascii="Times New Roman" w:hAnsi="Times New Roman" w:cs="Times New Roman"/>
          <w:szCs w:val="24"/>
          <w:lang w:val="pl-PL"/>
        </w:rPr>
        <w:t>, której dobro osobiste zostaje zagrożone cudzym działaniem</w:t>
      </w:r>
      <w:r w:rsidRPr="00B32E40">
        <w:rPr>
          <w:rFonts w:ascii="Times New Roman" w:hAnsi="Times New Roman" w:cs="Times New Roman"/>
          <w:szCs w:val="24"/>
          <w:lang w:val="pl-PL"/>
        </w:rPr>
        <w:t xml:space="preserve"> może</w:t>
      </w:r>
      <w:r w:rsidRPr="00B32E40">
        <w:rPr>
          <w:rFonts w:ascii="Times New Roman" w:hAnsi="Times New Roman" w:cs="Times New Roman"/>
          <w:lang w:val="pl-PL"/>
        </w:rPr>
        <w:t xml:space="preserve"> żądać zaniechania tego działania, chyba że nie jest ono bezprawne.</w:t>
      </w:r>
      <w:r w:rsidRPr="00B32E40">
        <w:rPr>
          <w:rFonts w:ascii="Times New Roman" w:hAnsi="Times New Roman" w:cs="Times New Roman"/>
          <w:szCs w:val="24"/>
          <w:lang w:val="pl-PL"/>
        </w:rPr>
        <w:t xml:space="preserve"> W przypadku gdy naruszenie miało miejsce, poszkodowany może, między innymi, zażądać aby sprawca złożył przeprosiny</w:t>
      </w:r>
      <w:r w:rsidR="00AF0BAD">
        <w:rPr>
          <w:rFonts w:ascii="Times New Roman" w:hAnsi="Times New Roman" w:cs="Times New Roman"/>
          <w:szCs w:val="24"/>
          <w:lang w:val="pl-PL"/>
        </w:rPr>
        <w:t xml:space="preserve"> </w:t>
      </w:r>
      <w:r w:rsidRPr="00B32E40">
        <w:rPr>
          <w:rFonts w:ascii="Times New Roman" w:hAnsi="Times New Roman" w:cs="Times New Roman"/>
          <w:szCs w:val="24"/>
          <w:lang w:val="pl-PL"/>
        </w:rPr>
        <w:t xml:space="preserve">odpowiedniej </w:t>
      </w:r>
      <w:r w:rsidR="00AF0BAD">
        <w:rPr>
          <w:rFonts w:ascii="Times New Roman" w:hAnsi="Times New Roman" w:cs="Times New Roman"/>
          <w:szCs w:val="24"/>
          <w:lang w:val="pl-PL"/>
        </w:rPr>
        <w:t xml:space="preserve">treści i w odpowiedniej </w:t>
      </w:r>
      <w:r w:rsidRPr="00B32E40">
        <w:rPr>
          <w:rFonts w:ascii="Times New Roman" w:hAnsi="Times New Roman" w:cs="Times New Roman"/>
          <w:szCs w:val="24"/>
          <w:lang w:val="pl-PL"/>
        </w:rPr>
        <w:t xml:space="preserve">formie lub żądać </w:t>
      </w:r>
      <w:r w:rsidR="00881A73">
        <w:rPr>
          <w:rFonts w:ascii="Times New Roman" w:hAnsi="Times New Roman" w:cs="Times New Roman"/>
          <w:szCs w:val="24"/>
          <w:lang w:val="pl-PL"/>
        </w:rPr>
        <w:t>zadośćuczynienia pieniężnego</w:t>
      </w:r>
      <w:r w:rsidRPr="00B32E40">
        <w:rPr>
          <w:rFonts w:ascii="Times New Roman" w:hAnsi="Times New Roman" w:cs="Times New Roman"/>
          <w:szCs w:val="24"/>
          <w:lang w:val="pl-PL"/>
        </w:rPr>
        <w:t xml:space="preserve">. Jeżeli naruszenie dóbr osobistych powoduje </w:t>
      </w:r>
      <w:r w:rsidR="00881A73">
        <w:rPr>
          <w:rFonts w:ascii="Times New Roman" w:hAnsi="Times New Roman" w:cs="Times New Roman"/>
          <w:szCs w:val="24"/>
          <w:lang w:val="pl-PL"/>
        </w:rPr>
        <w:t>szkodę majątkową</w:t>
      </w:r>
      <w:r w:rsidRPr="00B32E40">
        <w:rPr>
          <w:rFonts w:ascii="Times New Roman" w:hAnsi="Times New Roman" w:cs="Times New Roman"/>
          <w:szCs w:val="24"/>
          <w:lang w:val="pl-PL"/>
        </w:rPr>
        <w:t xml:space="preserve">, </w:t>
      </w:r>
      <w:r w:rsidR="00881A73">
        <w:rPr>
          <w:rFonts w:ascii="Times New Roman" w:hAnsi="Times New Roman" w:cs="Times New Roman"/>
          <w:szCs w:val="24"/>
          <w:lang w:val="pl-PL"/>
        </w:rPr>
        <w:t>poszkodowany</w:t>
      </w:r>
      <w:r w:rsidRPr="00B32E40">
        <w:rPr>
          <w:rFonts w:ascii="Times New Roman" w:hAnsi="Times New Roman" w:cs="Times New Roman"/>
          <w:szCs w:val="24"/>
          <w:lang w:val="pl-PL"/>
        </w:rPr>
        <w:t xml:space="preserve"> może dochodzić odszkodowania.</w:t>
      </w:r>
    </w:p>
    <w:p w:rsidR="00CC2A6D" w:rsidRPr="00B32E40" w:rsidRDefault="00CC2A6D" w:rsidP="00CC2A6D">
      <w:pPr>
        <w:rPr>
          <w:rFonts w:ascii="Times New Roman" w:hAnsi="Times New Roman" w:cs="Times New Roman"/>
          <w:szCs w:val="24"/>
          <w:lang w:val="pl-PL"/>
        </w:rPr>
      </w:pPr>
      <w:r w:rsidRPr="00B32E40">
        <w:rPr>
          <w:rFonts w:ascii="Times New Roman" w:hAnsi="Times New Roman" w:cs="Times New Roman"/>
          <w:szCs w:val="24"/>
          <w:lang w:val="pl-PL"/>
        </w:rPr>
        <w:t xml:space="preserve">   31. Zgodnie z artykułem 448 Kodeksu Cywilnego, osoba, której dobra osobiste zostały naruszone może domagać się odszkodowania. Przepis ten, w odpowiedniej części, stanowi:</w:t>
      </w:r>
    </w:p>
    <w:p w:rsidR="00CC2A6D" w:rsidRPr="00B32E40" w:rsidRDefault="00CC2A6D" w:rsidP="00CC2A6D">
      <w:pPr>
        <w:pStyle w:val="ECHRParaQuote"/>
        <w:rPr>
          <w:rStyle w:val="ECHRParaChar"/>
          <w:rFonts w:eastAsiaTheme="minorHAnsi"/>
          <w:sz w:val="20"/>
          <w:lang w:val="pl-PL"/>
        </w:rPr>
      </w:pPr>
      <w:r w:rsidRPr="00B32E40">
        <w:rPr>
          <w:rFonts w:ascii="Times New Roman" w:hAnsi="Times New Roman" w:cs="Times New Roman"/>
          <w:szCs w:val="20"/>
          <w:lang w:val="pl-PL"/>
        </w:rPr>
        <w:tab/>
      </w:r>
      <w:r w:rsidRPr="00B32E40">
        <w:rPr>
          <w:rFonts w:eastAsiaTheme="minorHAnsi"/>
          <w:lang w:val="pl-PL"/>
        </w:rPr>
        <w:t xml:space="preserve">"W razie naruszenia dobra osobistego sąd może przyznać temu, czyje dobro osobiste zostało naruszone, odpowiednią sumę tytułem zadośćuczynienia pieniężnego za doznaną krzywdę lub na jego żądanie zasądzić odpowiednią sumę pieniężną na wskazany przez niego cel społeczny, niezależnie od innych środków potrzebnych do usunięcia skutków naruszenia." </w:t>
      </w:r>
    </w:p>
    <w:p w:rsidR="00014566" w:rsidRPr="00B32E40" w:rsidRDefault="00CC2A6D" w:rsidP="00792CFD">
      <w:pPr>
        <w:pStyle w:val="ECHRTitle1"/>
        <w:rPr>
          <w:lang w:val="pl-PL"/>
        </w:rPr>
      </w:pPr>
      <w:r w:rsidRPr="00B32E40">
        <w:rPr>
          <w:lang w:val="pl-PL"/>
        </w:rPr>
        <w:t>PRAWO</w:t>
      </w:r>
    </w:p>
    <w:p w:rsidR="00CC2A6D" w:rsidRPr="00B32E40" w:rsidRDefault="00CC2A6D" w:rsidP="00CC2A6D">
      <w:pPr>
        <w:rPr>
          <w:rFonts w:ascii="Times New Roman" w:hAnsi="Times New Roman" w:cs="Times New Roman"/>
          <w:szCs w:val="24"/>
          <w:lang w:val="pl-PL"/>
        </w:rPr>
      </w:pPr>
      <w:r w:rsidRPr="00B32E40">
        <w:rPr>
          <w:rFonts w:ascii="Times New Roman" w:hAnsi="Times New Roman" w:cs="Times New Roman"/>
          <w:szCs w:val="24"/>
          <w:lang w:val="pl-PL"/>
        </w:rPr>
        <w:t>ZARZUT NARUSZENIA ARTYKUŁU 10 KONWENCJI</w:t>
      </w:r>
    </w:p>
    <w:p w:rsidR="00CC2A6D" w:rsidRPr="00B32E40" w:rsidRDefault="00CC2A6D" w:rsidP="00CC2A6D">
      <w:pPr>
        <w:rPr>
          <w:rFonts w:ascii="Times New Roman" w:hAnsi="Times New Roman" w:cs="Times New Roman"/>
          <w:szCs w:val="24"/>
          <w:lang w:val="pl-PL"/>
        </w:rPr>
      </w:pPr>
      <w:r w:rsidRPr="00B32E40">
        <w:rPr>
          <w:lang w:val="pl-PL"/>
        </w:rPr>
        <w:t xml:space="preserve">   </w:t>
      </w:r>
      <w:r w:rsidR="0057069D" w:rsidRPr="00B32E40">
        <w:rPr>
          <w:lang w:val="pl-PL"/>
        </w:rPr>
        <w:fldChar w:fldCharType="begin"/>
      </w:r>
      <w:r w:rsidR="00025740" w:rsidRPr="00B32E40">
        <w:rPr>
          <w:lang w:val="pl-PL"/>
        </w:rPr>
        <w:instrText xml:space="preserve"> SEQ level0 \*arabic </w:instrText>
      </w:r>
      <w:r w:rsidR="0057069D" w:rsidRPr="00B32E40">
        <w:rPr>
          <w:lang w:val="pl-PL"/>
        </w:rPr>
        <w:fldChar w:fldCharType="separate"/>
      </w:r>
      <w:r w:rsidR="00792CFD" w:rsidRPr="00B32E40">
        <w:rPr>
          <w:noProof/>
          <w:lang w:val="pl-PL"/>
        </w:rPr>
        <w:t>32</w:t>
      </w:r>
      <w:r w:rsidR="0057069D" w:rsidRPr="00B32E40">
        <w:rPr>
          <w:lang w:val="pl-PL"/>
        </w:rPr>
        <w:fldChar w:fldCharType="end"/>
      </w:r>
      <w:r w:rsidRPr="00B32E40">
        <w:rPr>
          <w:lang w:val="pl-PL"/>
        </w:rPr>
        <w:t>. </w:t>
      </w:r>
      <w:r w:rsidRPr="00B32E40">
        <w:rPr>
          <w:rFonts w:ascii="Times New Roman" w:hAnsi="Times New Roman" w:cs="Times New Roman"/>
          <w:szCs w:val="24"/>
          <w:lang w:val="pl-PL"/>
        </w:rPr>
        <w:t>Skarżący zarzucił, że na mocy artykułu 10 Konwencji zostało naruszone</w:t>
      </w:r>
      <w:r w:rsidR="007038D7"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jego prawo do wolności wypowiedzi. Artykuł ten brzmi następująco:</w:t>
      </w:r>
    </w:p>
    <w:p w:rsidR="00CC2A6D" w:rsidRPr="00B32E40" w:rsidRDefault="00CC2A6D" w:rsidP="00CC2A6D">
      <w:pPr>
        <w:pStyle w:val="ECHRParaQuote"/>
        <w:rPr>
          <w:lang w:val="pl-PL"/>
        </w:rPr>
      </w:pPr>
      <w:r w:rsidRPr="00B32E40">
        <w:rPr>
          <w:lang w:val="pl-PL"/>
        </w:rPr>
        <w:t xml:space="preserve">"1. Każdy ma prawo do wolności wyrażania opinii. Prawo to obejmuje wolność posiadania poglądów oraz otrzymywania i przekazywania informacji i idei bez ingerencji władz publicznych i bez względu na granice państwowe. Niniejszy przepis </w:t>
      </w:r>
      <w:r w:rsidRPr="00B32E40">
        <w:rPr>
          <w:lang w:val="pl-PL"/>
        </w:rPr>
        <w:lastRenderedPageBreak/>
        <w:t xml:space="preserve">nie wyklucza prawa Państw do poddania procedurze zezwoleń przedsiębiorstw radiowych, telewizyjnych lub kinematograficznych. </w:t>
      </w:r>
    </w:p>
    <w:p w:rsidR="00CC2A6D" w:rsidRPr="00B32E40" w:rsidRDefault="00CC2A6D" w:rsidP="00CC2A6D">
      <w:pPr>
        <w:pStyle w:val="ECHRParaQuote"/>
        <w:rPr>
          <w:lang w:val="pl-PL"/>
        </w:rPr>
      </w:pPr>
      <w:r w:rsidRPr="00B32E40">
        <w:rPr>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rsidR="00014566" w:rsidRPr="00B32E40" w:rsidRDefault="00014566" w:rsidP="00792CFD">
      <w:pPr>
        <w:pStyle w:val="ECHRHeading2"/>
        <w:rPr>
          <w:lang w:val="pl-PL"/>
        </w:rPr>
      </w:pPr>
      <w:r w:rsidRPr="00B32E40">
        <w:rPr>
          <w:lang w:val="pl-PL"/>
        </w:rPr>
        <w:t>A.  </w:t>
      </w:r>
      <w:r w:rsidR="007038D7" w:rsidRPr="00B32E40">
        <w:rPr>
          <w:rFonts w:ascii="Times New Roman" w:hAnsi="Times New Roman" w:cs="Times New Roman"/>
          <w:szCs w:val="24"/>
          <w:lang w:val="pl-PL"/>
        </w:rPr>
        <w:t>Dopuszczalność</w:t>
      </w:r>
    </w:p>
    <w:p w:rsidR="007038D7" w:rsidRPr="00B32E40" w:rsidRDefault="007038D7" w:rsidP="007038D7">
      <w:pPr>
        <w:rPr>
          <w:rFonts w:ascii="Times New Roman" w:hAnsi="Times New Roman" w:cs="Times New Roman"/>
          <w:szCs w:val="24"/>
          <w:lang w:val="pl-PL"/>
        </w:rPr>
      </w:pPr>
      <w:r w:rsidRPr="00B32E40">
        <w:rPr>
          <w:lang w:val="pl-PL"/>
        </w:rPr>
        <w:t xml:space="preserve">    </w:t>
      </w:r>
      <w:r w:rsidR="0057069D" w:rsidRPr="00B32E40">
        <w:rPr>
          <w:lang w:val="pl-PL"/>
        </w:rPr>
        <w:fldChar w:fldCharType="begin"/>
      </w:r>
      <w:r w:rsidR="00025740" w:rsidRPr="00B32E40">
        <w:rPr>
          <w:lang w:val="pl-PL"/>
        </w:rPr>
        <w:instrText xml:space="preserve"> SEQ level0 \*arabic </w:instrText>
      </w:r>
      <w:r w:rsidR="0057069D" w:rsidRPr="00B32E40">
        <w:rPr>
          <w:lang w:val="pl-PL"/>
        </w:rPr>
        <w:fldChar w:fldCharType="separate"/>
      </w:r>
      <w:r w:rsidR="00792CFD" w:rsidRPr="00B32E40">
        <w:rPr>
          <w:noProof/>
          <w:lang w:val="pl-PL"/>
        </w:rPr>
        <w:t>33</w:t>
      </w:r>
      <w:r w:rsidR="0057069D" w:rsidRPr="00B32E40">
        <w:rPr>
          <w:lang w:val="pl-PL"/>
        </w:rPr>
        <w:fldChar w:fldCharType="end"/>
      </w:r>
      <w:r w:rsidR="00014566" w:rsidRPr="00B32E40">
        <w:rPr>
          <w:lang w:val="pl-PL"/>
        </w:rPr>
        <w:t>.  </w:t>
      </w:r>
      <w:r w:rsidRPr="00B32E40">
        <w:rPr>
          <w:rFonts w:ascii="Times New Roman" w:hAnsi="Times New Roman" w:cs="Times New Roman"/>
          <w:szCs w:val="24"/>
          <w:lang w:val="pl-PL"/>
        </w:rPr>
        <w:t>Trybunał zauważa, że skarga nie jest oczywiście bezzasadna w rozumieniu Artykułu 35 § 3 (a) Konwencji. Ponadto zauważa, że nie jest ona niedopuszczalna z jakichkolwiek innych powodów. Należy zatem uznać ją za dopuszczalną.</w:t>
      </w:r>
    </w:p>
    <w:p w:rsidR="00014566" w:rsidRPr="00B32E40" w:rsidRDefault="00014566" w:rsidP="00792CFD">
      <w:pPr>
        <w:pStyle w:val="ECHRHeading2"/>
        <w:rPr>
          <w:lang w:val="pl-PL"/>
        </w:rPr>
      </w:pPr>
      <w:r w:rsidRPr="00B32E40">
        <w:rPr>
          <w:lang w:val="pl-PL"/>
        </w:rPr>
        <w:t>B.  </w:t>
      </w:r>
      <w:r w:rsidR="007038D7" w:rsidRPr="00B32E40">
        <w:rPr>
          <w:rFonts w:ascii="Times New Roman" w:hAnsi="Times New Roman" w:cs="Times New Roman"/>
          <w:szCs w:val="24"/>
          <w:lang w:val="pl-PL"/>
        </w:rPr>
        <w:t>Meritum</w:t>
      </w:r>
    </w:p>
    <w:p w:rsidR="005153FB" w:rsidRPr="00B32E40" w:rsidRDefault="005153FB" w:rsidP="00792CFD">
      <w:pPr>
        <w:pStyle w:val="ECHRHeading3"/>
        <w:rPr>
          <w:lang w:val="pl-PL"/>
        </w:rPr>
      </w:pPr>
      <w:r w:rsidRPr="00B32E40">
        <w:rPr>
          <w:lang w:val="pl-PL"/>
        </w:rPr>
        <w:t>1.  </w:t>
      </w:r>
      <w:r w:rsidR="007038D7" w:rsidRPr="00B32E40">
        <w:rPr>
          <w:lang w:val="pl-PL"/>
        </w:rPr>
        <w:t>Stanowisko skarżącego</w:t>
      </w:r>
    </w:p>
    <w:p w:rsidR="00B555BF" w:rsidRPr="00B32E40" w:rsidRDefault="00B555BF" w:rsidP="00B555BF">
      <w:pPr>
        <w:rPr>
          <w:rFonts w:ascii="Times New Roman" w:hAnsi="Times New Roman" w:cs="Times New Roman"/>
          <w:szCs w:val="24"/>
          <w:lang w:val="pl-PL"/>
        </w:rPr>
      </w:pPr>
      <w:r w:rsidRPr="00B32E40">
        <w:rPr>
          <w:lang w:val="pl-PL"/>
        </w:rPr>
        <w:t xml:space="preserve">     </w:t>
      </w:r>
      <w:r w:rsidR="0057069D" w:rsidRPr="00B32E40">
        <w:rPr>
          <w:lang w:val="pl-PL"/>
        </w:rPr>
        <w:fldChar w:fldCharType="begin"/>
      </w:r>
      <w:r w:rsidR="00025740" w:rsidRPr="00B32E40">
        <w:rPr>
          <w:lang w:val="pl-PL"/>
        </w:rPr>
        <w:instrText xml:space="preserve"> SEQ level0 \*arabic </w:instrText>
      </w:r>
      <w:r w:rsidR="0057069D" w:rsidRPr="00B32E40">
        <w:rPr>
          <w:lang w:val="pl-PL"/>
        </w:rPr>
        <w:fldChar w:fldCharType="separate"/>
      </w:r>
      <w:r w:rsidR="00792CFD" w:rsidRPr="00B32E40">
        <w:rPr>
          <w:noProof/>
          <w:lang w:val="pl-PL"/>
        </w:rPr>
        <w:t>34</w:t>
      </w:r>
      <w:r w:rsidR="0057069D" w:rsidRPr="00B32E40">
        <w:rPr>
          <w:lang w:val="pl-PL"/>
        </w:rPr>
        <w:fldChar w:fldCharType="end"/>
      </w:r>
      <w:r w:rsidR="005153FB" w:rsidRPr="00B32E40">
        <w:rPr>
          <w:lang w:val="pl-PL"/>
        </w:rPr>
        <w:t>. </w:t>
      </w:r>
      <w:r w:rsidR="00B1554A" w:rsidRPr="00B32E40">
        <w:rPr>
          <w:lang w:val="pl-PL"/>
        </w:rPr>
        <w:t> </w:t>
      </w:r>
      <w:r w:rsidRPr="00B32E40">
        <w:rPr>
          <w:rFonts w:ascii="Times New Roman" w:hAnsi="Times New Roman" w:cs="Times New Roman"/>
          <w:szCs w:val="24"/>
          <w:lang w:val="pl-PL"/>
        </w:rPr>
        <w:t>Skarżący twierdził, że wypowiedź będąca przedmiotem sprawy padła w ramach debaty publicznej oraz w związku z dyskusją na temat lustracji. Jego zdaniem, sądom krajowym nie udało się dokonać rozróżnienia między stwierdzen</w:t>
      </w:r>
      <w:r w:rsidR="00CD3B4F">
        <w:rPr>
          <w:rFonts w:ascii="Times New Roman" w:hAnsi="Times New Roman" w:cs="Times New Roman"/>
          <w:szCs w:val="24"/>
          <w:lang w:val="pl-PL"/>
        </w:rPr>
        <w:t>iem faktów</w:t>
      </w:r>
      <w:r w:rsidRPr="00B32E40">
        <w:rPr>
          <w:rFonts w:ascii="Times New Roman" w:hAnsi="Times New Roman" w:cs="Times New Roman"/>
          <w:szCs w:val="24"/>
          <w:lang w:val="pl-PL"/>
        </w:rPr>
        <w:t xml:space="preserve"> </w:t>
      </w:r>
      <w:r w:rsidR="00CD3B4F">
        <w:rPr>
          <w:rFonts w:ascii="Times New Roman" w:hAnsi="Times New Roman" w:cs="Times New Roman"/>
          <w:szCs w:val="24"/>
          <w:lang w:val="pl-PL"/>
        </w:rPr>
        <w:t>a</w:t>
      </w:r>
      <w:r w:rsidRPr="00B32E40">
        <w:rPr>
          <w:rFonts w:ascii="Times New Roman" w:hAnsi="Times New Roman" w:cs="Times New Roman"/>
          <w:szCs w:val="24"/>
          <w:lang w:val="pl-PL"/>
        </w:rPr>
        <w:t xml:space="preserve"> </w:t>
      </w:r>
      <w:r w:rsidR="00CD3B4F">
        <w:rPr>
          <w:rFonts w:ascii="Times New Roman" w:hAnsi="Times New Roman" w:cs="Times New Roman"/>
          <w:szCs w:val="24"/>
          <w:lang w:val="pl-PL"/>
        </w:rPr>
        <w:t>opiniami wartościującymi</w:t>
      </w:r>
      <w:r w:rsidRPr="00B32E40">
        <w:rPr>
          <w:rFonts w:ascii="Times New Roman" w:hAnsi="Times New Roman" w:cs="Times New Roman"/>
          <w:szCs w:val="24"/>
          <w:lang w:val="pl-PL"/>
        </w:rPr>
        <w:t>. Te z jego wypowiedzi, które rzekomo naruszyły prawa A.M. były opiniami wartościującymi, które miały solidną podstawę w faktach.</w:t>
      </w:r>
      <w:r w:rsidRPr="00B32E40">
        <w:rPr>
          <w:rFonts w:ascii="Times New Roman" w:hAnsi="Times New Roman" w:cs="Times New Roman"/>
          <w:lang w:val="pl-PL"/>
        </w:rPr>
        <w:t xml:space="preserve"> </w:t>
      </w:r>
      <w:r w:rsidRPr="00B32E40">
        <w:rPr>
          <w:rFonts w:ascii="Times New Roman" w:hAnsi="Times New Roman" w:cs="Times New Roman"/>
          <w:szCs w:val="24"/>
          <w:lang w:val="pl-PL"/>
        </w:rPr>
        <w:t xml:space="preserve">W trakcie postępowania, skarżący odniósł się do licznych wypowiedzi A. M. </w:t>
      </w:r>
      <w:r w:rsidR="0096080B">
        <w:rPr>
          <w:rFonts w:ascii="Times New Roman" w:hAnsi="Times New Roman" w:cs="Times New Roman"/>
          <w:szCs w:val="24"/>
          <w:lang w:val="pl-PL"/>
        </w:rPr>
        <w:br/>
      </w:r>
      <w:r w:rsidRPr="00B32E40">
        <w:rPr>
          <w:rFonts w:ascii="Times New Roman" w:hAnsi="Times New Roman" w:cs="Times New Roman"/>
          <w:szCs w:val="24"/>
          <w:lang w:val="pl-PL"/>
        </w:rPr>
        <w:t xml:space="preserve">i </w:t>
      </w:r>
      <w:r w:rsidR="00881A73">
        <w:rPr>
          <w:rFonts w:ascii="Times New Roman" w:hAnsi="Times New Roman" w:cs="Times New Roman"/>
          <w:szCs w:val="24"/>
          <w:lang w:val="pl-PL"/>
        </w:rPr>
        <w:t>podkreślał</w:t>
      </w:r>
      <w:r w:rsidRPr="00B32E40">
        <w:rPr>
          <w:rFonts w:ascii="Times New Roman" w:hAnsi="Times New Roman" w:cs="Times New Roman"/>
          <w:szCs w:val="24"/>
          <w:lang w:val="pl-PL"/>
        </w:rPr>
        <w:t xml:space="preserve"> , że jego opinia opisała stosunek A.M. do lustracji w Polsce. </w:t>
      </w:r>
      <w:r w:rsidR="00881A73">
        <w:rPr>
          <w:rFonts w:ascii="Times New Roman" w:hAnsi="Times New Roman" w:cs="Times New Roman"/>
          <w:szCs w:val="24"/>
          <w:lang w:val="pl-PL"/>
        </w:rPr>
        <w:t>Pomimo tego</w:t>
      </w:r>
      <w:r w:rsidRPr="00B32E40">
        <w:rPr>
          <w:rFonts w:ascii="Times New Roman" w:hAnsi="Times New Roman" w:cs="Times New Roman"/>
          <w:szCs w:val="24"/>
          <w:lang w:val="pl-PL"/>
        </w:rPr>
        <w:t xml:space="preserve"> sądy oparły się na bardzo wąskim fragmencie wyrażenia "[zacięty] obrońca ... agentów" i uznały, że kwestionowana wypowiedź powinna być rozumiana jako </w:t>
      </w:r>
      <w:r w:rsidR="00881A73">
        <w:rPr>
          <w:rFonts w:ascii="Times New Roman" w:hAnsi="Times New Roman" w:cs="Times New Roman"/>
          <w:szCs w:val="24"/>
          <w:lang w:val="pl-PL"/>
        </w:rPr>
        <w:t xml:space="preserve">stwierdzenie </w:t>
      </w:r>
      <w:r w:rsidR="00CD3B4F">
        <w:rPr>
          <w:rFonts w:ascii="Times New Roman" w:hAnsi="Times New Roman" w:cs="Times New Roman"/>
          <w:szCs w:val="24"/>
          <w:lang w:val="pl-PL"/>
        </w:rPr>
        <w:t>faktu</w:t>
      </w:r>
      <w:r w:rsidRPr="00B32E40">
        <w:rPr>
          <w:rFonts w:ascii="Times New Roman" w:hAnsi="Times New Roman" w:cs="Times New Roman"/>
          <w:szCs w:val="24"/>
          <w:lang w:val="pl-PL"/>
        </w:rPr>
        <w:t xml:space="preserve"> .</w:t>
      </w:r>
    </w:p>
    <w:p w:rsidR="00B555BF" w:rsidRPr="00B32E40" w:rsidRDefault="00B555BF" w:rsidP="00B555BF">
      <w:pPr>
        <w:rPr>
          <w:rFonts w:ascii="Times New Roman" w:hAnsi="Times New Roman" w:cs="Times New Roman"/>
          <w:szCs w:val="24"/>
          <w:lang w:val="pl-PL"/>
        </w:rPr>
      </w:pPr>
      <w:r w:rsidRPr="00B32E40">
        <w:rPr>
          <w:rFonts w:ascii="Times New Roman" w:hAnsi="Times New Roman" w:cs="Times New Roman"/>
          <w:szCs w:val="24"/>
          <w:lang w:val="pl-PL"/>
        </w:rPr>
        <w:t xml:space="preserve">     35. Zdaniem skarżącego to bardzo formalistyczne podejście ze strony </w:t>
      </w:r>
      <w:r w:rsidR="00881A73">
        <w:rPr>
          <w:rFonts w:ascii="Times New Roman" w:hAnsi="Times New Roman" w:cs="Times New Roman"/>
          <w:szCs w:val="24"/>
          <w:lang w:val="pl-PL"/>
        </w:rPr>
        <w:t>s</w:t>
      </w:r>
      <w:r w:rsidRPr="00B32E40">
        <w:rPr>
          <w:rFonts w:ascii="Times New Roman" w:hAnsi="Times New Roman" w:cs="Times New Roman"/>
          <w:szCs w:val="24"/>
          <w:lang w:val="pl-PL"/>
        </w:rPr>
        <w:t xml:space="preserve">adów </w:t>
      </w:r>
      <w:r w:rsidR="00881A73">
        <w:rPr>
          <w:rFonts w:ascii="Times New Roman" w:hAnsi="Times New Roman" w:cs="Times New Roman"/>
          <w:szCs w:val="24"/>
          <w:lang w:val="pl-PL"/>
        </w:rPr>
        <w:t>k</w:t>
      </w:r>
      <w:r w:rsidRPr="00B32E40">
        <w:rPr>
          <w:rFonts w:ascii="Times New Roman" w:hAnsi="Times New Roman" w:cs="Times New Roman"/>
          <w:szCs w:val="24"/>
          <w:lang w:val="pl-PL"/>
        </w:rPr>
        <w:t xml:space="preserve">rajowych  skutecznie pozbawiło go ochrony przyznanej na </w:t>
      </w:r>
      <w:r w:rsidR="00881A73">
        <w:rPr>
          <w:rFonts w:ascii="Times New Roman" w:hAnsi="Times New Roman" w:cs="Times New Roman"/>
          <w:szCs w:val="24"/>
          <w:lang w:val="pl-PL"/>
        </w:rPr>
        <w:t>m</w:t>
      </w:r>
      <w:r w:rsidRPr="00B32E40">
        <w:rPr>
          <w:rFonts w:ascii="Times New Roman" w:hAnsi="Times New Roman" w:cs="Times New Roman"/>
          <w:szCs w:val="24"/>
          <w:lang w:val="pl-PL"/>
        </w:rPr>
        <w:t>ocy artykułu 10 Konwencji.</w:t>
      </w:r>
    </w:p>
    <w:p w:rsidR="00B555BF" w:rsidRPr="00B32E40" w:rsidRDefault="00B555BF" w:rsidP="00B555BF">
      <w:pPr>
        <w:rPr>
          <w:rFonts w:ascii="Times New Roman" w:hAnsi="Times New Roman" w:cs="Times New Roman"/>
          <w:szCs w:val="24"/>
          <w:lang w:val="pl-PL"/>
        </w:rPr>
      </w:pPr>
      <w:r w:rsidRPr="00B32E40">
        <w:rPr>
          <w:rFonts w:ascii="Times New Roman" w:hAnsi="Times New Roman" w:cs="Times New Roman"/>
          <w:szCs w:val="24"/>
          <w:lang w:val="pl-PL"/>
        </w:rPr>
        <w:t xml:space="preserve">     36. Skarżący odniósł się do faktu, że Sąd Okręgowy w Warszawie potwierdził, że niektóre wypowiedzi A.M. mogły stanowić wystarczającą podstawę dla skarżącego, aby użyć wyrażenia "zaciekły obrońca ... agentów". Niemniej jednak sąd odmówił odczytania oświadczenie skarżącego w ten sposób i obstawał przy wąskiej</w:t>
      </w:r>
      <w:r w:rsidR="00881A73">
        <w:rPr>
          <w:rFonts w:ascii="Times New Roman" w:hAnsi="Times New Roman" w:cs="Times New Roman"/>
          <w:szCs w:val="24"/>
          <w:lang w:val="pl-PL"/>
        </w:rPr>
        <w:t>, językowej</w:t>
      </w:r>
      <w:r w:rsidRPr="00B32E40">
        <w:rPr>
          <w:rFonts w:ascii="Times New Roman" w:hAnsi="Times New Roman" w:cs="Times New Roman"/>
          <w:szCs w:val="24"/>
          <w:lang w:val="pl-PL"/>
        </w:rPr>
        <w:t xml:space="preserve"> interpretacji </w:t>
      </w:r>
      <w:r w:rsidR="00881A73">
        <w:rPr>
          <w:rFonts w:ascii="Times New Roman" w:hAnsi="Times New Roman" w:cs="Times New Roman"/>
          <w:szCs w:val="24"/>
          <w:lang w:val="pl-PL"/>
        </w:rPr>
        <w:t>jego wyrażenia</w:t>
      </w:r>
      <w:r w:rsidRPr="00B32E40">
        <w:rPr>
          <w:rFonts w:ascii="Times New Roman" w:hAnsi="Times New Roman" w:cs="Times New Roman"/>
          <w:szCs w:val="24"/>
          <w:lang w:val="pl-PL"/>
        </w:rPr>
        <w:t>.</w:t>
      </w:r>
    </w:p>
    <w:p w:rsidR="005153FB" w:rsidRPr="00B32E40" w:rsidRDefault="00B555BF" w:rsidP="00B555BF">
      <w:pPr>
        <w:pStyle w:val="ECHRPara"/>
        <w:rPr>
          <w:lang w:val="pl-PL"/>
        </w:rPr>
      </w:pPr>
      <w:r w:rsidRPr="00B32E40">
        <w:rPr>
          <w:rFonts w:ascii="Times New Roman" w:hAnsi="Times New Roman" w:cs="Times New Roman"/>
          <w:szCs w:val="24"/>
          <w:lang w:val="pl-PL"/>
        </w:rPr>
        <w:t xml:space="preserve">37. Biorąc wszystkie te elementy pod uwagę, </w:t>
      </w:r>
      <w:r w:rsidR="00881A73">
        <w:rPr>
          <w:rFonts w:ascii="Times New Roman" w:hAnsi="Times New Roman" w:cs="Times New Roman"/>
          <w:szCs w:val="24"/>
          <w:lang w:val="pl-PL"/>
        </w:rPr>
        <w:t>s</w:t>
      </w:r>
      <w:r w:rsidRPr="00B32E40">
        <w:rPr>
          <w:rFonts w:ascii="Times New Roman" w:hAnsi="Times New Roman" w:cs="Times New Roman"/>
          <w:szCs w:val="24"/>
          <w:lang w:val="pl-PL"/>
        </w:rPr>
        <w:t>karżący uznał, że jego wypowiedź nie przekroczyła granic ochrony przyznanej mu na mocy artykułu 10 Konwencji</w:t>
      </w:r>
      <w:r w:rsidR="005153FB" w:rsidRPr="00B32E40">
        <w:rPr>
          <w:lang w:val="pl-PL"/>
        </w:rPr>
        <w:t>.</w:t>
      </w:r>
    </w:p>
    <w:p w:rsidR="005153FB" w:rsidRPr="00B32E40" w:rsidRDefault="005153FB" w:rsidP="00792CFD">
      <w:pPr>
        <w:pStyle w:val="ECHRHeading3"/>
        <w:rPr>
          <w:lang w:val="pl-PL"/>
        </w:rPr>
      </w:pPr>
      <w:r w:rsidRPr="00B32E40">
        <w:rPr>
          <w:lang w:val="pl-PL"/>
        </w:rPr>
        <w:lastRenderedPageBreak/>
        <w:t>2.  </w:t>
      </w:r>
      <w:r w:rsidR="00B555BF" w:rsidRPr="00B32E40">
        <w:rPr>
          <w:lang w:val="pl-PL"/>
        </w:rPr>
        <w:t>Stanowisko Rządu</w:t>
      </w:r>
    </w:p>
    <w:p w:rsidR="00B555BF" w:rsidRPr="00B32E40" w:rsidRDefault="00B555BF" w:rsidP="00B555BF">
      <w:pPr>
        <w:rPr>
          <w:rFonts w:ascii="Times New Roman" w:hAnsi="Times New Roman" w:cs="Times New Roman"/>
          <w:szCs w:val="24"/>
          <w:lang w:val="pl-PL"/>
        </w:rPr>
      </w:pPr>
      <w:r w:rsidRPr="00B32E40">
        <w:rPr>
          <w:lang w:val="pl-PL"/>
        </w:rPr>
        <w:t xml:space="preserve">    </w:t>
      </w:r>
      <w:r w:rsidR="0057069D" w:rsidRPr="00B32E40">
        <w:rPr>
          <w:lang w:val="pl-PL"/>
        </w:rPr>
        <w:fldChar w:fldCharType="begin"/>
      </w:r>
      <w:r w:rsidR="00025740" w:rsidRPr="00B32E40">
        <w:rPr>
          <w:lang w:val="pl-PL"/>
        </w:rPr>
        <w:instrText xml:space="preserve"> SEQ level0 \*arabic </w:instrText>
      </w:r>
      <w:r w:rsidR="0057069D" w:rsidRPr="00B32E40">
        <w:rPr>
          <w:lang w:val="pl-PL"/>
        </w:rPr>
        <w:fldChar w:fldCharType="separate"/>
      </w:r>
      <w:r w:rsidR="00792CFD" w:rsidRPr="00B32E40">
        <w:rPr>
          <w:noProof/>
          <w:lang w:val="pl-PL"/>
        </w:rPr>
        <w:t>38</w:t>
      </w:r>
      <w:r w:rsidR="0057069D" w:rsidRPr="00B32E40">
        <w:rPr>
          <w:lang w:val="pl-PL"/>
        </w:rPr>
        <w:fldChar w:fldCharType="end"/>
      </w:r>
      <w:r w:rsidR="005153FB" w:rsidRPr="00B32E40">
        <w:rPr>
          <w:lang w:val="pl-PL"/>
        </w:rPr>
        <w:t>.  </w:t>
      </w:r>
      <w:r w:rsidRPr="00B32E40">
        <w:rPr>
          <w:rFonts w:ascii="Times New Roman" w:hAnsi="Times New Roman" w:cs="Times New Roman"/>
          <w:szCs w:val="24"/>
          <w:lang w:val="pl-PL"/>
        </w:rPr>
        <w:t xml:space="preserve">Rząd stwierdził, że wypowiedź o której mowa, dotyczyła </w:t>
      </w:r>
      <w:r w:rsidR="00881A73">
        <w:rPr>
          <w:rFonts w:ascii="Times New Roman" w:hAnsi="Times New Roman" w:cs="Times New Roman"/>
          <w:szCs w:val="24"/>
          <w:lang w:val="pl-PL"/>
        </w:rPr>
        <w:t>toczących się</w:t>
      </w:r>
      <w:r w:rsidRPr="00B32E40">
        <w:rPr>
          <w:rFonts w:ascii="Times New Roman" w:hAnsi="Times New Roman" w:cs="Times New Roman"/>
          <w:szCs w:val="24"/>
          <w:lang w:val="pl-PL"/>
        </w:rPr>
        <w:t xml:space="preserve"> przeciwko skarżącemu </w:t>
      </w:r>
      <w:r w:rsidR="00881A73">
        <w:rPr>
          <w:rFonts w:ascii="Times New Roman" w:hAnsi="Times New Roman" w:cs="Times New Roman"/>
          <w:szCs w:val="24"/>
          <w:lang w:val="pl-PL"/>
        </w:rPr>
        <w:t xml:space="preserve">postępowań </w:t>
      </w:r>
      <w:r w:rsidRPr="00B32E40">
        <w:rPr>
          <w:rFonts w:ascii="Times New Roman" w:hAnsi="Times New Roman" w:cs="Times New Roman"/>
          <w:szCs w:val="24"/>
          <w:lang w:val="pl-PL"/>
        </w:rPr>
        <w:t>i że w związku z tym nie była częścią otwartej dyskusji kwestii zainteresowania publicznego skoro skarżący - choć publicysta -  działał w tej konkretnej sytuacji jako osoba prywatna.</w:t>
      </w:r>
    </w:p>
    <w:p w:rsidR="00B555BF" w:rsidRPr="00B32E40" w:rsidRDefault="00B555BF" w:rsidP="00B555BF">
      <w:pPr>
        <w:rPr>
          <w:rFonts w:ascii="Times New Roman" w:hAnsi="Times New Roman" w:cs="Times New Roman"/>
          <w:szCs w:val="24"/>
          <w:lang w:val="pl-PL"/>
        </w:rPr>
      </w:pPr>
      <w:r w:rsidRPr="00B32E40">
        <w:rPr>
          <w:rFonts w:ascii="Times New Roman" w:hAnsi="Times New Roman" w:cs="Times New Roman"/>
          <w:szCs w:val="24"/>
          <w:lang w:val="pl-PL"/>
        </w:rPr>
        <w:t xml:space="preserve">    39. Ponadto uznał, że władze krajowe słusznie zakwalifikowały wypowiedź skarżącego jako stwierdzenie faktu, a nie </w:t>
      </w:r>
      <w:r w:rsidR="00CD3B4F">
        <w:rPr>
          <w:rFonts w:ascii="Times New Roman" w:hAnsi="Times New Roman" w:cs="Times New Roman"/>
          <w:szCs w:val="24"/>
          <w:lang w:val="pl-PL"/>
        </w:rPr>
        <w:t>opinii</w:t>
      </w:r>
      <w:r w:rsidRPr="00B32E40">
        <w:rPr>
          <w:rFonts w:ascii="Times New Roman" w:hAnsi="Times New Roman" w:cs="Times New Roman"/>
          <w:szCs w:val="24"/>
          <w:lang w:val="pl-PL"/>
        </w:rPr>
        <w:t xml:space="preserve">. </w:t>
      </w:r>
      <w:r w:rsidR="00CD3B4F">
        <w:rPr>
          <w:rFonts w:ascii="Times New Roman" w:hAnsi="Times New Roman" w:cs="Times New Roman"/>
          <w:szCs w:val="24"/>
          <w:lang w:val="pl-PL"/>
        </w:rPr>
        <w:t>Ponadto</w:t>
      </w:r>
      <w:r w:rsidR="00CD3B4F"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skarżącemu nie udało się udowodnić prawdziwość swoich twierdzeń.</w:t>
      </w:r>
    </w:p>
    <w:p w:rsidR="00B555BF" w:rsidRPr="00B32E40" w:rsidRDefault="00B555BF" w:rsidP="00B555BF">
      <w:pPr>
        <w:rPr>
          <w:rFonts w:ascii="Times New Roman" w:hAnsi="Times New Roman" w:cs="Times New Roman"/>
          <w:szCs w:val="24"/>
          <w:lang w:val="pl-PL"/>
        </w:rPr>
      </w:pPr>
      <w:r w:rsidRPr="00B32E40">
        <w:rPr>
          <w:rFonts w:ascii="Times New Roman" w:hAnsi="Times New Roman" w:cs="Times New Roman"/>
          <w:szCs w:val="24"/>
          <w:lang w:val="pl-PL"/>
        </w:rPr>
        <w:t xml:space="preserve">    40. Zauważył również, że wolność słowa nie może uzasadniać składania oświadczeń publicznych, które były nieprawdziwe i które naruszają dobra osobiste innych osób.</w:t>
      </w:r>
    </w:p>
    <w:p w:rsidR="00B555BF" w:rsidRPr="00B32E40" w:rsidRDefault="00B555BF" w:rsidP="00B555BF">
      <w:pPr>
        <w:rPr>
          <w:rFonts w:ascii="Times New Roman" w:hAnsi="Times New Roman" w:cs="Times New Roman"/>
          <w:szCs w:val="24"/>
          <w:lang w:val="pl-PL"/>
        </w:rPr>
      </w:pPr>
      <w:r w:rsidRPr="00B32E40">
        <w:rPr>
          <w:rFonts w:ascii="Times New Roman" w:hAnsi="Times New Roman" w:cs="Times New Roman"/>
          <w:szCs w:val="24"/>
          <w:lang w:val="pl-PL"/>
        </w:rPr>
        <w:t xml:space="preserve">    41. Doszedł do wniosku, że sądy krajowe dostarczyły szczegółowe uzasadnienia swoich decyzji. Ponadto ingerencja nie była nieproporcjonalna, gdyż skarżącemu nakazano jedynie opublikowanie przeprosin i zapłatę 10.000 złotych na cel</w:t>
      </w:r>
      <w:r w:rsidR="00CD3B4F">
        <w:rPr>
          <w:rFonts w:ascii="Times New Roman" w:hAnsi="Times New Roman" w:cs="Times New Roman"/>
          <w:szCs w:val="24"/>
          <w:lang w:val="pl-PL"/>
        </w:rPr>
        <w:t xml:space="preserve"> społeczny</w:t>
      </w:r>
      <w:r w:rsidRPr="00B32E40">
        <w:rPr>
          <w:rFonts w:ascii="Times New Roman" w:hAnsi="Times New Roman" w:cs="Times New Roman"/>
          <w:szCs w:val="24"/>
          <w:lang w:val="pl-PL"/>
        </w:rPr>
        <w:t>.</w:t>
      </w:r>
    </w:p>
    <w:p w:rsidR="005153FB" w:rsidRPr="00B32E40" w:rsidRDefault="00B555BF" w:rsidP="00B555BF">
      <w:pPr>
        <w:pStyle w:val="ECHRPara"/>
        <w:rPr>
          <w:lang w:val="pl-PL"/>
        </w:rPr>
      </w:pPr>
      <w:r w:rsidRPr="00B32E40">
        <w:rPr>
          <w:rFonts w:ascii="Times New Roman" w:hAnsi="Times New Roman" w:cs="Times New Roman"/>
          <w:szCs w:val="24"/>
          <w:lang w:val="pl-PL"/>
        </w:rPr>
        <w:t xml:space="preserve">42. W konsekwencji, Rząd zwrócił się do Trybunału o </w:t>
      </w:r>
      <w:r w:rsidR="00CD3B4F">
        <w:rPr>
          <w:rFonts w:ascii="Times New Roman" w:hAnsi="Times New Roman" w:cs="Times New Roman"/>
          <w:szCs w:val="24"/>
          <w:lang w:val="pl-PL"/>
        </w:rPr>
        <w:t>nieorzekanie</w:t>
      </w:r>
      <w:r w:rsidR="00CD3B4F"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naruszenia artykułu 10 Konwencji w niniejszej sprawie</w:t>
      </w:r>
      <w:r w:rsidR="005153FB" w:rsidRPr="00B32E40">
        <w:rPr>
          <w:lang w:val="pl-PL"/>
        </w:rPr>
        <w:t>.</w:t>
      </w:r>
    </w:p>
    <w:p w:rsidR="00ED4845" w:rsidRPr="00B32E40" w:rsidRDefault="00ED4845" w:rsidP="00792CFD">
      <w:pPr>
        <w:pStyle w:val="ECHRHeading3"/>
        <w:rPr>
          <w:lang w:val="pl-PL"/>
        </w:rPr>
      </w:pPr>
      <w:r w:rsidRPr="00B32E40">
        <w:rPr>
          <w:lang w:val="pl-PL"/>
        </w:rPr>
        <w:t>3.  </w:t>
      </w:r>
      <w:r w:rsidR="000E28DB" w:rsidRPr="00B32E40">
        <w:rPr>
          <w:rFonts w:ascii="Times New Roman" w:hAnsi="Times New Roman" w:cs="Times New Roman"/>
          <w:szCs w:val="24"/>
          <w:lang w:val="pl-PL"/>
        </w:rPr>
        <w:t>Ocena Trybunału</w:t>
      </w:r>
    </w:p>
    <w:p w:rsidR="00ED4845" w:rsidRPr="00B32E40" w:rsidRDefault="00ED4845" w:rsidP="00792CFD">
      <w:pPr>
        <w:pStyle w:val="ECHRHeading4"/>
        <w:rPr>
          <w:lang w:val="pl-PL"/>
        </w:rPr>
      </w:pPr>
      <w:r w:rsidRPr="00B32E40">
        <w:rPr>
          <w:lang w:val="pl-PL"/>
        </w:rPr>
        <w:t>(a)  </w:t>
      </w:r>
      <w:r w:rsidR="000E28DB" w:rsidRPr="00B32E40">
        <w:rPr>
          <w:rFonts w:ascii="Times New Roman" w:hAnsi="Times New Roman" w:cs="Times New Roman"/>
          <w:sz w:val="24"/>
          <w:szCs w:val="24"/>
          <w:lang w:val="pl-PL"/>
        </w:rPr>
        <w:t>Zasady ogólne</w:t>
      </w:r>
    </w:p>
    <w:p w:rsidR="000E28DB" w:rsidRPr="00B32E40" w:rsidRDefault="000E28DB" w:rsidP="000E28DB">
      <w:pPr>
        <w:rPr>
          <w:rFonts w:ascii="Times New Roman" w:hAnsi="Times New Roman" w:cs="Times New Roman"/>
          <w:szCs w:val="24"/>
          <w:lang w:val="pl-PL"/>
        </w:rPr>
      </w:pPr>
      <w:r w:rsidRPr="00B32E40">
        <w:rPr>
          <w:spacing w:val="-6"/>
          <w:lang w:val="pl-PL"/>
        </w:rPr>
        <w:t xml:space="preserve">     </w:t>
      </w:r>
      <w:r w:rsidR="0057069D" w:rsidRPr="00B32E40">
        <w:rPr>
          <w:spacing w:val="-6"/>
          <w:lang w:val="pl-PL"/>
        </w:rPr>
        <w:fldChar w:fldCharType="begin"/>
      </w:r>
      <w:r w:rsidR="00C45BEC" w:rsidRPr="00B32E40">
        <w:rPr>
          <w:spacing w:val="-6"/>
          <w:lang w:val="pl-PL"/>
        </w:rPr>
        <w:instrText xml:space="preserve"> SEQ level0 \*arabic </w:instrText>
      </w:r>
      <w:r w:rsidR="0057069D" w:rsidRPr="00B32E40">
        <w:rPr>
          <w:spacing w:val="-6"/>
          <w:lang w:val="pl-PL"/>
        </w:rPr>
        <w:fldChar w:fldCharType="separate"/>
      </w:r>
      <w:r w:rsidR="00792CFD" w:rsidRPr="00B32E40">
        <w:rPr>
          <w:noProof/>
          <w:spacing w:val="-6"/>
          <w:lang w:val="pl-PL"/>
        </w:rPr>
        <w:t>43</w:t>
      </w:r>
      <w:r w:rsidR="0057069D" w:rsidRPr="00B32E40">
        <w:rPr>
          <w:spacing w:val="-6"/>
          <w:lang w:val="pl-PL"/>
        </w:rPr>
        <w:fldChar w:fldCharType="end"/>
      </w:r>
      <w:r w:rsidR="00C45BEC" w:rsidRPr="00B32E40">
        <w:rPr>
          <w:spacing w:val="-6"/>
          <w:lang w:val="pl-PL"/>
        </w:rPr>
        <w:t>.  </w:t>
      </w:r>
      <w:r w:rsidRPr="00B32E40">
        <w:rPr>
          <w:rFonts w:ascii="Times New Roman" w:hAnsi="Times New Roman" w:cs="Times New Roman"/>
          <w:szCs w:val="24"/>
          <w:lang w:val="pl-PL"/>
        </w:rPr>
        <w:t xml:space="preserve">Ogólne zasady oceny, czy ingerencja </w:t>
      </w:r>
      <w:r w:rsidR="00CD3B4F">
        <w:rPr>
          <w:rFonts w:ascii="Times New Roman" w:hAnsi="Times New Roman" w:cs="Times New Roman"/>
          <w:szCs w:val="24"/>
          <w:lang w:val="pl-PL"/>
        </w:rPr>
        <w:t>w</w:t>
      </w:r>
      <w:r w:rsidR="007350D5">
        <w:rPr>
          <w:rFonts w:ascii="Times New Roman" w:hAnsi="Times New Roman" w:cs="Times New Roman"/>
          <w:szCs w:val="24"/>
          <w:lang w:val="pl-PL"/>
        </w:rPr>
        <w:t xml:space="preserve"> prawo</w:t>
      </w:r>
      <w:r w:rsidRPr="00B32E40">
        <w:rPr>
          <w:rFonts w:ascii="Times New Roman" w:hAnsi="Times New Roman" w:cs="Times New Roman"/>
          <w:szCs w:val="24"/>
          <w:lang w:val="pl-PL"/>
        </w:rPr>
        <w:t xml:space="preserve"> do wolności wypowiedzi jest "konieczna w </w:t>
      </w:r>
      <w:r w:rsidR="00CD3B4F">
        <w:rPr>
          <w:rFonts w:ascii="Times New Roman" w:hAnsi="Times New Roman" w:cs="Times New Roman"/>
          <w:szCs w:val="24"/>
          <w:lang w:val="pl-PL"/>
        </w:rPr>
        <w:t>społeczeństwie demokratycznym</w:t>
      </w:r>
      <w:r w:rsidRPr="00B32E40">
        <w:rPr>
          <w:rFonts w:ascii="Times New Roman" w:hAnsi="Times New Roman" w:cs="Times New Roman"/>
          <w:szCs w:val="24"/>
          <w:lang w:val="pl-PL"/>
        </w:rPr>
        <w:t xml:space="preserve">" </w:t>
      </w:r>
      <w:r w:rsidR="001D4F0B">
        <w:rPr>
          <w:rFonts w:ascii="Times New Roman" w:hAnsi="Times New Roman" w:cs="Times New Roman"/>
          <w:szCs w:val="24"/>
          <w:lang w:val="pl-PL"/>
        </w:rPr>
        <w:br/>
      </w:r>
      <w:r w:rsidRPr="00B32E40">
        <w:rPr>
          <w:rFonts w:ascii="Times New Roman" w:hAnsi="Times New Roman" w:cs="Times New Roman"/>
          <w:szCs w:val="24"/>
          <w:lang w:val="pl-PL"/>
        </w:rPr>
        <w:t xml:space="preserve">w rozumieniu artykułu 10 § 2 Konwencji są również </w:t>
      </w:r>
      <w:r w:rsidR="00CD3B4F">
        <w:rPr>
          <w:rFonts w:ascii="Times New Roman" w:hAnsi="Times New Roman" w:cs="Times New Roman"/>
          <w:szCs w:val="24"/>
          <w:lang w:val="pl-PL"/>
        </w:rPr>
        <w:t xml:space="preserve">często </w:t>
      </w:r>
      <w:r w:rsidRPr="00B32E40">
        <w:rPr>
          <w:rFonts w:ascii="Times New Roman" w:hAnsi="Times New Roman" w:cs="Times New Roman"/>
          <w:szCs w:val="24"/>
          <w:lang w:val="pl-PL"/>
        </w:rPr>
        <w:t>roz</w:t>
      </w:r>
      <w:r w:rsidR="00CD3B4F">
        <w:rPr>
          <w:rFonts w:ascii="Times New Roman" w:hAnsi="Times New Roman" w:cs="Times New Roman"/>
          <w:szCs w:val="24"/>
          <w:lang w:val="pl-PL"/>
        </w:rPr>
        <w:t>strzygane</w:t>
      </w:r>
      <w:r w:rsidRPr="00B32E40">
        <w:rPr>
          <w:rFonts w:ascii="Times New Roman" w:hAnsi="Times New Roman" w:cs="Times New Roman"/>
          <w:szCs w:val="24"/>
          <w:lang w:val="pl-PL"/>
        </w:rPr>
        <w:t xml:space="preserve"> </w:t>
      </w:r>
      <w:r w:rsidR="001D4F0B">
        <w:rPr>
          <w:rFonts w:ascii="Times New Roman" w:hAnsi="Times New Roman" w:cs="Times New Roman"/>
          <w:szCs w:val="24"/>
          <w:lang w:val="pl-PL"/>
        </w:rPr>
        <w:br/>
      </w:r>
      <w:r w:rsidRPr="00B32E40">
        <w:rPr>
          <w:rFonts w:ascii="Times New Roman" w:hAnsi="Times New Roman" w:cs="Times New Roman"/>
          <w:szCs w:val="24"/>
          <w:lang w:val="pl-PL"/>
        </w:rPr>
        <w:t>w orzecznictwie Trybunału. Zostały one niedawno prz</w:t>
      </w:r>
      <w:r w:rsidR="00CD3B4F">
        <w:rPr>
          <w:rFonts w:ascii="Times New Roman" w:hAnsi="Times New Roman" w:cs="Times New Roman"/>
          <w:szCs w:val="24"/>
          <w:lang w:val="pl-PL"/>
        </w:rPr>
        <w:t>ywołan</w:t>
      </w:r>
      <w:r w:rsidRPr="00B32E40">
        <w:rPr>
          <w:rFonts w:ascii="Times New Roman" w:hAnsi="Times New Roman" w:cs="Times New Roman"/>
          <w:szCs w:val="24"/>
          <w:lang w:val="pl-PL"/>
        </w:rPr>
        <w:t xml:space="preserve">e w sprawach </w:t>
      </w:r>
      <w:r w:rsidRPr="00B32E40">
        <w:rPr>
          <w:rFonts w:ascii="Times New Roman" w:hAnsi="Times New Roman" w:cs="Times New Roman"/>
          <w:i/>
          <w:szCs w:val="24"/>
          <w:lang w:val="pl-PL"/>
        </w:rPr>
        <w:t>Pentikäinen</w:t>
      </w:r>
      <w:r w:rsidRPr="00B32E40">
        <w:rPr>
          <w:rFonts w:ascii="Times New Roman" w:hAnsi="Times New Roman" w:cs="Times New Roman"/>
          <w:szCs w:val="24"/>
          <w:lang w:val="pl-PL"/>
        </w:rPr>
        <w:t xml:space="preserve"> </w:t>
      </w:r>
      <w:r w:rsidRPr="00B32E40">
        <w:rPr>
          <w:rFonts w:ascii="Times New Roman" w:hAnsi="Times New Roman" w:cs="Times New Roman"/>
          <w:i/>
          <w:szCs w:val="24"/>
          <w:lang w:val="pl-PL"/>
        </w:rPr>
        <w:t>przeciwko Finlandii</w:t>
      </w:r>
      <w:r w:rsidRPr="00B32E40">
        <w:rPr>
          <w:rFonts w:ascii="Times New Roman" w:hAnsi="Times New Roman" w:cs="Times New Roman"/>
          <w:szCs w:val="24"/>
          <w:lang w:val="pl-PL"/>
        </w:rPr>
        <w:t xml:space="preserve"> ([GC], nr 11882/10, §§ 87-88, </w:t>
      </w:r>
      <w:r w:rsidRPr="00B32E40">
        <w:rPr>
          <w:rFonts w:ascii="Times New Roman" w:hAnsi="Times New Roman" w:cs="Times New Roman"/>
          <w:color w:val="000000"/>
          <w:sz w:val="27"/>
          <w:szCs w:val="27"/>
          <w:lang w:val="pl-PL"/>
        </w:rPr>
        <w:t xml:space="preserve">ETPCz </w:t>
      </w:r>
      <w:r w:rsidRPr="00B32E40">
        <w:rPr>
          <w:rFonts w:ascii="Times New Roman" w:hAnsi="Times New Roman" w:cs="Times New Roman"/>
          <w:szCs w:val="24"/>
          <w:lang w:val="pl-PL"/>
        </w:rPr>
        <w:t xml:space="preserve">2015) </w:t>
      </w:r>
      <w:r w:rsidRPr="00B32E40">
        <w:rPr>
          <w:rFonts w:ascii="Times New Roman" w:hAnsi="Times New Roman" w:cs="Times New Roman"/>
          <w:i/>
          <w:szCs w:val="24"/>
          <w:lang w:val="pl-PL"/>
        </w:rPr>
        <w:t>i Bédat przeciwko Szwajcarii</w:t>
      </w:r>
      <w:r w:rsidRPr="00B32E40">
        <w:rPr>
          <w:rFonts w:ascii="Times New Roman" w:hAnsi="Times New Roman" w:cs="Times New Roman"/>
          <w:szCs w:val="24"/>
          <w:lang w:val="pl-PL"/>
        </w:rPr>
        <w:t xml:space="preserve"> ([GC], nr 56925/08, § 48, 29 mar</w:t>
      </w:r>
      <w:r w:rsidR="00CD3B4F">
        <w:rPr>
          <w:rFonts w:ascii="Times New Roman" w:hAnsi="Times New Roman" w:cs="Times New Roman"/>
          <w:szCs w:val="24"/>
          <w:lang w:val="pl-PL"/>
        </w:rPr>
        <w:t>ca</w:t>
      </w:r>
      <w:r w:rsidRPr="00B32E40">
        <w:rPr>
          <w:rFonts w:ascii="Times New Roman" w:hAnsi="Times New Roman" w:cs="Times New Roman"/>
          <w:szCs w:val="24"/>
          <w:lang w:val="pl-PL"/>
        </w:rPr>
        <w:t xml:space="preserve"> 2016).</w:t>
      </w:r>
    </w:p>
    <w:p w:rsidR="009F3803" w:rsidRPr="00B32E40" w:rsidRDefault="000E28DB" w:rsidP="000E28DB">
      <w:pPr>
        <w:pStyle w:val="ECHRPara"/>
        <w:rPr>
          <w:lang w:val="pl-PL"/>
        </w:rPr>
      </w:pPr>
      <w:r w:rsidRPr="00B32E40">
        <w:rPr>
          <w:rFonts w:ascii="Times New Roman" w:hAnsi="Times New Roman" w:cs="Times New Roman"/>
          <w:szCs w:val="24"/>
          <w:lang w:val="pl-PL"/>
        </w:rPr>
        <w:t xml:space="preserve"> 44. Trybunał musi ustalić, czy władze krajowe </w:t>
      </w:r>
      <w:r w:rsidR="00CD3B4F">
        <w:rPr>
          <w:rFonts w:ascii="Times New Roman" w:hAnsi="Times New Roman" w:cs="Times New Roman"/>
          <w:szCs w:val="24"/>
          <w:lang w:val="pl-PL"/>
        </w:rPr>
        <w:t>znalazły</w:t>
      </w:r>
      <w:r w:rsidR="00CD3B4F"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 xml:space="preserve">odpowiednią równowagę, biorąc pod uwagę margines swobody przyznanej Umawiającym się Państwom, między ochroną wolności wypowiedzi zawartą w artykule 10 i ochroną </w:t>
      </w:r>
      <w:r w:rsidR="00CD3B4F">
        <w:rPr>
          <w:rFonts w:ascii="Times New Roman" w:hAnsi="Times New Roman" w:cs="Times New Roman"/>
          <w:szCs w:val="24"/>
          <w:lang w:val="pl-PL"/>
        </w:rPr>
        <w:t>dobrego imienia</w:t>
      </w:r>
      <w:r w:rsidR="00CD3B4F" w:rsidRPr="00B32E40">
        <w:rPr>
          <w:rFonts w:ascii="Times New Roman" w:hAnsi="Times New Roman" w:cs="Times New Roman"/>
          <w:szCs w:val="24"/>
          <w:lang w:val="pl-PL"/>
        </w:rPr>
        <w:t xml:space="preserve"> </w:t>
      </w:r>
      <w:r w:rsidRPr="00B32E40">
        <w:rPr>
          <w:rFonts w:ascii="Times New Roman" w:hAnsi="Times New Roman" w:cs="Times New Roman"/>
          <w:szCs w:val="24"/>
          <w:lang w:val="pl-PL"/>
        </w:rPr>
        <w:t xml:space="preserve">tych, przeciwko którym zarzuty zostały postawione, prawo, które, jako aspekt życia prywatnego, jest chronione przez artykuł 8 Konwencji. W dwóch ostatnich przypadkach, Trybunał zdefiniował swoją rolę w równoważeniu tych dwóch sprzecznych interesów. Sprowadziło sie to do zidentyfikowania szeregu istotnych kryteriów, gdzie prawo do swobody wypowiedzi jest zrównoważone </w:t>
      </w:r>
      <w:r w:rsidR="007C6743">
        <w:rPr>
          <w:rFonts w:ascii="Times New Roman" w:hAnsi="Times New Roman" w:cs="Times New Roman"/>
          <w:szCs w:val="24"/>
          <w:lang w:val="pl-PL"/>
        </w:rPr>
        <w:br/>
      </w:r>
      <w:r w:rsidRPr="00B32E40">
        <w:rPr>
          <w:rFonts w:ascii="Times New Roman" w:hAnsi="Times New Roman" w:cs="Times New Roman"/>
          <w:szCs w:val="24"/>
          <w:lang w:val="pl-PL"/>
        </w:rPr>
        <w:t xml:space="preserve">w stosunku do prawa do poszanowania życia prywatnego (patrz </w:t>
      </w:r>
      <w:r w:rsidRPr="00B32E40">
        <w:rPr>
          <w:rFonts w:ascii="Times New Roman" w:hAnsi="Times New Roman" w:cs="Times New Roman"/>
          <w:i/>
          <w:szCs w:val="24"/>
          <w:lang w:val="pl-PL"/>
        </w:rPr>
        <w:t xml:space="preserve">Axel Springer AG przeciwko Niemcom </w:t>
      </w:r>
      <w:r w:rsidRPr="00B32E40">
        <w:rPr>
          <w:rFonts w:ascii="Times New Roman" w:hAnsi="Times New Roman" w:cs="Times New Roman"/>
          <w:szCs w:val="24"/>
          <w:lang w:val="pl-PL"/>
        </w:rPr>
        <w:t xml:space="preserve">[GC], nr 39954/08, §§ 82-95 7 lutego 2012, a </w:t>
      </w:r>
      <w:r w:rsidRPr="00B32E40">
        <w:rPr>
          <w:rFonts w:ascii="Times New Roman" w:hAnsi="Times New Roman" w:cs="Times New Roman"/>
          <w:i/>
          <w:szCs w:val="24"/>
          <w:lang w:val="pl-PL"/>
        </w:rPr>
        <w:t>Von Hannover przeciwko Niemcom</w:t>
      </w:r>
      <w:r w:rsidRPr="00B32E40">
        <w:rPr>
          <w:rFonts w:ascii="Times New Roman" w:hAnsi="Times New Roman" w:cs="Times New Roman"/>
          <w:szCs w:val="24"/>
          <w:lang w:val="pl-PL"/>
        </w:rPr>
        <w:t xml:space="preserve"> (nr 2) [GC], nr 40660/08 i 60641/08, §§ 101-113, ETPCz 2012)</w:t>
      </w:r>
      <w:r w:rsidR="00C45BEC" w:rsidRPr="00B32E40">
        <w:rPr>
          <w:lang w:val="pl-PL"/>
        </w:rPr>
        <w:t>.</w:t>
      </w:r>
    </w:p>
    <w:p w:rsidR="00ED4845" w:rsidRPr="008A31D2" w:rsidRDefault="00ED4845" w:rsidP="00792CFD">
      <w:pPr>
        <w:pStyle w:val="ECHRHeading4"/>
        <w:rPr>
          <w:lang w:val="pl-PL"/>
        </w:rPr>
      </w:pPr>
      <w:r w:rsidRPr="00B32E40">
        <w:rPr>
          <w:lang w:val="pl-PL"/>
        </w:rPr>
        <w:lastRenderedPageBreak/>
        <w:t>(b)  </w:t>
      </w:r>
      <w:r w:rsidR="0057069D" w:rsidRPr="0057069D">
        <w:rPr>
          <w:rFonts w:ascii="Times New Roman" w:hAnsi="Times New Roman" w:cs="Times New Roman"/>
          <w:sz w:val="24"/>
          <w:szCs w:val="24"/>
          <w:lang w:val="pl-PL"/>
        </w:rPr>
        <w:t>Zastosowanie powyższych zasad w niniejszej sprawie</w:t>
      </w:r>
    </w:p>
    <w:p w:rsidR="008A31D2" w:rsidRPr="008A31D2" w:rsidRDefault="008A31D2" w:rsidP="008A31D2">
      <w:pPr>
        <w:rPr>
          <w:rFonts w:ascii="Times New Roman" w:hAnsi="Times New Roman" w:cs="Times New Roman"/>
          <w:szCs w:val="24"/>
          <w:lang w:val="pl-PL"/>
        </w:rPr>
      </w:pPr>
      <w:r>
        <w:rPr>
          <w:lang w:val="pl-PL"/>
        </w:rPr>
        <w:t xml:space="preserve">     </w:t>
      </w:r>
      <w:r w:rsidR="0057069D" w:rsidRPr="008A31D2">
        <w:rPr>
          <w:lang w:val="pl-PL"/>
        </w:rPr>
        <w:fldChar w:fldCharType="begin"/>
      </w:r>
      <w:r w:rsidR="00025740" w:rsidRPr="008A31D2">
        <w:rPr>
          <w:lang w:val="pl-PL"/>
        </w:rPr>
        <w:instrText xml:space="preserve"> SEQ level0 \*arabic </w:instrText>
      </w:r>
      <w:r w:rsidR="0057069D" w:rsidRPr="008A31D2">
        <w:rPr>
          <w:lang w:val="pl-PL"/>
        </w:rPr>
        <w:fldChar w:fldCharType="separate"/>
      </w:r>
      <w:r w:rsidR="00792CFD" w:rsidRPr="008A31D2">
        <w:rPr>
          <w:noProof/>
          <w:lang w:val="pl-PL"/>
        </w:rPr>
        <w:t>45</w:t>
      </w:r>
      <w:r w:rsidR="0057069D" w:rsidRPr="008A31D2">
        <w:rPr>
          <w:lang w:val="pl-PL"/>
        </w:rPr>
        <w:fldChar w:fldCharType="end"/>
      </w:r>
      <w:r w:rsidR="00FE065A" w:rsidRPr="008A31D2">
        <w:rPr>
          <w:lang w:val="pl-PL"/>
        </w:rPr>
        <w:t>.  </w:t>
      </w:r>
      <w:r w:rsidRPr="008A31D2">
        <w:rPr>
          <w:rFonts w:ascii="Times New Roman" w:hAnsi="Times New Roman" w:cs="Times New Roman"/>
          <w:szCs w:val="24"/>
          <w:lang w:val="pl-PL"/>
        </w:rPr>
        <w:t xml:space="preserve">Nie było wątpliwości, że decyzje sądów w niniejszej sprawie i sankcje nałożone na skarżącego stanowiły "ingerencję" w jego prawo do wolności wypowiedzi, zagwarantowane przez artykuł 10 § 1 Konwencji. Taka ingerencja była niewątpliwie przewidziana przez prawo, a mianowicie na podstawie artykułów 23 i 24 Kodeksu Cywilnego. Trybunał uznaje ponadto, że ingerencja realizowała uzasadniony cel, jakim jest ochrona dobrego imienia i praw innych osób - a mianowicie, dobrego imienia, reputacji i wiarygodności A. M. w rozumieniu artykułu 10 § 2 Konwencji. W związku z tym jedyną ważną kwestią jest to, czy ingerencja w prawo skarżącego do wolności wyrażania opinii była "konieczna w </w:t>
      </w:r>
      <w:r w:rsidR="00CD3B4F">
        <w:rPr>
          <w:rFonts w:ascii="Times New Roman" w:hAnsi="Times New Roman" w:cs="Times New Roman"/>
          <w:szCs w:val="24"/>
          <w:lang w:val="pl-PL"/>
        </w:rPr>
        <w:t>społeczeństwie demokratycznym</w:t>
      </w:r>
      <w:r w:rsidRPr="008A31D2">
        <w:rPr>
          <w:rFonts w:ascii="Times New Roman" w:hAnsi="Times New Roman" w:cs="Times New Roman"/>
          <w:szCs w:val="24"/>
          <w:lang w:val="pl-PL"/>
        </w:rPr>
        <w:t>".</w:t>
      </w:r>
    </w:p>
    <w:p w:rsidR="008A31D2" w:rsidRPr="008A31D2" w:rsidRDefault="008A31D2" w:rsidP="008A31D2">
      <w:pPr>
        <w:pStyle w:val="ECHRParaQuote"/>
        <w:spacing w:before="0" w:after="0"/>
        <w:ind w:left="0"/>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Pr="008A31D2">
        <w:rPr>
          <w:rFonts w:ascii="Times New Roman" w:hAnsi="Times New Roman" w:cs="Times New Roman"/>
          <w:sz w:val="24"/>
          <w:szCs w:val="24"/>
          <w:lang w:val="pl-PL"/>
        </w:rPr>
        <w:t xml:space="preserve">46. W niniejszej sprawie skarżący, komentując dla Rzeczpospolitej  </w:t>
      </w:r>
      <w:r w:rsidR="00CD3B4F">
        <w:rPr>
          <w:rFonts w:ascii="Times New Roman" w:hAnsi="Times New Roman" w:cs="Times New Roman"/>
          <w:sz w:val="24"/>
          <w:szCs w:val="24"/>
          <w:lang w:val="pl-PL"/>
        </w:rPr>
        <w:t>powództwo cywilne wytoczone</w:t>
      </w:r>
      <w:r w:rsidRPr="008A31D2">
        <w:rPr>
          <w:rFonts w:ascii="Times New Roman" w:hAnsi="Times New Roman" w:cs="Times New Roman"/>
          <w:sz w:val="24"/>
          <w:szCs w:val="24"/>
          <w:lang w:val="pl-PL"/>
        </w:rPr>
        <w:t xml:space="preserve"> przeciwko niemu przez A.M., stwierdził, że</w:t>
      </w:r>
      <w:r w:rsidR="00CD3B4F">
        <w:rPr>
          <w:rFonts w:ascii="Times New Roman" w:hAnsi="Times New Roman" w:cs="Times New Roman"/>
          <w:lang w:val="pl-PL"/>
        </w:rPr>
        <w:t xml:space="preserve"> </w:t>
      </w:r>
      <w:r w:rsidRPr="008A31D2">
        <w:rPr>
          <w:rFonts w:ascii="Times New Roman" w:hAnsi="Times New Roman" w:cs="Times New Roman"/>
          <w:sz w:val="24"/>
          <w:szCs w:val="24"/>
          <w:lang w:val="pl-PL"/>
        </w:rPr>
        <w:t>“Swoją drogą to ciekawe, kto mnie  pozwał do sądu: dwóch agentów i jeden ich zaciekły obrońca”. Sądy krajowe zbadały prawdziwość tego stwierdzenia i stwierdziły, że nie było podstaw, by sądzić, że A.M. bronił  osób, które współpracowały ze służbami bezpieczeństwa w czasach komunistycznych.</w:t>
      </w:r>
    </w:p>
    <w:p w:rsidR="008A31D2" w:rsidRPr="008A31D2" w:rsidRDefault="008A31D2" w:rsidP="008A31D2">
      <w:pPr>
        <w:pStyle w:val="ECHRParaQuote"/>
        <w:spacing w:before="0" w:after="0"/>
        <w:ind w:left="0"/>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Pr="008A31D2">
        <w:rPr>
          <w:rFonts w:ascii="Times New Roman" w:hAnsi="Times New Roman" w:cs="Times New Roman"/>
          <w:sz w:val="24"/>
          <w:szCs w:val="24"/>
          <w:lang w:val="pl-PL"/>
        </w:rPr>
        <w:t>47. Trybunał odnotowuje fakt, że omawiane wyrażenie stanowi atak na dobre imię A.M. ze względu na jego rzekomą pobłażliwość dla nadużyć popełnionych w ramach reżimu komunistycznego. Taka wypowiedź była w stanie osiągnąć wystar</w:t>
      </w:r>
      <w:r w:rsidR="00F47338">
        <w:rPr>
          <w:rFonts w:ascii="Times New Roman" w:hAnsi="Times New Roman" w:cs="Times New Roman"/>
          <w:sz w:val="24"/>
          <w:szCs w:val="24"/>
          <w:lang w:val="pl-PL"/>
        </w:rPr>
        <w:t xml:space="preserve">czający poziom powagi powodując </w:t>
      </w:r>
      <w:r w:rsidRPr="008A31D2">
        <w:rPr>
          <w:rFonts w:ascii="Times New Roman" w:hAnsi="Times New Roman" w:cs="Times New Roman"/>
          <w:sz w:val="24"/>
          <w:szCs w:val="24"/>
          <w:lang w:val="pl-PL"/>
        </w:rPr>
        <w:t xml:space="preserve">uszczerbek osobistego prawa do poszanowania życia prywatnego. Władze krajowe stanęły zatem przed trudnym zadaniem zrównoważenia dwóch sprzecznych wartości, a mianowicie wolności wypowiedzi skarżącego z jednej strony i prawo A.M. do poszanowania jego reputacji z drugiej (patrz </w:t>
      </w:r>
      <w:r w:rsidRPr="008A31D2">
        <w:rPr>
          <w:rFonts w:ascii="Times New Roman" w:hAnsi="Times New Roman" w:cs="Times New Roman"/>
          <w:i/>
          <w:sz w:val="24"/>
          <w:szCs w:val="24"/>
          <w:lang w:val="pl-PL"/>
        </w:rPr>
        <w:t>Axel Springer</w:t>
      </w:r>
      <w:r w:rsidRPr="008A31D2">
        <w:rPr>
          <w:rFonts w:ascii="Times New Roman" w:hAnsi="Times New Roman" w:cs="Times New Roman"/>
          <w:sz w:val="24"/>
          <w:szCs w:val="24"/>
          <w:lang w:val="pl-PL"/>
        </w:rPr>
        <w:t xml:space="preserve"> [GC], cytowane powyżej, § 83, § 84). W takich przypadkach jednym z czynników, które </w:t>
      </w:r>
      <w:r w:rsidR="00CD3B4F">
        <w:rPr>
          <w:rFonts w:ascii="Times New Roman" w:hAnsi="Times New Roman" w:cs="Times New Roman"/>
          <w:sz w:val="24"/>
          <w:szCs w:val="24"/>
          <w:lang w:val="pl-PL"/>
        </w:rPr>
        <w:t>Trybunał</w:t>
      </w:r>
      <w:r w:rsidR="00CD3B4F" w:rsidRPr="008A31D2">
        <w:rPr>
          <w:rFonts w:ascii="Times New Roman" w:hAnsi="Times New Roman" w:cs="Times New Roman"/>
          <w:sz w:val="24"/>
          <w:szCs w:val="24"/>
          <w:lang w:val="pl-PL"/>
        </w:rPr>
        <w:t xml:space="preserve"> </w:t>
      </w:r>
      <w:r w:rsidR="00AB250D">
        <w:rPr>
          <w:rFonts w:ascii="Times New Roman" w:hAnsi="Times New Roman" w:cs="Times New Roman"/>
          <w:sz w:val="24"/>
          <w:szCs w:val="24"/>
          <w:lang w:val="pl-PL"/>
        </w:rPr>
        <w:t>bierze</w:t>
      </w:r>
      <w:r w:rsidR="00AB250D" w:rsidRPr="008A31D2">
        <w:rPr>
          <w:rFonts w:ascii="Times New Roman" w:hAnsi="Times New Roman" w:cs="Times New Roman"/>
          <w:sz w:val="24"/>
          <w:szCs w:val="24"/>
          <w:lang w:val="pl-PL"/>
        </w:rPr>
        <w:t xml:space="preserve"> </w:t>
      </w:r>
      <w:r w:rsidRPr="008A31D2">
        <w:rPr>
          <w:rFonts w:ascii="Times New Roman" w:hAnsi="Times New Roman" w:cs="Times New Roman"/>
          <w:sz w:val="24"/>
          <w:szCs w:val="24"/>
          <w:lang w:val="pl-PL"/>
        </w:rPr>
        <w:t>pod uwagę</w:t>
      </w:r>
      <w:r w:rsidR="00AB250D">
        <w:rPr>
          <w:rFonts w:ascii="Times New Roman" w:hAnsi="Times New Roman" w:cs="Times New Roman"/>
          <w:sz w:val="24"/>
          <w:szCs w:val="24"/>
          <w:lang w:val="pl-PL"/>
        </w:rPr>
        <w:t>,</w:t>
      </w:r>
      <w:r w:rsidRPr="008A31D2">
        <w:rPr>
          <w:rFonts w:ascii="Times New Roman" w:hAnsi="Times New Roman" w:cs="Times New Roman"/>
          <w:sz w:val="24"/>
          <w:szCs w:val="24"/>
          <w:lang w:val="pl-PL"/>
        </w:rPr>
        <w:t xml:space="preserve"> to pozycja osoby, której dotyczy publikacji: czy on lub ona jest "osobą publiczną" </w:t>
      </w:r>
      <w:r w:rsidR="00AB250D">
        <w:rPr>
          <w:rFonts w:ascii="Times New Roman" w:hAnsi="Times New Roman" w:cs="Times New Roman"/>
          <w:sz w:val="24"/>
          <w:szCs w:val="24"/>
          <w:lang w:val="pl-PL"/>
        </w:rPr>
        <w:t>albo w inny sposób</w:t>
      </w:r>
      <w:r w:rsidRPr="008A31D2">
        <w:rPr>
          <w:rFonts w:ascii="Times New Roman" w:hAnsi="Times New Roman" w:cs="Times New Roman"/>
          <w:sz w:val="24"/>
          <w:szCs w:val="24"/>
          <w:lang w:val="pl-PL"/>
        </w:rPr>
        <w:t xml:space="preserve"> "wszedł na scenę publiczną". Innym ważnym czynnikiem jest to, czy wypowiedź o której mowa, przyczyniła się do debaty w interesie ogólnym (</w:t>
      </w:r>
      <w:r>
        <w:rPr>
          <w:rFonts w:ascii="Times New Roman" w:hAnsi="Times New Roman" w:cs="Times New Roman"/>
          <w:sz w:val="24"/>
          <w:szCs w:val="24"/>
          <w:lang w:val="pl-PL"/>
        </w:rPr>
        <w:t>patrz</w:t>
      </w:r>
      <w:r w:rsidRPr="008A31D2">
        <w:rPr>
          <w:rFonts w:ascii="Times New Roman" w:hAnsi="Times New Roman" w:cs="Times New Roman"/>
          <w:sz w:val="24"/>
          <w:szCs w:val="24"/>
          <w:lang w:val="pl-PL"/>
        </w:rPr>
        <w:t xml:space="preserve"> </w:t>
      </w:r>
      <w:r w:rsidRPr="008A31D2">
        <w:rPr>
          <w:rFonts w:ascii="Times New Roman" w:hAnsi="Times New Roman" w:cs="Times New Roman"/>
          <w:i/>
          <w:sz w:val="24"/>
          <w:szCs w:val="24"/>
          <w:lang w:val="pl-PL"/>
        </w:rPr>
        <w:t>Krone Verlag GmbH</w:t>
      </w:r>
      <w:r w:rsidRPr="008A31D2">
        <w:rPr>
          <w:rFonts w:ascii="Times New Roman" w:hAnsi="Times New Roman" w:cs="Times New Roman"/>
          <w:sz w:val="24"/>
          <w:szCs w:val="24"/>
          <w:lang w:val="pl-PL"/>
        </w:rPr>
        <w:t xml:space="preserve"> </w:t>
      </w:r>
      <w:r>
        <w:rPr>
          <w:rFonts w:ascii="Times New Roman" w:hAnsi="Times New Roman" w:cs="Times New Roman"/>
          <w:i/>
          <w:sz w:val="24"/>
          <w:szCs w:val="24"/>
          <w:lang w:val="pl-PL"/>
        </w:rPr>
        <w:t>przeciwko</w:t>
      </w:r>
      <w:r w:rsidRPr="008A31D2">
        <w:rPr>
          <w:rFonts w:ascii="Times New Roman" w:hAnsi="Times New Roman" w:cs="Times New Roman"/>
          <w:i/>
          <w:sz w:val="24"/>
          <w:szCs w:val="24"/>
          <w:lang w:val="pl-PL"/>
        </w:rPr>
        <w:t xml:space="preserve"> Austri</w:t>
      </w:r>
      <w:r>
        <w:rPr>
          <w:rFonts w:ascii="Times New Roman" w:hAnsi="Times New Roman" w:cs="Times New Roman"/>
          <w:i/>
          <w:sz w:val="24"/>
          <w:szCs w:val="24"/>
          <w:lang w:val="pl-PL"/>
        </w:rPr>
        <w:t>i</w:t>
      </w:r>
      <w:r>
        <w:rPr>
          <w:rFonts w:ascii="Times New Roman" w:hAnsi="Times New Roman" w:cs="Times New Roman"/>
          <w:sz w:val="24"/>
          <w:szCs w:val="24"/>
          <w:lang w:val="pl-PL"/>
        </w:rPr>
        <w:t>, nr</w:t>
      </w:r>
      <w:r w:rsidRPr="008A31D2">
        <w:rPr>
          <w:rFonts w:ascii="Times New Roman" w:hAnsi="Times New Roman" w:cs="Times New Roman"/>
          <w:sz w:val="24"/>
          <w:szCs w:val="24"/>
          <w:lang w:val="pl-PL"/>
        </w:rPr>
        <w:t xml:space="preserve"> 27306/07, § 53, 19 czerwca 2012).</w:t>
      </w:r>
    </w:p>
    <w:p w:rsidR="008A31D2" w:rsidRPr="008A31D2" w:rsidRDefault="008A31D2" w:rsidP="008A31D2">
      <w:pPr>
        <w:pStyle w:val="ECHRParaQuote"/>
        <w:spacing w:before="0" w:after="0"/>
        <w:ind w:left="0"/>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Pr="008A31D2">
        <w:rPr>
          <w:rFonts w:ascii="Times New Roman" w:hAnsi="Times New Roman" w:cs="Times New Roman"/>
          <w:sz w:val="24"/>
          <w:szCs w:val="24"/>
          <w:lang w:val="pl-PL"/>
        </w:rPr>
        <w:t>48. W niniejszej sprawie, Trybunał zauważa, że A.M. to dawny dysydent, wiodący polski intelektualista</w:t>
      </w:r>
      <w:r w:rsidR="00F47338">
        <w:rPr>
          <w:rFonts w:ascii="Times New Roman" w:hAnsi="Times New Roman" w:cs="Times New Roman"/>
          <w:sz w:val="24"/>
          <w:szCs w:val="24"/>
          <w:lang w:val="pl-PL"/>
        </w:rPr>
        <w:t>,</w:t>
      </w:r>
      <w:r w:rsidRPr="008A31D2">
        <w:rPr>
          <w:rFonts w:ascii="Times New Roman" w:hAnsi="Times New Roman" w:cs="Times New Roman"/>
          <w:sz w:val="24"/>
          <w:szCs w:val="24"/>
          <w:lang w:val="pl-PL"/>
        </w:rPr>
        <w:t xml:space="preserve"> redaktor naczelny jednego z największych dzienników w kraju, który aktywnie uczestniczy w życiu politycznym </w:t>
      </w:r>
      <w:r w:rsidR="00F47338">
        <w:rPr>
          <w:rFonts w:ascii="Times New Roman" w:hAnsi="Times New Roman" w:cs="Times New Roman"/>
          <w:sz w:val="24"/>
          <w:szCs w:val="24"/>
          <w:lang w:val="pl-PL"/>
        </w:rPr>
        <w:br/>
      </w:r>
      <w:r w:rsidRPr="008A31D2">
        <w:rPr>
          <w:rFonts w:ascii="Times New Roman" w:hAnsi="Times New Roman" w:cs="Times New Roman"/>
          <w:sz w:val="24"/>
          <w:szCs w:val="24"/>
          <w:lang w:val="pl-PL"/>
        </w:rPr>
        <w:t xml:space="preserve">i debatach na temat aktualnych zagadnień. Trybunał orzekł już, że dziennikarze i publicyści, podobnie jak inne osoby, które aktywnie uczestniczą w życiu publicznym, powinny wykazywać większy stopień tolerancji na krytykę wobec nich (patrz </w:t>
      </w:r>
      <w:r>
        <w:rPr>
          <w:rFonts w:ascii="Times New Roman" w:hAnsi="Times New Roman" w:cs="Times New Roman"/>
          <w:i/>
          <w:sz w:val="24"/>
          <w:szCs w:val="24"/>
          <w:lang w:val="pl-PL"/>
        </w:rPr>
        <w:t>Kurski przeciwko</w:t>
      </w:r>
      <w:r w:rsidRPr="008A31D2">
        <w:rPr>
          <w:rFonts w:ascii="Times New Roman" w:hAnsi="Times New Roman" w:cs="Times New Roman"/>
          <w:i/>
          <w:sz w:val="24"/>
          <w:szCs w:val="24"/>
          <w:lang w:val="pl-PL"/>
        </w:rPr>
        <w:t xml:space="preserve"> Polsce</w:t>
      </w:r>
      <w:r>
        <w:rPr>
          <w:rFonts w:ascii="Times New Roman" w:hAnsi="Times New Roman" w:cs="Times New Roman"/>
          <w:sz w:val="24"/>
          <w:szCs w:val="24"/>
          <w:lang w:val="pl-PL"/>
        </w:rPr>
        <w:t>, nr 26115/10, § 50, 5 lipca 2016).</w:t>
      </w:r>
    </w:p>
    <w:p w:rsidR="008A31D2" w:rsidRPr="008A31D2" w:rsidRDefault="008A31D2" w:rsidP="00CC50DB">
      <w:pPr>
        <w:pStyle w:val="ECHRParaQuote"/>
        <w:spacing w:before="0" w:after="0"/>
        <w:ind w:left="0"/>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Pr="008A31D2">
        <w:rPr>
          <w:rFonts w:ascii="Times New Roman" w:hAnsi="Times New Roman" w:cs="Times New Roman"/>
          <w:sz w:val="24"/>
          <w:szCs w:val="24"/>
          <w:lang w:val="pl-PL"/>
        </w:rPr>
        <w:t xml:space="preserve">49. Pomimo twierdzeń Rządu (patrz </w:t>
      </w:r>
      <w:r>
        <w:rPr>
          <w:rFonts w:ascii="Times New Roman" w:hAnsi="Times New Roman" w:cs="Times New Roman"/>
          <w:sz w:val="24"/>
          <w:szCs w:val="24"/>
          <w:lang w:val="pl-PL"/>
        </w:rPr>
        <w:t>paragraf</w:t>
      </w:r>
      <w:r w:rsidRPr="008A31D2">
        <w:rPr>
          <w:rFonts w:ascii="Times New Roman" w:hAnsi="Times New Roman" w:cs="Times New Roman"/>
          <w:sz w:val="24"/>
          <w:szCs w:val="24"/>
          <w:lang w:val="pl-PL"/>
        </w:rPr>
        <w:t xml:space="preserve"> 38 ​​powyżej), Trybunał uznaje, że sporna wypowiedź dotyczyła  przedmiotu zainteresowania opinii </w:t>
      </w:r>
      <w:r w:rsidRPr="008A31D2">
        <w:rPr>
          <w:rFonts w:ascii="Times New Roman" w:hAnsi="Times New Roman" w:cs="Times New Roman"/>
          <w:sz w:val="24"/>
          <w:szCs w:val="24"/>
          <w:lang w:val="pl-PL"/>
        </w:rPr>
        <w:lastRenderedPageBreak/>
        <w:t xml:space="preserve">publicznej, a mianowicie lustracji dziennikarzy. Taka sprawa może, </w:t>
      </w:r>
      <w:r w:rsidR="00A16131">
        <w:rPr>
          <w:rFonts w:ascii="Times New Roman" w:hAnsi="Times New Roman" w:cs="Times New Roman"/>
          <w:sz w:val="24"/>
          <w:szCs w:val="24"/>
          <w:lang w:val="pl-PL"/>
        </w:rPr>
        <w:br/>
      </w:r>
      <w:r w:rsidRPr="008A31D2">
        <w:rPr>
          <w:rFonts w:ascii="Times New Roman" w:hAnsi="Times New Roman" w:cs="Times New Roman"/>
          <w:sz w:val="24"/>
          <w:szCs w:val="24"/>
          <w:lang w:val="pl-PL"/>
        </w:rPr>
        <w:t xml:space="preserve">a niniejsza w istocie stanowiła podstawę do debaty publicznej. W związku </w:t>
      </w:r>
      <w:r w:rsidR="00A16131">
        <w:rPr>
          <w:rFonts w:ascii="Times New Roman" w:hAnsi="Times New Roman" w:cs="Times New Roman"/>
          <w:sz w:val="24"/>
          <w:szCs w:val="24"/>
          <w:lang w:val="pl-PL"/>
        </w:rPr>
        <w:br/>
      </w:r>
      <w:r w:rsidRPr="008A31D2">
        <w:rPr>
          <w:rFonts w:ascii="Times New Roman" w:hAnsi="Times New Roman" w:cs="Times New Roman"/>
          <w:sz w:val="24"/>
          <w:szCs w:val="24"/>
          <w:lang w:val="pl-PL"/>
        </w:rPr>
        <w:t>z tym Trybunał przypomina, na podstawie artykułu 10 § 2 Konwencji</w:t>
      </w:r>
      <w:r w:rsidR="00AB250D">
        <w:rPr>
          <w:rFonts w:ascii="Times New Roman" w:hAnsi="Times New Roman" w:cs="Times New Roman"/>
          <w:sz w:val="24"/>
          <w:szCs w:val="24"/>
          <w:lang w:val="pl-PL"/>
        </w:rPr>
        <w:t>,</w:t>
      </w:r>
      <w:r w:rsidRPr="008A31D2">
        <w:rPr>
          <w:rFonts w:ascii="Times New Roman" w:hAnsi="Times New Roman" w:cs="Times New Roman"/>
          <w:sz w:val="24"/>
          <w:szCs w:val="24"/>
          <w:lang w:val="pl-PL"/>
        </w:rPr>
        <w:t xml:space="preserve"> że</w:t>
      </w:r>
      <w:r w:rsidR="00A16131">
        <w:rPr>
          <w:rFonts w:ascii="Times New Roman" w:hAnsi="Times New Roman" w:cs="Times New Roman"/>
          <w:sz w:val="24"/>
          <w:szCs w:val="24"/>
          <w:lang w:val="pl-PL"/>
        </w:rPr>
        <w:br/>
      </w:r>
      <w:r w:rsidRPr="008A31D2">
        <w:rPr>
          <w:rFonts w:ascii="Times New Roman" w:hAnsi="Times New Roman" w:cs="Times New Roman"/>
          <w:sz w:val="24"/>
          <w:szCs w:val="24"/>
          <w:lang w:val="pl-PL"/>
        </w:rPr>
        <w:t xml:space="preserve">​​istnieje niewielki </w:t>
      </w:r>
      <w:r w:rsidR="000C61CC">
        <w:rPr>
          <w:rFonts w:ascii="Times New Roman" w:hAnsi="Times New Roman" w:cs="Times New Roman"/>
          <w:sz w:val="24"/>
          <w:szCs w:val="24"/>
          <w:lang w:val="pl-PL"/>
        </w:rPr>
        <w:t>margines dla</w:t>
      </w:r>
      <w:r w:rsidRPr="008A31D2">
        <w:rPr>
          <w:rFonts w:ascii="Times New Roman" w:hAnsi="Times New Roman" w:cs="Times New Roman"/>
          <w:sz w:val="24"/>
          <w:szCs w:val="24"/>
          <w:lang w:val="pl-PL"/>
        </w:rPr>
        <w:t xml:space="preserve"> ograniczania wolności wypowiedzi, gdy </w:t>
      </w:r>
      <w:r w:rsidR="00AB250D">
        <w:rPr>
          <w:rFonts w:ascii="Times New Roman" w:hAnsi="Times New Roman" w:cs="Times New Roman"/>
          <w:sz w:val="24"/>
          <w:szCs w:val="24"/>
          <w:lang w:val="pl-PL"/>
        </w:rPr>
        <w:t>kwestia</w:t>
      </w:r>
      <w:r w:rsidR="00AB250D" w:rsidRPr="008A31D2">
        <w:rPr>
          <w:rFonts w:ascii="Times New Roman" w:hAnsi="Times New Roman" w:cs="Times New Roman"/>
          <w:sz w:val="24"/>
          <w:szCs w:val="24"/>
          <w:lang w:val="pl-PL"/>
        </w:rPr>
        <w:t xml:space="preserve"> </w:t>
      </w:r>
      <w:r w:rsidRPr="008A31D2">
        <w:rPr>
          <w:rFonts w:ascii="Times New Roman" w:hAnsi="Times New Roman" w:cs="Times New Roman"/>
          <w:sz w:val="24"/>
          <w:szCs w:val="24"/>
          <w:lang w:val="pl-PL"/>
        </w:rPr>
        <w:t>zainteresowania publicznego jest zagrożon</w:t>
      </w:r>
      <w:r w:rsidR="000C61CC">
        <w:rPr>
          <w:rFonts w:ascii="Times New Roman" w:hAnsi="Times New Roman" w:cs="Times New Roman"/>
          <w:sz w:val="24"/>
          <w:szCs w:val="24"/>
          <w:lang w:val="pl-PL"/>
        </w:rPr>
        <w:t>a</w:t>
      </w:r>
      <w:r w:rsidRPr="008A31D2">
        <w:rPr>
          <w:rFonts w:ascii="Times New Roman" w:hAnsi="Times New Roman" w:cs="Times New Roman"/>
          <w:sz w:val="24"/>
          <w:szCs w:val="24"/>
          <w:lang w:val="pl-PL"/>
        </w:rPr>
        <w:t xml:space="preserve"> (patrz </w:t>
      </w:r>
      <w:r w:rsidRPr="008A31D2">
        <w:rPr>
          <w:rFonts w:ascii="Times New Roman" w:hAnsi="Times New Roman" w:cs="Times New Roman"/>
          <w:i/>
          <w:sz w:val="24"/>
          <w:szCs w:val="24"/>
          <w:lang w:val="pl-PL"/>
        </w:rPr>
        <w:t xml:space="preserve">Couderc </w:t>
      </w:r>
      <w:r w:rsidR="00CC50DB">
        <w:rPr>
          <w:rFonts w:ascii="Times New Roman" w:hAnsi="Times New Roman" w:cs="Times New Roman"/>
          <w:i/>
          <w:sz w:val="24"/>
          <w:szCs w:val="24"/>
          <w:lang w:val="pl-PL"/>
        </w:rPr>
        <w:t>i Hachette Filipacchi Associes przeciwko Francji</w:t>
      </w:r>
      <w:r w:rsidRPr="008A31D2">
        <w:rPr>
          <w:rFonts w:ascii="Times New Roman" w:hAnsi="Times New Roman" w:cs="Times New Roman"/>
          <w:i/>
          <w:sz w:val="24"/>
          <w:szCs w:val="24"/>
          <w:lang w:val="pl-PL"/>
        </w:rPr>
        <w:t xml:space="preserve"> </w:t>
      </w:r>
      <w:r w:rsidR="00CC50DB">
        <w:rPr>
          <w:rFonts w:ascii="Times New Roman" w:hAnsi="Times New Roman" w:cs="Times New Roman"/>
          <w:sz w:val="24"/>
          <w:szCs w:val="24"/>
          <w:lang w:val="pl-PL"/>
        </w:rPr>
        <w:t>[GC], nr</w:t>
      </w:r>
      <w:r w:rsidRPr="008A31D2">
        <w:rPr>
          <w:rFonts w:ascii="Times New Roman" w:hAnsi="Times New Roman" w:cs="Times New Roman"/>
          <w:sz w:val="24"/>
          <w:szCs w:val="24"/>
          <w:lang w:val="pl-PL"/>
        </w:rPr>
        <w:t xml:space="preserve"> 40454/07, § 96, ETPCz 2015 (fragmenty)). Trybunał zauważa ponadto, że sądy krajowe prawidłowo rozpatrzyły kontekst, w jakim padło twierdzenie skarżącego. Wyraźnie nawiązał</w:t>
      </w:r>
      <w:r w:rsidR="00AB250D">
        <w:rPr>
          <w:rFonts w:ascii="Times New Roman" w:hAnsi="Times New Roman" w:cs="Times New Roman"/>
          <w:sz w:val="24"/>
          <w:szCs w:val="24"/>
          <w:lang w:val="pl-PL"/>
        </w:rPr>
        <w:t>y</w:t>
      </w:r>
      <w:r w:rsidRPr="008A31D2">
        <w:rPr>
          <w:rFonts w:ascii="Times New Roman" w:hAnsi="Times New Roman" w:cs="Times New Roman"/>
          <w:sz w:val="24"/>
          <w:szCs w:val="24"/>
          <w:lang w:val="pl-PL"/>
        </w:rPr>
        <w:t xml:space="preserve"> do toczącej się debaty publicznej w Polsce o konieczności lustracji (patrz </w:t>
      </w:r>
      <w:r w:rsidR="00CC50DB">
        <w:rPr>
          <w:rFonts w:ascii="Times New Roman" w:hAnsi="Times New Roman" w:cs="Times New Roman"/>
          <w:sz w:val="24"/>
          <w:szCs w:val="24"/>
          <w:lang w:val="pl-PL"/>
        </w:rPr>
        <w:t>paragraf</w:t>
      </w:r>
      <w:r w:rsidRPr="008A31D2">
        <w:rPr>
          <w:rFonts w:ascii="Times New Roman" w:hAnsi="Times New Roman" w:cs="Times New Roman"/>
          <w:sz w:val="24"/>
          <w:szCs w:val="24"/>
          <w:lang w:val="pl-PL"/>
        </w:rPr>
        <w:t xml:space="preserve"> 22 powyżej), a nawet zauważył</w:t>
      </w:r>
      <w:r w:rsidR="00AB250D">
        <w:rPr>
          <w:rFonts w:ascii="Times New Roman" w:hAnsi="Times New Roman" w:cs="Times New Roman"/>
          <w:sz w:val="24"/>
          <w:szCs w:val="24"/>
          <w:lang w:val="pl-PL"/>
        </w:rPr>
        <w:t>y</w:t>
      </w:r>
      <w:r w:rsidRPr="008A31D2">
        <w:rPr>
          <w:rFonts w:ascii="Times New Roman" w:hAnsi="Times New Roman" w:cs="Times New Roman"/>
          <w:sz w:val="24"/>
          <w:szCs w:val="24"/>
          <w:lang w:val="pl-PL"/>
        </w:rPr>
        <w:t xml:space="preserve">, że gdyby skarżący korzystał z bardziej ogólnego sformułowania jego oświadczenie mieściłoby się w granicach dopuszczalnej krytyki (patrz </w:t>
      </w:r>
      <w:r w:rsidR="00CC50DB">
        <w:rPr>
          <w:rFonts w:ascii="Times New Roman" w:hAnsi="Times New Roman" w:cs="Times New Roman"/>
          <w:sz w:val="24"/>
          <w:szCs w:val="24"/>
          <w:lang w:val="pl-PL"/>
        </w:rPr>
        <w:t>paragraf</w:t>
      </w:r>
      <w:r w:rsidRPr="008A31D2">
        <w:rPr>
          <w:rFonts w:ascii="Times New Roman" w:hAnsi="Times New Roman" w:cs="Times New Roman"/>
          <w:sz w:val="24"/>
          <w:szCs w:val="24"/>
          <w:lang w:val="pl-PL"/>
        </w:rPr>
        <w:t xml:space="preserve"> 16 powyżej) </w:t>
      </w:r>
    </w:p>
    <w:p w:rsidR="008A31D2" w:rsidRPr="008A31D2" w:rsidRDefault="00CC50DB" w:rsidP="00CC50DB">
      <w:pPr>
        <w:pStyle w:val="ECHRParaQuote"/>
        <w:spacing w:before="0" w:after="0"/>
        <w:ind w:left="0"/>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8A31D2" w:rsidRPr="008A31D2">
        <w:rPr>
          <w:rFonts w:ascii="Times New Roman" w:hAnsi="Times New Roman" w:cs="Times New Roman"/>
          <w:sz w:val="24"/>
          <w:szCs w:val="24"/>
          <w:lang w:val="pl-PL"/>
        </w:rPr>
        <w:t xml:space="preserve">50. W odniesieniu do klasyfikacji spornej wypowiedzi, skarżący argumentował przed sądem krajowym, że jego </w:t>
      </w:r>
      <w:r w:rsidRPr="008A31D2">
        <w:rPr>
          <w:rFonts w:ascii="Times New Roman" w:hAnsi="Times New Roman" w:cs="Times New Roman"/>
          <w:sz w:val="24"/>
          <w:szCs w:val="24"/>
          <w:lang w:val="pl-PL"/>
        </w:rPr>
        <w:t>wypowiedź</w:t>
      </w:r>
      <w:r w:rsidR="008A31D2" w:rsidRPr="008A31D2">
        <w:rPr>
          <w:rFonts w:ascii="Times New Roman" w:hAnsi="Times New Roman" w:cs="Times New Roman"/>
          <w:sz w:val="24"/>
          <w:szCs w:val="24"/>
          <w:lang w:val="pl-PL"/>
        </w:rPr>
        <w:t xml:space="preserve"> opisała stanowisko A.M. wobec lustracji w Polsce (patrz </w:t>
      </w:r>
      <w:r>
        <w:rPr>
          <w:rFonts w:ascii="Times New Roman" w:hAnsi="Times New Roman" w:cs="Times New Roman"/>
          <w:sz w:val="24"/>
          <w:szCs w:val="24"/>
          <w:lang w:val="pl-PL"/>
        </w:rPr>
        <w:t>paragraf</w:t>
      </w:r>
      <w:r w:rsidR="008A31D2" w:rsidRPr="008A31D2">
        <w:rPr>
          <w:rFonts w:ascii="Times New Roman" w:hAnsi="Times New Roman" w:cs="Times New Roman"/>
          <w:sz w:val="24"/>
          <w:szCs w:val="24"/>
          <w:lang w:val="pl-PL"/>
        </w:rPr>
        <w:t xml:space="preserve"> 12 powyżej). Sądy krajowe, odnosząc się do opinii biegłych, uznały, że sporne wyrażenie było stwierdzeniem faktu (patrz: </w:t>
      </w:r>
      <w:r>
        <w:rPr>
          <w:rFonts w:ascii="Times New Roman" w:hAnsi="Times New Roman" w:cs="Times New Roman"/>
          <w:sz w:val="24"/>
          <w:szCs w:val="24"/>
          <w:lang w:val="pl-PL"/>
        </w:rPr>
        <w:t>paragrafy</w:t>
      </w:r>
      <w:r w:rsidR="008A31D2" w:rsidRPr="008A31D2">
        <w:rPr>
          <w:rFonts w:ascii="Times New Roman" w:hAnsi="Times New Roman" w:cs="Times New Roman"/>
          <w:sz w:val="24"/>
          <w:szCs w:val="24"/>
          <w:lang w:val="pl-PL"/>
        </w:rPr>
        <w:t xml:space="preserve"> 13 i 23 powyżej). Nie ma powodu, aby odejść od tej oceny. Nawet </w:t>
      </w:r>
      <w:r w:rsidRPr="008A31D2">
        <w:rPr>
          <w:rFonts w:ascii="Times New Roman" w:hAnsi="Times New Roman" w:cs="Times New Roman"/>
          <w:sz w:val="24"/>
          <w:szCs w:val="24"/>
          <w:lang w:val="pl-PL"/>
        </w:rPr>
        <w:t>wypowiedź</w:t>
      </w:r>
      <w:r w:rsidR="008A31D2" w:rsidRPr="008A31D2">
        <w:rPr>
          <w:rFonts w:ascii="Times New Roman" w:hAnsi="Times New Roman" w:cs="Times New Roman"/>
          <w:sz w:val="24"/>
          <w:szCs w:val="24"/>
          <w:lang w:val="pl-PL"/>
        </w:rPr>
        <w:t xml:space="preserve"> w kontekście szerszej debaty nad zagadnieniem budzącym niepokój publiczny powinna mieć solidne podstawy poparte faktami, na których można oprzeć ten zarzut (patrz </w:t>
      </w:r>
      <w:r w:rsidR="008A31D2" w:rsidRPr="008A31D2">
        <w:rPr>
          <w:rFonts w:ascii="Times New Roman" w:hAnsi="Times New Roman" w:cs="Times New Roman"/>
          <w:i/>
          <w:sz w:val="24"/>
          <w:szCs w:val="24"/>
          <w:lang w:val="pl-PL"/>
        </w:rPr>
        <w:t>Ärz</w:t>
      </w:r>
      <w:r>
        <w:rPr>
          <w:rFonts w:ascii="Times New Roman" w:hAnsi="Times New Roman" w:cs="Times New Roman"/>
          <w:i/>
          <w:sz w:val="24"/>
          <w:szCs w:val="24"/>
          <w:lang w:val="pl-PL"/>
        </w:rPr>
        <w:t>tekammer für Wien oraz Dorner przeciwko</w:t>
      </w:r>
      <w:r w:rsidR="008A31D2" w:rsidRPr="008A31D2">
        <w:rPr>
          <w:rFonts w:ascii="Times New Roman" w:hAnsi="Times New Roman" w:cs="Times New Roman"/>
          <w:i/>
          <w:sz w:val="24"/>
          <w:szCs w:val="24"/>
          <w:lang w:val="pl-PL"/>
        </w:rPr>
        <w:t xml:space="preserve"> Austri</w:t>
      </w:r>
      <w:r>
        <w:rPr>
          <w:rFonts w:ascii="Times New Roman" w:hAnsi="Times New Roman" w:cs="Times New Roman"/>
          <w:i/>
          <w:sz w:val="24"/>
          <w:szCs w:val="24"/>
          <w:lang w:val="pl-PL"/>
        </w:rPr>
        <w:t>i</w:t>
      </w:r>
      <w:r>
        <w:rPr>
          <w:rFonts w:ascii="Times New Roman" w:hAnsi="Times New Roman" w:cs="Times New Roman"/>
          <w:sz w:val="24"/>
          <w:szCs w:val="24"/>
          <w:lang w:val="pl-PL"/>
        </w:rPr>
        <w:t>, nr</w:t>
      </w:r>
      <w:r w:rsidR="008A31D2" w:rsidRPr="008A31D2">
        <w:rPr>
          <w:rFonts w:ascii="Times New Roman" w:hAnsi="Times New Roman" w:cs="Times New Roman"/>
          <w:sz w:val="24"/>
          <w:szCs w:val="24"/>
          <w:lang w:val="pl-PL"/>
        </w:rPr>
        <w:t xml:space="preserve"> 8895/10, § 69, 16 lutego 2016). Jednakże sądy krajowe, po dokładnym zbadaniu przykładów publicznych wypowiedzi A. M., stwierdziły, że ​​nie było takich podstaw. Chociaż A. M. rzeczywiście był krytyczny wobec ustawy lustracyjnej</w:t>
      </w:r>
      <w:r w:rsidR="00AB250D">
        <w:rPr>
          <w:rFonts w:ascii="Times New Roman" w:hAnsi="Times New Roman" w:cs="Times New Roman"/>
          <w:sz w:val="24"/>
          <w:szCs w:val="24"/>
          <w:lang w:val="pl-PL"/>
        </w:rPr>
        <w:t>,</w:t>
      </w:r>
      <w:r w:rsidR="008A31D2" w:rsidRPr="008A31D2">
        <w:rPr>
          <w:rFonts w:ascii="Times New Roman" w:hAnsi="Times New Roman" w:cs="Times New Roman"/>
          <w:sz w:val="24"/>
          <w:szCs w:val="24"/>
          <w:lang w:val="pl-PL"/>
        </w:rPr>
        <w:t xml:space="preserve"> nigdy nie bronił dwóch osób wymienionych przez </w:t>
      </w:r>
      <w:r w:rsidRPr="008A31D2">
        <w:rPr>
          <w:rFonts w:ascii="Times New Roman" w:hAnsi="Times New Roman" w:cs="Times New Roman"/>
          <w:sz w:val="24"/>
          <w:szCs w:val="24"/>
          <w:lang w:val="pl-PL"/>
        </w:rPr>
        <w:t>skarżącego</w:t>
      </w:r>
      <w:r w:rsidR="008A31D2" w:rsidRPr="008A31D2">
        <w:rPr>
          <w:rFonts w:ascii="Times New Roman" w:hAnsi="Times New Roman" w:cs="Times New Roman"/>
          <w:sz w:val="24"/>
          <w:szCs w:val="24"/>
          <w:lang w:val="pl-PL"/>
        </w:rPr>
        <w:t xml:space="preserve"> jako "agenci"  (patrz: </w:t>
      </w:r>
      <w:r>
        <w:rPr>
          <w:rFonts w:ascii="Times New Roman" w:hAnsi="Times New Roman" w:cs="Times New Roman"/>
          <w:sz w:val="24"/>
          <w:szCs w:val="24"/>
          <w:lang w:val="pl-PL"/>
        </w:rPr>
        <w:t>paragrafy</w:t>
      </w:r>
      <w:r w:rsidR="008A31D2" w:rsidRPr="008A31D2">
        <w:rPr>
          <w:rFonts w:ascii="Times New Roman" w:hAnsi="Times New Roman" w:cs="Times New Roman"/>
          <w:sz w:val="24"/>
          <w:szCs w:val="24"/>
          <w:lang w:val="pl-PL"/>
        </w:rPr>
        <w:t xml:space="preserve"> 17 i 23 powyżej). Trybunał nie widzi powodu, by uznać decyzje sądów krajowych za nieuzasadnione lub arbitralne.</w:t>
      </w:r>
    </w:p>
    <w:p w:rsidR="008A31D2" w:rsidRPr="008A31D2" w:rsidRDefault="00CC50DB" w:rsidP="00CC50DB">
      <w:pPr>
        <w:pStyle w:val="ECHRParaQuote"/>
        <w:spacing w:before="0" w:after="0"/>
        <w:ind w:left="0"/>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8A31D2" w:rsidRPr="008A31D2">
        <w:rPr>
          <w:rFonts w:ascii="Times New Roman" w:hAnsi="Times New Roman" w:cs="Times New Roman"/>
          <w:sz w:val="24"/>
          <w:szCs w:val="24"/>
          <w:lang w:val="pl-PL"/>
        </w:rPr>
        <w:t>51. W związku z tym Trybunał uważa, że powody podane przez sądy krajowe były właściwe i wystarczające.</w:t>
      </w:r>
    </w:p>
    <w:p w:rsidR="008A31D2" w:rsidRPr="008A31D2" w:rsidRDefault="00CC50DB" w:rsidP="00CC50DB">
      <w:pPr>
        <w:pStyle w:val="ECHRParaQuote"/>
        <w:spacing w:before="0"/>
        <w:ind w:left="0" w:firstLine="0"/>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8A31D2" w:rsidRPr="008A31D2">
        <w:rPr>
          <w:rFonts w:ascii="Times New Roman" w:hAnsi="Times New Roman" w:cs="Times New Roman"/>
          <w:sz w:val="24"/>
          <w:szCs w:val="24"/>
          <w:lang w:val="pl-PL"/>
        </w:rPr>
        <w:t>52. Wreszcie, jeśli chodzi o "proporcjonalności" sankcji, Trybunał zauważa, że skarżący został zobowiązany do pokrycia kosztów postępowania, zapłacenia 10.000 złotych (około 2380 euro) na cel</w:t>
      </w:r>
      <w:r w:rsidR="00AB250D">
        <w:rPr>
          <w:rFonts w:ascii="Times New Roman" w:hAnsi="Times New Roman" w:cs="Times New Roman"/>
          <w:sz w:val="24"/>
          <w:szCs w:val="24"/>
          <w:lang w:val="pl-PL"/>
        </w:rPr>
        <w:t xml:space="preserve"> społeczny</w:t>
      </w:r>
      <w:r w:rsidR="008A31D2" w:rsidRPr="008A31D2">
        <w:rPr>
          <w:rFonts w:ascii="Times New Roman" w:hAnsi="Times New Roman" w:cs="Times New Roman"/>
          <w:sz w:val="24"/>
          <w:szCs w:val="24"/>
          <w:lang w:val="pl-PL"/>
        </w:rPr>
        <w:t xml:space="preserve">, oraz do publikacji przeprosin, za które opłata została pierwotnie ustalona na 23.124 złotych (około 5505 euro). Skarżący skorzystał przy tym ze znacznego upustu w nieznanej wysokości. Trybunał zauważa ponadto, że przy podejmowaniu decyzji o kwocie do zapłaty na </w:t>
      </w:r>
      <w:r w:rsidR="00AB250D">
        <w:rPr>
          <w:rFonts w:ascii="Times New Roman" w:hAnsi="Times New Roman" w:cs="Times New Roman"/>
          <w:sz w:val="24"/>
          <w:szCs w:val="24"/>
          <w:lang w:val="pl-PL"/>
        </w:rPr>
        <w:t>cel społeczny</w:t>
      </w:r>
      <w:r w:rsidR="008A31D2" w:rsidRPr="008A31D2">
        <w:rPr>
          <w:rFonts w:ascii="Times New Roman" w:hAnsi="Times New Roman" w:cs="Times New Roman"/>
          <w:sz w:val="24"/>
          <w:szCs w:val="24"/>
          <w:lang w:val="pl-PL"/>
        </w:rPr>
        <w:t xml:space="preserve"> sądy krajowe starannie rozważyły możliwości i określiły wysokość grzywny nałożonej na skarżącego w świetle jego sytuacji finansowej (patrz </w:t>
      </w:r>
      <w:r>
        <w:rPr>
          <w:rFonts w:ascii="Times New Roman" w:hAnsi="Times New Roman" w:cs="Times New Roman"/>
          <w:sz w:val="24"/>
          <w:szCs w:val="24"/>
          <w:lang w:val="pl-PL"/>
        </w:rPr>
        <w:t>paragraf</w:t>
      </w:r>
      <w:r w:rsidR="008A31D2" w:rsidRPr="008A31D2">
        <w:rPr>
          <w:rFonts w:ascii="Times New Roman" w:hAnsi="Times New Roman" w:cs="Times New Roman"/>
          <w:sz w:val="24"/>
          <w:szCs w:val="24"/>
          <w:lang w:val="pl-PL"/>
        </w:rPr>
        <w:t xml:space="preserve"> 24 powyżej). </w:t>
      </w:r>
      <w:r w:rsidR="00725C2A">
        <w:rPr>
          <w:rFonts w:ascii="Times New Roman" w:hAnsi="Times New Roman" w:cs="Times New Roman"/>
          <w:sz w:val="24"/>
          <w:szCs w:val="24"/>
          <w:lang w:val="pl-PL"/>
        </w:rPr>
        <w:t xml:space="preserve">Nie </w:t>
      </w:r>
      <w:r w:rsidR="00730109">
        <w:rPr>
          <w:rFonts w:ascii="Times New Roman" w:hAnsi="Times New Roman" w:cs="Times New Roman"/>
          <w:sz w:val="24"/>
          <w:szCs w:val="24"/>
          <w:lang w:val="pl-PL"/>
        </w:rPr>
        <w:t>podnoszono</w:t>
      </w:r>
      <w:r w:rsidR="008A31D2" w:rsidRPr="008A31D2">
        <w:rPr>
          <w:rFonts w:ascii="Times New Roman" w:hAnsi="Times New Roman" w:cs="Times New Roman"/>
          <w:sz w:val="24"/>
          <w:szCs w:val="24"/>
          <w:lang w:val="pl-PL"/>
        </w:rPr>
        <w:t xml:space="preserve"> </w:t>
      </w:r>
      <w:r w:rsidR="00730109">
        <w:rPr>
          <w:rFonts w:ascii="Times New Roman" w:hAnsi="Times New Roman" w:cs="Times New Roman"/>
          <w:sz w:val="24"/>
          <w:szCs w:val="24"/>
          <w:lang w:val="pl-PL"/>
        </w:rPr>
        <w:t>aby</w:t>
      </w:r>
      <w:r w:rsidR="008A31D2" w:rsidRPr="008A31D2">
        <w:rPr>
          <w:rFonts w:ascii="Times New Roman" w:hAnsi="Times New Roman" w:cs="Times New Roman"/>
          <w:sz w:val="24"/>
          <w:szCs w:val="24"/>
          <w:lang w:val="pl-PL"/>
        </w:rPr>
        <w:t xml:space="preserve"> kwota</w:t>
      </w:r>
      <w:r w:rsidR="00AB250D">
        <w:rPr>
          <w:rFonts w:ascii="Times New Roman" w:hAnsi="Times New Roman" w:cs="Times New Roman"/>
          <w:sz w:val="24"/>
          <w:szCs w:val="24"/>
          <w:lang w:val="pl-PL"/>
        </w:rPr>
        <w:t>,</w:t>
      </w:r>
      <w:r w:rsidR="008A31D2" w:rsidRPr="008A31D2">
        <w:rPr>
          <w:rFonts w:ascii="Times New Roman" w:hAnsi="Times New Roman" w:cs="Times New Roman"/>
          <w:sz w:val="24"/>
          <w:szCs w:val="24"/>
          <w:lang w:val="pl-PL"/>
        </w:rPr>
        <w:t xml:space="preserve"> do zapłacenia</w:t>
      </w:r>
      <w:r w:rsidR="00AB250D">
        <w:rPr>
          <w:rFonts w:ascii="Times New Roman" w:hAnsi="Times New Roman" w:cs="Times New Roman"/>
          <w:sz w:val="24"/>
          <w:szCs w:val="24"/>
          <w:lang w:val="pl-PL"/>
        </w:rPr>
        <w:t xml:space="preserve"> </w:t>
      </w:r>
      <w:r w:rsidR="008A31D2" w:rsidRPr="008A31D2">
        <w:rPr>
          <w:rFonts w:ascii="Times New Roman" w:hAnsi="Times New Roman" w:cs="Times New Roman"/>
          <w:sz w:val="24"/>
          <w:szCs w:val="24"/>
          <w:lang w:val="pl-PL"/>
        </w:rPr>
        <w:t xml:space="preserve">której </w:t>
      </w:r>
      <w:r w:rsidRPr="008A31D2">
        <w:rPr>
          <w:rFonts w:ascii="Times New Roman" w:hAnsi="Times New Roman" w:cs="Times New Roman"/>
          <w:sz w:val="24"/>
          <w:szCs w:val="24"/>
          <w:lang w:val="pl-PL"/>
        </w:rPr>
        <w:t>skarżący</w:t>
      </w:r>
      <w:r w:rsidR="008A31D2" w:rsidRPr="008A31D2">
        <w:rPr>
          <w:rFonts w:ascii="Times New Roman" w:hAnsi="Times New Roman" w:cs="Times New Roman"/>
          <w:sz w:val="24"/>
          <w:szCs w:val="24"/>
          <w:lang w:val="pl-PL"/>
        </w:rPr>
        <w:t xml:space="preserve"> został zobowiązany</w:t>
      </w:r>
      <w:r w:rsidR="00730109">
        <w:rPr>
          <w:rFonts w:ascii="Times New Roman" w:hAnsi="Times New Roman" w:cs="Times New Roman"/>
          <w:sz w:val="24"/>
          <w:szCs w:val="24"/>
          <w:lang w:val="pl-PL"/>
        </w:rPr>
        <w:t>,</w:t>
      </w:r>
      <w:r w:rsidR="008A31D2" w:rsidRPr="008A31D2">
        <w:rPr>
          <w:rFonts w:ascii="Times New Roman" w:hAnsi="Times New Roman" w:cs="Times New Roman"/>
          <w:sz w:val="24"/>
          <w:szCs w:val="24"/>
          <w:lang w:val="pl-PL"/>
        </w:rPr>
        <w:t xml:space="preserve"> miała na niego nieproporcjonalnie duży wpływ. Dlatego nałożona kara nie może zostać uznaną za nieproporcjonalną (patrz, </w:t>
      </w:r>
      <w:r>
        <w:rPr>
          <w:rFonts w:ascii="Times New Roman" w:hAnsi="Times New Roman" w:cs="Times New Roman"/>
          <w:i/>
          <w:sz w:val="24"/>
          <w:szCs w:val="24"/>
          <w:lang w:val="pl-PL"/>
        </w:rPr>
        <w:lastRenderedPageBreak/>
        <w:t>mutatis mutandis, Genner przeciwko</w:t>
      </w:r>
      <w:r w:rsidR="008A31D2" w:rsidRPr="008A31D2">
        <w:rPr>
          <w:rFonts w:ascii="Times New Roman" w:hAnsi="Times New Roman" w:cs="Times New Roman"/>
          <w:i/>
          <w:sz w:val="24"/>
          <w:szCs w:val="24"/>
          <w:lang w:val="pl-PL"/>
        </w:rPr>
        <w:t xml:space="preserve"> Austri</w:t>
      </w:r>
      <w:r>
        <w:rPr>
          <w:rFonts w:ascii="Times New Roman" w:hAnsi="Times New Roman" w:cs="Times New Roman"/>
          <w:i/>
          <w:sz w:val="24"/>
          <w:szCs w:val="24"/>
          <w:lang w:val="pl-PL"/>
        </w:rPr>
        <w:t>i</w:t>
      </w:r>
      <w:r>
        <w:rPr>
          <w:rFonts w:ascii="Times New Roman" w:hAnsi="Times New Roman" w:cs="Times New Roman"/>
          <w:sz w:val="24"/>
          <w:szCs w:val="24"/>
          <w:lang w:val="pl-PL"/>
        </w:rPr>
        <w:t>, nr</w:t>
      </w:r>
      <w:r w:rsidR="008A31D2" w:rsidRPr="008A31D2">
        <w:rPr>
          <w:rFonts w:ascii="Times New Roman" w:hAnsi="Times New Roman" w:cs="Times New Roman"/>
          <w:sz w:val="24"/>
          <w:szCs w:val="24"/>
          <w:lang w:val="pl-PL"/>
        </w:rPr>
        <w:t xml:space="preserve"> 55495/08, § 49, 12 stycznia 2016).</w:t>
      </w:r>
    </w:p>
    <w:p w:rsidR="008A31D2" w:rsidRPr="008A31D2" w:rsidRDefault="00CC50DB" w:rsidP="00CC50DB">
      <w:pPr>
        <w:pStyle w:val="ECHRParaQuote"/>
        <w:spacing w:after="0"/>
        <w:ind w:left="0"/>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8A31D2" w:rsidRPr="008A31D2">
        <w:rPr>
          <w:rFonts w:ascii="Times New Roman" w:hAnsi="Times New Roman" w:cs="Times New Roman"/>
          <w:sz w:val="24"/>
          <w:szCs w:val="24"/>
          <w:lang w:val="pl-PL"/>
        </w:rPr>
        <w:t xml:space="preserve">53. Mając na uwadze powyższe, Trybunał jest przekonany, że władze zagwarantowały odpowiednią równowagę między </w:t>
      </w:r>
      <w:r w:rsidR="00727123">
        <w:rPr>
          <w:rFonts w:ascii="Times New Roman" w:hAnsi="Times New Roman" w:cs="Times New Roman"/>
          <w:sz w:val="24"/>
          <w:szCs w:val="24"/>
          <w:lang w:val="pl-PL"/>
        </w:rPr>
        <w:t>prawem do</w:t>
      </w:r>
      <w:r w:rsidR="008A31D2" w:rsidRPr="008A31D2">
        <w:rPr>
          <w:rFonts w:ascii="Times New Roman" w:hAnsi="Times New Roman" w:cs="Times New Roman"/>
          <w:sz w:val="24"/>
          <w:szCs w:val="24"/>
          <w:lang w:val="pl-PL"/>
        </w:rPr>
        <w:t xml:space="preserve"> ochrony dobrego imienia powoda z jednej strony i praw</w:t>
      </w:r>
      <w:r w:rsidR="00AB250D">
        <w:rPr>
          <w:rFonts w:ascii="Times New Roman" w:hAnsi="Times New Roman" w:cs="Times New Roman"/>
          <w:sz w:val="24"/>
          <w:szCs w:val="24"/>
          <w:lang w:val="pl-PL"/>
        </w:rPr>
        <w:t>em</w:t>
      </w:r>
      <w:r w:rsidR="008A31D2" w:rsidRPr="008A31D2">
        <w:rPr>
          <w:rFonts w:ascii="Times New Roman" w:hAnsi="Times New Roman" w:cs="Times New Roman"/>
          <w:sz w:val="24"/>
          <w:szCs w:val="24"/>
          <w:lang w:val="pl-PL"/>
        </w:rPr>
        <w:t xml:space="preserve"> skarżącego do </w:t>
      </w:r>
      <w:r w:rsidR="00AB250D">
        <w:rPr>
          <w:rFonts w:ascii="Times New Roman" w:hAnsi="Times New Roman" w:cs="Times New Roman"/>
          <w:sz w:val="24"/>
          <w:szCs w:val="24"/>
          <w:lang w:val="pl-PL"/>
        </w:rPr>
        <w:t xml:space="preserve">korzystania z </w:t>
      </w:r>
      <w:r w:rsidR="008A31D2" w:rsidRPr="008A31D2">
        <w:rPr>
          <w:rFonts w:ascii="Times New Roman" w:hAnsi="Times New Roman" w:cs="Times New Roman"/>
          <w:sz w:val="24"/>
          <w:szCs w:val="24"/>
          <w:lang w:val="pl-PL"/>
        </w:rPr>
        <w:t xml:space="preserve">wolności wypowiedzi, </w:t>
      </w:r>
      <w:r w:rsidR="00AB250D">
        <w:rPr>
          <w:rFonts w:ascii="Times New Roman" w:hAnsi="Times New Roman" w:cs="Times New Roman"/>
          <w:sz w:val="24"/>
          <w:szCs w:val="24"/>
          <w:lang w:val="pl-PL"/>
        </w:rPr>
        <w:t>kiedy kwestia interesu publicznego jest zagrożona z drugiej</w:t>
      </w:r>
      <w:r w:rsidR="008A31D2" w:rsidRPr="008A31D2">
        <w:rPr>
          <w:rFonts w:ascii="Times New Roman" w:hAnsi="Times New Roman" w:cs="Times New Roman"/>
          <w:sz w:val="24"/>
          <w:szCs w:val="24"/>
          <w:lang w:val="pl-PL"/>
        </w:rPr>
        <w:t>, i że ocena ta została wykonana zgodnie z kryteriami określonymi w orzecznictwie Trybunału. Ingerencja mo</w:t>
      </w:r>
      <w:r w:rsidR="00392198">
        <w:rPr>
          <w:rFonts w:ascii="Times New Roman" w:hAnsi="Times New Roman" w:cs="Times New Roman"/>
          <w:sz w:val="24"/>
          <w:szCs w:val="24"/>
          <w:lang w:val="pl-PL"/>
        </w:rPr>
        <w:t>że</w:t>
      </w:r>
      <w:r w:rsidR="008A31D2" w:rsidRPr="008A31D2">
        <w:rPr>
          <w:rFonts w:ascii="Times New Roman" w:hAnsi="Times New Roman" w:cs="Times New Roman"/>
          <w:sz w:val="24"/>
          <w:szCs w:val="24"/>
          <w:lang w:val="pl-PL"/>
        </w:rPr>
        <w:t xml:space="preserve"> więc być racjonalnie uznana za "konieczną w </w:t>
      </w:r>
      <w:r w:rsidR="00AB250D">
        <w:rPr>
          <w:rFonts w:ascii="Times New Roman" w:hAnsi="Times New Roman" w:cs="Times New Roman"/>
          <w:sz w:val="24"/>
          <w:szCs w:val="24"/>
          <w:lang w:val="pl-PL"/>
        </w:rPr>
        <w:t>społeczeństwie demokratycznym</w:t>
      </w:r>
      <w:r w:rsidR="008A31D2" w:rsidRPr="008A31D2">
        <w:rPr>
          <w:rFonts w:ascii="Times New Roman" w:hAnsi="Times New Roman" w:cs="Times New Roman"/>
          <w:sz w:val="24"/>
          <w:szCs w:val="24"/>
          <w:lang w:val="pl-PL"/>
        </w:rPr>
        <w:t xml:space="preserve">" w rozumieniu </w:t>
      </w:r>
      <w:r w:rsidR="00AB250D">
        <w:rPr>
          <w:rFonts w:ascii="Times New Roman" w:hAnsi="Times New Roman" w:cs="Times New Roman"/>
          <w:sz w:val="24"/>
          <w:szCs w:val="24"/>
          <w:lang w:val="pl-PL"/>
        </w:rPr>
        <w:t>paragrafu</w:t>
      </w:r>
      <w:r w:rsidR="00AB250D" w:rsidRPr="008A31D2">
        <w:rPr>
          <w:rFonts w:ascii="Times New Roman" w:hAnsi="Times New Roman" w:cs="Times New Roman"/>
          <w:sz w:val="24"/>
          <w:szCs w:val="24"/>
          <w:lang w:val="pl-PL"/>
        </w:rPr>
        <w:t xml:space="preserve"> </w:t>
      </w:r>
      <w:r w:rsidR="008A31D2" w:rsidRPr="008A31D2">
        <w:rPr>
          <w:rFonts w:ascii="Times New Roman" w:hAnsi="Times New Roman" w:cs="Times New Roman"/>
          <w:sz w:val="24"/>
          <w:szCs w:val="24"/>
          <w:lang w:val="pl-PL"/>
        </w:rPr>
        <w:t>2 artykułu 10 Konwencji.</w:t>
      </w:r>
    </w:p>
    <w:p w:rsidR="007F54D3" w:rsidRPr="00CC50DB" w:rsidRDefault="00CC50DB" w:rsidP="00CC50DB">
      <w:pPr>
        <w:pStyle w:val="ECHRParaQuote"/>
        <w:spacing w:before="0"/>
        <w:ind w:left="0"/>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8A31D2" w:rsidRPr="008A31D2">
        <w:rPr>
          <w:rFonts w:ascii="Times New Roman" w:hAnsi="Times New Roman" w:cs="Times New Roman"/>
          <w:sz w:val="24"/>
          <w:szCs w:val="24"/>
          <w:lang w:val="pl-PL"/>
        </w:rPr>
        <w:t xml:space="preserve">54. </w:t>
      </w:r>
      <w:r w:rsidR="00AB250D" w:rsidRPr="008A31D2">
        <w:rPr>
          <w:rFonts w:ascii="Times New Roman" w:hAnsi="Times New Roman" w:cs="Times New Roman"/>
          <w:sz w:val="24"/>
          <w:szCs w:val="24"/>
          <w:lang w:val="pl-PL"/>
        </w:rPr>
        <w:t xml:space="preserve"> </w:t>
      </w:r>
      <w:r w:rsidR="00AB250D">
        <w:rPr>
          <w:rFonts w:ascii="Times New Roman" w:hAnsi="Times New Roman" w:cs="Times New Roman"/>
          <w:sz w:val="24"/>
          <w:szCs w:val="24"/>
          <w:lang w:val="pl-PL"/>
        </w:rPr>
        <w:t>Zatem</w:t>
      </w:r>
      <w:r w:rsidR="00392198">
        <w:rPr>
          <w:rFonts w:ascii="Times New Roman" w:hAnsi="Times New Roman" w:cs="Times New Roman"/>
          <w:sz w:val="24"/>
          <w:szCs w:val="24"/>
          <w:lang w:val="pl-PL"/>
        </w:rPr>
        <w:t xml:space="preserve"> nie</w:t>
      </w:r>
      <w:r w:rsidR="00AB250D">
        <w:rPr>
          <w:rFonts w:ascii="Times New Roman" w:hAnsi="Times New Roman" w:cs="Times New Roman"/>
          <w:sz w:val="24"/>
          <w:szCs w:val="24"/>
          <w:lang w:val="pl-PL"/>
        </w:rPr>
        <w:t xml:space="preserve"> doszło</w:t>
      </w:r>
      <w:r w:rsidR="008A31D2" w:rsidRPr="008A31D2">
        <w:rPr>
          <w:rFonts w:ascii="Times New Roman" w:hAnsi="Times New Roman" w:cs="Times New Roman"/>
          <w:sz w:val="24"/>
          <w:szCs w:val="24"/>
          <w:lang w:val="pl-PL"/>
        </w:rPr>
        <w:t xml:space="preserve"> do naruszenia tego przepisu.</w:t>
      </w:r>
    </w:p>
    <w:p w:rsidR="0082358F" w:rsidRDefault="0082358F" w:rsidP="0082358F">
      <w:pPr>
        <w:pStyle w:val="ECHRParaQuote"/>
        <w:ind w:left="0"/>
        <w:rPr>
          <w:rFonts w:ascii="Times New Roman" w:hAnsi="Times New Roman" w:cs="Times New Roman"/>
          <w:sz w:val="28"/>
          <w:szCs w:val="28"/>
          <w:lang w:val="pl-PL"/>
        </w:rPr>
      </w:pPr>
    </w:p>
    <w:p w:rsidR="00014566" w:rsidRPr="0082358F" w:rsidRDefault="0082358F" w:rsidP="0082358F">
      <w:pPr>
        <w:pStyle w:val="ECHRParaQuote"/>
        <w:ind w:left="0"/>
        <w:rPr>
          <w:rFonts w:ascii="Times New Roman" w:hAnsi="Times New Roman" w:cs="Times New Roman"/>
          <w:sz w:val="28"/>
          <w:szCs w:val="28"/>
          <w:lang w:val="pl-PL"/>
        </w:rPr>
      </w:pPr>
      <w:r w:rsidRPr="00947A2A">
        <w:rPr>
          <w:rFonts w:ascii="Times New Roman" w:hAnsi="Times New Roman" w:cs="Times New Roman"/>
          <w:sz w:val="28"/>
          <w:szCs w:val="28"/>
          <w:lang w:val="pl-PL"/>
        </w:rPr>
        <w:t>Z TYCH PRZYCZYN TRYBUNAŁ JEDNOMYŚLNIE</w:t>
      </w:r>
      <w:r w:rsidR="00952298" w:rsidRPr="00B32E40">
        <w:rPr>
          <w:lang w:val="pl-PL"/>
        </w:rPr>
        <w:t>,</w:t>
      </w:r>
    </w:p>
    <w:p w:rsidR="0082358F" w:rsidRPr="0082358F" w:rsidRDefault="00B637B9" w:rsidP="0082358F">
      <w:pPr>
        <w:pStyle w:val="ECHRParaQuote"/>
        <w:ind w:left="0" w:firstLine="0"/>
        <w:rPr>
          <w:sz w:val="24"/>
          <w:lang w:val="pl-PL"/>
        </w:rPr>
      </w:pPr>
      <w:r w:rsidRPr="0082358F">
        <w:rPr>
          <w:sz w:val="24"/>
          <w:lang w:val="pl-PL"/>
        </w:rPr>
        <w:t>1.  </w:t>
      </w:r>
      <w:r w:rsidR="0082358F" w:rsidRPr="0082358F">
        <w:rPr>
          <w:i/>
          <w:sz w:val="24"/>
          <w:lang w:val="pl-PL"/>
        </w:rPr>
        <w:t>Uznaje</w:t>
      </w:r>
      <w:r w:rsidR="0082358F">
        <w:rPr>
          <w:sz w:val="24"/>
          <w:lang w:val="pl-PL"/>
        </w:rPr>
        <w:t>,</w:t>
      </w:r>
      <w:r w:rsidR="0082358F" w:rsidRPr="0082358F">
        <w:rPr>
          <w:sz w:val="24"/>
          <w:lang w:val="pl-PL"/>
        </w:rPr>
        <w:t xml:space="preserve"> skarg</w:t>
      </w:r>
      <w:r w:rsidR="00392198">
        <w:rPr>
          <w:sz w:val="24"/>
          <w:lang w:val="pl-PL"/>
        </w:rPr>
        <w:t>ę</w:t>
      </w:r>
      <w:r w:rsidR="0082358F" w:rsidRPr="0082358F">
        <w:rPr>
          <w:sz w:val="24"/>
          <w:lang w:val="pl-PL"/>
        </w:rPr>
        <w:t xml:space="preserve"> za dopuszczalną;</w:t>
      </w:r>
    </w:p>
    <w:p w:rsidR="00014566" w:rsidRPr="00B32E40" w:rsidRDefault="00DA7E8A" w:rsidP="00792CFD">
      <w:pPr>
        <w:pStyle w:val="JuList"/>
        <w:keepNext/>
        <w:keepLines/>
        <w:rPr>
          <w:lang w:val="pl-PL"/>
        </w:rPr>
      </w:pPr>
      <w:r w:rsidRPr="00B32E40">
        <w:rPr>
          <w:lang w:val="pl-PL"/>
        </w:rPr>
        <w:t>2</w:t>
      </w:r>
      <w:r w:rsidR="00014566" w:rsidRPr="00B32E40">
        <w:rPr>
          <w:lang w:val="pl-PL"/>
        </w:rPr>
        <w:t>.  </w:t>
      </w:r>
      <w:r w:rsidR="00392198">
        <w:rPr>
          <w:rFonts w:ascii="Times New Roman" w:hAnsi="Times New Roman" w:cs="Times New Roman"/>
          <w:i/>
          <w:szCs w:val="24"/>
          <w:lang w:val="pl-PL"/>
        </w:rPr>
        <w:t>Stwierdza</w:t>
      </w:r>
      <w:r w:rsidR="006448A0" w:rsidRPr="00947A2A">
        <w:rPr>
          <w:rFonts w:ascii="Times New Roman" w:hAnsi="Times New Roman" w:cs="Times New Roman"/>
          <w:szCs w:val="24"/>
          <w:lang w:val="pl-PL"/>
        </w:rPr>
        <w:t>, że nie doszło do naruszenia artykułu 10 Konwencji</w:t>
      </w:r>
      <w:r w:rsidR="00A2129C" w:rsidRPr="00B32E40">
        <w:rPr>
          <w:lang w:val="pl-PL"/>
        </w:rPr>
        <w:t>.</w:t>
      </w:r>
    </w:p>
    <w:p w:rsidR="00014566" w:rsidRPr="00B32E40" w:rsidRDefault="006448A0" w:rsidP="00792CFD">
      <w:pPr>
        <w:pStyle w:val="JuParaLast"/>
        <w:rPr>
          <w:lang w:val="pl-PL"/>
        </w:rPr>
      </w:pPr>
      <w:r w:rsidRPr="00947A2A">
        <w:rPr>
          <w:rFonts w:ascii="Times New Roman" w:hAnsi="Times New Roman" w:cs="Times New Roman"/>
          <w:szCs w:val="24"/>
          <w:lang w:val="pl-PL"/>
        </w:rPr>
        <w:t>Sporządzono w języku angielskim i obwieszczono na piśmie w dniu 17 stycznia 2017 roku, zgodnie z Regułą 77 §§ 2 i 3 Regulaminu Trybunału.</w:t>
      </w:r>
    </w:p>
    <w:p w:rsidR="004D15F3" w:rsidRPr="00B32E40" w:rsidRDefault="00014566" w:rsidP="00792CFD">
      <w:pPr>
        <w:pStyle w:val="JuSigned"/>
        <w:rPr>
          <w:lang w:val="pl-PL"/>
        </w:rPr>
      </w:pPr>
      <w:r w:rsidRPr="00B32E40">
        <w:rPr>
          <w:lang w:val="pl-PL"/>
        </w:rPr>
        <w:tab/>
      </w:r>
      <w:r w:rsidR="00952298" w:rsidRPr="00B32E40">
        <w:rPr>
          <w:lang w:val="pl-PL"/>
        </w:rPr>
        <w:t>Marialena Tsirli</w:t>
      </w:r>
      <w:r w:rsidRPr="00B32E40">
        <w:rPr>
          <w:lang w:val="pl-PL"/>
        </w:rPr>
        <w:tab/>
      </w:r>
      <w:r w:rsidR="00952298" w:rsidRPr="00B32E40">
        <w:rPr>
          <w:szCs w:val="24"/>
          <w:lang w:val="pl-PL"/>
        </w:rPr>
        <w:t>András Sajó</w:t>
      </w:r>
      <w:r w:rsidR="00E1557C" w:rsidRPr="00B32E40">
        <w:rPr>
          <w:szCs w:val="24"/>
          <w:lang w:val="pl-PL"/>
        </w:rPr>
        <w:br/>
      </w:r>
      <w:r w:rsidRPr="00B32E40">
        <w:rPr>
          <w:lang w:val="pl-PL"/>
        </w:rPr>
        <w:tab/>
      </w:r>
      <w:r w:rsidR="006448A0" w:rsidRPr="00947A2A">
        <w:rPr>
          <w:rFonts w:ascii="Times New Roman" w:hAnsi="Times New Roman" w:cs="Times New Roman"/>
          <w:szCs w:val="24"/>
          <w:lang w:val="pl-PL"/>
        </w:rPr>
        <w:t>Kanclerz</w:t>
      </w:r>
      <w:r w:rsidRPr="00B32E40">
        <w:rPr>
          <w:lang w:val="pl-PL"/>
        </w:rPr>
        <w:tab/>
      </w:r>
      <w:r w:rsidR="006448A0">
        <w:rPr>
          <w:lang w:val="pl-PL"/>
        </w:rPr>
        <w:t>Przewodniczący</w:t>
      </w:r>
    </w:p>
    <w:p w:rsidR="006448A0" w:rsidRPr="00E03278" w:rsidRDefault="006448A0" w:rsidP="006448A0">
      <w:pPr>
        <w:pStyle w:val="JuParaLast"/>
        <w:rPr>
          <w:lang w:val="pl-PL"/>
        </w:rPr>
      </w:pPr>
      <w:r w:rsidRPr="00E03278">
        <w:rPr>
          <w:lang w:val="pl-PL"/>
        </w:rPr>
        <w:t>Zgodnie z Artykułem 45 § 2 Konwencji i Regułą 74 §</w:t>
      </w:r>
      <w:r>
        <w:rPr>
          <w:lang w:val="pl-PL"/>
        </w:rPr>
        <w:t xml:space="preserve"> 2</w:t>
      </w:r>
      <w:r w:rsidRPr="00E03278">
        <w:rPr>
          <w:lang w:val="pl-PL"/>
        </w:rPr>
        <w:t xml:space="preserve"> Regulaminu Trybunału, oddzielna opinia sędziego Kūrisa stanowi załączenie do wyroku.</w:t>
      </w:r>
    </w:p>
    <w:p w:rsidR="006448A0" w:rsidRPr="006448A0" w:rsidRDefault="006448A0" w:rsidP="006448A0">
      <w:pPr>
        <w:pStyle w:val="ECHRPara"/>
        <w:rPr>
          <w:lang w:val="pl-PL"/>
        </w:rPr>
      </w:pPr>
    </w:p>
    <w:p w:rsidR="00EE0C3D" w:rsidRPr="00B32E40" w:rsidRDefault="00EE0C3D" w:rsidP="00792CFD">
      <w:pPr>
        <w:pStyle w:val="JuInitialled"/>
        <w:rPr>
          <w:lang w:val="pl-PL"/>
        </w:rPr>
      </w:pPr>
      <w:r w:rsidRPr="00B32E40">
        <w:rPr>
          <w:lang w:val="pl-PL"/>
        </w:rPr>
        <w:t>A.S.</w:t>
      </w:r>
      <w:r w:rsidRPr="00B32E40">
        <w:rPr>
          <w:lang w:val="pl-PL"/>
        </w:rPr>
        <w:br/>
        <w:t>M.T.</w:t>
      </w:r>
    </w:p>
    <w:p w:rsidR="00792CFD" w:rsidRPr="00B32E40" w:rsidRDefault="00792CFD" w:rsidP="00792CFD">
      <w:pPr>
        <w:pStyle w:val="JuInitialled"/>
        <w:rPr>
          <w:lang w:val="pl-PL"/>
        </w:rPr>
      </w:pPr>
    </w:p>
    <w:p w:rsidR="00372E8D" w:rsidRPr="00B32E40" w:rsidRDefault="00372E8D" w:rsidP="00792CFD">
      <w:pPr>
        <w:pStyle w:val="JuParaLast"/>
        <w:rPr>
          <w:lang w:val="pl-PL"/>
        </w:rPr>
        <w:sectPr w:rsidR="00372E8D" w:rsidRPr="00B32E40" w:rsidSect="00967916">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B21626" w:rsidRDefault="00B21626" w:rsidP="00792CFD">
      <w:pPr>
        <w:pStyle w:val="ECHRPara"/>
        <w:ind w:firstLine="0"/>
        <w:rPr>
          <w:lang w:val="pl-PL"/>
        </w:rPr>
      </w:pPr>
    </w:p>
    <w:p w:rsidR="006448A0" w:rsidRPr="006448A0" w:rsidRDefault="006448A0" w:rsidP="006448A0">
      <w:pPr>
        <w:pStyle w:val="ECHRTitleCentre1"/>
        <w:rPr>
          <w:lang w:val="pl-PL"/>
        </w:rPr>
      </w:pPr>
      <w:r>
        <w:rPr>
          <w:lang w:val="pl-PL"/>
        </w:rPr>
        <w:t>ODDZIELNE STANOWISKO</w:t>
      </w:r>
      <w:r w:rsidRPr="006448A0">
        <w:rPr>
          <w:lang w:val="pl-PL"/>
        </w:rPr>
        <w:t xml:space="preserve"> SĘDZIEGO KURISA</w:t>
      </w:r>
    </w:p>
    <w:p w:rsidR="006448A0" w:rsidRPr="00947A2A" w:rsidRDefault="006448A0" w:rsidP="006448A0">
      <w:pPr>
        <w:pStyle w:val="ECHRParaQuote"/>
        <w:ind w:left="0"/>
        <w:rPr>
          <w:rFonts w:ascii="Times New Roman" w:hAnsi="Times New Roman" w:cs="Times New Roman"/>
          <w:sz w:val="24"/>
          <w:szCs w:val="24"/>
          <w:lang w:val="pl-PL"/>
        </w:rPr>
      </w:pPr>
      <w:r w:rsidRPr="00947A2A">
        <w:rPr>
          <w:rFonts w:ascii="Times New Roman" w:hAnsi="Times New Roman" w:cs="Times New Roman"/>
          <w:sz w:val="24"/>
          <w:szCs w:val="24"/>
          <w:lang w:val="pl-PL"/>
        </w:rPr>
        <w:t xml:space="preserve">Wyraziłem pogląd co do celowości łączenia niniejszej sprawy z  </w:t>
      </w:r>
      <w:r w:rsidRPr="00947A2A">
        <w:rPr>
          <w:rFonts w:ascii="Times New Roman" w:hAnsi="Times New Roman" w:cs="Times New Roman"/>
          <w:i/>
          <w:sz w:val="24"/>
          <w:szCs w:val="24"/>
          <w:lang w:val="pl-PL"/>
        </w:rPr>
        <w:t>Zybertowicz przeciwko Polsce</w:t>
      </w:r>
      <w:r>
        <w:rPr>
          <w:rFonts w:ascii="Times New Roman" w:hAnsi="Times New Roman" w:cs="Times New Roman"/>
          <w:sz w:val="24"/>
          <w:szCs w:val="24"/>
          <w:lang w:val="pl-PL"/>
        </w:rPr>
        <w:t xml:space="preserve"> (nr</w:t>
      </w:r>
      <w:r w:rsidRPr="00947A2A">
        <w:rPr>
          <w:rFonts w:ascii="Times New Roman" w:hAnsi="Times New Roman" w:cs="Times New Roman"/>
          <w:sz w:val="24"/>
          <w:szCs w:val="24"/>
          <w:lang w:val="pl-PL"/>
        </w:rPr>
        <w:t xml:space="preserve"> 59138/10, 17 stycznia 2017), </w:t>
      </w:r>
      <w:r>
        <w:rPr>
          <w:rFonts w:ascii="Times New Roman" w:hAnsi="Times New Roman" w:cs="Times New Roman"/>
          <w:sz w:val="24"/>
          <w:szCs w:val="24"/>
          <w:lang w:val="pl-PL"/>
        </w:rPr>
        <w:t>w</w:t>
      </w:r>
      <w:r w:rsidRPr="00947A2A">
        <w:rPr>
          <w:rFonts w:ascii="Times New Roman" w:hAnsi="Times New Roman" w:cs="Times New Roman"/>
          <w:sz w:val="24"/>
          <w:szCs w:val="24"/>
          <w:lang w:val="pl-PL"/>
        </w:rPr>
        <w:t xml:space="preserve"> opinii załączonej do niniejszego wyroku</w:t>
      </w:r>
    </w:p>
    <w:p w:rsidR="006448A0" w:rsidRPr="00B32E40" w:rsidRDefault="006448A0" w:rsidP="00792CFD">
      <w:pPr>
        <w:pStyle w:val="ECHRPara"/>
        <w:ind w:firstLine="0"/>
        <w:rPr>
          <w:lang w:val="pl-PL"/>
        </w:rPr>
      </w:pPr>
    </w:p>
    <w:sectPr w:rsidR="006448A0" w:rsidRPr="00B32E40" w:rsidSect="00372E8D">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AC5" w:rsidRPr="003A441D" w:rsidRDefault="00285AC5" w:rsidP="00014566">
      <w:r w:rsidRPr="003A441D">
        <w:separator/>
      </w:r>
    </w:p>
  </w:endnote>
  <w:endnote w:type="continuationSeparator" w:id="0">
    <w:p w:rsidR="00285AC5" w:rsidRPr="003A441D" w:rsidRDefault="00285AC5" w:rsidP="00014566">
      <w:r w:rsidRPr="003A44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916" w:rsidRPr="00150BFA" w:rsidRDefault="00967916" w:rsidP="0020718E">
    <w:pPr>
      <w:jc w:val="center"/>
    </w:pPr>
    <w:r>
      <w:rPr>
        <w:noProof/>
        <w:lang w:val="pl-PL" w:eastAsia="pl-PL"/>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67916" w:rsidRDefault="009679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AC5" w:rsidRPr="003A441D" w:rsidRDefault="00285AC5" w:rsidP="00014566">
      <w:r w:rsidRPr="003A441D">
        <w:separator/>
      </w:r>
    </w:p>
  </w:footnote>
  <w:footnote w:type="continuationSeparator" w:id="0">
    <w:p w:rsidR="00285AC5" w:rsidRPr="003A441D" w:rsidRDefault="00285AC5" w:rsidP="00014566">
      <w:r w:rsidRPr="003A441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1D" w:rsidRPr="00967916" w:rsidRDefault="0026121D" w:rsidP="0096791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916" w:rsidRPr="00A45145" w:rsidRDefault="00967916" w:rsidP="00A45145">
    <w:pPr>
      <w:jc w:val="center"/>
    </w:pPr>
    <w:r>
      <w:rPr>
        <w:noProof/>
        <w:lang w:val="pl-PL" w:eastAsia="pl-PL"/>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67916" w:rsidRDefault="0096791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916" w:rsidRPr="003A441D" w:rsidRDefault="0057069D" w:rsidP="00691214">
    <w:pPr>
      <w:pStyle w:val="ECHRHeader"/>
    </w:pPr>
    <w:r>
      <w:rPr>
        <w:rStyle w:val="Numerstrony"/>
        <w:szCs w:val="18"/>
      </w:rPr>
      <w:fldChar w:fldCharType="begin"/>
    </w:r>
    <w:r w:rsidR="00967916">
      <w:rPr>
        <w:rStyle w:val="Numerstrony"/>
        <w:szCs w:val="18"/>
      </w:rPr>
      <w:instrText xml:space="preserve"> PAGE </w:instrText>
    </w:r>
    <w:r>
      <w:rPr>
        <w:rStyle w:val="Numerstrony"/>
        <w:szCs w:val="18"/>
      </w:rPr>
      <w:fldChar w:fldCharType="separate"/>
    </w:r>
    <w:r w:rsidR="007719F5">
      <w:rPr>
        <w:rStyle w:val="Numerstrony"/>
        <w:noProof/>
        <w:szCs w:val="18"/>
      </w:rPr>
      <w:t>10</w:t>
    </w:r>
    <w:r>
      <w:rPr>
        <w:rStyle w:val="Numerstrony"/>
        <w:szCs w:val="18"/>
      </w:rPr>
      <w:fldChar w:fldCharType="end"/>
    </w:r>
    <w:r w:rsidR="00967916" w:rsidRPr="003A441D">
      <w:tab/>
    </w:r>
    <w:r w:rsidR="006448A0">
      <w:rPr>
        <w:bCs/>
      </w:rPr>
      <w:t xml:space="preserve">ZYBERTOWICZ przeciwko POLSCE (Nr </w:t>
    </w:r>
    <w:r w:rsidR="00967916" w:rsidRPr="00691214">
      <w:rPr>
        <w:bCs/>
      </w:rPr>
      <w:t xml:space="preserve"> 2)</w:t>
    </w:r>
    <w:r w:rsidR="00967916" w:rsidRPr="003A441D">
      <w:t xml:space="preserve"> </w:t>
    </w:r>
    <w:r w:rsidR="006448A0">
      <w:t>WYROK</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916" w:rsidRPr="003A441D" w:rsidRDefault="00967916" w:rsidP="00691214">
    <w:pPr>
      <w:pStyle w:val="ECHRHeader"/>
    </w:pPr>
    <w:r w:rsidRPr="003A441D">
      <w:tab/>
    </w:r>
    <w:r w:rsidR="006448A0">
      <w:rPr>
        <w:bCs/>
      </w:rPr>
      <w:t>ZYBERTOWICZ przeciwko POLSCE (Nr</w:t>
    </w:r>
    <w:r w:rsidRPr="00691214">
      <w:rPr>
        <w:bCs/>
      </w:rPr>
      <w:t xml:space="preserve"> 2)</w:t>
    </w:r>
    <w:r w:rsidRPr="003A441D">
      <w:t xml:space="preserve"> </w:t>
    </w:r>
    <w:r w:rsidR="006448A0">
      <w:t>WYROK</w:t>
    </w:r>
    <w:r w:rsidRPr="003A441D">
      <w:tab/>
    </w:r>
    <w:r w:rsidR="0057069D">
      <w:rPr>
        <w:rStyle w:val="Numerstrony"/>
        <w:szCs w:val="18"/>
      </w:rPr>
      <w:fldChar w:fldCharType="begin"/>
    </w:r>
    <w:r>
      <w:rPr>
        <w:rStyle w:val="Numerstrony"/>
        <w:szCs w:val="18"/>
      </w:rPr>
      <w:instrText xml:space="preserve"> PAGE </w:instrText>
    </w:r>
    <w:r w:rsidR="0057069D">
      <w:rPr>
        <w:rStyle w:val="Numerstrony"/>
        <w:szCs w:val="18"/>
      </w:rPr>
      <w:fldChar w:fldCharType="separate"/>
    </w:r>
    <w:r w:rsidR="007719F5">
      <w:rPr>
        <w:rStyle w:val="Numerstrony"/>
        <w:noProof/>
        <w:szCs w:val="18"/>
      </w:rPr>
      <w:t>9</w:t>
    </w:r>
    <w:r w:rsidR="0057069D">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E8D" w:rsidRPr="003A441D" w:rsidRDefault="0057069D" w:rsidP="00372E8D">
    <w:pPr>
      <w:pStyle w:val="ECHRHeader"/>
      <w:tabs>
        <w:tab w:val="clear" w:pos="3686"/>
        <w:tab w:val="clear" w:pos="7371"/>
        <w:tab w:val="center" w:pos="3685"/>
      </w:tabs>
    </w:pPr>
    <w:r>
      <w:rPr>
        <w:rStyle w:val="Numerstrony"/>
        <w:szCs w:val="18"/>
      </w:rPr>
      <w:fldChar w:fldCharType="begin"/>
    </w:r>
    <w:r w:rsidR="00372E8D">
      <w:rPr>
        <w:rStyle w:val="Numerstrony"/>
        <w:szCs w:val="18"/>
      </w:rPr>
      <w:instrText xml:space="preserve"> PAGE </w:instrText>
    </w:r>
    <w:r>
      <w:rPr>
        <w:rStyle w:val="Numerstrony"/>
        <w:szCs w:val="18"/>
      </w:rPr>
      <w:fldChar w:fldCharType="separate"/>
    </w:r>
    <w:r w:rsidR="00CC2A6D">
      <w:rPr>
        <w:rStyle w:val="Numerstrony"/>
        <w:noProof/>
        <w:szCs w:val="18"/>
      </w:rPr>
      <w:t>12</w:t>
    </w:r>
    <w:r>
      <w:rPr>
        <w:rStyle w:val="Numerstrony"/>
        <w:szCs w:val="18"/>
      </w:rPr>
      <w:fldChar w:fldCharType="end"/>
    </w:r>
    <w:r w:rsidR="00372E8D" w:rsidRPr="003A441D">
      <w:tab/>
    </w:r>
    <w:r w:rsidR="00372E8D" w:rsidRPr="00691214">
      <w:rPr>
        <w:bCs/>
      </w:rPr>
      <w:t>ZYBERTOWICZ v. POLAND (No. 2)</w:t>
    </w:r>
    <w:r w:rsidR="00372E8D" w:rsidRPr="003A441D">
      <w:t xml:space="preserve"> </w:t>
    </w:r>
    <w:r w:rsidR="00372E8D">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E8D" w:rsidRPr="00392198" w:rsidRDefault="00372E8D" w:rsidP="00372E8D">
    <w:pPr>
      <w:pStyle w:val="ECHRHeader"/>
      <w:tabs>
        <w:tab w:val="clear" w:pos="3686"/>
        <w:tab w:val="clear" w:pos="7371"/>
        <w:tab w:val="center" w:pos="3685"/>
        <w:tab w:val="right" w:pos="7370"/>
      </w:tabs>
      <w:rPr>
        <w:lang w:val="pl-PL"/>
      </w:rPr>
    </w:pPr>
    <w:r w:rsidRPr="003A441D">
      <w:tab/>
    </w:r>
    <w:r w:rsidR="0057069D" w:rsidRPr="0057069D">
      <w:rPr>
        <w:bCs/>
        <w:lang w:val="pl-PL"/>
      </w:rPr>
      <w:t>ZYBERTOWICZ przeciwko POLSCE (Nr 2)</w:t>
    </w:r>
    <w:r w:rsidR="0057069D" w:rsidRPr="0057069D">
      <w:rPr>
        <w:lang w:val="pl-PL"/>
      </w:rPr>
      <w:t xml:space="preserve"> WYROK – ODDZIELNE STANOWISKO</w:t>
    </w:r>
    <w:r w:rsidR="0057069D" w:rsidRPr="0057069D">
      <w:rPr>
        <w:lang w:val="pl-PL"/>
      </w:rPr>
      <w:tab/>
    </w:r>
    <w:r w:rsidR="0057069D">
      <w:rPr>
        <w:rStyle w:val="Numerstrony"/>
        <w:szCs w:val="18"/>
      </w:rPr>
      <w:fldChar w:fldCharType="begin"/>
    </w:r>
    <w:r w:rsidR="0057069D" w:rsidRPr="0057069D">
      <w:rPr>
        <w:rStyle w:val="Numerstrony"/>
        <w:szCs w:val="18"/>
        <w:lang w:val="pl-PL"/>
      </w:rPr>
      <w:instrText xml:space="preserve"> PAGE </w:instrText>
    </w:r>
    <w:r w:rsidR="0057069D">
      <w:rPr>
        <w:rStyle w:val="Numerstrony"/>
        <w:szCs w:val="18"/>
      </w:rPr>
      <w:fldChar w:fldCharType="separate"/>
    </w:r>
    <w:r w:rsidR="007719F5">
      <w:rPr>
        <w:rStyle w:val="Numerstrony"/>
        <w:noProof/>
        <w:szCs w:val="18"/>
        <w:lang w:val="pl-PL"/>
      </w:rPr>
      <w:t>11</w:t>
    </w:r>
    <w:r w:rsidR="0057069D">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49E62BF"/>
    <w:multiLevelType w:val="hybridMultilevel"/>
    <w:tmpl w:val="3DF08E46"/>
    <w:lvl w:ilvl="0" w:tplc="A2CE431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2A57DCA"/>
    <w:multiLevelType w:val="hybridMultilevel"/>
    <w:tmpl w:val="8C120D12"/>
    <w:lvl w:ilvl="0" w:tplc="FAEA87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1"/>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4"/>
  </w:num>
  <w:num w:numId="18">
    <w:abstractNumId w:val="14"/>
  </w:num>
  <w:num w:numId="19">
    <w:abstractNumId w:val="10"/>
  </w:num>
  <w:num w:numId="20">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52298"/>
    <w:rsid w:val="000010ED"/>
    <w:rsid w:val="000041F8"/>
    <w:rsid w:val="000042A8"/>
    <w:rsid w:val="00004308"/>
    <w:rsid w:val="00005BF0"/>
    <w:rsid w:val="00007154"/>
    <w:rsid w:val="000103AE"/>
    <w:rsid w:val="00011D69"/>
    <w:rsid w:val="00012AD3"/>
    <w:rsid w:val="00014566"/>
    <w:rsid w:val="00015C2D"/>
    <w:rsid w:val="00015F00"/>
    <w:rsid w:val="00022C1D"/>
    <w:rsid w:val="00023B7E"/>
    <w:rsid w:val="00025740"/>
    <w:rsid w:val="00034987"/>
    <w:rsid w:val="000350E3"/>
    <w:rsid w:val="00044BDD"/>
    <w:rsid w:val="000455A2"/>
    <w:rsid w:val="00057CC0"/>
    <w:rsid w:val="000602DF"/>
    <w:rsid w:val="00061B05"/>
    <w:rsid w:val="00062387"/>
    <w:rsid w:val="00062973"/>
    <w:rsid w:val="00062D5D"/>
    <w:rsid w:val="000632D5"/>
    <w:rsid w:val="000644EE"/>
    <w:rsid w:val="00064F48"/>
    <w:rsid w:val="00071ABC"/>
    <w:rsid w:val="0007542B"/>
    <w:rsid w:val="00076BFE"/>
    <w:rsid w:val="000856D7"/>
    <w:rsid w:val="000925AD"/>
    <w:rsid w:val="000A24EB"/>
    <w:rsid w:val="000A4494"/>
    <w:rsid w:val="000B6923"/>
    <w:rsid w:val="000C033C"/>
    <w:rsid w:val="000C5F3C"/>
    <w:rsid w:val="000C61CC"/>
    <w:rsid w:val="000C6DCC"/>
    <w:rsid w:val="000D42C9"/>
    <w:rsid w:val="000D47AA"/>
    <w:rsid w:val="000D721F"/>
    <w:rsid w:val="000E069B"/>
    <w:rsid w:val="000E0E82"/>
    <w:rsid w:val="000E1605"/>
    <w:rsid w:val="000E1DC5"/>
    <w:rsid w:val="000E223F"/>
    <w:rsid w:val="000E28DB"/>
    <w:rsid w:val="000E35AC"/>
    <w:rsid w:val="000E4AE0"/>
    <w:rsid w:val="000E7D45"/>
    <w:rsid w:val="000F2358"/>
    <w:rsid w:val="000F7851"/>
    <w:rsid w:val="00104E23"/>
    <w:rsid w:val="00111B0C"/>
    <w:rsid w:val="00120D6C"/>
    <w:rsid w:val="001257EC"/>
    <w:rsid w:val="00125A52"/>
    <w:rsid w:val="00132C6A"/>
    <w:rsid w:val="0013366C"/>
    <w:rsid w:val="00133D33"/>
    <w:rsid w:val="00134D64"/>
    <w:rsid w:val="00135A30"/>
    <w:rsid w:val="0013612C"/>
    <w:rsid w:val="00137FF6"/>
    <w:rsid w:val="00141650"/>
    <w:rsid w:val="0015114E"/>
    <w:rsid w:val="001614F8"/>
    <w:rsid w:val="00162A12"/>
    <w:rsid w:val="00166530"/>
    <w:rsid w:val="001832BD"/>
    <w:rsid w:val="001861CD"/>
    <w:rsid w:val="001943B5"/>
    <w:rsid w:val="00195134"/>
    <w:rsid w:val="001A145B"/>
    <w:rsid w:val="001A674C"/>
    <w:rsid w:val="001B3B24"/>
    <w:rsid w:val="001C0F98"/>
    <w:rsid w:val="001C2A42"/>
    <w:rsid w:val="001D4F0B"/>
    <w:rsid w:val="001D63ED"/>
    <w:rsid w:val="001D7348"/>
    <w:rsid w:val="001E035B"/>
    <w:rsid w:val="001E0961"/>
    <w:rsid w:val="001E3EAE"/>
    <w:rsid w:val="001E5348"/>
    <w:rsid w:val="001E6F32"/>
    <w:rsid w:val="001F2145"/>
    <w:rsid w:val="001F2E53"/>
    <w:rsid w:val="001F6262"/>
    <w:rsid w:val="001F67B0"/>
    <w:rsid w:val="001F7B3D"/>
    <w:rsid w:val="00205F9F"/>
    <w:rsid w:val="00210338"/>
    <w:rsid w:val="00211597"/>
    <w:rsid w:val="002115FC"/>
    <w:rsid w:val="00212F4D"/>
    <w:rsid w:val="002133F8"/>
    <w:rsid w:val="0021423C"/>
    <w:rsid w:val="00230799"/>
    <w:rsid w:val="00230D00"/>
    <w:rsid w:val="00231DF7"/>
    <w:rsid w:val="00231FD1"/>
    <w:rsid w:val="002339E0"/>
    <w:rsid w:val="00233CF8"/>
    <w:rsid w:val="0023575D"/>
    <w:rsid w:val="00237148"/>
    <w:rsid w:val="00241DAB"/>
    <w:rsid w:val="0024222D"/>
    <w:rsid w:val="00243F7D"/>
    <w:rsid w:val="00244B0E"/>
    <w:rsid w:val="00244F6C"/>
    <w:rsid w:val="002532C5"/>
    <w:rsid w:val="002533B4"/>
    <w:rsid w:val="0025369E"/>
    <w:rsid w:val="00260C03"/>
    <w:rsid w:val="0026121D"/>
    <w:rsid w:val="0026540E"/>
    <w:rsid w:val="0027225C"/>
    <w:rsid w:val="00275123"/>
    <w:rsid w:val="002770FF"/>
    <w:rsid w:val="00282240"/>
    <w:rsid w:val="0028566D"/>
    <w:rsid w:val="0028572A"/>
    <w:rsid w:val="00285AC5"/>
    <w:rsid w:val="002948AD"/>
    <w:rsid w:val="00294C05"/>
    <w:rsid w:val="00294C92"/>
    <w:rsid w:val="002A01CC"/>
    <w:rsid w:val="002A61B1"/>
    <w:rsid w:val="002A663C"/>
    <w:rsid w:val="002B1E6C"/>
    <w:rsid w:val="002B444B"/>
    <w:rsid w:val="002B5887"/>
    <w:rsid w:val="002C0692"/>
    <w:rsid w:val="002C0E27"/>
    <w:rsid w:val="002C3040"/>
    <w:rsid w:val="002D022D"/>
    <w:rsid w:val="002D24BB"/>
    <w:rsid w:val="002D5FB8"/>
    <w:rsid w:val="002D73E1"/>
    <w:rsid w:val="002F2AF7"/>
    <w:rsid w:val="002F7E1C"/>
    <w:rsid w:val="00301A75"/>
    <w:rsid w:val="00302F70"/>
    <w:rsid w:val="0030336F"/>
    <w:rsid w:val="0030375E"/>
    <w:rsid w:val="00312A30"/>
    <w:rsid w:val="00320F72"/>
    <w:rsid w:val="0032463E"/>
    <w:rsid w:val="00326224"/>
    <w:rsid w:val="0032676F"/>
    <w:rsid w:val="00336AF6"/>
    <w:rsid w:val="00337EE4"/>
    <w:rsid w:val="00340FFD"/>
    <w:rsid w:val="003506B1"/>
    <w:rsid w:val="00356AC7"/>
    <w:rsid w:val="003609FA"/>
    <w:rsid w:val="003705FE"/>
    <w:rsid w:val="003710C8"/>
    <w:rsid w:val="00372E8D"/>
    <w:rsid w:val="003750BE"/>
    <w:rsid w:val="00387B9D"/>
    <w:rsid w:val="00392198"/>
    <w:rsid w:val="0039364F"/>
    <w:rsid w:val="00393F9B"/>
    <w:rsid w:val="00396686"/>
    <w:rsid w:val="0039778E"/>
    <w:rsid w:val="003A222E"/>
    <w:rsid w:val="003A3CA2"/>
    <w:rsid w:val="003A441D"/>
    <w:rsid w:val="003B48B6"/>
    <w:rsid w:val="003B4941"/>
    <w:rsid w:val="003C2BEB"/>
    <w:rsid w:val="003C5714"/>
    <w:rsid w:val="003C6B9F"/>
    <w:rsid w:val="003C6E2A"/>
    <w:rsid w:val="003D0299"/>
    <w:rsid w:val="003D30DC"/>
    <w:rsid w:val="003E25DF"/>
    <w:rsid w:val="003E6D80"/>
    <w:rsid w:val="003E6D92"/>
    <w:rsid w:val="003F05FA"/>
    <w:rsid w:val="003F244A"/>
    <w:rsid w:val="003F30B8"/>
    <w:rsid w:val="003F4C45"/>
    <w:rsid w:val="003F5F7B"/>
    <w:rsid w:val="003F7D64"/>
    <w:rsid w:val="00414300"/>
    <w:rsid w:val="00420B39"/>
    <w:rsid w:val="00425C67"/>
    <w:rsid w:val="00426FD4"/>
    <w:rsid w:val="00427E7A"/>
    <w:rsid w:val="00436307"/>
    <w:rsid w:val="00436C49"/>
    <w:rsid w:val="00445366"/>
    <w:rsid w:val="00447F5B"/>
    <w:rsid w:val="00461DB0"/>
    <w:rsid w:val="00463926"/>
    <w:rsid w:val="004646E0"/>
    <w:rsid w:val="00464C9A"/>
    <w:rsid w:val="0046563C"/>
    <w:rsid w:val="00474F3D"/>
    <w:rsid w:val="004767C6"/>
    <w:rsid w:val="00477E3A"/>
    <w:rsid w:val="00480FE9"/>
    <w:rsid w:val="00483E5F"/>
    <w:rsid w:val="00485FF9"/>
    <w:rsid w:val="00486876"/>
    <w:rsid w:val="0048792E"/>
    <w:rsid w:val="004907F0"/>
    <w:rsid w:val="0049140B"/>
    <w:rsid w:val="004923A5"/>
    <w:rsid w:val="0049298F"/>
    <w:rsid w:val="0049450E"/>
    <w:rsid w:val="00496BFB"/>
    <w:rsid w:val="004A15C7"/>
    <w:rsid w:val="004A3997"/>
    <w:rsid w:val="004B013B"/>
    <w:rsid w:val="004B112B"/>
    <w:rsid w:val="004B2920"/>
    <w:rsid w:val="004B3F7C"/>
    <w:rsid w:val="004C01E4"/>
    <w:rsid w:val="004C086C"/>
    <w:rsid w:val="004C1F56"/>
    <w:rsid w:val="004C27BC"/>
    <w:rsid w:val="004D0014"/>
    <w:rsid w:val="004D1004"/>
    <w:rsid w:val="004D15F3"/>
    <w:rsid w:val="004D4FB0"/>
    <w:rsid w:val="004D5311"/>
    <w:rsid w:val="004D5DCC"/>
    <w:rsid w:val="004E425B"/>
    <w:rsid w:val="004F10AF"/>
    <w:rsid w:val="004F11A4"/>
    <w:rsid w:val="004F2389"/>
    <w:rsid w:val="004F304D"/>
    <w:rsid w:val="004F61BE"/>
    <w:rsid w:val="004F66B1"/>
    <w:rsid w:val="004F7BDF"/>
    <w:rsid w:val="00511C07"/>
    <w:rsid w:val="005153FB"/>
    <w:rsid w:val="005173A6"/>
    <w:rsid w:val="005208DF"/>
    <w:rsid w:val="00520BAA"/>
    <w:rsid w:val="00525208"/>
    <w:rsid w:val="005257A5"/>
    <w:rsid w:val="005264C0"/>
    <w:rsid w:val="00526A8A"/>
    <w:rsid w:val="00531DF2"/>
    <w:rsid w:val="005362B2"/>
    <w:rsid w:val="005439F3"/>
    <w:rsid w:val="005442EE"/>
    <w:rsid w:val="00547353"/>
    <w:rsid w:val="005474E7"/>
    <w:rsid w:val="005512A3"/>
    <w:rsid w:val="005576BD"/>
    <w:rsid w:val="005578CE"/>
    <w:rsid w:val="00562781"/>
    <w:rsid w:val="00563E83"/>
    <w:rsid w:val="0057069D"/>
    <w:rsid w:val="0057271C"/>
    <w:rsid w:val="00572845"/>
    <w:rsid w:val="00592772"/>
    <w:rsid w:val="0059574A"/>
    <w:rsid w:val="005A1B9B"/>
    <w:rsid w:val="005A6751"/>
    <w:rsid w:val="005B092E"/>
    <w:rsid w:val="005B152C"/>
    <w:rsid w:val="005B1EE0"/>
    <w:rsid w:val="005B2B24"/>
    <w:rsid w:val="005B4425"/>
    <w:rsid w:val="005B4B94"/>
    <w:rsid w:val="005C3EE8"/>
    <w:rsid w:val="005C6DD9"/>
    <w:rsid w:val="005D34F9"/>
    <w:rsid w:val="005D403C"/>
    <w:rsid w:val="005D4190"/>
    <w:rsid w:val="005D67A3"/>
    <w:rsid w:val="005E2988"/>
    <w:rsid w:val="005E2A43"/>
    <w:rsid w:val="005E3085"/>
    <w:rsid w:val="005E438A"/>
    <w:rsid w:val="005F03A5"/>
    <w:rsid w:val="005F31B9"/>
    <w:rsid w:val="005F51E1"/>
    <w:rsid w:val="005F5867"/>
    <w:rsid w:val="005F72FF"/>
    <w:rsid w:val="006070F2"/>
    <w:rsid w:val="00610889"/>
    <w:rsid w:val="00611C80"/>
    <w:rsid w:val="00614553"/>
    <w:rsid w:val="00620692"/>
    <w:rsid w:val="006242CA"/>
    <w:rsid w:val="00627507"/>
    <w:rsid w:val="00633717"/>
    <w:rsid w:val="006344E1"/>
    <w:rsid w:val="006448A0"/>
    <w:rsid w:val="006545C4"/>
    <w:rsid w:val="00661971"/>
    <w:rsid w:val="00661CE8"/>
    <w:rsid w:val="006623D9"/>
    <w:rsid w:val="0066550C"/>
    <w:rsid w:val="00667A7B"/>
    <w:rsid w:val="006716F2"/>
    <w:rsid w:val="0067525A"/>
    <w:rsid w:val="00682BF2"/>
    <w:rsid w:val="00683267"/>
    <w:rsid w:val="00684A70"/>
    <w:rsid w:val="006859CE"/>
    <w:rsid w:val="00691214"/>
    <w:rsid w:val="00691270"/>
    <w:rsid w:val="00694BA8"/>
    <w:rsid w:val="00695D2C"/>
    <w:rsid w:val="006A037C"/>
    <w:rsid w:val="006A36F4"/>
    <w:rsid w:val="006A406F"/>
    <w:rsid w:val="006A5D3A"/>
    <w:rsid w:val="006C23D4"/>
    <w:rsid w:val="006C2AD4"/>
    <w:rsid w:val="006C7BB0"/>
    <w:rsid w:val="006C7E8F"/>
    <w:rsid w:val="006D1436"/>
    <w:rsid w:val="006D3237"/>
    <w:rsid w:val="006D339E"/>
    <w:rsid w:val="006E2E37"/>
    <w:rsid w:val="006E3CF1"/>
    <w:rsid w:val="006E7E80"/>
    <w:rsid w:val="006F1DF9"/>
    <w:rsid w:val="006F24DB"/>
    <w:rsid w:val="006F48CA"/>
    <w:rsid w:val="006F52F4"/>
    <w:rsid w:val="006F64DD"/>
    <w:rsid w:val="007038D7"/>
    <w:rsid w:val="00715127"/>
    <w:rsid w:val="00715E8E"/>
    <w:rsid w:val="00717353"/>
    <w:rsid w:val="00723580"/>
    <w:rsid w:val="00723755"/>
    <w:rsid w:val="00724F33"/>
    <w:rsid w:val="00725C2A"/>
    <w:rsid w:val="00727123"/>
    <w:rsid w:val="00730109"/>
    <w:rsid w:val="0073136C"/>
    <w:rsid w:val="00731F0F"/>
    <w:rsid w:val="00733250"/>
    <w:rsid w:val="007343B0"/>
    <w:rsid w:val="007350D5"/>
    <w:rsid w:val="00736C81"/>
    <w:rsid w:val="00741404"/>
    <w:rsid w:val="007449E5"/>
    <w:rsid w:val="00746C5A"/>
    <w:rsid w:val="00747FF0"/>
    <w:rsid w:val="00761407"/>
    <w:rsid w:val="00764D4E"/>
    <w:rsid w:val="00765A1F"/>
    <w:rsid w:val="00771472"/>
    <w:rsid w:val="0077164F"/>
    <w:rsid w:val="007719F5"/>
    <w:rsid w:val="00775B6D"/>
    <w:rsid w:val="00776D68"/>
    <w:rsid w:val="007850EE"/>
    <w:rsid w:val="00785B95"/>
    <w:rsid w:val="00790E96"/>
    <w:rsid w:val="00792CFD"/>
    <w:rsid w:val="00793366"/>
    <w:rsid w:val="007947B5"/>
    <w:rsid w:val="007A1211"/>
    <w:rsid w:val="007A716F"/>
    <w:rsid w:val="007B270A"/>
    <w:rsid w:val="007C0695"/>
    <w:rsid w:val="007C419A"/>
    <w:rsid w:val="007C4CC8"/>
    <w:rsid w:val="007C5426"/>
    <w:rsid w:val="007C5798"/>
    <w:rsid w:val="007C6140"/>
    <w:rsid w:val="007C619A"/>
    <w:rsid w:val="007C6743"/>
    <w:rsid w:val="007D4832"/>
    <w:rsid w:val="007E0E9C"/>
    <w:rsid w:val="007E21B2"/>
    <w:rsid w:val="007E2C4E"/>
    <w:rsid w:val="007E6442"/>
    <w:rsid w:val="007F1905"/>
    <w:rsid w:val="007F54D3"/>
    <w:rsid w:val="00801300"/>
    <w:rsid w:val="00802C64"/>
    <w:rsid w:val="00805E52"/>
    <w:rsid w:val="008061D0"/>
    <w:rsid w:val="00810B38"/>
    <w:rsid w:val="00813ED8"/>
    <w:rsid w:val="0082048B"/>
    <w:rsid w:val="008204C7"/>
    <w:rsid w:val="00820992"/>
    <w:rsid w:val="0082358F"/>
    <w:rsid w:val="00823602"/>
    <w:rsid w:val="008255F5"/>
    <w:rsid w:val="0083014E"/>
    <w:rsid w:val="0083214A"/>
    <w:rsid w:val="00834220"/>
    <w:rsid w:val="00845723"/>
    <w:rsid w:val="00846466"/>
    <w:rsid w:val="00851EF9"/>
    <w:rsid w:val="00856BE1"/>
    <w:rsid w:val="008577FD"/>
    <w:rsid w:val="00860B03"/>
    <w:rsid w:val="0086497A"/>
    <w:rsid w:val="008713A1"/>
    <w:rsid w:val="008754AB"/>
    <w:rsid w:val="0088060C"/>
    <w:rsid w:val="00881A73"/>
    <w:rsid w:val="00883398"/>
    <w:rsid w:val="00893576"/>
    <w:rsid w:val="00893E73"/>
    <w:rsid w:val="008A31D2"/>
    <w:rsid w:val="008A42E9"/>
    <w:rsid w:val="008A43C4"/>
    <w:rsid w:val="008A7BFA"/>
    <w:rsid w:val="008B02DC"/>
    <w:rsid w:val="008B57CE"/>
    <w:rsid w:val="008B659F"/>
    <w:rsid w:val="008C26DE"/>
    <w:rsid w:val="008C2EE3"/>
    <w:rsid w:val="008C6BD4"/>
    <w:rsid w:val="008D2225"/>
    <w:rsid w:val="008D4752"/>
    <w:rsid w:val="008D47D4"/>
    <w:rsid w:val="008D552A"/>
    <w:rsid w:val="008E1D11"/>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2389B"/>
    <w:rsid w:val="009259AC"/>
    <w:rsid w:val="00926F38"/>
    <w:rsid w:val="009279C8"/>
    <w:rsid w:val="00930D75"/>
    <w:rsid w:val="00934301"/>
    <w:rsid w:val="00936CD1"/>
    <w:rsid w:val="00941747"/>
    <w:rsid w:val="00941EFB"/>
    <w:rsid w:val="00947AFB"/>
    <w:rsid w:val="00951D7D"/>
    <w:rsid w:val="00952298"/>
    <w:rsid w:val="00952C12"/>
    <w:rsid w:val="0096080B"/>
    <w:rsid w:val="009630C7"/>
    <w:rsid w:val="00963C67"/>
    <w:rsid w:val="00967916"/>
    <w:rsid w:val="00972B55"/>
    <w:rsid w:val="009743B7"/>
    <w:rsid w:val="00976A74"/>
    <w:rsid w:val="0098228B"/>
    <w:rsid w:val="009828DA"/>
    <w:rsid w:val="00985BAB"/>
    <w:rsid w:val="00986532"/>
    <w:rsid w:val="009872E8"/>
    <w:rsid w:val="00994ED0"/>
    <w:rsid w:val="00997F03"/>
    <w:rsid w:val="009A114D"/>
    <w:rsid w:val="009A46DF"/>
    <w:rsid w:val="009B1B5F"/>
    <w:rsid w:val="009B2EC2"/>
    <w:rsid w:val="009B6673"/>
    <w:rsid w:val="009C191B"/>
    <w:rsid w:val="009C2BD6"/>
    <w:rsid w:val="009D1BDF"/>
    <w:rsid w:val="009E1F32"/>
    <w:rsid w:val="009E3258"/>
    <w:rsid w:val="009E5829"/>
    <w:rsid w:val="009E776C"/>
    <w:rsid w:val="009F3803"/>
    <w:rsid w:val="009F6FE4"/>
    <w:rsid w:val="00A00C79"/>
    <w:rsid w:val="00A04861"/>
    <w:rsid w:val="00A07C41"/>
    <w:rsid w:val="00A11912"/>
    <w:rsid w:val="00A143D2"/>
    <w:rsid w:val="00A158DA"/>
    <w:rsid w:val="00A16131"/>
    <w:rsid w:val="00A1726E"/>
    <w:rsid w:val="00A204CF"/>
    <w:rsid w:val="00A2129C"/>
    <w:rsid w:val="00A23D49"/>
    <w:rsid w:val="00A27004"/>
    <w:rsid w:val="00A30C29"/>
    <w:rsid w:val="00A30DD3"/>
    <w:rsid w:val="00A34DD6"/>
    <w:rsid w:val="00A36819"/>
    <w:rsid w:val="00A36989"/>
    <w:rsid w:val="00A43628"/>
    <w:rsid w:val="00A45C1F"/>
    <w:rsid w:val="00A4602D"/>
    <w:rsid w:val="00A46BF8"/>
    <w:rsid w:val="00A54192"/>
    <w:rsid w:val="00A6035E"/>
    <w:rsid w:val="00A6144C"/>
    <w:rsid w:val="00A66617"/>
    <w:rsid w:val="00A671F8"/>
    <w:rsid w:val="00A673A4"/>
    <w:rsid w:val="00A724AE"/>
    <w:rsid w:val="00A73329"/>
    <w:rsid w:val="00A82359"/>
    <w:rsid w:val="00A865D2"/>
    <w:rsid w:val="00A94C20"/>
    <w:rsid w:val="00A96ED6"/>
    <w:rsid w:val="00AA227F"/>
    <w:rsid w:val="00AA3BC7"/>
    <w:rsid w:val="00AA4454"/>
    <w:rsid w:val="00AA754A"/>
    <w:rsid w:val="00AB099E"/>
    <w:rsid w:val="00AB250D"/>
    <w:rsid w:val="00AB4328"/>
    <w:rsid w:val="00AB5FA0"/>
    <w:rsid w:val="00AC3C64"/>
    <w:rsid w:val="00AD7269"/>
    <w:rsid w:val="00AE0A2E"/>
    <w:rsid w:val="00AE354C"/>
    <w:rsid w:val="00AE6EFB"/>
    <w:rsid w:val="00AF0BAD"/>
    <w:rsid w:val="00AF4B07"/>
    <w:rsid w:val="00AF6186"/>
    <w:rsid w:val="00AF7A3A"/>
    <w:rsid w:val="00B00F28"/>
    <w:rsid w:val="00B1554A"/>
    <w:rsid w:val="00B160DB"/>
    <w:rsid w:val="00B20836"/>
    <w:rsid w:val="00B21626"/>
    <w:rsid w:val="00B235BB"/>
    <w:rsid w:val="00B27A44"/>
    <w:rsid w:val="00B30B98"/>
    <w:rsid w:val="00B30BBF"/>
    <w:rsid w:val="00B32E40"/>
    <w:rsid w:val="00B33C03"/>
    <w:rsid w:val="00B44E56"/>
    <w:rsid w:val="00B46543"/>
    <w:rsid w:val="00B47D33"/>
    <w:rsid w:val="00B52BE0"/>
    <w:rsid w:val="00B54133"/>
    <w:rsid w:val="00B555BF"/>
    <w:rsid w:val="00B637B9"/>
    <w:rsid w:val="00B701ED"/>
    <w:rsid w:val="00B75DF1"/>
    <w:rsid w:val="00B8086C"/>
    <w:rsid w:val="00B82DEF"/>
    <w:rsid w:val="00B861B4"/>
    <w:rsid w:val="00B86DFE"/>
    <w:rsid w:val="00B90990"/>
    <w:rsid w:val="00B9115D"/>
    <w:rsid w:val="00B91EAB"/>
    <w:rsid w:val="00B922FF"/>
    <w:rsid w:val="00B9281E"/>
    <w:rsid w:val="00B93925"/>
    <w:rsid w:val="00B95187"/>
    <w:rsid w:val="00BA2D55"/>
    <w:rsid w:val="00BA71B1"/>
    <w:rsid w:val="00BB0637"/>
    <w:rsid w:val="00BB345F"/>
    <w:rsid w:val="00BB5883"/>
    <w:rsid w:val="00BB68EA"/>
    <w:rsid w:val="00BC1C27"/>
    <w:rsid w:val="00BC6BBF"/>
    <w:rsid w:val="00BD1572"/>
    <w:rsid w:val="00BE14E3"/>
    <w:rsid w:val="00BE3774"/>
    <w:rsid w:val="00BE41E5"/>
    <w:rsid w:val="00BF07D9"/>
    <w:rsid w:val="00BF0BBB"/>
    <w:rsid w:val="00BF3E12"/>
    <w:rsid w:val="00BF4109"/>
    <w:rsid w:val="00BF4CC3"/>
    <w:rsid w:val="00C054C7"/>
    <w:rsid w:val="00C057B5"/>
    <w:rsid w:val="00C179F1"/>
    <w:rsid w:val="00C22687"/>
    <w:rsid w:val="00C32E4D"/>
    <w:rsid w:val="00C333A0"/>
    <w:rsid w:val="00C36A81"/>
    <w:rsid w:val="00C40AB6"/>
    <w:rsid w:val="00C41974"/>
    <w:rsid w:val="00C447AD"/>
    <w:rsid w:val="00C45BEC"/>
    <w:rsid w:val="00C53F4A"/>
    <w:rsid w:val="00C54125"/>
    <w:rsid w:val="00C55B54"/>
    <w:rsid w:val="00C6098E"/>
    <w:rsid w:val="00C6152C"/>
    <w:rsid w:val="00C621C2"/>
    <w:rsid w:val="00C6625A"/>
    <w:rsid w:val="00C74810"/>
    <w:rsid w:val="00C90D68"/>
    <w:rsid w:val="00C939FE"/>
    <w:rsid w:val="00CA10A9"/>
    <w:rsid w:val="00CA4BDA"/>
    <w:rsid w:val="00CA72E8"/>
    <w:rsid w:val="00CB1F66"/>
    <w:rsid w:val="00CB2951"/>
    <w:rsid w:val="00CB594F"/>
    <w:rsid w:val="00CC12F2"/>
    <w:rsid w:val="00CC2A6D"/>
    <w:rsid w:val="00CC50DB"/>
    <w:rsid w:val="00CD07E0"/>
    <w:rsid w:val="00CD282B"/>
    <w:rsid w:val="00CD3B4F"/>
    <w:rsid w:val="00CD4C35"/>
    <w:rsid w:val="00CD7369"/>
    <w:rsid w:val="00CE0B0E"/>
    <w:rsid w:val="00CE3831"/>
    <w:rsid w:val="00CF0411"/>
    <w:rsid w:val="00CF2304"/>
    <w:rsid w:val="00CF4780"/>
    <w:rsid w:val="00D00ABB"/>
    <w:rsid w:val="00D02EEC"/>
    <w:rsid w:val="00D03551"/>
    <w:rsid w:val="00D06A63"/>
    <w:rsid w:val="00D07E0E"/>
    <w:rsid w:val="00D11478"/>
    <w:rsid w:val="00D15ED0"/>
    <w:rsid w:val="00D20A6B"/>
    <w:rsid w:val="00D21B3E"/>
    <w:rsid w:val="00D21FED"/>
    <w:rsid w:val="00D24251"/>
    <w:rsid w:val="00D34138"/>
    <w:rsid w:val="00D343E2"/>
    <w:rsid w:val="00D361A2"/>
    <w:rsid w:val="00D44C2E"/>
    <w:rsid w:val="00D45414"/>
    <w:rsid w:val="00D475BB"/>
    <w:rsid w:val="00D53C0F"/>
    <w:rsid w:val="00D566BD"/>
    <w:rsid w:val="00D57A4D"/>
    <w:rsid w:val="00D60AA7"/>
    <w:rsid w:val="00D60D87"/>
    <w:rsid w:val="00D6435F"/>
    <w:rsid w:val="00D75E28"/>
    <w:rsid w:val="00D772C2"/>
    <w:rsid w:val="00D8008E"/>
    <w:rsid w:val="00D82C45"/>
    <w:rsid w:val="00D835EA"/>
    <w:rsid w:val="00D908A8"/>
    <w:rsid w:val="00D977B6"/>
    <w:rsid w:val="00DA4A31"/>
    <w:rsid w:val="00DA61F2"/>
    <w:rsid w:val="00DA7B04"/>
    <w:rsid w:val="00DA7E8A"/>
    <w:rsid w:val="00DB36C2"/>
    <w:rsid w:val="00DB7196"/>
    <w:rsid w:val="00DC169B"/>
    <w:rsid w:val="00DC2AB9"/>
    <w:rsid w:val="00DC63F0"/>
    <w:rsid w:val="00DD2E31"/>
    <w:rsid w:val="00DD6EE5"/>
    <w:rsid w:val="00DE13FB"/>
    <w:rsid w:val="00DE1B8E"/>
    <w:rsid w:val="00DE386C"/>
    <w:rsid w:val="00DE4D35"/>
    <w:rsid w:val="00DF0549"/>
    <w:rsid w:val="00DF098B"/>
    <w:rsid w:val="00DF11C4"/>
    <w:rsid w:val="00DF210C"/>
    <w:rsid w:val="00DF4B6A"/>
    <w:rsid w:val="00E02C09"/>
    <w:rsid w:val="00E04D59"/>
    <w:rsid w:val="00E07DA1"/>
    <w:rsid w:val="00E123CB"/>
    <w:rsid w:val="00E1557C"/>
    <w:rsid w:val="00E17AFA"/>
    <w:rsid w:val="00E20E13"/>
    <w:rsid w:val="00E21DBC"/>
    <w:rsid w:val="00E26461"/>
    <w:rsid w:val="00E275D7"/>
    <w:rsid w:val="00E27DBE"/>
    <w:rsid w:val="00E32AB1"/>
    <w:rsid w:val="00E36C71"/>
    <w:rsid w:val="00E40404"/>
    <w:rsid w:val="00E459C6"/>
    <w:rsid w:val="00E47589"/>
    <w:rsid w:val="00E47612"/>
    <w:rsid w:val="00E5545A"/>
    <w:rsid w:val="00E64915"/>
    <w:rsid w:val="00E661D4"/>
    <w:rsid w:val="00E70091"/>
    <w:rsid w:val="00E720F5"/>
    <w:rsid w:val="00E741D1"/>
    <w:rsid w:val="00E74C6A"/>
    <w:rsid w:val="00E76D47"/>
    <w:rsid w:val="00E849F7"/>
    <w:rsid w:val="00E84C25"/>
    <w:rsid w:val="00E90302"/>
    <w:rsid w:val="00E9191E"/>
    <w:rsid w:val="00E9540F"/>
    <w:rsid w:val="00E95843"/>
    <w:rsid w:val="00E9597F"/>
    <w:rsid w:val="00E97396"/>
    <w:rsid w:val="00EA185E"/>
    <w:rsid w:val="00EA592A"/>
    <w:rsid w:val="00EB14E4"/>
    <w:rsid w:val="00EB26B7"/>
    <w:rsid w:val="00EB32A5"/>
    <w:rsid w:val="00EB34ED"/>
    <w:rsid w:val="00EB7BE0"/>
    <w:rsid w:val="00EC315E"/>
    <w:rsid w:val="00ED077C"/>
    <w:rsid w:val="00ED1190"/>
    <w:rsid w:val="00ED4845"/>
    <w:rsid w:val="00ED6164"/>
    <w:rsid w:val="00ED6544"/>
    <w:rsid w:val="00EE0277"/>
    <w:rsid w:val="00EE0C3D"/>
    <w:rsid w:val="00EE1DA9"/>
    <w:rsid w:val="00EE3E00"/>
    <w:rsid w:val="00EE5DD2"/>
    <w:rsid w:val="00EF41F1"/>
    <w:rsid w:val="00EF4F08"/>
    <w:rsid w:val="00EF78DD"/>
    <w:rsid w:val="00F00A79"/>
    <w:rsid w:val="00F00E86"/>
    <w:rsid w:val="00F00F8B"/>
    <w:rsid w:val="00F07C1E"/>
    <w:rsid w:val="00F105DB"/>
    <w:rsid w:val="00F132BC"/>
    <w:rsid w:val="00F13D80"/>
    <w:rsid w:val="00F16AAA"/>
    <w:rsid w:val="00F21161"/>
    <w:rsid w:val="00F218EF"/>
    <w:rsid w:val="00F21BC7"/>
    <w:rsid w:val="00F266A2"/>
    <w:rsid w:val="00F32269"/>
    <w:rsid w:val="00F4457E"/>
    <w:rsid w:val="00F47338"/>
    <w:rsid w:val="00F56A6F"/>
    <w:rsid w:val="00F5709C"/>
    <w:rsid w:val="00F628CC"/>
    <w:rsid w:val="00F64EF1"/>
    <w:rsid w:val="00F849F5"/>
    <w:rsid w:val="00F8765F"/>
    <w:rsid w:val="00F90767"/>
    <w:rsid w:val="00FA08F3"/>
    <w:rsid w:val="00FA2EA1"/>
    <w:rsid w:val="00FA685B"/>
    <w:rsid w:val="00FB0C01"/>
    <w:rsid w:val="00FC18F2"/>
    <w:rsid w:val="00FC39E5"/>
    <w:rsid w:val="00FC3A78"/>
    <w:rsid w:val="00FC5FFE"/>
    <w:rsid w:val="00FD1005"/>
    <w:rsid w:val="00FD3180"/>
    <w:rsid w:val="00FD3EAA"/>
    <w:rsid w:val="00FD6C75"/>
    <w:rsid w:val="00FE065A"/>
    <w:rsid w:val="00FE71B3"/>
    <w:rsid w:val="00FF42C5"/>
    <w:rsid w:val="00FF47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4602D"/>
    <w:pPr>
      <w:jc w:val="both"/>
    </w:pPr>
    <w:rPr>
      <w:rFonts w:eastAsiaTheme="minorEastAsia"/>
      <w:sz w:val="24"/>
    </w:rPr>
  </w:style>
  <w:style w:type="paragraph" w:styleId="Nagwek1">
    <w:name w:val="heading 1"/>
    <w:basedOn w:val="Normalny"/>
    <w:next w:val="Normalny"/>
    <w:link w:val="Nagwek1Znak"/>
    <w:uiPriority w:val="99"/>
    <w:semiHidden/>
    <w:rsid w:val="00A4602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4602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4602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4602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4602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4602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4602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4602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4602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4602D"/>
    <w:rPr>
      <w:rFonts w:ascii="Tahoma" w:hAnsi="Tahoma" w:cs="Tahoma"/>
      <w:sz w:val="16"/>
      <w:szCs w:val="16"/>
    </w:rPr>
  </w:style>
  <w:style w:type="character" w:customStyle="1" w:styleId="TekstdymkaZnak">
    <w:name w:val="Tekst dymka Znak"/>
    <w:basedOn w:val="Domylnaczcionkaakapitu"/>
    <w:link w:val="Tekstdymka"/>
    <w:uiPriority w:val="99"/>
    <w:semiHidden/>
    <w:rsid w:val="00A4602D"/>
    <w:rPr>
      <w:rFonts w:ascii="Tahoma" w:eastAsiaTheme="minorEastAsia" w:hAnsi="Tahoma" w:cs="Tahoma"/>
      <w:sz w:val="16"/>
      <w:szCs w:val="16"/>
    </w:rPr>
  </w:style>
  <w:style w:type="character" w:styleId="Tytuksiki">
    <w:name w:val="Book Title"/>
    <w:uiPriority w:val="99"/>
    <w:semiHidden/>
    <w:qFormat/>
    <w:rsid w:val="00A4602D"/>
    <w:rPr>
      <w:i/>
      <w:iCs/>
      <w:smallCaps/>
      <w:spacing w:val="5"/>
    </w:rPr>
  </w:style>
  <w:style w:type="paragraph" w:customStyle="1" w:styleId="ECHRHeader">
    <w:name w:val="ECHR_Header"/>
    <w:aliases w:val="Ju_Header"/>
    <w:basedOn w:val="Nagwek"/>
    <w:uiPriority w:val="4"/>
    <w:qFormat/>
    <w:rsid w:val="00A4602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4602D"/>
    <w:pPr>
      <w:jc w:val="left"/>
    </w:pPr>
    <w:rPr>
      <w:sz w:val="8"/>
    </w:rPr>
  </w:style>
  <w:style w:type="character" w:styleId="Pogrubienie">
    <w:name w:val="Strong"/>
    <w:uiPriority w:val="99"/>
    <w:semiHidden/>
    <w:qFormat/>
    <w:rsid w:val="00A4602D"/>
    <w:rPr>
      <w:b/>
      <w:bCs/>
    </w:rPr>
  </w:style>
  <w:style w:type="paragraph" w:styleId="Bezodstpw">
    <w:name w:val="No Spacing"/>
    <w:basedOn w:val="Normalny"/>
    <w:link w:val="BezodstpwZnak"/>
    <w:semiHidden/>
    <w:qFormat/>
    <w:rsid w:val="00A4602D"/>
    <w:rPr>
      <w:sz w:val="22"/>
    </w:rPr>
  </w:style>
  <w:style w:type="character" w:customStyle="1" w:styleId="BezodstpwZnak">
    <w:name w:val="Bez odstępów Znak"/>
    <w:basedOn w:val="Domylnaczcionkaakapitu"/>
    <w:link w:val="Bezodstpw"/>
    <w:semiHidden/>
    <w:rsid w:val="00A4602D"/>
    <w:rPr>
      <w:rFonts w:eastAsiaTheme="minorEastAsia"/>
    </w:rPr>
  </w:style>
  <w:style w:type="paragraph" w:customStyle="1" w:styleId="ECHRFooterLine">
    <w:name w:val="ECHR_Footer_Line"/>
    <w:aliases w:val="Footer_Line"/>
    <w:basedOn w:val="Normalny"/>
    <w:next w:val="ECHRFooter"/>
    <w:uiPriority w:val="57"/>
    <w:semiHidden/>
    <w:rsid w:val="00A4602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4602D"/>
  </w:style>
  <w:style w:type="paragraph" w:customStyle="1" w:styleId="DecList">
    <w:name w:val="Dec_List"/>
    <w:basedOn w:val="Normalny"/>
    <w:uiPriority w:val="9"/>
    <w:semiHidden/>
    <w:qFormat/>
    <w:rsid w:val="00A4602D"/>
    <w:pPr>
      <w:spacing w:before="240"/>
      <w:ind w:left="284"/>
    </w:pPr>
  </w:style>
  <w:style w:type="paragraph" w:customStyle="1" w:styleId="DummyStyle">
    <w:name w:val="Dummy_Style"/>
    <w:basedOn w:val="Normalny"/>
    <w:semiHidden/>
    <w:qFormat/>
    <w:rsid w:val="00A4602D"/>
    <w:rPr>
      <w:color w:val="00B050"/>
    </w:rPr>
  </w:style>
  <w:style w:type="paragraph" w:customStyle="1" w:styleId="ECHRTitleCentre3">
    <w:name w:val="ECHR_Title_Centre_3"/>
    <w:aliases w:val="Ju_H_Article"/>
    <w:basedOn w:val="Normalny"/>
    <w:next w:val="ECHRParaQuote"/>
    <w:uiPriority w:val="27"/>
    <w:qFormat/>
    <w:rsid w:val="00A4602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4602D"/>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4602D"/>
    <w:pPr>
      <w:numPr>
        <w:numId w:val="18"/>
      </w:numPr>
      <w:jc w:val="left"/>
    </w:pPr>
    <w:rPr>
      <w:b/>
    </w:rPr>
  </w:style>
  <w:style w:type="paragraph" w:customStyle="1" w:styleId="JuCourt">
    <w:name w:val="Ju_Court"/>
    <w:basedOn w:val="Normalny"/>
    <w:next w:val="Normalny"/>
    <w:uiPriority w:val="16"/>
    <w:qFormat/>
    <w:rsid w:val="00A4602D"/>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4602D"/>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4602D"/>
    <w:pPr>
      <w:spacing w:after="240"/>
      <w:jc w:val="center"/>
      <w:outlineLvl w:val="0"/>
    </w:pPr>
    <w:rPr>
      <w:rFonts w:asciiTheme="majorHAnsi" w:hAnsiTheme="majorHAnsi"/>
      <w:i/>
    </w:rPr>
  </w:style>
  <w:style w:type="paragraph" w:customStyle="1" w:styleId="JuInitialled">
    <w:name w:val="Ju_Initialled"/>
    <w:basedOn w:val="Normalny"/>
    <w:qFormat/>
    <w:rsid w:val="00A4602D"/>
    <w:pPr>
      <w:tabs>
        <w:tab w:val="center" w:pos="6407"/>
      </w:tabs>
      <w:spacing w:before="720"/>
      <w:jc w:val="right"/>
    </w:pPr>
  </w:style>
  <w:style w:type="paragraph" w:styleId="Tytu">
    <w:name w:val="Title"/>
    <w:basedOn w:val="Normalny"/>
    <w:next w:val="Normalny"/>
    <w:link w:val="TytuZnak"/>
    <w:uiPriority w:val="99"/>
    <w:semiHidden/>
    <w:qFormat/>
    <w:rsid w:val="00A4602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4602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4602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4602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4602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4602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4602D"/>
    <w:pPr>
      <w:keepNext/>
      <w:keepLines/>
      <w:spacing w:before="240" w:after="120"/>
      <w:ind w:left="1236"/>
    </w:pPr>
    <w:rPr>
      <w:sz w:val="20"/>
    </w:rPr>
  </w:style>
  <w:style w:type="character" w:customStyle="1" w:styleId="JuITMark">
    <w:name w:val="Ju_ITMark"/>
    <w:basedOn w:val="Domylnaczcionkaakapitu"/>
    <w:uiPriority w:val="38"/>
    <w:qFormat/>
    <w:rsid w:val="00A4602D"/>
    <w:rPr>
      <w:vanish w:val="0"/>
      <w:color w:val="auto"/>
      <w:sz w:val="14"/>
    </w:rPr>
  </w:style>
  <w:style w:type="paragraph" w:customStyle="1" w:styleId="JuLista">
    <w:name w:val="Ju_List_a"/>
    <w:basedOn w:val="JuList"/>
    <w:uiPriority w:val="28"/>
    <w:qFormat/>
    <w:rsid w:val="00A4602D"/>
    <w:pPr>
      <w:ind w:left="346" w:firstLine="0"/>
    </w:pPr>
  </w:style>
  <w:style w:type="paragraph" w:customStyle="1" w:styleId="JuListi">
    <w:name w:val="Ju_List_i"/>
    <w:basedOn w:val="Normalny"/>
    <w:next w:val="JuLista"/>
    <w:uiPriority w:val="28"/>
    <w:qFormat/>
    <w:rsid w:val="00A4602D"/>
    <w:pPr>
      <w:ind w:left="794"/>
    </w:pPr>
  </w:style>
  <w:style w:type="paragraph" w:styleId="Nagwek">
    <w:name w:val="header"/>
    <w:basedOn w:val="Normalny"/>
    <w:link w:val="NagwekZnak"/>
    <w:uiPriority w:val="57"/>
    <w:semiHidden/>
    <w:rsid w:val="00A4602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4602D"/>
    <w:rPr>
      <w:sz w:val="24"/>
    </w:rPr>
  </w:style>
  <w:style w:type="character" w:customStyle="1" w:styleId="Nagwek1Znak">
    <w:name w:val="Nagłówek 1 Znak"/>
    <w:basedOn w:val="Domylnaczcionkaakapitu"/>
    <w:link w:val="Nagwek1"/>
    <w:uiPriority w:val="99"/>
    <w:semiHidden/>
    <w:rsid w:val="00A4602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4602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4602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4602D"/>
    <w:rPr>
      <w:rFonts w:asciiTheme="majorHAnsi" w:eastAsiaTheme="majorEastAsia" w:hAnsiTheme="majorHAnsi" w:cstheme="majorBidi"/>
      <w:b/>
      <w:bCs/>
      <w:color w:val="4D4D4D"/>
      <w:sz w:val="26"/>
      <w:szCs w:val="26"/>
    </w:rPr>
  </w:style>
  <w:style w:type="character" w:customStyle="1" w:styleId="JUNAMES">
    <w:name w:val="JU_NAMES"/>
    <w:uiPriority w:val="17"/>
    <w:qFormat/>
    <w:rsid w:val="00A4602D"/>
    <w:rPr>
      <w:caps w:val="0"/>
      <w:smallCaps/>
    </w:rPr>
  </w:style>
  <w:style w:type="paragraph" w:customStyle="1" w:styleId="JuCase">
    <w:name w:val="Ju_Case"/>
    <w:basedOn w:val="Normalny"/>
    <w:next w:val="ECHRPara"/>
    <w:uiPriority w:val="10"/>
    <w:rsid w:val="00A4602D"/>
    <w:pPr>
      <w:ind w:firstLine="284"/>
    </w:pPr>
    <w:rPr>
      <w:b/>
    </w:rPr>
  </w:style>
  <w:style w:type="character" w:customStyle="1" w:styleId="Nagwek3Znak">
    <w:name w:val="Nagłówek 3 Znak"/>
    <w:basedOn w:val="Domylnaczcionkaakapitu"/>
    <w:link w:val="Nagwek3"/>
    <w:uiPriority w:val="99"/>
    <w:semiHidden/>
    <w:rsid w:val="00A4602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4602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4602D"/>
    <w:rPr>
      <w:rFonts w:asciiTheme="majorHAnsi" w:eastAsiaTheme="majorEastAsia" w:hAnsiTheme="majorHAnsi" w:cstheme="majorBidi"/>
      <w:b/>
      <w:bCs/>
      <w:color w:val="808080"/>
    </w:rPr>
  </w:style>
  <w:style w:type="character" w:styleId="Wyrnieniedelikatne">
    <w:name w:val="Subtle Emphasis"/>
    <w:uiPriority w:val="99"/>
    <w:semiHidden/>
    <w:qFormat/>
    <w:rsid w:val="00A4602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4602D"/>
    <w:pPr>
      <w:keepNext/>
      <w:keepLines/>
      <w:spacing w:before="720" w:after="240"/>
      <w:outlineLvl w:val="0"/>
    </w:pPr>
    <w:rPr>
      <w:rFonts w:asciiTheme="majorHAnsi" w:hAnsiTheme="majorHAnsi"/>
      <w:sz w:val="28"/>
    </w:rPr>
  </w:style>
  <w:style w:type="character" w:styleId="Uwydatnienie">
    <w:name w:val="Emphasis"/>
    <w:uiPriority w:val="99"/>
    <w:semiHidden/>
    <w:qFormat/>
    <w:rsid w:val="00A4602D"/>
    <w:rPr>
      <w:b/>
      <w:bCs/>
      <w:i/>
      <w:iCs/>
      <w:spacing w:val="10"/>
      <w:bdr w:val="none" w:sz="0" w:space="0" w:color="auto"/>
      <w:shd w:val="clear" w:color="auto" w:fill="auto"/>
    </w:rPr>
  </w:style>
  <w:style w:type="paragraph" w:styleId="Stopka">
    <w:name w:val="footer"/>
    <w:basedOn w:val="Normalny"/>
    <w:link w:val="StopkaZnak"/>
    <w:uiPriority w:val="57"/>
    <w:semiHidden/>
    <w:rsid w:val="00A4602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4602D"/>
    <w:rPr>
      <w:sz w:val="24"/>
    </w:rPr>
  </w:style>
  <w:style w:type="character" w:styleId="Odwoanieprzypisudolnego">
    <w:name w:val="footnote reference"/>
    <w:basedOn w:val="Domylnaczcionkaakapitu"/>
    <w:uiPriority w:val="99"/>
    <w:semiHidden/>
    <w:rsid w:val="00A4602D"/>
    <w:rPr>
      <w:vertAlign w:val="superscript"/>
    </w:rPr>
  </w:style>
  <w:style w:type="paragraph" w:styleId="Tekstprzypisudolnego">
    <w:name w:val="footnote text"/>
    <w:basedOn w:val="Normalny"/>
    <w:link w:val="TekstprzypisudolnegoZnak"/>
    <w:uiPriority w:val="99"/>
    <w:semiHidden/>
    <w:rsid w:val="00A4602D"/>
    <w:rPr>
      <w:sz w:val="20"/>
      <w:szCs w:val="20"/>
    </w:rPr>
  </w:style>
  <w:style w:type="character" w:customStyle="1" w:styleId="TekstprzypisudolnegoZnak">
    <w:name w:val="Tekst przypisu dolnego Znak"/>
    <w:basedOn w:val="Domylnaczcionkaakapitu"/>
    <w:link w:val="Tekstprzypisudolnego"/>
    <w:uiPriority w:val="99"/>
    <w:semiHidden/>
    <w:rsid w:val="00A4602D"/>
    <w:rPr>
      <w:rFonts w:eastAsiaTheme="minorEastAsia"/>
      <w:sz w:val="20"/>
      <w:szCs w:val="20"/>
    </w:rPr>
  </w:style>
  <w:style w:type="character" w:customStyle="1" w:styleId="Nagwek6Znak">
    <w:name w:val="Nagłówek 6 Znak"/>
    <w:basedOn w:val="Domylnaczcionkaakapitu"/>
    <w:link w:val="Nagwek6"/>
    <w:uiPriority w:val="99"/>
    <w:semiHidden/>
    <w:rsid w:val="00A4602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4602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4602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4602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4602D"/>
    <w:rPr>
      <w:color w:val="0072BC" w:themeColor="hyperlink"/>
      <w:u w:val="single"/>
    </w:rPr>
  </w:style>
  <w:style w:type="character" w:styleId="Wyrnienieintensywne">
    <w:name w:val="Intense Emphasis"/>
    <w:uiPriority w:val="99"/>
    <w:semiHidden/>
    <w:qFormat/>
    <w:rsid w:val="00A4602D"/>
    <w:rPr>
      <w:b/>
      <w:bCs/>
    </w:rPr>
  </w:style>
  <w:style w:type="paragraph" w:styleId="Cytatintensywny">
    <w:name w:val="Intense Quote"/>
    <w:basedOn w:val="Normalny"/>
    <w:next w:val="Normalny"/>
    <w:link w:val="CytatintensywnyZnak"/>
    <w:uiPriority w:val="99"/>
    <w:semiHidden/>
    <w:qFormat/>
    <w:rsid w:val="00A4602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4602D"/>
    <w:rPr>
      <w:rFonts w:eastAsiaTheme="minorEastAsia"/>
      <w:b/>
      <w:bCs/>
      <w:i/>
      <w:iCs/>
      <w:lang w:bidi="en-US"/>
    </w:rPr>
  </w:style>
  <w:style w:type="character" w:styleId="Odwoanieintensywne">
    <w:name w:val="Intense Reference"/>
    <w:uiPriority w:val="99"/>
    <w:semiHidden/>
    <w:qFormat/>
    <w:rsid w:val="00A4602D"/>
    <w:rPr>
      <w:smallCaps/>
      <w:spacing w:val="5"/>
      <w:u w:val="single"/>
    </w:rPr>
  </w:style>
  <w:style w:type="paragraph" w:styleId="Akapitzlist">
    <w:name w:val="List Paragraph"/>
    <w:basedOn w:val="Normalny"/>
    <w:uiPriority w:val="99"/>
    <w:semiHidden/>
    <w:qFormat/>
    <w:rsid w:val="00A4602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4602D"/>
    <w:pPr>
      <w:spacing w:before="200"/>
      <w:ind w:left="360" w:right="360"/>
    </w:pPr>
    <w:rPr>
      <w:i/>
      <w:iCs/>
      <w:sz w:val="22"/>
      <w:lang w:bidi="en-US"/>
    </w:rPr>
  </w:style>
  <w:style w:type="character" w:customStyle="1" w:styleId="CytatZnak">
    <w:name w:val="Cytat Znak"/>
    <w:basedOn w:val="Domylnaczcionkaakapitu"/>
    <w:link w:val="Cytat"/>
    <w:uiPriority w:val="99"/>
    <w:semiHidden/>
    <w:rsid w:val="00A4602D"/>
    <w:rPr>
      <w:rFonts w:eastAsiaTheme="minorEastAsia"/>
      <w:i/>
      <w:iCs/>
      <w:lang w:bidi="en-US"/>
    </w:rPr>
  </w:style>
  <w:style w:type="character" w:styleId="Odwoaniedelikatne">
    <w:name w:val="Subtle Reference"/>
    <w:uiPriority w:val="99"/>
    <w:semiHidden/>
    <w:qFormat/>
    <w:rsid w:val="00A4602D"/>
    <w:rPr>
      <w:smallCaps/>
    </w:rPr>
  </w:style>
  <w:style w:type="table" w:styleId="Tabela-Siatka">
    <w:name w:val="Table Grid"/>
    <w:basedOn w:val="Standardowy"/>
    <w:uiPriority w:val="59"/>
    <w:semiHidden/>
    <w:rsid w:val="00A4602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4602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4602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4602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4602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4602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4602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4602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4602D"/>
    <w:pPr>
      <w:spacing w:before="120" w:after="120"/>
      <w:ind w:left="425" w:firstLine="142"/>
    </w:pPr>
    <w:rPr>
      <w:sz w:val="20"/>
    </w:rPr>
  </w:style>
  <w:style w:type="paragraph" w:customStyle="1" w:styleId="ECHRPara">
    <w:name w:val="ECHR_Para"/>
    <w:aliases w:val="Ju_Para,Left,First line:  0 cm,Para"/>
    <w:basedOn w:val="Normalny"/>
    <w:link w:val="ECHRParaChar"/>
    <w:qFormat/>
    <w:rsid w:val="00A4602D"/>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4602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4602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4602D"/>
    <w:pPr>
      <w:ind w:left="340" w:hanging="340"/>
    </w:pPr>
  </w:style>
  <w:style w:type="paragraph" w:customStyle="1" w:styleId="JuSigned">
    <w:name w:val="Ju_Signed"/>
    <w:basedOn w:val="Normalny"/>
    <w:next w:val="JuParaLast"/>
    <w:uiPriority w:val="32"/>
    <w:qFormat/>
    <w:rsid w:val="00A4602D"/>
    <w:pPr>
      <w:tabs>
        <w:tab w:val="center" w:pos="851"/>
        <w:tab w:val="center" w:pos="6407"/>
      </w:tabs>
      <w:spacing w:before="720"/>
      <w:jc w:val="left"/>
    </w:pPr>
  </w:style>
  <w:style w:type="paragraph" w:customStyle="1" w:styleId="JuParaLast">
    <w:name w:val="Ju_Para_Last"/>
    <w:basedOn w:val="Normalny"/>
    <w:next w:val="ECHRPara"/>
    <w:qFormat/>
    <w:rsid w:val="00A4602D"/>
    <w:pPr>
      <w:keepNext/>
      <w:keepLines/>
      <w:spacing w:before="240"/>
      <w:ind w:firstLine="284"/>
    </w:pPr>
  </w:style>
  <w:style w:type="paragraph" w:customStyle="1" w:styleId="JuParaSub">
    <w:name w:val="Ju_Para_Sub"/>
    <w:basedOn w:val="ECHRPara"/>
    <w:uiPriority w:val="13"/>
    <w:unhideWhenUsed/>
    <w:qFormat/>
    <w:rsid w:val="00A4602D"/>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A4602D"/>
    <w:pPr>
      <w:ind w:left="567"/>
    </w:pPr>
  </w:style>
  <w:style w:type="paragraph" w:customStyle="1" w:styleId="JuTitle">
    <w:name w:val="Ju_Title"/>
    <w:basedOn w:val="Normalny"/>
    <w:next w:val="ECHRPara"/>
    <w:uiPriority w:val="3"/>
    <w:semiHidden/>
    <w:qFormat/>
    <w:rsid w:val="00A4602D"/>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4602D"/>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4602D"/>
    <w:pPr>
      <w:ind w:left="833" w:hanging="357"/>
      <w:outlineLvl w:val="3"/>
    </w:pPr>
    <w:rPr>
      <w:b/>
      <w:i w:val="0"/>
      <w:sz w:val="20"/>
    </w:rPr>
  </w:style>
  <w:style w:type="paragraph" w:styleId="Podtytu">
    <w:name w:val="Subtitle"/>
    <w:basedOn w:val="Normalny"/>
    <w:next w:val="Normalny"/>
    <w:link w:val="PodtytuZnak"/>
    <w:uiPriority w:val="99"/>
    <w:semiHidden/>
    <w:qFormat/>
    <w:rsid w:val="00A4602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4602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4602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4602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4602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4602D"/>
    <w:pPr>
      <w:tabs>
        <w:tab w:val="clear" w:pos="357"/>
      </w:tabs>
      <w:outlineLvl w:val="1"/>
    </w:pPr>
    <w:rPr>
      <w:b/>
    </w:rPr>
  </w:style>
  <w:style w:type="paragraph" w:customStyle="1" w:styleId="OpiHi">
    <w:name w:val="Opi_H_i"/>
    <w:basedOn w:val="ECHRHeading4"/>
    <w:uiPriority w:val="44"/>
    <w:qFormat/>
    <w:rsid w:val="00A4602D"/>
    <w:pPr>
      <w:ind w:left="1037" w:hanging="357"/>
      <w:outlineLvl w:val="4"/>
    </w:pPr>
    <w:rPr>
      <w:b w:val="0"/>
      <w:i/>
    </w:rPr>
  </w:style>
  <w:style w:type="paragraph" w:customStyle="1" w:styleId="OpiPara">
    <w:name w:val="Opi_Para"/>
    <w:basedOn w:val="ECHRPara"/>
    <w:uiPriority w:val="46"/>
    <w:qFormat/>
    <w:rsid w:val="00A4602D"/>
  </w:style>
  <w:style w:type="paragraph" w:customStyle="1" w:styleId="OpiParaSub">
    <w:name w:val="Opi_Para_Sub"/>
    <w:basedOn w:val="JuParaSub"/>
    <w:uiPriority w:val="47"/>
    <w:unhideWhenUsed/>
    <w:qFormat/>
    <w:rsid w:val="00A4602D"/>
  </w:style>
  <w:style w:type="paragraph" w:customStyle="1" w:styleId="OpiQuot">
    <w:name w:val="Opi_Quot"/>
    <w:basedOn w:val="ECHRParaQuote"/>
    <w:uiPriority w:val="48"/>
    <w:qFormat/>
    <w:rsid w:val="00A4602D"/>
  </w:style>
  <w:style w:type="paragraph" w:customStyle="1" w:styleId="OpiQuotSub">
    <w:name w:val="Opi_Quot_Sub"/>
    <w:basedOn w:val="JuQuotSub"/>
    <w:uiPriority w:val="49"/>
    <w:qFormat/>
    <w:rsid w:val="00A4602D"/>
  </w:style>
  <w:style w:type="paragraph" w:customStyle="1" w:styleId="OpiTranslation">
    <w:name w:val="Opi_Translation"/>
    <w:basedOn w:val="Normalny"/>
    <w:next w:val="OpiPara"/>
    <w:uiPriority w:val="40"/>
    <w:qFormat/>
    <w:rsid w:val="00A4602D"/>
    <w:pPr>
      <w:jc w:val="center"/>
      <w:outlineLvl w:val="0"/>
    </w:pPr>
    <w:rPr>
      <w:i/>
    </w:rPr>
  </w:style>
  <w:style w:type="character" w:customStyle="1" w:styleId="ECHRParaChar">
    <w:name w:val="ECHR_Para Char"/>
    <w:aliases w:val="Ju_Para Char"/>
    <w:basedOn w:val="Domylnaczcionkaakapitu"/>
    <w:link w:val="ECHRPara"/>
    <w:uiPriority w:val="12"/>
    <w:rsid w:val="000A4494"/>
    <w:rPr>
      <w:rFonts w:eastAsiaTheme="minorEastAsia"/>
      <w:sz w:val="24"/>
    </w:rPr>
  </w:style>
  <w:style w:type="character" w:customStyle="1" w:styleId="JuQuotChar">
    <w:name w:val="Ju_Quot Char"/>
    <w:basedOn w:val="Domylnaczcionkaakapitu"/>
    <w:link w:val="ECHRParaQuote"/>
    <w:uiPriority w:val="14"/>
    <w:rsid w:val="005153FB"/>
    <w:rPr>
      <w:rFonts w:eastAsiaTheme="minorEastAsia"/>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4602D"/>
    <w:pPr>
      <w:jc w:val="both"/>
    </w:pPr>
    <w:rPr>
      <w:rFonts w:eastAsiaTheme="minorEastAsia"/>
      <w:sz w:val="24"/>
    </w:rPr>
  </w:style>
  <w:style w:type="paragraph" w:styleId="Nagwek1">
    <w:name w:val="heading 1"/>
    <w:basedOn w:val="Normalny"/>
    <w:next w:val="Normalny"/>
    <w:link w:val="Nagwek1Znak"/>
    <w:uiPriority w:val="99"/>
    <w:semiHidden/>
    <w:rsid w:val="00A4602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4602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4602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4602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4602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4602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4602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4602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4602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4602D"/>
    <w:rPr>
      <w:rFonts w:ascii="Tahoma" w:hAnsi="Tahoma" w:cs="Tahoma"/>
      <w:sz w:val="16"/>
      <w:szCs w:val="16"/>
    </w:rPr>
  </w:style>
  <w:style w:type="character" w:customStyle="1" w:styleId="TekstdymkaZnak">
    <w:name w:val="Tekst dymka Znak"/>
    <w:basedOn w:val="Domylnaczcionkaakapitu"/>
    <w:link w:val="Tekstdymka"/>
    <w:uiPriority w:val="99"/>
    <w:semiHidden/>
    <w:rsid w:val="00A4602D"/>
    <w:rPr>
      <w:rFonts w:ascii="Tahoma" w:eastAsiaTheme="minorEastAsia" w:hAnsi="Tahoma" w:cs="Tahoma"/>
      <w:sz w:val="16"/>
      <w:szCs w:val="16"/>
    </w:rPr>
  </w:style>
  <w:style w:type="character" w:styleId="Tytuksiki">
    <w:name w:val="Book Title"/>
    <w:uiPriority w:val="99"/>
    <w:semiHidden/>
    <w:qFormat/>
    <w:rsid w:val="00A4602D"/>
    <w:rPr>
      <w:i/>
      <w:iCs/>
      <w:smallCaps/>
      <w:spacing w:val="5"/>
    </w:rPr>
  </w:style>
  <w:style w:type="paragraph" w:customStyle="1" w:styleId="ECHRHeader">
    <w:name w:val="ECHR_Header"/>
    <w:aliases w:val="Ju_Header"/>
    <w:basedOn w:val="Nagwek"/>
    <w:uiPriority w:val="4"/>
    <w:qFormat/>
    <w:rsid w:val="00A4602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4602D"/>
    <w:pPr>
      <w:jc w:val="left"/>
    </w:pPr>
    <w:rPr>
      <w:sz w:val="8"/>
    </w:rPr>
  </w:style>
  <w:style w:type="character" w:styleId="Pogrubienie">
    <w:name w:val="Strong"/>
    <w:uiPriority w:val="99"/>
    <w:semiHidden/>
    <w:qFormat/>
    <w:rsid w:val="00A4602D"/>
    <w:rPr>
      <w:b/>
      <w:bCs/>
    </w:rPr>
  </w:style>
  <w:style w:type="paragraph" w:styleId="Bezodstpw">
    <w:name w:val="No Spacing"/>
    <w:basedOn w:val="Normalny"/>
    <w:link w:val="BezodstpwZnak"/>
    <w:semiHidden/>
    <w:qFormat/>
    <w:rsid w:val="00A4602D"/>
    <w:rPr>
      <w:sz w:val="22"/>
    </w:rPr>
  </w:style>
  <w:style w:type="character" w:customStyle="1" w:styleId="BezodstpwZnak">
    <w:name w:val="Bez odstępów Znak"/>
    <w:basedOn w:val="Domylnaczcionkaakapitu"/>
    <w:link w:val="Bezodstpw"/>
    <w:semiHidden/>
    <w:rsid w:val="00A4602D"/>
    <w:rPr>
      <w:rFonts w:eastAsiaTheme="minorEastAsia"/>
    </w:rPr>
  </w:style>
  <w:style w:type="paragraph" w:customStyle="1" w:styleId="ECHRFooterLine">
    <w:name w:val="ECHR_Footer_Line"/>
    <w:aliases w:val="Footer_Line"/>
    <w:basedOn w:val="Normalny"/>
    <w:next w:val="ECHRFooter"/>
    <w:uiPriority w:val="57"/>
    <w:semiHidden/>
    <w:rsid w:val="00A4602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4602D"/>
  </w:style>
  <w:style w:type="paragraph" w:customStyle="1" w:styleId="DecList">
    <w:name w:val="Dec_List"/>
    <w:basedOn w:val="Normalny"/>
    <w:uiPriority w:val="9"/>
    <w:semiHidden/>
    <w:qFormat/>
    <w:rsid w:val="00A4602D"/>
    <w:pPr>
      <w:spacing w:before="240"/>
      <w:ind w:left="284"/>
    </w:pPr>
  </w:style>
  <w:style w:type="paragraph" w:customStyle="1" w:styleId="DummyStyle">
    <w:name w:val="Dummy_Style"/>
    <w:basedOn w:val="Normalny"/>
    <w:semiHidden/>
    <w:qFormat/>
    <w:rsid w:val="00A4602D"/>
    <w:rPr>
      <w:color w:val="00B050"/>
    </w:rPr>
  </w:style>
  <w:style w:type="paragraph" w:customStyle="1" w:styleId="ECHRTitleCentre3">
    <w:name w:val="ECHR_Title_Centre_3"/>
    <w:aliases w:val="Ju_H_Article"/>
    <w:basedOn w:val="Normalny"/>
    <w:next w:val="ECHRParaQuote"/>
    <w:uiPriority w:val="27"/>
    <w:qFormat/>
    <w:rsid w:val="00A4602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4602D"/>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4602D"/>
    <w:pPr>
      <w:numPr>
        <w:numId w:val="18"/>
      </w:numPr>
      <w:jc w:val="left"/>
    </w:pPr>
    <w:rPr>
      <w:b/>
    </w:rPr>
  </w:style>
  <w:style w:type="paragraph" w:customStyle="1" w:styleId="JuCourt">
    <w:name w:val="Ju_Court"/>
    <w:basedOn w:val="Normalny"/>
    <w:next w:val="Normalny"/>
    <w:uiPriority w:val="16"/>
    <w:qFormat/>
    <w:rsid w:val="00A4602D"/>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4602D"/>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4602D"/>
    <w:pPr>
      <w:spacing w:after="240"/>
      <w:jc w:val="center"/>
      <w:outlineLvl w:val="0"/>
    </w:pPr>
    <w:rPr>
      <w:rFonts w:asciiTheme="majorHAnsi" w:hAnsiTheme="majorHAnsi"/>
      <w:i/>
    </w:rPr>
  </w:style>
  <w:style w:type="paragraph" w:customStyle="1" w:styleId="JuInitialled">
    <w:name w:val="Ju_Initialled"/>
    <w:basedOn w:val="Normalny"/>
    <w:qFormat/>
    <w:rsid w:val="00A4602D"/>
    <w:pPr>
      <w:tabs>
        <w:tab w:val="center" w:pos="6407"/>
      </w:tabs>
      <w:spacing w:before="720"/>
      <w:jc w:val="right"/>
    </w:pPr>
  </w:style>
  <w:style w:type="paragraph" w:styleId="Tytu">
    <w:name w:val="Title"/>
    <w:basedOn w:val="Normalny"/>
    <w:next w:val="Normalny"/>
    <w:link w:val="TytuZnak"/>
    <w:uiPriority w:val="99"/>
    <w:semiHidden/>
    <w:qFormat/>
    <w:rsid w:val="00A4602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4602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4602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4602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4602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4602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4602D"/>
    <w:pPr>
      <w:keepNext/>
      <w:keepLines/>
      <w:spacing w:before="240" w:after="120"/>
      <w:ind w:left="1236"/>
    </w:pPr>
    <w:rPr>
      <w:sz w:val="20"/>
    </w:rPr>
  </w:style>
  <w:style w:type="character" w:customStyle="1" w:styleId="JuITMark">
    <w:name w:val="Ju_ITMark"/>
    <w:basedOn w:val="Domylnaczcionkaakapitu"/>
    <w:uiPriority w:val="38"/>
    <w:qFormat/>
    <w:rsid w:val="00A4602D"/>
    <w:rPr>
      <w:vanish w:val="0"/>
      <w:color w:val="auto"/>
      <w:sz w:val="14"/>
    </w:rPr>
  </w:style>
  <w:style w:type="paragraph" w:customStyle="1" w:styleId="JuLista">
    <w:name w:val="Ju_List_a"/>
    <w:basedOn w:val="JuList"/>
    <w:uiPriority w:val="28"/>
    <w:qFormat/>
    <w:rsid w:val="00A4602D"/>
    <w:pPr>
      <w:ind w:left="346" w:firstLine="0"/>
    </w:pPr>
  </w:style>
  <w:style w:type="paragraph" w:customStyle="1" w:styleId="JuListi">
    <w:name w:val="Ju_List_i"/>
    <w:basedOn w:val="Normalny"/>
    <w:next w:val="JuLista"/>
    <w:uiPriority w:val="28"/>
    <w:qFormat/>
    <w:rsid w:val="00A4602D"/>
    <w:pPr>
      <w:ind w:left="794"/>
    </w:pPr>
  </w:style>
  <w:style w:type="paragraph" w:styleId="Nagwek">
    <w:name w:val="header"/>
    <w:basedOn w:val="Normalny"/>
    <w:link w:val="NagwekZnak"/>
    <w:uiPriority w:val="57"/>
    <w:semiHidden/>
    <w:rsid w:val="00A4602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4602D"/>
    <w:rPr>
      <w:sz w:val="24"/>
    </w:rPr>
  </w:style>
  <w:style w:type="character" w:customStyle="1" w:styleId="Nagwek1Znak">
    <w:name w:val="Nagłówek 1 Znak"/>
    <w:basedOn w:val="Domylnaczcionkaakapitu"/>
    <w:link w:val="Nagwek1"/>
    <w:uiPriority w:val="99"/>
    <w:semiHidden/>
    <w:rsid w:val="00A4602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4602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4602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4602D"/>
    <w:rPr>
      <w:rFonts w:asciiTheme="majorHAnsi" w:eastAsiaTheme="majorEastAsia" w:hAnsiTheme="majorHAnsi" w:cstheme="majorBidi"/>
      <w:b/>
      <w:bCs/>
      <w:color w:val="4D4D4D"/>
      <w:sz w:val="26"/>
      <w:szCs w:val="26"/>
    </w:rPr>
  </w:style>
  <w:style w:type="character" w:customStyle="1" w:styleId="JUNAMES">
    <w:name w:val="JU_NAMES"/>
    <w:uiPriority w:val="17"/>
    <w:qFormat/>
    <w:rsid w:val="00A4602D"/>
    <w:rPr>
      <w:caps w:val="0"/>
      <w:smallCaps/>
    </w:rPr>
  </w:style>
  <w:style w:type="paragraph" w:customStyle="1" w:styleId="JuCase">
    <w:name w:val="Ju_Case"/>
    <w:basedOn w:val="Normalny"/>
    <w:next w:val="ECHRPara"/>
    <w:uiPriority w:val="10"/>
    <w:rsid w:val="00A4602D"/>
    <w:pPr>
      <w:ind w:firstLine="284"/>
    </w:pPr>
    <w:rPr>
      <w:b/>
    </w:rPr>
  </w:style>
  <w:style w:type="character" w:customStyle="1" w:styleId="Nagwek3Znak">
    <w:name w:val="Nagłówek 3 Znak"/>
    <w:basedOn w:val="Domylnaczcionkaakapitu"/>
    <w:link w:val="Nagwek3"/>
    <w:uiPriority w:val="99"/>
    <w:semiHidden/>
    <w:rsid w:val="00A4602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4602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4602D"/>
    <w:rPr>
      <w:rFonts w:asciiTheme="majorHAnsi" w:eastAsiaTheme="majorEastAsia" w:hAnsiTheme="majorHAnsi" w:cstheme="majorBidi"/>
      <w:b/>
      <w:bCs/>
      <w:color w:val="808080"/>
    </w:rPr>
  </w:style>
  <w:style w:type="character" w:styleId="Wyrnieniedelikatne">
    <w:name w:val="Subtle Emphasis"/>
    <w:uiPriority w:val="99"/>
    <w:semiHidden/>
    <w:qFormat/>
    <w:rsid w:val="00A4602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4602D"/>
    <w:pPr>
      <w:keepNext/>
      <w:keepLines/>
      <w:spacing w:before="720" w:after="240"/>
      <w:outlineLvl w:val="0"/>
    </w:pPr>
    <w:rPr>
      <w:rFonts w:asciiTheme="majorHAnsi" w:hAnsiTheme="majorHAnsi"/>
      <w:sz w:val="28"/>
    </w:rPr>
  </w:style>
  <w:style w:type="character" w:styleId="Uwydatnienie">
    <w:name w:val="Emphasis"/>
    <w:uiPriority w:val="99"/>
    <w:semiHidden/>
    <w:qFormat/>
    <w:rsid w:val="00A4602D"/>
    <w:rPr>
      <w:b/>
      <w:bCs/>
      <w:i/>
      <w:iCs/>
      <w:spacing w:val="10"/>
      <w:bdr w:val="none" w:sz="0" w:space="0" w:color="auto"/>
      <w:shd w:val="clear" w:color="auto" w:fill="auto"/>
    </w:rPr>
  </w:style>
  <w:style w:type="paragraph" w:styleId="Stopka">
    <w:name w:val="footer"/>
    <w:basedOn w:val="Normalny"/>
    <w:link w:val="StopkaZnak"/>
    <w:uiPriority w:val="57"/>
    <w:semiHidden/>
    <w:rsid w:val="00A4602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4602D"/>
    <w:rPr>
      <w:sz w:val="24"/>
    </w:rPr>
  </w:style>
  <w:style w:type="character" w:styleId="Odwoanieprzypisudolnego">
    <w:name w:val="footnote reference"/>
    <w:basedOn w:val="Domylnaczcionkaakapitu"/>
    <w:uiPriority w:val="99"/>
    <w:semiHidden/>
    <w:rsid w:val="00A4602D"/>
    <w:rPr>
      <w:vertAlign w:val="superscript"/>
    </w:rPr>
  </w:style>
  <w:style w:type="paragraph" w:styleId="Tekstprzypisudolnego">
    <w:name w:val="footnote text"/>
    <w:basedOn w:val="Normalny"/>
    <w:link w:val="TekstprzypisudolnegoZnak"/>
    <w:uiPriority w:val="99"/>
    <w:semiHidden/>
    <w:rsid w:val="00A4602D"/>
    <w:rPr>
      <w:sz w:val="20"/>
      <w:szCs w:val="20"/>
    </w:rPr>
  </w:style>
  <w:style w:type="character" w:customStyle="1" w:styleId="TekstprzypisudolnegoZnak">
    <w:name w:val="Tekst przypisu dolnego Znak"/>
    <w:basedOn w:val="Domylnaczcionkaakapitu"/>
    <w:link w:val="Tekstprzypisudolnego"/>
    <w:uiPriority w:val="99"/>
    <w:semiHidden/>
    <w:rsid w:val="00A4602D"/>
    <w:rPr>
      <w:rFonts w:eastAsiaTheme="minorEastAsia"/>
      <w:sz w:val="20"/>
      <w:szCs w:val="20"/>
    </w:rPr>
  </w:style>
  <w:style w:type="character" w:customStyle="1" w:styleId="Nagwek6Znak">
    <w:name w:val="Nagłówek 6 Znak"/>
    <w:basedOn w:val="Domylnaczcionkaakapitu"/>
    <w:link w:val="Nagwek6"/>
    <w:uiPriority w:val="99"/>
    <w:semiHidden/>
    <w:rsid w:val="00A4602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4602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4602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4602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4602D"/>
    <w:rPr>
      <w:color w:val="0072BC" w:themeColor="hyperlink"/>
      <w:u w:val="single"/>
    </w:rPr>
  </w:style>
  <w:style w:type="character" w:styleId="Wyrnienieintensywne">
    <w:name w:val="Intense Emphasis"/>
    <w:uiPriority w:val="99"/>
    <w:semiHidden/>
    <w:qFormat/>
    <w:rsid w:val="00A4602D"/>
    <w:rPr>
      <w:b/>
      <w:bCs/>
    </w:rPr>
  </w:style>
  <w:style w:type="paragraph" w:styleId="Cytatintensywny">
    <w:name w:val="Intense Quote"/>
    <w:basedOn w:val="Normalny"/>
    <w:next w:val="Normalny"/>
    <w:link w:val="CytatintensywnyZnak"/>
    <w:uiPriority w:val="99"/>
    <w:semiHidden/>
    <w:qFormat/>
    <w:rsid w:val="00A4602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4602D"/>
    <w:rPr>
      <w:rFonts w:eastAsiaTheme="minorEastAsia"/>
      <w:b/>
      <w:bCs/>
      <w:i/>
      <w:iCs/>
      <w:lang w:bidi="en-US"/>
    </w:rPr>
  </w:style>
  <w:style w:type="character" w:styleId="Odwoanieintensywne">
    <w:name w:val="Intense Reference"/>
    <w:uiPriority w:val="99"/>
    <w:semiHidden/>
    <w:qFormat/>
    <w:rsid w:val="00A4602D"/>
    <w:rPr>
      <w:smallCaps/>
      <w:spacing w:val="5"/>
      <w:u w:val="single"/>
    </w:rPr>
  </w:style>
  <w:style w:type="paragraph" w:styleId="Akapitzlist">
    <w:name w:val="List Paragraph"/>
    <w:basedOn w:val="Normalny"/>
    <w:uiPriority w:val="99"/>
    <w:semiHidden/>
    <w:qFormat/>
    <w:rsid w:val="00A4602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4602D"/>
    <w:pPr>
      <w:spacing w:before="200"/>
      <w:ind w:left="360" w:right="360"/>
    </w:pPr>
    <w:rPr>
      <w:i/>
      <w:iCs/>
      <w:sz w:val="22"/>
      <w:lang w:bidi="en-US"/>
    </w:rPr>
  </w:style>
  <w:style w:type="character" w:customStyle="1" w:styleId="CytatZnak">
    <w:name w:val="Cytat Znak"/>
    <w:basedOn w:val="Domylnaczcionkaakapitu"/>
    <w:link w:val="Cytat"/>
    <w:uiPriority w:val="99"/>
    <w:semiHidden/>
    <w:rsid w:val="00A4602D"/>
    <w:rPr>
      <w:rFonts w:eastAsiaTheme="minorEastAsia"/>
      <w:i/>
      <w:iCs/>
      <w:lang w:bidi="en-US"/>
    </w:rPr>
  </w:style>
  <w:style w:type="character" w:styleId="Odwoaniedelikatne">
    <w:name w:val="Subtle Reference"/>
    <w:uiPriority w:val="99"/>
    <w:semiHidden/>
    <w:qFormat/>
    <w:rsid w:val="00A4602D"/>
    <w:rPr>
      <w:smallCaps/>
    </w:rPr>
  </w:style>
  <w:style w:type="table" w:styleId="Tabela-Siatka">
    <w:name w:val="Table Grid"/>
    <w:basedOn w:val="Standardowy"/>
    <w:uiPriority w:val="59"/>
    <w:semiHidden/>
    <w:rsid w:val="00A4602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4602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4602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4602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4602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4602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4602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4602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4602D"/>
    <w:pPr>
      <w:spacing w:before="120" w:after="120"/>
      <w:ind w:left="425" w:firstLine="142"/>
    </w:pPr>
    <w:rPr>
      <w:sz w:val="20"/>
    </w:rPr>
  </w:style>
  <w:style w:type="paragraph" w:customStyle="1" w:styleId="ECHRPara">
    <w:name w:val="ECHR_Para"/>
    <w:aliases w:val="Ju_Para,Left,First line:  0 cm,Para"/>
    <w:basedOn w:val="Normalny"/>
    <w:link w:val="ECHRParaChar"/>
    <w:qFormat/>
    <w:rsid w:val="00A4602D"/>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4602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4602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4602D"/>
    <w:pPr>
      <w:ind w:left="340" w:hanging="340"/>
    </w:pPr>
  </w:style>
  <w:style w:type="paragraph" w:customStyle="1" w:styleId="JuSigned">
    <w:name w:val="Ju_Signed"/>
    <w:basedOn w:val="Normalny"/>
    <w:next w:val="JuParaLast"/>
    <w:uiPriority w:val="32"/>
    <w:qFormat/>
    <w:rsid w:val="00A4602D"/>
    <w:pPr>
      <w:tabs>
        <w:tab w:val="center" w:pos="851"/>
        <w:tab w:val="center" w:pos="6407"/>
      </w:tabs>
      <w:spacing w:before="720"/>
      <w:jc w:val="left"/>
    </w:pPr>
  </w:style>
  <w:style w:type="paragraph" w:customStyle="1" w:styleId="JuParaLast">
    <w:name w:val="Ju_Para_Last"/>
    <w:basedOn w:val="Normalny"/>
    <w:next w:val="ECHRPara"/>
    <w:qFormat/>
    <w:rsid w:val="00A4602D"/>
    <w:pPr>
      <w:keepNext/>
      <w:keepLines/>
      <w:spacing w:before="240"/>
      <w:ind w:firstLine="284"/>
    </w:pPr>
  </w:style>
  <w:style w:type="paragraph" w:customStyle="1" w:styleId="JuParaSub">
    <w:name w:val="Ju_Para_Sub"/>
    <w:basedOn w:val="ECHRPara"/>
    <w:uiPriority w:val="13"/>
    <w:unhideWhenUsed/>
    <w:qFormat/>
    <w:rsid w:val="00A4602D"/>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A4602D"/>
    <w:pPr>
      <w:ind w:left="567"/>
    </w:pPr>
  </w:style>
  <w:style w:type="paragraph" w:customStyle="1" w:styleId="JuTitle">
    <w:name w:val="Ju_Title"/>
    <w:basedOn w:val="Normalny"/>
    <w:next w:val="ECHRPara"/>
    <w:uiPriority w:val="3"/>
    <w:semiHidden/>
    <w:qFormat/>
    <w:rsid w:val="00A4602D"/>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4602D"/>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4602D"/>
    <w:pPr>
      <w:ind w:left="833" w:hanging="357"/>
      <w:outlineLvl w:val="3"/>
    </w:pPr>
    <w:rPr>
      <w:b/>
      <w:i w:val="0"/>
      <w:sz w:val="20"/>
    </w:rPr>
  </w:style>
  <w:style w:type="paragraph" w:styleId="Podtytu">
    <w:name w:val="Subtitle"/>
    <w:basedOn w:val="Normalny"/>
    <w:next w:val="Normalny"/>
    <w:link w:val="PodtytuZnak"/>
    <w:uiPriority w:val="99"/>
    <w:semiHidden/>
    <w:qFormat/>
    <w:rsid w:val="00A4602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4602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4602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4602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4602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4602D"/>
    <w:pPr>
      <w:tabs>
        <w:tab w:val="clear" w:pos="357"/>
      </w:tabs>
      <w:outlineLvl w:val="1"/>
    </w:pPr>
    <w:rPr>
      <w:b/>
    </w:rPr>
  </w:style>
  <w:style w:type="paragraph" w:customStyle="1" w:styleId="OpiHi">
    <w:name w:val="Opi_H_i"/>
    <w:basedOn w:val="ECHRHeading4"/>
    <w:uiPriority w:val="44"/>
    <w:qFormat/>
    <w:rsid w:val="00A4602D"/>
    <w:pPr>
      <w:ind w:left="1037" w:hanging="357"/>
      <w:outlineLvl w:val="4"/>
    </w:pPr>
    <w:rPr>
      <w:b w:val="0"/>
      <w:i/>
    </w:rPr>
  </w:style>
  <w:style w:type="paragraph" w:customStyle="1" w:styleId="OpiPara">
    <w:name w:val="Opi_Para"/>
    <w:basedOn w:val="ECHRPara"/>
    <w:uiPriority w:val="46"/>
    <w:qFormat/>
    <w:rsid w:val="00A4602D"/>
  </w:style>
  <w:style w:type="paragraph" w:customStyle="1" w:styleId="OpiParaSub">
    <w:name w:val="Opi_Para_Sub"/>
    <w:basedOn w:val="JuParaSub"/>
    <w:uiPriority w:val="47"/>
    <w:unhideWhenUsed/>
    <w:qFormat/>
    <w:rsid w:val="00A4602D"/>
  </w:style>
  <w:style w:type="paragraph" w:customStyle="1" w:styleId="OpiQuot">
    <w:name w:val="Opi_Quot"/>
    <w:basedOn w:val="ECHRParaQuote"/>
    <w:uiPriority w:val="48"/>
    <w:qFormat/>
    <w:rsid w:val="00A4602D"/>
  </w:style>
  <w:style w:type="paragraph" w:customStyle="1" w:styleId="OpiQuotSub">
    <w:name w:val="Opi_Quot_Sub"/>
    <w:basedOn w:val="JuQuotSub"/>
    <w:uiPriority w:val="49"/>
    <w:qFormat/>
    <w:rsid w:val="00A4602D"/>
  </w:style>
  <w:style w:type="paragraph" w:customStyle="1" w:styleId="OpiTranslation">
    <w:name w:val="Opi_Translation"/>
    <w:basedOn w:val="Normalny"/>
    <w:next w:val="OpiPara"/>
    <w:uiPriority w:val="40"/>
    <w:qFormat/>
    <w:rsid w:val="00A4602D"/>
    <w:pPr>
      <w:jc w:val="center"/>
      <w:outlineLvl w:val="0"/>
    </w:pPr>
    <w:rPr>
      <w:i/>
    </w:rPr>
  </w:style>
  <w:style w:type="character" w:customStyle="1" w:styleId="ECHRParaChar">
    <w:name w:val="ECHR_Para Char"/>
    <w:aliases w:val="Ju_Para Char"/>
    <w:basedOn w:val="Domylnaczcionkaakapitu"/>
    <w:link w:val="ECHRPara"/>
    <w:uiPriority w:val="12"/>
    <w:rsid w:val="000A4494"/>
    <w:rPr>
      <w:rFonts w:eastAsiaTheme="minorEastAsia"/>
      <w:sz w:val="24"/>
    </w:rPr>
  </w:style>
  <w:style w:type="character" w:customStyle="1" w:styleId="JuQuotChar">
    <w:name w:val="Ju_Quot Char"/>
    <w:basedOn w:val="Domylnaczcionkaakapitu"/>
    <w:link w:val="ECHRParaQuote"/>
    <w:uiPriority w:val="14"/>
    <w:rsid w:val="005153FB"/>
    <w:rPr>
      <w:rFonts w:eastAsiaTheme="minorEastAsi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34173">
      <w:bodyDiv w:val="1"/>
      <w:marLeft w:val="0"/>
      <w:marRight w:val="0"/>
      <w:marTop w:val="0"/>
      <w:marBottom w:val="0"/>
      <w:divBdr>
        <w:top w:val="none" w:sz="0" w:space="0" w:color="auto"/>
        <w:left w:val="none" w:sz="0" w:space="0" w:color="auto"/>
        <w:bottom w:val="none" w:sz="0" w:space="0" w:color="auto"/>
        <w:right w:val="none" w:sz="0" w:space="0" w:color="auto"/>
      </w:divBdr>
      <w:divsChild>
        <w:div w:id="1946881715">
          <w:marLeft w:val="0"/>
          <w:marRight w:val="0"/>
          <w:marTop w:val="0"/>
          <w:marBottom w:val="0"/>
          <w:divBdr>
            <w:top w:val="none" w:sz="0" w:space="0" w:color="auto"/>
            <w:left w:val="none" w:sz="0" w:space="0" w:color="auto"/>
            <w:bottom w:val="none" w:sz="0" w:space="0" w:color="auto"/>
            <w:right w:val="none" w:sz="0" w:space="0" w:color="auto"/>
          </w:divBdr>
          <w:divsChild>
            <w:div w:id="1906646905">
              <w:marLeft w:val="0"/>
              <w:marRight w:val="0"/>
              <w:marTop w:val="0"/>
              <w:marBottom w:val="0"/>
              <w:divBdr>
                <w:top w:val="none" w:sz="0" w:space="0" w:color="auto"/>
                <w:left w:val="none" w:sz="0" w:space="0" w:color="auto"/>
                <w:bottom w:val="none" w:sz="0" w:space="0" w:color="auto"/>
                <w:right w:val="none" w:sz="0" w:space="0" w:color="auto"/>
              </w:divBdr>
              <w:divsChild>
                <w:div w:id="1872761850">
                  <w:marLeft w:val="0"/>
                  <w:marRight w:val="0"/>
                  <w:marTop w:val="0"/>
                  <w:marBottom w:val="0"/>
                  <w:divBdr>
                    <w:top w:val="none" w:sz="0" w:space="0" w:color="auto"/>
                    <w:left w:val="none" w:sz="0" w:space="0" w:color="auto"/>
                    <w:bottom w:val="none" w:sz="0" w:space="0" w:color="auto"/>
                    <w:right w:val="none" w:sz="0" w:space="0" w:color="auto"/>
                  </w:divBdr>
                  <w:divsChild>
                    <w:div w:id="365374837">
                      <w:marLeft w:val="0"/>
                      <w:marRight w:val="0"/>
                      <w:marTop w:val="0"/>
                      <w:marBottom w:val="0"/>
                      <w:divBdr>
                        <w:top w:val="none" w:sz="0" w:space="0" w:color="auto"/>
                        <w:left w:val="none" w:sz="0" w:space="0" w:color="auto"/>
                        <w:bottom w:val="none" w:sz="0" w:space="0" w:color="auto"/>
                        <w:right w:val="none" w:sz="0" w:space="0" w:color="auto"/>
                      </w:divBdr>
                      <w:divsChild>
                        <w:div w:id="1132864722">
                          <w:marLeft w:val="0"/>
                          <w:marRight w:val="0"/>
                          <w:marTop w:val="0"/>
                          <w:marBottom w:val="0"/>
                          <w:divBdr>
                            <w:top w:val="none" w:sz="0" w:space="0" w:color="auto"/>
                            <w:left w:val="none" w:sz="0" w:space="0" w:color="auto"/>
                            <w:bottom w:val="none" w:sz="0" w:space="0" w:color="auto"/>
                            <w:right w:val="none" w:sz="0" w:space="0" w:color="auto"/>
                          </w:divBdr>
                          <w:divsChild>
                            <w:div w:id="52147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49705">
      <w:bodyDiv w:val="1"/>
      <w:marLeft w:val="0"/>
      <w:marRight w:val="0"/>
      <w:marTop w:val="0"/>
      <w:marBottom w:val="0"/>
      <w:divBdr>
        <w:top w:val="none" w:sz="0" w:space="0" w:color="auto"/>
        <w:left w:val="none" w:sz="0" w:space="0" w:color="auto"/>
        <w:bottom w:val="none" w:sz="0" w:space="0" w:color="auto"/>
        <w:right w:val="none" w:sz="0" w:space="0" w:color="auto"/>
      </w:divBdr>
      <w:divsChild>
        <w:div w:id="1389957528">
          <w:marLeft w:val="0"/>
          <w:marRight w:val="0"/>
          <w:marTop w:val="0"/>
          <w:marBottom w:val="0"/>
          <w:divBdr>
            <w:top w:val="none" w:sz="0" w:space="0" w:color="auto"/>
            <w:left w:val="none" w:sz="0" w:space="0" w:color="auto"/>
            <w:bottom w:val="none" w:sz="0" w:space="0" w:color="auto"/>
            <w:right w:val="none" w:sz="0" w:space="0" w:color="auto"/>
          </w:divBdr>
          <w:divsChild>
            <w:div w:id="116534644">
              <w:marLeft w:val="0"/>
              <w:marRight w:val="0"/>
              <w:marTop w:val="0"/>
              <w:marBottom w:val="0"/>
              <w:divBdr>
                <w:top w:val="none" w:sz="0" w:space="0" w:color="auto"/>
                <w:left w:val="none" w:sz="0" w:space="0" w:color="auto"/>
                <w:bottom w:val="none" w:sz="0" w:space="0" w:color="auto"/>
                <w:right w:val="none" w:sz="0" w:space="0" w:color="auto"/>
              </w:divBdr>
              <w:divsChild>
                <w:div w:id="1769890052">
                  <w:marLeft w:val="0"/>
                  <w:marRight w:val="0"/>
                  <w:marTop w:val="0"/>
                  <w:marBottom w:val="0"/>
                  <w:divBdr>
                    <w:top w:val="none" w:sz="0" w:space="0" w:color="auto"/>
                    <w:left w:val="none" w:sz="0" w:space="0" w:color="auto"/>
                    <w:bottom w:val="none" w:sz="0" w:space="0" w:color="auto"/>
                    <w:right w:val="none" w:sz="0" w:space="0" w:color="auto"/>
                  </w:divBdr>
                  <w:divsChild>
                    <w:div w:id="1840191436">
                      <w:marLeft w:val="0"/>
                      <w:marRight w:val="0"/>
                      <w:marTop w:val="0"/>
                      <w:marBottom w:val="0"/>
                      <w:divBdr>
                        <w:top w:val="none" w:sz="0" w:space="0" w:color="auto"/>
                        <w:left w:val="none" w:sz="0" w:space="0" w:color="auto"/>
                        <w:bottom w:val="none" w:sz="0" w:space="0" w:color="auto"/>
                        <w:right w:val="none" w:sz="0" w:space="0" w:color="auto"/>
                      </w:divBdr>
                      <w:divsChild>
                        <w:div w:id="685668560">
                          <w:marLeft w:val="0"/>
                          <w:marRight w:val="0"/>
                          <w:marTop w:val="0"/>
                          <w:marBottom w:val="0"/>
                          <w:divBdr>
                            <w:top w:val="none" w:sz="0" w:space="0" w:color="auto"/>
                            <w:left w:val="none" w:sz="0" w:space="0" w:color="auto"/>
                            <w:bottom w:val="none" w:sz="0" w:space="0" w:color="auto"/>
                            <w:right w:val="none" w:sz="0" w:space="0" w:color="auto"/>
                          </w:divBdr>
                          <w:divsChild>
                            <w:div w:id="132805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191552">
      <w:bodyDiv w:val="1"/>
      <w:marLeft w:val="0"/>
      <w:marRight w:val="0"/>
      <w:marTop w:val="0"/>
      <w:marBottom w:val="0"/>
      <w:divBdr>
        <w:top w:val="none" w:sz="0" w:space="0" w:color="auto"/>
        <w:left w:val="none" w:sz="0" w:space="0" w:color="auto"/>
        <w:bottom w:val="none" w:sz="0" w:space="0" w:color="auto"/>
        <w:right w:val="none" w:sz="0" w:space="0" w:color="auto"/>
      </w:divBdr>
      <w:divsChild>
        <w:div w:id="182674295">
          <w:marLeft w:val="0"/>
          <w:marRight w:val="0"/>
          <w:marTop w:val="0"/>
          <w:marBottom w:val="0"/>
          <w:divBdr>
            <w:top w:val="none" w:sz="0" w:space="0" w:color="auto"/>
            <w:left w:val="none" w:sz="0" w:space="0" w:color="auto"/>
            <w:bottom w:val="none" w:sz="0" w:space="0" w:color="auto"/>
            <w:right w:val="none" w:sz="0" w:space="0" w:color="auto"/>
          </w:divBdr>
          <w:divsChild>
            <w:div w:id="503784984">
              <w:marLeft w:val="0"/>
              <w:marRight w:val="0"/>
              <w:marTop w:val="0"/>
              <w:marBottom w:val="0"/>
              <w:divBdr>
                <w:top w:val="none" w:sz="0" w:space="0" w:color="auto"/>
                <w:left w:val="none" w:sz="0" w:space="0" w:color="auto"/>
                <w:bottom w:val="none" w:sz="0" w:space="0" w:color="auto"/>
                <w:right w:val="none" w:sz="0" w:space="0" w:color="auto"/>
              </w:divBdr>
              <w:divsChild>
                <w:div w:id="78795542">
                  <w:marLeft w:val="0"/>
                  <w:marRight w:val="0"/>
                  <w:marTop w:val="0"/>
                  <w:marBottom w:val="0"/>
                  <w:divBdr>
                    <w:top w:val="none" w:sz="0" w:space="0" w:color="auto"/>
                    <w:left w:val="none" w:sz="0" w:space="0" w:color="auto"/>
                    <w:bottom w:val="none" w:sz="0" w:space="0" w:color="auto"/>
                    <w:right w:val="none" w:sz="0" w:space="0" w:color="auto"/>
                  </w:divBdr>
                  <w:divsChild>
                    <w:div w:id="81529350">
                      <w:marLeft w:val="0"/>
                      <w:marRight w:val="0"/>
                      <w:marTop w:val="0"/>
                      <w:marBottom w:val="0"/>
                      <w:divBdr>
                        <w:top w:val="none" w:sz="0" w:space="0" w:color="auto"/>
                        <w:left w:val="none" w:sz="0" w:space="0" w:color="auto"/>
                        <w:bottom w:val="none" w:sz="0" w:space="0" w:color="auto"/>
                        <w:right w:val="none" w:sz="0" w:space="0" w:color="auto"/>
                      </w:divBdr>
                      <w:divsChild>
                        <w:div w:id="2102069555">
                          <w:marLeft w:val="0"/>
                          <w:marRight w:val="0"/>
                          <w:marTop w:val="0"/>
                          <w:marBottom w:val="0"/>
                          <w:divBdr>
                            <w:top w:val="none" w:sz="0" w:space="0" w:color="auto"/>
                            <w:left w:val="none" w:sz="0" w:space="0" w:color="auto"/>
                            <w:bottom w:val="none" w:sz="0" w:space="0" w:color="auto"/>
                            <w:right w:val="none" w:sz="0" w:space="0" w:color="auto"/>
                          </w:divBdr>
                          <w:divsChild>
                            <w:div w:id="18699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06419205">
      <w:bodyDiv w:val="1"/>
      <w:marLeft w:val="0"/>
      <w:marRight w:val="0"/>
      <w:marTop w:val="0"/>
      <w:marBottom w:val="0"/>
      <w:divBdr>
        <w:top w:val="none" w:sz="0" w:space="0" w:color="auto"/>
        <w:left w:val="none" w:sz="0" w:space="0" w:color="auto"/>
        <w:bottom w:val="none" w:sz="0" w:space="0" w:color="auto"/>
        <w:right w:val="none" w:sz="0" w:space="0" w:color="auto"/>
      </w:divBdr>
      <w:divsChild>
        <w:div w:id="895241958">
          <w:marLeft w:val="0"/>
          <w:marRight w:val="0"/>
          <w:marTop w:val="0"/>
          <w:marBottom w:val="0"/>
          <w:divBdr>
            <w:top w:val="none" w:sz="0" w:space="0" w:color="auto"/>
            <w:left w:val="none" w:sz="0" w:space="0" w:color="auto"/>
            <w:bottom w:val="none" w:sz="0" w:space="0" w:color="auto"/>
            <w:right w:val="none" w:sz="0" w:space="0" w:color="auto"/>
          </w:divBdr>
          <w:divsChild>
            <w:div w:id="658770205">
              <w:marLeft w:val="0"/>
              <w:marRight w:val="0"/>
              <w:marTop w:val="0"/>
              <w:marBottom w:val="0"/>
              <w:divBdr>
                <w:top w:val="none" w:sz="0" w:space="0" w:color="auto"/>
                <w:left w:val="none" w:sz="0" w:space="0" w:color="auto"/>
                <w:bottom w:val="none" w:sz="0" w:space="0" w:color="auto"/>
                <w:right w:val="none" w:sz="0" w:space="0" w:color="auto"/>
              </w:divBdr>
              <w:divsChild>
                <w:div w:id="1068529290">
                  <w:marLeft w:val="0"/>
                  <w:marRight w:val="0"/>
                  <w:marTop w:val="0"/>
                  <w:marBottom w:val="0"/>
                  <w:divBdr>
                    <w:top w:val="none" w:sz="0" w:space="0" w:color="auto"/>
                    <w:left w:val="none" w:sz="0" w:space="0" w:color="auto"/>
                    <w:bottom w:val="none" w:sz="0" w:space="0" w:color="auto"/>
                    <w:right w:val="none" w:sz="0" w:space="0" w:color="auto"/>
                  </w:divBdr>
                  <w:divsChild>
                    <w:div w:id="884291366">
                      <w:marLeft w:val="0"/>
                      <w:marRight w:val="0"/>
                      <w:marTop w:val="0"/>
                      <w:marBottom w:val="0"/>
                      <w:divBdr>
                        <w:top w:val="none" w:sz="0" w:space="0" w:color="auto"/>
                        <w:left w:val="none" w:sz="0" w:space="0" w:color="auto"/>
                        <w:bottom w:val="none" w:sz="0" w:space="0" w:color="auto"/>
                        <w:right w:val="none" w:sz="0" w:space="0" w:color="auto"/>
                      </w:divBdr>
                      <w:divsChild>
                        <w:div w:id="17511225">
                          <w:marLeft w:val="0"/>
                          <w:marRight w:val="0"/>
                          <w:marTop w:val="0"/>
                          <w:marBottom w:val="0"/>
                          <w:divBdr>
                            <w:top w:val="none" w:sz="0" w:space="0" w:color="auto"/>
                            <w:left w:val="none" w:sz="0" w:space="0" w:color="auto"/>
                            <w:bottom w:val="none" w:sz="0" w:space="0" w:color="auto"/>
                            <w:right w:val="none" w:sz="0" w:space="0" w:color="auto"/>
                          </w:divBdr>
                          <w:divsChild>
                            <w:div w:id="4275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04A57-BACF-4E8D-9E21-478C72CE09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1B7C227-0F9A-4B9C-BF62-F1A32743BB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72FD6D-80C9-4CBC-959A-299BC9161EAE}">
  <ds:schemaRefs>
    <ds:schemaRef ds:uri="http://schemas.microsoft.com/sharepoint/v3/contenttype/forms"/>
  </ds:schemaRefs>
</ds:datastoreItem>
</file>

<file path=customXml/itemProps4.xml><?xml version="1.0" encoding="utf-8"?>
<ds:datastoreItem xmlns:ds="http://schemas.openxmlformats.org/officeDocument/2006/customXml" ds:itemID="{8524E3F2-5E33-4DA2-B323-E77F92253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3466</Words>
  <Characters>20800</Characters>
  <Application>Microsoft Office Word</Application>
  <DocSecurity>0</DocSecurity>
  <Lines>173</Lines>
  <Paragraphs>48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2017-03-13T08:55:00Z</dcterms:created>
  <dcterms:modified xsi:type="dcterms:W3CDTF">2017-03-13T08:55:00Z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