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E5A" w:rsidRPr="009E7ED6" w:rsidRDefault="00970E5A" w:rsidP="00C95D01">
      <w:pPr>
        <w:jc w:val="center"/>
        <w:rPr>
          <w:lang w:val="pl-PL"/>
        </w:rPr>
      </w:pPr>
      <w:bookmarkStart w:id="0" w:name="_GoBack"/>
      <w:bookmarkEnd w:id="0"/>
    </w:p>
    <w:p w:rsidR="00970E5A" w:rsidRPr="009E7ED6" w:rsidRDefault="00970E5A" w:rsidP="00C95D01">
      <w:pPr>
        <w:jc w:val="center"/>
        <w:rPr>
          <w:lang w:val="pl-PL"/>
        </w:rPr>
      </w:pPr>
    </w:p>
    <w:p w:rsidR="00970E5A" w:rsidRPr="009E7ED6" w:rsidRDefault="00970E5A" w:rsidP="00C95D01">
      <w:pPr>
        <w:jc w:val="center"/>
        <w:rPr>
          <w:lang w:val="pl-PL"/>
        </w:rPr>
      </w:pPr>
    </w:p>
    <w:p w:rsidR="00970E5A" w:rsidRPr="009E7ED6" w:rsidRDefault="00970E5A" w:rsidP="00C95D01">
      <w:pPr>
        <w:jc w:val="center"/>
        <w:rPr>
          <w:lang w:val="pl-PL"/>
        </w:rPr>
      </w:pPr>
      <w:r w:rsidRPr="009E7ED6">
        <w:rPr>
          <w:lang w:val="pl-PL"/>
        </w:rPr>
        <w:t>SEKCJA CZWARTA</w:t>
      </w:r>
    </w:p>
    <w:p w:rsidR="00970E5A" w:rsidRPr="009E7ED6" w:rsidRDefault="00970E5A" w:rsidP="00C95D01">
      <w:pPr>
        <w:jc w:val="center"/>
        <w:rPr>
          <w:lang w:val="pl-PL"/>
        </w:rPr>
      </w:pPr>
    </w:p>
    <w:p w:rsidR="00970E5A" w:rsidRPr="009E7ED6" w:rsidRDefault="00970E5A" w:rsidP="00C95D01">
      <w:pPr>
        <w:jc w:val="center"/>
        <w:rPr>
          <w:lang w:val="pl-PL"/>
        </w:rPr>
      </w:pPr>
    </w:p>
    <w:p w:rsidR="00970E5A" w:rsidRPr="009E7ED6" w:rsidRDefault="00970E5A" w:rsidP="00C95D01">
      <w:pPr>
        <w:jc w:val="center"/>
        <w:rPr>
          <w:lang w:val="pl-PL"/>
        </w:rPr>
      </w:pPr>
    </w:p>
    <w:p w:rsidR="00970E5A" w:rsidRPr="009E7ED6" w:rsidRDefault="00970E5A" w:rsidP="00C95D01">
      <w:pPr>
        <w:jc w:val="center"/>
        <w:rPr>
          <w:lang w:val="pl-PL"/>
        </w:rPr>
      </w:pPr>
    </w:p>
    <w:p w:rsidR="00970E5A" w:rsidRPr="009E7ED6" w:rsidRDefault="00970E5A" w:rsidP="00C95D01">
      <w:pPr>
        <w:jc w:val="center"/>
        <w:rPr>
          <w:lang w:val="pl-PL"/>
        </w:rPr>
      </w:pPr>
    </w:p>
    <w:p w:rsidR="00970E5A" w:rsidRPr="009E7ED6" w:rsidRDefault="00970E5A" w:rsidP="00C95D01">
      <w:pPr>
        <w:jc w:val="center"/>
        <w:rPr>
          <w:lang w:val="pl-PL"/>
        </w:rPr>
      </w:pPr>
    </w:p>
    <w:p w:rsidR="00970E5A" w:rsidRPr="009E7ED6" w:rsidRDefault="00970E5A" w:rsidP="00C95D01">
      <w:pPr>
        <w:jc w:val="center"/>
        <w:rPr>
          <w:b/>
          <w:lang w:val="pl-PL"/>
        </w:rPr>
      </w:pPr>
      <w:bookmarkStart w:id="1" w:name="To"/>
      <w:r w:rsidRPr="009E7ED6">
        <w:rPr>
          <w:b/>
          <w:lang w:val="pl-PL"/>
        </w:rPr>
        <w:t xml:space="preserve">SPRAWA </w:t>
      </w:r>
      <w:bookmarkEnd w:id="1"/>
      <w:r w:rsidRPr="009E7ED6">
        <w:rPr>
          <w:b/>
          <w:lang w:val="pl-PL"/>
        </w:rPr>
        <w:t>PRZYDZIAŁ PRZECIWKO POLSCE</w:t>
      </w:r>
    </w:p>
    <w:p w:rsidR="00970E5A" w:rsidRPr="009E7ED6" w:rsidRDefault="00970E5A" w:rsidP="00C95D01">
      <w:pPr>
        <w:jc w:val="center"/>
        <w:rPr>
          <w:lang w:val="pl-PL"/>
        </w:rPr>
      </w:pPr>
    </w:p>
    <w:p w:rsidR="00970E5A" w:rsidRPr="009E7ED6" w:rsidRDefault="00970E5A" w:rsidP="00C95D01">
      <w:pPr>
        <w:jc w:val="center"/>
        <w:rPr>
          <w:szCs w:val="24"/>
          <w:u w:val="single"/>
          <w:lang w:val="pl-PL"/>
        </w:rPr>
      </w:pPr>
      <w:r w:rsidRPr="009E7ED6">
        <w:rPr>
          <w:i/>
          <w:lang w:val="pl-PL"/>
        </w:rPr>
        <w:t>(Skarga nr 15487/08)</w:t>
      </w:r>
    </w:p>
    <w:p w:rsidR="00970E5A" w:rsidRPr="009E7ED6" w:rsidRDefault="00970E5A" w:rsidP="00C95D01">
      <w:pPr>
        <w:jc w:val="center"/>
        <w:rPr>
          <w:szCs w:val="24"/>
          <w:lang w:val="pl-PL"/>
        </w:rPr>
      </w:pPr>
    </w:p>
    <w:p w:rsidR="00970E5A" w:rsidRPr="009E7ED6" w:rsidRDefault="00970E5A" w:rsidP="00C95D01">
      <w:pPr>
        <w:jc w:val="center"/>
        <w:rPr>
          <w:szCs w:val="24"/>
          <w:lang w:val="pl-PL"/>
        </w:rPr>
      </w:pPr>
    </w:p>
    <w:p w:rsidR="00970E5A" w:rsidRPr="009E7ED6" w:rsidRDefault="00970E5A" w:rsidP="00C95D01">
      <w:pPr>
        <w:jc w:val="center"/>
        <w:rPr>
          <w:szCs w:val="24"/>
          <w:lang w:val="pl-PL"/>
        </w:rPr>
      </w:pPr>
    </w:p>
    <w:p w:rsidR="00970E5A" w:rsidRPr="009E7ED6" w:rsidRDefault="00970E5A" w:rsidP="00C95D01">
      <w:pPr>
        <w:jc w:val="center"/>
        <w:rPr>
          <w:szCs w:val="24"/>
          <w:lang w:val="pl-PL"/>
        </w:rPr>
      </w:pPr>
    </w:p>
    <w:p w:rsidR="00970E5A" w:rsidRPr="009E7ED6" w:rsidRDefault="00970E5A" w:rsidP="00C95D01">
      <w:pPr>
        <w:jc w:val="center"/>
        <w:rPr>
          <w:szCs w:val="24"/>
          <w:lang w:val="pl-PL"/>
        </w:rPr>
      </w:pPr>
    </w:p>
    <w:p w:rsidR="00970E5A" w:rsidRPr="009E7ED6" w:rsidRDefault="00970E5A" w:rsidP="00C95D01">
      <w:pPr>
        <w:jc w:val="center"/>
        <w:rPr>
          <w:szCs w:val="24"/>
          <w:lang w:val="pl-PL"/>
        </w:rPr>
      </w:pPr>
    </w:p>
    <w:p w:rsidR="00970E5A" w:rsidRPr="009E7ED6" w:rsidRDefault="00970E5A" w:rsidP="00C95D01">
      <w:pPr>
        <w:jc w:val="center"/>
        <w:rPr>
          <w:szCs w:val="24"/>
          <w:lang w:val="pl-PL"/>
        </w:rPr>
      </w:pPr>
    </w:p>
    <w:p w:rsidR="00970E5A" w:rsidRPr="009E7ED6" w:rsidRDefault="00970E5A" w:rsidP="00C95D01">
      <w:pPr>
        <w:jc w:val="center"/>
        <w:rPr>
          <w:szCs w:val="24"/>
          <w:lang w:val="pl-PL"/>
        </w:rPr>
      </w:pPr>
    </w:p>
    <w:p w:rsidR="00970E5A" w:rsidRPr="009E7ED6" w:rsidRDefault="00970E5A" w:rsidP="00C95D01">
      <w:pPr>
        <w:jc w:val="center"/>
        <w:rPr>
          <w:szCs w:val="24"/>
          <w:lang w:val="pl-PL"/>
        </w:rPr>
      </w:pPr>
    </w:p>
    <w:p w:rsidR="00970E5A" w:rsidRPr="009E7ED6" w:rsidRDefault="00970E5A" w:rsidP="00C95D01">
      <w:pPr>
        <w:jc w:val="center"/>
        <w:rPr>
          <w:szCs w:val="24"/>
          <w:lang w:val="pl-PL"/>
        </w:rPr>
      </w:pPr>
      <w:r w:rsidRPr="009E7ED6">
        <w:rPr>
          <w:szCs w:val="24"/>
          <w:lang w:val="pl-PL"/>
        </w:rPr>
        <w:t>WYROK</w:t>
      </w:r>
    </w:p>
    <w:p w:rsidR="00970E5A" w:rsidRPr="009E7ED6" w:rsidRDefault="00970E5A" w:rsidP="00C95D01">
      <w:pPr>
        <w:pStyle w:val="ECHRPara"/>
        <w:ind w:firstLine="0"/>
        <w:jc w:val="center"/>
        <w:rPr>
          <w:lang w:val="pl-PL"/>
        </w:rPr>
      </w:pPr>
    </w:p>
    <w:p w:rsidR="00970E5A" w:rsidRPr="009E7ED6" w:rsidRDefault="00970E5A" w:rsidP="00C95D01">
      <w:pPr>
        <w:pStyle w:val="ECHRPara"/>
        <w:ind w:firstLine="0"/>
        <w:jc w:val="center"/>
        <w:rPr>
          <w:lang w:val="pl-PL"/>
        </w:rPr>
      </w:pPr>
    </w:p>
    <w:p w:rsidR="00970E5A" w:rsidRPr="009E7ED6" w:rsidRDefault="00970E5A" w:rsidP="00C95D01">
      <w:pPr>
        <w:pStyle w:val="ECHRPara"/>
        <w:ind w:firstLine="0"/>
        <w:jc w:val="center"/>
        <w:rPr>
          <w:lang w:val="pl-PL"/>
        </w:rPr>
      </w:pPr>
    </w:p>
    <w:p w:rsidR="00970E5A" w:rsidRPr="009E7ED6" w:rsidRDefault="00970E5A" w:rsidP="00C95D01">
      <w:pPr>
        <w:pStyle w:val="ECHRPara"/>
        <w:ind w:firstLine="0"/>
        <w:jc w:val="center"/>
        <w:rPr>
          <w:lang w:val="pl-PL"/>
        </w:rPr>
      </w:pPr>
      <w:r w:rsidRPr="009E7ED6">
        <w:rPr>
          <w:lang w:val="pl-PL"/>
        </w:rPr>
        <w:t>STRASBURG</w:t>
      </w:r>
    </w:p>
    <w:p w:rsidR="00970E5A" w:rsidRPr="009E7ED6" w:rsidRDefault="00970E5A" w:rsidP="00C95D01">
      <w:pPr>
        <w:pStyle w:val="ECHRPara"/>
        <w:ind w:firstLine="0"/>
        <w:jc w:val="center"/>
        <w:rPr>
          <w:lang w:val="pl-PL"/>
        </w:rPr>
      </w:pPr>
    </w:p>
    <w:p w:rsidR="00970E5A" w:rsidRPr="009E7ED6" w:rsidRDefault="00970E5A" w:rsidP="00C95D01">
      <w:pPr>
        <w:pStyle w:val="ECHRPara"/>
        <w:ind w:firstLine="0"/>
        <w:jc w:val="center"/>
        <w:rPr>
          <w:lang w:val="pl-PL"/>
        </w:rPr>
      </w:pPr>
      <w:r w:rsidRPr="009E7ED6">
        <w:rPr>
          <w:lang w:val="pl-PL"/>
        </w:rPr>
        <w:t>24 maja 2016 r.</w:t>
      </w:r>
    </w:p>
    <w:p w:rsidR="00970E5A" w:rsidRPr="009E7ED6" w:rsidRDefault="00970E5A" w:rsidP="00C95D01">
      <w:pPr>
        <w:pStyle w:val="ECHRPara"/>
        <w:ind w:firstLine="0"/>
        <w:jc w:val="center"/>
        <w:rPr>
          <w:lang w:val="pl-PL"/>
        </w:rPr>
      </w:pPr>
    </w:p>
    <w:p w:rsidR="00970E5A" w:rsidRDefault="00E60206" w:rsidP="00C95D01">
      <w:pPr>
        <w:pStyle w:val="ECHRPara"/>
        <w:ind w:firstLine="0"/>
        <w:jc w:val="center"/>
        <w:rPr>
          <w:lang w:val="pl-PL"/>
        </w:rPr>
      </w:pPr>
      <w:r>
        <w:rPr>
          <w:lang w:val="pl-PL"/>
        </w:rPr>
        <w:t>OSTATECZNY</w:t>
      </w:r>
    </w:p>
    <w:p w:rsidR="00E60206" w:rsidRPr="009E7ED6" w:rsidRDefault="00E60206" w:rsidP="00C95D01">
      <w:pPr>
        <w:pStyle w:val="ECHRPara"/>
        <w:ind w:firstLine="0"/>
        <w:jc w:val="center"/>
        <w:rPr>
          <w:lang w:val="pl-PL"/>
        </w:rPr>
      </w:pPr>
      <w:r>
        <w:rPr>
          <w:lang w:val="pl-PL"/>
        </w:rPr>
        <w:t>24/08/2016</w:t>
      </w:r>
    </w:p>
    <w:p w:rsidR="00970E5A" w:rsidRPr="009E7ED6" w:rsidRDefault="00970E5A" w:rsidP="00C95D01">
      <w:pPr>
        <w:pStyle w:val="ECHRPara"/>
        <w:ind w:firstLine="0"/>
        <w:jc w:val="center"/>
        <w:rPr>
          <w:lang w:val="pl-PL"/>
        </w:rPr>
      </w:pPr>
    </w:p>
    <w:p w:rsidR="00970E5A" w:rsidRPr="009E7ED6" w:rsidRDefault="00970E5A" w:rsidP="00C95D01">
      <w:pPr>
        <w:pStyle w:val="ECHRPara"/>
        <w:ind w:firstLine="0"/>
        <w:jc w:val="center"/>
        <w:rPr>
          <w:lang w:val="pl-PL"/>
        </w:rPr>
      </w:pPr>
    </w:p>
    <w:p w:rsidR="00970E5A" w:rsidRPr="009E7ED6" w:rsidRDefault="00970E5A" w:rsidP="00164FEE">
      <w:pPr>
        <w:pStyle w:val="JuCase"/>
        <w:ind w:firstLine="0"/>
        <w:rPr>
          <w:b w:val="0"/>
          <w:i/>
          <w:sz w:val="22"/>
          <w:lang w:val="pl-PL"/>
        </w:rPr>
      </w:pPr>
      <w:r w:rsidRPr="009E7ED6">
        <w:rPr>
          <w:b w:val="0"/>
          <w:i/>
          <w:sz w:val="22"/>
          <w:szCs w:val="20"/>
          <w:lang w:val="pl-PL" w:eastAsia="fr-FR"/>
        </w:rPr>
        <w:t xml:space="preserve">Ten wyrok </w:t>
      </w:r>
      <w:r w:rsidR="00E60206">
        <w:rPr>
          <w:b w:val="0"/>
          <w:i/>
          <w:sz w:val="22"/>
          <w:szCs w:val="20"/>
          <w:lang w:val="pl-PL" w:eastAsia="fr-FR"/>
        </w:rPr>
        <w:t>stał się ostateczny</w:t>
      </w:r>
      <w:r w:rsidRPr="009E7ED6">
        <w:rPr>
          <w:b w:val="0"/>
          <w:i/>
          <w:sz w:val="22"/>
          <w:szCs w:val="20"/>
          <w:lang w:val="pl-PL" w:eastAsia="fr-FR"/>
        </w:rPr>
        <w:t xml:space="preserve"> </w:t>
      </w:r>
      <w:r w:rsidR="00E60206">
        <w:rPr>
          <w:b w:val="0"/>
          <w:i/>
          <w:sz w:val="22"/>
          <w:szCs w:val="20"/>
          <w:lang w:val="pl-PL" w:eastAsia="fr-FR"/>
        </w:rPr>
        <w:t>zgodnie z warunkami</w:t>
      </w:r>
      <w:r w:rsidRPr="009E7ED6">
        <w:rPr>
          <w:b w:val="0"/>
          <w:i/>
          <w:sz w:val="22"/>
          <w:szCs w:val="20"/>
          <w:lang w:val="pl-PL" w:eastAsia="fr-FR"/>
        </w:rPr>
        <w:t xml:space="preserve"> określony</w:t>
      </w:r>
      <w:r w:rsidR="00E60206">
        <w:rPr>
          <w:b w:val="0"/>
          <w:i/>
          <w:sz w:val="22"/>
          <w:szCs w:val="20"/>
          <w:lang w:val="pl-PL" w:eastAsia="fr-FR"/>
        </w:rPr>
        <w:t>mi</w:t>
      </w:r>
      <w:r w:rsidRPr="009E7ED6">
        <w:rPr>
          <w:b w:val="0"/>
          <w:i/>
          <w:sz w:val="22"/>
          <w:szCs w:val="20"/>
          <w:lang w:val="pl-PL" w:eastAsia="fr-FR"/>
        </w:rPr>
        <w:t xml:space="preserve"> w Artykule 44 § 2 Konwencji. Może podlegać korekcie wydawniczej</w:t>
      </w:r>
      <w:r w:rsidRPr="009E7ED6">
        <w:rPr>
          <w:b w:val="0"/>
          <w:i/>
          <w:sz w:val="22"/>
          <w:lang w:val="pl-PL"/>
        </w:rPr>
        <w:t>.</w:t>
      </w:r>
    </w:p>
    <w:p w:rsidR="00970E5A" w:rsidRPr="009E7ED6" w:rsidRDefault="00970E5A" w:rsidP="00C95D01">
      <w:pPr>
        <w:pStyle w:val="ECHRPara"/>
        <w:ind w:firstLine="0"/>
        <w:rPr>
          <w:i/>
          <w:sz w:val="22"/>
          <w:lang w:val="pl-PL"/>
        </w:rPr>
      </w:pPr>
    </w:p>
    <w:p w:rsidR="00970E5A" w:rsidRPr="009E7ED6" w:rsidRDefault="00970E5A" w:rsidP="00C95D01">
      <w:pPr>
        <w:pStyle w:val="ECHRPara"/>
        <w:ind w:firstLine="0"/>
        <w:rPr>
          <w:lang w:val="pl-PL"/>
        </w:rPr>
        <w:sectPr w:rsidR="00970E5A" w:rsidRPr="009E7ED6" w:rsidSect="00667353">
          <w:headerReference w:type="default" r:id="rId8"/>
          <w:headerReference w:type="first" r:id="rId9"/>
          <w:footerReference w:type="first" r:id="rId10"/>
          <w:pgSz w:w="11906" w:h="16838" w:code="9"/>
          <w:pgMar w:top="2274" w:right="2274" w:bottom="2274" w:left="2274" w:header="1701" w:footer="708" w:gutter="0"/>
          <w:pgNumType w:start="1"/>
          <w:cols w:space="708"/>
          <w:titlePg/>
          <w:docGrid w:linePitch="326"/>
        </w:sectPr>
      </w:pPr>
    </w:p>
    <w:p w:rsidR="00970E5A" w:rsidRPr="009E7ED6" w:rsidRDefault="00970E5A" w:rsidP="00C95D01">
      <w:pPr>
        <w:pStyle w:val="JuCase"/>
        <w:rPr>
          <w:lang w:val="pl-PL"/>
        </w:rPr>
      </w:pPr>
      <w:r w:rsidRPr="009E7ED6">
        <w:rPr>
          <w:lang w:val="pl-PL"/>
        </w:rPr>
        <w:lastRenderedPageBreak/>
        <w:t>W sprawie Przydział przeciwko Polsce,</w:t>
      </w:r>
    </w:p>
    <w:p w:rsidR="00970E5A" w:rsidRPr="009E7ED6" w:rsidRDefault="00970E5A" w:rsidP="00C95D01">
      <w:pPr>
        <w:pStyle w:val="ECHRPara"/>
        <w:rPr>
          <w:lang w:val="pl-PL"/>
        </w:rPr>
      </w:pPr>
      <w:r w:rsidRPr="009E7ED6">
        <w:rPr>
          <w:lang w:val="pl-PL"/>
        </w:rPr>
        <w:t>Europejski Trybunał Praw Człowieka (Sekcja Czwarta), zasiadając jako Izba w składzie</w:t>
      </w:r>
      <w:r>
        <w:rPr>
          <w:lang w:val="pl-PL"/>
        </w:rPr>
        <w:t>:</w:t>
      </w:r>
    </w:p>
    <w:p w:rsidR="00970E5A" w:rsidRPr="009E7ED6" w:rsidRDefault="00970E5A" w:rsidP="00C95D01">
      <w:pPr>
        <w:pStyle w:val="ECHRDecisionBody"/>
        <w:rPr>
          <w:i/>
          <w:lang w:val="pl-PL"/>
        </w:rPr>
      </w:pPr>
      <w:r w:rsidRPr="009E7ED6">
        <w:rPr>
          <w:lang w:val="pl-PL"/>
        </w:rPr>
        <w:tab/>
      </w:r>
      <w:proofErr w:type="spellStart"/>
      <w:r w:rsidRPr="009E7ED6">
        <w:rPr>
          <w:lang w:val="pl-PL"/>
        </w:rPr>
        <w:t>András</w:t>
      </w:r>
      <w:proofErr w:type="spellEnd"/>
      <w:r w:rsidRPr="009E7ED6">
        <w:rPr>
          <w:lang w:val="pl-PL"/>
        </w:rPr>
        <w:t xml:space="preserve"> </w:t>
      </w:r>
      <w:proofErr w:type="spellStart"/>
      <w:r w:rsidRPr="009E7ED6">
        <w:rPr>
          <w:lang w:val="pl-PL"/>
        </w:rPr>
        <w:t>Sajó</w:t>
      </w:r>
      <w:proofErr w:type="spellEnd"/>
      <w:r w:rsidRPr="009E7ED6">
        <w:rPr>
          <w:lang w:val="pl-PL"/>
        </w:rPr>
        <w:t>,</w:t>
      </w:r>
      <w:r w:rsidRPr="009E7ED6">
        <w:rPr>
          <w:i/>
          <w:lang w:val="pl-PL"/>
        </w:rPr>
        <w:t xml:space="preserve"> </w:t>
      </w:r>
      <w:r>
        <w:rPr>
          <w:i/>
          <w:lang w:val="pl-PL"/>
        </w:rPr>
        <w:t>Przewodniczący</w:t>
      </w:r>
      <w:r w:rsidRPr="009E7ED6">
        <w:rPr>
          <w:i/>
          <w:lang w:val="pl-PL"/>
        </w:rPr>
        <w:t>,</w:t>
      </w:r>
      <w:r w:rsidRPr="009E7ED6">
        <w:rPr>
          <w:i/>
          <w:lang w:val="pl-PL"/>
        </w:rPr>
        <w:br/>
      </w:r>
      <w:r w:rsidRPr="009E7ED6">
        <w:rPr>
          <w:lang w:val="pl-PL"/>
        </w:rPr>
        <w:tab/>
        <w:t>Vincent A. De Gaetano,</w:t>
      </w:r>
      <w:r w:rsidRPr="009E7ED6">
        <w:rPr>
          <w:i/>
          <w:lang w:val="pl-PL"/>
        </w:rPr>
        <w:br/>
      </w:r>
      <w:r w:rsidRPr="009E7ED6">
        <w:rPr>
          <w:lang w:val="pl-PL"/>
        </w:rPr>
        <w:tab/>
      </w:r>
      <w:proofErr w:type="spellStart"/>
      <w:r w:rsidRPr="009E7ED6">
        <w:rPr>
          <w:lang w:val="pl-PL"/>
        </w:rPr>
        <w:t>Boštjan</w:t>
      </w:r>
      <w:proofErr w:type="spellEnd"/>
      <w:r w:rsidRPr="009E7ED6">
        <w:rPr>
          <w:lang w:val="pl-PL"/>
        </w:rPr>
        <w:t xml:space="preserve"> M. </w:t>
      </w:r>
      <w:proofErr w:type="spellStart"/>
      <w:r w:rsidRPr="009E7ED6">
        <w:rPr>
          <w:lang w:val="pl-PL"/>
        </w:rPr>
        <w:t>Zupančič</w:t>
      </w:r>
      <w:proofErr w:type="spellEnd"/>
      <w:r w:rsidRPr="009E7ED6">
        <w:rPr>
          <w:lang w:val="pl-PL"/>
        </w:rPr>
        <w:t>,</w:t>
      </w:r>
      <w:r w:rsidRPr="009E7ED6">
        <w:rPr>
          <w:i/>
          <w:lang w:val="pl-PL"/>
        </w:rPr>
        <w:br/>
      </w:r>
      <w:r w:rsidRPr="009E7ED6">
        <w:rPr>
          <w:lang w:val="pl-PL"/>
        </w:rPr>
        <w:tab/>
        <w:t xml:space="preserve">Nona </w:t>
      </w:r>
      <w:proofErr w:type="spellStart"/>
      <w:r w:rsidRPr="009E7ED6">
        <w:rPr>
          <w:lang w:val="pl-PL"/>
        </w:rPr>
        <w:t>Tsotsoria</w:t>
      </w:r>
      <w:proofErr w:type="spellEnd"/>
      <w:r w:rsidRPr="009E7ED6">
        <w:rPr>
          <w:lang w:val="pl-PL"/>
        </w:rPr>
        <w:t>,</w:t>
      </w:r>
      <w:r w:rsidRPr="009E7ED6">
        <w:rPr>
          <w:i/>
          <w:lang w:val="pl-PL"/>
        </w:rPr>
        <w:br/>
      </w:r>
      <w:r w:rsidRPr="009E7ED6">
        <w:rPr>
          <w:lang w:val="pl-PL"/>
        </w:rPr>
        <w:tab/>
        <w:t xml:space="preserve">Krzysztof </w:t>
      </w:r>
      <w:proofErr w:type="spellStart"/>
      <w:r w:rsidRPr="009E7ED6">
        <w:rPr>
          <w:lang w:val="pl-PL"/>
        </w:rPr>
        <w:t>Wojtyczek</w:t>
      </w:r>
      <w:proofErr w:type="spellEnd"/>
      <w:r w:rsidRPr="009E7ED6">
        <w:rPr>
          <w:lang w:val="pl-PL"/>
        </w:rPr>
        <w:t>,</w:t>
      </w:r>
      <w:r w:rsidRPr="009E7ED6">
        <w:rPr>
          <w:i/>
          <w:lang w:val="pl-PL"/>
        </w:rPr>
        <w:br/>
      </w:r>
      <w:r w:rsidRPr="009E7ED6">
        <w:rPr>
          <w:lang w:val="pl-PL"/>
        </w:rPr>
        <w:tab/>
      </w:r>
      <w:proofErr w:type="spellStart"/>
      <w:r w:rsidRPr="009E7ED6">
        <w:rPr>
          <w:lang w:val="pl-PL"/>
        </w:rPr>
        <w:t>Iulia</w:t>
      </w:r>
      <w:proofErr w:type="spellEnd"/>
      <w:r w:rsidRPr="009E7ED6">
        <w:rPr>
          <w:lang w:val="pl-PL"/>
        </w:rPr>
        <w:t xml:space="preserve"> </w:t>
      </w:r>
      <w:proofErr w:type="spellStart"/>
      <w:r w:rsidRPr="009E7ED6">
        <w:rPr>
          <w:lang w:val="pl-PL"/>
        </w:rPr>
        <w:t>Motoc</w:t>
      </w:r>
      <w:proofErr w:type="spellEnd"/>
      <w:r w:rsidRPr="009E7ED6">
        <w:rPr>
          <w:lang w:val="pl-PL"/>
        </w:rPr>
        <w:t>,</w:t>
      </w:r>
      <w:r w:rsidRPr="009E7ED6">
        <w:rPr>
          <w:i/>
          <w:lang w:val="pl-PL"/>
        </w:rPr>
        <w:br/>
      </w:r>
      <w:r w:rsidRPr="009E7ED6">
        <w:rPr>
          <w:lang w:val="pl-PL"/>
        </w:rPr>
        <w:tab/>
        <w:t xml:space="preserve">Gabriele </w:t>
      </w:r>
      <w:proofErr w:type="spellStart"/>
      <w:r w:rsidRPr="009E7ED6">
        <w:rPr>
          <w:lang w:val="pl-PL"/>
        </w:rPr>
        <w:t>Kucsko-Stadlmayer</w:t>
      </w:r>
      <w:proofErr w:type="spellEnd"/>
      <w:r w:rsidRPr="009E7ED6">
        <w:rPr>
          <w:lang w:val="pl-PL"/>
        </w:rPr>
        <w:t>,</w:t>
      </w:r>
      <w:r w:rsidRPr="009E7ED6">
        <w:rPr>
          <w:i/>
          <w:lang w:val="pl-PL"/>
        </w:rPr>
        <w:t xml:space="preserve"> </w:t>
      </w:r>
      <w:r>
        <w:rPr>
          <w:i/>
          <w:lang w:val="pl-PL"/>
        </w:rPr>
        <w:t>sędziowie</w:t>
      </w:r>
      <w:r w:rsidRPr="009E7ED6">
        <w:rPr>
          <w:i/>
          <w:lang w:val="pl-PL"/>
        </w:rPr>
        <w:t>,</w:t>
      </w:r>
    </w:p>
    <w:p w:rsidR="00970E5A" w:rsidRPr="009E7ED6" w:rsidRDefault="00970E5A" w:rsidP="00C95D01">
      <w:pPr>
        <w:pStyle w:val="ECHRDecisionBody"/>
        <w:rPr>
          <w:lang w:val="pl-PL"/>
        </w:rPr>
      </w:pPr>
      <w:r>
        <w:rPr>
          <w:lang w:val="pl-PL"/>
        </w:rPr>
        <w:t>i</w:t>
      </w:r>
      <w:r w:rsidRPr="009E7ED6">
        <w:rPr>
          <w:lang w:val="pl-PL"/>
        </w:rPr>
        <w:t xml:space="preserve"> </w:t>
      </w:r>
      <w:proofErr w:type="spellStart"/>
      <w:r w:rsidRPr="009E7ED6">
        <w:rPr>
          <w:szCs w:val="24"/>
          <w:lang w:val="pl-PL"/>
        </w:rPr>
        <w:t>Fatoş</w:t>
      </w:r>
      <w:proofErr w:type="spellEnd"/>
      <w:r w:rsidRPr="009E7ED6">
        <w:rPr>
          <w:szCs w:val="24"/>
          <w:lang w:val="pl-PL"/>
        </w:rPr>
        <w:t xml:space="preserve"> </w:t>
      </w:r>
      <w:proofErr w:type="spellStart"/>
      <w:r w:rsidRPr="009E7ED6">
        <w:rPr>
          <w:szCs w:val="24"/>
          <w:lang w:val="pl-PL"/>
        </w:rPr>
        <w:t>Aracı</w:t>
      </w:r>
      <w:proofErr w:type="spellEnd"/>
      <w:r w:rsidRPr="009E7ED6">
        <w:rPr>
          <w:szCs w:val="24"/>
          <w:lang w:val="pl-PL"/>
        </w:rPr>
        <w:t xml:space="preserve">, </w:t>
      </w:r>
      <w:r>
        <w:rPr>
          <w:i/>
          <w:lang w:val="pl-PL"/>
        </w:rPr>
        <w:t>Zastępca Kanclerza Sekcji</w:t>
      </w:r>
      <w:r w:rsidRPr="009E7ED6">
        <w:rPr>
          <w:lang w:val="pl-PL"/>
        </w:rPr>
        <w:t>,</w:t>
      </w:r>
    </w:p>
    <w:p w:rsidR="00970E5A" w:rsidRPr="009E7ED6" w:rsidRDefault="00970E5A" w:rsidP="00C95D01">
      <w:pPr>
        <w:pStyle w:val="ECHRPara"/>
        <w:rPr>
          <w:lang w:val="pl-PL"/>
        </w:rPr>
      </w:pPr>
      <w:r>
        <w:rPr>
          <w:lang w:val="pl-PL"/>
        </w:rPr>
        <w:t>Obradując na posiedzeniu niejawnym w dniu 3 maja 2016 r.,</w:t>
      </w:r>
    </w:p>
    <w:p w:rsidR="00970E5A" w:rsidRPr="009E7ED6" w:rsidRDefault="00970E5A" w:rsidP="00C95D01">
      <w:pPr>
        <w:pStyle w:val="ECHRPara"/>
        <w:rPr>
          <w:lang w:val="pl-PL"/>
        </w:rPr>
      </w:pPr>
      <w:r>
        <w:rPr>
          <w:lang w:val="pl-PL"/>
        </w:rPr>
        <w:t xml:space="preserve">Wydaje następujący wyrok, który został przyjęty w tym dniu: </w:t>
      </w:r>
    </w:p>
    <w:p w:rsidR="00970E5A" w:rsidRPr="009E7ED6" w:rsidRDefault="00970E5A" w:rsidP="00C95D01">
      <w:pPr>
        <w:pStyle w:val="ECHRTitle1"/>
        <w:rPr>
          <w:lang w:val="pl-PL"/>
        </w:rPr>
      </w:pPr>
      <w:r>
        <w:rPr>
          <w:lang w:val="pl-PL"/>
        </w:rPr>
        <w:t>POSTĘPOWANIE</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1</w:t>
      </w:r>
      <w:r w:rsidRPr="009E7ED6">
        <w:rPr>
          <w:lang w:val="pl-PL"/>
        </w:rPr>
        <w:fldChar w:fldCharType="end"/>
      </w:r>
      <w:r w:rsidRPr="009E7ED6">
        <w:rPr>
          <w:lang w:val="pl-PL"/>
        </w:rPr>
        <w:t>.  </w:t>
      </w:r>
      <w:r>
        <w:rPr>
          <w:lang w:val="pl-PL"/>
        </w:rPr>
        <w:t xml:space="preserve">Sprawa wywodzi się ze skargi (nr </w:t>
      </w:r>
      <w:r w:rsidRPr="009E7ED6">
        <w:rPr>
          <w:lang w:val="pl-PL"/>
        </w:rPr>
        <w:t>15487/08)</w:t>
      </w:r>
      <w:r>
        <w:rPr>
          <w:lang w:val="pl-PL"/>
        </w:rPr>
        <w:t xml:space="preserve"> przeciwko Rzeczpospolitej Polskiej, wniesionej przez obywatela tego państwa, Radosława </w:t>
      </w:r>
      <w:proofErr w:type="spellStart"/>
      <w:r>
        <w:rPr>
          <w:lang w:val="pl-PL"/>
        </w:rPr>
        <w:t>Przydziała</w:t>
      </w:r>
      <w:proofErr w:type="spellEnd"/>
      <w:r>
        <w:rPr>
          <w:lang w:val="pl-PL"/>
        </w:rPr>
        <w:t xml:space="preserve"> („skarżącego”), w dniu 3 marca 2008 r. na podstawie art. 34 Konwencji o Ochronie Praw Człowieka i Podstawowych Wolności („Konwencji”).</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2</w:t>
      </w:r>
      <w:r w:rsidRPr="009E7ED6">
        <w:rPr>
          <w:lang w:val="pl-PL"/>
        </w:rPr>
        <w:fldChar w:fldCharType="end"/>
      </w:r>
      <w:r w:rsidRPr="009E7ED6">
        <w:rPr>
          <w:lang w:val="pl-PL"/>
        </w:rPr>
        <w:t>.  </w:t>
      </w:r>
      <w:r>
        <w:rPr>
          <w:lang w:val="pl-PL"/>
        </w:rPr>
        <w:t>Rząd polski („Rząd”) był reprezentowany przez swojego pełnomocnika, J. Chrzanowską z Ministerstwa Spraw Zagranicznych.</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3</w:t>
      </w:r>
      <w:r w:rsidRPr="009E7ED6">
        <w:rPr>
          <w:lang w:val="pl-PL"/>
        </w:rPr>
        <w:fldChar w:fldCharType="end"/>
      </w:r>
      <w:r w:rsidRPr="009E7ED6">
        <w:rPr>
          <w:lang w:val="pl-PL"/>
        </w:rPr>
        <w:t>.  </w:t>
      </w:r>
      <w:r>
        <w:rPr>
          <w:lang w:val="pl-PL"/>
        </w:rPr>
        <w:t xml:space="preserve">Skarżący, skazany za </w:t>
      </w:r>
      <w:r w:rsidR="002719C6">
        <w:rPr>
          <w:lang w:val="pl-PL"/>
        </w:rPr>
        <w:t>zgwałcenie mało</w:t>
      </w:r>
      <w:r>
        <w:rPr>
          <w:lang w:val="pl-PL"/>
        </w:rPr>
        <w:t xml:space="preserve">letniej, skarżył się na naruszenie jego prawa do rzetelnego procesu, zarzucając władzom, że uniemożliwiły mu doprowadzenie do przesłuchania domniemanej ofiary, której zeznania były według niego </w:t>
      </w:r>
      <w:r w:rsidRPr="00513A86">
        <w:rPr>
          <w:lang w:val="pl-PL"/>
        </w:rPr>
        <w:t>głównym dowodem</w:t>
      </w:r>
      <w:r>
        <w:rPr>
          <w:lang w:val="pl-PL"/>
        </w:rPr>
        <w:t>, na podstawie którego doszło do jego skazania.</w:t>
      </w:r>
    </w:p>
    <w:p w:rsidR="00970E5A" w:rsidRPr="009E7ED6" w:rsidRDefault="00970E5A" w:rsidP="00C95D01">
      <w:pPr>
        <w:pStyle w:val="ECHRPara"/>
        <w:rPr>
          <w:szCs w:val="24"/>
          <w:lang w:val="pl-PL" w:eastAsia="en-GB"/>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4</w:t>
      </w:r>
      <w:r w:rsidRPr="009E7ED6">
        <w:rPr>
          <w:lang w:val="pl-PL"/>
        </w:rPr>
        <w:fldChar w:fldCharType="end"/>
      </w:r>
      <w:r w:rsidRPr="009E7ED6">
        <w:rPr>
          <w:lang w:val="pl-PL"/>
        </w:rPr>
        <w:t>.  </w:t>
      </w:r>
      <w:r>
        <w:rPr>
          <w:lang w:val="pl-PL"/>
        </w:rPr>
        <w:t>W dniu 30 listopada 2012 r. skarga została zakomunikowana Rządowi.</w:t>
      </w:r>
    </w:p>
    <w:p w:rsidR="00970E5A" w:rsidRPr="009E7ED6" w:rsidRDefault="00970E5A" w:rsidP="00C95D01">
      <w:pPr>
        <w:pStyle w:val="ECHRTitle1"/>
        <w:rPr>
          <w:lang w:val="pl-PL"/>
        </w:rPr>
      </w:pPr>
      <w:r>
        <w:rPr>
          <w:lang w:val="pl-PL"/>
        </w:rPr>
        <w:t>STAN FAKTYCZNY</w:t>
      </w:r>
    </w:p>
    <w:p w:rsidR="00970E5A" w:rsidRPr="009E7ED6" w:rsidRDefault="00970E5A" w:rsidP="00C95D01">
      <w:pPr>
        <w:pStyle w:val="ECHRHeading1"/>
        <w:rPr>
          <w:lang w:val="pl-PL"/>
        </w:rPr>
      </w:pPr>
      <w:r w:rsidRPr="009E7ED6">
        <w:rPr>
          <w:lang w:val="pl-PL"/>
        </w:rPr>
        <w:t>I.  </w:t>
      </w:r>
      <w:r>
        <w:rPr>
          <w:lang w:val="pl-PL"/>
        </w:rPr>
        <w:t>OKOLICZNOŚCI SPRAWY</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5</w:t>
      </w:r>
      <w:r w:rsidRPr="009E7ED6">
        <w:rPr>
          <w:lang w:val="pl-PL"/>
        </w:rPr>
        <w:fldChar w:fldCharType="end"/>
      </w:r>
      <w:r w:rsidRPr="009E7ED6">
        <w:rPr>
          <w:lang w:val="pl-PL"/>
        </w:rPr>
        <w:t>.  </w:t>
      </w:r>
      <w:r>
        <w:rPr>
          <w:lang w:val="pl-PL"/>
        </w:rPr>
        <w:t>Skarżący, urodzony w 1984 r., mieszka w Oławie.</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6</w:t>
      </w:r>
      <w:r w:rsidRPr="009E7ED6">
        <w:rPr>
          <w:lang w:val="pl-PL"/>
        </w:rPr>
        <w:fldChar w:fldCharType="end"/>
      </w:r>
      <w:r w:rsidRPr="009E7ED6">
        <w:rPr>
          <w:lang w:val="pl-PL"/>
        </w:rPr>
        <w:t>.  </w:t>
      </w:r>
      <w:r>
        <w:rPr>
          <w:lang w:val="pl-PL"/>
        </w:rPr>
        <w:t xml:space="preserve">W dniu 10 lutego 2004 r., T.L., nauczycielka w liceum zawodowym w Oławie, złożyła na policji zawiadomienie o </w:t>
      </w:r>
      <w:r w:rsidR="00D342DC">
        <w:rPr>
          <w:lang w:val="pl-PL"/>
        </w:rPr>
        <w:t>zgwałceniu</w:t>
      </w:r>
      <w:r>
        <w:rPr>
          <w:lang w:val="pl-PL"/>
        </w:rPr>
        <w:t xml:space="preserve">, którego ofiarą miała być jedna z jej uczennic, Z.S. Zeznała, że dziewczyna zwierzyła się jej i że wykazuje wyraźne oznaki </w:t>
      </w:r>
      <w:r w:rsidR="00DF1BE2">
        <w:rPr>
          <w:lang w:val="pl-PL"/>
        </w:rPr>
        <w:t>urazu psychicznego</w:t>
      </w:r>
      <w:r>
        <w:rPr>
          <w:lang w:val="pl-PL"/>
        </w:rPr>
        <w:t xml:space="preserve">, ale odmówiła </w:t>
      </w:r>
      <w:r>
        <w:rPr>
          <w:lang w:val="pl-PL"/>
        </w:rPr>
        <w:lastRenderedPageBreak/>
        <w:t xml:space="preserve">zgłoszenia przestępstwa. Ponadto Z.S. wysyłała do nauczycielki listy, które wskazywały na tendencje samobójcze. Podczas </w:t>
      </w:r>
      <w:r w:rsidR="00087299">
        <w:rPr>
          <w:lang w:val="pl-PL"/>
        </w:rPr>
        <w:t>wywiadu środowiskowego</w:t>
      </w:r>
      <w:r>
        <w:rPr>
          <w:lang w:val="pl-PL"/>
        </w:rPr>
        <w:t xml:space="preserve"> </w:t>
      </w:r>
      <w:r w:rsidR="007B3A5A">
        <w:rPr>
          <w:lang w:val="pl-PL"/>
        </w:rPr>
        <w:t>prze</w:t>
      </w:r>
      <w:r>
        <w:rPr>
          <w:lang w:val="pl-PL"/>
        </w:rPr>
        <w:t xml:space="preserve">prowadzonego w miejscu zamieszkania Z.S. w następstwie </w:t>
      </w:r>
      <w:r w:rsidR="007B3A5A">
        <w:rPr>
          <w:lang w:val="pl-PL"/>
        </w:rPr>
        <w:t>zawiadomieni</w:t>
      </w:r>
      <w:r>
        <w:rPr>
          <w:lang w:val="pl-PL"/>
        </w:rPr>
        <w:t xml:space="preserve">a T.L., dziewczyna oświadczyła, że w wieku 14 lat padła ofiarą </w:t>
      </w:r>
      <w:r w:rsidR="007A762B">
        <w:rPr>
          <w:lang w:val="pl-PL"/>
        </w:rPr>
        <w:t>z</w:t>
      </w:r>
      <w:r>
        <w:rPr>
          <w:lang w:val="pl-PL"/>
        </w:rPr>
        <w:t>gwał</w:t>
      </w:r>
      <w:r w:rsidR="007A762B">
        <w:rPr>
          <w:lang w:val="pl-PL"/>
        </w:rPr>
        <w:t>cenia</w:t>
      </w:r>
      <w:r>
        <w:rPr>
          <w:lang w:val="pl-PL"/>
        </w:rPr>
        <w:t xml:space="preserve"> popełnionego w lipcu 2002 r. przez trzech młodych mężczyzn w obecności czwartego.</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7</w:t>
      </w:r>
      <w:r w:rsidRPr="009E7ED6">
        <w:rPr>
          <w:lang w:val="pl-PL"/>
        </w:rPr>
        <w:fldChar w:fldCharType="end"/>
      </w:r>
      <w:r w:rsidRPr="009E7ED6">
        <w:rPr>
          <w:lang w:val="pl-PL"/>
        </w:rPr>
        <w:t>.  </w:t>
      </w:r>
      <w:r>
        <w:rPr>
          <w:lang w:val="pl-PL"/>
        </w:rPr>
        <w:t>W dniu 27 lutego 2004 r. została przesłuchana przez osoby prowadzące śledztwo.</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8</w:t>
      </w:r>
      <w:r w:rsidRPr="009E7ED6">
        <w:rPr>
          <w:lang w:val="pl-PL"/>
        </w:rPr>
        <w:fldChar w:fldCharType="end"/>
      </w:r>
      <w:r w:rsidRPr="009E7ED6">
        <w:rPr>
          <w:lang w:val="pl-PL"/>
        </w:rPr>
        <w:t>.  </w:t>
      </w:r>
      <w:r>
        <w:rPr>
          <w:lang w:val="pl-PL"/>
        </w:rPr>
        <w:t>W marcu 2004 r.</w:t>
      </w:r>
      <w:r w:rsidR="005B2CA1">
        <w:rPr>
          <w:lang w:val="pl-PL"/>
        </w:rPr>
        <w:t>, w nieokreślonej dacie,</w:t>
      </w:r>
      <w:r>
        <w:rPr>
          <w:lang w:val="pl-PL"/>
        </w:rPr>
        <w:t xml:space="preserve"> skarżąc</w:t>
      </w:r>
      <w:r w:rsidR="005B2CA1">
        <w:rPr>
          <w:lang w:val="pl-PL"/>
        </w:rPr>
        <w:t>y</w:t>
      </w:r>
      <w:r>
        <w:rPr>
          <w:lang w:val="pl-PL"/>
        </w:rPr>
        <w:t xml:space="preserve"> i dw</w:t>
      </w:r>
      <w:r w:rsidR="005B2CA1">
        <w:rPr>
          <w:lang w:val="pl-PL"/>
        </w:rPr>
        <w:t>aj</w:t>
      </w:r>
      <w:r>
        <w:rPr>
          <w:lang w:val="pl-PL"/>
        </w:rPr>
        <w:t xml:space="preserve"> podejrzan</w:t>
      </w:r>
      <w:r w:rsidR="005B2CA1">
        <w:rPr>
          <w:lang w:val="pl-PL"/>
        </w:rPr>
        <w:t>i</w:t>
      </w:r>
      <w:r w:rsidR="00367A42">
        <w:rPr>
          <w:lang w:val="pl-PL"/>
        </w:rPr>
        <w:t xml:space="preserve"> o zgwałcenie Z. S.</w:t>
      </w:r>
      <w:r w:rsidR="00456A99">
        <w:rPr>
          <w:lang w:val="pl-PL"/>
        </w:rPr>
        <w:t xml:space="preserve"> - </w:t>
      </w:r>
      <w:r>
        <w:rPr>
          <w:lang w:val="pl-PL"/>
        </w:rPr>
        <w:t xml:space="preserve"> M.K. i P.H.</w:t>
      </w:r>
      <w:r w:rsidR="00882EE0">
        <w:rPr>
          <w:lang w:val="pl-PL"/>
        </w:rPr>
        <w:t>,</w:t>
      </w:r>
      <w:r w:rsidR="00367A42">
        <w:rPr>
          <w:lang w:val="pl-PL"/>
        </w:rPr>
        <w:t>, zostali zatrzymani.</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9</w:t>
      </w:r>
      <w:r w:rsidRPr="009E7ED6">
        <w:rPr>
          <w:lang w:val="pl-PL"/>
        </w:rPr>
        <w:fldChar w:fldCharType="end"/>
      </w:r>
      <w:r w:rsidRPr="009E7ED6">
        <w:rPr>
          <w:lang w:val="pl-PL"/>
        </w:rPr>
        <w:t>.  </w:t>
      </w:r>
      <w:r>
        <w:rPr>
          <w:lang w:val="pl-PL"/>
        </w:rPr>
        <w:t>W dniu 12 marca 2004 r. Z.S. została przesłuchana przez sędziego w obecności prokuratora i psycholog. Rozpo</w:t>
      </w:r>
      <w:r w:rsidR="00513A86">
        <w:rPr>
          <w:lang w:val="pl-PL"/>
        </w:rPr>
        <w:t xml:space="preserve">znała skarżącego na fotografii </w:t>
      </w:r>
      <w:r>
        <w:rPr>
          <w:lang w:val="pl-PL"/>
        </w:rPr>
        <w:t>okazanej przez śled</w:t>
      </w:r>
      <w:r w:rsidR="00513A86">
        <w:rPr>
          <w:lang w:val="pl-PL"/>
        </w:rPr>
        <w:t>czych</w:t>
      </w:r>
      <w:r>
        <w:rPr>
          <w:lang w:val="pl-PL"/>
        </w:rPr>
        <w:t xml:space="preserve"> i zidentyfikowała go jako napastnika. Po</w:t>
      </w:r>
      <w:r w:rsidR="00782ABB">
        <w:rPr>
          <w:lang w:val="pl-PL"/>
        </w:rPr>
        <w:t>dtrzymała</w:t>
      </w:r>
      <w:r>
        <w:rPr>
          <w:lang w:val="pl-PL"/>
        </w:rPr>
        <w:t xml:space="preserve"> swoje zeznania podczas okazania, które miało miejsce w dniu 22 marca 2004 r.</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10</w:t>
      </w:r>
      <w:r w:rsidRPr="009E7ED6">
        <w:rPr>
          <w:lang w:val="pl-PL"/>
        </w:rPr>
        <w:fldChar w:fldCharType="end"/>
      </w:r>
      <w:r w:rsidRPr="009E7ED6">
        <w:rPr>
          <w:lang w:val="pl-PL"/>
        </w:rPr>
        <w:t>.  </w:t>
      </w:r>
      <w:r>
        <w:rPr>
          <w:lang w:val="pl-PL"/>
        </w:rPr>
        <w:t xml:space="preserve">W raporcie z dnia 18 marca 2004 r. psycholog, która uczestniczyła w przesłuchaniu Z.S., </w:t>
      </w:r>
      <w:r w:rsidR="00CF2039">
        <w:rPr>
          <w:lang w:val="pl-PL"/>
        </w:rPr>
        <w:t>oceni</w:t>
      </w:r>
      <w:r>
        <w:rPr>
          <w:lang w:val="pl-PL"/>
        </w:rPr>
        <w:t>ła, że jej zeznania są „wysoce prawdopodobne”. Zauważyła również, że zważywszy na stan psychiczny Z.S. oraz symptomy czy nawet tendencje samobójcze, należałoby zwolnić ją od udziału w postępowaniu i umieścić w szpitalu. W</w:t>
      </w:r>
      <w:r w:rsidR="00542AAE">
        <w:rPr>
          <w:lang w:val="pl-PL"/>
        </w:rPr>
        <w:t>yżej wymieniony</w:t>
      </w:r>
      <w:r>
        <w:rPr>
          <w:lang w:val="pl-PL"/>
        </w:rPr>
        <w:t xml:space="preserve"> raport został ukończony w dniach 23-24 marca.</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11</w:t>
      </w:r>
      <w:r w:rsidRPr="009E7ED6">
        <w:rPr>
          <w:lang w:val="pl-PL"/>
        </w:rPr>
        <w:fldChar w:fldCharType="end"/>
      </w:r>
      <w:r w:rsidRPr="009E7ED6">
        <w:rPr>
          <w:lang w:val="pl-PL"/>
        </w:rPr>
        <w:t>.  </w:t>
      </w:r>
      <w:r>
        <w:rPr>
          <w:lang w:val="pl-PL"/>
        </w:rPr>
        <w:t>W dniu 23 marca 2004 r. Z.S. została ponownie przesłuchana przez sędziego w obecności prokuratora i psycholog. Tego samego dnia uczestniczyła w oględzinach miejsca przestępstwa.</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12</w:t>
      </w:r>
      <w:r w:rsidRPr="009E7ED6">
        <w:rPr>
          <w:lang w:val="pl-PL"/>
        </w:rPr>
        <w:fldChar w:fldCharType="end"/>
      </w:r>
      <w:r w:rsidRPr="009E7ED6">
        <w:rPr>
          <w:lang w:val="pl-PL"/>
        </w:rPr>
        <w:t>.  </w:t>
      </w:r>
      <w:r>
        <w:rPr>
          <w:lang w:val="pl-PL"/>
        </w:rPr>
        <w:t xml:space="preserve">W dniu 24 marca 2004 r. jeden ze współoskarżonych, P.H., a także jego młodszy brat W.H., naoczny świadek </w:t>
      </w:r>
      <w:r w:rsidR="005E58D9">
        <w:rPr>
          <w:lang w:val="pl-PL"/>
        </w:rPr>
        <w:t>zgwałcenia,</w:t>
      </w:r>
      <w:r>
        <w:rPr>
          <w:lang w:val="pl-PL"/>
        </w:rPr>
        <w:t xml:space="preserve"> zostali przesłuchani przez </w:t>
      </w:r>
      <w:r w:rsidR="00400EBC">
        <w:rPr>
          <w:lang w:val="pl-PL"/>
        </w:rPr>
        <w:t>śledczych</w:t>
      </w:r>
      <w:r>
        <w:rPr>
          <w:lang w:val="pl-PL"/>
        </w:rPr>
        <w:t>. Przesłuch</w:t>
      </w:r>
      <w:r w:rsidR="00C6696C">
        <w:rPr>
          <w:lang w:val="pl-PL"/>
        </w:rPr>
        <w:t>anie W.H., który był wówczas mało</w:t>
      </w:r>
      <w:r>
        <w:rPr>
          <w:lang w:val="pl-PL"/>
        </w:rPr>
        <w:t>letni, odbyło się w obecności psychologa.</w:t>
      </w:r>
    </w:p>
    <w:p w:rsidR="00970E5A"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13</w:t>
      </w:r>
      <w:r w:rsidRPr="009E7ED6">
        <w:rPr>
          <w:lang w:val="pl-PL"/>
        </w:rPr>
        <w:fldChar w:fldCharType="end"/>
      </w:r>
      <w:r w:rsidRPr="009E7ED6">
        <w:rPr>
          <w:lang w:val="pl-PL"/>
        </w:rPr>
        <w:t>.  </w:t>
      </w:r>
      <w:r>
        <w:rPr>
          <w:lang w:val="pl-PL"/>
        </w:rPr>
        <w:t>W dniu 18 maja 2004 r. Z.S. została umieszczona w klinice psychiatrycznej we Wrocławiu z powodu próby samobójczej.</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14</w:t>
      </w:r>
      <w:r w:rsidRPr="009E7ED6">
        <w:rPr>
          <w:lang w:val="pl-PL"/>
        </w:rPr>
        <w:fldChar w:fldCharType="end"/>
      </w:r>
      <w:r w:rsidRPr="009E7ED6">
        <w:rPr>
          <w:lang w:val="pl-PL"/>
        </w:rPr>
        <w:t>.  </w:t>
      </w:r>
      <w:r>
        <w:rPr>
          <w:lang w:val="pl-PL"/>
        </w:rPr>
        <w:t xml:space="preserve">W raporcie z dnia 28 maja 2004 r. psycholog wskazała, że stan psychiczny Z.S. nie pozwala na udział w postępowaniu. Naczelny lekarz kliniki psychiatrycznej przedstawił własne spostrzeżenia o podobnej </w:t>
      </w:r>
      <w:r w:rsidR="004205A9">
        <w:rPr>
          <w:lang w:val="pl-PL"/>
        </w:rPr>
        <w:t>wymowie</w:t>
      </w:r>
      <w:r>
        <w:rPr>
          <w:lang w:val="pl-PL"/>
        </w:rPr>
        <w:t>.</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15</w:t>
      </w:r>
      <w:r w:rsidRPr="009E7ED6">
        <w:rPr>
          <w:lang w:val="pl-PL"/>
        </w:rPr>
        <w:fldChar w:fldCharType="end"/>
      </w:r>
      <w:r>
        <w:rPr>
          <w:lang w:val="pl-PL"/>
        </w:rPr>
        <w:t>.  W dniu 26 maja 2004 r. Z.S. została przesłuchana na terenie kliniki przez sędziego w obecności prokuratora i wyżej wspomnianej psycholog.</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16</w:t>
      </w:r>
      <w:r w:rsidRPr="009E7ED6">
        <w:rPr>
          <w:lang w:val="pl-PL"/>
        </w:rPr>
        <w:fldChar w:fldCharType="end"/>
      </w:r>
      <w:r w:rsidRPr="009E7ED6">
        <w:rPr>
          <w:lang w:val="pl-PL"/>
        </w:rPr>
        <w:t>.  </w:t>
      </w:r>
      <w:r w:rsidR="00373A40">
        <w:rPr>
          <w:lang w:val="pl-PL"/>
        </w:rPr>
        <w:t>Wyrokiem</w:t>
      </w:r>
      <w:r>
        <w:rPr>
          <w:lang w:val="pl-PL"/>
        </w:rPr>
        <w:t xml:space="preserve"> z dnia 23 grudnia 2005 r. Sąd Rejonowy w Oławie uznał skarżącego i współoskarżonych M.K. i P.H. winnymi zarzucanych im czynów i skazał ich na kary od sześciu do ośmiu lat pozbawienia wolności. Skarżący został skazany na osiem lat pozbawienia wolności.</w:t>
      </w:r>
    </w:p>
    <w:p w:rsidR="00970E5A" w:rsidRPr="009E7ED6" w:rsidRDefault="00970E5A" w:rsidP="0021034B">
      <w:pPr>
        <w:pStyle w:val="ECHRPara"/>
        <w:rPr>
          <w:lang w:val="pl-PL"/>
        </w:rPr>
      </w:pPr>
      <w:r>
        <w:rPr>
          <w:lang w:val="pl-PL"/>
        </w:rPr>
        <w:t xml:space="preserve">W uzasadnieniu sąd podał następujące fakty: w dniu 19 lipca 2002 r. Z.S. </w:t>
      </w:r>
      <w:r w:rsidR="00DB5CFE">
        <w:rPr>
          <w:lang w:val="pl-PL"/>
        </w:rPr>
        <w:t>udała się</w:t>
      </w:r>
      <w:r>
        <w:rPr>
          <w:lang w:val="pl-PL"/>
        </w:rPr>
        <w:t xml:space="preserve"> wraz z ciotką</w:t>
      </w:r>
      <w:r w:rsidR="00DB5CFE">
        <w:rPr>
          <w:lang w:val="pl-PL"/>
        </w:rPr>
        <w:t xml:space="preserve"> do</w:t>
      </w:r>
      <w:r>
        <w:rPr>
          <w:lang w:val="pl-PL"/>
        </w:rPr>
        <w:t xml:space="preserve"> krewnych we wsi Owczary; wieczorem, kiedy wracała</w:t>
      </w:r>
      <w:r w:rsidR="00DB5CFE">
        <w:rPr>
          <w:lang w:val="pl-PL"/>
        </w:rPr>
        <w:t xml:space="preserve"> sama</w:t>
      </w:r>
      <w:r>
        <w:rPr>
          <w:lang w:val="pl-PL"/>
        </w:rPr>
        <w:t xml:space="preserve"> do domu, spotkała skarżącego i M.K., których znała jedynie z widzenia; zaczęli</w:t>
      </w:r>
      <w:r w:rsidR="00DB5CFE">
        <w:rPr>
          <w:lang w:val="pl-PL"/>
        </w:rPr>
        <w:t xml:space="preserve"> oni</w:t>
      </w:r>
      <w:r>
        <w:rPr>
          <w:lang w:val="pl-PL"/>
        </w:rPr>
        <w:t xml:space="preserve"> </w:t>
      </w:r>
      <w:r w:rsidR="006A27D9">
        <w:rPr>
          <w:lang w:val="pl-PL"/>
        </w:rPr>
        <w:t xml:space="preserve">ją </w:t>
      </w:r>
      <w:r w:rsidR="00BD7EFF">
        <w:rPr>
          <w:lang w:val="pl-PL"/>
        </w:rPr>
        <w:t>dotyka</w:t>
      </w:r>
      <w:r w:rsidR="006A27D9">
        <w:rPr>
          <w:lang w:val="pl-PL"/>
        </w:rPr>
        <w:t>ć</w:t>
      </w:r>
      <w:r>
        <w:rPr>
          <w:lang w:val="pl-PL"/>
        </w:rPr>
        <w:t xml:space="preserve">, ale dziewczyna uciekła; dwa dni później </w:t>
      </w:r>
      <w:r>
        <w:rPr>
          <w:lang w:val="pl-PL"/>
        </w:rPr>
        <w:lastRenderedPageBreak/>
        <w:t>powtórnie spotkała skarżącego i M.K. w towarzystwie P.H. i W.H.; skarżący zaproponował, żeby poszła z nimi, twierdząc, że chce jej coś pokazać; mężczyźni zachowywali się normalnie, śmiali się i rozmawiali z nią; weszli na podwórze jednego z domów we wsi; skarżący wszedł na chwilę do domu, a kiedy</w:t>
      </w:r>
      <w:r w:rsidR="00813D3A">
        <w:rPr>
          <w:lang w:val="pl-PL"/>
        </w:rPr>
        <w:t xml:space="preserve"> wrócił, M.K. i P.H. wciągnęli</w:t>
      </w:r>
      <w:r>
        <w:rPr>
          <w:lang w:val="pl-PL"/>
        </w:rPr>
        <w:t xml:space="preserve"> </w:t>
      </w:r>
      <w:r w:rsidR="001D6D85">
        <w:rPr>
          <w:lang w:val="pl-PL"/>
        </w:rPr>
        <w:t>tam</w:t>
      </w:r>
      <w:r>
        <w:rPr>
          <w:lang w:val="pl-PL"/>
        </w:rPr>
        <w:t xml:space="preserve"> Z.S.; zmusili ją do położenia się na kanapie w jednym z pomieszczeń; podczas gdy M.K. i P.H. ją przytrzymywali, skarżący zdjął jej bieliznę; następnie wszyscy trzej po kolei ją zgwałcili. </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17</w:t>
      </w:r>
      <w:r w:rsidRPr="009E7ED6">
        <w:rPr>
          <w:lang w:val="pl-PL"/>
        </w:rPr>
        <w:fldChar w:fldCharType="end"/>
      </w:r>
      <w:r w:rsidRPr="009E7ED6">
        <w:rPr>
          <w:lang w:val="pl-PL"/>
        </w:rPr>
        <w:t>.  </w:t>
      </w:r>
      <w:r>
        <w:rPr>
          <w:lang w:val="pl-PL"/>
        </w:rPr>
        <w:t xml:space="preserve">Sąd zaznaczył, że skarżący oraz współoskarżony M.K. zaprzeczyli, jakoby dopuścili się zarzucanych im czynów, i że ich </w:t>
      </w:r>
      <w:r w:rsidR="00C467A5">
        <w:rPr>
          <w:lang w:val="pl-PL"/>
        </w:rPr>
        <w:t xml:space="preserve">wyjaśnieniom </w:t>
      </w:r>
      <w:r>
        <w:rPr>
          <w:lang w:val="pl-PL"/>
        </w:rPr>
        <w:t xml:space="preserve"> przeczyły zeznania Z.S. Uwzględniwszy </w:t>
      </w:r>
      <w:r w:rsidR="00C467A5">
        <w:rPr>
          <w:lang w:val="pl-PL"/>
        </w:rPr>
        <w:t>opinie lekarskie</w:t>
      </w:r>
      <w:r>
        <w:rPr>
          <w:lang w:val="pl-PL"/>
        </w:rPr>
        <w:t xml:space="preserve">, zgodnie z którymi stan psychiczny Z.S. nie pozwalał jej na udział w postępowaniu, sąd </w:t>
      </w:r>
      <w:r w:rsidR="004C1D15">
        <w:rPr>
          <w:lang w:val="pl-PL"/>
        </w:rPr>
        <w:t>na mocy art. 39</w:t>
      </w:r>
      <w:r>
        <w:rPr>
          <w:lang w:val="pl-PL"/>
        </w:rPr>
        <w:t xml:space="preserve">1 § 1 Kodeksu postępowania karnego (k.p.k.) odczytał podczas rozprawy zeznania złożone przez dziewczynę. Uznał, że zeznania te, przeanalizowane w związku z innymi dowodami, potwierdziły </w:t>
      </w:r>
      <w:r w:rsidR="00C94BD1">
        <w:rPr>
          <w:lang w:val="pl-PL"/>
        </w:rPr>
        <w:t>zarzut ciążący na skarżącym</w:t>
      </w:r>
      <w:r>
        <w:rPr>
          <w:lang w:val="pl-PL"/>
        </w:rPr>
        <w:t xml:space="preserve">, a w szczególności </w:t>
      </w:r>
      <w:r w:rsidR="005E4561">
        <w:rPr>
          <w:lang w:val="pl-PL"/>
        </w:rPr>
        <w:t xml:space="preserve">zostały potwierdzone w </w:t>
      </w:r>
      <w:r>
        <w:rPr>
          <w:lang w:val="pl-PL"/>
        </w:rPr>
        <w:t xml:space="preserve"> </w:t>
      </w:r>
      <w:r w:rsidR="005E4561">
        <w:rPr>
          <w:lang w:val="pl-PL"/>
        </w:rPr>
        <w:t>wyjaśnieniach</w:t>
      </w:r>
      <w:r>
        <w:rPr>
          <w:lang w:val="pl-PL"/>
        </w:rPr>
        <w:t xml:space="preserve"> współoskarżonego P.H., który podczas postępowania przygotowawczego przyznał się do zarzucanych mu czynów i </w:t>
      </w:r>
      <w:r w:rsidR="006821AF">
        <w:rPr>
          <w:lang w:val="pl-PL"/>
        </w:rPr>
        <w:t>przedstawił</w:t>
      </w:r>
      <w:r>
        <w:rPr>
          <w:lang w:val="pl-PL"/>
        </w:rPr>
        <w:t xml:space="preserve"> </w:t>
      </w:r>
      <w:r w:rsidR="00107B23">
        <w:rPr>
          <w:lang w:val="pl-PL"/>
        </w:rPr>
        <w:t>śledczym</w:t>
      </w:r>
      <w:r>
        <w:rPr>
          <w:lang w:val="pl-PL"/>
        </w:rPr>
        <w:t xml:space="preserve"> </w:t>
      </w:r>
      <w:r w:rsidR="006821AF">
        <w:rPr>
          <w:lang w:val="pl-PL"/>
        </w:rPr>
        <w:t>szczegółowy opis</w:t>
      </w:r>
      <w:r>
        <w:rPr>
          <w:lang w:val="pl-PL"/>
        </w:rPr>
        <w:t xml:space="preserve"> przestępstwa, ofiar</w:t>
      </w:r>
      <w:r w:rsidR="006821AF">
        <w:rPr>
          <w:lang w:val="pl-PL"/>
        </w:rPr>
        <w:t>y</w:t>
      </w:r>
      <w:r>
        <w:rPr>
          <w:lang w:val="pl-PL"/>
        </w:rPr>
        <w:t xml:space="preserve"> i rol</w:t>
      </w:r>
      <w:r w:rsidR="006821AF">
        <w:rPr>
          <w:lang w:val="pl-PL"/>
        </w:rPr>
        <w:t>i</w:t>
      </w:r>
      <w:r>
        <w:rPr>
          <w:lang w:val="pl-PL"/>
        </w:rPr>
        <w:t xml:space="preserve"> każd</w:t>
      </w:r>
      <w:r w:rsidR="006821AF">
        <w:rPr>
          <w:lang w:val="pl-PL"/>
        </w:rPr>
        <w:t>ego</w:t>
      </w:r>
      <w:r>
        <w:rPr>
          <w:lang w:val="pl-PL"/>
        </w:rPr>
        <w:t xml:space="preserve"> ze współoskarżonych.</w:t>
      </w:r>
    </w:p>
    <w:p w:rsidR="00970E5A" w:rsidRPr="009E7ED6" w:rsidRDefault="00970E5A" w:rsidP="00C95D01">
      <w:pPr>
        <w:pStyle w:val="ECHRPara"/>
        <w:rPr>
          <w:lang w:val="pl-PL"/>
        </w:rPr>
      </w:pPr>
      <w:r>
        <w:rPr>
          <w:lang w:val="pl-PL"/>
        </w:rPr>
        <w:t xml:space="preserve">Chociaż pod koniec postępowania przygotowawczego i podczas procesu P.H. </w:t>
      </w:r>
      <w:r w:rsidR="00672265">
        <w:rPr>
          <w:lang w:val="pl-PL"/>
        </w:rPr>
        <w:t>wycofał się ze swoich wyjaśnień</w:t>
      </w:r>
      <w:r>
        <w:rPr>
          <w:lang w:val="pl-PL"/>
        </w:rPr>
        <w:t xml:space="preserve">, twierdząc, że złożył je pod przymusem, sąd uznał, że jego oświadczenia dotyczące odwołania pierwotnych </w:t>
      </w:r>
      <w:r w:rsidR="00B20728">
        <w:rPr>
          <w:lang w:val="pl-PL"/>
        </w:rPr>
        <w:t>wyjaśnień</w:t>
      </w:r>
      <w:r>
        <w:rPr>
          <w:lang w:val="pl-PL"/>
        </w:rPr>
        <w:t xml:space="preserve"> nie są wiarygodne. </w:t>
      </w:r>
      <w:r w:rsidR="00B20728">
        <w:rPr>
          <w:lang w:val="pl-PL"/>
        </w:rPr>
        <w:t>Sąd z</w:t>
      </w:r>
      <w:r>
        <w:rPr>
          <w:lang w:val="pl-PL"/>
        </w:rPr>
        <w:t>auważył, że P.</w:t>
      </w:r>
      <w:r w:rsidR="00513A86">
        <w:rPr>
          <w:lang w:val="pl-PL"/>
        </w:rPr>
        <w:t xml:space="preserve"> </w:t>
      </w:r>
      <w:r>
        <w:rPr>
          <w:lang w:val="pl-PL"/>
        </w:rPr>
        <w:t xml:space="preserve">H. kilkakrotnie zmieniał </w:t>
      </w:r>
      <w:r w:rsidR="00B20728">
        <w:rPr>
          <w:lang w:val="pl-PL"/>
        </w:rPr>
        <w:t>wyjaśnie</w:t>
      </w:r>
      <w:r>
        <w:rPr>
          <w:lang w:val="pl-PL"/>
        </w:rPr>
        <w:t>nia, według których podczas przesłuchań był niewłaściwie traktowany, że kolejne przedstawiane przez niego wersje były niespójne i że</w:t>
      </w:r>
      <w:r w:rsidR="008A69BB">
        <w:rPr>
          <w:lang w:val="pl-PL"/>
        </w:rPr>
        <w:t xml:space="preserve"> nie zostało przedstawione </w:t>
      </w:r>
      <w:r>
        <w:rPr>
          <w:lang w:val="pl-PL"/>
        </w:rPr>
        <w:t>żadn</w:t>
      </w:r>
      <w:r w:rsidR="008A69BB">
        <w:rPr>
          <w:lang w:val="pl-PL"/>
        </w:rPr>
        <w:t>e</w:t>
      </w:r>
      <w:r>
        <w:rPr>
          <w:lang w:val="pl-PL"/>
        </w:rPr>
        <w:t xml:space="preserve"> zadowalając</w:t>
      </w:r>
      <w:r w:rsidR="008A69BB">
        <w:rPr>
          <w:lang w:val="pl-PL"/>
        </w:rPr>
        <w:t>e</w:t>
      </w:r>
      <w:r>
        <w:rPr>
          <w:lang w:val="pl-PL"/>
        </w:rPr>
        <w:t xml:space="preserve"> </w:t>
      </w:r>
      <w:r w:rsidR="008A69BB">
        <w:rPr>
          <w:lang w:val="pl-PL"/>
        </w:rPr>
        <w:t>wyjaśnienie ich</w:t>
      </w:r>
      <w:r>
        <w:rPr>
          <w:lang w:val="pl-PL"/>
        </w:rPr>
        <w:t xml:space="preserve"> sprzeczności. Sąd </w:t>
      </w:r>
      <w:r w:rsidR="001A075F">
        <w:rPr>
          <w:lang w:val="pl-PL"/>
        </w:rPr>
        <w:t>podniósł</w:t>
      </w:r>
      <w:r>
        <w:rPr>
          <w:lang w:val="pl-PL"/>
        </w:rPr>
        <w:t xml:space="preserve">, że </w:t>
      </w:r>
      <w:r w:rsidR="001A075F">
        <w:rPr>
          <w:lang w:val="pl-PL"/>
        </w:rPr>
        <w:t>drugim</w:t>
      </w:r>
      <w:r>
        <w:rPr>
          <w:lang w:val="pl-PL"/>
        </w:rPr>
        <w:t xml:space="preserve"> </w:t>
      </w:r>
      <w:r w:rsidR="001A075F">
        <w:rPr>
          <w:lang w:val="pl-PL"/>
        </w:rPr>
        <w:t>wyjaśnie</w:t>
      </w:r>
      <w:r>
        <w:rPr>
          <w:lang w:val="pl-PL"/>
        </w:rPr>
        <w:t>niom P.H. częściowo zaprzeczają protokoły policji oraz zeznania, zdaniem sądu logiczne i spójne, złożone przez funkcjonariuszy biorących udział w jego zatrzymaniu, którzy stanowczo zaprzeczali</w:t>
      </w:r>
      <w:r w:rsidR="00AB159C">
        <w:rPr>
          <w:lang w:val="pl-PL"/>
        </w:rPr>
        <w:t xml:space="preserve"> formułowanym przeciwko nim</w:t>
      </w:r>
      <w:r>
        <w:rPr>
          <w:lang w:val="pl-PL"/>
        </w:rPr>
        <w:t xml:space="preserve"> zarzutom. Sąd uznał, że zważywszy na to, iż zatrzymania P.H. dokonano w trybie pilnym i że funkcjonariusze nie zostali poinformowani o szczegółach sprawy dotyczącej zgwałcenia, w której mieli interweniować, jest mało prawdopodobne, by próbowali wymusić na zatrzymanym obciążające go </w:t>
      </w:r>
      <w:r w:rsidR="005023E6">
        <w:rPr>
          <w:lang w:val="pl-PL"/>
        </w:rPr>
        <w:t>wyjaśnie</w:t>
      </w:r>
      <w:r>
        <w:rPr>
          <w:lang w:val="pl-PL"/>
        </w:rPr>
        <w:t xml:space="preserve">nia. Zdaniem sądu z protokołu zatrzymania nie wynika również, by P.H. zgłosił </w:t>
      </w:r>
      <w:r w:rsidR="005023E6">
        <w:rPr>
          <w:lang w:val="pl-PL"/>
        </w:rPr>
        <w:t xml:space="preserve">władzom </w:t>
      </w:r>
      <w:r w:rsidR="002C1F46">
        <w:rPr>
          <w:lang w:val="pl-PL"/>
        </w:rPr>
        <w:t>rzekome</w:t>
      </w:r>
      <w:r>
        <w:rPr>
          <w:lang w:val="pl-PL"/>
        </w:rPr>
        <w:t xml:space="preserve"> niewłaściwe traktowanie ani by </w:t>
      </w:r>
      <w:r w:rsidR="001C7D98">
        <w:rPr>
          <w:lang w:val="pl-PL"/>
        </w:rPr>
        <w:t>żądał</w:t>
      </w:r>
      <w:r>
        <w:rPr>
          <w:lang w:val="pl-PL"/>
        </w:rPr>
        <w:t xml:space="preserve"> </w:t>
      </w:r>
      <w:r w:rsidR="00FB7ACE">
        <w:rPr>
          <w:lang w:val="pl-PL"/>
        </w:rPr>
        <w:t>przeprowadzeni</w:t>
      </w:r>
      <w:r w:rsidR="001C7D98">
        <w:rPr>
          <w:lang w:val="pl-PL"/>
        </w:rPr>
        <w:t>a</w:t>
      </w:r>
      <w:r w:rsidR="00FB7ACE">
        <w:rPr>
          <w:lang w:val="pl-PL"/>
        </w:rPr>
        <w:t xml:space="preserve"> </w:t>
      </w:r>
      <w:r>
        <w:rPr>
          <w:lang w:val="pl-PL"/>
        </w:rPr>
        <w:t>badani</w:t>
      </w:r>
      <w:r w:rsidR="00FB7ACE">
        <w:rPr>
          <w:lang w:val="pl-PL"/>
        </w:rPr>
        <w:t>a</w:t>
      </w:r>
      <w:r>
        <w:rPr>
          <w:lang w:val="pl-PL"/>
        </w:rPr>
        <w:t xml:space="preserve"> lekarskie</w:t>
      </w:r>
      <w:r w:rsidR="00FB7ACE">
        <w:rPr>
          <w:lang w:val="pl-PL"/>
        </w:rPr>
        <w:t>go</w:t>
      </w:r>
      <w:r>
        <w:rPr>
          <w:lang w:val="pl-PL"/>
        </w:rPr>
        <w:t>.</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18</w:t>
      </w:r>
      <w:r w:rsidRPr="009E7ED6">
        <w:rPr>
          <w:lang w:val="pl-PL"/>
        </w:rPr>
        <w:fldChar w:fldCharType="end"/>
      </w:r>
      <w:r w:rsidRPr="009E7ED6">
        <w:rPr>
          <w:lang w:val="pl-PL"/>
        </w:rPr>
        <w:t>.  </w:t>
      </w:r>
      <w:r>
        <w:rPr>
          <w:lang w:val="pl-PL"/>
        </w:rPr>
        <w:t xml:space="preserve">Sąd zauważył ponadto, że podczas postępowania przygotowawczego P.H. był przesłuchiwany </w:t>
      </w:r>
      <w:r w:rsidR="004D27AF">
        <w:rPr>
          <w:lang w:val="pl-PL"/>
        </w:rPr>
        <w:t xml:space="preserve">kolejno </w:t>
      </w:r>
      <w:r>
        <w:rPr>
          <w:lang w:val="pl-PL"/>
        </w:rPr>
        <w:t>przez śledczych z policji</w:t>
      </w:r>
      <w:r w:rsidR="004D27AF">
        <w:rPr>
          <w:lang w:val="pl-PL"/>
        </w:rPr>
        <w:t xml:space="preserve"> i</w:t>
      </w:r>
      <w:r>
        <w:rPr>
          <w:lang w:val="pl-PL"/>
        </w:rPr>
        <w:t xml:space="preserve"> przez prokurator</w:t>
      </w:r>
      <w:r w:rsidR="004D27AF">
        <w:rPr>
          <w:lang w:val="pl-PL"/>
        </w:rPr>
        <w:t>a</w:t>
      </w:r>
      <w:r>
        <w:rPr>
          <w:lang w:val="pl-PL"/>
        </w:rPr>
        <w:t xml:space="preserve"> </w:t>
      </w:r>
      <w:r w:rsidR="004D27AF">
        <w:rPr>
          <w:lang w:val="pl-PL"/>
        </w:rPr>
        <w:t>pod nieobecność</w:t>
      </w:r>
      <w:r>
        <w:rPr>
          <w:lang w:val="pl-PL"/>
        </w:rPr>
        <w:t xml:space="preserve"> funkcjonariuszy policji. Sąd uznał, że </w:t>
      </w:r>
      <w:r w:rsidR="004D27AF">
        <w:rPr>
          <w:lang w:val="pl-PL"/>
        </w:rPr>
        <w:t>wyjaśnie</w:t>
      </w:r>
      <w:r>
        <w:rPr>
          <w:lang w:val="pl-PL"/>
        </w:rPr>
        <w:t>nia złożone przed t</w:t>
      </w:r>
      <w:r w:rsidR="002A539E">
        <w:rPr>
          <w:lang w:val="pl-PL"/>
        </w:rPr>
        <w:t>ym</w:t>
      </w:r>
      <w:r>
        <w:rPr>
          <w:lang w:val="pl-PL"/>
        </w:rPr>
        <w:t xml:space="preserve"> ostatni</w:t>
      </w:r>
      <w:r w:rsidR="002A539E">
        <w:rPr>
          <w:lang w:val="pl-PL"/>
        </w:rPr>
        <w:t>m</w:t>
      </w:r>
      <w:r>
        <w:rPr>
          <w:lang w:val="pl-PL"/>
        </w:rPr>
        <w:t xml:space="preserve"> były wyczerpujące i potwierdzały wersję wydarzeń przedstawioną śledczym. Podkreślił, że P.H. ani razu nie poskarżył się na niewłaściwe traktowanie śledczym ani sądowi, który </w:t>
      </w:r>
      <w:r w:rsidR="002B3F18">
        <w:rPr>
          <w:lang w:val="pl-PL"/>
        </w:rPr>
        <w:lastRenderedPageBreak/>
        <w:t>decydował</w:t>
      </w:r>
      <w:r>
        <w:rPr>
          <w:lang w:val="pl-PL"/>
        </w:rPr>
        <w:t xml:space="preserve"> o jego tymczasowym aresztowaniu. Sąd za</w:t>
      </w:r>
      <w:r w:rsidR="00E02F31">
        <w:rPr>
          <w:lang w:val="pl-PL"/>
        </w:rPr>
        <w:t>znaczył, że w odróżnieniu</w:t>
      </w:r>
      <w:r>
        <w:rPr>
          <w:lang w:val="pl-PL"/>
        </w:rPr>
        <w:t xml:space="preserve"> do </w:t>
      </w:r>
      <w:r w:rsidR="00E02F31">
        <w:rPr>
          <w:lang w:val="pl-PL"/>
        </w:rPr>
        <w:t xml:space="preserve">jego </w:t>
      </w:r>
      <w:r>
        <w:rPr>
          <w:lang w:val="pl-PL"/>
        </w:rPr>
        <w:t xml:space="preserve">pierwotnych </w:t>
      </w:r>
      <w:r w:rsidR="00E02F31">
        <w:rPr>
          <w:lang w:val="pl-PL"/>
        </w:rPr>
        <w:t>wyjaśnie</w:t>
      </w:r>
      <w:r>
        <w:rPr>
          <w:lang w:val="pl-PL"/>
        </w:rPr>
        <w:t>ń, te złożone później nie były ani spontaniczne, ani spójne, oraz że P.H. kilkakrotnie je zmieniał i miał trudności z odpowiedzią nawet na bardzo proste pytania.</w:t>
      </w:r>
    </w:p>
    <w:p w:rsidR="00970E5A" w:rsidRDefault="00970E5A" w:rsidP="00C95D01">
      <w:pPr>
        <w:pStyle w:val="ECHRPara"/>
        <w:rPr>
          <w:lang w:val="pl-PL"/>
        </w:rPr>
      </w:pPr>
      <w:r>
        <w:rPr>
          <w:lang w:val="pl-PL"/>
        </w:rPr>
        <w:t xml:space="preserve">Sąd </w:t>
      </w:r>
      <w:r w:rsidR="000128E7">
        <w:rPr>
          <w:lang w:val="pl-PL"/>
        </w:rPr>
        <w:t>wskaza</w:t>
      </w:r>
      <w:r>
        <w:rPr>
          <w:lang w:val="pl-PL"/>
        </w:rPr>
        <w:t>ł, że nie przekon</w:t>
      </w:r>
      <w:r w:rsidR="000128E7">
        <w:rPr>
          <w:lang w:val="pl-PL"/>
        </w:rPr>
        <w:t>ały</w:t>
      </w:r>
      <w:r>
        <w:rPr>
          <w:lang w:val="pl-PL"/>
        </w:rPr>
        <w:t xml:space="preserve"> go wyjaśnienia P.H., według których niespójność różnych wersji </w:t>
      </w:r>
      <w:r w:rsidR="00F674B1">
        <w:rPr>
          <w:lang w:val="pl-PL"/>
        </w:rPr>
        <w:t>wyjaśnień</w:t>
      </w:r>
      <w:r>
        <w:rPr>
          <w:lang w:val="pl-PL"/>
        </w:rPr>
        <w:t xml:space="preserve"> </w:t>
      </w:r>
      <w:r w:rsidR="00F674B1">
        <w:rPr>
          <w:lang w:val="pl-PL"/>
        </w:rPr>
        <w:t>była</w:t>
      </w:r>
      <w:r>
        <w:rPr>
          <w:lang w:val="pl-PL"/>
        </w:rPr>
        <w:t xml:space="preserve"> spowodowana upływem czasu. Za</w:t>
      </w:r>
      <w:r w:rsidR="00757632">
        <w:rPr>
          <w:lang w:val="pl-PL"/>
        </w:rPr>
        <w:t>znaczył</w:t>
      </w:r>
      <w:r>
        <w:rPr>
          <w:lang w:val="pl-PL"/>
        </w:rPr>
        <w:t xml:space="preserve"> w tym względzie, że podczas przesłuchania, które miało miejsce około pół roku </w:t>
      </w:r>
      <w:r w:rsidR="00B469D6">
        <w:rPr>
          <w:lang w:val="pl-PL"/>
        </w:rPr>
        <w:t>po jego</w:t>
      </w:r>
      <w:r>
        <w:rPr>
          <w:lang w:val="pl-PL"/>
        </w:rPr>
        <w:t xml:space="preserve"> </w:t>
      </w:r>
      <w:r w:rsidR="00436B4D">
        <w:rPr>
          <w:lang w:val="pl-PL"/>
        </w:rPr>
        <w:t>zatrzym</w:t>
      </w:r>
      <w:r>
        <w:rPr>
          <w:lang w:val="pl-PL"/>
        </w:rPr>
        <w:t>ani</w:t>
      </w:r>
      <w:r w:rsidR="00B469D6">
        <w:rPr>
          <w:lang w:val="pl-PL"/>
        </w:rPr>
        <w:t>u</w:t>
      </w:r>
      <w:r>
        <w:rPr>
          <w:lang w:val="pl-PL"/>
        </w:rPr>
        <w:t xml:space="preserve">, P.H. przedstawił sądowi pełny i szczegółowy opis zdarzenia, natomiast podczas konfrontacji z funkcjonariuszem policji cztery </w:t>
      </w:r>
      <w:r w:rsidR="00DA0C0D">
        <w:rPr>
          <w:lang w:val="pl-PL"/>
        </w:rPr>
        <w:t>po zatrzymaniu</w:t>
      </w:r>
      <w:r>
        <w:rPr>
          <w:lang w:val="pl-PL"/>
        </w:rPr>
        <w:t xml:space="preserve"> twierdził, że nie jest w stanie odtworzyć jego przebiegu. Sąd uznał, że jego stwierdzenia o niewłaściwym traktowaniu są nielogiczne, jako że P.H. był zarazem jedynym współoskarżonym, który takie stwierdzenia sformułował, oraz ostatnim, który został </w:t>
      </w:r>
      <w:r w:rsidR="0079003D">
        <w:rPr>
          <w:lang w:val="pl-PL"/>
        </w:rPr>
        <w:t>zatrzyma</w:t>
      </w:r>
      <w:r>
        <w:rPr>
          <w:lang w:val="pl-PL"/>
        </w:rPr>
        <w:t xml:space="preserve">ny. </w:t>
      </w:r>
      <w:r w:rsidR="0093521A">
        <w:rPr>
          <w:lang w:val="pl-PL"/>
        </w:rPr>
        <w:t>Dlatego też, z</w:t>
      </w:r>
      <w:r>
        <w:rPr>
          <w:lang w:val="pl-PL"/>
        </w:rPr>
        <w:t>daniem sądu, nawet gdyby</w:t>
      </w:r>
      <w:r w:rsidR="0093521A">
        <w:rPr>
          <w:lang w:val="pl-PL"/>
        </w:rPr>
        <w:t xml:space="preserve"> przyjąć, że </w:t>
      </w:r>
      <w:r>
        <w:rPr>
          <w:lang w:val="pl-PL"/>
        </w:rPr>
        <w:t xml:space="preserve">śledczy chcieli wymusić na podejrzanych złożenie określonych </w:t>
      </w:r>
      <w:r w:rsidR="00436A65">
        <w:rPr>
          <w:lang w:val="pl-PL"/>
        </w:rPr>
        <w:t>wyjaśnień</w:t>
      </w:r>
      <w:r>
        <w:rPr>
          <w:lang w:val="pl-PL"/>
        </w:rPr>
        <w:t xml:space="preserve">, zastosowaliby środki przymusu najprawdopodobniej wobec podejrzanego, który został aresztowany jako pierwszy. Sąd zaznaczył również, że pewne sprzeczności między pierwszymi </w:t>
      </w:r>
      <w:r w:rsidR="00B71528">
        <w:rPr>
          <w:lang w:val="pl-PL"/>
        </w:rPr>
        <w:t>wyjaśnie</w:t>
      </w:r>
      <w:r>
        <w:rPr>
          <w:lang w:val="pl-PL"/>
        </w:rPr>
        <w:t>niami P.H. a zeznaniami Z.S. można wyjaśnić pragnieniem P.H., by pomniejszyć odpowiedzialność swoją i swojego młodszego brata. Ponadto</w:t>
      </w:r>
      <w:r w:rsidR="00966676">
        <w:rPr>
          <w:lang w:val="pl-PL"/>
        </w:rPr>
        <w:t>,</w:t>
      </w:r>
      <w:r>
        <w:rPr>
          <w:lang w:val="pl-PL"/>
        </w:rPr>
        <w:t xml:space="preserve"> zdaniem sądu</w:t>
      </w:r>
      <w:r w:rsidR="00966676">
        <w:rPr>
          <w:lang w:val="pl-PL"/>
        </w:rPr>
        <w:t>,</w:t>
      </w:r>
      <w:r>
        <w:rPr>
          <w:lang w:val="pl-PL"/>
        </w:rPr>
        <w:t xml:space="preserve"> </w:t>
      </w:r>
      <w:r w:rsidR="00966676">
        <w:rPr>
          <w:lang w:val="pl-PL"/>
        </w:rPr>
        <w:t>przy założeniu, że</w:t>
      </w:r>
      <w:r>
        <w:rPr>
          <w:lang w:val="pl-PL"/>
        </w:rPr>
        <w:t xml:space="preserve"> początkowe </w:t>
      </w:r>
      <w:r w:rsidR="00A12334">
        <w:rPr>
          <w:lang w:val="pl-PL"/>
        </w:rPr>
        <w:t>wyjaśnienia</w:t>
      </w:r>
      <w:r>
        <w:rPr>
          <w:lang w:val="pl-PL"/>
        </w:rPr>
        <w:t xml:space="preserve"> rzeczywiście zostały wymuszone przez funkcjonariuszy, śledczy najprawdopodobniej sprawiliby, aby ich treść była jak najbardziej zgodna z wersją ofiary. </w:t>
      </w:r>
    </w:p>
    <w:p w:rsidR="00970E5A"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19</w:t>
      </w:r>
      <w:r w:rsidRPr="009E7ED6">
        <w:rPr>
          <w:lang w:val="pl-PL"/>
        </w:rPr>
        <w:fldChar w:fldCharType="end"/>
      </w:r>
      <w:r w:rsidRPr="009E7ED6">
        <w:rPr>
          <w:lang w:val="pl-PL"/>
        </w:rPr>
        <w:t>.  </w:t>
      </w:r>
      <w:r>
        <w:rPr>
          <w:lang w:val="pl-PL"/>
        </w:rPr>
        <w:t xml:space="preserve">Sąd zaznaczył ponadto, że </w:t>
      </w:r>
      <w:r w:rsidR="00A32D34">
        <w:rPr>
          <w:lang w:val="pl-PL"/>
        </w:rPr>
        <w:t xml:space="preserve">oprócz </w:t>
      </w:r>
      <w:r w:rsidR="00F34CC0">
        <w:rPr>
          <w:lang w:val="pl-PL"/>
        </w:rPr>
        <w:t xml:space="preserve">wyżej wymienionych wyjaśnień P. H., </w:t>
      </w:r>
      <w:r>
        <w:rPr>
          <w:lang w:val="pl-PL"/>
        </w:rPr>
        <w:t xml:space="preserve">zeznania Z.S. zostały potwierdzone </w:t>
      </w:r>
      <w:r w:rsidR="00435AFE">
        <w:rPr>
          <w:lang w:val="pl-PL"/>
        </w:rPr>
        <w:t>z</w:t>
      </w:r>
      <w:r>
        <w:rPr>
          <w:lang w:val="pl-PL"/>
        </w:rPr>
        <w:t>eznania</w:t>
      </w:r>
      <w:r w:rsidR="00435AFE">
        <w:rPr>
          <w:lang w:val="pl-PL"/>
        </w:rPr>
        <w:t>mi</w:t>
      </w:r>
      <w:r>
        <w:rPr>
          <w:lang w:val="pl-PL"/>
        </w:rPr>
        <w:t xml:space="preserve"> złożon</w:t>
      </w:r>
      <w:r w:rsidR="00435AFE">
        <w:rPr>
          <w:lang w:val="pl-PL"/>
        </w:rPr>
        <w:t>ymi</w:t>
      </w:r>
      <w:r>
        <w:rPr>
          <w:lang w:val="pl-PL"/>
        </w:rPr>
        <w:t xml:space="preserve"> podczas postępowania przygotowawczego przez W.H., naocznego świadka zdarzenia. Chociaż wzorem starszego brata zmienił on swoje zeznania, twierdząc, że został zmuszony przez śledczych do złożenia zeznań obciążających oskarżonych, sąd uznał, że późniejsze zeznania nie były wiarygodne i </w:t>
      </w:r>
      <w:r w:rsidR="00283345">
        <w:rPr>
          <w:lang w:val="pl-PL"/>
        </w:rPr>
        <w:t>odrzucił je</w:t>
      </w:r>
      <w:r>
        <w:rPr>
          <w:lang w:val="pl-PL"/>
        </w:rPr>
        <w:t xml:space="preserve"> z zasadniczo tych samych przyczyn</w:t>
      </w:r>
      <w:r w:rsidR="00283345">
        <w:rPr>
          <w:lang w:val="pl-PL"/>
        </w:rPr>
        <w:t>, jakie zostały podniesione</w:t>
      </w:r>
      <w:r>
        <w:rPr>
          <w:lang w:val="pl-PL"/>
        </w:rPr>
        <w:t xml:space="preserve"> </w:t>
      </w:r>
      <w:r w:rsidR="00C03206">
        <w:rPr>
          <w:lang w:val="pl-PL"/>
        </w:rPr>
        <w:t>przy</w:t>
      </w:r>
      <w:r>
        <w:rPr>
          <w:lang w:val="pl-PL"/>
        </w:rPr>
        <w:t xml:space="preserve"> nieuwzględnieni</w:t>
      </w:r>
      <w:r w:rsidR="00C03206">
        <w:rPr>
          <w:lang w:val="pl-PL"/>
        </w:rPr>
        <w:t>u</w:t>
      </w:r>
      <w:r>
        <w:rPr>
          <w:lang w:val="pl-PL"/>
        </w:rPr>
        <w:t xml:space="preserve"> </w:t>
      </w:r>
      <w:r w:rsidR="00DF0CC1">
        <w:rPr>
          <w:lang w:val="pl-PL"/>
        </w:rPr>
        <w:t>drugich</w:t>
      </w:r>
      <w:r>
        <w:rPr>
          <w:lang w:val="pl-PL"/>
        </w:rPr>
        <w:t xml:space="preserve"> </w:t>
      </w:r>
      <w:r w:rsidR="00C03206">
        <w:rPr>
          <w:lang w:val="pl-PL"/>
        </w:rPr>
        <w:t>wyjaśnień</w:t>
      </w:r>
      <w:r>
        <w:rPr>
          <w:lang w:val="pl-PL"/>
        </w:rPr>
        <w:t xml:space="preserve"> jego brata. </w:t>
      </w:r>
      <w:r w:rsidR="00DF0CC1">
        <w:rPr>
          <w:lang w:val="pl-PL"/>
        </w:rPr>
        <w:t>Sąd z</w:t>
      </w:r>
      <w:r>
        <w:rPr>
          <w:lang w:val="pl-PL"/>
        </w:rPr>
        <w:t>auważył poza tym, że psycholog, która była obecna przy przesłuchaniu W.H., stanowczo zaprzeczyła twierdzeniom mężczyzny na temat rzekomych środków przymusu, o których mówił.</w:t>
      </w:r>
    </w:p>
    <w:p w:rsidR="00970E5A"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20</w:t>
      </w:r>
      <w:r w:rsidRPr="009E7ED6">
        <w:rPr>
          <w:lang w:val="pl-PL"/>
        </w:rPr>
        <w:fldChar w:fldCharType="end"/>
      </w:r>
      <w:r w:rsidRPr="009E7ED6">
        <w:rPr>
          <w:lang w:val="pl-PL"/>
        </w:rPr>
        <w:t>.  </w:t>
      </w:r>
      <w:r>
        <w:rPr>
          <w:lang w:val="pl-PL"/>
        </w:rPr>
        <w:t xml:space="preserve">Sąd dodał, że jego wnioski w przedmiocie winy oskarżonych </w:t>
      </w:r>
      <w:r w:rsidR="00293A17">
        <w:rPr>
          <w:lang w:val="pl-PL"/>
        </w:rPr>
        <w:t>były</w:t>
      </w:r>
      <w:r>
        <w:rPr>
          <w:lang w:val="pl-PL"/>
        </w:rPr>
        <w:t xml:space="preserve"> ponadto oparte na dodatkowych dowodach, takich jak zeznania świadków ze słyszenia, wyniki oględzin miejsca zdarzenia oraz </w:t>
      </w:r>
      <w:r w:rsidR="00515E1C">
        <w:rPr>
          <w:lang w:val="pl-PL"/>
        </w:rPr>
        <w:t>opinie lekarskie</w:t>
      </w:r>
      <w:r>
        <w:rPr>
          <w:lang w:val="pl-PL"/>
        </w:rPr>
        <w:t xml:space="preserve">. </w:t>
      </w:r>
      <w:r w:rsidR="00515E1C">
        <w:rPr>
          <w:lang w:val="pl-PL"/>
        </w:rPr>
        <w:t>Sąd s</w:t>
      </w:r>
      <w:r>
        <w:rPr>
          <w:lang w:val="pl-PL"/>
        </w:rPr>
        <w:t>twierdził, że niektórzy świadkowie, w tym nauczycielka Z.S.</w:t>
      </w:r>
      <w:r w:rsidR="00097A0B">
        <w:rPr>
          <w:lang w:val="pl-PL"/>
        </w:rPr>
        <w:t>,</w:t>
      </w:r>
      <w:r>
        <w:rPr>
          <w:lang w:val="pl-PL"/>
        </w:rPr>
        <w:t xml:space="preserve"> dyrektorka</w:t>
      </w:r>
      <w:r w:rsidR="00097A0B">
        <w:rPr>
          <w:lang w:val="pl-PL"/>
        </w:rPr>
        <w:t xml:space="preserve"> szkoły</w:t>
      </w:r>
      <w:r>
        <w:rPr>
          <w:lang w:val="pl-PL"/>
        </w:rPr>
        <w:t xml:space="preserve"> i psycholog w jej liceum, a także członkowie jej rodziny, </w:t>
      </w:r>
      <w:r w:rsidR="00937DC6">
        <w:rPr>
          <w:lang w:val="pl-PL"/>
        </w:rPr>
        <w:t>opisywali jej smutek</w:t>
      </w:r>
      <w:r>
        <w:rPr>
          <w:lang w:val="pl-PL"/>
        </w:rPr>
        <w:t xml:space="preserve">, oraz że wszyscy świadkowie byli przekonani, że jej zeznania są </w:t>
      </w:r>
      <w:r w:rsidR="009B49EE">
        <w:rPr>
          <w:lang w:val="pl-PL"/>
        </w:rPr>
        <w:t>wiarygodne</w:t>
      </w:r>
      <w:r>
        <w:rPr>
          <w:lang w:val="pl-PL"/>
        </w:rPr>
        <w:t xml:space="preserve">. Sąd zauważył w szczególności, że według oświadczenia wyżej wymienionej psycholog, złożonego przed sądem, Z.S. wykazywała objawy typowe dla ofiar </w:t>
      </w:r>
      <w:r w:rsidR="009B49EE">
        <w:rPr>
          <w:lang w:val="pl-PL"/>
        </w:rPr>
        <w:t>agresji</w:t>
      </w:r>
      <w:r>
        <w:rPr>
          <w:lang w:val="pl-PL"/>
        </w:rPr>
        <w:t xml:space="preserve"> seksualn</w:t>
      </w:r>
      <w:r w:rsidR="00DC286A">
        <w:rPr>
          <w:lang w:val="pl-PL"/>
        </w:rPr>
        <w:t>ych</w:t>
      </w:r>
      <w:r>
        <w:rPr>
          <w:lang w:val="pl-PL"/>
        </w:rPr>
        <w:t xml:space="preserve">, takie jak </w:t>
      </w:r>
      <w:r w:rsidR="00DC286A">
        <w:rPr>
          <w:lang w:val="pl-PL"/>
        </w:rPr>
        <w:t>niestabil</w:t>
      </w:r>
      <w:r>
        <w:rPr>
          <w:lang w:val="pl-PL"/>
        </w:rPr>
        <w:t xml:space="preserve">ność emocjonalna charakterystyczna dla skrzywdzonych osób, poczucie winy, odrzucanie </w:t>
      </w:r>
      <w:r>
        <w:rPr>
          <w:lang w:val="pl-PL"/>
        </w:rPr>
        <w:lastRenderedPageBreak/>
        <w:t xml:space="preserve">proponowanej pomocy i odmowa oskarżenia sprawców. Sąd dodał również, że według zeznań dyrektorki liceum Z.S., ta ostatnia wysyłała do niej listy wskazujące na tendencje samobójcze. Fakt ten, a także stwierdzenia dyrektorki na temat niezdolności Z.S. do opowiedzenia o doznanej napaści, potwierdzały zeznania psycholog. Sąd wskazał, że całość powyższych zeznań była wiarygodna i spójna i potwierdzała zeznania </w:t>
      </w:r>
      <w:r w:rsidR="001D487D">
        <w:rPr>
          <w:lang w:val="pl-PL"/>
        </w:rPr>
        <w:t>pokrzywdzonej</w:t>
      </w:r>
      <w:r>
        <w:rPr>
          <w:lang w:val="pl-PL"/>
        </w:rPr>
        <w:t xml:space="preserve">. </w:t>
      </w:r>
      <w:r w:rsidR="001D487D">
        <w:rPr>
          <w:lang w:val="pl-PL"/>
        </w:rPr>
        <w:t>Sąd u</w:t>
      </w:r>
      <w:r>
        <w:rPr>
          <w:lang w:val="pl-PL"/>
        </w:rPr>
        <w:t xml:space="preserve">znał, że tę wersję potwierdzają również wyniki oględzin miejsca zdarzenia, które zdaniem sądu stanowiły dowód na to, że Z.S. nie mogłaby znać pewnych szczegółów, gdyby wydarzenia, o których zeznała, w rzeczywistości nie miały miejsca. Sąd dodał, że </w:t>
      </w:r>
      <w:r w:rsidR="007F3ADC">
        <w:rPr>
          <w:lang w:val="pl-PL"/>
        </w:rPr>
        <w:t>opinia lekarska</w:t>
      </w:r>
      <w:r>
        <w:rPr>
          <w:lang w:val="pl-PL"/>
        </w:rPr>
        <w:t xml:space="preserve"> sporządzon</w:t>
      </w:r>
      <w:r w:rsidR="007F3ADC">
        <w:rPr>
          <w:lang w:val="pl-PL"/>
        </w:rPr>
        <w:t>a</w:t>
      </w:r>
      <w:r>
        <w:rPr>
          <w:lang w:val="pl-PL"/>
        </w:rPr>
        <w:t xml:space="preserve"> po badaniu Z.S. również potwierdził wiarygodność jej zeznań.</w:t>
      </w:r>
    </w:p>
    <w:p w:rsidR="00970E5A"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21</w:t>
      </w:r>
      <w:r w:rsidRPr="009E7ED6">
        <w:rPr>
          <w:lang w:val="pl-PL"/>
        </w:rPr>
        <w:fldChar w:fldCharType="end"/>
      </w:r>
      <w:r w:rsidRPr="009E7ED6">
        <w:rPr>
          <w:lang w:val="pl-PL"/>
        </w:rPr>
        <w:t>.  </w:t>
      </w:r>
      <w:r>
        <w:rPr>
          <w:lang w:val="pl-PL"/>
        </w:rPr>
        <w:t xml:space="preserve">Ponadto sąd wskazał, że argumenty obrony mające na celu zakwestionowanie wiarygodności ofiary </w:t>
      </w:r>
      <w:r w:rsidR="002D2AD3">
        <w:rPr>
          <w:lang w:val="pl-PL"/>
        </w:rPr>
        <w:t xml:space="preserve">nie </w:t>
      </w:r>
      <w:r>
        <w:rPr>
          <w:lang w:val="pl-PL"/>
        </w:rPr>
        <w:t>były uzasadnione. S</w:t>
      </w:r>
      <w:r w:rsidR="00116882">
        <w:rPr>
          <w:lang w:val="pl-PL"/>
        </w:rPr>
        <w:t>ąd</w:t>
      </w:r>
      <w:r>
        <w:rPr>
          <w:lang w:val="pl-PL"/>
        </w:rPr>
        <w:t xml:space="preserve"> nie </w:t>
      </w:r>
      <w:r w:rsidR="002B759A">
        <w:rPr>
          <w:lang w:val="pl-PL"/>
        </w:rPr>
        <w:t>znalazł</w:t>
      </w:r>
      <w:r>
        <w:rPr>
          <w:lang w:val="pl-PL"/>
        </w:rPr>
        <w:t xml:space="preserve"> żadnych podstaw </w:t>
      </w:r>
      <w:r w:rsidR="002B759A">
        <w:rPr>
          <w:lang w:val="pl-PL"/>
        </w:rPr>
        <w:t>aby</w:t>
      </w:r>
      <w:r>
        <w:rPr>
          <w:lang w:val="pl-PL"/>
        </w:rPr>
        <w:t xml:space="preserve"> podejrzewa</w:t>
      </w:r>
      <w:r w:rsidR="002B759A">
        <w:rPr>
          <w:lang w:val="pl-PL"/>
        </w:rPr>
        <w:t>ć</w:t>
      </w:r>
      <w:r>
        <w:rPr>
          <w:lang w:val="pl-PL"/>
        </w:rPr>
        <w:t xml:space="preserve"> Z.</w:t>
      </w:r>
      <w:r w:rsidR="002B759A">
        <w:rPr>
          <w:lang w:val="pl-PL"/>
        </w:rPr>
        <w:t xml:space="preserve"> </w:t>
      </w:r>
      <w:r>
        <w:rPr>
          <w:lang w:val="pl-PL"/>
        </w:rPr>
        <w:t xml:space="preserve">S. o to, że zmyśliła swoją wersję wydarzeń. Uznał również, że fakt, iż jej zeznania zostały złożone przed sądem, nadawał im dużą moc dowodową. Zauważył, że </w:t>
      </w:r>
      <w:r w:rsidR="00E605DC">
        <w:rPr>
          <w:lang w:val="pl-PL"/>
        </w:rPr>
        <w:t xml:space="preserve">przyczyn </w:t>
      </w:r>
      <w:r>
        <w:rPr>
          <w:lang w:val="pl-PL"/>
        </w:rPr>
        <w:t>nieobecnoś</w:t>
      </w:r>
      <w:r w:rsidR="00E605DC">
        <w:rPr>
          <w:lang w:val="pl-PL"/>
        </w:rPr>
        <w:t>ci</w:t>
      </w:r>
      <w:r>
        <w:rPr>
          <w:lang w:val="pl-PL"/>
        </w:rPr>
        <w:t xml:space="preserve"> Z.S. podczas rozprawy </w:t>
      </w:r>
      <w:r w:rsidR="00E605DC">
        <w:rPr>
          <w:lang w:val="pl-PL"/>
        </w:rPr>
        <w:t>nie należy przypisywać</w:t>
      </w:r>
      <w:r>
        <w:rPr>
          <w:lang w:val="pl-PL"/>
        </w:rPr>
        <w:t xml:space="preserve"> organ</w:t>
      </w:r>
      <w:r w:rsidR="00E605DC">
        <w:rPr>
          <w:lang w:val="pl-PL"/>
        </w:rPr>
        <w:t>om</w:t>
      </w:r>
      <w:r>
        <w:rPr>
          <w:lang w:val="pl-PL"/>
        </w:rPr>
        <w:t xml:space="preserve"> prowadzący</w:t>
      </w:r>
      <w:r w:rsidR="00E605DC">
        <w:rPr>
          <w:lang w:val="pl-PL"/>
        </w:rPr>
        <w:t>m</w:t>
      </w:r>
      <w:r>
        <w:rPr>
          <w:lang w:val="pl-PL"/>
        </w:rPr>
        <w:t xml:space="preserve"> postępowanie, zważywszy na wnioski z raportu medycznego, według których jej udział w postępowaniu mógł zaszkodzić jej zdrowiu psychicznemu lub nawet </w:t>
      </w:r>
      <w:r w:rsidR="006F15C5">
        <w:rPr>
          <w:lang w:val="pl-PL"/>
        </w:rPr>
        <w:t>doprowadzić</w:t>
      </w:r>
      <w:r>
        <w:rPr>
          <w:lang w:val="pl-PL"/>
        </w:rPr>
        <w:t xml:space="preserve"> ją do samobójstwa. </w:t>
      </w:r>
      <w:r w:rsidR="006F15C5">
        <w:rPr>
          <w:lang w:val="pl-PL"/>
        </w:rPr>
        <w:t>Sąd z</w:t>
      </w:r>
      <w:r>
        <w:rPr>
          <w:lang w:val="pl-PL"/>
        </w:rPr>
        <w:t>aznaczył, że trudności, które z tego tytułu wynikn</w:t>
      </w:r>
      <w:r w:rsidR="0056784F">
        <w:rPr>
          <w:lang w:val="pl-PL"/>
        </w:rPr>
        <w:t>ęły</w:t>
      </w:r>
      <w:r>
        <w:rPr>
          <w:lang w:val="pl-PL"/>
        </w:rPr>
        <w:t xml:space="preserve"> dla obrony, złagodziło umożliwienie obronie przesłuchania podczas rozprawy psycholog, która była obecna przy wszystkich przesłuchaniach Z.S. i która kilkakrotnie rozmawiała z dziewczyną, oraz uzyskania odpowiedzi na wszystkie zadane pytania. Ponadto sąd przytoczył </w:t>
      </w:r>
      <w:r w:rsidR="005F5527">
        <w:rPr>
          <w:lang w:val="pl-PL"/>
        </w:rPr>
        <w:t>opinię</w:t>
      </w:r>
      <w:r>
        <w:rPr>
          <w:lang w:val="pl-PL"/>
        </w:rPr>
        <w:t>, któr</w:t>
      </w:r>
      <w:r w:rsidR="005F5527">
        <w:rPr>
          <w:lang w:val="pl-PL"/>
        </w:rPr>
        <w:t>ą</w:t>
      </w:r>
      <w:r>
        <w:rPr>
          <w:lang w:val="pl-PL"/>
        </w:rPr>
        <w:t xml:space="preserve"> psycholog przekazała organom prowadzącym postępowanie</w:t>
      </w:r>
      <w:r w:rsidR="005F5527">
        <w:rPr>
          <w:lang w:val="pl-PL"/>
        </w:rPr>
        <w:t>,</w:t>
      </w:r>
      <w:r>
        <w:rPr>
          <w:lang w:val="pl-PL"/>
        </w:rPr>
        <w:t xml:space="preserve"> w któr</w:t>
      </w:r>
      <w:r w:rsidR="005F5527">
        <w:rPr>
          <w:lang w:val="pl-PL"/>
        </w:rPr>
        <w:t>ej</w:t>
      </w:r>
      <w:r>
        <w:rPr>
          <w:lang w:val="pl-PL"/>
        </w:rPr>
        <w:t xml:space="preserve"> </w:t>
      </w:r>
      <w:r w:rsidR="005F5527">
        <w:rPr>
          <w:lang w:val="pl-PL"/>
        </w:rPr>
        <w:t>oceni</w:t>
      </w:r>
      <w:r>
        <w:rPr>
          <w:lang w:val="pl-PL"/>
        </w:rPr>
        <w:t xml:space="preserve">ła zeznania Z.S. </w:t>
      </w:r>
      <w:r w:rsidR="005F5527">
        <w:rPr>
          <w:lang w:val="pl-PL"/>
        </w:rPr>
        <w:t xml:space="preserve">jako </w:t>
      </w:r>
      <w:r>
        <w:rPr>
          <w:lang w:val="pl-PL"/>
        </w:rPr>
        <w:t xml:space="preserve"> wiarygodne i argumentowała, że ze względu na </w:t>
      </w:r>
      <w:r w:rsidR="00ED71BB">
        <w:rPr>
          <w:lang w:val="pl-PL"/>
        </w:rPr>
        <w:t>je</w:t>
      </w:r>
      <w:r>
        <w:rPr>
          <w:lang w:val="pl-PL"/>
        </w:rPr>
        <w:t>j stan psychiczny</w:t>
      </w:r>
      <w:r w:rsidR="00ED71BB">
        <w:rPr>
          <w:lang w:val="pl-PL"/>
        </w:rPr>
        <w:t>,</w:t>
      </w:r>
      <w:r>
        <w:rPr>
          <w:lang w:val="pl-PL"/>
        </w:rPr>
        <w:t xml:space="preserve"> dziewczyna nie byłaby w stanie niczego zmyślić. Sąd zauważył, że podczas przesłuchania na terenie kliniki</w:t>
      </w:r>
      <w:r w:rsidR="00331A47">
        <w:rPr>
          <w:lang w:val="pl-PL"/>
        </w:rPr>
        <w:t>,</w:t>
      </w:r>
      <w:r>
        <w:rPr>
          <w:lang w:val="pl-PL"/>
        </w:rPr>
        <w:t xml:space="preserve"> Z.S. wyjaśniła, co początkowo skłoniło ją do zatajenia pewnych szczegółów, i że psycholog obecna przy przesłuchaniu uznała jej wyjaśnienia za całkowicie wiarygodne. Sąd dodał </w:t>
      </w:r>
      <w:r w:rsidR="00375A44">
        <w:rPr>
          <w:lang w:val="pl-PL"/>
        </w:rPr>
        <w:t>ponadto</w:t>
      </w:r>
      <w:r>
        <w:rPr>
          <w:lang w:val="pl-PL"/>
        </w:rPr>
        <w:t>, że całość wniosków psycholog była spójna i przekonująca, i potwierdzała ustalenia, do których doszedł sam sąd.</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22</w:t>
      </w:r>
      <w:r w:rsidRPr="009E7ED6">
        <w:rPr>
          <w:lang w:val="pl-PL"/>
        </w:rPr>
        <w:fldChar w:fldCharType="end"/>
      </w:r>
      <w:r w:rsidRPr="009E7ED6">
        <w:rPr>
          <w:lang w:val="pl-PL"/>
        </w:rPr>
        <w:t>.  </w:t>
      </w:r>
      <w:r>
        <w:rPr>
          <w:lang w:val="pl-PL"/>
        </w:rPr>
        <w:t xml:space="preserve">W </w:t>
      </w:r>
      <w:r w:rsidR="00875D4D">
        <w:rPr>
          <w:lang w:val="pl-PL"/>
        </w:rPr>
        <w:t>apelacji</w:t>
      </w:r>
      <w:r>
        <w:rPr>
          <w:lang w:val="pl-PL"/>
        </w:rPr>
        <w:t xml:space="preserve"> od orzeczenia Sądu Rejonowego w Oławie skarżący utrzymywał w szczególności, że brak przesłuchania Z.S. podczas rozprawy i dopuszczenie jako dowodu obciążającego jej zeznań złożonych przed </w:t>
      </w:r>
      <w:r w:rsidR="002227AA">
        <w:rPr>
          <w:lang w:val="pl-PL"/>
        </w:rPr>
        <w:t>rozprawą</w:t>
      </w:r>
      <w:r>
        <w:rPr>
          <w:lang w:val="pl-PL"/>
        </w:rPr>
        <w:t xml:space="preserve"> stanowiło naruszenie art. 185a k.p.k. w związku z art. 6 k.p.k. Zarzucał ponadto naruszenie art. 6 k.p.k., ponieważ jego obrońca nie był obecny podczas przesłuchania, a władze nie poinformowały go z wyprzedzeniem o przesłuchaniach Z.S.</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23</w:t>
      </w:r>
      <w:r w:rsidRPr="009E7ED6">
        <w:rPr>
          <w:lang w:val="pl-PL"/>
        </w:rPr>
        <w:fldChar w:fldCharType="end"/>
      </w:r>
      <w:r w:rsidRPr="009E7ED6">
        <w:rPr>
          <w:lang w:val="pl-PL"/>
        </w:rPr>
        <w:t>.  </w:t>
      </w:r>
      <w:r w:rsidR="007A3BDD">
        <w:rPr>
          <w:lang w:val="pl-PL"/>
        </w:rPr>
        <w:t>Wyrokiem</w:t>
      </w:r>
      <w:r>
        <w:rPr>
          <w:lang w:val="pl-PL"/>
        </w:rPr>
        <w:t xml:space="preserve"> z dnia 13 czerwca 2006 r. Sąd Okręgowy we Wrocławiu </w:t>
      </w:r>
      <w:r w:rsidR="007A3BDD">
        <w:rPr>
          <w:lang w:val="pl-PL"/>
        </w:rPr>
        <w:t>u</w:t>
      </w:r>
      <w:r>
        <w:rPr>
          <w:lang w:val="pl-PL"/>
        </w:rPr>
        <w:t>trzymał w zasadniczej części</w:t>
      </w:r>
      <w:r w:rsidR="007A3BDD">
        <w:rPr>
          <w:lang w:val="pl-PL"/>
        </w:rPr>
        <w:t xml:space="preserve"> w mocy</w:t>
      </w:r>
      <w:r>
        <w:rPr>
          <w:lang w:val="pl-PL"/>
        </w:rPr>
        <w:t xml:space="preserve"> orzeczenie sądu pierwszej instancji. Przyjmując młody wiek skarżącego za okoliczność łagodzącą, zmniejszył wymiar zasądzonej kary do pięciu lat pozbawienia wolności.</w:t>
      </w:r>
    </w:p>
    <w:p w:rsidR="00970E5A" w:rsidRPr="009E7ED6" w:rsidRDefault="00970E5A" w:rsidP="00C95D01">
      <w:pPr>
        <w:pStyle w:val="ECHRPara"/>
        <w:rPr>
          <w:lang w:val="pl-PL"/>
        </w:rPr>
      </w:pPr>
      <w:r>
        <w:rPr>
          <w:lang w:val="pl-PL"/>
        </w:rPr>
        <w:lastRenderedPageBreak/>
        <w:t xml:space="preserve">Sąd Okręgowy uznał, że Sąd Rejonowy prawidłowo ustalił i ocenił okoliczności sprawy, że należycie uzasadnił swoje orzeczenie, że podstawą dla jego wniosków był ogół </w:t>
      </w:r>
      <w:r w:rsidR="00FA66CC">
        <w:rPr>
          <w:lang w:val="pl-PL"/>
        </w:rPr>
        <w:t>istotny</w:t>
      </w:r>
      <w:r>
        <w:rPr>
          <w:lang w:val="pl-PL"/>
        </w:rPr>
        <w:t xml:space="preserve">ch dowodów, w tym takich, które były sprzeczne z wersją ofiary, i że należycie przedstawił powody, dla których </w:t>
      </w:r>
      <w:r w:rsidR="00F577F7">
        <w:rPr>
          <w:lang w:val="pl-PL"/>
        </w:rPr>
        <w:t>przedłożył</w:t>
      </w:r>
      <w:r>
        <w:rPr>
          <w:lang w:val="pl-PL"/>
        </w:rPr>
        <w:t xml:space="preserve"> jedne dowody </w:t>
      </w:r>
      <w:r w:rsidR="00F577F7">
        <w:rPr>
          <w:lang w:val="pl-PL"/>
        </w:rPr>
        <w:t>ponad</w:t>
      </w:r>
      <w:r>
        <w:rPr>
          <w:lang w:val="pl-PL"/>
        </w:rPr>
        <w:t xml:space="preserve"> inn</w:t>
      </w:r>
      <w:r w:rsidR="00F577F7">
        <w:rPr>
          <w:lang w:val="pl-PL"/>
        </w:rPr>
        <w:t>e</w:t>
      </w:r>
      <w:r>
        <w:rPr>
          <w:lang w:val="pl-PL"/>
        </w:rPr>
        <w:t>.</w:t>
      </w:r>
    </w:p>
    <w:p w:rsidR="00970E5A" w:rsidRPr="009E7ED6" w:rsidRDefault="00970E5A" w:rsidP="006B12A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24</w:t>
      </w:r>
      <w:r w:rsidRPr="009E7ED6">
        <w:rPr>
          <w:lang w:val="pl-PL"/>
        </w:rPr>
        <w:fldChar w:fldCharType="end"/>
      </w:r>
      <w:r w:rsidRPr="009E7ED6">
        <w:rPr>
          <w:lang w:val="pl-PL"/>
        </w:rPr>
        <w:t>.  </w:t>
      </w:r>
      <w:r>
        <w:rPr>
          <w:lang w:val="pl-PL"/>
        </w:rPr>
        <w:t xml:space="preserve">Przyznając, że organy prowadzące postępowanie powinny były poinformować obronę o przesłuchaniu Z.S. i że to zaniedbanie stanowiło naruszenie art. 185a § 2 k.p.k., które </w:t>
      </w:r>
      <w:r w:rsidR="009134EE">
        <w:rPr>
          <w:lang w:val="pl-PL"/>
        </w:rPr>
        <w:t>utrudniło</w:t>
      </w:r>
      <w:r>
        <w:rPr>
          <w:lang w:val="pl-PL"/>
        </w:rPr>
        <w:t xml:space="preserve"> skuteczn</w:t>
      </w:r>
      <w:r w:rsidR="009134EE">
        <w:rPr>
          <w:lang w:val="pl-PL"/>
        </w:rPr>
        <w:t>ą</w:t>
      </w:r>
      <w:r>
        <w:rPr>
          <w:lang w:val="pl-PL"/>
        </w:rPr>
        <w:t xml:space="preserve"> realizacj</w:t>
      </w:r>
      <w:r w:rsidR="009134EE">
        <w:rPr>
          <w:lang w:val="pl-PL"/>
        </w:rPr>
        <w:t>ę</w:t>
      </w:r>
      <w:r>
        <w:rPr>
          <w:lang w:val="pl-PL"/>
        </w:rPr>
        <w:t xml:space="preserve"> praw </w:t>
      </w:r>
      <w:r w:rsidR="009134EE">
        <w:rPr>
          <w:lang w:val="pl-PL"/>
        </w:rPr>
        <w:t xml:space="preserve"> </w:t>
      </w:r>
      <w:r>
        <w:rPr>
          <w:lang w:val="pl-PL"/>
        </w:rPr>
        <w:t xml:space="preserve">obrony, Sąd Okręgowy podkreślił jednak, że nieobecność Z.S. na rozprawie, a w związku z tym niemożność przesłuchania jej przez skarżącego na tym etapie nie są </w:t>
      </w:r>
      <w:r w:rsidR="009C3A63">
        <w:rPr>
          <w:lang w:val="pl-PL"/>
        </w:rPr>
        <w:t xml:space="preserve">uchybieniem </w:t>
      </w:r>
      <w:r>
        <w:rPr>
          <w:lang w:val="pl-PL"/>
        </w:rPr>
        <w:t xml:space="preserve">Sądu Rejonowego. Zauważył również w tym względzie, że ustaliwszy na podstawie </w:t>
      </w:r>
      <w:r w:rsidR="009C3A63">
        <w:rPr>
          <w:lang w:val="pl-PL"/>
        </w:rPr>
        <w:t>ekspertyz</w:t>
      </w:r>
      <w:r>
        <w:rPr>
          <w:lang w:val="pl-PL"/>
        </w:rPr>
        <w:t>, iż stan zdrowia Z.S. nie pozwala jej na udział w procesie, Sąd Rejonowy postanowił o niewzywaniu jej na rozprawę, i że jej nieobecność nie przesądzała automatycznie o unieważnieniu dowodu, jakim były jej zeznania, które należało rozpatrzyć w związku z innymi dowodami. Sąd uznał, że Sąd Rejonowy przeanalizował jej oświadczenia</w:t>
      </w:r>
      <w:r w:rsidRPr="006B12A1">
        <w:rPr>
          <w:lang w:val="pl-PL"/>
        </w:rPr>
        <w:t xml:space="preserve"> </w:t>
      </w:r>
      <w:r>
        <w:rPr>
          <w:lang w:val="pl-PL"/>
        </w:rPr>
        <w:t xml:space="preserve">dogłębnie i z należytą ostrożnością, że w przypadkach, w których uznał to za konieczne, oparł się na </w:t>
      </w:r>
      <w:r w:rsidR="00E427F1">
        <w:rPr>
          <w:lang w:val="pl-PL"/>
        </w:rPr>
        <w:t>opiniach biegłych</w:t>
      </w:r>
      <w:r>
        <w:rPr>
          <w:lang w:val="pl-PL"/>
        </w:rPr>
        <w:t xml:space="preserve">, a także że w uzasadnieniu wyjaśnił w sposób przekonujący, dlaczego sporne zeznania zostały </w:t>
      </w:r>
      <w:proofErr w:type="spellStart"/>
      <w:r w:rsidR="00DC0713">
        <w:rPr>
          <w:lang w:val="pl-PL"/>
        </w:rPr>
        <w:t>przyj</w:t>
      </w:r>
      <w:r w:rsidR="0008565F">
        <w:rPr>
          <w:lang w:val="pl-PL"/>
        </w:rPr>
        <w:t>ete</w:t>
      </w:r>
      <w:proofErr w:type="spellEnd"/>
      <w:r>
        <w:rPr>
          <w:lang w:val="pl-PL"/>
        </w:rPr>
        <w:t xml:space="preserve"> jako dowody w postępowaniu karnym.</w:t>
      </w:r>
    </w:p>
    <w:p w:rsidR="00970E5A" w:rsidRPr="009E7ED6" w:rsidRDefault="00970E5A" w:rsidP="00C95D01">
      <w:pPr>
        <w:pStyle w:val="ECHRPara"/>
        <w:rPr>
          <w:lang w:val="pl-PL"/>
        </w:rPr>
      </w:pPr>
      <w:r>
        <w:rPr>
          <w:lang w:val="pl-PL"/>
        </w:rPr>
        <w:t xml:space="preserve">Sąd przyznał, że pomijając wszystko inne, skazanie skarżącego nie nastąpiło wyłącznie na podstawie zeznań Z.S., lecz w oparciu o inne dowody, w szczególności przyznanie się do winy P.H. i </w:t>
      </w:r>
      <w:r w:rsidR="00CE1406">
        <w:rPr>
          <w:lang w:val="pl-PL"/>
        </w:rPr>
        <w:t>wyjaśnie</w:t>
      </w:r>
      <w:r>
        <w:rPr>
          <w:lang w:val="pl-PL"/>
        </w:rPr>
        <w:t xml:space="preserve">nia W.H. </w:t>
      </w:r>
      <w:r w:rsidR="00CE1406">
        <w:rPr>
          <w:lang w:val="pl-PL"/>
        </w:rPr>
        <w:t>Sąd u</w:t>
      </w:r>
      <w:r>
        <w:rPr>
          <w:lang w:val="pl-PL"/>
        </w:rPr>
        <w:t xml:space="preserve">znał, że z uzasadnienia orzeczenia Sądu Rejonowego wynika, iż dogłębnie przeanalizował on </w:t>
      </w:r>
      <w:r w:rsidR="00CE1406">
        <w:rPr>
          <w:lang w:val="pl-PL"/>
        </w:rPr>
        <w:t>wyjaśnienia</w:t>
      </w:r>
      <w:r>
        <w:rPr>
          <w:lang w:val="pl-PL"/>
        </w:rPr>
        <w:t xml:space="preserve"> P.H. i W.H. dotyczące </w:t>
      </w:r>
      <w:r w:rsidR="00505F56">
        <w:rPr>
          <w:lang w:val="pl-PL"/>
        </w:rPr>
        <w:t>odwołania ich</w:t>
      </w:r>
      <w:r>
        <w:rPr>
          <w:lang w:val="pl-PL"/>
        </w:rPr>
        <w:t xml:space="preserve"> początkowych </w:t>
      </w:r>
      <w:r w:rsidR="00505F56">
        <w:rPr>
          <w:lang w:val="pl-PL"/>
        </w:rPr>
        <w:t>wyjaśnie</w:t>
      </w:r>
      <w:r>
        <w:rPr>
          <w:lang w:val="pl-PL"/>
        </w:rPr>
        <w:t xml:space="preserve">ń i należycie uzasadnił </w:t>
      </w:r>
      <w:r w:rsidR="00DB19E7">
        <w:rPr>
          <w:lang w:val="pl-PL"/>
        </w:rPr>
        <w:t>ich odrzucenie</w:t>
      </w:r>
      <w:r>
        <w:rPr>
          <w:lang w:val="pl-PL"/>
        </w:rPr>
        <w:t xml:space="preserve"> ze względu na brak wiarygodności. Sąd dodał, że uzasadnienie Sądu Rejonowego ukazywało poza tym, iż </w:t>
      </w:r>
      <w:r w:rsidR="00754F3D">
        <w:rPr>
          <w:lang w:val="pl-PL"/>
        </w:rPr>
        <w:t>twierdze</w:t>
      </w:r>
      <w:r>
        <w:rPr>
          <w:lang w:val="pl-PL"/>
        </w:rPr>
        <w:t xml:space="preserve">nia, według których </w:t>
      </w:r>
      <w:r w:rsidR="00754F3D">
        <w:rPr>
          <w:lang w:val="pl-PL"/>
        </w:rPr>
        <w:t>wyjaśnie</w:t>
      </w:r>
      <w:r>
        <w:rPr>
          <w:lang w:val="pl-PL"/>
        </w:rPr>
        <w:t>nia P.H. i W.H. zostały wymuszone, nie</w:t>
      </w:r>
      <w:r w:rsidR="003A5D44">
        <w:rPr>
          <w:lang w:val="pl-PL"/>
        </w:rPr>
        <w:t xml:space="preserve"> były </w:t>
      </w:r>
      <w:r>
        <w:rPr>
          <w:lang w:val="pl-PL"/>
        </w:rPr>
        <w:t>uzasadnione, a nawet sprzeczne z niektórymi dowodami.</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25</w:t>
      </w:r>
      <w:r w:rsidRPr="009E7ED6">
        <w:rPr>
          <w:lang w:val="pl-PL"/>
        </w:rPr>
        <w:fldChar w:fldCharType="end"/>
      </w:r>
      <w:r w:rsidRPr="009E7ED6">
        <w:rPr>
          <w:lang w:val="pl-PL"/>
        </w:rPr>
        <w:t>.  </w:t>
      </w:r>
      <w:r>
        <w:rPr>
          <w:lang w:val="pl-PL"/>
        </w:rPr>
        <w:t xml:space="preserve">Skarżący wniósł kasację. W dniu 28 września 2007 r. Sąd Najwyższy postanowieniem bez pisemnego uzasadnienia </w:t>
      </w:r>
      <w:r w:rsidR="00551F9A">
        <w:rPr>
          <w:lang w:val="pl-PL"/>
        </w:rPr>
        <w:t>odrzucił</w:t>
      </w:r>
      <w:r>
        <w:rPr>
          <w:lang w:val="pl-PL"/>
        </w:rPr>
        <w:t xml:space="preserve"> jego skargę jako w sposób oczywisty bezzasadną.</w:t>
      </w:r>
    </w:p>
    <w:p w:rsidR="00970E5A" w:rsidRPr="009E7ED6" w:rsidRDefault="00970E5A" w:rsidP="00C95D01">
      <w:pPr>
        <w:pStyle w:val="ECHRHeading1"/>
        <w:rPr>
          <w:lang w:val="pl-PL"/>
        </w:rPr>
      </w:pPr>
      <w:r w:rsidRPr="009E7ED6">
        <w:rPr>
          <w:lang w:val="pl-PL"/>
        </w:rPr>
        <w:t>II.  </w:t>
      </w:r>
      <w:r>
        <w:rPr>
          <w:lang w:val="pl-PL"/>
        </w:rPr>
        <w:t>WŁAŚCIWE PRAWO KRAJOWE I MIĘDZYNARODOWE</w:t>
      </w:r>
    </w:p>
    <w:p w:rsidR="00970E5A" w:rsidRPr="009E7ED6" w:rsidRDefault="00970E5A" w:rsidP="00C95D01">
      <w:pPr>
        <w:pStyle w:val="ECHRHeading2"/>
        <w:rPr>
          <w:lang w:val="pl-PL"/>
        </w:rPr>
      </w:pPr>
      <w:r w:rsidRPr="009E7ED6">
        <w:rPr>
          <w:lang w:val="pl-PL"/>
        </w:rPr>
        <w:t>A.  </w:t>
      </w:r>
      <w:r>
        <w:rPr>
          <w:lang w:val="pl-PL"/>
        </w:rPr>
        <w:t>Prawo krajowe</w:t>
      </w:r>
    </w:p>
    <w:p w:rsidR="00970E5A" w:rsidRPr="009E7ED6" w:rsidRDefault="00970E5A" w:rsidP="00C95D01">
      <w:pPr>
        <w:pStyle w:val="ECHRHeading3"/>
        <w:rPr>
          <w:lang w:val="pl-PL"/>
        </w:rPr>
      </w:pPr>
      <w:r>
        <w:rPr>
          <w:lang w:val="pl-PL"/>
        </w:rPr>
        <w:t>Kodeks postępowania karnego (k.p.k.</w:t>
      </w:r>
      <w:r w:rsidRPr="009E7ED6">
        <w:rPr>
          <w:lang w:val="pl-PL"/>
        </w:rPr>
        <w:t>)</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26</w:t>
      </w:r>
      <w:r w:rsidRPr="009E7ED6">
        <w:rPr>
          <w:lang w:val="pl-PL"/>
        </w:rPr>
        <w:fldChar w:fldCharType="end"/>
      </w:r>
      <w:r w:rsidRPr="009E7ED6">
        <w:rPr>
          <w:lang w:val="pl-PL"/>
        </w:rPr>
        <w:t>.  </w:t>
      </w:r>
      <w:r>
        <w:rPr>
          <w:lang w:val="pl-PL"/>
        </w:rPr>
        <w:t xml:space="preserve">Art. 6 k.p.k. jednocześnie przyznaje oskarżonemu prawo do obrony i korzystania z pomocy obrońcy, jak i nakłada </w:t>
      </w:r>
      <w:r w:rsidR="00484AC8">
        <w:rPr>
          <w:lang w:val="pl-PL"/>
        </w:rPr>
        <w:t xml:space="preserve">na </w:t>
      </w:r>
      <w:r w:rsidR="004B5D1D" w:rsidRPr="004B5D1D">
        <w:rPr>
          <w:lang w:val="pl-PL"/>
        </w:rPr>
        <w:t>organy prowadzące postępowanie</w:t>
      </w:r>
      <w:r w:rsidR="00484AC8">
        <w:rPr>
          <w:lang w:val="pl-PL"/>
        </w:rPr>
        <w:t xml:space="preserve"> </w:t>
      </w:r>
      <w:r>
        <w:rPr>
          <w:lang w:val="pl-PL"/>
        </w:rPr>
        <w:t>obowiązek pouczenia go o tym.</w:t>
      </w:r>
    </w:p>
    <w:p w:rsidR="00970E5A" w:rsidRDefault="00970E5A" w:rsidP="004273C2">
      <w:pPr>
        <w:pStyle w:val="ECHRPara"/>
        <w:rPr>
          <w:lang w:val="pl-PL"/>
        </w:rPr>
      </w:pPr>
      <w:r w:rsidRPr="009E7ED6">
        <w:rPr>
          <w:lang w:val="pl-PL"/>
        </w:rPr>
        <w:lastRenderedPageBreak/>
        <w:fldChar w:fldCharType="begin"/>
      </w:r>
      <w:r w:rsidRPr="009E7ED6">
        <w:rPr>
          <w:lang w:val="pl-PL"/>
        </w:rPr>
        <w:instrText xml:space="preserve"> SEQ level0 \*arabic </w:instrText>
      </w:r>
      <w:r w:rsidRPr="009E7ED6">
        <w:rPr>
          <w:lang w:val="pl-PL"/>
        </w:rPr>
        <w:fldChar w:fldCharType="separate"/>
      </w:r>
      <w:r w:rsidR="0007576D">
        <w:rPr>
          <w:noProof/>
          <w:lang w:val="pl-PL"/>
        </w:rPr>
        <w:t>27</w:t>
      </w:r>
      <w:r w:rsidRPr="009E7ED6">
        <w:rPr>
          <w:lang w:val="pl-PL"/>
        </w:rPr>
        <w:fldChar w:fldCharType="end"/>
      </w:r>
      <w:r w:rsidRPr="009E7ED6">
        <w:rPr>
          <w:lang w:val="pl-PL"/>
        </w:rPr>
        <w:t>.  </w:t>
      </w:r>
      <w:r>
        <w:rPr>
          <w:lang w:val="pl-PL"/>
        </w:rPr>
        <w:t>Art. 185a</w:t>
      </w:r>
      <w:r w:rsidRPr="009E7ED6">
        <w:rPr>
          <w:lang w:val="pl-PL"/>
        </w:rPr>
        <w:t xml:space="preserve"> § 2 </w:t>
      </w:r>
      <w:r>
        <w:rPr>
          <w:lang w:val="pl-PL"/>
        </w:rPr>
        <w:t xml:space="preserve">k.p.k. stanowi, że w przypadku, gdy osoba pokrzywdzona w wyniku przestępstwa popełnionego z użyciem przemocy lub groźby bezprawnej lub określonego w rozdziałach XXIII, XXV i XXVI Kodeksu karnego, nie ukończyła 15 lat, przesłuchanie jej przeprowadza sąd z udziałem psychologa. Prokurator, obrońca oraz pełnomocnik pokrzywdzonego mają prawo być obecni przy przesłuchaniu. Ponadto, jeżeli oskarżony został zawiadomiony o przesłuchaniu pokrzywdzonego i nie posiada obrońcy, sąd wyznacza mu obrońcę z urzędu. </w:t>
      </w:r>
    </w:p>
    <w:p w:rsidR="00970E5A" w:rsidRPr="009E7ED6" w:rsidRDefault="00970E5A" w:rsidP="004273C2">
      <w:pPr>
        <w:pStyle w:val="ECHRPara"/>
        <w:rPr>
          <w:szCs w:val="24"/>
          <w:lang w:val="pl-PL"/>
        </w:rPr>
      </w:pPr>
      <w:r w:rsidRPr="009E7ED6">
        <w:rPr>
          <w:szCs w:val="24"/>
          <w:lang w:val="pl-PL"/>
        </w:rPr>
        <w:fldChar w:fldCharType="begin"/>
      </w:r>
      <w:r w:rsidRPr="009E7ED6">
        <w:rPr>
          <w:szCs w:val="24"/>
          <w:lang w:val="pl-PL"/>
        </w:rPr>
        <w:instrText xml:space="preserve"> SEQ level0 \*arabic </w:instrText>
      </w:r>
      <w:r w:rsidRPr="009E7ED6">
        <w:rPr>
          <w:szCs w:val="24"/>
          <w:lang w:val="pl-PL"/>
        </w:rPr>
        <w:fldChar w:fldCharType="separate"/>
      </w:r>
      <w:r w:rsidR="0007576D">
        <w:rPr>
          <w:noProof/>
          <w:szCs w:val="24"/>
          <w:lang w:val="pl-PL"/>
        </w:rPr>
        <w:t>28</w:t>
      </w:r>
      <w:r w:rsidRPr="009E7ED6">
        <w:rPr>
          <w:szCs w:val="24"/>
          <w:lang w:val="pl-PL"/>
        </w:rPr>
        <w:fldChar w:fldCharType="end"/>
      </w:r>
      <w:r w:rsidRPr="009E7ED6">
        <w:rPr>
          <w:szCs w:val="24"/>
          <w:lang w:val="pl-PL"/>
        </w:rPr>
        <w:t>.  </w:t>
      </w:r>
      <w:r>
        <w:rPr>
          <w:szCs w:val="24"/>
          <w:lang w:val="pl-PL"/>
        </w:rPr>
        <w:t>Zgodnie z art. 391</w:t>
      </w:r>
      <w:r w:rsidRPr="009E7ED6">
        <w:rPr>
          <w:szCs w:val="24"/>
          <w:lang w:val="pl-PL"/>
        </w:rPr>
        <w:t xml:space="preserve"> § 1 </w:t>
      </w:r>
      <w:r>
        <w:rPr>
          <w:szCs w:val="24"/>
          <w:lang w:val="pl-PL"/>
        </w:rPr>
        <w:t xml:space="preserve">k.p.k. jeżeli świadek przebywa za granicą lub nie można mu było doręczyć wezwania, wolno odczytywać </w:t>
      </w:r>
      <w:r w:rsidR="00677AB5">
        <w:rPr>
          <w:szCs w:val="24"/>
          <w:lang w:val="pl-PL"/>
        </w:rPr>
        <w:t xml:space="preserve">na rozprawie </w:t>
      </w:r>
      <w:r>
        <w:rPr>
          <w:szCs w:val="24"/>
          <w:lang w:val="pl-PL"/>
        </w:rPr>
        <w:t>w odpowiednim zakresie protokoły złożonych poprzednio przez niego zeznań w postępowaniu przygotowawczym lub przed sądem w tej lub w innej sprawie albo w innym postępowaniu przewidzianym przez ustawę.</w:t>
      </w:r>
    </w:p>
    <w:p w:rsidR="00970E5A" w:rsidRPr="009E7ED6" w:rsidRDefault="00970E5A" w:rsidP="00C95D01">
      <w:pPr>
        <w:pStyle w:val="ECHRHeading2"/>
        <w:rPr>
          <w:lang w:val="pl-PL"/>
        </w:rPr>
      </w:pPr>
      <w:r w:rsidRPr="009E7ED6">
        <w:rPr>
          <w:lang w:val="pl-PL"/>
        </w:rPr>
        <w:t>B.  </w:t>
      </w:r>
      <w:r>
        <w:rPr>
          <w:lang w:val="pl-PL"/>
        </w:rPr>
        <w:t>Prawo międzynarodowe</w:t>
      </w:r>
    </w:p>
    <w:p w:rsidR="00970E5A" w:rsidRPr="009E7ED6" w:rsidRDefault="00970E5A" w:rsidP="00C95D01">
      <w:pPr>
        <w:pStyle w:val="ECHRHeading3"/>
        <w:rPr>
          <w:rFonts w:eastAsia="Times New Roman"/>
          <w:lang w:val="pl-PL"/>
        </w:rPr>
      </w:pPr>
      <w:r w:rsidRPr="009E7ED6">
        <w:rPr>
          <w:rFonts w:eastAsia="Times New Roman"/>
          <w:lang w:val="pl-PL"/>
        </w:rPr>
        <w:t>1.  </w:t>
      </w:r>
      <w:r>
        <w:rPr>
          <w:rFonts w:eastAsia="Times New Roman"/>
          <w:lang w:val="pl-PL"/>
        </w:rPr>
        <w:t>Konwencja ONZ o prawach dziecka</w:t>
      </w:r>
    </w:p>
    <w:p w:rsidR="00970E5A" w:rsidRPr="009E7ED6" w:rsidRDefault="00970E5A" w:rsidP="00C95D01">
      <w:pPr>
        <w:pStyle w:val="ECHRPara"/>
        <w:rPr>
          <w:rFonts w:eastAsia="Times New Roman"/>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29</w:t>
      </w:r>
      <w:r w:rsidRPr="009E7ED6">
        <w:rPr>
          <w:lang w:val="pl-PL"/>
        </w:rPr>
        <w:fldChar w:fldCharType="end"/>
      </w:r>
      <w:r w:rsidRPr="009E7ED6">
        <w:rPr>
          <w:lang w:val="pl-PL"/>
        </w:rPr>
        <w:t>.  </w:t>
      </w:r>
      <w:r>
        <w:rPr>
          <w:lang w:val="pl-PL"/>
        </w:rPr>
        <w:t xml:space="preserve">Dla niniejszej sprawy istotne są następujące postanowienia Konwencji ONZ </w:t>
      </w:r>
      <w:r w:rsidR="00D5214D">
        <w:rPr>
          <w:lang w:val="pl-PL"/>
        </w:rPr>
        <w:t xml:space="preserve">z dnia 20 listopada 1989 r. </w:t>
      </w:r>
      <w:r>
        <w:rPr>
          <w:lang w:val="pl-PL"/>
        </w:rPr>
        <w:t>o prawach dziecka:</w:t>
      </w:r>
    </w:p>
    <w:p w:rsidR="00970E5A" w:rsidRPr="009E7ED6" w:rsidRDefault="00970E5A" w:rsidP="00C95D01">
      <w:pPr>
        <w:pStyle w:val="ECHRTitleCentre3"/>
        <w:rPr>
          <w:lang w:val="pl-PL"/>
        </w:rPr>
      </w:pPr>
      <w:r>
        <w:rPr>
          <w:lang w:val="pl-PL"/>
        </w:rPr>
        <w:t>Artykuł</w:t>
      </w:r>
      <w:r w:rsidRPr="009E7ED6">
        <w:rPr>
          <w:lang w:val="pl-PL"/>
        </w:rPr>
        <w:t xml:space="preserve"> 19</w:t>
      </w:r>
    </w:p>
    <w:p w:rsidR="00970E5A" w:rsidRPr="009E7ED6" w:rsidRDefault="00970E5A" w:rsidP="00C95D01">
      <w:pPr>
        <w:pStyle w:val="ECHRParaQuote"/>
        <w:rPr>
          <w:lang w:val="pl-PL"/>
        </w:rPr>
      </w:pPr>
      <w:r>
        <w:rPr>
          <w:lang w:val="pl-PL"/>
        </w:rPr>
        <w:t>„</w:t>
      </w:r>
      <w:r w:rsidRPr="009E7ED6">
        <w:rPr>
          <w:lang w:val="pl-PL"/>
        </w:rPr>
        <w:t>1.  </w:t>
      </w:r>
      <w:r>
        <w:rPr>
          <w:lang w:val="pl-PL"/>
        </w:rPr>
        <w:t>Państwa-Strony będą podejmowały wszelkie właściwe kroki w dziedzinie ustawodawczej, administracyjnej, społecznej oraz wychowawczej dla ochrony dziecka przed wszelkimi formami przemocy fizycznej bądź psychicznej, krzywdy lub zaniedbania bądź złego traktowania lub wyzysku, w tym wykorzystywania w celach seksualnych, dzieci pozostających pod opieką rodzica(ów), opiekuna(ów) prawnego(</w:t>
      </w:r>
      <w:proofErr w:type="spellStart"/>
      <w:r>
        <w:rPr>
          <w:lang w:val="pl-PL"/>
        </w:rPr>
        <w:t>ych</w:t>
      </w:r>
      <w:proofErr w:type="spellEnd"/>
      <w:r>
        <w:rPr>
          <w:lang w:val="pl-PL"/>
        </w:rPr>
        <w:t>) lub innej osoby sprawującej opiekę nad dzieckiem.</w:t>
      </w:r>
    </w:p>
    <w:p w:rsidR="00970E5A" w:rsidRPr="009E7ED6" w:rsidRDefault="00970E5A" w:rsidP="00C95D01">
      <w:pPr>
        <w:pStyle w:val="ECHRParaQuote"/>
        <w:rPr>
          <w:rStyle w:val="Pogrubienie"/>
          <w:b w:val="0"/>
          <w:lang w:val="pl-PL"/>
        </w:rPr>
      </w:pPr>
      <w:r w:rsidRPr="009E7ED6">
        <w:rPr>
          <w:lang w:val="pl-PL"/>
        </w:rPr>
        <w:t>2.  </w:t>
      </w:r>
      <w:r>
        <w:rPr>
          <w:lang w:val="pl-PL"/>
        </w:rPr>
        <w:t xml:space="preserve">Tego rodzaju środki ochronne powinny obejmować, tam gdzie jest to właściwe, skuteczne przedsięwzięcia w celu stworzenia programów socjalnych dla realizacji pomocy dziecku oraz osobom sprawującym opiekę nad dzieckiem, jak również innych form działań prewencyjnych dla ustalania, informowania, wszczynania i prowadzenia śledztwa, postępowania, notowania wymienionych wyżej przypadków niewłaściwego traktowania dzieci oraz tam, gdzie jest to właściwe – ingerencję sądu”. </w:t>
      </w:r>
    </w:p>
    <w:p w:rsidR="00970E5A" w:rsidRPr="009E7ED6" w:rsidRDefault="00970E5A" w:rsidP="00C95D01">
      <w:pPr>
        <w:pStyle w:val="ECHRHeading3"/>
        <w:rPr>
          <w:rStyle w:val="Pogrubienie"/>
          <w:b w:val="0"/>
          <w:lang w:val="pl-PL"/>
        </w:rPr>
      </w:pPr>
      <w:r w:rsidRPr="009E7ED6">
        <w:rPr>
          <w:rStyle w:val="Pogrubienie"/>
          <w:b w:val="0"/>
          <w:lang w:val="pl-PL"/>
        </w:rPr>
        <w:t>2.  </w:t>
      </w:r>
      <w:r>
        <w:rPr>
          <w:rStyle w:val="Pogrubienie"/>
          <w:b w:val="0"/>
          <w:lang w:val="pl-PL"/>
        </w:rPr>
        <w:t>Konwencja Rady Europy o ochronie dzieci przed seksualnym wykorzystywaniem i niegodziwym traktowaniem w celach seksualnych</w:t>
      </w:r>
    </w:p>
    <w:p w:rsidR="00970E5A" w:rsidRPr="009E7ED6" w:rsidRDefault="00970E5A" w:rsidP="00C95D01">
      <w:pPr>
        <w:pStyle w:val="ECHRPara"/>
        <w:rPr>
          <w:rStyle w:val="Pogrubienie"/>
          <w:b w:val="0"/>
          <w:bCs/>
          <w:szCs w:val="24"/>
          <w:lang w:val="pl-PL"/>
        </w:rPr>
      </w:pPr>
      <w:r w:rsidRPr="009E7ED6">
        <w:rPr>
          <w:rStyle w:val="Pogrubienie"/>
          <w:b w:val="0"/>
          <w:bCs/>
          <w:szCs w:val="24"/>
          <w:lang w:val="pl-PL"/>
        </w:rPr>
        <w:fldChar w:fldCharType="begin"/>
      </w:r>
      <w:r w:rsidRPr="009E7ED6">
        <w:rPr>
          <w:rStyle w:val="Pogrubienie"/>
          <w:b w:val="0"/>
          <w:bCs/>
          <w:szCs w:val="24"/>
          <w:lang w:val="pl-PL"/>
        </w:rPr>
        <w:instrText xml:space="preserve"> SEQ level0 \*arabic </w:instrText>
      </w:r>
      <w:r w:rsidRPr="009E7ED6">
        <w:rPr>
          <w:rStyle w:val="Pogrubienie"/>
          <w:b w:val="0"/>
          <w:bCs/>
          <w:szCs w:val="24"/>
          <w:lang w:val="pl-PL"/>
        </w:rPr>
        <w:fldChar w:fldCharType="separate"/>
      </w:r>
      <w:r w:rsidR="0007576D">
        <w:rPr>
          <w:rStyle w:val="Pogrubienie"/>
          <w:b w:val="0"/>
          <w:bCs/>
          <w:noProof/>
          <w:szCs w:val="24"/>
          <w:lang w:val="pl-PL"/>
        </w:rPr>
        <w:t>30</w:t>
      </w:r>
      <w:r w:rsidRPr="009E7ED6">
        <w:rPr>
          <w:rStyle w:val="Pogrubienie"/>
          <w:b w:val="0"/>
          <w:bCs/>
          <w:szCs w:val="24"/>
          <w:lang w:val="pl-PL"/>
        </w:rPr>
        <w:fldChar w:fldCharType="end"/>
      </w:r>
      <w:r w:rsidRPr="009E7ED6">
        <w:rPr>
          <w:rStyle w:val="Pogrubienie"/>
          <w:b w:val="0"/>
          <w:bCs/>
          <w:szCs w:val="24"/>
          <w:lang w:val="pl-PL"/>
        </w:rPr>
        <w:t>.</w:t>
      </w:r>
      <w:r w:rsidRPr="009E7ED6">
        <w:rPr>
          <w:rStyle w:val="Pogrubienie"/>
          <w:bCs/>
          <w:szCs w:val="24"/>
          <w:lang w:val="pl-PL"/>
        </w:rPr>
        <w:t>  </w:t>
      </w:r>
      <w:r>
        <w:rPr>
          <w:rStyle w:val="Pogrubienie"/>
          <w:b w:val="0"/>
          <w:bCs/>
          <w:szCs w:val="24"/>
          <w:lang w:val="pl-PL"/>
        </w:rPr>
        <w:t xml:space="preserve">Istotne dla niniejszej sprawy artykuły Konwencji Rady Europy z dnia 25 października 2007 r. o ochronie dzieci przed seksualnym </w:t>
      </w:r>
      <w:r>
        <w:rPr>
          <w:rStyle w:val="Pogrubienie"/>
          <w:b w:val="0"/>
          <w:lang w:val="pl-PL"/>
        </w:rPr>
        <w:t>wykorzystywaniem i niegodziwym traktowaniem w celach seksualnych stanowią</w:t>
      </w:r>
      <w:r w:rsidRPr="009E7ED6">
        <w:rPr>
          <w:rStyle w:val="Pogrubienie"/>
          <w:b w:val="0"/>
          <w:bCs/>
          <w:szCs w:val="24"/>
          <w:lang w:val="pl-PL"/>
        </w:rPr>
        <w:t>:</w:t>
      </w:r>
    </w:p>
    <w:p w:rsidR="00970E5A" w:rsidRPr="009E7ED6" w:rsidRDefault="00970E5A" w:rsidP="00C95D01">
      <w:pPr>
        <w:pStyle w:val="ECHRTitleCentre3"/>
        <w:rPr>
          <w:lang w:val="pl-PL"/>
        </w:rPr>
      </w:pPr>
      <w:r>
        <w:rPr>
          <w:rStyle w:val="Pogrubienie"/>
          <w:b/>
          <w:lang w:val="pl-PL"/>
        </w:rPr>
        <w:lastRenderedPageBreak/>
        <w:t>Rozdział</w:t>
      </w:r>
      <w:r w:rsidRPr="009E7ED6">
        <w:rPr>
          <w:rStyle w:val="Pogrubienie"/>
          <w:b/>
          <w:lang w:val="pl-PL"/>
        </w:rPr>
        <w:t xml:space="preserve"> II – </w:t>
      </w:r>
      <w:r>
        <w:rPr>
          <w:rStyle w:val="Pogrubienie"/>
          <w:b/>
          <w:lang w:val="pl-PL"/>
        </w:rPr>
        <w:t>Środki prewencyjne</w:t>
      </w:r>
      <w:r w:rsidRPr="009E7ED6">
        <w:rPr>
          <w:rStyle w:val="Pogrubienie"/>
          <w:b/>
          <w:lang w:val="pl-PL"/>
        </w:rPr>
        <w:br/>
      </w:r>
      <w:r>
        <w:rPr>
          <w:rStyle w:val="Pogrubienie"/>
          <w:b/>
          <w:lang w:val="pl-PL"/>
        </w:rPr>
        <w:t>Artykuł</w:t>
      </w:r>
      <w:r w:rsidRPr="009E7ED6">
        <w:rPr>
          <w:rStyle w:val="Pogrubienie"/>
          <w:b/>
          <w:lang w:val="pl-PL"/>
        </w:rPr>
        <w:t xml:space="preserve"> 4 – </w:t>
      </w:r>
      <w:r>
        <w:rPr>
          <w:rStyle w:val="Pogrubienie"/>
          <w:b/>
          <w:lang w:val="pl-PL"/>
        </w:rPr>
        <w:t>Zasady</w:t>
      </w:r>
    </w:p>
    <w:p w:rsidR="00970E5A" w:rsidRPr="009E7ED6" w:rsidRDefault="00970E5A" w:rsidP="00C95D01">
      <w:pPr>
        <w:pStyle w:val="ECHRParaQuote"/>
        <w:rPr>
          <w:lang w:val="pl-PL"/>
        </w:rPr>
      </w:pPr>
      <w:r>
        <w:rPr>
          <w:lang w:val="pl-PL"/>
        </w:rPr>
        <w:t>„Każda ze Stron przyjmuje konieczne środki ustawodawcze lub inne w celu zapobiegania wszelkim formom seksualnego wykorzystywania dzieci i niegodziwego traktowania dzieci w celach seksualnych oraz w celu ochrony dzieci”.</w:t>
      </w:r>
    </w:p>
    <w:p w:rsidR="00970E5A" w:rsidRPr="009E7ED6" w:rsidRDefault="00970E5A" w:rsidP="00C95D01">
      <w:pPr>
        <w:pStyle w:val="ECHRTitleCentre3"/>
        <w:rPr>
          <w:lang w:val="pl-PL"/>
        </w:rPr>
      </w:pPr>
      <w:r>
        <w:rPr>
          <w:rStyle w:val="Pogrubienie"/>
          <w:b/>
          <w:lang w:val="pl-PL"/>
        </w:rPr>
        <w:t>Rozdział</w:t>
      </w:r>
      <w:r w:rsidRPr="009E7ED6">
        <w:rPr>
          <w:rStyle w:val="Pogrubienie"/>
          <w:b/>
          <w:lang w:val="pl-PL"/>
        </w:rPr>
        <w:t xml:space="preserve"> VII – </w:t>
      </w:r>
      <w:r>
        <w:rPr>
          <w:rStyle w:val="Pogrubienie"/>
          <w:b/>
          <w:lang w:val="pl-PL"/>
        </w:rPr>
        <w:t>Postępowanie przygotowawcze, ściganie i prawo procesowe</w:t>
      </w:r>
      <w:r w:rsidRPr="009E7ED6">
        <w:rPr>
          <w:rStyle w:val="Pogrubienie"/>
          <w:b/>
          <w:lang w:val="pl-PL"/>
        </w:rPr>
        <w:br/>
      </w:r>
      <w:r>
        <w:rPr>
          <w:rStyle w:val="Pogrubienie"/>
          <w:b/>
          <w:lang w:val="pl-PL"/>
        </w:rPr>
        <w:t>Artykuł</w:t>
      </w:r>
      <w:r w:rsidRPr="009E7ED6">
        <w:rPr>
          <w:rStyle w:val="Pogrubienie"/>
          <w:b/>
          <w:lang w:val="pl-PL"/>
        </w:rPr>
        <w:t xml:space="preserve"> 30 – </w:t>
      </w:r>
      <w:r>
        <w:rPr>
          <w:rStyle w:val="Pogrubienie"/>
          <w:b/>
          <w:lang w:val="pl-PL"/>
        </w:rPr>
        <w:t>Zasady</w:t>
      </w:r>
    </w:p>
    <w:p w:rsidR="00970E5A" w:rsidRPr="009E7ED6" w:rsidRDefault="00970E5A" w:rsidP="00C95D01">
      <w:pPr>
        <w:pStyle w:val="ECHRParaQuote"/>
        <w:rPr>
          <w:lang w:val="pl-PL"/>
        </w:rPr>
      </w:pPr>
      <w:r>
        <w:rPr>
          <w:lang w:val="pl-PL"/>
        </w:rPr>
        <w:t>„</w:t>
      </w:r>
      <w:r w:rsidRPr="009E7ED6">
        <w:rPr>
          <w:lang w:val="pl-PL"/>
        </w:rPr>
        <w:t>1.  </w:t>
      </w:r>
      <w:r>
        <w:rPr>
          <w:lang w:val="pl-PL"/>
        </w:rPr>
        <w:t>Każda ze Stron przyjmuje odpowiednie środki ustawodawcze lub inne środki w celu zapewnienia, aby postępowanie przygotowawcze i postępowanie karne były prowadzone w najlepszym interesie dziecka i z poszanowaniem prawd dziecka.</w:t>
      </w:r>
    </w:p>
    <w:p w:rsidR="00970E5A" w:rsidRPr="009E7ED6" w:rsidRDefault="00970E5A" w:rsidP="00C95D01">
      <w:pPr>
        <w:pStyle w:val="ECHRParaQuote"/>
        <w:rPr>
          <w:lang w:val="pl-PL"/>
        </w:rPr>
      </w:pPr>
      <w:r w:rsidRPr="009E7ED6">
        <w:rPr>
          <w:lang w:val="pl-PL"/>
        </w:rPr>
        <w:t>2.  </w:t>
      </w:r>
      <w:r>
        <w:rPr>
          <w:lang w:val="pl-PL"/>
        </w:rPr>
        <w:t>Każda ze Stron podejmuje działania zapewniające ofiarom ochronę, w taki sposób, aby prowadzone postępowanie przygotowawcze oraz postępowanie sądowe nie potęgowały u dziecka przeżyć traumatycznych oraz aby działania organów wymiaru sprawiedliwości w sprawach karnych wiązały się, tam gdzie jest to właściwe, z zapewnieniem pomocy dzieciom”.</w:t>
      </w:r>
    </w:p>
    <w:p w:rsidR="00970E5A" w:rsidRPr="009E7ED6" w:rsidRDefault="00970E5A" w:rsidP="00C95D01">
      <w:pPr>
        <w:pStyle w:val="ECHRHeading1"/>
        <w:rPr>
          <w:lang w:val="pl-PL"/>
        </w:rPr>
      </w:pPr>
      <w:r w:rsidRPr="009E7ED6">
        <w:rPr>
          <w:lang w:val="pl-PL"/>
        </w:rPr>
        <w:t>III.  </w:t>
      </w:r>
      <w:r>
        <w:rPr>
          <w:lang w:val="pl-PL"/>
        </w:rPr>
        <w:t>WŁAŚCIWE NORMY UNII EUROPEJSKIEJ</w:t>
      </w:r>
    </w:p>
    <w:p w:rsidR="00970E5A" w:rsidRPr="009E7ED6" w:rsidRDefault="00970E5A" w:rsidP="00C95D01">
      <w:pPr>
        <w:pStyle w:val="ECHRHeading2"/>
        <w:rPr>
          <w:lang w:val="pl-PL"/>
        </w:rPr>
      </w:pPr>
      <w:r w:rsidRPr="009E7ED6">
        <w:rPr>
          <w:lang w:val="pl-PL"/>
        </w:rPr>
        <w:t>A.  </w:t>
      </w:r>
      <w:r>
        <w:rPr>
          <w:lang w:val="pl-PL"/>
        </w:rPr>
        <w:t>Dyrektywa</w:t>
      </w:r>
      <w:r w:rsidRPr="009E7ED6">
        <w:rPr>
          <w:lang w:val="pl-PL"/>
        </w:rPr>
        <w:t xml:space="preserve"> 2011/92/UE</w:t>
      </w:r>
    </w:p>
    <w:p w:rsidR="00970E5A" w:rsidRPr="009E7ED6" w:rsidRDefault="00970E5A" w:rsidP="00C95D01">
      <w:pPr>
        <w:pStyle w:val="ECHRPara"/>
        <w:ind w:firstLine="431"/>
        <w:rPr>
          <w:color w:val="000000"/>
          <w:lang w:val="pl-PL"/>
        </w:rPr>
      </w:pPr>
      <w:r w:rsidRPr="009E7ED6">
        <w:rPr>
          <w:color w:val="000000"/>
          <w:lang w:val="pl-PL"/>
        </w:rPr>
        <w:fldChar w:fldCharType="begin"/>
      </w:r>
      <w:r w:rsidRPr="009E7ED6">
        <w:rPr>
          <w:color w:val="000000"/>
          <w:lang w:val="pl-PL"/>
        </w:rPr>
        <w:instrText xml:space="preserve"> SEQ level0 \*arabic </w:instrText>
      </w:r>
      <w:r w:rsidRPr="009E7ED6">
        <w:rPr>
          <w:color w:val="000000"/>
          <w:lang w:val="pl-PL"/>
        </w:rPr>
        <w:fldChar w:fldCharType="separate"/>
      </w:r>
      <w:r w:rsidR="0007576D">
        <w:rPr>
          <w:noProof/>
          <w:color w:val="000000"/>
          <w:lang w:val="pl-PL"/>
        </w:rPr>
        <w:t>31</w:t>
      </w:r>
      <w:r w:rsidRPr="009E7ED6">
        <w:rPr>
          <w:color w:val="000000"/>
          <w:lang w:val="pl-PL"/>
        </w:rPr>
        <w:fldChar w:fldCharType="end"/>
      </w:r>
      <w:r w:rsidRPr="009E7ED6">
        <w:rPr>
          <w:color w:val="000000"/>
          <w:lang w:val="pl-PL"/>
        </w:rPr>
        <w:t>.  </w:t>
      </w:r>
      <w:r>
        <w:rPr>
          <w:color w:val="000000"/>
          <w:lang w:val="pl-PL"/>
        </w:rPr>
        <w:t>Istotne dla niniejszej sprawy przepisy dyrektywy Parlamentu Europejskiego i Rady 2011/92/UE z dnia 13 grudnia 2011 r. w sprawie zwalczania niegodziwego traktowania w celach seksualnych i wykorzystywania seksualnego dzieci oraz pornografii dziecięcej stanowią, co następuje:</w:t>
      </w:r>
    </w:p>
    <w:p w:rsidR="00970E5A" w:rsidRPr="009E7ED6" w:rsidRDefault="00970E5A" w:rsidP="00C95D01">
      <w:pPr>
        <w:pStyle w:val="ECHRParaQuote"/>
        <w:rPr>
          <w:lang w:val="pl-PL"/>
        </w:rPr>
      </w:pPr>
      <w:r>
        <w:rPr>
          <w:lang w:val="pl-PL"/>
        </w:rPr>
        <w:t>„[...]</w:t>
      </w:r>
    </w:p>
    <w:p w:rsidR="00970E5A" w:rsidRPr="009E7ED6" w:rsidRDefault="00970E5A" w:rsidP="00C95D01">
      <w:pPr>
        <w:pStyle w:val="ECHRParaQuote"/>
        <w:rPr>
          <w:lang w:val="pl-PL"/>
        </w:rPr>
      </w:pPr>
      <w:r>
        <w:rPr>
          <w:lang w:val="pl-PL"/>
        </w:rPr>
        <w:t>Powinny być podejmowane środki na rzecz ochrony pokrzywdzonych dzieci w celu jak najlepszego zabezpieczenia ich interesu, z uwzględnieniem oceny ich potrzeb. [...] uczestnictwo pokrzywdzonych dzieci w postępowaniu karnym nie powinno być w miarę możliwości źródłem dodatkowych traumatycznych przeżyć wynikających z przesłuchań lub kontaktu wzrokowego ze sprawcami. Właściwe zrozumienie dziecka i sposobów jego reakcji na traumatyczne doświadczenia pozwoli zapewnić wysoką jakość gromadzenia materiałów dowodowych, a także oszczędzić dziecku stresu w trakcie prowadzenia niezbędnej czynności.</w:t>
      </w:r>
    </w:p>
    <w:p w:rsidR="00970E5A" w:rsidRPr="009E7ED6" w:rsidRDefault="00970E5A" w:rsidP="00C95D01">
      <w:pPr>
        <w:pStyle w:val="ECHRParaQuote"/>
        <w:rPr>
          <w:color w:val="444444"/>
          <w:szCs w:val="20"/>
          <w:lang w:val="pl-PL"/>
        </w:rPr>
      </w:pPr>
      <w:r>
        <w:rPr>
          <w:color w:val="444444"/>
          <w:szCs w:val="20"/>
          <w:lang w:val="pl-PL"/>
        </w:rPr>
        <w:t>[...]</w:t>
      </w:r>
    </w:p>
    <w:p w:rsidR="00970E5A" w:rsidRPr="009E7ED6" w:rsidRDefault="00970E5A" w:rsidP="00C95D01">
      <w:pPr>
        <w:pStyle w:val="ECHRTitleCentre3"/>
        <w:rPr>
          <w:lang w:val="pl-PL"/>
        </w:rPr>
      </w:pPr>
      <w:r>
        <w:rPr>
          <w:lang w:val="pl-PL"/>
        </w:rPr>
        <w:t>Artykuł</w:t>
      </w:r>
      <w:r w:rsidRPr="009E7ED6">
        <w:rPr>
          <w:lang w:val="pl-PL"/>
        </w:rPr>
        <w:t xml:space="preserve"> 18</w:t>
      </w:r>
      <w:r w:rsidRPr="009E7ED6">
        <w:rPr>
          <w:lang w:val="pl-PL"/>
        </w:rPr>
        <w:br/>
      </w:r>
      <w:r>
        <w:rPr>
          <w:lang w:val="pl-PL"/>
        </w:rPr>
        <w:t>Ogólne przepisy dotyczące pomocy i wsparcia dla pokrzywdzonych dzieci oraz ich ochrony</w:t>
      </w:r>
    </w:p>
    <w:p w:rsidR="00970E5A" w:rsidRPr="009E7ED6" w:rsidRDefault="00970E5A" w:rsidP="00C95D01">
      <w:pPr>
        <w:pStyle w:val="ECHRParaQuote"/>
        <w:rPr>
          <w:lang w:val="pl-PL"/>
        </w:rPr>
      </w:pPr>
      <w:r w:rsidRPr="009E7ED6">
        <w:rPr>
          <w:lang w:val="pl-PL"/>
        </w:rPr>
        <w:t>1.   </w:t>
      </w:r>
      <w:r>
        <w:rPr>
          <w:lang w:val="pl-PL"/>
        </w:rPr>
        <w:t>Dzieciom pokrzywdzonym w wyniku przestępstw, o których mowa w art. 3-7, zapewnia się pomoc, wsparcie i ochronę zgodnie z art. 19 i 20, z uwzględnieniem konieczności najlepszego zabezpieczenia interesów dziecka.</w:t>
      </w:r>
    </w:p>
    <w:p w:rsidR="00970E5A" w:rsidRPr="009E7ED6" w:rsidRDefault="00970E5A" w:rsidP="00C95D01">
      <w:pPr>
        <w:pStyle w:val="ECHRParaQuote"/>
        <w:rPr>
          <w:lang w:val="pl-PL"/>
        </w:rPr>
      </w:pPr>
      <w:r w:rsidRPr="009E7ED6">
        <w:rPr>
          <w:lang w:val="pl-PL"/>
        </w:rPr>
        <w:t>2.   </w:t>
      </w:r>
      <w:r>
        <w:rPr>
          <w:lang w:val="pl-PL"/>
        </w:rPr>
        <w:t xml:space="preserve">Państwa członkowskie podejmują środki niezbędne do zapewnienia pomocy i wsparcia dziecku, gdy tylko właściwe organy dowiedzą się o uzasadnionych </w:t>
      </w:r>
      <w:r>
        <w:rPr>
          <w:lang w:val="pl-PL"/>
        </w:rPr>
        <w:lastRenderedPageBreak/>
        <w:t>przesłankach pozwalających przypuszczać, że dziecko to mogło stać się ofiara któregokolwiek z przestępstw, o których mowa w art. 3-7.</w:t>
      </w:r>
    </w:p>
    <w:p w:rsidR="00970E5A" w:rsidRPr="009E7ED6" w:rsidRDefault="00970E5A" w:rsidP="00C95D01">
      <w:pPr>
        <w:pStyle w:val="ECHRParaQuote"/>
        <w:rPr>
          <w:lang w:val="pl-PL"/>
        </w:rPr>
      </w:pPr>
      <w:r w:rsidRPr="009E7ED6">
        <w:rPr>
          <w:lang w:val="pl-PL"/>
        </w:rPr>
        <w:t>3.   </w:t>
      </w:r>
      <w:r>
        <w:rPr>
          <w:lang w:val="pl-PL"/>
        </w:rPr>
        <w:t>Państwa członkowskie zapewniają, by w przypadku, gdy nie ma pewności co do wieku osoby pokrzywdzonej w wyniku któregokolwiek z przestępstw, o których mowa w art. 3-7, a istnieją powody, by sądzić, że jest ona dzieckiem, przyjmowane było założenie, że dana osoba jest dzieckiem, tak by można było niezwłocznie zapewnić jej dostęp do pomocy, wsparcia i ochrony zgodnie z art. 19 i 20”.</w:t>
      </w:r>
    </w:p>
    <w:p w:rsidR="00970E5A" w:rsidRPr="009E7ED6" w:rsidRDefault="00970E5A" w:rsidP="00C95D01">
      <w:pPr>
        <w:pStyle w:val="ECHRHeading2"/>
        <w:rPr>
          <w:lang w:val="pl-PL"/>
        </w:rPr>
      </w:pPr>
      <w:r w:rsidRPr="009E7ED6">
        <w:rPr>
          <w:lang w:val="pl-PL"/>
        </w:rPr>
        <w:t>B.  </w:t>
      </w:r>
      <w:r>
        <w:rPr>
          <w:lang w:val="pl-PL"/>
        </w:rPr>
        <w:t>Dyrektywa</w:t>
      </w:r>
      <w:r w:rsidRPr="009E7ED6">
        <w:rPr>
          <w:lang w:val="pl-PL"/>
        </w:rPr>
        <w:t xml:space="preserve"> 2012/29/UE</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32</w:t>
      </w:r>
      <w:r w:rsidRPr="009E7ED6">
        <w:rPr>
          <w:lang w:val="pl-PL"/>
        </w:rPr>
        <w:fldChar w:fldCharType="end"/>
      </w:r>
      <w:r w:rsidRPr="009E7ED6">
        <w:rPr>
          <w:lang w:val="pl-PL"/>
        </w:rPr>
        <w:t>.  </w:t>
      </w:r>
      <w:r>
        <w:rPr>
          <w:lang w:val="pl-PL"/>
        </w:rPr>
        <w:t>We fragmentach istotnych dla niniejszej sprawy dyrektywa Parlamentu Europejskiego i Rady 2012/92/UE z dnia 25 października 2012 r. ustanawiająca normy minimalne w zakresie praw, wsparcia i ochrony ofiar przestępstw, stanowi, co następuje:</w:t>
      </w:r>
    </w:p>
    <w:p w:rsidR="00970E5A" w:rsidRPr="009E7ED6" w:rsidRDefault="00970E5A" w:rsidP="00C95D01">
      <w:pPr>
        <w:pStyle w:val="ECHRParaQuote"/>
        <w:rPr>
          <w:lang w:val="pl-PL"/>
        </w:rPr>
      </w:pPr>
      <w:r>
        <w:rPr>
          <w:lang w:val="pl-PL"/>
        </w:rPr>
        <w:t>„[...]</w:t>
      </w:r>
    </w:p>
    <w:p w:rsidR="00970E5A" w:rsidRPr="009E7ED6" w:rsidRDefault="00970E5A" w:rsidP="00C95D01">
      <w:pPr>
        <w:pStyle w:val="ECHRParaQuote"/>
        <w:rPr>
          <w:lang w:val="pl-PL"/>
        </w:rPr>
      </w:pPr>
      <w:r>
        <w:rPr>
          <w:lang w:val="pl-PL"/>
        </w:rPr>
        <w:t xml:space="preserve">Wśród ofiar handlu ludźmi, terroryzmu, przestępczości zorganizowanej, przemocy w bliskich związkach, przemocy seksualnej lub wykorzystywania seksualnego, przemocy na tle płciowym, przestępstwa z nienawiści oraz wśród ofiar będących osobami niepełnosprawnymi lub dziećmi występuje na ogół duża liczba przypadków wtórnej i ponownej </w:t>
      </w:r>
      <w:proofErr w:type="spellStart"/>
      <w:r>
        <w:rPr>
          <w:lang w:val="pl-PL"/>
        </w:rPr>
        <w:t>wiktymizacji</w:t>
      </w:r>
      <w:proofErr w:type="spellEnd"/>
      <w:r>
        <w:rPr>
          <w:lang w:val="pl-PL"/>
        </w:rPr>
        <w:t xml:space="preserve">, zastraszania oraz odwetu. Należy szczególnie dokładnie ocenić, czy takie ofiary zagrożone są tego rodzaju </w:t>
      </w:r>
      <w:proofErr w:type="spellStart"/>
      <w:r>
        <w:rPr>
          <w:lang w:val="pl-PL"/>
        </w:rPr>
        <w:t>wiktymizacją</w:t>
      </w:r>
      <w:proofErr w:type="spellEnd"/>
      <w:r>
        <w:rPr>
          <w:lang w:val="pl-PL"/>
        </w:rPr>
        <w:t>, zastraszeniem oraz odwetem, i należy założyć, że w przypadku tych ofiar szczególne środki ochrony będą przydatne.</w:t>
      </w:r>
    </w:p>
    <w:p w:rsidR="00970E5A" w:rsidRPr="009E7ED6" w:rsidRDefault="00970E5A" w:rsidP="00C95D01">
      <w:pPr>
        <w:pStyle w:val="ECHRParaQuote"/>
        <w:rPr>
          <w:color w:val="000000"/>
          <w:lang w:val="pl-PL"/>
        </w:rPr>
      </w:pPr>
      <w:r>
        <w:rPr>
          <w:color w:val="000000"/>
          <w:lang w:val="pl-PL"/>
        </w:rPr>
        <w:t>[...]</w:t>
      </w:r>
    </w:p>
    <w:p w:rsidR="00970E5A" w:rsidRPr="009E7ED6" w:rsidRDefault="00970E5A" w:rsidP="00C95D01">
      <w:pPr>
        <w:pStyle w:val="ECHRParaQuote"/>
        <w:rPr>
          <w:lang w:val="pl-PL"/>
        </w:rPr>
      </w:pPr>
      <w:r>
        <w:rPr>
          <w:lang w:val="pl-PL"/>
        </w:rPr>
        <w:t xml:space="preserve">Ofiarom, które zostały uznane za narażone na ponowną i wtórną </w:t>
      </w:r>
      <w:proofErr w:type="spellStart"/>
      <w:r>
        <w:rPr>
          <w:lang w:val="pl-PL"/>
        </w:rPr>
        <w:t>wiktymizację</w:t>
      </w:r>
      <w:proofErr w:type="spellEnd"/>
      <w:r>
        <w:rPr>
          <w:lang w:val="pl-PL"/>
        </w:rPr>
        <w:t>, zastraszanie oraz odwet, należy zaoferować odpowiednie środki, by chronić je podczas postępowania karnego. Dokładny charakter takich środków należy ustalić w trybie indywidualnej oceny, uwzględniając wolę ofiary. Zakres wszelkich takich środków należy określić bez uszczerbku dla praw do obrony i zgodnie z przepisami o swobodzie sędziowskiej. Obawy i lęki ofiar związane z postępowaniem powinny być kluczowym czynnikiem przy ustalaniu, czy potrzebuje ona określonego szczególnego środka.</w:t>
      </w:r>
    </w:p>
    <w:p w:rsidR="00970E5A" w:rsidRPr="009E7ED6" w:rsidRDefault="00970E5A" w:rsidP="00C95D01">
      <w:pPr>
        <w:pStyle w:val="ECHRParaQuote"/>
        <w:rPr>
          <w:color w:val="000000"/>
          <w:lang w:val="pl-PL"/>
        </w:rPr>
      </w:pPr>
      <w:r>
        <w:rPr>
          <w:color w:val="000000"/>
          <w:lang w:val="pl-PL"/>
        </w:rPr>
        <w:t>[...]</w:t>
      </w:r>
    </w:p>
    <w:p w:rsidR="00970E5A" w:rsidRPr="009E7ED6" w:rsidRDefault="00970E5A" w:rsidP="00C95D01">
      <w:pPr>
        <w:pStyle w:val="ECHRTitleCentre3"/>
        <w:rPr>
          <w:lang w:val="pl-PL"/>
        </w:rPr>
      </w:pPr>
      <w:r>
        <w:rPr>
          <w:lang w:val="pl-PL"/>
        </w:rPr>
        <w:t>ROZDZIAŁ</w:t>
      </w:r>
      <w:r w:rsidRPr="009E7ED6">
        <w:rPr>
          <w:lang w:val="pl-PL"/>
        </w:rPr>
        <w:t xml:space="preserve"> 1</w:t>
      </w:r>
      <w:r w:rsidRPr="009E7ED6">
        <w:rPr>
          <w:lang w:val="pl-PL"/>
        </w:rPr>
        <w:br/>
      </w:r>
      <w:r>
        <w:rPr>
          <w:lang w:val="pl-PL"/>
        </w:rPr>
        <w:t>PRZEPISY OGÓLNE</w:t>
      </w:r>
      <w:r w:rsidRPr="009E7ED6">
        <w:rPr>
          <w:lang w:val="pl-PL"/>
        </w:rPr>
        <w:br/>
      </w:r>
      <w:r>
        <w:rPr>
          <w:lang w:val="pl-PL"/>
        </w:rPr>
        <w:t>Artykuł 1</w:t>
      </w:r>
    </w:p>
    <w:p w:rsidR="00970E5A" w:rsidRPr="009E7ED6" w:rsidRDefault="00970E5A" w:rsidP="00C95D01">
      <w:pPr>
        <w:pStyle w:val="ECHRParaQuote"/>
        <w:keepNext/>
        <w:keepLines/>
        <w:rPr>
          <w:lang w:val="pl-PL"/>
        </w:rPr>
      </w:pPr>
      <w:r>
        <w:rPr>
          <w:lang w:val="pl-PL"/>
        </w:rPr>
        <w:t>„[...]</w:t>
      </w:r>
    </w:p>
    <w:p w:rsidR="00970E5A" w:rsidRPr="009E7ED6" w:rsidRDefault="00970E5A" w:rsidP="00C95D01">
      <w:pPr>
        <w:pStyle w:val="ECHRParaQuote"/>
        <w:rPr>
          <w:lang w:val="pl-PL"/>
        </w:rPr>
      </w:pPr>
      <w:r>
        <w:rPr>
          <w:lang w:val="pl-PL"/>
        </w:rPr>
        <w:t>2. Przy stosowaniu niniejszej dyrektywy państwa członkowskie zapewniają, by w przypadkach gdy ofiarą jest dziecko, w pierwszym rzędzie brano pod uwagę najlepsze zabezpieczenie jego interesu, który należy ocenić indywidualnie dla każdego przypadku. Pierwszeństwo ma podejście dostosowane do dziecka, uwzględniające wiek dziecka, poziom jego dojrzałości, jego opinie, potrzeby i obawy. [...]</w:t>
      </w:r>
    </w:p>
    <w:p w:rsidR="00970E5A" w:rsidRPr="009E7ED6" w:rsidRDefault="00970E5A" w:rsidP="00C95D01">
      <w:pPr>
        <w:pStyle w:val="ECHRTitleCentre3"/>
        <w:rPr>
          <w:lang w:val="pl-PL"/>
        </w:rPr>
      </w:pPr>
      <w:r>
        <w:rPr>
          <w:lang w:val="pl-PL"/>
        </w:rPr>
        <w:lastRenderedPageBreak/>
        <w:t>ROZDZIAŁ</w:t>
      </w:r>
      <w:r w:rsidRPr="009E7ED6">
        <w:rPr>
          <w:lang w:val="pl-PL"/>
        </w:rPr>
        <w:t xml:space="preserve"> 4</w:t>
      </w:r>
      <w:r w:rsidRPr="009E7ED6">
        <w:rPr>
          <w:lang w:val="pl-PL"/>
        </w:rPr>
        <w:br/>
      </w:r>
      <w:r>
        <w:rPr>
          <w:lang w:val="pl-PL"/>
        </w:rPr>
        <w:t>OCHRONA OFIAR ORAZ UZNANIE OFIAR O SZCZEGÓLNYCH POTRZEBACH W ZAKRESIE OCHRONY</w:t>
      </w:r>
      <w:r w:rsidRPr="009E7ED6">
        <w:rPr>
          <w:lang w:val="pl-PL"/>
        </w:rPr>
        <w:br/>
      </w:r>
      <w:r>
        <w:rPr>
          <w:lang w:val="pl-PL"/>
        </w:rPr>
        <w:t>Artykuł</w:t>
      </w:r>
      <w:r w:rsidRPr="009E7ED6">
        <w:rPr>
          <w:lang w:val="pl-PL"/>
        </w:rPr>
        <w:t xml:space="preserve"> 22</w:t>
      </w:r>
      <w:r w:rsidRPr="009E7ED6">
        <w:rPr>
          <w:lang w:val="pl-PL"/>
        </w:rPr>
        <w:br/>
      </w:r>
      <w:r>
        <w:rPr>
          <w:lang w:val="pl-PL"/>
        </w:rPr>
        <w:t>Indywidualna ocena służąca ustaleniu szczególnych potrzeb ofiar w zakresie ochrony</w:t>
      </w:r>
    </w:p>
    <w:p w:rsidR="00970E5A" w:rsidRPr="009E7ED6" w:rsidRDefault="00970E5A" w:rsidP="00C95D01">
      <w:pPr>
        <w:pStyle w:val="ECHRParaQuote"/>
        <w:rPr>
          <w:lang w:val="pl-PL"/>
        </w:rPr>
      </w:pPr>
      <w:r w:rsidRPr="009E7ED6">
        <w:rPr>
          <w:lang w:val="pl-PL"/>
        </w:rPr>
        <w:t xml:space="preserve">1. </w:t>
      </w:r>
      <w:r>
        <w:rPr>
          <w:lang w:val="pl-PL"/>
        </w:rPr>
        <w:t xml:space="preserve">Państwa członkowskie zapewniają, by ofiary poddano na czas indywidualnej ocenie, zgodnie z procedurami krajowymi, w celu ustalenia szczególnych potrzeb w zakresie ochrony i określenia, czy i w jakim zakresie skorzystałyby w trakcie postępowania karnego ze specjalnych środków przewidzianych w art. 23 i 24, ze względu na ich szczególne narażenie na wtórną i ponowną </w:t>
      </w:r>
      <w:proofErr w:type="spellStart"/>
      <w:r>
        <w:rPr>
          <w:lang w:val="pl-PL"/>
        </w:rPr>
        <w:t>wiktymizację</w:t>
      </w:r>
      <w:proofErr w:type="spellEnd"/>
      <w:r>
        <w:rPr>
          <w:lang w:val="pl-PL"/>
        </w:rPr>
        <w:t>, zastraszanie oraz odwet.</w:t>
      </w:r>
    </w:p>
    <w:p w:rsidR="00970E5A" w:rsidRPr="009E7ED6" w:rsidRDefault="00970E5A" w:rsidP="00C95D01">
      <w:pPr>
        <w:pStyle w:val="ECHRParaQuote"/>
        <w:rPr>
          <w:color w:val="000000"/>
          <w:szCs w:val="20"/>
          <w:lang w:val="pl-PL"/>
        </w:rPr>
      </w:pPr>
      <w:r>
        <w:rPr>
          <w:color w:val="000000"/>
          <w:szCs w:val="20"/>
          <w:lang w:val="pl-PL"/>
        </w:rPr>
        <w:t>[...]</w:t>
      </w:r>
    </w:p>
    <w:p w:rsidR="00970E5A" w:rsidRPr="009E7ED6" w:rsidRDefault="00970E5A" w:rsidP="00C95D01">
      <w:pPr>
        <w:pStyle w:val="ECHRParaQuote"/>
        <w:rPr>
          <w:lang w:val="pl-PL"/>
        </w:rPr>
      </w:pPr>
      <w:r w:rsidRPr="009E7ED6">
        <w:rPr>
          <w:lang w:val="pl-PL"/>
        </w:rPr>
        <w:t xml:space="preserve">4. </w:t>
      </w:r>
      <w:r>
        <w:rPr>
          <w:lang w:val="pl-PL"/>
        </w:rPr>
        <w:t xml:space="preserve">Do celów niniejszej dyrektywy zakłada się, że dzieci będące ofiarami mają szczególne potrzeby w zakresie ochrony, gdyż narażone są na wtórną i ponowną </w:t>
      </w:r>
      <w:proofErr w:type="spellStart"/>
      <w:r>
        <w:rPr>
          <w:lang w:val="pl-PL"/>
        </w:rPr>
        <w:t>wiktymizację</w:t>
      </w:r>
      <w:proofErr w:type="spellEnd"/>
      <w:r>
        <w:rPr>
          <w:lang w:val="pl-PL"/>
        </w:rPr>
        <w:t>, zastraszanie oraz odwet. W celu określenia, czy i w jakim stopniu korzystałyby one ze środków specjalnych przewidzianych w art. 23 i 24, dzieci będące ofiarami poddawane są indywidualnej ocenie przewidzianej w ust. 1 niniejszego artykułu.</w:t>
      </w:r>
    </w:p>
    <w:p w:rsidR="00970E5A" w:rsidRPr="009E7ED6" w:rsidRDefault="00970E5A" w:rsidP="00C95D01">
      <w:pPr>
        <w:pStyle w:val="ECHRParaQuote"/>
        <w:rPr>
          <w:color w:val="000000"/>
          <w:szCs w:val="20"/>
          <w:lang w:val="pl-PL"/>
        </w:rPr>
      </w:pPr>
      <w:r>
        <w:rPr>
          <w:color w:val="000000"/>
          <w:szCs w:val="20"/>
          <w:lang w:val="pl-PL"/>
        </w:rPr>
        <w:t>[...]</w:t>
      </w:r>
    </w:p>
    <w:p w:rsidR="00970E5A" w:rsidRPr="009E7ED6" w:rsidRDefault="00970E5A" w:rsidP="00C95D01">
      <w:pPr>
        <w:pStyle w:val="ECHRTitleCentre3"/>
        <w:rPr>
          <w:lang w:val="pl-PL"/>
        </w:rPr>
      </w:pPr>
      <w:r>
        <w:rPr>
          <w:lang w:val="pl-PL"/>
        </w:rPr>
        <w:t>Artykuł</w:t>
      </w:r>
      <w:r w:rsidRPr="009E7ED6">
        <w:rPr>
          <w:lang w:val="pl-PL"/>
        </w:rPr>
        <w:t xml:space="preserve"> 23</w:t>
      </w:r>
      <w:r w:rsidRPr="009E7ED6">
        <w:rPr>
          <w:lang w:val="pl-PL"/>
        </w:rPr>
        <w:br/>
      </w:r>
      <w:r>
        <w:rPr>
          <w:lang w:val="pl-PL"/>
        </w:rPr>
        <w:t>Prawo do ochrony ofiar o szczególnych potrzebach w zakresie ochrony podczas postępowania karnego</w:t>
      </w:r>
    </w:p>
    <w:p w:rsidR="00970E5A" w:rsidRPr="009E7ED6" w:rsidRDefault="00970E5A" w:rsidP="00C95D01">
      <w:pPr>
        <w:pStyle w:val="ECHRParaQuote"/>
        <w:rPr>
          <w:lang w:val="pl-PL"/>
        </w:rPr>
      </w:pPr>
      <w:r w:rsidRPr="009E7ED6">
        <w:rPr>
          <w:lang w:val="pl-PL"/>
        </w:rPr>
        <w:t xml:space="preserve">1. </w:t>
      </w:r>
      <w:r>
        <w:rPr>
          <w:lang w:val="pl-PL"/>
        </w:rPr>
        <w:t>Bez uszczerbku dla praw do obrony i zgodnie z przepisami o swobodzie sędziowskiej, państwa członkowskie zapewniają, by ofiary o szczególnych potrzebach w zakresie ochrony korzystające ze szczególnych środków ustalonych w rezultacie indywidualnej oceny przewidzianej w art. 22 ust. 1 mogły korzystać ze środków przewidzianych w ust. 2 i 3 niniejszego artykułu. Nie zapewnia się środka specjalnego wynikającego z indywidualnej oceny, jeżeli uniemożliwiają to ograniczenia operacyjne lub praktyczne lub gdy istnieje pilna potrzeba przesłuchania ofiary, a jej nieprzesłuchanie mogłoby wyrządzić szkodę ofierze lub innej osobie lub mógłby stanowić uszczerbek dla przebiegu postępowania.</w:t>
      </w:r>
    </w:p>
    <w:p w:rsidR="00970E5A" w:rsidRPr="009E7ED6" w:rsidRDefault="00970E5A" w:rsidP="00C95D01">
      <w:pPr>
        <w:pStyle w:val="ECHRParaQuote"/>
        <w:rPr>
          <w:color w:val="000000"/>
          <w:szCs w:val="20"/>
          <w:lang w:val="pl-PL"/>
        </w:rPr>
      </w:pPr>
      <w:r>
        <w:rPr>
          <w:color w:val="000000"/>
          <w:szCs w:val="20"/>
          <w:lang w:val="pl-PL"/>
        </w:rPr>
        <w:t>[...]”.</w:t>
      </w:r>
    </w:p>
    <w:p w:rsidR="00970E5A" w:rsidRPr="009E7ED6" w:rsidRDefault="00970E5A" w:rsidP="00C95D01">
      <w:pPr>
        <w:pStyle w:val="ECHRTitle1"/>
        <w:rPr>
          <w:lang w:val="pl-PL"/>
        </w:rPr>
      </w:pPr>
      <w:r>
        <w:rPr>
          <w:lang w:val="pl-PL"/>
        </w:rPr>
        <w:t>PRAWO</w:t>
      </w:r>
    </w:p>
    <w:p w:rsidR="00970E5A" w:rsidRPr="009E7ED6" w:rsidRDefault="00970E5A" w:rsidP="00C95D01">
      <w:pPr>
        <w:pStyle w:val="ECHRHeading1"/>
        <w:tabs>
          <w:tab w:val="clear" w:pos="357"/>
          <w:tab w:val="left" w:pos="0"/>
        </w:tabs>
        <w:ind w:left="0" w:firstLine="0"/>
        <w:rPr>
          <w:lang w:val="pl-PL"/>
        </w:rPr>
      </w:pPr>
      <w:r>
        <w:rPr>
          <w:lang w:val="pl-PL"/>
        </w:rPr>
        <w:t xml:space="preserve">ZARZUT NARUSZENIA ART. 6 </w:t>
      </w:r>
      <w:r w:rsidRPr="009E7ED6">
        <w:rPr>
          <w:lang w:val="pl-PL"/>
        </w:rPr>
        <w:t xml:space="preserve">§§ 1 </w:t>
      </w:r>
      <w:r w:rsidR="00925A00">
        <w:rPr>
          <w:lang w:val="pl-PL"/>
        </w:rPr>
        <w:t>i</w:t>
      </w:r>
      <w:r w:rsidRPr="009E7ED6">
        <w:rPr>
          <w:lang w:val="pl-PL"/>
        </w:rPr>
        <w:t xml:space="preserve"> 3 d) </w:t>
      </w:r>
      <w:r>
        <w:rPr>
          <w:lang w:val="pl-PL"/>
        </w:rPr>
        <w:t>KONWENCJI</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33</w:t>
      </w:r>
      <w:r w:rsidRPr="009E7ED6">
        <w:rPr>
          <w:lang w:val="pl-PL"/>
        </w:rPr>
        <w:fldChar w:fldCharType="end"/>
      </w:r>
      <w:r>
        <w:rPr>
          <w:lang w:val="pl-PL"/>
        </w:rPr>
        <w:t>.  Skarżący zarzuca nierzetelność postępowania. Zarzuca organom ścigania, że uniemożliwiły mu przesłuchani</w:t>
      </w:r>
      <w:r w:rsidRPr="009E7ED6">
        <w:rPr>
          <w:lang w:val="pl-PL"/>
        </w:rPr>
        <w:t>e</w:t>
      </w:r>
      <w:r>
        <w:rPr>
          <w:lang w:val="pl-PL"/>
        </w:rPr>
        <w:t xml:space="preserve"> ofiary, której zeznania były</w:t>
      </w:r>
      <w:r w:rsidR="004476FC">
        <w:rPr>
          <w:lang w:val="pl-PL"/>
        </w:rPr>
        <w:t>,</w:t>
      </w:r>
      <w:r>
        <w:rPr>
          <w:lang w:val="pl-PL"/>
        </w:rPr>
        <w:t xml:space="preserve"> jego zdaniem</w:t>
      </w:r>
      <w:r w:rsidR="004476FC">
        <w:rPr>
          <w:lang w:val="pl-PL"/>
        </w:rPr>
        <w:t>,</w:t>
      </w:r>
      <w:r>
        <w:rPr>
          <w:lang w:val="pl-PL"/>
        </w:rPr>
        <w:t xml:space="preserve"> </w:t>
      </w:r>
      <w:r w:rsidR="004476FC">
        <w:rPr>
          <w:lang w:val="pl-PL"/>
        </w:rPr>
        <w:t>podstawowym</w:t>
      </w:r>
      <w:r>
        <w:rPr>
          <w:lang w:val="pl-PL"/>
        </w:rPr>
        <w:t xml:space="preserve"> dowodem, na podstawie którego </w:t>
      </w:r>
      <w:r w:rsidR="005627D7">
        <w:rPr>
          <w:lang w:val="pl-PL"/>
        </w:rPr>
        <w:t>oparto jego</w:t>
      </w:r>
      <w:r>
        <w:rPr>
          <w:lang w:val="pl-PL"/>
        </w:rPr>
        <w:t xml:space="preserve"> skazani</w:t>
      </w:r>
      <w:r w:rsidR="005627D7">
        <w:rPr>
          <w:lang w:val="pl-PL"/>
        </w:rPr>
        <w:t>e</w:t>
      </w:r>
      <w:r>
        <w:rPr>
          <w:lang w:val="pl-PL"/>
        </w:rPr>
        <w:t xml:space="preserve">. Powołuje się na art. 6 §§ 1 i 3 d) Konwencji, który </w:t>
      </w:r>
      <w:r w:rsidR="00883104">
        <w:rPr>
          <w:lang w:val="pl-PL"/>
        </w:rPr>
        <w:t>stanowi</w:t>
      </w:r>
      <w:r>
        <w:rPr>
          <w:lang w:val="pl-PL"/>
        </w:rPr>
        <w:t>:</w:t>
      </w:r>
    </w:p>
    <w:p w:rsidR="00970E5A" w:rsidRPr="009E7ED6" w:rsidRDefault="00970E5A" w:rsidP="00C95D01">
      <w:pPr>
        <w:pStyle w:val="ECHRParaQuote"/>
        <w:rPr>
          <w:lang w:val="pl-PL"/>
        </w:rPr>
      </w:pPr>
      <w:r>
        <w:rPr>
          <w:lang w:val="pl-PL"/>
        </w:rPr>
        <w:t>„</w:t>
      </w:r>
      <w:r w:rsidRPr="009E7ED6">
        <w:rPr>
          <w:lang w:val="pl-PL"/>
        </w:rPr>
        <w:t>1.  </w:t>
      </w:r>
      <w:r>
        <w:rPr>
          <w:lang w:val="pl-PL"/>
        </w:rPr>
        <w:t>Każdy ma prawo do sprawiedliwego [...] rozpatrzenia jego sprawy [...] przez [...] sąd [...] przy rozstrzyganiu [...] o zasadności każdego oskarżenia w wytoczonej przeciwko niemu sprawie karnej. [...]</w:t>
      </w:r>
    </w:p>
    <w:p w:rsidR="00970E5A" w:rsidRPr="009E7ED6" w:rsidRDefault="00970E5A" w:rsidP="00C95D01">
      <w:pPr>
        <w:pStyle w:val="ECHRParaQuote"/>
        <w:rPr>
          <w:lang w:val="pl-PL"/>
        </w:rPr>
      </w:pPr>
      <w:r>
        <w:rPr>
          <w:lang w:val="pl-PL"/>
        </w:rPr>
        <w:lastRenderedPageBreak/>
        <w:t>[...]</w:t>
      </w:r>
    </w:p>
    <w:p w:rsidR="00970E5A" w:rsidRPr="009E7ED6" w:rsidRDefault="00970E5A" w:rsidP="00C95D01">
      <w:pPr>
        <w:pStyle w:val="ECHRParaQuote"/>
        <w:rPr>
          <w:lang w:val="pl-PL"/>
        </w:rPr>
      </w:pPr>
      <w:r w:rsidRPr="009E7ED6">
        <w:rPr>
          <w:lang w:val="pl-PL"/>
        </w:rPr>
        <w:t>3.  </w:t>
      </w:r>
      <w:r>
        <w:rPr>
          <w:lang w:val="pl-PL"/>
        </w:rPr>
        <w:t>Każdy oskarżony o popełnienie czynu zagrożonego karą ma co najmniej prawo do</w:t>
      </w:r>
      <w:r w:rsidRPr="009E7ED6">
        <w:rPr>
          <w:lang w:val="pl-PL"/>
        </w:rPr>
        <w:t>:</w:t>
      </w:r>
    </w:p>
    <w:p w:rsidR="00970E5A" w:rsidRPr="009E7ED6" w:rsidRDefault="00970E5A" w:rsidP="00C95D01">
      <w:pPr>
        <w:pStyle w:val="ECHRParaQuote"/>
        <w:rPr>
          <w:lang w:val="pl-PL"/>
        </w:rPr>
      </w:pPr>
      <w:r w:rsidRPr="009E7ED6">
        <w:rPr>
          <w:lang w:val="pl-PL"/>
        </w:rPr>
        <w:t>(...)</w:t>
      </w:r>
    </w:p>
    <w:p w:rsidR="00970E5A" w:rsidRPr="009E7ED6" w:rsidRDefault="00970E5A" w:rsidP="00C95D01">
      <w:pPr>
        <w:pStyle w:val="ECHRParaQuote"/>
        <w:rPr>
          <w:lang w:val="pl-PL"/>
        </w:rPr>
      </w:pPr>
      <w:r w:rsidRPr="009E7ED6">
        <w:rPr>
          <w:lang w:val="pl-PL"/>
        </w:rPr>
        <w:t>d)  </w:t>
      </w:r>
      <w:r>
        <w:rPr>
          <w:lang w:val="pl-PL"/>
        </w:rPr>
        <w:t>przesłuchania lub spowodowania przesłuchania świadków oskarżenia oraz żądania obecności i przesłuchania świadków obrony na takich samych warunkach jak świadków oskarżenia”.</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34</w:t>
      </w:r>
      <w:r w:rsidRPr="009E7ED6">
        <w:rPr>
          <w:lang w:val="pl-PL"/>
        </w:rPr>
        <w:fldChar w:fldCharType="end"/>
      </w:r>
      <w:r w:rsidRPr="009E7ED6">
        <w:rPr>
          <w:lang w:val="pl-PL"/>
        </w:rPr>
        <w:t>.  </w:t>
      </w:r>
      <w:r>
        <w:rPr>
          <w:lang w:val="pl-PL"/>
        </w:rPr>
        <w:t>Rząd kwestionuje ten zarzut</w:t>
      </w:r>
      <w:r w:rsidRPr="009E7ED6">
        <w:rPr>
          <w:lang w:val="pl-PL"/>
        </w:rPr>
        <w:t>.</w:t>
      </w:r>
    </w:p>
    <w:p w:rsidR="00970E5A" w:rsidRPr="009E7ED6" w:rsidRDefault="00970E5A" w:rsidP="00C95D01">
      <w:pPr>
        <w:pStyle w:val="ECHRHeading2"/>
        <w:rPr>
          <w:lang w:val="pl-PL"/>
        </w:rPr>
      </w:pPr>
      <w:r w:rsidRPr="009E7ED6">
        <w:rPr>
          <w:lang w:val="pl-PL"/>
        </w:rPr>
        <w:t>A.  </w:t>
      </w:r>
      <w:r>
        <w:rPr>
          <w:lang w:val="pl-PL"/>
        </w:rPr>
        <w:t>Dopuszczalność</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35</w:t>
      </w:r>
      <w:r w:rsidRPr="009E7ED6">
        <w:rPr>
          <w:lang w:val="pl-PL"/>
        </w:rPr>
        <w:fldChar w:fldCharType="end"/>
      </w:r>
      <w:r w:rsidRPr="009E7ED6">
        <w:rPr>
          <w:lang w:val="pl-PL"/>
        </w:rPr>
        <w:t>.  </w:t>
      </w:r>
      <w:r>
        <w:rPr>
          <w:lang w:val="pl-PL"/>
        </w:rPr>
        <w:t xml:space="preserve">Stwierdzając, że skarga nie jest w sposób oczywisty bezzasadna w rozumieniu art. </w:t>
      </w:r>
      <w:r w:rsidRPr="009E7ED6">
        <w:rPr>
          <w:lang w:val="pl-PL"/>
        </w:rPr>
        <w:t>35 § 3 a</w:t>
      </w:r>
      <w:r>
        <w:rPr>
          <w:lang w:val="pl-PL"/>
        </w:rPr>
        <w:t>) Konwencji i nie jest niedopuszczalna z jakichkolwiek innych powodów, Trybunał uznaje ją za dopuszczalną.</w:t>
      </w:r>
    </w:p>
    <w:p w:rsidR="00970E5A" w:rsidRPr="009E7ED6" w:rsidRDefault="00970E5A" w:rsidP="00C95D01">
      <w:pPr>
        <w:pStyle w:val="ECHRHeading2"/>
        <w:rPr>
          <w:lang w:val="pl-PL"/>
        </w:rPr>
      </w:pPr>
      <w:r w:rsidRPr="009E7ED6">
        <w:rPr>
          <w:lang w:val="pl-PL"/>
        </w:rPr>
        <w:t>B.  </w:t>
      </w:r>
      <w:r>
        <w:rPr>
          <w:lang w:val="pl-PL"/>
        </w:rPr>
        <w:t>Meritum</w:t>
      </w:r>
    </w:p>
    <w:p w:rsidR="00970E5A" w:rsidRPr="009E7ED6" w:rsidRDefault="00970E5A" w:rsidP="00C95D01">
      <w:pPr>
        <w:pStyle w:val="ECHRHeading3"/>
        <w:rPr>
          <w:lang w:val="pl-PL"/>
        </w:rPr>
      </w:pPr>
      <w:r w:rsidRPr="009E7ED6">
        <w:rPr>
          <w:lang w:val="pl-PL"/>
        </w:rPr>
        <w:t>1.  </w:t>
      </w:r>
      <w:r>
        <w:rPr>
          <w:lang w:val="pl-PL"/>
        </w:rPr>
        <w:t>Stanowiska stron</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36</w:t>
      </w:r>
      <w:r w:rsidRPr="009E7ED6">
        <w:rPr>
          <w:lang w:val="pl-PL"/>
        </w:rPr>
        <w:fldChar w:fldCharType="end"/>
      </w:r>
      <w:r w:rsidRPr="009E7ED6">
        <w:rPr>
          <w:lang w:val="pl-PL"/>
        </w:rPr>
        <w:t>.  </w:t>
      </w:r>
      <w:r>
        <w:rPr>
          <w:lang w:val="pl-PL"/>
        </w:rPr>
        <w:t>Skarżący podtrzymuje swoje zarzuty</w:t>
      </w:r>
      <w:r w:rsidRPr="009E7ED6">
        <w:rPr>
          <w:lang w:val="pl-PL"/>
        </w:rPr>
        <w:t>.</w:t>
      </w:r>
    </w:p>
    <w:p w:rsidR="00970E5A"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37</w:t>
      </w:r>
      <w:r w:rsidRPr="009E7ED6">
        <w:rPr>
          <w:lang w:val="pl-PL"/>
        </w:rPr>
        <w:fldChar w:fldCharType="end"/>
      </w:r>
      <w:r w:rsidRPr="009E7ED6">
        <w:rPr>
          <w:lang w:val="pl-PL"/>
        </w:rPr>
        <w:t>.  </w:t>
      </w:r>
      <w:r>
        <w:rPr>
          <w:lang w:val="pl-PL"/>
        </w:rPr>
        <w:t>R</w:t>
      </w:r>
      <w:r w:rsidR="00386C61">
        <w:rPr>
          <w:lang w:val="pl-PL"/>
        </w:rPr>
        <w:t>ząd jest zdania, że w nini</w:t>
      </w:r>
      <w:r w:rsidR="00363722">
        <w:rPr>
          <w:lang w:val="pl-PL"/>
        </w:rPr>
        <w:t>ejszym</w:t>
      </w:r>
      <w:r>
        <w:rPr>
          <w:lang w:val="pl-PL"/>
        </w:rPr>
        <w:t xml:space="preserve"> </w:t>
      </w:r>
      <w:r w:rsidR="00363722">
        <w:rPr>
          <w:lang w:val="pl-PL"/>
        </w:rPr>
        <w:t>przypadku</w:t>
      </w:r>
      <w:r>
        <w:rPr>
          <w:lang w:val="pl-PL"/>
        </w:rPr>
        <w:t xml:space="preserve"> nie doszło do naruszenia art.</w:t>
      </w:r>
      <w:r w:rsidRPr="009E7ED6">
        <w:rPr>
          <w:lang w:val="pl-PL"/>
        </w:rPr>
        <w:t xml:space="preserve"> 6 §§ 1 </w:t>
      </w:r>
      <w:r>
        <w:rPr>
          <w:lang w:val="pl-PL"/>
        </w:rPr>
        <w:t>i</w:t>
      </w:r>
      <w:r w:rsidRPr="009E7ED6">
        <w:rPr>
          <w:lang w:val="pl-PL"/>
        </w:rPr>
        <w:t xml:space="preserve"> 3 d) </w:t>
      </w:r>
      <w:r>
        <w:rPr>
          <w:lang w:val="pl-PL"/>
        </w:rPr>
        <w:t xml:space="preserve">Konwencji. Powołując się na </w:t>
      </w:r>
      <w:r w:rsidR="00021701">
        <w:rPr>
          <w:lang w:val="pl-PL"/>
        </w:rPr>
        <w:t>opinie lekarskie</w:t>
      </w:r>
      <w:r>
        <w:rPr>
          <w:lang w:val="pl-PL"/>
        </w:rPr>
        <w:t xml:space="preserve"> przekazane organom krajowym, stwierdza, że nieobecność ofiary na rozprawie i wynikające z tego odczytanie zeznań złożonych przed </w:t>
      </w:r>
      <w:r w:rsidR="008B5CCD">
        <w:rPr>
          <w:lang w:val="pl-PL"/>
        </w:rPr>
        <w:t>rozprawą</w:t>
      </w:r>
      <w:r>
        <w:rPr>
          <w:lang w:val="pl-PL"/>
        </w:rPr>
        <w:t xml:space="preserve"> było uzasadnione istotnymi względami. Dodaje, że hospitalizacja Z.S. na oddziale psychiatrii dziecięcej </w:t>
      </w:r>
      <w:r w:rsidR="00DC65E1">
        <w:rPr>
          <w:lang w:val="pl-PL"/>
        </w:rPr>
        <w:t>kliniki we Wrocławiu od</w:t>
      </w:r>
      <w:r>
        <w:rPr>
          <w:lang w:val="pl-PL"/>
        </w:rPr>
        <w:t xml:space="preserve"> maj</w:t>
      </w:r>
      <w:r w:rsidR="00DC65E1">
        <w:rPr>
          <w:lang w:val="pl-PL"/>
        </w:rPr>
        <w:t>a do</w:t>
      </w:r>
      <w:r>
        <w:rPr>
          <w:lang w:val="pl-PL"/>
        </w:rPr>
        <w:t xml:space="preserve"> lipc</w:t>
      </w:r>
      <w:r w:rsidR="00DC65E1">
        <w:rPr>
          <w:lang w:val="pl-PL"/>
        </w:rPr>
        <w:t>a</w:t>
      </w:r>
      <w:r>
        <w:rPr>
          <w:lang w:val="pl-PL"/>
        </w:rPr>
        <w:t xml:space="preserve"> </w:t>
      </w:r>
      <w:r w:rsidR="00DC65E1">
        <w:rPr>
          <w:lang w:val="pl-PL"/>
        </w:rPr>
        <w:br/>
      </w:r>
      <w:r>
        <w:rPr>
          <w:lang w:val="pl-PL"/>
        </w:rPr>
        <w:t>2004 r. dowodzi, że jej stan był poważny. Dodaje również, że w kwietniu 2005 r. naczelny lekarz tej kliniki oraz psycholog sprzeciwili się uczestnictwu Z.S. w procesie skarżącego.</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38</w:t>
      </w:r>
      <w:r w:rsidRPr="009E7ED6">
        <w:rPr>
          <w:lang w:val="pl-PL"/>
        </w:rPr>
        <w:fldChar w:fldCharType="end"/>
      </w:r>
      <w:r w:rsidRPr="009E7ED6">
        <w:rPr>
          <w:lang w:val="pl-PL"/>
        </w:rPr>
        <w:t>.  </w:t>
      </w:r>
      <w:r>
        <w:rPr>
          <w:lang w:val="pl-PL"/>
        </w:rPr>
        <w:t xml:space="preserve">Rząd zaznacza następnie, że w przeciwieństwie do niektórych spraw rozpatrywanych przez Trybunał, w szczególności </w:t>
      </w:r>
      <w:r w:rsidRPr="009E7ED6">
        <w:rPr>
          <w:i/>
          <w:lang w:val="pl-PL"/>
        </w:rPr>
        <w:t xml:space="preserve">A.M. </w:t>
      </w:r>
      <w:r>
        <w:rPr>
          <w:i/>
          <w:lang w:val="pl-PL"/>
        </w:rPr>
        <w:t>przeciwko Włochom</w:t>
      </w:r>
      <w:r w:rsidRPr="009E7ED6">
        <w:rPr>
          <w:lang w:val="pl-PL"/>
        </w:rPr>
        <w:t xml:space="preserve"> (n</w:t>
      </w:r>
      <w:r>
        <w:rPr>
          <w:lang w:val="pl-PL"/>
        </w:rPr>
        <w:t>r</w:t>
      </w:r>
      <w:r w:rsidRPr="009E7ED6">
        <w:rPr>
          <w:lang w:val="pl-PL"/>
        </w:rPr>
        <w:t xml:space="preserve"> 37019/07, </w:t>
      </w:r>
      <w:r>
        <w:rPr>
          <w:lang w:val="pl-PL"/>
        </w:rPr>
        <w:t>ETPC</w:t>
      </w:r>
      <w:r w:rsidRPr="009E7ED6">
        <w:rPr>
          <w:lang w:val="pl-PL"/>
        </w:rPr>
        <w:t xml:space="preserve"> 1999-IX), </w:t>
      </w:r>
      <w:r w:rsidRPr="009E7ED6">
        <w:rPr>
          <w:i/>
          <w:lang w:val="pl-PL"/>
        </w:rPr>
        <w:t xml:space="preserve">S.N. </w:t>
      </w:r>
      <w:r>
        <w:rPr>
          <w:i/>
          <w:lang w:val="pl-PL"/>
        </w:rPr>
        <w:t>przeciwko Szwecji</w:t>
      </w:r>
      <w:r w:rsidRPr="009E7ED6">
        <w:rPr>
          <w:lang w:val="pl-PL"/>
        </w:rPr>
        <w:t xml:space="preserve"> (n</w:t>
      </w:r>
      <w:r>
        <w:rPr>
          <w:lang w:val="pl-PL"/>
        </w:rPr>
        <w:t>r</w:t>
      </w:r>
      <w:r w:rsidRPr="009E7ED6">
        <w:rPr>
          <w:lang w:val="pl-PL"/>
        </w:rPr>
        <w:t xml:space="preserve"> 34209/96, </w:t>
      </w:r>
      <w:r>
        <w:rPr>
          <w:lang w:val="pl-PL"/>
        </w:rPr>
        <w:t>ETPC</w:t>
      </w:r>
      <w:r w:rsidRPr="009E7ED6">
        <w:rPr>
          <w:lang w:val="pl-PL"/>
        </w:rPr>
        <w:t xml:space="preserve"> 2002-V), </w:t>
      </w:r>
      <w:r w:rsidRPr="009E7ED6">
        <w:rPr>
          <w:i/>
          <w:lang w:val="pl-PL"/>
        </w:rPr>
        <w:t xml:space="preserve">P.S. </w:t>
      </w:r>
      <w:r>
        <w:rPr>
          <w:i/>
          <w:lang w:val="pl-PL"/>
        </w:rPr>
        <w:t>przeciwko Niemcom</w:t>
      </w:r>
      <w:r w:rsidRPr="009E7ED6">
        <w:rPr>
          <w:lang w:val="pl-PL"/>
        </w:rPr>
        <w:t xml:space="preserve"> (n</w:t>
      </w:r>
      <w:r>
        <w:rPr>
          <w:lang w:val="pl-PL"/>
        </w:rPr>
        <w:t>r</w:t>
      </w:r>
      <w:r w:rsidRPr="009E7ED6">
        <w:rPr>
          <w:lang w:val="pl-PL"/>
        </w:rPr>
        <w:t xml:space="preserve"> 33900/96, 20 </w:t>
      </w:r>
      <w:r>
        <w:rPr>
          <w:lang w:val="pl-PL"/>
        </w:rPr>
        <w:t>grudnia</w:t>
      </w:r>
      <w:r w:rsidRPr="009E7ED6">
        <w:rPr>
          <w:lang w:val="pl-PL"/>
        </w:rPr>
        <w:t xml:space="preserve"> 2001</w:t>
      </w:r>
      <w:r>
        <w:rPr>
          <w:lang w:val="pl-PL"/>
        </w:rPr>
        <w:t xml:space="preserve"> r.</w:t>
      </w:r>
      <w:r w:rsidRPr="009E7ED6">
        <w:rPr>
          <w:lang w:val="pl-PL"/>
        </w:rPr>
        <w:t xml:space="preserve">), </w:t>
      </w:r>
      <w:r w:rsidRPr="009E7ED6">
        <w:rPr>
          <w:i/>
          <w:lang w:val="pl-PL"/>
        </w:rPr>
        <w:t xml:space="preserve">Demski </w:t>
      </w:r>
      <w:r>
        <w:rPr>
          <w:i/>
          <w:lang w:val="pl-PL"/>
        </w:rPr>
        <w:t>przeciwko Polsce</w:t>
      </w:r>
      <w:r w:rsidRPr="009E7ED6">
        <w:rPr>
          <w:lang w:val="pl-PL"/>
        </w:rPr>
        <w:t xml:space="preserve"> (n</w:t>
      </w:r>
      <w:r>
        <w:rPr>
          <w:lang w:val="pl-PL"/>
        </w:rPr>
        <w:t>r</w:t>
      </w:r>
      <w:r w:rsidRPr="009E7ED6">
        <w:rPr>
          <w:lang w:val="pl-PL"/>
        </w:rPr>
        <w:t> 22695/03, 4 </w:t>
      </w:r>
      <w:r>
        <w:rPr>
          <w:lang w:val="pl-PL"/>
        </w:rPr>
        <w:t>listopada</w:t>
      </w:r>
      <w:r w:rsidRPr="009E7ED6">
        <w:rPr>
          <w:lang w:val="pl-PL"/>
        </w:rPr>
        <w:t xml:space="preserve"> 2008</w:t>
      </w:r>
      <w:r>
        <w:rPr>
          <w:lang w:val="pl-PL"/>
        </w:rPr>
        <w:t xml:space="preserve"> r.) oraz</w:t>
      </w:r>
      <w:r w:rsidRPr="009E7ED6">
        <w:rPr>
          <w:lang w:val="pl-PL"/>
        </w:rPr>
        <w:t xml:space="preserve"> </w:t>
      </w:r>
      <w:r w:rsidRPr="009E7ED6">
        <w:rPr>
          <w:i/>
          <w:lang w:val="pl-PL"/>
        </w:rPr>
        <w:t xml:space="preserve">W.S. </w:t>
      </w:r>
      <w:r>
        <w:rPr>
          <w:i/>
          <w:lang w:val="pl-PL"/>
        </w:rPr>
        <w:t>przeciwko Polsce</w:t>
      </w:r>
      <w:r w:rsidRPr="009E7ED6">
        <w:rPr>
          <w:lang w:val="pl-PL"/>
        </w:rPr>
        <w:t xml:space="preserve"> (n</w:t>
      </w:r>
      <w:r>
        <w:rPr>
          <w:lang w:val="pl-PL"/>
        </w:rPr>
        <w:t>r</w:t>
      </w:r>
      <w:r w:rsidRPr="009E7ED6">
        <w:rPr>
          <w:lang w:val="pl-PL"/>
        </w:rPr>
        <w:t> 21508/02, 19 </w:t>
      </w:r>
      <w:r>
        <w:rPr>
          <w:lang w:val="pl-PL"/>
        </w:rPr>
        <w:t>czerwca</w:t>
      </w:r>
      <w:r w:rsidRPr="009E7ED6">
        <w:rPr>
          <w:lang w:val="pl-PL"/>
        </w:rPr>
        <w:t xml:space="preserve"> 2007</w:t>
      </w:r>
      <w:r>
        <w:rPr>
          <w:lang w:val="pl-PL"/>
        </w:rPr>
        <w:t xml:space="preserve"> r.</w:t>
      </w:r>
      <w:r w:rsidRPr="009E7ED6">
        <w:rPr>
          <w:lang w:val="pl-PL"/>
        </w:rPr>
        <w:t xml:space="preserve">), </w:t>
      </w:r>
      <w:r>
        <w:rPr>
          <w:lang w:val="pl-PL"/>
        </w:rPr>
        <w:t xml:space="preserve">w niniejszej sprawie zeznania złożone przez Z.S. przed procesem nie stanowiły jedynego ani decydującego dowodu winy skarżącego, ponieważ sądy dysponowały materiałem dowodowym, który potwierdzał te zeznania. Rząd wskazuje, że skazanie skarżącego nastąpiło w szczególności na podstawie </w:t>
      </w:r>
      <w:r w:rsidR="002A2699">
        <w:rPr>
          <w:lang w:val="pl-PL"/>
        </w:rPr>
        <w:t xml:space="preserve">wyjaśnień </w:t>
      </w:r>
      <w:r>
        <w:rPr>
          <w:lang w:val="pl-PL"/>
        </w:rPr>
        <w:t>przyzna</w:t>
      </w:r>
      <w:r w:rsidR="002A2699">
        <w:rPr>
          <w:lang w:val="pl-PL"/>
        </w:rPr>
        <w:t>jącego się</w:t>
      </w:r>
      <w:r>
        <w:rPr>
          <w:lang w:val="pl-PL"/>
        </w:rPr>
        <w:t xml:space="preserve"> do winy współoskarżonego, zeznań naocznego świadka i innych dowodów, takich jak zeznania świadków ze słyszenia, wyniki oględzin miejsca przestępstwa i dowod</w:t>
      </w:r>
      <w:r w:rsidR="002A2699">
        <w:rPr>
          <w:lang w:val="pl-PL"/>
        </w:rPr>
        <w:t>ów</w:t>
      </w:r>
      <w:r>
        <w:rPr>
          <w:lang w:val="pl-PL"/>
        </w:rPr>
        <w:t xml:space="preserve"> pisemn</w:t>
      </w:r>
      <w:r w:rsidR="00F60FD2">
        <w:rPr>
          <w:lang w:val="pl-PL"/>
        </w:rPr>
        <w:t>ych, takich jak</w:t>
      </w:r>
      <w:r>
        <w:rPr>
          <w:lang w:val="pl-PL"/>
        </w:rPr>
        <w:t xml:space="preserve"> </w:t>
      </w:r>
      <w:proofErr w:type="spellStart"/>
      <w:r>
        <w:rPr>
          <w:lang w:val="pl-PL"/>
        </w:rPr>
        <w:t>jak</w:t>
      </w:r>
      <w:proofErr w:type="spellEnd"/>
      <w:r>
        <w:rPr>
          <w:lang w:val="pl-PL"/>
        </w:rPr>
        <w:t xml:space="preserve"> listy wysyłane przez Z.S. do jej nauczycielki, w których stopniowo wyznawała, że była ofiarą </w:t>
      </w:r>
      <w:r w:rsidR="00503C26">
        <w:rPr>
          <w:lang w:val="pl-PL"/>
        </w:rPr>
        <w:t>agresji</w:t>
      </w:r>
      <w:r>
        <w:rPr>
          <w:lang w:val="pl-PL"/>
        </w:rPr>
        <w:t xml:space="preserve"> seksualnej.</w:t>
      </w:r>
    </w:p>
    <w:p w:rsidR="00970E5A" w:rsidRDefault="00970E5A" w:rsidP="00C95D01">
      <w:pPr>
        <w:pStyle w:val="ECHRPara"/>
        <w:rPr>
          <w:lang w:val="pl-PL"/>
        </w:rPr>
      </w:pPr>
      <w:r>
        <w:rPr>
          <w:lang w:val="pl-PL"/>
        </w:rPr>
        <w:lastRenderedPageBreak/>
        <w:t xml:space="preserve">Rząd wskazuje ponadto, że oświadczenia, którymi współoskarżony skarżącego zmienił </w:t>
      </w:r>
      <w:r w:rsidR="00230229">
        <w:rPr>
          <w:lang w:val="pl-PL"/>
        </w:rPr>
        <w:t xml:space="preserve">swoje </w:t>
      </w:r>
      <w:r>
        <w:rPr>
          <w:lang w:val="pl-PL"/>
        </w:rPr>
        <w:t xml:space="preserve">początkowe </w:t>
      </w:r>
      <w:r w:rsidR="00230229">
        <w:rPr>
          <w:lang w:val="pl-PL"/>
        </w:rPr>
        <w:t>wyjaśnie</w:t>
      </w:r>
      <w:r>
        <w:rPr>
          <w:lang w:val="pl-PL"/>
        </w:rPr>
        <w:t xml:space="preserve">nia, zostały </w:t>
      </w:r>
      <w:r w:rsidR="00230229">
        <w:rPr>
          <w:lang w:val="pl-PL"/>
        </w:rPr>
        <w:t>odrzucone</w:t>
      </w:r>
      <w:r>
        <w:rPr>
          <w:lang w:val="pl-PL"/>
        </w:rPr>
        <w:t xml:space="preserve"> </w:t>
      </w:r>
      <w:r w:rsidR="00230229">
        <w:rPr>
          <w:lang w:val="pl-PL"/>
        </w:rPr>
        <w:t>jako</w:t>
      </w:r>
      <w:r>
        <w:rPr>
          <w:lang w:val="pl-PL"/>
        </w:rPr>
        <w:t xml:space="preserve"> niewiarygodne. Zdaniem Rządu uzasadnienia sądów krajowych pokazują, że twierdzenia współoskarżonego, według których złożył </w:t>
      </w:r>
      <w:r w:rsidR="003A42C6">
        <w:rPr>
          <w:lang w:val="pl-PL"/>
        </w:rPr>
        <w:t>wyjaśnie</w:t>
      </w:r>
      <w:r>
        <w:rPr>
          <w:lang w:val="pl-PL"/>
        </w:rPr>
        <w:t xml:space="preserve">nia pod przymusem, również zostały </w:t>
      </w:r>
      <w:r w:rsidR="004B0D9A">
        <w:rPr>
          <w:lang w:val="pl-PL"/>
        </w:rPr>
        <w:t>odrzucone</w:t>
      </w:r>
      <w:r>
        <w:rPr>
          <w:lang w:val="pl-PL"/>
        </w:rPr>
        <w:t xml:space="preserve"> </w:t>
      </w:r>
      <w:r w:rsidR="000F6F04">
        <w:rPr>
          <w:lang w:val="pl-PL"/>
        </w:rPr>
        <w:t>n</w:t>
      </w:r>
      <w:r w:rsidR="0056275B">
        <w:rPr>
          <w:lang w:val="pl-PL"/>
        </w:rPr>
        <w:t>a podstawie</w:t>
      </w:r>
      <w:r>
        <w:rPr>
          <w:lang w:val="pl-PL"/>
        </w:rPr>
        <w:t xml:space="preserve"> zaprzeczających im </w:t>
      </w:r>
      <w:r w:rsidR="000F6F04">
        <w:rPr>
          <w:lang w:val="pl-PL"/>
        </w:rPr>
        <w:t>dowodów</w:t>
      </w:r>
      <w:r>
        <w:rPr>
          <w:lang w:val="pl-PL"/>
        </w:rPr>
        <w:t xml:space="preserve">. To samo dotyczyło twierdzeń naocznego świadka, według których osoby prowadzące śledztwo miały zmusić go do złożenia zeznań obciążających oskarżonych. Twierdzenia te uznano za niewiarygodne między innymi na podstawie zeznań tych </w:t>
      </w:r>
      <w:r w:rsidR="004607A8">
        <w:rPr>
          <w:lang w:val="pl-PL"/>
        </w:rPr>
        <w:t>śledczych</w:t>
      </w:r>
      <w:r>
        <w:rPr>
          <w:lang w:val="pl-PL"/>
        </w:rPr>
        <w:t xml:space="preserve"> oraz psycholog, która była obecna przy przesłuchaniu świadka. Psycholog ta </w:t>
      </w:r>
      <w:r w:rsidR="00D919ED">
        <w:rPr>
          <w:lang w:val="pl-PL"/>
        </w:rPr>
        <w:t>oceni</w:t>
      </w:r>
      <w:r>
        <w:rPr>
          <w:lang w:val="pl-PL"/>
        </w:rPr>
        <w:t>ła, że tylko początkowe zeznania naocznego świadka były wiarygodne.</w:t>
      </w:r>
    </w:p>
    <w:p w:rsidR="00970E5A"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39</w:t>
      </w:r>
      <w:r w:rsidRPr="009E7ED6">
        <w:rPr>
          <w:lang w:val="pl-PL"/>
        </w:rPr>
        <w:fldChar w:fldCharType="end"/>
      </w:r>
      <w:r w:rsidRPr="009E7ED6">
        <w:rPr>
          <w:lang w:val="pl-PL"/>
        </w:rPr>
        <w:t>.  </w:t>
      </w:r>
      <w:r>
        <w:rPr>
          <w:lang w:val="pl-PL"/>
        </w:rPr>
        <w:t>Rząd dodaje, że odczytanie podczas rozprawy zeznań Z.S. w zastosowaniu art. 391 § k.p.k., w którym uregulowano dopuszczalność</w:t>
      </w:r>
      <w:r w:rsidR="006E1605">
        <w:rPr>
          <w:lang w:val="pl-PL"/>
        </w:rPr>
        <w:t xml:space="preserve"> dowodu w postaci</w:t>
      </w:r>
      <w:r>
        <w:rPr>
          <w:lang w:val="pl-PL"/>
        </w:rPr>
        <w:t xml:space="preserve"> zeznań nieobecnego świadka, stanowiło środek zdolny zaradzić trudnościom spowodowanym nieobecnością </w:t>
      </w:r>
      <w:r w:rsidR="00D40CBD">
        <w:rPr>
          <w:lang w:val="pl-PL"/>
        </w:rPr>
        <w:t>pokrzywdzonej</w:t>
      </w:r>
      <w:r>
        <w:rPr>
          <w:lang w:val="pl-PL"/>
        </w:rPr>
        <w:t>. Jest zdania, że fakt, iż sporne zeznania zostały złożone przed sędzią, nadaje im większą moc dowodową, ponieważ wspomniany sędzia mógł obserwować zachowanie ofiary i w ten sposób wyrobić sobie opinię o jej wiarygodności. Ponadto psycholog również stwierdziła, że zeznania Z.S. były wiarygodne. Rząd podkreśla poza tym, że wyżej wymienione zeznania zostały potwierdzone przez wyniki oględzin miejsca przestępstwa, do których doszło w obecności dziewczyny.</w:t>
      </w:r>
    </w:p>
    <w:p w:rsidR="00970E5A" w:rsidRPr="009E7ED6" w:rsidRDefault="00970E5A" w:rsidP="008D4413">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40</w:t>
      </w:r>
      <w:r w:rsidRPr="009E7ED6">
        <w:rPr>
          <w:lang w:val="pl-PL"/>
        </w:rPr>
        <w:fldChar w:fldCharType="end"/>
      </w:r>
      <w:r w:rsidRPr="009E7ED6">
        <w:rPr>
          <w:lang w:val="pl-PL"/>
        </w:rPr>
        <w:t>.  </w:t>
      </w:r>
      <w:r>
        <w:rPr>
          <w:lang w:val="pl-PL"/>
        </w:rPr>
        <w:t xml:space="preserve">Rząd twierdzi ponadto, że skarżący, </w:t>
      </w:r>
      <w:r w:rsidR="00DF059F">
        <w:rPr>
          <w:lang w:val="pl-PL"/>
        </w:rPr>
        <w:t>korzystający z pomocy obrońcy</w:t>
      </w:r>
      <w:r>
        <w:rPr>
          <w:lang w:val="pl-PL"/>
        </w:rPr>
        <w:t xml:space="preserve">, mógł zapoznać się z całością </w:t>
      </w:r>
      <w:r w:rsidR="004965CD">
        <w:rPr>
          <w:lang w:val="pl-PL"/>
        </w:rPr>
        <w:t xml:space="preserve">dowodów zawartych w </w:t>
      </w:r>
      <w:r>
        <w:rPr>
          <w:lang w:val="pl-PL"/>
        </w:rPr>
        <w:t>akt</w:t>
      </w:r>
      <w:r w:rsidR="004965CD">
        <w:rPr>
          <w:lang w:val="pl-PL"/>
        </w:rPr>
        <w:t>ach sprawy i kwestionować je</w:t>
      </w:r>
      <w:r>
        <w:rPr>
          <w:lang w:val="pl-PL"/>
        </w:rPr>
        <w:t xml:space="preserve"> podczas przewodu</w:t>
      </w:r>
      <w:r w:rsidR="004965CD">
        <w:rPr>
          <w:lang w:val="pl-PL"/>
        </w:rPr>
        <w:t xml:space="preserve"> sądowego</w:t>
      </w:r>
      <w:r>
        <w:rPr>
          <w:lang w:val="pl-PL"/>
        </w:rPr>
        <w:t xml:space="preserve">, który zdaniem Rządu odbył się z poszanowaniem zasad </w:t>
      </w:r>
      <w:r w:rsidR="004965CD">
        <w:rPr>
          <w:lang w:val="pl-PL"/>
        </w:rPr>
        <w:t>k</w:t>
      </w:r>
      <w:r>
        <w:rPr>
          <w:lang w:val="pl-PL"/>
        </w:rPr>
        <w:t>ontradyktoryjn</w:t>
      </w:r>
      <w:r w:rsidR="004965CD">
        <w:rPr>
          <w:lang w:val="pl-PL"/>
        </w:rPr>
        <w:t>ości</w:t>
      </w:r>
      <w:r>
        <w:rPr>
          <w:lang w:val="pl-PL"/>
        </w:rPr>
        <w:t xml:space="preserve">. Rząd uważa też, że skarżący mógł podczas rozprawy przedstawić argumenty na poparcie swojego stanowiska, doprowadzić do wezwania świadków obrony i przesłuchania świadków oskarżenia. </w:t>
      </w:r>
      <w:r w:rsidR="00C70604">
        <w:rPr>
          <w:lang w:val="pl-PL"/>
        </w:rPr>
        <w:t>P</w:t>
      </w:r>
      <w:r>
        <w:rPr>
          <w:lang w:val="pl-PL"/>
        </w:rPr>
        <w:t>odczas postępowania przed sądem rejonowym skarżący nie wniósł o możliwość przesłuchania Z.</w:t>
      </w:r>
      <w:r w:rsidR="00C70604">
        <w:rPr>
          <w:lang w:val="pl-PL"/>
        </w:rPr>
        <w:t xml:space="preserve"> </w:t>
      </w:r>
      <w:r>
        <w:rPr>
          <w:lang w:val="pl-PL"/>
        </w:rPr>
        <w:t xml:space="preserve">S.; skargę na jej nieobecność na rozprawie wniósł dopiero na etapie </w:t>
      </w:r>
      <w:r w:rsidR="00C70604">
        <w:rPr>
          <w:lang w:val="pl-PL"/>
        </w:rPr>
        <w:t>apelacji</w:t>
      </w:r>
      <w:r>
        <w:rPr>
          <w:lang w:val="pl-PL"/>
        </w:rPr>
        <w:t xml:space="preserve"> od wyroku skazującego w pierwszej instancji. Rząd wskazuj</w:t>
      </w:r>
      <w:r w:rsidR="001351E3">
        <w:rPr>
          <w:lang w:val="pl-PL"/>
        </w:rPr>
        <w:t>e ponadto, że podczas przewodu przed</w:t>
      </w:r>
      <w:r>
        <w:rPr>
          <w:lang w:val="pl-PL"/>
        </w:rPr>
        <w:t xml:space="preserve"> sąd</w:t>
      </w:r>
      <w:r w:rsidR="001351E3">
        <w:rPr>
          <w:lang w:val="pl-PL"/>
        </w:rPr>
        <w:t>em</w:t>
      </w:r>
      <w:r>
        <w:rPr>
          <w:lang w:val="pl-PL"/>
        </w:rPr>
        <w:t xml:space="preserve"> rejonowym skarżący mógł zakwestionować sporne zeznania i podważyć wiarygodność osoby, która je złożyła. Dodaje, że skoro skarżący miał wystarczającą możliwość </w:t>
      </w:r>
      <w:r w:rsidR="008E7F0E">
        <w:rPr>
          <w:lang w:val="pl-PL"/>
        </w:rPr>
        <w:t>kwestionowania</w:t>
      </w:r>
      <w:r>
        <w:rPr>
          <w:lang w:val="pl-PL"/>
        </w:rPr>
        <w:t xml:space="preserve"> tych zeznań podczas rozprawy, fak</w:t>
      </w:r>
      <w:r w:rsidR="008E6ED4">
        <w:rPr>
          <w:lang w:val="pl-PL"/>
        </w:rPr>
        <w:t>t, że jego obrońca nie został po</w:t>
      </w:r>
      <w:r>
        <w:rPr>
          <w:lang w:val="pl-PL"/>
        </w:rPr>
        <w:t>wiadomiony o przesłuchaniach, podczas których złożono te zeznania, nie prowadził do naruszenia prawa zainteresowanego do rzetelnego procesu</w:t>
      </w:r>
      <w:r w:rsidR="0048133E">
        <w:rPr>
          <w:lang w:val="pl-PL"/>
        </w:rPr>
        <w:t xml:space="preserve"> sądowego</w:t>
      </w:r>
      <w:r>
        <w:rPr>
          <w:lang w:val="pl-PL"/>
        </w:rPr>
        <w:t xml:space="preserve">. </w:t>
      </w:r>
    </w:p>
    <w:p w:rsidR="00970E5A" w:rsidRPr="009E7ED6" w:rsidRDefault="00970E5A" w:rsidP="00C95D01">
      <w:pPr>
        <w:pStyle w:val="ECHRHeading3"/>
        <w:rPr>
          <w:lang w:val="pl-PL"/>
        </w:rPr>
      </w:pPr>
      <w:r w:rsidRPr="009E7ED6">
        <w:rPr>
          <w:lang w:val="pl-PL"/>
        </w:rPr>
        <w:t>2.  </w:t>
      </w:r>
      <w:r>
        <w:rPr>
          <w:lang w:val="pl-PL"/>
        </w:rPr>
        <w:t>Ocena Trybunału</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41</w:t>
      </w:r>
      <w:r w:rsidRPr="009E7ED6">
        <w:rPr>
          <w:lang w:val="pl-PL"/>
        </w:rPr>
        <w:fldChar w:fldCharType="end"/>
      </w:r>
      <w:r w:rsidRPr="009E7ED6">
        <w:rPr>
          <w:lang w:val="pl-PL"/>
        </w:rPr>
        <w:t>.  </w:t>
      </w:r>
      <w:r>
        <w:rPr>
          <w:lang w:val="pl-PL"/>
        </w:rPr>
        <w:t xml:space="preserve">Trybunał podkreśla, że </w:t>
      </w:r>
      <w:r w:rsidR="005E27F0">
        <w:rPr>
          <w:lang w:val="pl-PL"/>
        </w:rPr>
        <w:t xml:space="preserve">zgodnie z </w:t>
      </w:r>
      <w:r>
        <w:rPr>
          <w:lang w:val="pl-PL"/>
        </w:rPr>
        <w:t xml:space="preserve">art. 19 Konwencji, jego zadaniem jest zapewnienie przestrzegania zobowiązań wynikających dla Wysokich Układających się Stron z Konwencji. W szczególności nie jest zadaniem Trybunału zajmowanie się błędami co do faktów lub co do prawa rzekomo </w:t>
      </w:r>
      <w:r>
        <w:rPr>
          <w:lang w:val="pl-PL"/>
        </w:rPr>
        <w:lastRenderedPageBreak/>
        <w:t>popełnionymi przez sąd krajowy, chyba że mogły one stanowić naruszenie praw i wolności chronionych w Konwencji. Choć Konwencja w art. 6 gwarantuje prawo do rzetelnego procesu</w:t>
      </w:r>
      <w:r w:rsidR="005D554C">
        <w:rPr>
          <w:lang w:val="pl-PL"/>
        </w:rPr>
        <w:t xml:space="preserve"> sądowego</w:t>
      </w:r>
      <w:r>
        <w:rPr>
          <w:lang w:val="pl-PL"/>
        </w:rPr>
        <w:t xml:space="preserve">, nie określa </w:t>
      </w:r>
      <w:r w:rsidR="005D554C">
        <w:rPr>
          <w:lang w:val="pl-PL"/>
        </w:rPr>
        <w:t xml:space="preserve">ona </w:t>
      </w:r>
      <w:r>
        <w:rPr>
          <w:lang w:val="pl-PL"/>
        </w:rPr>
        <w:t>zasad dopuszczalności dowodów jako taki</w:t>
      </w:r>
      <w:r w:rsidR="003220C8">
        <w:rPr>
          <w:lang w:val="pl-PL"/>
        </w:rPr>
        <w:t>ch</w:t>
      </w:r>
      <w:r>
        <w:rPr>
          <w:lang w:val="pl-PL"/>
        </w:rPr>
        <w:t xml:space="preserve">, które to zasady pozostają przede wszystkim kwestią krajowych regulacji prawnych </w:t>
      </w:r>
      <w:r w:rsidRPr="009E7ED6">
        <w:rPr>
          <w:lang w:val="pl-PL"/>
        </w:rPr>
        <w:t>(</w:t>
      </w:r>
      <w:proofErr w:type="spellStart"/>
      <w:r w:rsidRPr="009E7ED6">
        <w:rPr>
          <w:i/>
          <w:lang w:val="pl-PL"/>
        </w:rPr>
        <w:t>Teixeira</w:t>
      </w:r>
      <w:proofErr w:type="spellEnd"/>
      <w:r w:rsidRPr="009E7ED6">
        <w:rPr>
          <w:i/>
          <w:lang w:val="pl-PL"/>
        </w:rPr>
        <w:t xml:space="preserve"> de Castro </w:t>
      </w:r>
      <w:r>
        <w:rPr>
          <w:i/>
          <w:lang w:val="pl-PL"/>
        </w:rPr>
        <w:t>przeciwko Portugalii</w:t>
      </w:r>
      <w:r w:rsidRPr="009E7ED6">
        <w:rPr>
          <w:lang w:val="pl-PL"/>
        </w:rPr>
        <w:t xml:space="preserve">, 9 </w:t>
      </w:r>
      <w:r>
        <w:rPr>
          <w:lang w:val="pl-PL"/>
        </w:rPr>
        <w:t>czerwca</w:t>
      </w:r>
      <w:r w:rsidRPr="009E7ED6">
        <w:rPr>
          <w:lang w:val="pl-PL"/>
        </w:rPr>
        <w:t xml:space="preserve"> 1998</w:t>
      </w:r>
      <w:r>
        <w:rPr>
          <w:lang w:val="pl-PL"/>
        </w:rPr>
        <w:t xml:space="preserve"> r., punkt</w:t>
      </w:r>
      <w:r w:rsidRPr="009E7ED6">
        <w:rPr>
          <w:lang w:val="pl-PL"/>
        </w:rPr>
        <w:t xml:space="preserve"> 34, </w:t>
      </w:r>
      <w:r>
        <w:rPr>
          <w:i/>
          <w:lang w:val="pl-PL"/>
        </w:rPr>
        <w:t>Zbiór wyroków i decyzji</w:t>
      </w:r>
      <w:r w:rsidRPr="009E7ED6">
        <w:rPr>
          <w:lang w:val="pl-PL"/>
        </w:rPr>
        <w:t xml:space="preserve"> 1998</w:t>
      </w:r>
      <w:r w:rsidRPr="009E7ED6">
        <w:rPr>
          <w:lang w:val="pl-PL"/>
        </w:rPr>
        <w:noBreakHyphen/>
        <w:t xml:space="preserve">IV, </w:t>
      </w:r>
      <w:r w:rsidRPr="009E7ED6">
        <w:rPr>
          <w:i/>
          <w:lang w:val="pl-PL"/>
        </w:rPr>
        <w:t xml:space="preserve">Schenk </w:t>
      </w:r>
      <w:r>
        <w:rPr>
          <w:i/>
          <w:lang w:val="pl-PL"/>
        </w:rPr>
        <w:t>przeciwko Szwajcarii</w:t>
      </w:r>
      <w:r>
        <w:rPr>
          <w:lang w:val="pl-PL"/>
        </w:rPr>
        <w:t>,</w:t>
      </w:r>
      <w:r w:rsidRPr="009E7ED6">
        <w:rPr>
          <w:lang w:val="pl-PL"/>
        </w:rPr>
        <w:t xml:space="preserve"> 12 </w:t>
      </w:r>
      <w:r>
        <w:rPr>
          <w:lang w:val="pl-PL"/>
        </w:rPr>
        <w:t>lipca</w:t>
      </w:r>
      <w:r w:rsidRPr="009E7ED6">
        <w:rPr>
          <w:lang w:val="pl-PL"/>
        </w:rPr>
        <w:t xml:space="preserve"> 1988</w:t>
      </w:r>
      <w:r>
        <w:rPr>
          <w:lang w:val="pl-PL"/>
        </w:rPr>
        <w:t xml:space="preserve"> r.</w:t>
      </w:r>
      <w:r w:rsidRPr="009E7ED6">
        <w:rPr>
          <w:lang w:val="pl-PL"/>
        </w:rPr>
        <w:t xml:space="preserve">, </w:t>
      </w:r>
      <w:r w:rsidR="00BB5043">
        <w:rPr>
          <w:lang w:val="pl-PL"/>
        </w:rPr>
        <w:t>§§</w:t>
      </w:r>
      <w:r>
        <w:rPr>
          <w:lang w:val="pl-PL"/>
        </w:rPr>
        <w:t xml:space="preserve"> </w:t>
      </w:r>
      <w:r w:rsidRPr="009E7ED6">
        <w:rPr>
          <w:lang w:val="pl-PL"/>
        </w:rPr>
        <w:t>45</w:t>
      </w:r>
      <w:r w:rsidRPr="009E7ED6">
        <w:rPr>
          <w:lang w:val="pl-PL"/>
        </w:rPr>
        <w:noBreakHyphen/>
        <w:t xml:space="preserve">46, </w:t>
      </w:r>
      <w:r>
        <w:rPr>
          <w:lang w:val="pl-PL"/>
        </w:rPr>
        <w:t>seria</w:t>
      </w:r>
      <w:r w:rsidRPr="009E7ED6">
        <w:rPr>
          <w:lang w:val="pl-PL"/>
        </w:rPr>
        <w:t xml:space="preserve"> A n</w:t>
      </w:r>
      <w:r>
        <w:rPr>
          <w:lang w:val="pl-PL"/>
        </w:rPr>
        <w:t>r</w:t>
      </w:r>
      <w:r w:rsidRPr="009E7ED6">
        <w:rPr>
          <w:lang w:val="pl-PL"/>
        </w:rPr>
        <w:t xml:space="preserve"> 140, </w:t>
      </w:r>
      <w:proofErr w:type="spellStart"/>
      <w:r w:rsidRPr="009E7ED6">
        <w:rPr>
          <w:i/>
          <w:lang w:val="pl-PL"/>
        </w:rPr>
        <w:t>Byko</w:t>
      </w:r>
      <w:r>
        <w:rPr>
          <w:i/>
          <w:lang w:val="pl-PL"/>
        </w:rPr>
        <w:t>w</w:t>
      </w:r>
      <w:proofErr w:type="spellEnd"/>
      <w:r>
        <w:rPr>
          <w:i/>
          <w:lang w:val="pl-PL"/>
        </w:rPr>
        <w:t xml:space="preserve"> przeciwko Rosji</w:t>
      </w:r>
      <w:r w:rsidRPr="009E7ED6">
        <w:rPr>
          <w:lang w:val="pl-PL"/>
        </w:rPr>
        <w:t xml:space="preserve"> [</w:t>
      </w:r>
      <w:r>
        <w:rPr>
          <w:lang w:val="pl-PL"/>
        </w:rPr>
        <w:t>WI</w:t>
      </w:r>
      <w:r w:rsidRPr="009E7ED6">
        <w:rPr>
          <w:lang w:val="pl-PL"/>
        </w:rPr>
        <w:t>], n</w:t>
      </w:r>
      <w:r>
        <w:rPr>
          <w:lang w:val="pl-PL"/>
        </w:rPr>
        <w:t xml:space="preserve">r 4378/02, </w:t>
      </w:r>
      <w:r w:rsidR="00BB5043">
        <w:rPr>
          <w:lang w:val="pl-PL"/>
        </w:rPr>
        <w:t>§</w:t>
      </w:r>
      <w:r w:rsidRPr="009E7ED6">
        <w:rPr>
          <w:lang w:val="pl-PL"/>
        </w:rPr>
        <w:t> 88, 10 </w:t>
      </w:r>
      <w:r>
        <w:rPr>
          <w:lang w:val="pl-PL"/>
        </w:rPr>
        <w:t>marca</w:t>
      </w:r>
      <w:r w:rsidRPr="009E7ED6">
        <w:rPr>
          <w:lang w:val="pl-PL"/>
        </w:rPr>
        <w:t xml:space="preserve"> 2009</w:t>
      </w:r>
      <w:r>
        <w:rPr>
          <w:lang w:val="pl-PL"/>
        </w:rPr>
        <w:t xml:space="preserve"> r.</w:t>
      </w:r>
      <w:r w:rsidRPr="009E7ED6">
        <w:rPr>
          <w:lang w:val="pl-PL"/>
        </w:rPr>
        <w:t xml:space="preserve"> </w:t>
      </w:r>
      <w:r>
        <w:rPr>
          <w:lang w:val="pl-PL"/>
        </w:rPr>
        <w:t>oraz</w:t>
      </w:r>
      <w:r w:rsidRPr="009E7ED6">
        <w:rPr>
          <w:lang w:val="pl-PL"/>
        </w:rPr>
        <w:t xml:space="preserve"> </w:t>
      </w:r>
      <w:proofErr w:type="spellStart"/>
      <w:r w:rsidRPr="009E7ED6">
        <w:rPr>
          <w:i/>
          <w:lang w:val="pl-PL"/>
        </w:rPr>
        <w:t>Aigner</w:t>
      </w:r>
      <w:proofErr w:type="spellEnd"/>
      <w:r w:rsidRPr="009E7ED6">
        <w:rPr>
          <w:i/>
          <w:lang w:val="pl-PL"/>
        </w:rPr>
        <w:t xml:space="preserve"> </w:t>
      </w:r>
      <w:r>
        <w:rPr>
          <w:i/>
          <w:lang w:val="pl-PL"/>
        </w:rPr>
        <w:t>przeciwko Austrii</w:t>
      </w:r>
      <w:r w:rsidRPr="009E7ED6">
        <w:rPr>
          <w:lang w:val="pl-PL"/>
        </w:rPr>
        <w:t>, n</w:t>
      </w:r>
      <w:r>
        <w:rPr>
          <w:lang w:val="pl-PL"/>
        </w:rPr>
        <w:t xml:space="preserve">r 28328/03, </w:t>
      </w:r>
      <w:r w:rsidR="00BB5043">
        <w:rPr>
          <w:lang w:val="pl-PL"/>
        </w:rPr>
        <w:t>§</w:t>
      </w:r>
      <w:r w:rsidRPr="009E7ED6">
        <w:rPr>
          <w:lang w:val="pl-PL"/>
        </w:rPr>
        <w:t xml:space="preserve"> 33, 10 </w:t>
      </w:r>
      <w:r>
        <w:rPr>
          <w:lang w:val="pl-PL"/>
        </w:rPr>
        <w:t>maja</w:t>
      </w:r>
      <w:r w:rsidRPr="009E7ED6">
        <w:rPr>
          <w:lang w:val="pl-PL"/>
        </w:rPr>
        <w:t xml:space="preserve"> 2012</w:t>
      </w:r>
      <w:r>
        <w:rPr>
          <w:lang w:val="pl-PL"/>
        </w:rPr>
        <w:t> r.</w:t>
      </w:r>
      <w:r w:rsidRPr="009E7ED6">
        <w:rPr>
          <w:lang w:val="pl-PL"/>
        </w:rPr>
        <w:t>).</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42</w:t>
      </w:r>
      <w:r w:rsidRPr="009E7ED6">
        <w:rPr>
          <w:lang w:val="pl-PL"/>
        </w:rPr>
        <w:fldChar w:fldCharType="end"/>
      </w:r>
      <w:r w:rsidRPr="009E7ED6">
        <w:rPr>
          <w:lang w:val="pl-PL"/>
        </w:rPr>
        <w:t>.  </w:t>
      </w:r>
      <w:r>
        <w:rPr>
          <w:lang w:val="pl-PL"/>
        </w:rPr>
        <w:t xml:space="preserve">Przypominając, że wymogi zawarte w paragrafie 3 artykułu 6 stanowią szczególne aspekty prawa do rzetelnego procesu </w:t>
      </w:r>
      <w:r w:rsidR="00536D6F">
        <w:rPr>
          <w:lang w:val="pl-PL"/>
        </w:rPr>
        <w:t xml:space="preserve">sądowego </w:t>
      </w:r>
      <w:r>
        <w:rPr>
          <w:lang w:val="pl-PL"/>
        </w:rPr>
        <w:t xml:space="preserve">zagwarantowanego w paragrafie 1, Trybunał rozpatrzy skargę z uwzględnieniem obydwu tych przepisów łącznie (zob. </w:t>
      </w:r>
      <w:r w:rsidR="00536D6F">
        <w:rPr>
          <w:lang w:val="pl-PL"/>
        </w:rPr>
        <w:t>wśród wielu</w:t>
      </w:r>
      <w:r>
        <w:rPr>
          <w:lang w:val="pl-PL"/>
        </w:rPr>
        <w:t xml:space="preserve"> inny</w:t>
      </w:r>
      <w:r w:rsidR="00536D6F">
        <w:rPr>
          <w:lang w:val="pl-PL"/>
        </w:rPr>
        <w:t xml:space="preserve">ch </w:t>
      </w:r>
      <w:r>
        <w:rPr>
          <w:lang w:val="pl-PL"/>
        </w:rPr>
        <w:t xml:space="preserve"> </w:t>
      </w:r>
      <w:r w:rsidRPr="009E7ED6">
        <w:rPr>
          <w:i/>
          <w:iCs/>
          <w:lang w:val="pl-PL"/>
        </w:rPr>
        <w:t xml:space="preserve">Van Mechelen </w:t>
      </w:r>
      <w:r>
        <w:rPr>
          <w:i/>
          <w:iCs/>
          <w:lang w:val="pl-PL"/>
        </w:rPr>
        <w:t>i inni przeciwko Holandii</w:t>
      </w:r>
      <w:r w:rsidRPr="009E7ED6">
        <w:rPr>
          <w:lang w:val="pl-PL"/>
        </w:rPr>
        <w:t>, 23 </w:t>
      </w:r>
      <w:r>
        <w:rPr>
          <w:lang w:val="pl-PL"/>
        </w:rPr>
        <w:t>kwietnia</w:t>
      </w:r>
      <w:r w:rsidRPr="009E7ED6">
        <w:rPr>
          <w:lang w:val="pl-PL"/>
        </w:rPr>
        <w:t xml:space="preserve"> 1997</w:t>
      </w:r>
      <w:r>
        <w:rPr>
          <w:lang w:val="pl-PL"/>
        </w:rPr>
        <w:t xml:space="preserve"> r., </w:t>
      </w:r>
      <w:r w:rsidR="00536D6F">
        <w:rPr>
          <w:lang w:val="pl-PL"/>
        </w:rPr>
        <w:t>§</w:t>
      </w:r>
      <w:r w:rsidRPr="009E7ED6">
        <w:rPr>
          <w:lang w:val="pl-PL"/>
        </w:rPr>
        <w:t xml:space="preserve"> 49, </w:t>
      </w:r>
      <w:r>
        <w:rPr>
          <w:i/>
          <w:iCs/>
          <w:lang w:val="pl-PL"/>
        </w:rPr>
        <w:t>Zbiór</w:t>
      </w:r>
      <w:r w:rsidRPr="009E7ED6">
        <w:rPr>
          <w:i/>
          <w:iCs/>
          <w:lang w:val="pl-PL"/>
        </w:rPr>
        <w:t xml:space="preserve"> </w:t>
      </w:r>
      <w:r w:rsidRPr="009E7ED6">
        <w:rPr>
          <w:lang w:val="pl-PL"/>
        </w:rPr>
        <w:t xml:space="preserve">1997-III, </w:t>
      </w:r>
      <w:r w:rsidRPr="009E7ED6">
        <w:rPr>
          <w:i/>
          <w:lang w:val="pl-PL"/>
        </w:rPr>
        <w:t xml:space="preserve">Gonzalez </w:t>
      </w:r>
      <w:proofErr w:type="spellStart"/>
      <w:r w:rsidRPr="009E7ED6">
        <w:rPr>
          <w:i/>
          <w:lang w:val="pl-PL"/>
        </w:rPr>
        <w:t>Najera</w:t>
      </w:r>
      <w:proofErr w:type="spellEnd"/>
      <w:r w:rsidRPr="009E7ED6">
        <w:rPr>
          <w:i/>
          <w:lang w:val="pl-PL"/>
        </w:rPr>
        <w:t xml:space="preserve"> </w:t>
      </w:r>
      <w:r>
        <w:rPr>
          <w:i/>
          <w:lang w:val="pl-PL"/>
        </w:rPr>
        <w:t>przeciwko Hiszpanii</w:t>
      </w:r>
      <w:r w:rsidRPr="009E7ED6">
        <w:rPr>
          <w:lang w:val="pl-PL"/>
        </w:rPr>
        <w:t xml:space="preserve"> (</w:t>
      </w:r>
      <w:proofErr w:type="spellStart"/>
      <w:r w:rsidRPr="009E7ED6">
        <w:rPr>
          <w:lang w:val="pl-PL"/>
        </w:rPr>
        <w:t>d</w:t>
      </w:r>
      <w:r>
        <w:rPr>
          <w:lang w:val="pl-PL"/>
        </w:rPr>
        <w:t>e</w:t>
      </w:r>
      <w:r w:rsidRPr="009E7ED6">
        <w:rPr>
          <w:lang w:val="pl-PL"/>
        </w:rPr>
        <w:t>c</w:t>
      </w:r>
      <w:proofErr w:type="spellEnd"/>
      <w:r w:rsidRPr="009E7ED6">
        <w:rPr>
          <w:lang w:val="pl-PL"/>
        </w:rPr>
        <w:t>.), n</w:t>
      </w:r>
      <w:r>
        <w:rPr>
          <w:lang w:val="pl-PL"/>
        </w:rPr>
        <w:t xml:space="preserve">r 61047/13, </w:t>
      </w:r>
      <w:r w:rsidR="00887CCE">
        <w:rPr>
          <w:lang w:val="pl-PL"/>
        </w:rPr>
        <w:t>§</w:t>
      </w:r>
      <w:r w:rsidRPr="009E7ED6">
        <w:rPr>
          <w:lang w:val="pl-PL"/>
        </w:rPr>
        <w:t xml:space="preserve"> 41, 11 </w:t>
      </w:r>
      <w:r>
        <w:rPr>
          <w:lang w:val="pl-PL"/>
        </w:rPr>
        <w:t>lutego</w:t>
      </w:r>
      <w:r w:rsidRPr="009E7ED6">
        <w:rPr>
          <w:lang w:val="pl-PL"/>
        </w:rPr>
        <w:t> 2014</w:t>
      </w:r>
      <w:r>
        <w:rPr>
          <w:lang w:val="pl-PL"/>
        </w:rPr>
        <w:t xml:space="preserve"> r. oraz</w:t>
      </w:r>
      <w:r w:rsidRPr="009E7ED6">
        <w:rPr>
          <w:lang w:val="pl-PL"/>
        </w:rPr>
        <w:t xml:space="preserve"> </w:t>
      </w:r>
      <w:proofErr w:type="spellStart"/>
      <w:r w:rsidR="003F363B">
        <w:rPr>
          <w:i/>
          <w:lang w:val="pl-PL"/>
        </w:rPr>
        <w:t>V</w:t>
      </w:r>
      <w:r>
        <w:rPr>
          <w:i/>
          <w:lang w:val="pl-PL"/>
        </w:rPr>
        <w:t>ron</w:t>
      </w:r>
      <w:r w:rsidR="003F363B">
        <w:rPr>
          <w:i/>
          <w:lang w:val="pl-PL"/>
        </w:rPr>
        <w:t>ch</w:t>
      </w:r>
      <w:r>
        <w:rPr>
          <w:i/>
          <w:lang w:val="pl-PL"/>
        </w:rPr>
        <w:t>enko</w:t>
      </w:r>
      <w:proofErr w:type="spellEnd"/>
      <w:r>
        <w:rPr>
          <w:i/>
          <w:lang w:val="pl-PL"/>
        </w:rPr>
        <w:t xml:space="preserve"> przeciwko Estonii</w:t>
      </w:r>
      <w:r w:rsidRPr="009E7ED6">
        <w:rPr>
          <w:lang w:val="pl-PL"/>
        </w:rPr>
        <w:t>, n</w:t>
      </w:r>
      <w:r>
        <w:rPr>
          <w:lang w:val="pl-PL"/>
        </w:rPr>
        <w:t xml:space="preserve">r 59632/09, </w:t>
      </w:r>
      <w:r w:rsidR="00887CCE">
        <w:rPr>
          <w:lang w:val="pl-PL"/>
        </w:rPr>
        <w:t>§</w:t>
      </w:r>
      <w:r w:rsidRPr="009E7ED6">
        <w:rPr>
          <w:lang w:val="pl-PL"/>
        </w:rPr>
        <w:t xml:space="preserve"> 53, 18 </w:t>
      </w:r>
      <w:r>
        <w:rPr>
          <w:lang w:val="pl-PL"/>
        </w:rPr>
        <w:t>lipca</w:t>
      </w:r>
      <w:r w:rsidRPr="009E7ED6">
        <w:rPr>
          <w:lang w:val="pl-PL"/>
        </w:rPr>
        <w:t> 2013</w:t>
      </w:r>
      <w:r>
        <w:rPr>
          <w:lang w:val="pl-PL"/>
        </w:rPr>
        <w:t xml:space="preserve"> r.</w:t>
      </w:r>
      <w:r w:rsidRPr="009E7ED6">
        <w:rPr>
          <w:lang w:val="pl-PL"/>
        </w:rPr>
        <w:t>).</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43</w:t>
      </w:r>
      <w:r w:rsidRPr="009E7ED6">
        <w:rPr>
          <w:lang w:val="pl-PL"/>
        </w:rPr>
        <w:fldChar w:fldCharType="end"/>
      </w:r>
      <w:r w:rsidRPr="009E7ED6">
        <w:rPr>
          <w:lang w:val="pl-PL"/>
        </w:rPr>
        <w:t>.  </w:t>
      </w:r>
      <w:r>
        <w:rPr>
          <w:lang w:val="pl-PL"/>
        </w:rPr>
        <w:t>Chociaż Konwencja gwarantuje w art. 6 prawo do rzetelnego procesu</w:t>
      </w:r>
      <w:r w:rsidR="008D62AF">
        <w:rPr>
          <w:lang w:val="pl-PL"/>
        </w:rPr>
        <w:t xml:space="preserve"> sądowego</w:t>
      </w:r>
      <w:r>
        <w:rPr>
          <w:lang w:val="pl-PL"/>
        </w:rPr>
        <w:t xml:space="preserve">, nie określa jednak zasad dopuszczalności dowodów ani ich oceny, które pozostają przede wszystkim kwestią krajowych regulacji prawnych </w:t>
      </w:r>
      <w:r w:rsidRPr="009E7ED6">
        <w:rPr>
          <w:lang w:val="pl-PL"/>
        </w:rPr>
        <w:t>(</w:t>
      </w:r>
      <w:r w:rsidRPr="009E7ED6">
        <w:rPr>
          <w:i/>
          <w:lang w:val="pl-PL"/>
        </w:rPr>
        <w:t>Schenk</w:t>
      </w:r>
      <w:r w:rsidRPr="009E7ED6">
        <w:rPr>
          <w:lang w:val="pl-PL"/>
        </w:rPr>
        <w:t xml:space="preserve">, </w:t>
      </w:r>
      <w:r>
        <w:rPr>
          <w:lang w:val="pl-PL"/>
        </w:rPr>
        <w:t>cytowany powyżej</w:t>
      </w:r>
      <w:r w:rsidRPr="009E7ED6">
        <w:rPr>
          <w:lang w:val="pl-PL"/>
        </w:rPr>
        <w:t xml:space="preserve">, </w:t>
      </w:r>
      <w:r w:rsidR="00E04FE4">
        <w:rPr>
          <w:lang w:val="pl-PL"/>
        </w:rPr>
        <w:t>§§</w:t>
      </w:r>
      <w:r w:rsidRPr="009E7ED6">
        <w:rPr>
          <w:lang w:val="pl-PL"/>
        </w:rPr>
        <w:t xml:space="preserve"> 45-46). </w:t>
      </w:r>
      <w:r>
        <w:rPr>
          <w:lang w:val="pl-PL"/>
        </w:rPr>
        <w:t xml:space="preserve">Nie jest więc zadaniem Trybunału wypowiadanie się w kwestii dopuszczalności dowodów, na przykład uzyskanych w sposób </w:t>
      </w:r>
      <w:r w:rsidR="00E04FE4">
        <w:rPr>
          <w:lang w:val="pl-PL"/>
        </w:rPr>
        <w:t>nielegalny według</w:t>
      </w:r>
      <w:r>
        <w:rPr>
          <w:lang w:val="pl-PL"/>
        </w:rPr>
        <w:t xml:space="preserve"> praw</w:t>
      </w:r>
      <w:r w:rsidR="00E04FE4">
        <w:rPr>
          <w:lang w:val="pl-PL"/>
        </w:rPr>
        <w:t>a</w:t>
      </w:r>
      <w:r>
        <w:rPr>
          <w:lang w:val="pl-PL"/>
        </w:rPr>
        <w:t xml:space="preserve"> krajow</w:t>
      </w:r>
      <w:r w:rsidR="00E04FE4">
        <w:rPr>
          <w:lang w:val="pl-PL"/>
        </w:rPr>
        <w:t>ego</w:t>
      </w:r>
      <w:r>
        <w:rPr>
          <w:lang w:val="pl-PL"/>
        </w:rPr>
        <w:t xml:space="preserve">. Jego rola polega na zbadaniu, czy postępowanie </w:t>
      </w:r>
      <w:r w:rsidR="007B5445">
        <w:rPr>
          <w:lang w:val="pl-PL"/>
        </w:rPr>
        <w:t>jako całość</w:t>
      </w:r>
      <w:r>
        <w:rPr>
          <w:lang w:val="pl-PL"/>
        </w:rPr>
        <w:t>, w tym sposób przedstawienia dowodów, miało charakter rzetelny</w:t>
      </w:r>
      <w:r w:rsidRPr="009E7ED6">
        <w:rPr>
          <w:lang w:val="pl-PL"/>
        </w:rPr>
        <w:t xml:space="preserve"> (</w:t>
      </w:r>
      <w:proofErr w:type="spellStart"/>
      <w:r w:rsidRPr="009E7ED6">
        <w:rPr>
          <w:i/>
          <w:lang w:val="pl-PL"/>
        </w:rPr>
        <w:t>idem</w:t>
      </w:r>
      <w:proofErr w:type="spellEnd"/>
      <w:r>
        <w:rPr>
          <w:lang w:val="pl-PL"/>
        </w:rPr>
        <w:t>, punkt</w:t>
      </w:r>
      <w:r w:rsidRPr="009E7ED6">
        <w:rPr>
          <w:lang w:val="pl-PL"/>
        </w:rPr>
        <w:t xml:space="preserve"> 26).</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44</w:t>
      </w:r>
      <w:r w:rsidRPr="009E7ED6">
        <w:rPr>
          <w:lang w:val="pl-PL"/>
        </w:rPr>
        <w:fldChar w:fldCharType="end"/>
      </w:r>
      <w:r w:rsidRPr="009E7ED6">
        <w:rPr>
          <w:lang w:val="pl-PL"/>
        </w:rPr>
        <w:t>.  </w:t>
      </w:r>
      <w:r>
        <w:rPr>
          <w:lang w:val="pl-PL"/>
        </w:rPr>
        <w:t>Art.</w:t>
      </w:r>
      <w:r w:rsidRPr="009E7ED6">
        <w:rPr>
          <w:lang w:val="pl-PL"/>
        </w:rPr>
        <w:t xml:space="preserve"> 6 § 3 d) </w:t>
      </w:r>
      <w:r>
        <w:rPr>
          <w:lang w:val="pl-PL"/>
        </w:rPr>
        <w:t>ustanawia zasadę, zgodnie z którą przed uznaniem oskarżonego winnym należy przedstawić mu podczas jawnej rozprawy wszystkie obciążające go dowody</w:t>
      </w:r>
      <w:r w:rsidR="009D43CB">
        <w:rPr>
          <w:lang w:val="pl-PL"/>
        </w:rPr>
        <w:t>, mając na względzie zasady procesu kontradyktoryjnego</w:t>
      </w:r>
      <w:r>
        <w:rPr>
          <w:lang w:val="pl-PL"/>
        </w:rPr>
        <w:t>. Od zasady tej istnieją wyjątki, ale można przyjąć je wyłącznie z za</w:t>
      </w:r>
      <w:r w:rsidR="00F15765">
        <w:rPr>
          <w:lang w:val="pl-PL"/>
        </w:rPr>
        <w:t>pewnieniem</w:t>
      </w:r>
      <w:r>
        <w:rPr>
          <w:lang w:val="pl-PL"/>
        </w:rPr>
        <w:t xml:space="preserve"> praw obrony; zasadniczo nakazują one zapewnić oskarżonemu odpowiednią i wystarczającą możliwość kwestionowania obciążających go zeznań i przesłuchania </w:t>
      </w:r>
      <w:r w:rsidR="00F15765">
        <w:rPr>
          <w:lang w:val="pl-PL"/>
        </w:rPr>
        <w:t>co do</w:t>
      </w:r>
      <w:r>
        <w:rPr>
          <w:lang w:val="pl-PL"/>
        </w:rPr>
        <w:t xml:space="preserve"> tej</w:t>
      </w:r>
      <w:r w:rsidR="000D2559">
        <w:rPr>
          <w:lang w:val="pl-PL"/>
        </w:rPr>
        <w:t xml:space="preserve"> kwestii osób, które je złożyły</w:t>
      </w:r>
      <w:r>
        <w:rPr>
          <w:lang w:val="pl-PL"/>
        </w:rPr>
        <w:t xml:space="preserve"> albo w momencie składania tych zeznań, albo na etapie późniejszym </w:t>
      </w:r>
      <w:r w:rsidRPr="009E7ED6">
        <w:rPr>
          <w:lang w:val="pl-PL"/>
        </w:rPr>
        <w:t>(</w:t>
      </w:r>
      <w:proofErr w:type="spellStart"/>
      <w:r w:rsidRPr="009E7ED6">
        <w:rPr>
          <w:i/>
          <w:lang w:val="pl-PL"/>
        </w:rPr>
        <w:t>Lucà</w:t>
      </w:r>
      <w:proofErr w:type="spellEnd"/>
      <w:r w:rsidRPr="009E7ED6">
        <w:rPr>
          <w:i/>
          <w:lang w:val="pl-PL"/>
        </w:rPr>
        <w:t xml:space="preserve"> </w:t>
      </w:r>
      <w:r>
        <w:rPr>
          <w:i/>
          <w:lang w:val="pl-PL"/>
        </w:rPr>
        <w:t>przeciwko Włochom</w:t>
      </w:r>
      <w:r w:rsidRPr="009E7ED6">
        <w:rPr>
          <w:lang w:val="pl-PL"/>
        </w:rPr>
        <w:t>, n</w:t>
      </w:r>
      <w:r>
        <w:rPr>
          <w:lang w:val="pl-PL"/>
        </w:rPr>
        <w:t xml:space="preserve">r 33354/96, </w:t>
      </w:r>
      <w:r w:rsidR="00723143">
        <w:rPr>
          <w:lang w:val="pl-PL"/>
        </w:rPr>
        <w:t>§</w:t>
      </w:r>
      <w:r w:rsidRPr="009E7ED6">
        <w:rPr>
          <w:lang w:val="pl-PL"/>
        </w:rPr>
        <w:t xml:space="preserve"> 39, </w:t>
      </w:r>
      <w:r>
        <w:rPr>
          <w:lang w:val="pl-PL"/>
        </w:rPr>
        <w:t>ETPC 2001</w:t>
      </w:r>
      <w:r>
        <w:rPr>
          <w:lang w:val="pl-PL"/>
        </w:rPr>
        <w:noBreakHyphen/>
        <w:t xml:space="preserve">II oraz </w:t>
      </w:r>
      <w:proofErr w:type="spellStart"/>
      <w:r>
        <w:rPr>
          <w:i/>
          <w:lang w:val="pl-PL"/>
        </w:rPr>
        <w:t>Solakov</w:t>
      </w:r>
      <w:proofErr w:type="spellEnd"/>
      <w:r>
        <w:rPr>
          <w:i/>
          <w:lang w:val="pl-PL"/>
        </w:rPr>
        <w:t xml:space="preserve"> przeciwko Byłej </w:t>
      </w:r>
      <w:proofErr w:type="spellStart"/>
      <w:r>
        <w:rPr>
          <w:i/>
          <w:lang w:val="pl-PL"/>
        </w:rPr>
        <w:t>Jugosławiańskiej</w:t>
      </w:r>
      <w:proofErr w:type="spellEnd"/>
      <w:r>
        <w:rPr>
          <w:i/>
          <w:lang w:val="pl-PL"/>
        </w:rPr>
        <w:t xml:space="preserve"> Republice Macedonii</w:t>
      </w:r>
      <w:r w:rsidRPr="009E7ED6">
        <w:rPr>
          <w:i/>
          <w:lang w:val="pl-PL"/>
        </w:rPr>
        <w:t>»</w:t>
      </w:r>
      <w:r w:rsidRPr="009E7ED6">
        <w:rPr>
          <w:lang w:val="pl-PL"/>
        </w:rPr>
        <w:t>, n</w:t>
      </w:r>
      <w:r>
        <w:rPr>
          <w:lang w:val="pl-PL"/>
        </w:rPr>
        <w:t xml:space="preserve">r 47023/99, </w:t>
      </w:r>
      <w:r w:rsidR="00723143">
        <w:rPr>
          <w:lang w:val="pl-PL"/>
        </w:rPr>
        <w:t>§</w:t>
      </w:r>
      <w:r w:rsidRPr="009E7ED6">
        <w:rPr>
          <w:lang w:val="pl-PL"/>
        </w:rPr>
        <w:t xml:space="preserve"> 57, </w:t>
      </w:r>
      <w:r>
        <w:rPr>
          <w:lang w:val="pl-PL"/>
        </w:rPr>
        <w:t>ETPC</w:t>
      </w:r>
      <w:r w:rsidRPr="009E7ED6">
        <w:rPr>
          <w:lang w:val="pl-PL"/>
        </w:rPr>
        <w:t xml:space="preserve"> 2001</w:t>
      </w:r>
      <w:r w:rsidRPr="009E7ED6">
        <w:rPr>
          <w:lang w:val="pl-PL"/>
        </w:rPr>
        <w:noBreakHyphen/>
        <w:t>X).</w:t>
      </w:r>
      <w:bookmarkStart w:id="2" w:name="_DV_C468"/>
      <w:bookmarkEnd w:id="2"/>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45</w:t>
      </w:r>
      <w:r w:rsidRPr="009E7ED6">
        <w:rPr>
          <w:lang w:val="pl-PL"/>
        </w:rPr>
        <w:fldChar w:fldCharType="end"/>
      </w:r>
      <w:r w:rsidRPr="009E7ED6">
        <w:rPr>
          <w:lang w:val="pl-PL"/>
        </w:rPr>
        <w:t>.  </w:t>
      </w:r>
      <w:r>
        <w:rPr>
          <w:lang w:val="pl-PL"/>
        </w:rPr>
        <w:t xml:space="preserve">Wykorzystanie zeznań złożonych na etapie śledztwa i postępowania przygotowawczego nie jest samo w sobie niezgodne z paragrafami 3 d) i 1 artykułu 6, z zastrzeżeniem poszanowania praw obrony </w:t>
      </w:r>
      <w:r w:rsidRPr="009E7ED6">
        <w:rPr>
          <w:lang w:val="pl-PL"/>
        </w:rPr>
        <w:t>(</w:t>
      </w:r>
      <w:proofErr w:type="spellStart"/>
      <w:r w:rsidRPr="009E7ED6">
        <w:rPr>
          <w:i/>
          <w:lang w:val="pl-PL"/>
        </w:rPr>
        <w:t>Saïdi</w:t>
      </w:r>
      <w:proofErr w:type="spellEnd"/>
      <w:r w:rsidRPr="009E7ED6">
        <w:rPr>
          <w:i/>
          <w:lang w:val="pl-PL"/>
        </w:rPr>
        <w:t xml:space="preserve"> </w:t>
      </w:r>
      <w:r>
        <w:rPr>
          <w:i/>
          <w:lang w:val="pl-PL"/>
        </w:rPr>
        <w:t>przeciwko Francji</w:t>
      </w:r>
      <w:r w:rsidRPr="009E7ED6">
        <w:rPr>
          <w:lang w:val="pl-PL"/>
        </w:rPr>
        <w:t xml:space="preserve">, 20 </w:t>
      </w:r>
      <w:r>
        <w:rPr>
          <w:lang w:val="pl-PL"/>
        </w:rPr>
        <w:t>września</w:t>
      </w:r>
      <w:r w:rsidRPr="009E7ED6">
        <w:rPr>
          <w:lang w:val="pl-PL"/>
        </w:rPr>
        <w:t xml:space="preserve"> 1993</w:t>
      </w:r>
      <w:r>
        <w:rPr>
          <w:lang w:val="pl-PL"/>
        </w:rPr>
        <w:t xml:space="preserve"> r., </w:t>
      </w:r>
      <w:r w:rsidR="00A34057">
        <w:rPr>
          <w:lang w:val="pl-PL"/>
        </w:rPr>
        <w:t>§</w:t>
      </w:r>
      <w:r>
        <w:rPr>
          <w:lang w:val="pl-PL"/>
        </w:rPr>
        <w:t xml:space="preserve"> 43, seria</w:t>
      </w:r>
      <w:r w:rsidRPr="009E7ED6">
        <w:rPr>
          <w:lang w:val="pl-PL"/>
        </w:rPr>
        <w:t xml:space="preserve"> A n</w:t>
      </w:r>
      <w:r>
        <w:rPr>
          <w:lang w:val="pl-PL"/>
        </w:rPr>
        <w:t xml:space="preserve">r 261-C oraz </w:t>
      </w:r>
      <w:r w:rsidRPr="009E7ED6">
        <w:rPr>
          <w:i/>
          <w:lang w:val="pl-PL"/>
        </w:rPr>
        <w:t xml:space="preserve">A.M. </w:t>
      </w:r>
      <w:r>
        <w:rPr>
          <w:i/>
          <w:lang w:val="pl-PL"/>
        </w:rPr>
        <w:t>przeciwko Włochom</w:t>
      </w:r>
      <w:r w:rsidRPr="009E7ED6">
        <w:rPr>
          <w:lang w:val="pl-PL"/>
        </w:rPr>
        <w:t>,</w:t>
      </w:r>
      <w:r>
        <w:rPr>
          <w:lang w:val="pl-PL"/>
        </w:rPr>
        <w:t xml:space="preserve"> </w:t>
      </w:r>
      <w:r w:rsidR="00A34057">
        <w:rPr>
          <w:lang w:val="pl-PL"/>
        </w:rPr>
        <w:t>§</w:t>
      </w:r>
      <w:r w:rsidRPr="009E7ED6">
        <w:rPr>
          <w:lang w:val="pl-PL"/>
        </w:rPr>
        <w:t xml:space="preserve"> 25). </w:t>
      </w:r>
      <w:r>
        <w:rPr>
          <w:lang w:val="pl-PL"/>
        </w:rPr>
        <w:t xml:space="preserve">Jeżeli jednak takie zeznanie stanowi jedyny lub decydujący dowód, jego dopuszczenie w charakterze dowodu nie prowadzi automatycznie do naruszenia art. </w:t>
      </w:r>
      <w:r w:rsidRPr="009E7ED6">
        <w:rPr>
          <w:lang w:val="pl-PL"/>
        </w:rPr>
        <w:t xml:space="preserve">6 § 1 </w:t>
      </w:r>
      <w:r>
        <w:rPr>
          <w:lang w:val="pl-PL"/>
        </w:rPr>
        <w:t>Konwencji: postępowanie można uznać w całości</w:t>
      </w:r>
      <w:r w:rsidRPr="00EC24B0">
        <w:rPr>
          <w:lang w:val="pl-PL"/>
        </w:rPr>
        <w:t xml:space="preserve"> </w:t>
      </w:r>
      <w:r>
        <w:rPr>
          <w:lang w:val="pl-PL"/>
        </w:rPr>
        <w:t xml:space="preserve">za rzetelne, jeżeli zachodzą okoliczności, które </w:t>
      </w:r>
      <w:r>
        <w:rPr>
          <w:lang w:val="pl-PL"/>
        </w:rPr>
        <w:lastRenderedPageBreak/>
        <w:t xml:space="preserve">rekompensują niedogodności związane z dopuszczeniem takiego dowodu w wystarczającym stopniu, by pozwolić na jego prawidłową i rzetelną ocenę </w:t>
      </w:r>
      <w:r w:rsidRPr="009E7ED6">
        <w:rPr>
          <w:lang w:val="pl-PL"/>
        </w:rPr>
        <w:t>(</w:t>
      </w:r>
      <w:r w:rsidRPr="009E7ED6">
        <w:rPr>
          <w:i/>
          <w:lang w:val="pl-PL"/>
        </w:rPr>
        <w:t>Al-</w:t>
      </w:r>
      <w:proofErr w:type="spellStart"/>
      <w:r w:rsidRPr="009E7ED6">
        <w:rPr>
          <w:i/>
          <w:lang w:val="pl-PL"/>
        </w:rPr>
        <w:t>Khawaja</w:t>
      </w:r>
      <w:proofErr w:type="spellEnd"/>
      <w:r w:rsidRPr="009E7ED6">
        <w:rPr>
          <w:i/>
          <w:lang w:val="pl-PL"/>
        </w:rPr>
        <w:t xml:space="preserve"> </w:t>
      </w:r>
      <w:r>
        <w:rPr>
          <w:i/>
          <w:lang w:val="pl-PL"/>
        </w:rPr>
        <w:t>i</w:t>
      </w:r>
      <w:r w:rsidRPr="009E7ED6">
        <w:rPr>
          <w:i/>
          <w:lang w:val="pl-PL"/>
        </w:rPr>
        <w:t xml:space="preserve"> </w:t>
      </w:r>
      <w:proofErr w:type="spellStart"/>
      <w:r w:rsidRPr="009E7ED6">
        <w:rPr>
          <w:i/>
          <w:lang w:val="pl-PL"/>
        </w:rPr>
        <w:t>Tahery</w:t>
      </w:r>
      <w:proofErr w:type="spellEnd"/>
      <w:r w:rsidRPr="009E7ED6">
        <w:rPr>
          <w:i/>
          <w:lang w:val="pl-PL"/>
        </w:rPr>
        <w:t xml:space="preserve"> </w:t>
      </w:r>
      <w:r>
        <w:rPr>
          <w:i/>
          <w:lang w:val="pl-PL"/>
        </w:rPr>
        <w:t>przeciwko Wielkiej Brytanii</w:t>
      </w:r>
      <w:r w:rsidRPr="009E7ED6">
        <w:rPr>
          <w:lang w:val="pl-PL"/>
        </w:rPr>
        <w:t xml:space="preserve"> ([</w:t>
      </w:r>
      <w:r>
        <w:rPr>
          <w:lang w:val="pl-PL"/>
        </w:rPr>
        <w:t>WI</w:t>
      </w:r>
      <w:r w:rsidRPr="009E7ED6">
        <w:rPr>
          <w:lang w:val="pl-PL"/>
        </w:rPr>
        <w:t>], n</w:t>
      </w:r>
      <w:r>
        <w:rPr>
          <w:lang w:val="pl-PL"/>
        </w:rPr>
        <w:t>r</w:t>
      </w:r>
      <w:r w:rsidRPr="009E7ED6">
        <w:rPr>
          <w:lang w:val="pl-PL"/>
        </w:rPr>
        <w:t xml:space="preserve"> 26766/05 </w:t>
      </w:r>
      <w:r w:rsidR="00E86DEB">
        <w:rPr>
          <w:lang w:val="pl-PL"/>
        </w:rPr>
        <w:t>i 22228/06, §§</w:t>
      </w:r>
      <w:r w:rsidRPr="009E7ED6">
        <w:rPr>
          <w:lang w:val="pl-PL"/>
        </w:rPr>
        <w:t> 146</w:t>
      </w:r>
      <w:r w:rsidRPr="009E7ED6">
        <w:rPr>
          <w:lang w:val="pl-PL"/>
        </w:rPr>
        <w:noBreakHyphen/>
        <w:t xml:space="preserve">147, </w:t>
      </w:r>
      <w:r>
        <w:rPr>
          <w:lang w:val="pl-PL"/>
        </w:rPr>
        <w:t>ETPC</w:t>
      </w:r>
      <w:r w:rsidRPr="009E7ED6">
        <w:rPr>
          <w:lang w:val="pl-PL"/>
        </w:rPr>
        <w:t xml:space="preserve"> 2011).</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46</w:t>
      </w:r>
      <w:r w:rsidRPr="009E7ED6">
        <w:rPr>
          <w:lang w:val="pl-PL"/>
        </w:rPr>
        <w:fldChar w:fldCharType="end"/>
      </w:r>
      <w:r w:rsidRPr="009E7ED6">
        <w:rPr>
          <w:lang w:val="pl-PL"/>
        </w:rPr>
        <w:t>.  </w:t>
      </w:r>
      <w:r>
        <w:rPr>
          <w:lang w:val="pl-PL"/>
        </w:rPr>
        <w:t>Art. 6 nie przyznaje oskarżonemu bezwzględnego prawa do uzyskania stawiennictwa świadków przed sądem. Z zasady to sędzia krajowy musi zdecydować o konieczności lub stosowności wezwania świadka (zob. między innymi</w:t>
      </w:r>
      <w:r w:rsidRPr="009E7ED6">
        <w:rPr>
          <w:lang w:val="pl-PL"/>
        </w:rPr>
        <w:t xml:space="preserve"> </w:t>
      </w:r>
      <w:proofErr w:type="spellStart"/>
      <w:r w:rsidRPr="009E7ED6">
        <w:rPr>
          <w:i/>
          <w:lang w:val="pl-PL"/>
        </w:rPr>
        <w:t>Bricmont</w:t>
      </w:r>
      <w:proofErr w:type="spellEnd"/>
      <w:r w:rsidRPr="009E7ED6">
        <w:rPr>
          <w:i/>
          <w:lang w:val="pl-PL"/>
        </w:rPr>
        <w:t xml:space="preserve"> </w:t>
      </w:r>
      <w:r>
        <w:rPr>
          <w:i/>
          <w:lang w:val="pl-PL"/>
        </w:rPr>
        <w:t>przeciwko Belgii</w:t>
      </w:r>
      <w:r w:rsidRPr="009E7ED6">
        <w:rPr>
          <w:lang w:val="pl-PL"/>
        </w:rPr>
        <w:t xml:space="preserve">, 7 </w:t>
      </w:r>
      <w:r>
        <w:rPr>
          <w:lang w:val="pl-PL"/>
        </w:rPr>
        <w:t>lipca</w:t>
      </w:r>
      <w:r w:rsidRPr="009E7ED6">
        <w:rPr>
          <w:lang w:val="pl-PL"/>
        </w:rPr>
        <w:t xml:space="preserve"> 1989</w:t>
      </w:r>
      <w:r>
        <w:rPr>
          <w:lang w:val="pl-PL"/>
        </w:rPr>
        <w:t xml:space="preserve"> r., </w:t>
      </w:r>
      <w:r w:rsidR="00A57450">
        <w:rPr>
          <w:lang w:val="pl-PL"/>
        </w:rPr>
        <w:t>§</w:t>
      </w:r>
      <w:r w:rsidRPr="009E7ED6">
        <w:rPr>
          <w:lang w:val="pl-PL"/>
        </w:rPr>
        <w:t xml:space="preserve"> </w:t>
      </w:r>
      <w:r>
        <w:rPr>
          <w:lang w:val="pl-PL"/>
        </w:rPr>
        <w:t>89, seria</w:t>
      </w:r>
      <w:r w:rsidRPr="009E7ED6">
        <w:rPr>
          <w:lang w:val="pl-PL"/>
        </w:rPr>
        <w:t xml:space="preserve"> A n</w:t>
      </w:r>
      <w:r>
        <w:rPr>
          <w:lang w:val="pl-PL"/>
        </w:rPr>
        <w:t>r</w:t>
      </w:r>
      <w:r w:rsidRPr="009E7ED6">
        <w:rPr>
          <w:lang w:val="pl-PL"/>
        </w:rPr>
        <w:t xml:space="preserve"> 158, </w:t>
      </w:r>
      <w:r w:rsidRPr="009E7ED6">
        <w:rPr>
          <w:i/>
          <w:lang w:val="pl-PL"/>
        </w:rPr>
        <w:t>S.N.</w:t>
      </w:r>
      <w:r>
        <w:rPr>
          <w:i/>
          <w:lang w:val="pl-PL"/>
        </w:rPr>
        <w:t xml:space="preserve">, </w:t>
      </w:r>
      <w:r w:rsidRPr="00EC24B0">
        <w:rPr>
          <w:lang w:val="pl-PL"/>
        </w:rPr>
        <w:t>cytowany</w:t>
      </w:r>
      <w:r>
        <w:rPr>
          <w:lang w:val="pl-PL"/>
        </w:rPr>
        <w:t xml:space="preserve"> powyżej</w:t>
      </w:r>
      <w:r w:rsidRPr="009E7ED6">
        <w:rPr>
          <w:i/>
          <w:lang w:val="pl-PL"/>
        </w:rPr>
        <w:t xml:space="preserve">, </w:t>
      </w:r>
      <w:r w:rsidR="00A57450">
        <w:rPr>
          <w:lang w:val="pl-PL"/>
        </w:rPr>
        <w:t>§</w:t>
      </w:r>
      <w:r w:rsidRPr="009E7ED6">
        <w:rPr>
          <w:lang w:val="pl-PL"/>
        </w:rPr>
        <w:t xml:space="preserve"> 44, </w:t>
      </w:r>
      <w:r>
        <w:rPr>
          <w:lang w:val="pl-PL"/>
        </w:rPr>
        <w:t>ETPC</w:t>
      </w:r>
      <w:r w:rsidRPr="009E7ED6">
        <w:rPr>
          <w:lang w:val="pl-PL"/>
        </w:rPr>
        <w:t xml:space="preserve"> 2002-V, </w:t>
      </w:r>
      <w:proofErr w:type="spellStart"/>
      <w:r w:rsidRPr="009E7ED6">
        <w:rPr>
          <w:i/>
          <w:lang w:val="pl-PL"/>
        </w:rPr>
        <w:t>Scheper</w:t>
      </w:r>
      <w:proofErr w:type="spellEnd"/>
      <w:r w:rsidRPr="009E7ED6">
        <w:rPr>
          <w:i/>
          <w:lang w:val="pl-PL"/>
        </w:rPr>
        <w:t xml:space="preserve"> </w:t>
      </w:r>
      <w:r>
        <w:rPr>
          <w:i/>
          <w:lang w:val="pl-PL"/>
        </w:rPr>
        <w:t>przeciwko Holandii</w:t>
      </w:r>
      <w:r>
        <w:rPr>
          <w:lang w:val="pl-PL"/>
        </w:rPr>
        <w:t xml:space="preserve"> (</w:t>
      </w:r>
      <w:proofErr w:type="spellStart"/>
      <w:r>
        <w:rPr>
          <w:lang w:val="pl-PL"/>
        </w:rPr>
        <w:t>de</w:t>
      </w:r>
      <w:r w:rsidRPr="009E7ED6">
        <w:rPr>
          <w:lang w:val="pl-PL"/>
        </w:rPr>
        <w:t>c</w:t>
      </w:r>
      <w:proofErr w:type="spellEnd"/>
      <w:r w:rsidRPr="009E7ED6">
        <w:rPr>
          <w:lang w:val="pl-PL"/>
        </w:rPr>
        <w:t>.), n</w:t>
      </w:r>
      <w:r>
        <w:rPr>
          <w:lang w:val="pl-PL"/>
        </w:rPr>
        <w:t>r</w:t>
      </w:r>
      <w:r w:rsidRPr="009E7ED6">
        <w:rPr>
          <w:lang w:val="pl-PL"/>
        </w:rPr>
        <w:t xml:space="preserve"> 39209/02, 5 </w:t>
      </w:r>
      <w:r>
        <w:rPr>
          <w:lang w:val="pl-PL"/>
        </w:rPr>
        <w:t>kwietnia</w:t>
      </w:r>
      <w:r w:rsidRPr="009E7ED6">
        <w:rPr>
          <w:lang w:val="pl-PL"/>
        </w:rPr>
        <w:t xml:space="preserve"> 2005</w:t>
      </w:r>
      <w:r>
        <w:rPr>
          <w:lang w:val="pl-PL"/>
        </w:rPr>
        <w:t xml:space="preserve"> r. oraz</w:t>
      </w:r>
      <w:r w:rsidRPr="009E7ED6">
        <w:rPr>
          <w:i/>
          <w:lang w:val="pl-PL"/>
        </w:rPr>
        <w:t xml:space="preserve"> </w:t>
      </w:r>
      <w:proofErr w:type="spellStart"/>
      <w:r w:rsidRPr="009E7ED6">
        <w:rPr>
          <w:i/>
          <w:lang w:val="pl-PL"/>
        </w:rPr>
        <w:t>Aigner</w:t>
      </w:r>
      <w:proofErr w:type="spellEnd"/>
      <w:r w:rsidRPr="009E7ED6">
        <w:rPr>
          <w:lang w:val="pl-PL"/>
        </w:rPr>
        <w:t xml:space="preserve">, </w:t>
      </w:r>
      <w:r>
        <w:rPr>
          <w:lang w:val="pl-PL"/>
        </w:rPr>
        <w:t>cytowany powyżej</w:t>
      </w:r>
      <w:r w:rsidRPr="009E7ED6">
        <w:rPr>
          <w:lang w:val="pl-PL"/>
        </w:rPr>
        <w:t xml:space="preserve">, </w:t>
      </w:r>
      <w:r w:rsidR="00A57450">
        <w:rPr>
          <w:lang w:val="pl-PL"/>
        </w:rPr>
        <w:t xml:space="preserve">§ </w:t>
      </w:r>
      <w:r w:rsidRPr="009E7ED6">
        <w:rPr>
          <w:lang w:val="pl-PL"/>
        </w:rPr>
        <w:t>35).</w:t>
      </w:r>
    </w:p>
    <w:p w:rsidR="00970E5A"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47</w:t>
      </w:r>
      <w:r w:rsidRPr="009E7ED6">
        <w:rPr>
          <w:lang w:val="pl-PL"/>
        </w:rPr>
        <w:fldChar w:fldCharType="end"/>
      </w:r>
      <w:r w:rsidRPr="009E7ED6">
        <w:rPr>
          <w:lang w:val="pl-PL"/>
        </w:rPr>
        <w:t>.  </w:t>
      </w:r>
      <w:r>
        <w:rPr>
          <w:lang w:val="pl-PL"/>
        </w:rPr>
        <w:t>Trybunał zauważa, że istotne dla niniejszej sprawy przepisy prawa międzynarodowego i prawa Unii Europejskiej (p</w:t>
      </w:r>
      <w:r w:rsidR="00CB0E46">
        <w:rPr>
          <w:lang w:val="pl-PL"/>
        </w:rPr>
        <w:t>unkty</w:t>
      </w:r>
      <w:r>
        <w:rPr>
          <w:lang w:val="pl-PL"/>
        </w:rPr>
        <w:t xml:space="preserve"> 29-32 powyżej) obejmują zalecenia w zakresie postępowania karnego, w szczególności w celu uwzględnienia szczególnej wrażliwości nieletnich </w:t>
      </w:r>
      <w:r w:rsidR="00165528">
        <w:rPr>
          <w:lang w:val="pl-PL"/>
        </w:rPr>
        <w:t>pokrzywdzonych</w:t>
      </w:r>
      <w:r>
        <w:rPr>
          <w:lang w:val="pl-PL"/>
        </w:rPr>
        <w:t xml:space="preserve"> w trakcie postępowania oraz uniknięcia sytuacji, w której dziecko dozna z powodu śledztwa kolejnej szkody.</w:t>
      </w:r>
    </w:p>
    <w:p w:rsidR="00970E5A" w:rsidRPr="009E7ED6" w:rsidRDefault="00970E5A" w:rsidP="002C0BAA">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48</w:t>
      </w:r>
      <w:r w:rsidRPr="009E7ED6">
        <w:rPr>
          <w:lang w:val="pl-PL"/>
        </w:rPr>
        <w:fldChar w:fldCharType="end"/>
      </w:r>
      <w:r w:rsidRPr="009E7ED6">
        <w:rPr>
          <w:lang w:val="pl-PL"/>
        </w:rPr>
        <w:t>.  </w:t>
      </w:r>
      <w:r>
        <w:rPr>
          <w:lang w:val="pl-PL"/>
        </w:rPr>
        <w:t xml:space="preserve">Trybunał uwzględnia specyfikę postępowań karnych mających za przedmiot przestępstwa o charakterze seksualnym. Ten rodzaj postępowania jest często dla ofiary trudnym przeżyciem, w szczególności kiedy zostaje wbrew swojej woli skonfrontowana z oskarżonym. Kwestie te rysują się jeszcze bardziej wyraziście w sprawach z udziałem osoby </w:t>
      </w:r>
      <w:r w:rsidR="00BA5160">
        <w:rPr>
          <w:lang w:val="pl-PL"/>
        </w:rPr>
        <w:t>małole</w:t>
      </w:r>
      <w:r>
        <w:rPr>
          <w:lang w:val="pl-PL"/>
        </w:rPr>
        <w:t>tniej. Aby ocenić, czy oskarżonemu w takim postępowaniu zapewniono rzetelny proces, należy uwzględnić prawo domniemanej ofiary do poszanowania jej prywatności. W związku z tym Trybunał przyznaje, że w postępowaniach karnych dotyczących napaści seksualnych należy podejmować pewne środki w celu ochrony ofiary, pod warunkiem, że środki te można pogodzić z odpowiednią i skuteczną realizacją praw obrony</w:t>
      </w:r>
      <w:r w:rsidRPr="009E7ED6">
        <w:rPr>
          <w:lang w:val="pl-PL"/>
        </w:rPr>
        <w:t xml:space="preserve"> (</w:t>
      </w:r>
      <w:proofErr w:type="spellStart"/>
      <w:r w:rsidRPr="009E7ED6">
        <w:rPr>
          <w:i/>
          <w:lang w:val="pl-PL"/>
        </w:rPr>
        <w:t>Aigner</w:t>
      </w:r>
      <w:proofErr w:type="spellEnd"/>
      <w:r>
        <w:rPr>
          <w:lang w:val="pl-PL"/>
        </w:rPr>
        <w:t xml:space="preserve">, cytowany powyżej, </w:t>
      </w:r>
      <w:r w:rsidR="00980E44">
        <w:rPr>
          <w:lang w:val="pl-PL"/>
        </w:rPr>
        <w:t>§</w:t>
      </w:r>
      <w:r w:rsidRPr="009E7ED6">
        <w:rPr>
          <w:lang w:val="pl-PL"/>
        </w:rPr>
        <w:t xml:space="preserve"> 37, </w:t>
      </w:r>
      <w:r w:rsidRPr="009E7ED6">
        <w:rPr>
          <w:i/>
          <w:lang w:val="pl-PL"/>
        </w:rPr>
        <w:t xml:space="preserve">Rosin </w:t>
      </w:r>
      <w:r>
        <w:rPr>
          <w:i/>
          <w:lang w:val="pl-PL"/>
        </w:rPr>
        <w:t>przeciwko Estonii</w:t>
      </w:r>
      <w:r w:rsidRPr="009E7ED6">
        <w:rPr>
          <w:lang w:val="pl-PL"/>
        </w:rPr>
        <w:t>, n</w:t>
      </w:r>
      <w:r>
        <w:rPr>
          <w:lang w:val="pl-PL"/>
        </w:rPr>
        <w:t xml:space="preserve">r 26540/08, </w:t>
      </w:r>
      <w:r w:rsidR="00980E44">
        <w:rPr>
          <w:lang w:val="pl-PL"/>
        </w:rPr>
        <w:t xml:space="preserve">§  </w:t>
      </w:r>
      <w:r w:rsidRPr="009E7ED6">
        <w:rPr>
          <w:lang w:val="pl-PL"/>
        </w:rPr>
        <w:t xml:space="preserve">53, 19 </w:t>
      </w:r>
      <w:r>
        <w:rPr>
          <w:lang w:val="pl-PL"/>
        </w:rPr>
        <w:t>grudnia</w:t>
      </w:r>
      <w:r w:rsidRPr="009E7ED6">
        <w:rPr>
          <w:lang w:val="pl-PL"/>
        </w:rPr>
        <w:t xml:space="preserve"> 2013</w:t>
      </w:r>
      <w:r>
        <w:rPr>
          <w:lang w:val="pl-PL"/>
        </w:rPr>
        <w:t xml:space="preserve"> r. oraz</w:t>
      </w:r>
      <w:r w:rsidRPr="009E7ED6">
        <w:rPr>
          <w:lang w:val="pl-PL"/>
        </w:rPr>
        <w:t xml:space="preserve"> </w:t>
      </w:r>
      <w:proofErr w:type="spellStart"/>
      <w:r w:rsidRPr="009E7ED6">
        <w:rPr>
          <w:i/>
          <w:lang w:val="pl-PL"/>
        </w:rPr>
        <w:t>Lučić</w:t>
      </w:r>
      <w:proofErr w:type="spellEnd"/>
      <w:r w:rsidRPr="009E7ED6">
        <w:rPr>
          <w:i/>
          <w:lang w:val="pl-PL"/>
        </w:rPr>
        <w:t xml:space="preserve"> </w:t>
      </w:r>
      <w:r>
        <w:rPr>
          <w:i/>
          <w:lang w:val="pl-PL"/>
        </w:rPr>
        <w:t>przeciwko Chorwacji</w:t>
      </w:r>
      <w:r w:rsidRPr="009E7ED6">
        <w:rPr>
          <w:lang w:val="pl-PL"/>
        </w:rPr>
        <w:t>, n</w:t>
      </w:r>
      <w:r>
        <w:rPr>
          <w:lang w:val="pl-PL"/>
        </w:rPr>
        <w:t xml:space="preserve">r 5699/11, </w:t>
      </w:r>
      <w:r w:rsidR="00980E44">
        <w:rPr>
          <w:lang w:val="pl-PL"/>
        </w:rPr>
        <w:t xml:space="preserve">§ </w:t>
      </w:r>
      <w:r w:rsidRPr="009E7ED6">
        <w:rPr>
          <w:lang w:val="pl-PL"/>
        </w:rPr>
        <w:t>75, 27 </w:t>
      </w:r>
      <w:r>
        <w:rPr>
          <w:lang w:val="pl-PL"/>
        </w:rPr>
        <w:t>lutego</w:t>
      </w:r>
      <w:r w:rsidRPr="009E7ED6">
        <w:rPr>
          <w:lang w:val="pl-PL"/>
        </w:rPr>
        <w:t> 2014</w:t>
      </w:r>
      <w:r>
        <w:rPr>
          <w:lang w:val="pl-PL"/>
        </w:rPr>
        <w:t xml:space="preserve"> r.</w:t>
      </w:r>
      <w:r w:rsidRPr="009E7ED6">
        <w:rPr>
          <w:lang w:val="pl-PL"/>
        </w:rPr>
        <w:t xml:space="preserve">). </w:t>
      </w:r>
      <w:r>
        <w:rPr>
          <w:lang w:val="pl-PL"/>
        </w:rPr>
        <w:t xml:space="preserve">Trybunał podkreśla konieczność zachowania równowagi między prawami oskarżonego i prawami osoby </w:t>
      </w:r>
      <w:r w:rsidR="001B12A0">
        <w:rPr>
          <w:lang w:val="pl-PL"/>
        </w:rPr>
        <w:t>małole</w:t>
      </w:r>
      <w:r>
        <w:rPr>
          <w:lang w:val="pl-PL"/>
        </w:rPr>
        <w:t xml:space="preserve">tniej będącej domniemaną ofiarą. Aby zagwarantować prawa obrony, organy sądownictwa powinny podjąć środki rekompensujące </w:t>
      </w:r>
      <w:r w:rsidR="004720BB">
        <w:rPr>
          <w:lang w:val="pl-PL"/>
        </w:rPr>
        <w:t>przeszkody</w:t>
      </w:r>
      <w:r>
        <w:rPr>
          <w:lang w:val="pl-PL"/>
        </w:rPr>
        <w:t xml:space="preserve">, na jakie natrafia obrona </w:t>
      </w:r>
      <w:r w:rsidRPr="009E7ED6">
        <w:rPr>
          <w:lang w:val="pl-PL"/>
        </w:rPr>
        <w:t>(</w:t>
      </w:r>
      <w:r w:rsidRPr="009E7ED6">
        <w:rPr>
          <w:i/>
          <w:lang w:val="pl-PL"/>
        </w:rPr>
        <w:t xml:space="preserve">A.S. </w:t>
      </w:r>
      <w:r>
        <w:rPr>
          <w:i/>
          <w:lang w:val="pl-PL"/>
        </w:rPr>
        <w:t>przeciwko Finlandii</w:t>
      </w:r>
      <w:r w:rsidRPr="009E7ED6">
        <w:rPr>
          <w:lang w:val="pl-PL"/>
        </w:rPr>
        <w:t>, n</w:t>
      </w:r>
      <w:r>
        <w:rPr>
          <w:lang w:val="pl-PL"/>
        </w:rPr>
        <w:t xml:space="preserve">r 40156/07, </w:t>
      </w:r>
      <w:r w:rsidR="004720BB">
        <w:rPr>
          <w:lang w:val="pl-PL"/>
        </w:rPr>
        <w:t>§</w:t>
      </w:r>
      <w:r w:rsidRPr="009E7ED6">
        <w:rPr>
          <w:lang w:val="pl-PL"/>
        </w:rPr>
        <w:t xml:space="preserve"> 55, 28 </w:t>
      </w:r>
      <w:r>
        <w:rPr>
          <w:lang w:val="pl-PL"/>
        </w:rPr>
        <w:t>września</w:t>
      </w:r>
      <w:r w:rsidRPr="009E7ED6">
        <w:rPr>
          <w:lang w:val="pl-PL"/>
        </w:rPr>
        <w:t xml:space="preserve"> 2010</w:t>
      </w:r>
      <w:r>
        <w:rPr>
          <w:lang w:val="pl-PL"/>
        </w:rPr>
        <w:t xml:space="preserve"> r.</w:t>
      </w:r>
      <w:r w:rsidRPr="009E7ED6">
        <w:rPr>
          <w:lang w:val="pl-PL"/>
        </w:rPr>
        <w:t>).</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49</w:t>
      </w:r>
      <w:r w:rsidRPr="009E7ED6">
        <w:rPr>
          <w:lang w:val="pl-PL"/>
        </w:rPr>
        <w:fldChar w:fldCharType="end"/>
      </w:r>
      <w:r w:rsidRPr="009E7ED6">
        <w:rPr>
          <w:lang w:val="pl-PL"/>
        </w:rPr>
        <w:t>.  </w:t>
      </w:r>
      <w:r>
        <w:rPr>
          <w:lang w:val="pl-PL"/>
        </w:rPr>
        <w:t xml:space="preserve">Zważywszy na zasady ustanowione w wyżej cytowanej sprawie rozpatrywanej przez Wielką Izbę </w:t>
      </w:r>
      <w:r w:rsidRPr="009E7ED6">
        <w:rPr>
          <w:i/>
          <w:lang w:val="pl-PL"/>
        </w:rPr>
        <w:t>Al</w:t>
      </w:r>
      <w:r w:rsidRPr="009E7ED6">
        <w:rPr>
          <w:i/>
          <w:lang w:val="pl-PL"/>
        </w:rPr>
        <w:noBreakHyphen/>
      </w:r>
      <w:proofErr w:type="spellStart"/>
      <w:r w:rsidRPr="009E7ED6">
        <w:rPr>
          <w:i/>
          <w:lang w:val="pl-PL"/>
        </w:rPr>
        <w:t>Khawaja</w:t>
      </w:r>
      <w:proofErr w:type="spellEnd"/>
      <w:r w:rsidRPr="009E7ED6">
        <w:rPr>
          <w:i/>
          <w:lang w:val="pl-PL"/>
        </w:rPr>
        <w:t xml:space="preserve"> </w:t>
      </w:r>
      <w:r>
        <w:rPr>
          <w:i/>
          <w:lang w:val="pl-PL"/>
        </w:rPr>
        <w:t>i</w:t>
      </w:r>
      <w:r w:rsidRPr="009E7ED6">
        <w:rPr>
          <w:i/>
          <w:lang w:val="pl-PL"/>
        </w:rPr>
        <w:t xml:space="preserve"> </w:t>
      </w:r>
      <w:proofErr w:type="spellStart"/>
      <w:r w:rsidRPr="009E7ED6">
        <w:rPr>
          <w:i/>
          <w:lang w:val="pl-PL"/>
        </w:rPr>
        <w:t>Tahery</w:t>
      </w:r>
      <w:proofErr w:type="spellEnd"/>
      <w:r w:rsidRPr="009E7ED6">
        <w:rPr>
          <w:lang w:val="pl-PL"/>
        </w:rPr>
        <w:t xml:space="preserve">, </w:t>
      </w:r>
      <w:r>
        <w:rPr>
          <w:lang w:val="pl-PL"/>
        </w:rPr>
        <w:t xml:space="preserve">Trybunał musi kolejno rozpatrzyć, czy niemożność przesłuchania lub doprowadzenia do przesłuchania świadka oskarżenia przez obronę była uzasadniona istotnymi względami, czy zeznania nieobecnego świadka stanowiły jedyny lub decydujący dowód winy skarżącego, oraz czy </w:t>
      </w:r>
      <w:r w:rsidR="00140FDC">
        <w:rPr>
          <w:lang w:val="pl-PL"/>
        </w:rPr>
        <w:t>istniały</w:t>
      </w:r>
      <w:r>
        <w:rPr>
          <w:lang w:val="pl-PL"/>
        </w:rPr>
        <w:t xml:space="preserve"> okoliczności, które rekompensowały niedogodności związane z dopuszczeniem takiego dowodu w stopniu wystarczającym, by umożliwić prawidłową i rzetelną ocenę jego wiarygodności (</w:t>
      </w:r>
      <w:proofErr w:type="spellStart"/>
      <w:r w:rsidR="003F363B">
        <w:rPr>
          <w:i/>
          <w:lang w:val="pl-PL"/>
        </w:rPr>
        <w:t>V</w:t>
      </w:r>
      <w:r>
        <w:rPr>
          <w:i/>
          <w:lang w:val="pl-PL"/>
        </w:rPr>
        <w:t>ron</w:t>
      </w:r>
      <w:r w:rsidR="003F363B">
        <w:rPr>
          <w:i/>
          <w:lang w:val="pl-PL"/>
        </w:rPr>
        <w:t>ch</w:t>
      </w:r>
      <w:r>
        <w:rPr>
          <w:i/>
          <w:lang w:val="pl-PL"/>
        </w:rPr>
        <w:t>enko</w:t>
      </w:r>
      <w:proofErr w:type="spellEnd"/>
      <w:r w:rsidRPr="009E7ED6">
        <w:rPr>
          <w:lang w:val="pl-PL"/>
        </w:rPr>
        <w:t>,</w:t>
      </w:r>
      <w:r>
        <w:rPr>
          <w:lang w:val="pl-PL"/>
        </w:rPr>
        <w:t xml:space="preserve"> cytowany powyżej, </w:t>
      </w:r>
      <w:r w:rsidR="00140FDC">
        <w:rPr>
          <w:lang w:val="pl-PL"/>
        </w:rPr>
        <w:t xml:space="preserve">§ </w:t>
      </w:r>
      <w:r w:rsidRPr="009E7ED6">
        <w:rPr>
          <w:lang w:val="pl-PL"/>
        </w:rPr>
        <w:t>57).</w:t>
      </w:r>
    </w:p>
    <w:p w:rsidR="00970E5A" w:rsidRPr="009E7ED6" w:rsidRDefault="00970E5A" w:rsidP="003074B9">
      <w:pPr>
        <w:pStyle w:val="ECHRPara"/>
        <w:rPr>
          <w:lang w:val="pl-PL"/>
        </w:rPr>
      </w:pPr>
      <w:r w:rsidRPr="009E7ED6">
        <w:rPr>
          <w:lang w:val="pl-PL"/>
        </w:rPr>
        <w:lastRenderedPageBreak/>
        <w:fldChar w:fldCharType="begin"/>
      </w:r>
      <w:r w:rsidRPr="009E7ED6">
        <w:rPr>
          <w:lang w:val="pl-PL"/>
        </w:rPr>
        <w:instrText xml:space="preserve"> SEQ level0 \*arabic </w:instrText>
      </w:r>
      <w:r w:rsidRPr="009E7ED6">
        <w:rPr>
          <w:lang w:val="pl-PL"/>
        </w:rPr>
        <w:fldChar w:fldCharType="separate"/>
      </w:r>
      <w:r w:rsidR="0007576D">
        <w:rPr>
          <w:noProof/>
          <w:lang w:val="pl-PL"/>
        </w:rPr>
        <w:t>50</w:t>
      </w:r>
      <w:r w:rsidRPr="009E7ED6">
        <w:rPr>
          <w:lang w:val="pl-PL"/>
        </w:rPr>
        <w:fldChar w:fldCharType="end"/>
      </w:r>
      <w:r w:rsidRPr="009E7ED6">
        <w:rPr>
          <w:lang w:val="pl-PL"/>
        </w:rPr>
        <w:t>.  </w:t>
      </w:r>
      <w:r>
        <w:rPr>
          <w:lang w:val="pl-PL"/>
        </w:rPr>
        <w:t>Zasady te przedstawiono w wyroku</w:t>
      </w:r>
      <w:r w:rsidRPr="009E7ED6">
        <w:rPr>
          <w:lang w:val="pl-PL"/>
        </w:rPr>
        <w:t xml:space="preserve"> </w:t>
      </w:r>
      <w:proofErr w:type="spellStart"/>
      <w:r w:rsidRPr="009E7ED6">
        <w:rPr>
          <w:i/>
          <w:lang w:val="pl-PL"/>
        </w:rPr>
        <w:t>Schatschaschwili</w:t>
      </w:r>
      <w:proofErr w:type="spellEnd"/>
      <w:r w:rsidRPr="009E7ED6">
        <w:rPr>
          <w:i/>
          <w:lang w:val="pl-PL"/>
        </w:rPr>
        <w:t xml:space="preserve"> </w:t>
      </w:r>
      <w:r>
        <w:rPr>
          <w:i/>
          <w:lang w:val="pl-PL"/>
        </w:rPr>
        <w:t>przeciwko Niemcom</w:t>
      </w:r>
      <w:r w:rsidRPr="009E7ED6">
        <w:rPr>
          <w:i/>
          <w:lang w:val="pl-PL"/>
        </w:rPr>
        <w:t xml:space="preserve"> </w:t>
      </w:r>
      <w:r w:rsidRPr="009E7ED6">
        <w:rPr>
          <w:lang w:val="pl-PL"/>
        </w:rPr>
        <w:t>(n</w:t>
      </w:r>
      <w:r>
        <w:rPr>
          <w:lang w:val="pl-PL"/>
        </w:rPr>
        <w:t>r</w:t>
      </w:r>
      <w:r w:rsidRPr="009E7ED6">
        <w:rPr>
          <w:lang w:val="pl-PL"/>
        </w:rPr>
        <w:t xml:space="preserve"> 9154/10, </w:t>
      </w:r>
      <w:r w:rsidR="00CA5565">
        <w:rPr>
          <w:lang w:val="pl-PL"/>
        </w:rPr>
        <w:t xml:space="preserve">§ </w:t>
      </w:r>
      <w:r w:rsidRPr="009E7ED6">
        <w:rPr>
          <w:lang w:val="pl-PL"/>
        </w:rPr>
        <w:t xml:space="preserve">111-131, </w:t>
      </w:r>
      <w:r>
        <w:rPr>
          <w:lang w:val="pl-PL"/>
        </w:rPr>
        <w:t>ETPC</w:t>
      </w:r>
      <w:r w:rsidRPr="009E7ED6">
        <w:rPr>
          <w:lang w:val="pl-PL"/>
        </w:rPr>
        <w:t xml:space="preserve"> 2015), </w:t>
      </w:r>
      <w:r>
        <w:rPr>
          <w:lang w:val="pl-PL"/>
        </w:rPr>
        <w:t xml:space="preserve">w którym Wielka Izba potwierdziła, że brak istotnych względów uzasadniających niestawiennictwo świadka nie może sam w sobie sprawić, że proces jest nierzetelny, choć pozostaje elementem istotnym dla oceny ogólnej rzetelności procesu, który może przesądzić o stwierdzeniu, że doszło do naruszenia art. </w:t>
      </w:r>
      <w:r w:rsidRPr="009E7ED6">
        <w:rPr>
          <w:lang w:val="pl-PL"/>
        </w:rPr>
        <w:t xml:space="preserve">6 §§ 1 et 3 d). </w:t>
      </w:r>
      <w:r>
        <w:rPr>
          <w:lang w:val="pl-PL"/>
        </w:rPr>
        <w:t xml:space="preserve">Ponadto, jako że zadaniem Trybunału jest upewnić się, czy postępowanie w całości było rzetelne, Trybunał musi zbadać, czy zaszły wystarczające okoliczności rekompensujące nie tylko w sprawach, w których zeznania nieobecnego świadka stanowiły jedyną lub decydującą podstawę do skazania oskarżonego, ale również w tych, w których wprawdzie trudno jest </w:t>
      </w:r>
      <w:r w:rsidR="00015A20">
        <w:rPr>
          <w:lang w:val="pl-PL"/>
        </w:rPr>
        <w:t>stwierdzić</w:t>
      </w:r>
      <w:r>
        <w:rPr>
          <w:lang w:val="pl-PL"/>
        </w:rPr>
        <w:t xml:space="preserve">, czy zeznania te były jedynym lub decydującym dowodem, ale Trybunał jest mimo wszystko przekonany, że miały one pewną wagę, a ich dopuszczenie mogło prowadzić do powstania </w:t>
      </w:r>
      <w:r w:rsidR="00215163">
        <w:rPr>
          <w:lang w:val="pl-PL"/>
        </w:rPr>
        <w:t>trudności</w:t>
      </w:r>
      <w:r>
        <w:rPr>
          <w:lang w:val="pl-PL"/>
        </w:rPr>
        <w:t xml:space="preserve"> dla obrony. Zakres czynników rekompensujących koniecznych do tego, by uznać proces za rzetelny, zależeć będzie od stopnia </w:t>
      </w:r>
      <w:r w:rsidR="00562A30">
        <w:rPr>
          <w:lang w:val="pl-PL"/>
        </w:rPr>
        <w:t xml:space="preserve">doniosłości  </w:t>
      </w:r>
      <w:r>
        <w:rPr>
          <w:lang w:val="pl-PL"/>
        </w:rPr>
        <w:t xml:space="preserve"> zeznań nieobecnego świadka. Im jest on wyższy, tym </w:t>
      </w:r>
      <w:r w:rsidR="001756BA">
        <w:rPr>
          <w:lang w:val="pl-PL"/>
        </w:rPr>
        <w:t>solidniejsze</w:t>
      </w:r>
      <w:r>
        <w:rPr>
          <w:lang w:val="pl-PL"/>
        </w:rPr>
        <w:t xml:space="preserve"> muszą być okoliczności rekompensujące, aby postępowanie w całości można było uznać za rzetelne</w:t>
      </w:r>
      <w:r w:rsidRPr="009E7ED6">
        <w:rPr>
          <w:lang w:val="pl-PL"/>
        </w:rPr>
        <w:t xml:space="preserve"> (</w:t>
      </w:r>
      <w:r w:rsidRPr="009E7ED6">
        <w:rPr>
          <w:i/>
          <w:lang w:val="pl-PL"/>
        </w:rPr>
        <w:t xml:space="preserve">Seton </w:t>
      </w:r>
      <w:r>
        <w:rPr>
          <w:i/>
          <w:lang w:val="pl-PL"/>
        </w:rPr>
        <w:t>przeciwko Wielkiej Brytanii</w:t>
      </w:r>
      <w:r w:rsidRPr="009E7ED6">
        <w:rPr>
          <w:lang w:val="pl-PL"/>
        </w:rPr>
        <w:t>, n</w:t>
      </w:r>
      <w:r>
        <w:rPr>
          <w:lang w:val="pl-PL"/>
        </w:rPr>
        <w:t>r</w:t>
      </w:r>
      <w:r w:rsidRPr="009E7ED6">
        <w:rPr>
          <w:lang w:val="pl-PL"/>
        </w:rPr>
        <w:t xml:space="preserve"> 55287/10, </w:t>
      </w:r>
      <w:r w:rsidR="003E4478">
        <w:rPr>
          <w:lang w:val="pl-PL"/>
        </w:rPr>
        <w:t>§</w:t>
      </w:r>
      <w:r>
        <w:rPr>
          <w:lang w:val="pl-PL"/>
        </w:rPr>
        <w:t> </w:t>
      </w:r>
      <w:r w:rsidRPr="009E7ED6">
        <w:rPr>
          <w:lang w:val="pl-PL"/>
        </w:rPr>
        <w:t>59, 31 </w:t>
      </w:r>
      <w:r>
        <w:rPr>
          <w:lang w:val="pl-PL"/>
        </w:rPr>
        <w:t>marca</w:t>
      </w:r>
      <w:r w:rsidRPr="009E7ED6">
        <w:rPr>
          <w:lang w:val="pl-PL"/>
        </w:rPr>
        <w:t xml:space="preserve"> 2016</w:t>
      </w:r>
      <w:r>
        <w:rPr>
          <w:lang w:val="pl-PL"/>
        </w:rPr>
        <w:t xml:space="preserve"> r.</w:t>
      </w:r>
      <w:r w:rsidRPr="009E7ED6">
        <w:rPr>
          <w:lang w:val="pl-PL"/>
        </w:rPr>
        <w:t>).</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51</w:t>
      </w:r>
      <w:r w:rsidRPr="009E7ED6">
        <w:rPr>
          <w:lang w:val="pl-PL"/>
        </w:rPr>
        <w:fldChar w:fldCharType="end"/>
      </w:r>
      <w:r w:rsidRPr="009E7ED6">
        <w:rPr>
          <w:lang w:val="pl-PL"/>
        </w:rPr>
        <w:t>.  </w:t>
      </w:r>
      <w:r>
        <w:rPr>
          <w:lang w:val="pl-PL"/>
        </w:rPr>
        <w:t>W niniejsz</w:t>
      </w:r>
      <w:r w:rsidR="00AC447A">
        <w:rPr>
          <w:lang w:val="pl-PL"/>
        </w:rPr>
        <w:t xml:space="preserve">ej sprawie </w:t>
      </w:r>
      <w:r>
        <w:rPr>
          <w:lang w:val="pl-PL"/>
        </w:rPr>
        <w:t xml:space="preserve">Trybunał zaznacza, że skarżący został uznany winnym </w:t>
      </w:r>
      <w:r w:rsidR="00AC447A">
        <w:rPr>
          <w:lang w:val="pl-PL"/>
        </w:rPr>
        <w:t>zgwałcenia mało</w:t>
      </w:r>
      <w:r>
        <w:rPr>
          <w:lang w:val="pl-PL"/>
        </w:rPr>
        <w:t>letniej</w:t>
      </w:r>
      <w:r w:rsidR="00AC447A">
        <w:rPr>
          <w:lang w:val="pl-PL"/>
        </w:rPr>
        <w:t>,</w:t>
      </w:r>
      <w:r>
        <w:rPr>
          <w:lang w:val="pl-PL"/>
        </w:rPr>
        <w:t xml:space="preserve"> mającej 14 lat. Podczas postępowania przygotowawczego </w:t>
      </w:r>
      <w:r w:rsidR="00AC447A">
        <w:rPr>
          <w:lang w:val="pl-PL"/>
        </w:rPr>
        <w:t>pokrzywdzona</w:t>
      </w:r>
      <w:r>
        <w:rPr>
          <w:lang w:val="pl-PL"/>
        </w:rPr>
        <w:t xml:space="preserve"> była przesłuchiwana kilkakrotnie, w tym raz przez osoby prowadzące śledztwo i trzy razy przez sąd; obrońca skarżącego nie został poinformowany o mających się odbyć przesłuchaniach. </w:t>
      </w:r>
      <w:r w:rsidR="004F1A7E">
        <w:rPr>
          <w:lang w:val="pl-PL"/>
        </w:rPr>
        <w:t>Pokrzywdzona</w:t>
      </w:r>
      <w:r>
        <w:rPr>
          <w:lang w:val="pl-PL"/>
        </w:rPr>
        <w:t xml:space="preserve"> nie uczestniczyła w procesie, ponieważ z </w:t>
      </w:r>
      <w:r w:rsidR="00ED1B0A">
        <w:rPr>
          <w:lang w:val="pl-PL"/>
        </w:rPr>
        <w:t xml:space="preserve">opinii lekarskich </w:t>
      </w:r>
      <w:r>
        <w:rPr>
          <w:lang w:val="pl-PL"/>
        </w:rPr>
        <w:t>otrzymanych przez organy prowadzące postępowanie wynikało, że może to zaszkodzić jej zdrowiu (</w:t>
      </w:r>
      <w:r w:rsidR="004D69B4">
        <w:rPr>
          <w:lang w:val="pl-PL"/>
        </w:rPr>
        <w:t>§§</w:t>
      </w:r>
      <w:r>
        <w:rPr>
          <w:lang w:val="pl-PL"/>
        </w:rPr>
        <w:t xml:space="preserve"> 17-21 powyżej). Akta sprawy wskazują, że sąd, przed którym toczyło się postępowanie dotyczące skarżącego, sprawdził, czy Z.S. może się przed nim stawić, zanim podjął decyzję o niewzywaniu jej z powodu negatywnej opinii </w:t>
      </w:r>
      <w:r w:rsidR="00C51732">
        <w:rPr>
          <w:lang w:val="pl-PL"/>
        </w:rPr>
        <w:t>biegłych</w:t>
      </w:r>
      <w:r>
        <w:rPr>
          <w:lang w:val="pl-PL"/>
        </w:rPr>
        <w:t xml:space="preserve">. Mając świadomość konieczności ochrony ofiar napaści o charakterze seksualnym, w szczególności </w:t>
      </w:r>
      <w:r w:rsidR="009F53DA">
        <w:rPr>
          <w:lang w:val="pl-PL"/>
        </w:rPr>
        <w:t>mało</w:t>
      </w:r>
      <w:r>
        <w:rPr>
          <w:lang w:val="pl-PL"/>
        </w:rPr>
        <w:t>letnich, Trybunał jest zdania, że w niniejszym przypadku nieobecność Z.S. na rozprawie i wynikające z tego odczytanie jej zeznań złożonych przed procesem</w:t>
      </w:r>
      <w:r w:rsidR="00C9449A">
        <w:rPr>
          <w:lang w:val="pl-PL"/>
        </w:rPr>
        <w:t>,</w:t>
      </w:r>
      <w:r>
        <w:rPr>
          <w:lang w:val="pl-PL"/>
        </w:rPr>
        <w:t xml:space="preserve"> były uzasadnione istotnymi względami (zob. przez analogię </w:t>
      </w:r>
      <w:r w:rsidRPr="009E7ED6">
        <w:rPr>
          <w:i/>
          <w:lang w:val="pl-PL"/>
        </w:rPr>
        <w:t>Al-</w:t>
      </w:r>
      <w:proofErr w:type="spellStart"/>
      <w:r w:rsidRPr="009E7ED6">
        <w:rPr>
          <w:i/>
          <w:lang w:val="pl-PL"/>
        </w:rPr>
        <w:t>Khawaja</w:t>
      </w:r>
      <w:proofErr w:type="spellEnd"/>
      <w:r w:rsidRPr="009E7ED6">
        <w:rPr>
          <w:lang w:val="pl-PL"/>
        </w:rPr>
        <w:t>,</w:t>
      </w:r>
      <w:r w:rsidRPr="009E7ED6">
        <w:rPr>
          <w:i/>
          <w:lang w:val="pl-PL"/>
        </w:rPr>
        <w:t xml:space="preserve"> </w:t>
      </w:r>
      <w:r>
        <w:rPr>
          <w:lang w:val="pl-PL"/>
        </w:rPr>
        <w:t>cytowany powyżej</w:t>
      </w:r>
      <w:r w:rsidRPr="009E7ED6">
        <w:rPr>
          <w:lang w:val="pl-PL"/>
        </w:rPr>
        <w:t xml:space="preserve">, </w:t>
      </w:r>
      <w:r w:rsidR="00C9449A">
        <w:rPr>
          <w:lang w:val="pl-PL"/>
        </w:rPr>
        <w:t>§</w:t>
      </w:r>
      <w:r w:rsidRPr="009E7ED6">
        <w:rPr>
          <w:lang w:val="pl-PL"/>
        </w:rPr>
        <w:t xml:space="preserve"> 120, </w:t>
      </w:r>
      <w:r w:rsidRPr="009E7ED6">
        <w:rPr>
          <w:i/>
          <w:lang w:val="pl-PL"/>
        </w:rPr>
        <w:t xml:space="preserve">Gani </w:t>
      </w:r>
      <w:r>
        <w:rPr>
          <w:i/>
          <w:lang w:val="pl-PL"/>
        </w:rPr>
        <w:t>przeciwko Hiszpanii</w:t>
      </w:r>
      <w:r w:rsidRPr="009E7ED6">
        <w:rPr>
          <w:lang w:val="pl-PL"/>
        </w:rPr>
        <w:t>, n</w:t>
      </w:r>
      <w:r>
        <w:rPr>
          <w:lang w:val="pl-PL"/>
        </w:rPr>
        <w:t xml:space="preserve">r 61800/08, </w:t>
      </w:r>
      <w:r w:rsidR="00C9449A">
        <w:rPr>
          <w:lang w:val="pl-PL"/>
        </w:rPr>
        <w:t>§</w:t>
      </w:r>
      <w:r w:rsidRPr="009E7ED6">
        <w:rPr>
          <w:lang w:val="pl-PL"/>
        </w:rPr>
        <w:t> 45, 19 </w:t>
      </w:r>
      <w:r>
        <w:rPr>
          <w:lang w:val="pl-PL"/>
        </w:rPr>
        <w:t>lutego</w:t>
      </w:r>
      <w:r w:rsidRPr="009E7ED6">
        <w:rPr>
          <w:lang w:val="pl-PL"/>
        </w:rPr>
        <w:t> 2013</w:t>
      </w:r>
      <w:r>
        <w:rPr>
          <w:lang w:val="pl-PL"/>
        </w:rPr>
        <w:t xml:space="preserve"> r. oraz</w:t>
      </w:r>
      <w:r w:rsidRPr="009E7ED6">
        <w:rPr>
          <w:lang w:val="pl-PL"/>
        </w:rPr>
        <w:t xml:space="preserve"> </w:t>
      </w:r>
      <w:r w:rsidRPr="009E7ED6">
        <w:rPr>
          <w:i/>
          <w:lang w:val="pl-PL"/>
        </w:rPr>
        <w:t>Rosin</w:t>
      </w:r>
      <w:r w:rsidRPr="009E7ED6">
        <w:rPr>
          <w:lang w:val="pl-PL"/>
        </w:rPr>
        <w:t xml:space="preserve">, </w:t>
      </w:r>
      <w:r>
        <w:rPr>
          <w:lang w:val="pl-PL"/>
        </w:rPr>
        <w:t xml:space="preserve">cytowany powyżej, </w:t>
      </w:r>
      <w:r w:rsidR="00C9449A">
        <w:rPr>
          <w:lang w:val="pl-PL"/>
        </w:rPr>
        <w:t>§</w:t>
      </w:r>
      <w:r w:rsidRPr="009E7ED6">
        <w:rPr>
          <w:lang w:val="pl-PL"/>
        </w:rPr>
        <w:t xml:space="preserve"> 55).</w:t>
      </w:r>
    </w:p>
    <w:p w:rsidR="00970E5A" w:rsidRPr="009E7ED6" w:rsidRDefault="00970E5A" w:rsidP="00665D1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52</w:t>
      </w:r>
      <w:r w:rsidRPr="009E7ED6">
        <w:rPr>
          <w:lang w:val="pl-PL"/>
        </w:rPr>
        <w:fldChar w:fldCharType="end"/>
      </w:r>
      <w:r w:rsidRPr="009E7ED6">
        <w:rPr>
          <w:lang w:val="pl-PL"/>
        </w:rPr>
        <w:t>.  </w:t>
      </w:r>
      <w:r>
        <w:rPr>
          <w:lang w:val="pl-PL"/>
        </w:rPr>
        <w:t xml:space="preserve">Trybunał zauważa, że skarżący został skazany na podstawie obciążających go zeznań Z.S. oraz innych dowodów potwierdzających te zeznania. Wnioski o winie skarżącego opierały się na dowodach bezpośrednich, takich jak </w:t>
      </w:r>
      <w:r w:rsidR="009A2EF2">
        <w:rPr>
          <w:lang w:val="pl-PL"/>
        </w:rPr>
        <w:t>wyjaśnienia</w:t>
      </w:r>
      <w:r>
        <w:rPr>
          <w:lang w:val="pl-PL"/>
        </w:rPr>
        <w:t xml:space="preserve"> jednego ze współoskarżonych i zeznania naocznego świadka zdarzenia, oraz na dowodach pośrednich, w tym zeznaniach świadków ze słyszenia, w</w:t>
      </w:r>
      <w:r w:rsidR="00576D8F">
        <w:rPr>
          <w:lang w:val="pl-PL"/>
        </w:rPr>
        <w:t>niosków</w:t>
      </w:r>
      <w:r>
        <w:rPr>
          <w:lang w:val="pl-PL"/>
        </w:rPr>
        <w:t xml:space="preserve"> z ekspertyzy i wyników </w:t>
      </w:r>
      <w:r>
        <w:rPr>
          <w:lang w:val="pl-PL"/>
        </w:rPr>
        <w:lastRenderedPageBreak/>
        <w:t xml:space="preserve">oględzin miejsca przestępstwa. Krajowe sądy w uzasadnieniach swoich orzeczeń wskazały, że wyżej wymienione dowody, analizowane łącznie, potwierdzały zeznania ofiary w stopniu, który pozwolił im stwierdzić winę skarżącego ponad wszelką wątpliwość. Wydaje się zatem, że chociaż obciążające zeznania Z.S. stanowiły dowód o dużej wadze, nie były jedynym ani decydującym dowodem winy skarżącego (zob., </w:t>
      </w:r>
      <w:r w:rsidRPr="009E7ED6">
        <w:rPr>
          <w:i/>
          <w:lang w:val="pl-PL"/>
        </w:rPr>
        <w:t>a contrario</w:t>
      </w:r>
      <w:r w:rsidRPr="009E7ED6">
        <w:rPr>
          <w:lang w:val="pl-PL"/>
        </w:rPr>
        <w:t xml:space="preserve">, </w:t>
      </w:r>
      <w:r w:rsidRPr="009E7ED6">
        <w:rPr>
          <w:i/>
          <w:lang w:val="pl-PL"/>
        </w:rPr>
        <w:t>Gani</w:t>
      </w:r>
      <w:r w:rsidRPr="009E7ED6">
        <w:rPr>
          <w:lang w:val="pl-PL"/>
        </w:rPr>
        <w:t xml:space="preserve">, </w:t>
      </w:r>
      <w:r>
        <w:rPr>
          <w:lang w:val="pl-PL"/>
        </w:rPr>
        <w:t xml:space="preserve">cytowany powyżej, </w:t>
      </w:r>
      <w:r w:rsidR="00B71B9E">
        <w:rPr>
          <w:lang w:val="pl-PL"/>
        </w:rPr>
        <w:t>§</w:t>
      </w:r>
      <w:r w:rsidRPr="009E7ED6">
        <w:rPr>
          <w:lang w:val="pl-PL"/>
        </w:rPr>
        <w:t xml:space="preserve"> 44, </w:t>
      </w:r>
      <w:proofErr w:type="spellStart"/>
      <w:r w:rsidRPr="009E7ED6">
        <w:rPr>
          <w:i/>
          <w:lang w:val="pl-PL"/>
        </w:rPr>
        <w:t>Lučić</w:t>
      </w:r>
      <w:proofErr w:type="spellEnd"/>
      <w:r w:rsidRPr="009E7ED6">
        <w:rPr>
          <w:lang w:val="pl-PL"/>
        </w:rPr>
        <w:t>,</w:t>
      </w:r>
      <w:r w:rsidRPr="009E7ED6">
        <w:rPr>
          <w:i/>
          <w:lang w:val="pl-PL"/>
        </w:rPr>
        <w:t xml:space="preserve"> </w:t>
      </w:r>
      <w:r>
        <w:rPr>
          <w:lang w:val="pl-PL"/>
        </w:rPr>
        <w:t xml:space="preserve">cytowany powyżej, </w:t>
      </w:r>
      <w:r w:rsidR="00B71B9E">
        <w:rPr>
          <w:lang w:val="pl-PL"/>
        </w:rPr>
        <w:t>§</w:t>
      </w:r>
      <w:r w:rsidRPr="009E7ED6">
        <w:rPr>
          <w:lang w:val="pl-PL"/>
        </w:rPr>
        <w:t xml:space="preserve"> 81, </w:t>
      </w:r>
      <w:proofErr w:type="spellStart"/>
      <w:r w:rsidR="00B71B9E" w:rsidRPr="00B71B9E">
        <w:rPr>
          <w:i/>
          <w:lang w:val="pl-PL"/>
        </w:rPr>
        <w:t>V</w:t>
      </w:r>
      <w:r w:rsidR="003F363B">
        <w:rPr>
          <w:i/>
          <w:lang w:val="pl-PL"/>
        </w:rPr>
        <w:t>ronch</w:t>
      </w:r>
      <w:r w:rsidRPr="009E7ED6">
        <w:rPr>
          <w:i/>
          <w:lang w:val="pl-PL"/>
        </w:rPr>
        <w:t>enko</w:t>
      </w:r>
      <w:proofErr w:type="spellEnd"/>
      <w:r w:rsidRPr="009E7ED6">
        <w:rPr>
          <w:lang w:val="pl-PL"/>
        </w:rPr>
        <w:t>,</w:t>
      </w:r>
      <w:r w:rsidRPr="009E7ED6">
        <w:rPr>
          <w:i/>
          <w:lang w:val="pl-PL"/>
        </w:rPr>
        <w:t xml:space="preserve"> </w:t>
      </w:r>
      <w:r>
        <w:rPr>
          <w:lang w:val="pl-PL"/>
        </w:rPr>
        <w:t>cytowany powyżej</w:t>
      </w:r>
      <w:r w:rsidRPr="009E7ED6">
        <w:rPr>
          <w:lang w:val="pl-PL"/>
        </w:rPr>
        <w:t xml:space="preserve">, </w:t>
      </w:r>
      <w:r w:rsidR="00B71B9E">
        <w:rPr>
          <w:lang w:val="pl-PL"/>
        </w:rPr>
        <w:t>§</w:t>
      </w:r>
      <w:r w:rsidRPr="009E7ED6">
        <w:rPr>
          <w:lang w:val="pl-PL"/>
        </w:rPr>
        <w:t xml:space="preserve"> 59, </w:t>
      </w:r>
      <w:r w:rsidRPr="009E7ED6">
        <w:rPr>
          <w:i/>
          <w:lang w:val="pl-PL"/>
        </w:rPr>
        <w:t>Rosin</w:t>
      </w:r>
      <w:r w:rsidRPr="009E7ED6">
        <w:rPr>
          <w:lang w:val="pl-PL"/>
        </w:rPr>
        <w:t xml:space="preserve">, </w:t>
      </w:r>
      <w:r>
        <w:rPr>
          <w:lang w:val="pl-PL"/>
        </w:rPr>
        <w:t>cytowany powyżej</w:t>
      </w:r>
      <w:r w:rsidRPr="009E7ED6">
        <w:rPr>
          <w:lang w:val="pl-PL"/>
        </w:rPr>
        <w:t xml:space="preserve">, </w:t>
      </w:r>
      <w:r w:rsidR="00B71B9E">
        <w:rPr>
          <w:lang w:val="pl-PL"/>
        </w:rPr>
        <w:t>§</w:t>
      </w:r>
      <w:r w:rsidRPr="009E7ED6">
        <w:rPr>
          <w:lang w:val="pl-PL"/>
        </w:rPr>
        <w:t xml:space="preserve"> 56</w:t>
      </w:r>
      <w:r>
        <w:rPr>
          <w:lang w:val="pl-PL"/>
        </w:rPr>
        <w:t xml:space="preserve"> oraz</w:t>
      </w:r>
      <w:r w:rsidRPr="009E7ED6">
        <w:rPr>
          <w:lang w:val="pl-PL"/>
        </w:rPr>
        <w:t xml:space="preserve"> </w:t>
      </w:r>
      <w:proofErr w:type="spellStart"/>
      <w:r w:rsidRPr="009E7ED6">
        <w:rPr>
          <w:i/>
          <w:lang w:val="pl-PL"/>
        </w:rPr>
        <w:t>Aigner</w:t>
      </w:r>
      <w:proofErr w:type="spellEnd"/>
      <w:r w:rsidRPr="009E7ED6">
        <w:rPr>
          <w:lang w:val="pl-PL"/>
        </w:rPr>
        <w:t xml:space="preserve">, </w:t>
      </w:r>
      <w:r>
        <w:rPr>
          <w:lang w:val="pl-PL"/>
        </w:rPr>
        <w:t xml:space="preserve">cytowany powyżej, </w:t>
      </w:r>
      <w:r w:rsidR="00B71B9E">
        <w:rPr>
          <w:lang w:val="pl-PL"/>
        </w:rPr>
        <w:t>§</w:t>
      </w:r>
      <w:r w:rsidRPr="009E7ED6">
        <w:rPr>
          <w:lang w:val="pl-PL"/>
        </w:rPr>
        <w:t xml:space="preserve"> 40).</w:t>
      </w:r>
    </w:p>
    <w:p w:rsidR="00970E5A" w:rsidRPr="009E7ED6" w:rsidRDefault="00970E5A" w:rsidP="00E22F48">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53</w:t>
      </w:r>
      <w:r w:rsidRPr="009E7ED6">
        <w:rPr>
          <w:lang w:val="pl-PL"/>
        </w:rPr>
        <w:fldChar w:fldCharType="end"/>
      </w:r>
      <w:r w:rsidRPr="009E7ED6">
        <w:rPr>
          <w:lang w:val="pl-PL"/>
        </w:rPr>
        <w:t>.  </w:t>
      </w:r>
      <w:r>
        <w:rPr>
          <w:lang w:val="pl-PL"/>
        </w:rPr>
        <w:t xml:space="preserve">Co </w:t>
      </w:r>
      <w:r w:rsidR="00B34E92">
        <w:rPr>
          <w:lang w:val="pl-PL"/>
        </w:rPr>
        <w:t xml:space="preserve">do </w:t>
      </w:r>
      <w:r>
        <w:rPr>
          <w:lang w:val="pl-PL"/>
        </w:rPr>
        <w:t xml:space="preserve">środków, które miały zrekompensować niedogodności wynikające dla skarżącego z powodu nieobecności Z.S. na rozprawie, Trybunał zaznacza, że strony są zgodne co do tego, że zainteresowany nie miał na żadnym etapie postępowania możliwości przesłuchania lub doprowadzenia do przesłuchania domniemanej ofiary, między innymi dlatego, że jego adwokat nie został poinformowany z wyprzedzeniem przez organy prowadzące postępowanie, że zamierzają przesłuchać Z.S. podczas postępowania przygotowawczego. W orzeczeniu </w:t>
      </w:r>
      <w:r w:rsidR="006E550E">
        <w:rPr>
          <w:lang w:val="pl-PL"/>
        </w:rPr>
        <w:t>ogłoszonym</w:t>
      </w:r>
      <w:r>
        <w:rPr>
          <w:lang w:val="pl-PL"/>
        </w:rPr>
        <w:t xml:space="preserve"> w dniu 13 czerwca 2006 r. Sąd Okręgowy we Wrocławiu stwierdził, że niepowiadomienie przez organy krajowe obrońcy skarżącego o przesłuchaniach Z.S. stanowiło poważne naruszenie przepisów prawa krajowego w zakresie skutecznej realizacji przysługującego skarżącemu prawa do obrony (</w:t>
      </w:r>
      <w:r w:rsidR="004D69B4">
        <w:rPr>
          <w:lang w:val="pl-PL"/>
        </w:rPr>
        <w:t xml:space="preserve">§ </w:t>
      </w:r>
      <w:r>
        <w:rPr>
          <w:lang w:val="pl-PL"/>
        </w:rPr>
        <w:t>24 powyżej).</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54</w:t>
      </w:r>
      <w:r w:rsidRPr="009E7ED6">
        <w:rPr>
          <w:lang w:val="pl-PL"/>
        </w:rPr>
        <w:fldChar w:fldCharType="end"/>
      </w:r>
      <w:r w:rsidRPr="009E7ED6">
        <w:rPr>
          <w:lang w:val="pl-PL"/>
        </w:rPr>
        <w:t>.  </w:t>
      </w:r>
      <w:r>
        <w:rPr>
          <w:lang w:val="pl-PL"/>
        </w:rPr>
        <w:t xml:space="preserve">W istocie godnym ubolewania jest fakt, że organy prowadzące postępowanie przeciwko skarżącemu nie skorzystały ze środków prawnych, którymi dysponowały, aby umożliwić </w:t>
      </w:r>
      <w:r w:rsidR="00B049F1">
        <w:rPr>
          <w:lang w:val="pl-PL"/>
        </w:rPr>
        <w:t>obrońcy</w:t>
      </w:r>
      <w:r>
        <w:rPr>
          <w:lang w:val="pl-PL"/>
        </w:rPr>
        <w:t xml:space="preserve"> zainteresowanego przesłuchanie ofiary przestępstwa na tym etapie postępowania. Trybunał przypomina również, że jego zadaniem nie jest wypowiadanie się w kwestii tego, czy zeznania Z.S. uzyskane w sposób niezgodny z przepisami prawa krajowego zostały słusznie dopuszczone w charakterze dowodów oskarżenia, lecz rozpatrzenie, czy postępowanie przeciwko skarżącemu w całości było rzetelne. Zadaniem Trybunału jest w szczególności ustalenie, czy podczas rozprawy, na której z zasady należy przedstawić wszystkie dowody oskarżenia, zapewniono skarżącemu odpowiednią i wystarczającą możliwość kwestionowania spornych zeznań i przesłuchania osoby, która je złożyła </w:t>
      </w:r>
      <w:r w:rsidRPr="009E7ED6">
        <w:rPr>
          <w:lang w:val="pl-PL"/>
        </w:rPr>
        <w:t>(</w:t>
      </w:r>
      <w:r w:rsidRPr="009E7ED6">
        <w:rPr>
          <w:i/>
          <w:lang w:val="pl-PL"/>
        </w:rPr>
        <w:t>Gani</w:t>
      </w:r>
      <w:r w:rsidRPr="009E7ED6">
        <w:rPr>
          <w:lang w:val="pl-PL"/>
        </w:rPr>
        <w:t xml:space="preserve">, </w:t>
      </w:r>
      <w:r>
        <w:rPr>
          <w:lang w:val="pl-PL"/>
        </w:rPr>
        <w:t>cytowany powyżej</w:t>
      </w:r>
      <w:r w:rsidRPr="009E7ED6">
        <w:rPr>
          <w:lang w:val="pl-PL"/>
        </w:rPr>
        <w:t xml:space="preserve">, </w:t>
      </w:r>
      <w:r w:rsidR="00C436E9">
        <w:rPr>
          <w:lang w:val="pl-PL"/>
        </w:rPr>
        <w:t>§</w:t>
      </w:r>
      <w:r w:rsidRPr="009E7ED6">
        <w:rPr>
          <w:lang w:val="pl-PL"/>
        </w:rPr>
        <w:t xml:space="preserve"> 44). </w:t>
      </w:r>
      <w:r>
        <w:rPr>
          <w:lang w:val="pl-PL"/>
        </w:rPr>
        <w:t xml:space="preserve">W świetle okoliczności niniejszej sprawy Trybunał nie jest przekonany co do tego, że organy sądowe wykorzystały wszystkie możliwe środki, by zapewnić skarżącemu lub jego </w:t>
      </w:r>
      <w:r w:rsidR="004D2EE3">
        <w:rPr>
          <w:lang w:val="pl-PL"/>
        </w:rPr>
        <w:t>obrońcy</w:t>
      </w:r>
      <w:r>
        <w:rPr>
          <w:lang w:val="pl-PL"/>
        </w:rPr>
        <w:t xml:space="preserve"> możliwość przesłuchania Z.S. podczas </w:t>
      </w:r>
      <w:r w:rsidR="004D2EE3">
        <w:rPr>
          <w:lang w:val="pl-PL"/>
        </w:rPr>
        <w:t>postępowania</w:t>
      </w:r>
      <w:r>
        <w:rPr>
          <w:lang w:val="pl-PL"/>
        </w:rPr>
        <w:t>.</w:t>
      </w:r>
    </w:p>
    <w:p w:rsidR="00970E5A"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55</w:t>
      </w:r>
      <w:r w:rsidRPr="009E7ED6">
        <w:rPr>
          <w:lang w:val="pl-PL"/>
        </w:rPr>
        <w:fldChar w:fldCharType="end"/>
      </w:r>
      <w:r w:rsidRPr="009E7ED6">
        <w:rPr>
          <w:lang w:val="pl-PL"/>
        </w:rPr>
        <w:t>.  </w:t>
      </w:r>
      <w:r>
        <w:rPr>
          <w:lang w:val="pl-PL"/>
        </w:rPr>
        <w:t xml:space="preserve">Niemniej jednak Trybunał w tym względzie raz jeszcze musi poczynić uwagę sformułowaną już w punkcie 46 powyżej, zgodnie z którą nieobecność Z.S. i wynikająca z niej niemożność jej przesłuchania lub doprowadzenia do jej przesłuchania podczas rozprawy były uzasadnione istotnymi względami. Trybunał zauważa, że zeznania złożone przez Z.S. przed procesem zostały odczytane podczas rozprawy, co pozwoliło </w:t>
      </w:r>
      <w:r>
        <w:rPr>
          <w:lang w:val="pl-PL"/>
        </w:rPr>
        <w:lastRenderedPageBreak/>
        <w:t xml:space="preserve">skarżącemu poznać ich treść i </w:t>
      </w:r>
      <w:r w:rsidR="004E2E7E">
        <w:rPr>
          <w:lang w:val="pl-PL"/>
        </w:rPr>
        <w:t>je kwestionować</w:t>
      </w:r>
      <w:r>
        <w:rPr>
          <w:lang w:val="pl-PL"/>
        </w:rPr>
        <w:t xml:space="preserve">, z poszanowaniem zasady kontradyktoryjności i w obecności </w:t>
      </w:r>
      <w:r w:rsidR="004E2E7E">
        <w:rPr>
          <w:lang w:val="pl-PL"/>
        </w:rPr>
        <w:t>jego obrońcy</w:t>
      </w:r>
      <w:r>
        <w:rPr>
          <w:lang w:val="pl-PL"/>
        </w:rPr>
        <w:t xml:space="preserve">. Trybunał zaznacza również, że podczas rozprawy skarżący miał możliwość przesłuchania psycholog, która miała bezpośredni kontakt z </w:t>
      </w:r>
      <w:r w:rsidR="00F605F8">
        <w:rPr>
          <w:lang w:val="pl-PL"/>
        </w:rPr>
        <w:t>pokrzywdzoną</w:t>
      </w:r>
      <w:r>
        <w:rPr>
          <w:lang w:val="pl-PL"/>
        </w:rPr>
        <w:t xml:space="preserve"> i która była obecna przy przesłuchaniach, podczas których zostały złożone zeznania (</w:t>
      </w:r>
      <w:r w:rsidR="0099222D">
        <w:rPr>
          <w:lang w:val="pl-PL"/>
        </w:rPr>
        <w:t>§</w:t>
      </w:r>
      <w:r>
        <w:rPr>
          <w:lang w:val="pl-PL"/>
        </w:rPr>
        <w:t xml:space="preserve"> 21 powyżej). Z akt sprawy nie wynika jednak, by skarżącemu udało się zaprzeczyć zeznaniom Z.S. lub podać w wątpliwość ich wiarygodność.</w:t>
      </w:r>
    </w:p>
    <w:p w:rsidR="00970E5A"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56</w:t>
      </w:r>
      <w:r w:rsidRPr="009E7ED6">
        <w:rPr>
          <w:lang w:val="pl-PL"/>
        </w:rPr>
        <w:fldChar w:fldCharType="end"/>
      </w:r>
      <w:r w:rsidRPr="009E7ED6">
        <w:rPr>
          <w:lang w:val="pl-PL"/>
        </w:rPr>
        <w:t>.  </w:t>
      </w:r>
      <w:r>
        <w:rPr>
          <w:lang w:val="pl-PL"/>
        </w:rPr>
        <w:t xml:space="preserve">Trybunał wskazuje, że z uzasadnień sądów krajowych wynika, iż w niniejszym przypadku sędziowie mieli świadomość konieczności rozpatrzenia z zachowaniem wymaganej ostrożności dowodu, jakim były zeznania Z.S. </w:t>
      </w:r>
      <w:r w:rsidRPr="009E7ED6">
        <w:rPr>
          <w:lang w:val="pl-PL"/>
        </w:rPr>
        <w:t>(</w:t>
      </w:r>
      <w:r w:rsidRPr="009E7ED6">
        <w:rPr>
          <w:i/>
          <w:lang w:val="pl-PL"/>
        </w:rPr>
        <w:t xml:space="preserve">Gossa </w:t>
      </w:r>
      <w:r>
        <w:rPr>
          <w:i/>
          <w:lang w:val="pl-PL"/>
        </w:rPr>
        <w:t>przeciwko Polsce</w:t>
      </w:r>
      <w:r w:rsidRPr="009E7ED6">
        <w:rPr>
          <w:i/>
          <w:lang w:val="pl-PL"/>
        </w:rPr>
        <w:t xml:space="preserve">, </w:t>
      </w:r>
      <w:r w:rsidRPr="009E7ED6">
        <w:rPr>
          <w:lang w:val="pl-PL"/>
        </w:rPr>
        <w:t>n</w:t>
      </w:r>
      <w:r>
        <w:rPr>
          <w:lang w:val="pl-PL"/>
        </w:rPr>
        <w:t>r</w:t>
      </w:r>
      <w:r w:rsidRPr="009E7ED6">
        <w:rPr>
          <w:lang w:val="pl-PL"/>
        </w:rPr>
        <w:t xml:space="preserve"> 47986/99, </w:t>
      </w:r>
      <w:r w:rsidR="00123507">
        <w:rPr>
          <w:lang w:val="pl-PL"/>
        </w:rPr>
        <w:t>§</w:t>
      </w:r>
      <w:r w:rsidRPr="009E7ED6">
        <w:rPr>
          <w:lang w:val="pl-PL"/>
        </w:rPr>
        <w:t xml:space="preserve"> 62, 9 </w:t>
      </w:r>
      <w:r>
        <w:rPr>
          <w:lang w:val="pl-PL"/>
        </w:rPr>
        <w:t>stycznia</w:t>
      </w:r>
      <w:r w:rsidRPr="009E7ED6">
        <w:rPr>
          <w:lang w:val="pl-PL"/>
        </w:rPr>
        <w:t xml:space="preserve"> 2007</w:t>
      </w:r>
      <w:r>
        <w:rPr>
          <w:lang w:val="pl-PL"/>
        </w:rPr>
        <w:t xml:space="preserve"> r.</w:t>
      </w:r>
      <w:r w:rsidRPr="009E7ED6">
        <w:rPr>
          <w:lang w:val="pl-PL"/>
        </w:rPr>
        <w:t xml:space="preserve">). </w:t>
      </w:r>
      <w:r>
        <w:rPr>
          <w:lang w:val="pl-PL"/>
        </w:rPr>
        <w:t xml:space="preserve">Fakt, że zeznania </w:t>
      </w:r>
      <w:r w:rsidR="009B61A9">
        <w:rPr>
          <w:lang w:val="pl-PL"/>
        </w:rPr>
        <w:t xml:space="preserve">te </w:t>
      </w:r>
      <w:r>
        <w:rPr>
          <w:lang w:val="pl-PL"/>
        </w:rPr>
        <w:t>zostały złożone przed sędzią, stanowi zdaniem Trybunał</w:t>
      </w:r>
      <w:r w:rsidR="009B61A9">
        <w:rPr>
          <w:lang w:val="pl-PL"/>
        </w:rPr>
        <w:t>u</w:t>
      </w:r>
      <w:r>
        <w:rPr>
          <w:lang w:val="pl-PL"/>
        </w:rPr>
        <w:t xml:space="preserve"> istotny element, który należy uwzględnić. Wyżej wspomniane uzasadnienia sądów krajowych dowodzą, że zakres zeznań Z.S. przeanalizowano starannie w świetle całości materiału dowodowego i że wnioski, do jakich doszli sędziowie w przedmiocie wiarygodności jej </w:t>
      </w:r>
      <w:r w:rsidR="005879E8">
        <w:rPr>
          <w:lang w:val="pl-PL"/>
        </w:rPr>
        <w:t>wypowiedzi</w:t>
      </w:r>
      <w:r>
        <w:rPr>
          <w:lang w:val="pl-PL"/>
        </w:rPr>
        <w:t>, były należycie uzasadnione.</w:t>
      </w:r>
    </w:p>
    <w:p w:rsidR="00970E5A" w:rsidRPr="009E7ED6" w:rsidRDefault="00970E5A" w:rsidP="008F4A92">
      <w:pPr>
        <w:pStyle w:val="ECHRPara"/>
        <w:rPr>
          <w:lang w:val="pl-PL"/>
        </w:rPr>
      </w:pPr>
      <w:r>
        <w:rPr>
          <w:lang w:val="pl-PL"/>
        </w:rPr>
        <w:t xml:space="preserve">Trybunał zauważa w tym względzie, że aby ocenić wiarygodność Z.S., sądy krajowe uwzględniły </w:t>
      </w:r>
      <w:r w:rsidR="00041D9D">
        <w:rPr>
          <w:lang w:val="pl-PL"/>
        </w:rPr>
        <w:t>opinię</w:t>
      </w:r>
      <w:r>
        <w:rPr>
          <w:lang w:val="pl-PL"/>
        </w:rPr>
        <w:t xml:space="preserve"> psychologiczną, zgodnie z którą </w:t>
      </w:r>
      <w:r w:rsidR="00041D9D">
        <w:rPr>
          <w:lang w:val="pl-PL"/>
        </w:rPr>
        <w:t xml:space="preserve">jej </w:t>
      </w:r>
      <w:r>
        <w:rPr>
          <w:lang w:val="pl-PL"/>
        </w:rPr>
        <w:t xml:space="preserve">zeznania należy uznać za wiarygodne (zob., </w:t>
      </w:r>
      <w:r w:rsidRPr="009E7ED6">
        <w:rPr>
          <w:i/>
          <w:lang w:val="pl-PL"/>
        </w:rPr>
        <w:t>a contrario</w:t>
      </w:r>
      <w:r w:rsidRPr="009E7ED6">
        <w:rPr>
          <w:lang w:val="pl-PL"/>
        </w:rPr>
        <w:t xml:space="preserve">, </w:t>
      </w:r>
      <w:r w:rsidRPr="009E7ED6">
        <w:rPr>
          <w:i/>
          <w:lang w:val="pl-PL"/>
        </w:rPr>
        <w:t>Rosin</w:t>
      </w:r>
      <w:r w:rsidRPr="009E7ED6">
        <w:rPr>
          <w:lang w:val="pl-PL"/>
        </w:rPr>
        <w:t>,</w:t>
      </w:r>
      <w:r w:rsidRPr="009E7ED6">
        <w:rPr>
          <w:i/>
          <w:lang w:val="pl-PL"/>
        </w:rPr>
        <w:t xml:space="preserve"> </w:t>
      </w:r>
      <w:r>
        <w:rPr>
          <w:lang w:val="pl-PL"/>
        </w:rPr>
        <w:t>cytowany powyżej</w:t>
      </w:r>
      <w:r w:rsidRPr="009E7ED6">
        <w:rPr>
          <w:lang w:val="pl-PL"/>
        </w:rPr>
        <w:t>,</w:t>
      </w:r>
      <w:r w:rsidRPr="009E7ED6">
        <w:rPr>
          <w:i/>
          <w:lang w:val="pl-PL"/>
        </w:rPr>
        <w:t xml:space="preserve"> </w:t>
      </w:r>
      <w:r w:rsidR="00DA0DB3">
        <w:rPr>
          <w:lang w:val="pl-PL"/>
        </w:rPr>
        <w:t>§</w:t>
      </w:r>
      <w:r w:rsidRPr="009E7ED6">
        <w:rPr>
          <w:lang w:val="pl-PL"/>
        </w:rPr>
        <w:t xml:space="preserve"> 61)</w:t>
      </w:r>
      <w:r>
        <w:rPr>
          <w:lang w:val="pl-PL"/>
        </w:rPr>
        <w:t xml:space="preserve">, a płynące z niej wnioski zostały potwierdzone przez </w:t>
      </w:r>
      <w:r w:rsidR="00DA0DB3">
        <w:rPr>
          <w:lang w:val="pl-PL"/>
        </w:rPr>
        <w:t>biegłego</w:t>
      </w:r>
      <w:r>
        <w:rPr>
          <w:lang w:val="pl-PL"/>
        </w:rPr>
        <w:t xml:space="preserve"> podczas rozprawy w obecności skarżącego i jego obrońcy (</w:t>
      </w:r>
      <w:r w:rsidR="003F3D72">
        <w:rPr>
          <w:lang w:val="pl-PL"/>
        </w:rPr>
        <w:t xml:space="preserve">§ </w:t>
      </w:r>
      <w:r>
        <w:rPr>
          <w:lang w:val="pl-PL"/>
        </w:rPr>
        <w:t>21 powyżej). Ponadto</w:t>
      </w:r>
      <w:r w:rsidR="00DA0DB3">
        <w:rPr>
          <w:lang w:val="pl-PL"/>
        </w:rPr>
        <w:t>,</w:t>
      </w:r>
      <w:r>
        <w:rPr>
          <w:lang w:val="pl-PL"/>
        </w:rPr>
        <w:t xml:space="preserve"> podczas rozprawy </w:t>
      </w:r>
      <w:r w:rsidR="00DA0DB3">
        <w:rPr>
          <w:lang w:val="pl-PL"/>
        </w:rPr>
        <w:t>biegły</w:t>
      </w:r>
      <w:r>
        <w:rPr>
          <w:lang w:val="pl-PL"/>
        </w:rPr>
        <w:t xml:space="preserve"> ten był przesłuchiwany przez sędziów i przez obrońców (zob., </w:t>
      </w:r>
      <w:r w:rsidRPr="009E7ED6">
        <w:rPr>
          <w:i/>
          <w:lang w:val="pl-PL"/>
        </w:rPr>
        <w:t>a contrario</w:t>
      </w:r>
      <w:r w:rsidRPr="009E7ED6">
        <w:rPr>
          <w:lang w:val="pl-PL"/>
        </w:rPr>
        <w:t xml:space="preserve">, </w:t>
      </w:r>
      <w:proofErr w:type="spellStart"/>
      <w:r w:rsidR="00794447">
        <w:rPr>
          <w:i/>
          <w:lang w:val="pl-PL"/>
        </w:rPr>
        <w:t>V</w:t>
      </w:r>
      <w:r w:rsidRPr="009E7ED6">
        <w:rPr>
          <w:i/>
          <w:lang w:val="pl-PL"/>
        </w:rPr>
        <w:t>ronc</w:t>
      </w:r>
      <w:r w:rsidR="00794447">
        <w:rPr>
          <w:i/>
          <w:lang w:val="pl-PL"/>
        </w:rPr>
        <w:t>h</w:t>
      </w:r>
      <w:r w:rsidRPr="009E7ED6">
        <w:rPr>
          <w:i/>
          <w:lang w:val="pl-PL"/>
        </w:rPr>
        <w:t>enko</w:t>
      </w:r>
      <w:proofErr w:type="spellEnd"/>
      <w:r w:rsidRPr="009E7ED6">
        <w:rPr>
          <w:lang w:val="pl-PL"/>
        </w:rPr>
        <w:t xml:space="preserve">, </w:t>
      </w:r>
      <w:r>
        <w:rPr>
          <w:lang w:val="pl-PL"/>
        </w:rPr>
        <w:t>cytowany powyżej</w:t>
      </w:r>
      <w:r w:rsidRPr="009E7ED6">
        <w:rPr>
          <w:lang w:val="pl-PL"/>
        </w:rPr>
        <w:t xml:space="preserve">, </w:t>
      </w:r>
      <w:r w:rsidR="00794447">
        <w:rPr>
          <w:lang w:val="pl-PL"/>
        </w:rPr>
        <w:t>§</w:t>
      </w:r>
      <w:r w:rsidRPr="009E7ED6">
        <w:rPr>
          <w:lang w:val="pl-PL"/>
        </w:rPr>
        <w:t xml:space="preserve"> 64).</w:t>
      </w:r>
    </w:p>
    <w:p w:rsidR="00970E5A"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57</w:t>
      </w:r>
      <w:r w:rsidRPr="009E7ED6">
        <w:rPr>
          <w:lang w:val="pl-PL"/>
        </w:rPr>
        <w:fldChar w:fldCharType="end"/>
      </w:r>
      <w:r w:rsidRPr="009E7ED6">
        <w:rPr>
          <w:lang w:val="pl-PL"/>
        </w:rPr>
        <w:t>.  </w:t>
      </w:r>
      <w:r>
        <w:rPr>
          <w:lang w:val="pl-PL"/>
        </w:rPr>
        <w:t xml:space="preserve">Trybunał zaznacza również, że orzeczenie Sądu Rejonowego w Oławie było poprzedzone dogłębną analizą wiarygodności najważniejszych świadków, w tym jednego z dwóch współoskarżonych skarżącego oraz naocznego świadka zdarzenia. </w:t>
      </w:r>
      <w:r w:rsidR="003B14DC">
        <w:rPr>
          <w:lang w:val="pl-PL"/>
        </w:rPr>
        <w:t>Orzeczenie</w:t>
      </w:r>
      <w:r>
        <w:rPr>
          <w:lang w:val="pl-PL"/>
        </w:rPr>
        <w:t xml:space="preserve"> sądu pokazuje, że </w:t>
      </w:r>
      <w:r w:rsidR="00E13BB1">
        <w:rPr>
          <w:lang w:val="pl-PL"/>
        </w:rPr>
        <w:t xml:space="preserve">odrzucenie </w:t>
      </w:r>
      <w:r>
        <w:rPr>
          <w:lang w:val="pl-PL"/>
        </w:rPr>
        <w:t xml:space="preserve"> późniejszych zeznań tych świadków, które przeczyły zeznaniom Z.S., było obszernie uzasadnione (</w:t>
      </w:r>
      <w:r w:rsidR="003F3D72">
        <w:rPr>
          <w:lang w:val="pl-PL"/>
        </w:rPr>
        <w:t>§§</w:t>
      </w:r>
      <w:r>
        <w:rPr>
          <w:lang w:val="pl-PL"/>
        </w:rPr>
        <w:t xml:space="preserve"> 17-19 powyżej). Z uzasadnie</w:t>
      </w:r>
      <w:r w:rsidR="003B14DC">
        <w:rPr>
          <w:lang w:val="pl-PL"/>
        </w:rPr>
        <w:t>nia</w:t>
      </w:r>
      <w:r>
        <w:rPr>
          <w:lang w:val="pl-PL"/>
        </w:rPr>
        <w:t xml:space="preserve"> wynika ponadto, że </w:t>
      </w:r>
      <w:r w:rsidR="00BC5FBA">
        <w:rPr>
          <w:lang w:val="pl-PL"/>
        </w:rPr>
        <w:t>twierdze</w:t>
      </w:r>
      <w:r>
        <w:rPr>
          <w:lang w:val="pl-PL"/>
        </w:rPr>
        <w:t xml:space="preserve">nia wspomnianych świadków na temat ich pierwotnych </w:t>
      </w:r>
      <w:r w:rsidR="00336DB2">
        <w:rPr>
          <w:lang w:val="pl-PL"/>
        </w:rPr>
        <w:t>wypowiedzi</w:t>
      </w:r>
      <w:r>
        <w:rPr>
          <w:lang w:val="pl-PL"/>
        </w:rPr>
        <w:t>, rzekomo zniekształconych z powodu środków przymusu, jakie mieli wobec nich zastosować funkcjonariusze policji, zostały r</w:t>
      </w:r>
      <w:r w:rsidR="00947E9F">
        <w:rPr>
          <w:lang w:val="pl-PL"/>
        </w:rPr>
        <w:t xml:space="preserve">ozpatrzone </w:t>
      </w:r>
      <w:r w:rsidR="002F59D9">
        <w:rPr>
          <w:lang w:val="pl-PL"/>
        </w:rPr>
        <w:t>w sposób</w:t>
      </w:r>
      <w:r w:rsidR="00947E9F">
        <w:rPr>
          <w:lang w:val="pl-PL"/>
        </w:rPr>
        <w:t xml:space="preserve"> </w:t>
      </w:r>
      <w:r w:rsidR="002F59D9">
        <w:rPr>
          <w:lang w:val="pl-PL"/>
        </w:rPr>
        <w:t>bardzo</w:t>
      </w:r>
      <w:r w:rsidR="00947E9F">
        <w:rPr>
          <w:lang w:val="pl-PL"/>
        </w:rPr>
        <w:t xml:space="preserve"> </w:t>
      </w:r>
      <w:r w:rsidR="002F59D9">
        <w:rPr>
          <w:lang w:val="pl-PL"/>
        </w:rPr>
        <w:t>szczegółowy</w:t>
      </w:r>
      <w:r w:rsidR="00947E9F">
        <w:rPr>
          <w:lang w:val="pl-PL"/>
        </w:rPr>
        <w:t>.</w:t>
      </w:r>
    </w:p>
    <w:p w:rsidR="00970E5A" w:rsidRPr="009E7ED6" w:rsidRDefault="00970E5A" w:rsidP="006B4F9F">
      <w:pPr>
        <w:pStyle w:val="ECHRPara"/>
        <w:rPr>
          <w:lang w:val="pl-PL"/>
        </w:rPr>
      </w:pPr>
      <w:r>
        <w:rPr>
          <w:lang w:val="pl-PL"/>
        </w:rPr>
        <w:t xml:space="preserve">Trybunał zauważa wreszcie, że Sąd Rejonowy w Oławie dokonał </w:t>
      </w:r>
      <w:r w:rsidR="00075CB7">
        <w:rPr>
          <w:lang w:val="pl-PL"/>
        </w:rPr>
        <w:t>dokładnego</w:t>
      </w:r>
      <w:r>
        <w:rPr>
          <w:lang w:val="pl-PL"/>
        </w:rPr>
        <w:t xml:space="preserve"> roz</w:t>
      </w:r>
      <w:r w:rsidR="00075CB7">
        <w:rPr>
          <w:lang w:val="pl-PL"/>
        </w:rPr>
        <w:t>ważenia</w:t>
      </w:r>
      <w:r>
        <w:rPr>
          <w:lang w:val="pl-PL"/>
        </w:rPr>
        <w:t xml:space="preserve"> wszystkich faktów i </w:t>
      </w:r>
      <w:r w:rsidR="00075CB7">
        <w:rPr>
          <w:lang w:val="pl-PL"/>
        </w:rPr>
        <w:t>dowodów</w:t>
      </w:r>
      <w:r>
        <w:rPr>
          <w:lang w:val="pl-PL"/>
        </w:rPr>
        <w:t>, że w drugiej instancji nastąpiła dogłębna kontrola jego orzeczenia przez Sąd Okręgowy we Wrocławiu</w:t>
      </w:r>
      <w:r w:rsidRPr="009E7ED6">
        <w:rPr>
          <w:lang w:val="pl-PL"/>
        </w:rPr>
        <w:t xml:space="preserve"> (</w:t>
      </w:r>
      <w:proofErr w:type="spellStart"/>
      <w:r w:rsidRPr="009E7ED6">
        <w:rPr>
          <w:i/>
          <w:lang w:val="pl-PL"/>
        </w:rPr>
        <w:t>Brzuszczyński</w:t>
      </w:r>
      <w:proofErr w:type="spellEnd"/>
      <w:r w:rsidRPr="009E7ED6">
        <w:rPr>
          <w:i/>
          <w:lang w:val="pl-PL"/>
        </w:rPr>
        <w:t xml:space="preserve"> </w:t>
      </w:r>
      <w:r>
        <w:rPr>
          <w:i/>
          <w:lang w:val="pl-PL"/>
        </w:rPr>
        <w:t>przeciwko Polsce</w:t>
      </w:r>
      <w:r w:rsidRPr="009E7ED6">
        <w:rPr>
          <w:lang w:val="pl-PL"/>
        </w:rPr>
        <w:t>, n</w:t>
      </w:r>
      <w:r>
        <w:rPr>
          <w:lang w:val="pl-PL"/>
        </w:rPr>
        <w:t>r</w:t>
      </w:r>
      <w:r w:rsidRPr="009E7ED6">
        <w:rPr>
          <w:lang w:val="pl-PL"/>
        </w:rPr>
        <w:t> 23789/09,</w:t>
      </w:r>
      <w:r w:rsidR="00521D77">
        <w:rPr>
          <w:lang w:val="pl-PL"/>
        </w:rPr>
        <w:t xml:space="preserve"> §</w:t>
      </w:r>
      <w:r w:rsidRPr="009E7ED6">
        <w:rPr>
          <w:lang w:val="pl-PL"/>
        </w:rPr>
        <w:t> 88, 17 </w:t>
      </w:r>
      <w:r>
        <w:rPr>
          <w:lang w:val="pl-PL"/>
        </w:rPr>
        <w:t>września</w:t>
      </w:r>
      <w:r w:rsidRPr="009E7ED6">
        <w:rPr>
          <w:lang w:val="pl-PL"/>
        </w:rPr>
        <w:t xml:space="preserve"> 2013</w:t>
      </w:r>
      <w:r>
        <w:rPr>
          <w:lang w:val="pl-PL"/>
        </w:rPr>
        <w:t xml:space="preserve"> r.</w:t>
      </w:r>
      <w:r w:rsidRPr="009E7ED6">
        <w:rPr>
          <w:lang w:val="pl-PL"/>
        </w:rPr>
        <w:t xml:space="preserve">) </w:t>
      </w:r>
      <w:r>
        <w:rPr>
          <w:lang w:val="pl-PL"/>
        </w:rPr>
        <w:t>oraz że kasac</w:t>
      </w:r>
      <w:r w:rsidR="00281A2B">
        <w:rPr>
          <w:lang w:val="pl-PL"/>
        </w:rPr>
        <w:t>ja</w:t>
      </w:r>
      <w:r>
        <w:rPr>
          <w:lang w:val="pl-PL"/>
        </w:rPr>
        <w:t xml:space="preserve"> skarżącego została od</w:t>
      </w:r>
      <w:r w:rsidR="00EF7F54">
        <w:rPr>
          <w:lang w:val="pl-PL"/>
        </w:rPr>
        <w:t>dalo</w:t>
      </w:r>
      <w:r w:rsidR="00281A2B">
        <w:rPr>
          <w:lang w:val="pl-PL"/>
        </w:rPr>
        <w:t>na</w:t>
      </w:r>
      <w:r>
        <w:rPr>
          <w:lang w:val="pl-PL"/>
        </w:rPr>
        <w:t xml:space="preserve"> przez Sąd Najwyższy, ponieważ była w sposób oczywisty bezzasadna (</w:t>
      </w:r>
      <w:r w:rsidR="003F3D72">
        <w:rPr>
          <w:lang w:val="pl-PL"/>
        </w:rPr>
        <w:t>§§</w:t>
      </w:r>
      <w:r>
        <w:rPr>
          <w:lang w:val="pl-PL"/>
        </w:rPr>
        <w:t xml:space="preserve"> 23-26 powyżej).</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58</w:t>
      </w:r>
      <w:r w:rsidRPr="009E7ED6">
        <w:rPr>
          <w:lang w:val="pl-PL"/>
        </w:rPr>
        <w:fldChar w:fldCharType="end"/>
      </w:r>
      <w:r w:rsidRPr="009E7ED6">
        <w:rPr>
          <w:lang w:val="pl-PL"/>
        </w:rPr>
        <w:t>.  </w:t>
      </w:r>
      <w:r>
        <w:rPr>
          <w:lang w:val="pl-PL"/>
        </w:rPr>
        <w:t xml:space="preserve">Zważywszy na powyższe względy, a w szczególności na fakt, że skazanie skarżącego nastąpiło nie tylko na podstawie spornych zeznań Z.S., </w:t>
      </w:r>
      <w:r>
        <w:rPr>
          <w:lang w:val="pl-PL"/>
        </w:rPr>
        <w:lastRenderedPageBreak/>
        <w:t xml:space="preserve">lecz w oparciu o inne dowody, których </w:t>
      </w:r>
      <w:r w:rsidR="001115E3">
        <w:rPr>
          <w:lang w:val="pl-PL"/>
        </w:rPr>
        <w:t>rzetelność</w:t>
      </w:r>
      <w:r>
        <w:rPr>
          <w:lang w:val="pl-PL"/>
        </w:rPr>
        <w:t xml:space="preserve"> jest w niniejszym przypadku bezsporna, Trybunał jest zdania, że fakt, iż skarżący nie mógł </w:t>
      </w:r>
      <w:r w:rsidR="008D623D">
        <w:rPr>
          <w:lang w:val="pl-PL"/>
        </w:rPr>
        <w:t>zadawać pytań</w:t>
      </w:r>
      <w:r>
        <w:rPr>
          <w:lang w:val="pl-PL"/>
        </w:rPr>
        <w:t xml:space="preserve"> Z.S., nie doprowadził do naruszenia jego prawa do rzetelnego procesu.</w:t>
      </w:r>
    </w:p>
    <w:p w:rsidR="00970E5A" w:rsidRPr="009E7ED6" w:rsidRDefault="00970E5A" w:rsidP="00C95D01">
      <w:pPr>
        <w:pStyle w:val="ECHRPara"/>
        <w:rPr>
          <w:lang w:val="pl-PL"/>
        </w:rPr>
      </w:pPr>
      <w:r w:rsidRPr="009E7ED6">
        <w:rPr>
          <w:lang w:val="pl-PL"/>
        </w:rPr>
        <w:fldChar w:fldCharType="begin"/>
      </w:r>
      <w:r w:rsidRPr="009E7ED6">
        <w:rPr>
          <w:lang w:val="pl-PL"/>
        </w:rPr>
        <w:instrText xml:space="preserve"> SEQ level0 \*arabic </w:instrText>
      </w:r>
      <w:r w:rsidRPr="009E7ED6">
        <w:rPr>
          <w:lang w:val="pl-PL"/>
        </w:rPr>
        <w:fldChar w:fldCharType="separate"/>
      </w:r>
      <w:r w:rsidR="0007576D">
        <w:rPr>
          <w:noProof/>
          <w:lang w:val="pl-PL"/>
        </w:rPr>
        <w:t>59</w:t>
      </w:r>
      <w:r w:rsidRPr="009E7ED6">
        <w:rPr>
          <w:lang w:val="pl-PL"/>
        </w:rPr>
        <w:fldChar w:fldCharType="end"/>
      </w:r>
      <w:r w:rsidRPr="009E7ED6">
        <w:rPr>
          <w:lang w:val="pl-PL"/>
        </w:rPr>
        <w:t>.  </w:t>
      </w:r>
      <w:r w:rsidR="00C40716">
        <w:rPr>
          <w:lang w:val="pl-PL"/>
        </w:rPr>
        <w:t>Dlatego też</w:t>
      </w:r>
      <w:r>
        <w:rPr>
          <w:lang w:val="pl-PL"/>
        </w:rPr>
        <w:t xml:space="preserve"> nie doszło do naruszenia art. </w:t>
      </w:r>
      <w:r w:rsidRPr="009E7ED6">
        <w:rPr>
          <w:lang w:val="pl-PL"/>
        </w:rPr>
        <w:t xml:space="preserve">6 §§ 1 </w:t>
      </w:r>
      <w:r>
        <w:rPr>
          <w:lang w:val="pl-PL"/>
        </w:rPr>
        <w:t>i</w:t>
      </w:r>
      <w:r w:rsidRPr="009E7ED6">
        <w:rPr>
          <w:lang w:val="pl-PL"/>
        </w:rPr>
        <w:t xml:space="preserve"> 3 d) </w:t>
      </w:r>
      <w:r>
        <w:rPr>
          <w:lang w:val="pl-PL"/>
        </w:rPr>
        <w:t>Konwencji</w:t>
      </w:r>
      <w:r w:rsidRPr="009E7ED6">
        <w:rPr>
          <w:lang w:val="pl-PL"/>
        </w:rPr>
        <w:t>.</w:t>
      </w:r>
    </w:p>
    <w:p w:rsidR="00970E5A" w:rsidRPr="009E7ED6" w:rsidRDefault="00970E5A" w:rsidP="00C95D01">
      <w:pPr>
        <w:pStyle w:val="ECHRTitle1"/>
        <w:rPr>
          <w:lang w:val="pl-PL"/>
        </w:rPr>
      </w:pPr>
      <w:r>
        <w:rPr>
          <w:lang w:val="pl-PL"/>
        </w:rPr>
        <w:t>Z POWYŻSZYCH WZGLĘDÓW TRYBUNAŁ JEDNOGŁOŚNIE</w:t>
      </w:r>
    </w:p>
    <w:p w:rsidR="00970E5A" w:rsidRPr="009E7ED6" w:rsidRDefault="00970E5A" w:rsidP="00C95D01">
      <w:pPr>
        <w:pStyle w:val="JuList"/>
        <w:rPr>
          <w:lang w:val="pl-PL"/>
        </w:rPr>
      </w:pPr>
      <w:r w:rsidRPr="009E7ED6">
        <w:rPr>
          <w:lang w:val="pl-PL"/>
        </w:rPr>
        <w:t>1.  </w:t>
      </w:r>
      <w:r>
        <w:rPr>
          <w:i/>
          <w:lang w:val="pl-PL"/>
        </w:rPr>
        <w:t>Uznaje</w:t>
      </w:r>
      <w:r w:rsidRPr="009E7ED6">
        <w:rPr>
          <w:lang w:val="pl-PL"/>
        </w:rPr>
        <w:t xml:space="preserve"> </w:t>
      </w:r>
      <w:r>
        <w:rPr>
          <w:lang w:val="pl-PL"/>
        </w:rPr>
        <w:t>skargę za dopuszczalną</w:t>
      </w:r>
      <w:r w:rsidRPr="009E7ED6">
        <w:rPr>
          <w:lang w:val="pl-PL"/>
        </w:rPr>
        <w:t>;</w:t>
      </w:r>
    </w:p>
    <w:p w:rsidR="00970E5A" w:rsidRPr="009E7ED6" w:rsidRDefault="00970E5A" w:rsidP="00C95D01">
      <w:pPr>
        <w:pStyle w:val="JuList"/>
        <w:rPr>
          <w:lang w:val="pl-PL"/>
        </w:rPr>
      </w:pPr>
    </w:p>
    <w:p w:rsidR="00970E5A" w:rsidRPr="009E7ED6" w:rsidRDefault="00970E5A" w:rsidP="00C95D01">
      <w:pPr>
        <w:pStyle w:val="JuList"/>
        <w:rPr>
          <w:lang w:val="pl-PL"/>
        </w:rPr>
      </w:pPr>
      <w:r w:rsidRPr="009E7ED6">
        <w:rPr>
          <w:lang w:val="pl-PL"/>
        </w:rPr>
        <w:t>2.  </w:t>
      </w:r>
      <w:r>
        <w:rPr>
          <w:i/>
          <w:lang w:val="pl-PL"/>
        </w:rPr>
        <w:t>Stwierdza</w:t>
      </w:r>
      <w:r>
        <w:rPr>
          <w:lang w:val="pl-PL"/>
        </w:rPr>
        <w:t>, że nie doszło do naruszenia art.</w:t>
      </w:r>
      <w:r w:rsidRPr="009E7ED6">
        <w:rPr>
          <w:lang w:val="pl-PL"/>
        </w:rPr>
        <w:t xml:space="preserve"> 6 §§ 1 </w:t>
      </w:r>
      <w:r>
        <w:rPr>
          <w:lang w:val="pl-PL"/>
        </w:rPr>
        <w:t>i</w:t>
      </w:r>
      <w:r w:rsidRPr="009E7ED6">
        <w:rPr>
          <w:lang w:val="pl-PL"/>
        </w:rPr>
        <w:t xml:space="preserve"> 3 d) </w:t>
      </w:r>
      <w:r>
        <w:rPr>
          <w:lang w:val="pl-PL"/>
        </w:rPr>
        <w:t>Konwencji</w:t>
      </w:r>
      <w:r w:rsidRPr="009E7ED6">
        <w:rPr>
          <w:lang w:val="pl-PL"/>
        </w:rPr>
        <w:t>.</w:t>
      </w:r>
    </w:p>
    <w:p w:rsidR="00970E5A" w:rsidRPr="009E7ED6" w:rsidRDefault="00970E5A" w:rsidP="00C95D01">
      <w:pPr>
        <w:pStyle w:val="JuList"/>
        <w:rPr>
          <w:lang w:val="pl-PL"/>
        </w:rPr>
      </w:pPr>
    </w:p>
    <w:p w:rsidR="00970E5A" w:rsidRPr="009E7ED6" w:rsidRDefault="00970E5A" w:rsidP="00C95D01">
      <w:pPr>
        <w:pStyle w:val="JuList"/>
        <w:ind w:left="0" w:firstLine="284"/>
        <w:rPr>
          <w:lang w:val="pl-PL"/>
        </w:rPr>
      </w:pPr>
      <w:r>
        <w:rPr>
          <w:lang w:val="pl-PL"/>
        </w:rPr>
        <w:t xml:space="preserve">Sporządzono w języku francuskim i obwieszczono pisemnie w dniu 24 maja 2016 r., </w:t>
      </w:r>
      <w:r w:rsidR="00900170">
        <w:rPr>
          <w:lang w:val="pl-PL"/>
        </w:rPr>
        <w:t>przy</w:t>
      </w:r>
      <w:r>
        <w:rPr>
          <w:lang w:val="pl-PL"/>
        </w:rPr>
        <w:t xml:space="preserve"> zastosowaniu </w:t>
      </w:r>
      <w:r w:rsidR="002752C7">
        <w:rPr>
          <w:lang w:val="pl-PL"/>
        </w:rPr>
        <w:t>artykułu</w:t>
      </w:r>
      <w:r>
        <w:rPr>
          <w:lang w:val="pl-PL"/>
        </w:rPr>
        <w:t xml:space="preserve"> </w:t>
      </w:r>
      <w:r w:rsidRPr="009E7ED6">
        <w:rPr>
          <w:lang w:val="pl-PL"/>
        </w:rPr>
        <w:t xml:space="preserve">77 §§ 2 </w:t>
      </w:r>
      <w:r>
        <w:rPr>
          <w:lang w:val="pl-PL"/>
        </w:rPr>
        <w:t>i</w:t>
      </w:r>
      <w:r w:rsidRPr="009E7ED6">
        <w:rPr>
          <w:lang w:val="pl-PL"/>
        </w:rPr>
        <w:t xml:space="preserve"> 3 </w:t>
      </w:r>
      <w:r w:rsidR="002752C7">
        <w:rPr>
          <w:lang w:val="pl-PL"/>
        </w:rPr>
        <w:t>R</w:t>
      </w:r>
      <w:r>
        <w:rPr>
          <w:lang w:val="pl-PL"/>
        </w:rPr>
        <w:t>egulaminu Trybunału</w:t>
      </w:r>
      <w:r w:rsidRPr="009E7ED6">
        <w:rPr>
          <w:lang w:val="pl-PL"/>
        </w:rPr>
        <w:t>.</w:t>
      </w:r>
    </w:p>
    <w:p w:rsidR="00970E5A" w:rsidRPr="009E7ED6" w:rsidRDefault="00970E5A" w:rsidP="00C95D01">
      <w:pPr>
        <w:pStyle w:val="JuSigned"/>
        <w:keepNext/>
        <w:keepLines/>
        <w:rPr>
          <w:lang w:val="pl-PL"/>
        </w:rPr>
      </w:pPr>
      <w:r w:rsidRPr="009E7ED6">
        <w:rPr>
          <w:szCs w:val="24"/>
          <w:lang w:val="pl-PL"/>
        </w:rPr>
        <w:tab/>
      </w:r>
      <w:proofErr w:type="spellStart"/>
      <w:r w:rsidRPr="009E7ED6">
        <w:rPr>
          <w:szCs w:val="24"/>
          <w:lang w:val="pl-PL"/>
        </w:rPr>
        <w:t>Fatoş</w:t>
      </w:r>
      <w:proofErr w:type="spellEnd"/>
      <w:r w:rsidRPr="009E7ED6">
        <w:rPr>
          <w:szCs w:val="24"/>
          <w:lang w:val="pl-PL"/>
        </w:rPr>
        <w:t xml:space="preserve"> </w:t>
      </w:r>
      <w:proofErr w:type="spellStart"/>
      <w:r w:rsidRPr="009E7ED6">
        <w:rPr>
          <w:szCs w:val="24"/>
          <w:lang w:val="pl-PL"/>
        </w:rPr>
        <w:t>Aracı</w:t>
      </w:r>
      <w:proofErr w:type="spellEnd"/>
      <w:r w:rsidRPr="009E7ED6">
        <w:rPr>
          <w:lang w:val="pl-PL"/>
        </w:rPr>
        <w:tab/>
      </w:r>
      <w:proofErr w:type="spellStart"/>
      <w:r w:rsidRPr="009E7ED6">
        <w:rPr>
          <w:szCs w:val="24"/>
          <w:lang w:val="pl-PL"/>
        </w:rPr>
        <w:t>András</w:t>
      </w:r>
      <w:proofErr w:type="spellEnd"/>
      <w:r w:rsidRPr="009E7ED6">
        <w:rPr>
          <w:szCs w:val="24"/>
          <w:lang w:val="pl-PL"/>
        </w:rPr>
        <w:t xml:space="preserve"> </w:t>
      </w:r>
      <w:proofErr w:type="spellStart"/>
      <w:r w:rsidRPr="009E7ED6">
        <w:rPr>
          <w:szCs w:val="24"/>
          <w:lang w:val="pl-PL"/>
        </w:rPr>
        <w:t>Sajó</w:t>
      </w:r>
      <w:proofErr w:type="spellEnd"/>
      <w:r w:rsidRPr="009E7ED6">
        <w:rPr>
          <w:lang w:val="pl-PL"/>
        </w:rPr>
        <w:br/>
      </w:r>
      <w:r w:rsidRPr="009E7ED6">
        <w:rPr>
          <w:lang w:val="pl-PL"/>
        </w:rPr>
        <w:tab/>
      </w:r>
      <w:r>
        <w:rPr>
          <w:lang w:val="pl-PL"/>
        </w:rPr>
        <w:t>Zastępca Sekretarza</w:t>
      </w:r>
      <w:r w:rsidRPr="009E7ED6">
        <w:rPr>
          <w:lang w:val="pl-PL"/>
        </w:rPr>
        <w:tab/>
      </w:r>
      <w:r>
        <w:rPr>
          <w:lang w:val="pl-PL"/>
        </w:rPr>
        <w:t>Przewodniczący</w:t>
      </w:r>
    </w:p>
    <w:sectPr w:rsidR="00970E5A" w:rsidRPr="009E7ED6" w:rsidSect="00667353">
      <w:headerReference w:type="even" r:id="rId11"/>
      <w:headerReference w:type="default" r:id="rId12"/>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B79" w:rsidRDefault="00227B79" w:rsidP="00E77CB3">
      <w:r>
        <w:separator/>
      </w:r>
    </w:p>
  </w:endnote>
  <w:endnote w:type="continuationSeparator" w:id="0">
    <w:p w:rsidR="00227B79" w:rsidRDefault="00227B79" w:rsidP="00E7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BB1" w:rsidRPr="00150BFA" w:rsidRDefault="00E13BB1" w:rsidP="00667353">
    <w:pPr>
      <w:jc w:val="center"/>
    </w:pPr>
    <w:r>
      <w:rPr>
        <w:noProof/>
        <w:lang w:val="pl-PL" w:eastAsia="pl-PL"/>
      </w:rPr>
      <w:drawing>
        <wp:inline distT="0" distB="0" distL="0" distR="0">
          <wp:extent cx="762000" cy="619125"/>
          <wp:effectExtent l="0" t="0" r="0" b="9525"/>
          <wp:docPr id="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rsidR="00E13BB1" w:rsidRDefault="00E13BB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B79" w:rsidRDefault="00227B79" w:rsidP="00E77CB3">
      <w:r>
        <w:separator/>
      </w:r>
    </w:p>
  </w:footnote>
  <w:footnote w:type="continuationSeparator" w:id="0">
    <w:p w:rsidR="00227B79" w:rsidRDefault="00227B79" w:rsidP="00E77C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BB1" w:rsidRPr="00667353" w:rsidRDefault="00E13BB1" w:rsidP="00667353">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BB1" w:rsidRPr="00A45145" w:rsidRDefault="00E13BB1" w:rsidP="00667353">
    <w:pPr>
      <w:jc w:val="center"/>
    </w:pPr>
    <w:r>
      <w:rPr>
        <w:noProof/>
        <w:lang w:val="pl-PL" w:eastAsia="pl-PL"/>
      </w:rPr>
      <w:drawing>
        <wp:inline distT="0" distB="0" distL="0" distR="0">
          <wp:extent cx="2962275" cy="1219200"/>
          <wp:effectExtent l="0" t="0" r="9525" b="0"/>
          <wp:docPr id="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13BB1" w:rsidRDefault="00E13BB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BB1" w:rsidRPr="00DE593D" w:rsidRDefault="00E13BB1" w:rsidP="00C611D8">
    <w:pPr>
      <w:pStyle w:val="ECHRHeader"/>
    </w:pPr>
    <w:r>
      <w:rPr>
        <w:rStyle w:val="Numerstrony"/>
      </w:rPr>
      <w:fldChar w:fldCharType="begin"/>
    </w:r>
    <w:r>
      <w:rPr>
        <w:rStyle w:val="Numerstrony"/>
      </w:rPr>
      <w:instrText xml:space="preserve"> PAGE </w:instrText>
    </w:r>
    <w:r>
      <w:rPr>
        <w:rStyle w:val="Numerstrony"/>
      </w:rPr>
      <w:fldChar w:fldCharType="separate"/>
    </w:r>
    <w:r w:rsidR="0007576D">
      <w:rPr>
        <w:rStyle w:val="Numerstrony"/>
        <w:noProof/>
      </w:rPr>
      <w:t>18</w:t>
    </w:r>
    <w:r>
      <w:rPr>
        <w:rStyle w:val="Numerstrony"/>
      </w:rPr>
      <w:fldChar w:fldCharType="end"/>
    </w:r>
    <w:r w:rsidRPr="00DE593D">
      <w:rPr>
        <w:rStyle w:val="Numerstrony"/>
      </w:rPr>
      <w:tab/>
    </w:r>
    <w:r>
      <w:rPr>
        <w:noProof/>
        <w:lang w:val="en-GB"/>
      </w:rPr>
      <w:t>ARRÊT</w:t>
    </w:r>
    <w:r w:rsidRPr="00DE593D">
      <w:t xml:space="preserve"> </w:t>
    </w:r>
    <w:r>
      <w:t>PRZYDZIAŁ c. POLOGNE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BB1" w:rsidRPr="00DD5146" w:rsidRDefault="00E13BB1" w:rsidP="00C63990">
    <w:pPr>
      <w:pStyle w:val="ECHRHeader"/>
    </w:pPr>
    <w:r w:rsidRPr="00C63990">
      <w:rPr>
        <w:lang w:val="fr-FR"/>
      </w:rPr>
      <w:tab/>
    </w:r>
    <w:r>
      <w:rPr>
        <w:noProof/>
        <w:lang w:val="en-GB"/>
      </w:rPr>
      <w:t>WYROK</w:t>
    </w:r>
    <w:r w:rsidRPr="00EB7E63">
      <w:rPr>
        <w:lang w:val="en-GB"/>
      </w:rPr>
      <w:t xml:space="preserve"> </w:t>
    </w:r>
    <w:r>
      <w:rPr>
        <w:lang w:val="en-GB"/>
      </w:rPr>
      <w:t>PRZYDZIAŁ p. POLSCE</w:t>
    </w:r>
    <w:r w:rsidRPr="00EB7E63">
      <w:rPr>
        <w:lang w:val="en-GB"/>
      </w:rPr>
      <w:tab/>
    </w:r>
    <w:r>
      <w:rPr>
        <w:rStyle w:val="Numerstrony"/>
      </w:rPr>
      <w:fldChar w:fldCharType="begin"/>
    </w:r>
    <w:r>
      <w:rPr>
        <w:rStyle w:val="Numerstrony"/>
      </w:rPr>
      <w:instrText xml:space="preserve"> PAGE </w:instrText>
    </w:r>
    <w:r>
      <w:rPr>
        <w:rStyle w:val="Numerstrony"/>
      </w:rPr>
      <w:fldChar w:fldCharType="separate"/>
    </w:r>
    <w:r w:rsidR="0007576D">
      <w:rPr>
        <w:rStyle w:val="Numerstrony"/>
        <w:noProof/>
      </w:rPr>
      <w:t>17</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rPr>
        <w:rFonts w:cs="Times New Roman"/>
      </w:r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rPr>
        <w:rFonts w:cs="Times New Roman"/>
      </w:r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rPr>
        <w:rFonts w:cs="Times New Roman"/>
      </w:r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rPr>
        <w:rFonts w:cs="Times New Roman"/>
      </w:r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1A1ADAC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rPr>
        <w:rFonts w:cs="Times New Roman"/>
      </w:r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27063F06"/>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rPr>
    </w:lvl>
    <w:lvl w:ilvl="1">
      <w:start w:val="1"/>
      <w:numFmt w:val="bullet"/>
      <w:pStyle w:val="ECHRBullet2"/>
      <w:lvlText w:val=""/>
      <w:lvlJc w:val="left"/>
      <w:pPr>
        <w:tabs>
          <w:tab w:val="num" w:pos="1134"/>
        </w:tabs>
        <w:ind w:left="1135" w:hanging="284"/>
      </w:pPr>
      <w:rPr>
        <w:rFonts w:ascii="Wingdings" w:hAnsi="Wingdings" w:hint="default"/>
        <w:color w:val="0072BC"/>
      </w:rPr>
    </w:lvl>
    <w:lvl w:ilvl="2">
      <w:start w:val="1"/>
      <w:numFmt w:val="bullet"/>
      <w:pStyle w:val="ECHRBullet3"/>
      <w:lvlText w:val=""/>
      <w:lvlJc w:val="left"/>
      <w:pPr>
        <w:tabs>
          <w:tab w:val="num" w:pos="1418"/>
        </w:tabs>
        <w:ind w:left="1419" w:hanging="284"/>
      </w:pPr>
      <w:rPr>
        <w:rFonts w:ascii="Wingdings" w:hAnsi="Wingdings" w:hint="default"/>
        <w:color w:val="7F7F7F"/>
      </w:rPr>
    </w:lvl>
    <w:lvl w:ilvl="3">
      <w:start w:val="1"/>
      <w:numFmt w:val="bullet"/>
      <w:pStyle w:val="ECHRBullet4"/>
      <w:lvlText w:val=""/>
      <w:lvlJc w:val="left"/>
      <w:pPr>
        <w:tabs>
          <w:tab w:val="num" w:pos="1701"/>
        </w:tabs>
        <w:ind w:left="1703" w:hanging="284"/>
      </w:pPr>
      <w:rPr>
        <w:rFonts w:ascii="Wingdings" w:hAnsi="Wingdings" w:hint="default"/>
        <w:color w:val="7F7F7F"/>
      </w:rPr>
    </w:lvl>
    <w:lvl w:ilvl="4">
      <w:start w:val="1"/>
      <w:numFmt w:val="bullet"/>
      <w:lvlText w:val=""/>
      <w:lvlJc w:val="left"/>
      <w:pPr>
        <w:tabs>
          <w:tab w:val="num" w:pos="1760"/>
        </w:tabs>
        <w:ind w:left="1987" w:hanging="284"/>
      </w:pPr>
      <w:rPr>
        <w:rFonts w:ascii="Wingdings" w:hAnsi="Wingdings" w:hint="default"/>
        <w:color w:val="0072BC"/>
      </w:rPr>
    </w:lvl>
    <w:lvl w:ilvl="5">
      <w:start w:val="1"/>
      <w:numFmt w:val="bullet"/>
      <w:lvlText w:val=""/>
      <w:lvlJc w:val="left"/>
      <w:pPr>
        <w:tabs>
          <w:tab w:val="num" w:pos="2044"/>
        </w:tabs>
        <w:ind w:left="2271" w:hanging="284"/>
      </w:pPr>
      <w:rPr>
        <w:rFonts w:ascii="Wingdings" w:hAnsi="Wingdings" w:hint="default"/>
        <w:color w:val="5F5F5F"/>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3">
    <w:nsid w:val="5032512D"/>
    <w:multiLevelType w:val="multilevel"/>
    <w:tmpl w:val="9B34AC6C"/>
    <w:styleLink w:val="ECHRA1StyleNumberedList"/>
    <w:lvl w:ilvl="0">
      <w:start w:val="1"/>
      <w:numFmt w:val="decimal"/>
      <w:lvlText w:val="%1."/>
      <w:lvlJc w:val="left"/>
      <w:pPr>
        <w:tabs>
          <w:tab w:val="num" w:pos="964"/>
        </w:tabs>
        <w:ind w:left="964" w:hanging="397"/>
      </w:pPr>
      <w:rPr>
        <w:rFonts w:cs="Times New Roman" w:hint="default"/>
      </w:rPr>
    </w:lvl>
    <w:lvl w:ilvl="1">
      <w:start w:val="1"/>
      <w:numFmt w:val="lowerLetter"/>
      <w:lvlText w:val="%2."/>
      <w:lvlJc w:val="left"/>
      <w:pPr>
        <w:tabs>
          <w:tab w:val="num" w:pos="1361"/>
        </w:tabs>
        <w:ind w:left="1361" w:hanging="397"/>
      </w:pPr>
      <w:rPr>
        <w:rFonts w:cs="Times New Roman" w:hint="default"/>
      </w:rPr>
    </w:lvl>
    <w:lvl w:ilvl="2">
      <w:start w:val="1"/>
      <w:numFmt w:val="lowerRoman"/>
      <w:lvlText w:val="%3."/>
      <w:lvlJc w:val="left"/>
      <w:pPr>
        <w:tabs>
          <w:tab w:val="num" w:pos="1758"/>
        </w:tabs>
        <w:ind w:left="1758" w:hanging="397"/>
      </w:pPr>
      <w:rPr>
        <w:rFonts w:cs="Times New Roman" w:hint="default"/>
      </w:rPr>
    </w:lvl>
    <w:lvl w:ilvl="3">
      <w:start w:val="1"/>
      <w:numFmt w:val="decimal"/>
      <w:lvlText w:val="(%4)"/>
      <w:lvlJc w:val="left"/>
      <w:pPr>
        <w:tabs>
          <w:tab w:val="num" w:pos="1703"/>
        </w:tabs>
        <w:ind w:left="1703" w:hanging="284"/>
      </w:pPr>
      <w:rPr>
        <w:rFonts w:cs="Times New Roman" w:hint="default"/>
      </w:rPr>
    </w:lvl>
    <w:lvl w:ilvl="4">
      <w:start w:val="1"/>
      <w:numFmt w:val="lowerLetter"/>
      <w:lvlText w:val="(%5)"/>
      <w:lvlJc w:val="left"/>
      <w:pPr>
        <w:tabs>
          <w:tab w:val="num" w:pos="1987"/>
        </w:tabs>
        <w:ind w:left="1987" w:hanging="284"/>
      </w:pPr>
      <w:rPr>
        <w:rFonts w:cs="Times New Roman" w:hint="default"/>
      </w:rPr>
    </w:lvl>
    <w:lvl w:ilvl="5">
      <w:start w:val="1"/>
      <w:numFmt w:val="lowerRoman"/>
      <w:lvlText w:val="(%6)"/>
      <w:lvlJc w:val="left"/>
      <w:pPr>
        <w:tabs>
          <w:tab w:val="num" w:pos="2271"/>
        </w:tabs>
        <w:ind w:left="2271" w:hanging="284"/>
      </w:pPr>
      <w:rPr>
        <w:rFonts w:cs="Times New Roman" w:hint="default"/>
      </w:rPr>
    </w:lvl>
    <w:lvl w:ilvl="6">
      <w:start w:val="1"/>
      <w:numFmt w:val="decimal"/>
      <w:lvlText w:val="%7."/>
      <w:lvlJc w:val="left"/>
      <w:pPr>
        <w:tabs>
          <w:tab w:val="num" w:pos="2555"/>
        </w:tabs>
        <w:ind w:left="2555" w:hanging="284"/>
      </w:pPr>
      <w:rPr>
        <w:rFonts w:cs="Times New Roman" w:hint="default"/>
      </w:rPr>
    </w:lvl>
    <w:lvl w:ilvl="7">
      <w:start w:val="1"/>
      <w:numFmt w:val="lowerLetter"/>
      <w:lvlText w:val="%8."/>
      <w:lvlJc w:val="left"/>
      <w:pPr>
        <w:tabs>
          <w:tab w:val="num" w:pos="2839"/>
        </w:tabs>
        <w:ind w:left="2839" w:hanging="284"/>
      </w:pPr>
      <w:rPr>
        <w:rFonts w:cs="Times New Roman" w:hint="default"/>
      </w:rPr>
    </w:lvl>
    <w:lvl w:ilvl="8">
      <w:start w:val="1"/>
      <w:numFmt w:val="lowerRoman"/>
      <w:lvlText w:val="%9."/>
      <w:lvlJc w:val="left"/>
      <w:pPr>
        <w:tabs>
          <w:tab w:val="num" w:pos="3123"/>
        </w:tabs>
        <w:ind w:left="3123" w:hanging="284"/>
      </w:pPr>
      <w:rPr>
        <w:rFonts w:cs="Times New Roman" w:hint="default"/>
      </w:rPr>
    </w:lvl>
  </w:abstractNum>
  <w:abstractNum w:abstractNumId="14">
    <w:nsid w:val="65D7306C"/>
    <w:multiLevelType w:val="multilevel"/>
    <w:tmpl w:val="040C0023"/>
    <w:styleLink w:val="Artykusekcja"/>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num w:numId="1">
    <w:abstractNumId w:val="9"/>
  </w:num>
  <w:num w:numId="2">
    <w:abstractNumId w:val="7"/>
  </w:num>
  <w:num w:numId="3">
    <w:abstractNumId w:val="6"/>
  </w:num>
  <w:num w:numId="4">
    <w:abstractNumId w:val="4"/>
  </w:num>
  <w:num w:numId="5">
    <w:abstractNumId w:val="8"/>
  </w:num>
  <w:num w:numId="6">
    <w:abstractNumId w:val="3"/>
  </w:num>
  <w:num w:numId="7">
    <w:abstractNumId w:val="2"/>
  </w:num>
  <w:num w:numId="8">
    <w:abstractNumId w:val="1"/>
  </w:num>
  <w:num w:numId="9">
    <w:abstractNumId w:val="0"/>
  </w:num>
  <w:num w:numId="10">
    <w:abstractNumId w:val="5"/>
  </w:num>
  <w:num w:numId="11">
    <w:abstractNumId w:val="11"/>
  </w:num>
  <w:num w:numId="12">
    <w:abstractNumId w:val="10"/>
  </w:num>
  <w:num w:numId="13">
    <w:abstractNumId w:val="14"/>
  </w:num>
  <w:num w:numId="14">
    <w:abstractNumId w:val="15"/>
  </w:num>
  <w:num w:numId="15">
    <w:abstractNumId w:val="12"/>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B75FF6"/>
    <w:rsid w:val="00001457"/>
    <w:rsid w:val="00001FF7"/>
    <w:rsid w:val="000041F8"/>
    <w:rsid w:val="000042A8"/>
    <w:rsid w:val="00004308"/>
    <w:rsid w:val="000050C1"/>
    <w:rsid w:val="00005BF0"/>
    <w:rsid w:val="00007154"/>
    <w:rsid w:val="000103AE"/>
    <w:rsid w:val="0001181F"/>
    <w:rsid w:val="00011D69"/>
    <w:rsid w:val="0001260D"/>
    <w:rsid w:val="000128E7"/>
    <w:rsid w:val="00012AD3"/>
    <w:rsid w:val="000138D3"/>
    <w:rsid w:val="00015A20"/>
    <w:rsid w:val="00015C2D"/>
    <w:rsid w:val="00015F00"/>
    <w:rsid w:val="00016338"/>
    <w:rsid w:val="00020195"/>
    <w:rsid w:val="00020F40"/>
    <w:rsid w:val="00021701"/>
    <w:rsid w:val="00022516"/>
    <w:rsid w:val="00022C1D"/>
    <w:rsid w:val="00023486"/>
    <w:rsid w:val="000312FB"/>
    <w:rsid w:val="000341C4"/>
    <w:rsid w:val="00034987"/>
    <w:rsid w:val="00041332"/>
    <w:rsid w:val="00041D9D"/>
    <w:rsid w:val="00044EF9"/>
    <w:rsid w:val="00044F15"/>
    <w:rsid w:val="00050761"/>
    <w:rsid w:val="000527F2"/>
    <w:rsid w:val="00052E0A"/>
    <w:rsid w:val="00053011"/>
    <w:rsid w:val="00055560"/>
    <w:rsid w:val="00056D54"/>
    <w:rsid w:val="000602DF"/>
    <w:rsid w:val="0006198A"/>
    <w:rsid w:val="00061B05"/>
    <w:rsid w:val="000632D5"/>
    <w:rsid w:val="00063CBC"/>
    <w:rsid w:val="00064167"/>
    <w:rsid w:val="000644EE"/>
    <w:rsid w:val="00066A71"/>
    <w:rsid w:val="000700FE"/>
    <w:rsid w:val="000720C4"/>
    <w:rsid w:val="00073423"/>
    <w:rsid w:val="00074DB0"/>
    <w:rsid w:val="00075204"/>
    <w:rsid w:val="0007576D"/>
    <w:rsid w:val="00075CB7"/>
    <w:rsid w:val="000766A1"/>
    <w:rsid w:val="000814D2"/>
    <w:rsid w:val="00081F3E"/>
    <w:rsid w:val="00083266"/>
    <w:rsid w:val="00083C3D"/>
    <w:rsid w:val="00085145"/>
    <w:rsid w:val="000855DA"/>
    <w:rsid w:val="0008565F"/>
    <w:rsid w:val="00087299"/>
    <w:rsid w:val="000901C2"/>
    <w:rsid w:val="000904EE"/>
    <w:rsid w:val="000906D9"/>
    <w:rsid w:val="00090C24"/>
    <w:rsid w:val="00090E52"/>
    <w:rsid w:val="0009156D"/>
    <w:rsid w:val="000925AD"/>
    <w:rsid w:val="00097089"/>
    <w:rsid w:val="00097A0B"/>
    <w:rsid w:val="000A24EB"/>
    <w:rsid w:val="000A2F44"/>
    <w:rsid w:val="000A3EBC"/>
    <w:rsid w:val="000A4B83"/>
    <w:rsid w:val="000A6668"/>
    <w:rsid w:val="000B1F6F"/>
    <w:rsid w:val="000B2BEE"/>
    <w:rsid w:val="000B3486"/>
    <w:rsid w:val="000B4D5A"/>
    <w:rsid w:val="000B6923"/>
    <w:rsid w:val="000B6C5E"/>
    <w:rsid w:val="000B7A56"/>
    <w:rsid w:val="000C5F3C"/>
    <w:rsid w:val="000C6127"/>
    <w:rsid w:val="000C6DCC"/>
    <w:rsid w:val="000D0711"/>
    <w:rsid w:val="000D1FE5"/>
    <w:rsid w:val="000D2559"/>
    <w:rsid w:val="000D473E"/>
    <w:rsid w:val="000D47AA"/>
    <w:rsid w:val="000D65B4"/>
    <w:rsid w:val="000D6A52"/>
    <w:rsid w:val="000D6CB0"/>
    <w:rsid w:val="000D721F"/>
    <w:rsid w:val="000D7D50"/>
    <w:rsid w:val="000E024E"/>
    <w:rsid w:val="000E069B"/>
    <w:rsid w:val="000E0E82"/>
    <w:rsid w:val="000E1DC5"/>
    <w:rsid w:val="000E223F"/>
    <w:rsid w:val="000E274C"/>
    <w:rsid w:val="000E2838"/>
    <w:rsid w:val="000E3A9A"/>
    <w:rsid w:val="000E3DE9"/>
    <w:rsid w:val="000E4D08"/>
    <w:rsid w:val="000E55A1"/>
    <w:rsid w:val="000E5643"/>
    <w:rsid w:val="000E6A5A"/>
    <w:rsid w:val="000E7321"/>
    <w:rsid w:val="000E7962"/>
    <w:rsid w:val="000E7D45"/>
    <w:rsid w:val="000F00EF"/>
    <w:rsid w:val="000F0BA7"/>
    <w:rsid w:val="000F2898"/>
    <w:rsid w:val="000F3A33"/>
    <w:rsid w:val="000F5692"/>
    <w:rsid w:val="000F56E0"/>
    <w:rsid w:val="000F67BC"/>
    <w:rsid w:val="000F681A"/>
    <w:rsid w:val="000F6F04"/>
    <w:rsid w:val="000F7851"/>
    <w:rsid w:val="00100CA3"/>
    <w:rsid w:val="0010268F"/>
    <w:rsid w:val="00102E7E"/>
    <w:rsid w:val="00104E23"/>
    <w:rsid w:val="0010583E"/>
    <w:rsid w:val="00107B23"/>
    <w:rsid w:val="00107C20"/>
    <w:rsid w:val="001115E3"/>
    <w:rsid w:val="00111B0C"/>
    <w:rsid w:val="00112470"/>
    <w:rsid w:val="00112CC0"/>
    <w:rsid w:val="00116882"/>
    <w:rsid w:val="00116CC4"/>
    <w:rsid w:val="00117492"/>
    <w:rsid w:val="0012063D"/>
    <w:rsid w:val="00120D6C"/>
    <w:rsid w:val="00121562"/>
    <w:rsid w:val="00123507"/>
    <w:rsid w:val="001257EC"/>
    <w:rsid w:val="0012699C"/>
    <w:rsid w:val="00126DC6"/>
    <w:rsid w:val="00130666"/>
    <w:rsid w:val="0013098E"/>
    <w:rsid w:val="0013188F"/>
    <w:rsid w:val="00132526"/>
    <w:rsid w:val="00132E14"/>
    <w:rsid w:val="00132E6F"/>
    <w:rsid w:val="001339DF"/>
    <w:rsid w:val="00133D33"/>
    <w:rsid w:val="00134D64"/>
    <w:rsid w:val="001351E3"/>
    <w:rsid w:val="00135A30"/>
    <w:rsid w:val="0013612C"/>
    <w:rsid w:val="00136EBC"/>
    <w:rsid w:val="00137FF6"/>
    <w:rsid w:val="00140189"/>
    <w:rsid w:val="0014044F"/>
    <w:rsid w:val="00140FDC"/>
    <w:rsid w:val="00141650"/>
    <w:rsid w:val="00142BED"/>
    <w:rsid w:val="00144473"/>
    <w:rsid w:val="001444B1"/>
    <w:rsid w:val="00144A0A"/>
    <w:rsid w:val="00145A84"/>
    <w:rsid w:val="00145B35"/>
    <w:rsid w:val="00150BFA"/>
    <w:rsid w:val="001555BA"/>
    <w:rsid w:val="001565F7"/>
    <w:rsid w:val="0016174F"/>
    <w:rsid w:val="00162641"/>
    <w:rsid w:val="00162A12"/>
    <w:rsid w:val="001631B7"/>
    <w:rsid w:val="00163C3D"/>
    <w:rsid w:val="0016427E"/>
    <w:rsid w:val="00164FEE"/>
    <w:rsid w:val="00165528"/>
    <w:rsid w:val="00166199"/>
    <w:rsid w:val="00166530"/>
    <w:rsid w:val="001667A7"/>
    <w:rsid w:val="00170FA0"/>
    <w:rsid w:val="00171312"/>
    <w:rsid w:val="0017176B"/>
    <w:rsid w:val="001720B2"/>
    <w:rsid w:val="00173586"/>
    <w:rsid w:val="0017565B"/>
    <w:rsid w:val="001756BA"/>
    <w:rsid w:val="00177B1D"/>
    <w:rsid w:val="00177BBE"/>
    <w:rsid w:val="00177CE7"/>
    <w:rsid w:val="001832BD"/>
    <w:rsid w:val="00184CD2"/>
    <w:rsid w:val="00185AD0"/>
    <w:rsid w:val="00187424"/>
    <w:rsid w:val="00193004"/>
    <w:rsid w:val="001943B5"/>
    <w:rsid w:val="00195134"/>
    <w:rsid w:val="00195BEE"/>
    <w:rsid w:val="0019612E"/>
    <w:rsid w:val="001A064C"/>
    <w:rsid w:val="001A075F"/>
    <w:rsid w:val="001A0EF2"/>
    <w:rsid w:val="001A145B"/>
    <w:rsid w:val="001A39F3"/>
    <w:rsid w:val="001A674C"/>
    <w:rsid w:val="001B12A0"/>
    <w:rsid w:val="001B3B24"/>
    <w:rsid w:val="001B3F2E"/>
    <w:rsid w:val="001B6264"/>
    <w:rsid w:val="001B6EEF"/>
    <w:rsid w:val="001C07C6"/>
    <w:rsid w:val="001C0F98"/>
    <w:rsid w:val="001C1092"/>
    <w:rsid w:val="001C2A42"/>
    <w:rsid w:val="001C7D98"/>
    <w:rsid w:val="001D21FB"/>
    <w:rsid w:val="001D4870"/>
    <w:rsid w:val="001D487D"/>
    <w:rsid w:val="001D4BF0"/>
    <w:rsid w:val="001D63ED"/>
    <w:rsid w:val="001D6D85"/>
    <w:rsid w:val="001D7348"/>
    <w:rsid w:val="001E035B"/>
    <w:rsid w:val="001E07D2"/>
    <w:rsid w:val="001E0961"/>
    <w:rsid w:val="001E2065"/>
    <w:rsid w:val="001E21C8"/>
    <w:rsid w:val="001E2B95"/>
    <w:rsid w:val="001E3479"/>
    <w:rsid w:val="001E3EAE"/>
    <w:rsid w:val="001E5C14"/>
    <w:rsid w:val="001E6CB8"/>
    <w:rsid w:val="001E6F32"/>
    <w:rsid w:val="001E7DE1"/>
    <w:rsid w:val="001F2145"/>
    <w:rsid w:val="001F2467"/>
    <w:rsid w:val="001F50F2"/>
    <w:rsid w:val="001F576E"/>
    <w:rsid w:val="001F5D77"/>
    <w:rsid w:val="001F5EBD"/>
    <w:rsid w:val="001F6262"/>
    <w:rsid w:val="001F67B0"/>
    <w:rsid w:val="001F7B3D"/>
    <w:rsid w:val="001F7BAD"/>
    <w:rsid w:val="0020360E"/>
    <w:rsid w:val="00203E3A"/>
    <w:rsid w:val="00205F9F"/>
    <w:rsid w:val="00210338"/>
    <w:rsid w:val="0021034B"/>
    <w:rsid w:val="002104B5"/>
    <w:rsid w:val="002115FC"/>
    <w:rsid w:val="0021423C"/>
    <w:rsid w:val="00215163"/>
    <w:rsid w:val="002227AA"/>
    <w:rsid w:val="00225008"/>
    <w:rsid w:val="00226E84"/>
    <w:rsid w:val="00227B79"/>
    <w:rsid w:val="00227E06"/>
    <w:rsid w:val="00230229"/>
    <w:rsid w:val="00230D00"/>
    <w:rsid w:val="00231DF7"/>
    <w:rsid w:val="00231FD1"/>
    <w:rsid w:val="00232F90"/>
    <w:rsid w:val="00233105"/>
    <w:rsid w:val="002339E0"/>
    <w:rsid w:val="00233CF8"/>
    <w:rsid w:val="00234D0C"/>
    <w:rsid w:val="00234FCC"/>
    <w:rsid w:val="0023575D"/>
    <w:rsid w:val="00237148"/>
    <w:rsid w:val="00240808"/>
    <w:rsid w:val="00240CB6"/>
    <w:rsid w:val="0024222D"/>
    <w:rsid w:val="00242291"/>
    <w:rsid w:val="0024367A"/>
    <w:rsid w:val="00244135"/>
    <w:rsid w:val="00244825"/>
    <w:rsid w:val="00244A64"/>
    <w:rsid w:val="00244B0E"/>
    <w:rsid w:val="00244F6C"/>
    <w:rsid w:val="00247045"/>
    <w:rsid w:val="002532C5"/>
    <w:rsid w:val="00256BBF"/>
    <w:rsid w:val="00260C03"/>
    <w:rsid w:val="00263A4D"/>
    <w:rsid w:val="0026540E"/>
    <w:rsid w:val="002668E6"/>
    <w:rsid w:val="00267541"/>
    <w:rsid w:val="002719C6"/>
    <w:rsid w:val="002725CE"/>
    <w:rsid w:val="002736B7"/>
    <w:rsid w:val="00275123"/>
    <w:rsid w:val="002752C7"/>
    <w:rsid w:val="00281A2B"/>
    <w:rsid w:val="00282240"/>
    <w:rsid w:val="00283345"/>
    <w:rsid w:val="002872C0"/>
    <w:rsid w:val="0028786E"/>
    <w:rsid w:val="00291D87"/>
    <w:rsid w:val="00291EB2"/>
    <w:rsid w:val="0029275A"/>
    <w:rsid w:val="002927D8"/>
    <w:rsid w:val="00293A17"/>
    <w:rsid w:val="002948AD"/>
    <w:rsid w:val="002960CE"/>
    <w:rsid w:val="0029646F"/>
    <w:rsid w:val="002A01CC"/>
    <w:rsid w:val="002A036E"/>
    <w:rsid w:val="002A1A8F"/>
    <w:rsid w:val="002A2699"/>
    <w:rsid w:val="002A539E"/>
    <w:rsid w:val="002A61B1"/>
    <w:rsid w:val="002A6391"/>
    <w:rsid w:val="002A663C"/>
    <w:rsid w:val="002A6668"/>
    <w:rsid w:val="002A78F3"/>
    <w:rsid w:val="002B0F1B"/>
    <w:rsid w:val="002B2C15"/>
    <w:rsid w:val="002B34C5"/>
    <w:rsid w:val="002B3F18"/>
    <w:rsid w:val="002B444B"/>
    <w:rsid w:val="002B5887"/>
    <w:rsid w:val="002B759A"/>
    <w:rsid w:val="002C0BAA"/>
    <w:rsid w:val="002C0E27"/>
    <w:rsid w:val="002C1F46"/>
    <w:rsid w:val="002C1F5B"/>
    <w:rsid w:val="002C3040"/>
    <w:rsid w:val="002C46E3"/>
    <w:rsid w:val="002D022D"/>
    <w:rsid w:val="002D24BB"/>
    <w:rsid w:val="002D2AD3"/>
    <w:rsid w:val="002D3535"/>
    <w:rsid w:val="002E02CB"/>
    <w:rsid w:val="002E09CE"/>
    <w:rsid w:val="002E0B42"/>
    <w:rsid w:val="002E2DFE"/>
    <w:rsid w:val="002E5419"/>
    <w:rsid w:val="002E7F9C"/>
    <w:rsid w:val="002F01DA"/>
    <w:rsid w:val="002F2AF7"/>
    <w:rsid w:val="002F36C3"/>
    <w:rsid w:val="002F59D9"/>
    <w:rsid w:val="002F78CB"/>
    <w:rsid w:val="002F7E1C"/>
    <w:rsid w:val="002F7E55"/>
    <w:rsid w:val="00300EBE"/>
    <w:rsid w:val="00301A75"/>
    <w:rsid w:val="00302F70"/>
    <w:rsid w:val="003030AF"/>
    <w:rsid w:val="0030336F"/>
    <w:rsid w:val="0030375E"/>
    <w:rsid w:val="003058B6"/>
    <w:rsid w:val="00306CF8"/>
    <w:rsid w:val="00306DD7"/>
    <w:rsid w:val="003074B9"/>
    <w:rsid w:val="00311643"/>
    <w:rsid w:val="00311C9A"/>
    <w:rsid w:val="00312A30"/>
    <w:rsid w:val="003130DD"/>
    <w:rsid w:val="00313EB1"/>
    <w:rsid w:val="00320F72"/>
    <w:rsid w:val="003220C8"/>
    <w:rsid w:val="00323B7B"/>
    <w:rsid w:val="0032463E"/>
    <w:rsid w:val="00326224"/>
    <w:rsid w:val="00331898"/>
    <w:rsid w:val="00331A47"/>
    <w:rsid w:val="003336AC"/>
    <w:rsid w:val="003348E9"/>
    <w:rsid w:val="00336684"/>
    <w:rsid w:val="00336DB2"/>
    <w:rsid w:val="00337EE4"/>
    <w:rsid w:val="00340FFD"/>
    <w:rsid w:val="003437AB"/>
    <w:rsid w:val="0034749A"/>
    <w:rsid w:val="00347CFD"/>
    <w:rsid w:val="003506B1"/>
    <w:rsid w:val="003511BF"/>
    <w:rsid w:val="00353F23"/>
    <w:rsid w:val="0035427B"/>
    <w:rsid w:val="00354F8C"/>
    <w:rsid w:val="003565F2"/>
    <w:rsid w:val="00356AC7"/>
    <w:rsid w:val="003609FA"/>
    <w:rsid w:val="003634FC"/>
    <w:rsid w:val="00363722"/>
    <w:rsid w:val="0036738B"/>
    <w:rsid w:val="00367A42"/>
    <w:rsid w:val="003710C8"/>
    <w:rsid w:val="00373A40"/>
    <w:rsid w:val="003750BE"/>
    <w:rsid w:val="00375A44"/>
    <w:rsid w:val="00375BF7"/>
    <w:rsid w:val="00375C7D"/>
    <w:rsid w:val="00386C61"/>
    <w:rsid w:val="00387B9D"/>
    <w:rsid w:val="0039364F"/>
    <w:rsid w:val="00396686"/>
    <w:rsid w:val="0039778E"/>
    <w:rsid w:val="003A255F"/>
    <w:rsid w:val="003A42C6"/>
    <w:rsid w:val="003A4358"/>
    <w:rsid w:val="003A5D44"/>
    <w:rsid w:val="003A6D4E"/>
    <w:rsid w:val="003A7EEE"/>
    <w:rsid w:val="003B14DC"/>
    <w:rsid w:val="003B2814"/>
    <w:rsid w:val="003B4941"/>
    <w:rsid w:val="003B77AF"/>
    <w:rsid w:val="003C439D"/>
    <w:rsid w:val="003C5714"/>
    <w:rsid w:val="003C6B9F"/>
    <w:rsid w:val="003C6E2A"/>
    <w:rsid w:val="003D0299"/>
    <w:rsid w:val="003D1D0F"/>
    <w:rsid w:val="003D224E"/>
    <w:rsid w:val="003D22E6"/>
    <w:rsid w:val="003D3AB7"/>
    <w:rsid w:val="003D4E3F"/>
    <w:rsid w:val="003D60DB"/>
    <w:rsid w:val="003D68CD"/>
    <w:rsid w:val="003D7BD4"/>
    <w:rsid w:val="003E39A5"/>
    <w:rsid w:val="003E4031"/>
    <w:rsid w:val="003E4478"/>
    <w:rsid w:val="003E561B"/>
    <w:rsid w:val="003E6D80"/>
    <w:rsid w:val="003E788E"/>
    <w:rsid w:val="003E7C7B"/>
    <w:rsid w:val="003F05FA"/>
    <w:rsid w:val="003F0CAC"/>
    <w:rsid w:val="003F244A"/>
    <w:rsid w:val="003F279C"/>
    <w:rsid w:val="003F30B8"/>
    <w:rsid w:val="003F363B"/>
    <w:rsid w:val="003F3D72"/>
    <w:rsid w:val="003F4108"/>
    <w:rsid w:val="003F4C45"/>
    <w:rsid w:val="003F5EB9"/>
    <w:rsid w:val="003F5F7B"/>
    <w:rsid w:val="003F6A98"/>
    <w:rsid w:val="003F7361"/>
    <w:rsid w:val="003F7D64"/>
    <w:rsid w:val="00400EBC"/>
    <w:rsid w:val="004012D8"/>
    <w:rsid w:val="00401A9A"/>
    <w:rsid w:val="00402F1D"/>
    <w:rsid w:val="00406085"/>
    <w:rsid w:val="004063A1"/>
    <w:rsid w:val="0040679A"/>
    <w:rsid w:val="00412DC4"/>
    <w:rsid w:val="00414300"/>
    <w:rsid w:val="00414656"/>
    <w:rsid w:val="00414BBE"/>
    <w:rsid w:val="00417680"/>
    <w:rsid w:val="00420599"/>
    <w:rsid w:val="004205A9"/>
    <w:rsid w:val="004217C1"/>
    <w:rsid w:val="00422DEC"/>
    <w:rsid w:val="004232D0"/>
    <w:rsid w:val="0042342D"/>
    <w:rsid w:val="00425C67"/>
    <w:rsid w:val="004273C2"/>
    <w:rsid w:val="00427E7A"/>
    <w:rsid w:val="004317A6"/>
    <w:rsid w:val="00431C81"/>
    <w:rsid w:val="00432ED3"/>
    <w:rsid w:val="00433A8E"/>
    <w:rsid w:val="00434EC4"/>
    <w:rsid w:val="00435AFE"/>
    <w:rsid w:val="00436A65"/>
    <w:rsid w:val="00436B4D"/>
    <w:rsid w:val="00436C49"/>
    <w:rsid w:val="00440E86"/>
    <w:rsid w:val="00443D20"/>
    <w:rsid w:val="00443E5A"/>
    <w:rsid w:val="00444C14"/>
    <w:rsid w:val="00445366"/>
    <w:rsid w:val="004476FC"/>
    <w:rsid w:val="00447F5B"/>
    <w:rsid w:val="00453FFA"/>
    <w:rsid w:val="004542C1"/>
    <w:rsid w:val="00455799"/>
    <w:rsid w:val="0045697C"/>
    <w:rsid w:val="00456A99"/>
    <w:rsid w:val="004607A8"/>
    <w:rsid w:val="00461DB0"/>
    <w:rsid w:val="00461DED"/>
    <w:rsid w:val="004630CB"/>
    <w:rsid w:val="004632C0"/>
    <w:rsid w:val="00463926"/>
    <w:rsid w:val="00463CE8"/>
    <w:rsid w:val="00464871"/>
    <w:rsid w:val="00464C9A"/>
    <w:rsid w:val="00467118"/>
    <w:rsid w:val="004720BB"/>
    <w:rsid w:val="00473DBB"/>
    <w:rsid w:val="004741F5"/>
    <w:rsid w:val="00474DE3"/>
    <w:rsid w:val="00474F3D"/>
    <w:rsid w:val="004757B2"/>
    <w:rsid w:val="0047586B"/>
    <w:rsid w:val="00477E3A"/>
    <w:rsid w:val="0048133E"/>
    <w:rsid w:val="00481471"/>
    <w:rsid w:val="00483331"/>
    <w:rsid w:val="00483BC7"/>
    <w:rsid w:val="00483E5F"/>
    <w:rsid w:val="00484AC8"/>
    <w:rsid w:val="00485A21"/>
    <w:rsid w:val="00485FF9"/>
    <w:rsid w:val="004877D0"/>
    <w:rsid w:val="00490390"/>
    <w:rsid w:val="004907F0"/>
    <w:rsid w:val="0049140B"/>
    <w:rsid w:val="00491747"/>
    <w:rsid w:val="004923A5"/>
    <w:rsid w:val="004932D0"/>
    <w:rsid w:val="004965CD"/>
    <w:rsid w:val="00496BFB"/>
    <w:rsid w:val="00497698"/>
    <w:rsid w:val="004A15C7"/>
    <w:rsid w:val="004A195A"/>
    <w:rsid w:val="004A5843"/>
    <w:rsid w:val="004A7ACA"/>
    <w:rsid w:val="004B013B"/>
    <w:rsid w:val="004B0428"/>
    <w:rsid w:val="004B0D9A"/>
    <w:rsid w:val="004B112B"/>
    <w:rsid w:val="004B2B4A"/>
    <w:rsid w:val="004B4705"/>
    <w:rsid w:val="004B4B00"/>
    <w:rsid w:val="004B5BA3"/>
    <w:rsid w:val="004B5D1D"/>
    <w:rsid w:val="004B6660"/>
    <w:rsid w:val="004C01E4"/>
    <w:rsid w:val="004C07FF"/>
    <w:rsid w:val="004C086C"/>
    <w:rsid w:val="004C11E2"/>
    <w:rsid w:val="004C17B6"/>
    <w:rsid w:val="004C18F5"/>
    <w:rsid w:val="004C1D15"/>
    <w:rsid w:val="004C1F56"/>
    <w:rsid w:val="004C27BC"/>
    <w:rsid w:val="004C4E1B"/>
    <w:rsid w:val="004C4F01"/>
    <w:rsid w:val="004D15F3"/>
    <w:rsid w:val="004D27AF"/>
    <w:rsid w:val="004D2EE3"/>
    <w:rsid w:val="004D45E1"/>
    <w:rsid w:val="004D5311"/>
    <w:rsid w:val="004D5DCC"/>
    <w:rsid w:val="004D69B4"/>
    <w:rsid w:val="004D76EC"/>
    <w:rsid w:val="004E0D41"/>
    <w:rsid w:val="004E18B8"/>
    <w:rsid w:val="004E2101"/>
    <w:rsid w:val="004E2E7E"/>
    <w:rsid w:val="004E3BDE"/>
    <w:rsid w:val="004E47A3"/>
    <w:rsid w:val="004E4803"/>
    <w:rsid w:val="004E598A"/>
    <w:rsid w:val="004E5C71"/>
    <w:rsid w:val="004E69FF"/>
    <w:rsid w:val="004F0C92"/>
    <w:rsid w:val="004F0D2B"/>
    <w:rsid w:val="004F10AF"/>
    <w:rsid w:val="004F11A4"/>
    <w:rsid w:val="004F1A7E"/>
    <w:rsid w:val="004F1F88"/>
    <w:rsid w:val="004F2389"/>
    <w:rsid w:val="004F2979"/>
    <w:rsid w:val="004F304D"/>
    <w:rsid w:val="004F3CDD"/>
    <w:rsid w:val="004F3E04"/>
    <w:rsid w:val="004F578C"/>
    <w:rsid w:val="004F61BE"/>
    <w:rsid w:val="004F6516"/>
    <w:rsid w:val="004F66B1"/>
    <w:rsid w:val="005023E6"/>
    <w:rsid w:val="00502BEB"/>
    <w:rsid w:val="005032E0"/>
    <w:rsid w:val="00503AA6"/>
    <w:rsid w:val="00503C26"/>
    <w:rsid w:val="0050422A"/>
    <w:rsid w:val="00505F56"/>
    <w:rsid w:val="005114DC"/>
    <w:rsid w:val="00511C07"/>
    <w:rsid w:val="0051202D"/>
    <w:rsid w:val="00513A86"/>
    <w:rsid w:val="00514375"/>
    <w:rsid w:val="005143DF"/>
    <w:rsid w:val="00514749"/>
    <w:rsid w:val="00514947"/>
    <w:rsid w:val="00514A06"/>
    <w:rsid w:val="005156D8"/>
    <w:rsid w:val="00515E1C"/>
    <w:rsid w:val="005167C0"/>
    <w:rsid w:val="005168C0"/>
    <w:rsid w:val="005173A6"/>
    <w:rsid w:val="00520BAA"/>
    <w:rsid w:val="005214CF"/>
    <w:rsid w:val="00521D77"/>
    <w:rsid w:val="00522429"/>
    <w:rsid w:val="005240C4"/>
    <w:rsid w:val="00525208"/>
    <w:rsid w:val="005257A5"/>
    <w:rsid w:val="005264C0"/>
    <w:rsid w:val="00526A8A"/>
    <w:rsid w:val="00531DF2"/>
    <w:rsid w:val="00532BF6"/>
    <w:rsid w:val="00534B26"/>
    <w:rsid w:val="00536D6F"/>
    <w:rsid w:val="00537892"/>
    <w:rsid w:val="005416B3"/>
    <w:rsid w:val="00542AAE"/>
    <w:rsid w:val="005442EE"/>
    <w:rsid w:val="005443D9"/>
    <w:rsid w:val="00547353"/>
    <w:rsid w:val="005474E7"/>
    <w:rsid w:val="00547DCB"/>
    <w:rsid w:val="005501E6"/>
    <w:rsid w:val="005512A3"/>
    <w:rsid w:val="00551F9A"/>
    <w:rsid w:val="005551F5"/>
    <w:rsid w:val="0055574C"/>
    <w:rsid w:val="00555FFB"/>
    <w:rsid w:val="005566C3"/>
    <w:rsid w:val="00557717"/>
    <w:rsid w:val="005578CE"/>
    <w:rsid w:val="00560641"/>
    <w:rsid w:val="00561FD0"/>
    <w:rsid w:val="0056275B"/>
    <w:rsid w:val="00562781"/>
    <w:rsid w:val="005627D7"/>
    <w:rsid w:val="00562A30"/>
    <w:rsid w:val="0056316E"/>
    <w:rsid w:val="00563C73"/>
    <w:rsid w:val="00564A20"/>
    <w:rsid w:val="00566CD1"/>
    <w:rsid w:val="005677E6"/>
    <w:rsid w:val="0056784F"/>
    <w:rsid w:val="005720F8"/>
    <w:rsid w:val="0057271C"/>
    <w:rsid w:val="00572845"/>
    <w:rsid w:val="00576501"/>
    <w:rsid w:val="00576D8F"/>
    <w:rsid w:val="00576FFE"/>
    <w:rsid w:val="00577907"/>
    <w:rsid w:val="0058087C"/>
    <w:rsid w:val="00581B5F"/>
    <w:rsid w:val="00582D43"/>
    <w:rsid w:val="0058515B"/>
    <w:rsid w:val="005853A5"/>
    <w:rsid w:val="005857AE"/>
    <w:rsid w:val="005879E8"/>
    <w:rsid w:val="00590E19"/>
    <w:rsid w:val="005926E4"/>
    <w:rsid w:val="00592772"/>
    <w:rsid w:val="00592DE1"/>
    <w:rsid w:val="00593648"/>
    <w:rsid w:val="0059574A"/>
    <w:rsid w:val="00596468"/>
    <w:rsid w:val="005975D8"/>
    <w:rsid w:val="005A02CB"/>
    <w:rsid w:val="005A092B"/>
    <w:rsid w:val="005A1B9B"/>
    <w:rsid w:val="005A317E"/>
    <w:rsid w:val="005A647E"/>
    <w:rsid w:val="005A6751"/>
    <w:rsid w:val="005B092E"/>
    <w:rsid w:val="005B0A09"/>
    <w:rsid w:val="005B152C"/>
    <w:rsid w:val="005B1EE0"/>
    <w:rsid w:val="005B2B24"/>
    <w:rsid w:val="005B2CA1"/>
    <w:rsid w:val="005B346D"/>
    <w:rsid w:val="005B34A5"/>
    <w:rsid w:val="005B4425"/>
    <w:rsid w:val="005B4B94"/>
    <w:rsid w:val="005B67EC"/>
    <w:rsid w:val="005B6B99"/>
    <w:rsid w:val="005C3EE0"/>
    <w:rsid w:val="005C3EE8"/>
    <w:rsid w:val="005C47D0"/>
    <w:rsid w:val="005D0DE4"/>
    <w:rsid w:val="005D34F9"/>
    <w:rsid w:val="005D4190"/>
    <w:rsid w:val="005D554C"/>
    <w:rsid w:val="005D67A3"/>
    <w:rsid w:val="005D6C3A"/>
    <w:rsid w:val="005D7B0D"/>
    <w:rsid w:val="005E0B38"/>
    <w:rsid w:val="005E2138"/>
    <w:rsid w:val="005E233E"/>
    <w:rsid w:val="005E27F0"/>
    <w:rsid w:val="005E2988"/>
    <w:rsid w:val="005E3085"/>
    <w:rsid w:val="005E37C6"/>
    <w:rsid w:val="005E3D45"/>
    <w:rsid w:val="005E449E"/>
    <w:rsid w:val="005E4561"/>
    <w:rsid w:val="005E58D9"/>
    <w:rsid w:val="005F0318"/>
    <w:rsid w:val="005F1E33"/>
    <w:rsid w:val="005F51E1"/>
    <w:rsid w:val="005F5527"/>
    <w:rsid w:val="00601A3A"/>
    <w:rsid w:val="00602037"/>
    <w:rsid w:val="006036F9"/>
    <w:rsid w:val="00607BE5"/>
    <w:rsid w:val="00610610"/>
    <w:rsid w:val="00611C80"/>
    <w:rsid w:val="00612BE2"/>
    <w:rsid w:val="00614B8A"/>
    <w:rsid w:val="00617884"/>
    <w:rsid w:val="00617966"/>
    <w:rsid w:val="00620692"/>
    <w:rsid w:val="006225E1"/>
    <w:rsid w:val="00622C97"/>
    <w:rsid w:val="00623902"/>
    <w:rsid w:val="006242CA"/>
    <w:rsid w:val="006262A4"/>
    <w:rsid w:val="00627507"/>
    <w:rsid w:val="00633717"/>
    <w:rsid w:val="00633885"/>
    <w:rsid w:val="006344E1"/>
    <w:rsid w:val="0063540F"/>
    <w:rsid w:val="00637E61"/>
    <w:rsid w:val="00641820"/>
    <w:rsid w:val="00642A2F"/>
    <w:rsid w:val="00646C84"/>
    <w:rsid w:val="006524FF"/>
    <w:rsid w:val="00653034"/>
    <w:rsid w:val="006545C4"/>
    <w:rsid w:val="00656627"/>
    <w:rsid w:val="0065737A"/>
    <w:rsid w:val="00661971"/>
    <w:rsid w:val="00661CE8"/>
    <w:rsid w:val="006623D9"/>
    <w:rsid w:val="0066550C"/>
    <w:rsid w:val="00665C6B"/>
    <w:rsid w:val="00665D11"/>
    <w:rsid w:val="0066686C"/>
    <w:rsid w:val="00667353"/>
    <w:rsid w:val="00667B26"/>
    <w:rsid w:val="00670394"/>
    <w:rsid w:val="006716F2"/>
    <w:rsid w:val="00672265"/>
    <w:rsid w:val="00672362"/>
    <w:rsid w:val="006726F8"/>
    <w:rsid w:val="00675D30"/>
    <w:rsid w:val="00677AB5"/>
    <w:rsid w:val="006821AF"/>
    <w:rsid w:val="00682BF2"/>
    <w:rsid w:val="00684881"/>
    <w:rsid w:val="006859CE"/>
    <w:rsid w:val="00686073"/>
    <w:rsid w:val="00690007"/>
    <w:rsid w:val="00691270"/>
    <w:rsid w:val="00691523"/>
    <w:rsid w:val="00694A2E"/>
    <w:rsid w:val="00694BA8"/>
    <w:rsid w:val="00695ADF"/>
    <w:rsid w:val="006975B2"/>
    <w:rsid w:val="006A037C"/>
    <w:rsid w:val="006A100F"/>
    <w:rsid w:val="006A206A"/>
    <w:rsid w:val="006A27D9"/>
    <w:rsid w:val="006A36F4"/>
    <w:rsid w:val="006A406F"/>
    <w:rsid w:val="006A5D3A"/>
    <w:rsid w:val="006A5D53"/>
    <w:rsid w:val="006A68C0"/>
    <w:rsid w:val="006B12A1"/>
    <w:rsid w:val="006B2A8A"/>
    <w:rsid w:val="006B4C36"/>
    <w:rsid w:val="006B4CB2"/>
    <w:rsid w:val="006B4F9F"/>
    <w:rsid w:val="006B674C"/>
    <w:rsid w:val="006B7089"/>
    <w:rsid w:val="006C1BCB"/>
    <w:rsid w:val="006C1F3E"/>
    <w:rsid w:val="006C23D4"/>
    <w:rsid w:val="006C248A"/>
    <w:rsid w:val="006C446B"/>
    <w:rsid w:val="006C4F37"/>
    <w:rsid w:val="006C57D9"/>
    <w:rsid w:val="006C7271"/>
    <w:rsid w:val="006C7BB0"/>
    <w:rsid w:val="006D04AB"/>
    <w:rsid w:val="006D175F"/>
    <w:rsid w:val="006D2C45"/>
    <w:rsid w:val="006D3237"/>
    <w:rsid w:val="006D410A"/>
    <w:rsid w:val="006D47CA"/>
    <w:rsid w:val="006D516D"/>
    <w:rsid w:val="006D7048"/>
    <w:rsid w:val="006D790D"/>
    <w:rsid w:val="006E1605"/>
    <w:rsid w:val="006E271F"/>
    <w:rsid w:val="006E2E37"/>
    <w:rsid w:val="006E3CF1"/>
    <w:rsid w:val="006E4823"/>
    <w:rsid w:val="006E550E"/>
    <w:rsid w:val="006E63EB"/>
    <w:rsid w:val="006E6E19"/>
    <w:rsid w:val="006E7E80"/>
    <w:rsid w:val="006F15C5"/>
    <w:rsid w:val="006F2DE8"/>
    <w:rsid w:val="006F44E8"/>
    <w:rsid w:val="006F48CA"/>
    <w:rsid w:val="006F4AA3"/>
    <w:rsid w:val="006F576F"/>
    <w:rsid w:val="006F64DD"/>
    <w:rsid w:val="006F7BF0"/>
    <w:rsid w:val="007000AA"/>
    <w:rsid w:val="0070046D"/>
    <w:rsid w:val="007008BD"/>
    <w:rsid w:val="00700B85"/>
    <w:rsid w:val="00701F64"/>
    <w:rsid w:val="00704DBC"/>
    <w:rsid w:val="0070512C"/>
    <w:rsid w:val="00707264"/>
    <w:rsid w:val="00711133"/>
    <w:rsid w:val="00715127"/>
    <w:rsid w:val="00715E8E"/>
    <w:rsid w:val="00716171"/>
    <w:rsid w:val="00717A83"/>
    <w:rsid w:val="00717A9A"/>
    <w:rsid w:val="007203C4"/>
    <w:rsid w:val="0072111F"/>
    <w:rsid w:val="00723143"/>
    <w:rsid w:val="00723580"/>
    <w:rsid w:val="00723755"/>
    <w:rsid w:val="00724358"/>
    <w:rsid w:val="00726A77"/>
    <w:rsid w:val="007304E5"/>
    <w:rsid w:val="0073052C"/>
    <w:rsid w:val="00730CB2"/>
    <w:rsid w:val="0073135D"/>
    <w:rsid w:val="0073136C"/>
    <w:rsid w:val="00731370"/>
    <w:rsid w:val="00731B54"/>
    <w:rsid w:val="00731F0F"/>
    <w:rsid w:val="00733250"/>
    <w:rsid w:val="00734E4A"/>
    <w:rsid w:val="00735A89"/>
    <w:rsid w:val="00736455"/>
    <w:rsid w:val="00736D27"/>
    <w:rsid w:val="0073710B"/>
    <w:rsid w:val="00741404"/>
    <w:rsid w:val="007419D9"/>
    <w:rsid w:val="00742D66"/>
    <w:rsid w:val="007449E5"/>
    <w:rsid w:val="00745A84"/>
    <w:rsid w:val="00746C86"/>
    <w:rsid w:val="00747FB6"/>
    <w:rsid w:val="00747FF0"/>
    <w:rsid w:val="0075334B"/>
    <w:rsid w:val="007539C1"/>
    <w:rsid w:val="00753F3B"/>
    <w:rsid w:val="00754F3D"/>
    <w:rsid w:val="0075538C"/>
    <w:rsid w:val="00755B8E"/>
    <w:rsid w:val="00757632"/>
    <w:rsid w:val="00757FC6"/>
    <w:rsid w:val="00762229"/>
    <w:rsid w:val="007628A0"/>
    <w:rsid w:val="00764D4E"/>
    <w:rsid w:val="00765A1F"/>
    <w:rsid w:val="0077067E"/>
    <w:rsid w:val="00772B17"/>
    <w:rsid w:val="00772C1E"/>
    <w:rsid w:val="00772C6D"/>
    <w:rsid w:val="0077332E"/>
    <w:rsid w:val="007738E5"/>
    <w:rsid w:val="00774514"/>
    <w:rsid w:val="00775B6D"/>
    <w:rsid w:val="00776D68"/>
    <w:rsid w:val="0077742E"/>
    <w:rsid w:val="00782ABB"/>
    <w:rsid w:val="007850EE"/>
    <w:rsid w:val="00785B95"/>
    <w:rsid w:val="00786C9F"/>
    <w:rsid w:val="0079003D"/>
    <w:rsid w:val="00790E96"/>
    <w:rsid w:val="00793366"/>
    <w:rsid w:val="00794447"/>
    <w:rsid w:val="007949E6"/>
    <w:rsid w:val="007952DA"/>
    <w:rsid w:val="007A23A3"/>
    <w:rsid w:val="007A3BDD"/>
    <w:rsid w:val="007A716F"/>
    <w:rsid w:val="007A762B"/>
    <w:rsid w:val="007B01E2"/>
    <w:rsid w:val="007B270A"/>
    <w:rsid w:val="007B3A5A"/>
    <w:rsid w:val="007B4379"/>
    <w:rsid w:val="007B4B56"/>
    <w:rsid w:val="007B5445"/>
    <w:rsid w:val="007B6096"/>
    <w:rsid w:val="007C0695"/>
    <w:rsid w:val="007C07CD"/>
    <w:rsid w:val="007C0DF6"/>
    <w:rsid w:val="007C18A6"/>
    <w:rsid w:val="007C18DF"/>
    <w:rsid w:val="007C1D26"/>
    <w:rsid w:val="007C1EB1"/>
    <w:rsid w:val="007C3626"/>
    <w:rsid w:val="007C39A0"/>
    <w:rsid w:val="007C419A"/>
    <w:rsid w:val="007C4CC8"/>
    <w:rsid w:val="007C5426"/>
    <w:rsid w:val="007C5798"/>
    <w:rsid w:val="007C6E5D"/>
    <w:rsid w:val="007D3EAC"/>
    <w:rsid w:val="007D4832"/>
    <w:rsid w:val="007D5D4F"/>
    <w:rsid w:val="007D6336"/>
    <w:rsid w:val="007E022F"/>
    <w:rsid w:val="007E03C0"/>
    <w:rsid w:val="007E21B2"/>
    <w:rsid w:val="007E2C4E"/>
    <w:rsid w:val="007E3AFB"/>
    <w:rsid w:val="007E3ED4"/>
    <w:rsid w:val="007E48C2"/>
    <w:rsid w:val="007E516E"/>
    <w:rsid w:val="007E62D5"/>
    <w:rsid w:val="007F1613"/>
    <w:rsid w:val="007F1905"/>
    <w:rsid w:val="007F2294"/>
    <w:rsid w:val="007F2646"/>
    <w:rsid w:val="007F3ADC"/>
    <w:rsid w:val="007F5982"/>
    <w:rsid w:val="0080072B"/>
    <w:rsid w:val="00800C95"/>
    <w:rsid w:val="00800F88"/>
    <w:rsid w:val="00801300"/>
    <w:rsid w:val="00802ABC"/>
    <w:rsid w:val="00802C64"/>
    <w:rsid w:val="00805181"/>
    <w:rsid w:val="00805941"/>
    <w:rsid w:val="00805E52"/>
    <w:rsid w:val="008061D0"/>
    <w:rsid w:val="00810B38"/>
    <w:rsid w:val="008136D2"/>
    <w:rsid w:val="00813D3A"/>
    <w:rsid w:val="0081411A"/>
    <w:rsid w:val="00814189"/>
    <w:rsid w:val="00816C58"/>
    <w:rsid w:val="00817085"/>
    <w:rsid w:val="00817157"/>
    <w:rsid w:val="00817EAA"/>
    <w:rsid w:val="008204C7"/>
    <w:rsid w:val="00820686"/>
    <w:rsid w:val="00820992"/>
    <w:rsid w:val="0082105A"/>
    <w:rsid w:val="00823602"/>
    <w:rsid w:val="00823D79"/>
    <w:rsid w:val="008255F5"/>
    <w:rsid w:val="00825F5B"/>
    <w:rsid w:val="00826ADA"/>
    <w:rsid w:val="0083014E"/>
    <w:rsid w:val="0083214A"/>
    <w:rsid w:val="00834220"/>
    <w:rsid w:val="008353EA"/>
    <w:rsid w:val="00835676"/>
    <w:rsid w:val="00835FC3"/>
    <w:rsid w:val="008363F6"/>
    <w:rsid w:val="008410DD"/>
    <w:rsid w:val="00841937"/>
    <w:rsid w:val="00842307"/>
    <w:rsid w:val="0084351A"/>
    <w:rsid w:val="00845723"/>
    <w:rsid w:val="00845DA4"/>
    <w:rsid w:val="00846D33"/>
    <w:rsid w:val="00850E8E"/>
    <w:rsid w:val="00851EF9"/>
    <w:rsid w:val="00851F18"/>
    <w:rsid w:val="008523AE"/>
    <w:rsid w:val="00854BB9"/>
    <w:rsid w:val="008577FD"/>
    <w:rsid w:val="0086095A"/>
    <w:rsid w:val="00860B03"/>
    <w:rsid w:val="0086120C"/>
    <w:rsid w:val="00862064"/>
    <w:rsid w:val="00863215"/>
    <w:rsid w:val="0086389F"/>
    <w:rsid w:val="008648DF"/>
    <w:rsid w:val="0086497A"/>
    <w:rsid w:val="008672A5"/>
    <w:rsid w:val="00867D66"/>
    <w:rsid w:val="008706F0"/>
    <w:rsid w:val="008708D2"/>
    <w:rsid w:val="008713A1"/>
    <w:rsid w:val="00871FEF"/>
    <w:rsid w:val="0087212C"/>
    <w:rsid w:val="00873003"/>
    <w:rsid w:val="008754AB"/>
    <w:rsid w:val="00875D4D"/>
    <w:rsid w:val="0087666D"/>
    <w:rsid w:val="0087704A"/>
    <w:rsid w:val="0088060C"/>
    <w:rsid w:val="00880D28"/>
    <w:rsid w:val="008810A1"/>
    <w:rsid w:val="00882EE0"/>
    <w:rsid w:val="00883104"/>
    <w:rsid w:val="00884E13"/>
    <w:rsid w:val="008854B7"/>
    <w:rsid w:val="00885BB0"/>
    <w:rsid w:val="00887CCE"/>
    <w:rsid w:val="00892046"/>
    <w:rsid w:val="008925A2"/>
    <w:rsid w:val="008932FA"/>
    <w:rsid w:val="00893576"/>
    <w:rsid w:val="00893E73"/>
    <w:rsid w:val="008944FB"/>
    <w:rsid w:val="00894B9C"/>
    <w:rsid w:val="00894E14"/>
    <w:rsid w:val="00897D41"/>
    <w:rsid w:val="008A10B0"/>
    <w:rsid w:val="008A201D"/>
    <w:rsid w:val="008A4713"/>
    <w:rsid w:val="008A69BB"/>
    <w:rsid w:val="008A7543"/>
    <w:rsid w:val="008A7644"/>
    <w:rsid w:val="008A7673"/>
    <w:rsid w:val="008A7D20"/>
    <w:rsid w:val="008B02DC"/>
    <w:rsid w:val="008B1523"/>
    <w:rsid w:val="008B1C52"/>
    <w:rsid w:val="008B2519"/>
    <w:rsid w:val="008B376D"/>
    <w:rsid w:val="008B3AEA"/>
    <w:rsid w:val="008B57CE"/>
    <w:rsid w:val="008B5CCD"/>
    <w:rsid w:val="008B6269"/>
    <w:rsid w:val="008C00BF"/>
    <w:rsid w:val="008C0E83"/>
    <w:rsid w:val="008C12C3"/>
    <w:rsid w:val="008C1954"/>
    <w:rsid w:val="008C26DE"/>
    <w:rsid w:val="008C339F"/>
    <w:rsid w:val="008C7467"/>
    <w:rsid w:val="008C781D"/>
    <w:rsid w:val="008C797E"/>
    <w:rsid w:val="008C7C0E"/>
    <w:rsid w:val="008C7CE7"/>
    <w:rsid w:val="008D2225"/>
    <w:rsid w:val="008D2EDC"/>
    <w:rsid w:val="008D4413"/>
    <w:rsid w:val="008D4752"/>
    <w:rsid w:val="008D623D"/>
    <w:rsid w:val="008D62AF"/>
    <w:rsid w:val="008D7298"/>
    <w:rsid w:val="008E235A"/>
    <w:rsid w:val="008E271C"/>
    <w:rsid w:val="008E329B"/>
    <w:rsid w:val="008E418E"/>
    <w:rsid w:val="008E55AC"/>
    <w:rsid w:val="008E5BC6"/>
    <w:rsid w:val="008E65AE"/>
    <w:rsid w:val="008E6A25"/>
    <w:rsid w:val="008E6AA9"/>
    <w:rsid w:val="008E6ED4"/>
    <w:rsid w:val="008E7F0E"/>
    <w:rsid w:val="008F10D4"/>
    <w:rsid w:val="008F19CB"/>
    <w:rsid w:val="008F2709"/>
    <w:rsid w:val="008F38A1"/>
    <w:rsid w:val="008F4A92"/>
    <w:rsid w:val="008F4CAD"/>
    <w:rsid w:val="008F5193"/>
    <w:rsid w:val="008F624B"/>
    <w:rsid w:val="00900170"/>
    <w:rsid w:val="009001C9"/>
    <w:rsid w:val="009013A7"/>
    <w:rsid w:val="009013BC"/>
    <w:rsid w:val="00901469"/>
    <w:rsid w:val="009017FB"/>
    <w:rsid w:val="009017FC"/>
    <w:rsid w:val="00902254"/>
    <w:rsid w:val="009027B6"/>
    <w:rsid w:val="0090480E"/>
    <w:rsid w:val="0090506B"/>
    <w:rsid w:val="009050C9"/>
    <w:rsid w:val="009066FC"/>
    <w:rsid w:val="00907CA4"/>
    <w:rsid w:val="00913211"/>
    <w:rsid w:val="009134EE"/>
    <w:rsid w:val="009140A3"/>
    <w:rsid w:val="009144A2"/>
    <w:rsid w:val="0091510C"/>
    <w:rsid w:val="00915989"/>
    <w:rsid w:val="00916B9F"/>
    <w:rsid w:val="00916F20"/>
    <w:rsid w:val="0091767E"/>
    <w:rsid w:val="00920C2C"/>
    <w:rsid w:val="0092359F"/>
    <w:rsid w:val="009259AC"/>
    <w:rsid w:val="00925A00"/>
    <w:rsid w:val="00926AD5"/>
    <w:rsid w:val="00926F38"/>
    <w:rsid w:val="00927005"/>
    <w:rsid w:val="00931DDF"/>
    <w:rsid w:val="00933AC9"/>
    <w:rsid w:val="00934301"/>
    <w:rsid w:val="0093521A"/>
    <w:rsid w:val="00936C2D"/>
    <w:rsid w:val="00936CD1"/>
    <w:rsid w:val="00937DC6"/>
    <w:rsid w:val="00941693"/>
    <w:rsid w:val="00941747"/>
    <w:rsid w:val="00941EFB"/>
    <w:rsid w:val="00942986"/>
    <w:rsid w:val="00943AD5"/>
    <w:rsid w:val="00947AFB"/>
    <w:rsid w:val="00947E9F"/>
    <w:rsid w:val="0095010A"/>
    <w:rsid w:val="00951D7D"/>
    <w:rsid w:val="00951E3A"/>
    <w:rsid w:val="00952E6E"/>
    <w:rsid w:val="00953413"/>
    <w:rsid w:val="00953902"/>
    <w:rsid w:val="00955070"/>
    <w:rsid w:val="009559E5"/>
    <w:rsid w:val="00960DC2"/>
    <w:rsid w:val="009630C7"/>
    <w:rsid w:val="00964BDD"/>
    <w:rsid w:val="0096548B"/>
    <w:rsid w:val="00965AA9"/>
    <w:rsid w:val="00966676"/>
    <w:rsid w:val="00967648"/>
    <w:rsid w:val="00970E5A"/>
    <w:rsid w:val="00972B55"/>
    <w:rsid w:val="009743B7"/>
    <w:rsid w:val="0097633D"/>
    <w:rsid w:val="009763D8"/>
    <w:rsid w:val="0097666B"/>
    <w:rsid w:val="00980930"/>
    <w:rsid w:val="00980E44"/>
    <w:rsid w:val="0098228B"/>
    <w:rsid w:val="009828DA"/>
    <w:rsid w:val="00985BAB"/>
    <w:rsid w:val="00987B46"/>
    <w:rsid w:val="0099222D"/>
    <w:rsid w:val="00995E28"/>
    <w:rsid w:val="009A17DA"/>
    <w:rsid w:val="009A1AF4"/>
    <w:rsid w:val="009A2EF2"/>
    <w:rsid w:val="009A440A"/>
    <w:rsid w:val="009A570A"/>
    <w:rsid w:val="009A5B56"/>
    <w:rsid w:val="009A778D"/>
    <w:rsid w:val="009B0E81"/>
    <w:rsid w:val="009B0EDF"/>
    <w:rsid w:val="009B1B5F"/>
    <w:rsid w:val="009B441E"/>
    <w:rsid w:val="009B49EE"/>
    <w:rsid w:val="009B61A9"/>
    <w:rsid w:val="009B6673"/>
    <w:rsid w:val="009C191B"/>
    <w:rsid w:val="009C2BD6"/>
    <w:rsid w:val="009C3A63"/>
    <w:rsid w:val="009C3B76"/>
    <w:rsid w:val="009C4268"/>
    <w:rsid w:val="009C6C13"/>
    <w:rsid w:val="009D1AF6"/>
    <w:rsid w:val="009D43CB"/>
    <w:rsid w:val="009D45A5"/>
    <w:rsid w:val="009D5342"/>
    <w:rsid w:val="009D78C2"/>
    <w:rsid w:val="009E1F32"/>
    <w:rsid w:val="009E24EB"/>
    <w:rsid w:val="009E4021"/>
    <w:rsid w:val="009E43EC"/>
    <w:rsid w:val="009E6970"/>
    <w:rsid w:val="009E776C"/>
    <w:rsid w:val="009E7839"/>
    <w:rsid w:val="009E7ED6"/>
    <w:rsid w:val="009F04CC"/>
    <w:rsid w:val="009F3192"/>
    <w:rsid w:val="009F31DE"/>
    <w:rsid w:val="009F53DA"/>
    <w:rsid w:val="009F7541"/>
    <w:rsid w:val="00A00144"/>
    <w:rsid w:val="00A00381"/>
    <w:rsid w:val="00A0366E"/>
    <w:rsid w:val="00A040BF"/>
    <w:rsid w:val="00A05C2B"/>
    <w:rsid w:val="00A07D84"/>
    <w:rsid w:val="00A12334"/>
    <w:rsid w:val="00A12802"/>
    <w:rsid w:val="00A131E2"/>
    <w:rsid w:val="00A13A74"/>
    <w:rsid w:val="00A13E58"/>
    <w:rsid w:val="00A14B84"/>
    <w:rsid w:val="00A161BC"/>
    <w:rsid w:val="00A1726E"/>
    <w:rsid w:val="00A204CF"/>
    <w:rsid w:val="00A2327E"/>
    <w:rsid w:val="00A2342A"/>
    <w:rsid w:val="00A23A5B"/>
    <w:rsid w:val="00A23D49"/>
    <w:rsid w:val="00A24C81"/>
    <w:rsid w:val="00A26B8D"/>
    <w:rsid w:val="00A27004"/>
    <w:rsid w:val="00A30C29"/>
    <w:rsid w:val="00A30CD9"/>
    <w:rsid w:val="00A310D2"/>
    <w:rsid w:val="00A327E3"/>
    <w:rsid w:val="00A32D34"/>
    <w:rsid w:val="00A33E36"/>
    <w:rsid w:val="00A34057"/>
    <w:rsid w:val="00A34DD6"/>
    <w:rsid w:val="00A36819"/>
    <w:rsid w:val="00A36989"/>
    <w:rsid w:val="00A43628"/>
    <w:rsid w:val="00A43E25"/>
    <w:rsid w:val="00A45145"/>
    <w:rsid w:val="00A45D5D"/>
    <w:rsid w:val="00A52399"/>
    <w:rsid w:val="00A52815"/>
    <w:rsid w:val="00A54192"/>
    <w:rsid w:val="00A5582B"/>
    <w:rsid w:val="00A569E2"/>
    <w:rsid w:val="00A57450"/>
    <w:rsid w:val="00A6035E"/>
    <w:rsid w:val="00A6144C"/>
    <w:rsid w:val="00A63B91"/>
    <w:rsid w:val="00A644CB"/>
    <w:rsid w:val="00A66617"/>
    <w:rsid w:val="00A671F8"/>
    <w:rsid w:val="00A673A4"/>
    <w:rsid w:val="00A71D16"/>
    <w:rsid w:val="00A724AE"/>
    <w:rsid w:val="00A73329"/>
    <w:rsid w:val="00A74BC1"/>
    <w:rsid w:val="00A758CD"/>
    <w:rsid w:val="00A77959"/>
    <w:rsid w:val="00A77DBC"/>
    <w:rsid w:val="00A82359"/>
    <w:rsid w:val="00A82985"/>
    <w:rsid w:val="00A83FE8"/>
    <w:rsid w:val="00A859F5"/>
    <w:rsid w:val="00A85E76"/>
    <w:rsid w:val="00A865D2"/>
    <w:rsid w:val="00A87881"/>
    <w:rsid w:val="00A908BA"/>
    <w:rsid w:val="00A9162E"/>
    <w:rsid w:val="00A93E93"/>
    <w:rsid w:val="00A943B8"/>
    <w:rsid w:val="00A94C20"/>
    <w:rsid w:val="00A960FB"/>
    <w:rsid w:val="00A96719"/>
    <w:rsid w:val="00A968E5"/>
    <w:rsid w:val="00AA00C4"/>
    <w:rsid w:val="00AA0EAC"/>
    <w:rsid w:val="00AA227F"/>
    <w:rsid w:val="00AA229B"/>
    <w:rsid w:val="00AA3866"/>
    <w:rsid w:val="00AA3BC7"/>
    <w:rsid w:val="00AA5145"/>
    <w:rsid w:val="00AA5DAC"/>
    <w:rsid w:val="00AA6079"/>
    <w:rsid w:val="00AA754A"/>
    <w:rsid w:val="00AA76E4"/>
    <w:rsid w:val="00AB099E"/>
    <w:rsid w:val="00AB0B3A"/>
    <w:rsid w:val="00AB159C"/>
    <w:rsid w:val="00AB4328"/>
    <w:rsid w:val="00AB72B0"/>
    <w:rsid w:val="00AB78F3"/>
    <w:rsid w:val="00AC0824"/>
    <w:rsid w:val="00AC0966"/>
    <w:rsid w:val="00AC0DE7"/>
    <w:rsid w:val="00AC1315"/>
    <w:rsid w:val="00AC171E"/>
    <w:rsid w:val="00AC1C35"/>
    <w:rsid w:val="00AC2273"/>
    <w:rsid w:val="00AC38ED"/>
    <w:rsid w:val="00AC400E"/>
    <w:rsid w:val="00AC447A"/>
    <w:rsid w:val="00AC5554"/>
    <w:rsid w:val="00AD10F0"/>
    <w:rsid w:val="00AD249D"/>
    <w:rsid w:val="00AD412E"/>
    <w:rsid w:val="00AD7EDF"/>
    <w:rsid w:val="00AE0A2E"/>
    <w:rsid w:val="00AE354C"/>
    <w:rsid w:val="00AE3FAB"/>
    <w:rsid w:val="00AE4407"/>
    <w:rsid w:val="00AE5F23"/>
    <w:rsid w:val="00AF0029"/>
    <w:rsid w:val="00AF0EBE"/>
    <w:rsid w:val="00AF2539"/>
    <w:rsid w:val="00AF47EC"/>
    <w:rsid w:val="00AF4B07"/>
    <w:rsid w:val="00AF560B"/>
    <w:rsid w:val="00AF6186"/>
    <w:rsid w:val="00AF7A3A"/>
    <w:rsid w:val="00B0415C"/>
    <w:rsid w:val="00B049F1"/>
    <w:rsid w:val="00B12157"/>
    <w:rsid w:val="00B134DD"/>
    <w:rsid w:val="00B1437E"/>
    <w:rsid w:val="00B152CC"/>
    <w:rsid w:val="00B160DB"/>
    <w:rsid w:val="00B17309"/>
    <w:rsid w:val="00B20728"/>
    <w:rsid w:val="00B20836"/>
    <w:rsid w:val="00B235BB"/>
    <w:rsid w:val="00B27010"/>
    <w:rsid w:val="00B27A44"/>
    <w:rsid w:val="00B30BBF"/>
    <w:rsid w:val="00B32B2D"/>
    <w:rsid w:val="00B33C03"/>
    <w:rsid w:val="00B34E92"/>
    <w:rsid w:val="00B41EC5"/>
    <w:rsid w:val="00B44E56"/>
    <w:rsid w:val="00B46543"/>
    <w:rsid w:val="00B469D6"/>
    <w:rsid w:val="00B47D33"/>
    <w:rsid w:val="00B52BE0"/>
    <w:rsid w:val="00B54133"/>
    <w:rsid w:val="00B54C0F"/>
    <w:rsid w:val="00B5507E"/>
    <w:rsid w:val="00B561DF"/>
    <w:rsid w:val="00B609B7"/>
    <w:rsid w:val="00B6153C"/>
    <w:rsid w:val="00B669CC"/>
    <w:rsid w:val="00B701ED"/>
    <w:rsid w:val="00B71528"/>
    <w:rsid w:val="00B71B9E"/>
    <w:rsid w:val="00B75110"/>
    <w:rsid w:val="00B75FF6"/>
    <w:rsid w:val="00B8060D"/>
    <w:rsid w:val="00B8086C"/>
    <w:rsid w:val="00B86007"/>
    <w:rsid w:val="00B861B4"/>
    <w:rsid w:val="00B86DFE"/>
    <w:rsid w:val="00B87372"/>
    <w:rsid w:val="00B90990"/>
    <w:rsid w:val="00B90F28"/>
    <w:rsid w:val="00B91093"/>
    <w:rsid w:val="00B917C4"/>
    <w:rsid w:val="00B922FF"/>
    <w:rsid w:val="00B9281E"/>
    <w:rsid w:val="00B92D47"/>
    <w:rsid w:val="00B93925"/>
    <w:rsid w:val="00B93F87"/>
    <w:rsid w:val="00B94305"/>
    <w:rsid w:val="00B95187"/>
    <w:rsid w:val="00B9776F"/>
    <w:rsid w:val="00BA2D55"/>
    <w:rsid w:val="00BA3526"/>
    <w:rsid w:val="00BA41FA"/>
    <w:rsid w:val="00BA5160"/>
    <w:rsid w:val="00BA6CBF"/>
    <w:rsid w:val="00BA71B1"/>
    <w:rsid w:val="00BB0637"/>
    <w:rsid w:val="00BB345F"/>
    <w:rsid w:val="00BB5043"/>
    <w:rsid w:val="00BB58BA"/>
    <w:rsid w:val="00BB6580"/>
    <w:rsid w:val="00BB68EA"/>
    <w:rsid w:val="00BC1C27"/>
    <w:rsid w:val="00BC4A8F"/>
    <w:rsid w:val="00BC541A"/>
    <w:rsid w:val="00BC5FBA"/>
    <w:rsid w:val="00BC6BBF"/>
    <w:rsid w:val="00BD1572"/>
    <w:rsid w:val="00BD2642"/>
    <w:rsid w:val="00BD4A5A"/>
    <w:rsid w:val="00BD52FD"/>
    <w:rsid w:val="00BD7EFF"/>
    <w:rsid w:val="00BE0155"/>
    <w:rsid w:val="00BE05B4"/>
    <w:rsid w:val="00BE14E3"/>
    <w:rsid w:val="00BE3774"/>
    <w:rsid w:val="00BE38EC"/>
    <w:rsid w:val="00BE41E5"/>
    <w:rsid w:val="00BE599C"/>
    <w:rsid w:val="00BE5FC2"/>
    <w:rsid w:val="00BE66EA"/>
    <w:rsid w:val="00BF10A1"/>
    <w:rsid w:val="00BF3DD8"/>
    <w:rsid w:val="00BF4109"/>
    <w:rsid w:val="00BF4500"/>
    <w:rsid w:val="00BF4CC3"/>
    <w:rsid w:val="00C03206"/>
    <w:rsid w:val="00C04147"/>
    <w:rsid w:val="00C04C52"/>
    <w:rsid w:val="00C054C7"/>
    <w:rsid w:val="00C057B5"/>
    <w:rsid w:val="00C0600C"/>
    <w:rsid w:val="00C06339"/>
    <w:rsid w:val="00C06E15"/>
    <w:rsid w:val="00C072D5"/>
    <w:rsid w:val="00C1062F"/>
    <w:rsid w:val="00C123FE"/>
    <w:rsid w:val="00C1262B"/>
    <w:rsid w:val="00C12B1C"/>
    <w:rsid w:val="00C14671"/>
    <w:rsid w:val="00C14801"/>
    <w:rsid w:val="00C1546B"/>
    <w:rsid w:val="00C1572C"/>
    <w:rsid w:val="00C173EF"/>
    <w:rsid w:val="00C20DC7"/>
    <w:rsid w:val="00C21CBD"/>
    <w:rsid w:val="00C22687"/>
    <w:rsid w:val="00C27FB9"/>
    <w:rsid w:val="00C313CD"/>
    <w:rsid w:val="00C32E4D"/>
    <w:rsid w:val="00C3321C"/>
    <w:rsid w:val="00C333A0"/>
    <w:rsid w:val="00C341B0"/>
    <w:rsid w:val="00C36408"/>
    <w:rsid w:val="00C36840"/>
    <w:rsid w:val="00C36A81"/>
    <w:rsid w:val="00C36E58"/>
    <w:rsid w:val="00C40716"/>
    <w:rsid w:val="00C41974"/>
    <w:rsid w:val="00C436E9"/>
    <w:rsid w:val="00C4661E"/>
    <w:rsid w:val="00C467A5"/>
    <w:rsid w:val="00C51732"/>
    <w:rsid w:val="00C535A5"/>
    <w:rsid w:val="00C53889"/>
    <w:rsid w:val="00C53F4A"/>
    <w:rsid w:val="00C54125"/>
    <w:rsid w:val="00C55B54"/>
    <w:rsid w:val="00C56655"/>
    <w:rsid w:val="00C57F53"/>
    <w:rsid w:val="00C6098E"/>
    <w:rsid w:val="00C611D8"/>
    <w:rsid w:val="00C6152C"/>
    <w:rsid w:val="00C61649"/>
    <w:rsid w:val="00C62975"/>
    <w:rsid w:val="00C63990"/>
    <w:rsid w:val="00C64D92"/>
    <w:rsid w:val="00C64EF6"/>
    <w:rsid w:val="00C652DE"/>
    <w:rsid w:val="00C66646"/>
    <w:rsid w:val="00C6696C"/>
    <w:rsid w:val="00C66AD1"/>
    <w:rsid w:val="00C67E42"/>
    <w:rsid w:val="00C70517"/>
    <w:rsid w:val="00C70604"/>
    <w:rsid w:val="00C707F9"/>
    <w:rsid w:val="00C74810"/>
    <w:rsid w:val="00C74FF9"/>
    <w:rsid w:val="00C769BD"/>
    <w:rsid w:val="00C80B24"/>
    <w:rsid w:val="00C80D55"/>
    <w:rsid w:val="00C83AFE"/>
    <w:rsid w:val="00C90D68"/>
    <w:rsid w:val="00C92320"/>
    <w:rsid w:val="00C928C7"/>
    <w:rsid w:val="00C939FE"/>
    <w:rsid w:val="00C9449A"/>
    <w:rsid w:val="00C94B7D"/>
    <w:rsid w:val="00C94BD1"/>
    <w:rsid w:val="00C95D01"/>
    <w:rsid w:val="00C96750"/>
    <w:rsid w:val="00C97F9F"/>
    <w:rsid w:val="00CA1747"/>
    <w:rsid w:val="00CA360C"/>
    <w:rsid w:val="00CA4BDA"/>
    <w:rsid w:val="00CA5565"/>
    <w:rsid w:val="00CA578B"/>
    <w:rsid w:val="00CA6001"/>
    <w:rsid w:val="00CA6DD2"/>
    <w:rsid w:val="00CB0664"/>
    <w:rsid w:val="00CB0E46"/>
    <w:rsid w:val="00CB1F66"/>
    <w:rsid w:val="00CB2951"/>
    <w:rsid w:val="00CB3D3E"/>
    <w:rsid w:val="00CB5B2A"/>
    <w:rsid w:val="00CB74B6"/>
    <w:rsid w:val="00CC0B64"/>
    <w:rsid w:val="00CC2B80"/>
    <w:rsid w:val="00CC3C23"/>
    <w:rsid w:val="00CC437A"/>
    <w:rsid w:val="00CC551E"/>
    <w:rsid w:val="00CC55F5"/>
    <w:rsid w:val="00CC71E6"/>
    <w:rsid w:val="00CD282B"/>
    <w:rsid w:val="00CD363B"/>
    <w:rsid w:val="00CD4802"/>
    <w:rsid w:val="00CD4C35"/>
    <w:rsid w:val="00CD69D1"/>
    <w:rsid w:val="00CD7369"/>
    <w:rsid w:val="00CE0B0E"/>
    <w:rsid w:val="00CE1406"/>
    <w:rsid w:val="00CE1BF2"/>
    <w:rsid w:val="00CE31C6"/>
    <w:rsid w:val="00CE3831"/>
    <w:rsid w:val="00CE50AE"/>
    <w:rsid w:val="00CE59BF"/>
    <w:rsid w:val="00CE76CC"/>
    <w:rsid w:val="00CF0B02"/>
    <w:rsid w:val="00CF2039"/>
    <w:rsid w:val="00CF3C80"/>
    <w:rsid w:val="00CF4186"/>
    <w:rsid w:val="00CF7440"/>
    <w:rsid w:val="00D00ABB"/>
    <w:rsid w:val="00D01B93"/>
    <w:rsid w:val="00D02460"/>
    <w:rsid w:val="00D02EEC"/>
    <w:rsid w:val="00D03551"/>
    <w:rsid w:val="00D05B6F"/>
    <w:rsid w:val="00D06A63"/>
    <w:rsid w:val="00D07E0E"/>
    <w:rsid w:val="00D11478"/>
    <w:rsid w:val="00D129E5"/>
    <w:rsid w:val="00D1332B"/>
    <w:rsid w:val="00D13C65"/>
    <w:rsid w:val="00D1400F"/>
    <w:rsid w:val="00D14803"/>
    <w:rsid w:val="00D15ED0"/>
    <w:rsid w:val="00D203A9"/>
    <w:rsid w:val="00D21920"/>
    <w:rsid w:val="00D21B3E"/>
    <w:rsid w:val="00D21FED"/>
    <w:rsid w:val="00D2274C"/>
    <w:rsid w:val="00D24251"/>
    <w:rsid w:val="00D250D7"/>
    <w:rsid w:val="00D25A35"/>
    <w:rsid w:val="00D26B1A"/>
    <w:rsid w:val="00D27C7E"/>
    <w:rsid w:val="00D27FBB"/>
    <w:rsid w:val="00D30648"/>
    <w:rsid w:val="00D30E53"/>
    <w:rsid w:val="00D313F3"/>
    <w:rsid w:val="00D32838"/>
    <w:rsid w:val="00D33DBF"/>
    <w:rsid w:val="00D342DC"/>
    <w:rsid w:val="00D343E2"/>
    <w:rsid w:val="00D3616B"/>
    <w:rsid w:val="00D361A2"/>
    <w:rsid w:val="00D37C1F"/>
    <w:rsid w:val="00D404CB"/>
    <w:rsid w:val="00D40CBD"/>
    <w:rsid w:val="00D40D99"/>
    <w:rsid w:val="00D414B1"/>
    <w:rsid w:val="00D41631"/>
    <w:rsid w:val="00D42AFF"/>
    <w:rsid w:val="00D43529"/>
    <w:rsid w:val="00D44C2E"/>
    <w:rsid w:val="00D44E48"/>
    <w:rsid w:val="00D45414"/>
    <w:rsid w:val="00D47ED8"/>
    <w:rsid w:val="00D51407"/>
    <w:rsid w:val="00D5214D"/>
    <w:rsid w:val="00D55CA7"/>
    <w:rsid w:val="00D566BD"/>
    <w:rsid w:val="00D576CF"/>
    <w:rsid w:val="00D57A4D"/>
    <w:rsid w:val="00D57C55"/>
    <w:rsid w:val="00D602A6"/>
    <w:rsid w:val="00D60AA7"/>
    <w:rsid w:val="00D61C66"/>
    <w:rsid w:val="00D62172"/>
    <w:rsid w:val="00D62E79"/>
    <w:rsid w:val="00D6435F"/>
    <w:rsid w:val="00D64D42"/>
    <w:rsid w:val="00D6676F"/>
    <w:rsid w:val="00D679C0"/>
    <w:rsid w:val="00D721DD"/>
    <w:rsid w:val="00D727FB"/>
    <w:rsid w:val="00D72AEB"/>
    <w:rsid w:val="00D75E28"/>
    <w:rsid w:val="00D772C2"/>
    <w:rsid w:val="00D8008E"/>
    <w:rsid w:val="00D813A1"/>
    <w:rsid w:val="00D82C45"/>
    <w:rsid w:val="00D8465F"/>
    <w:rsid w:val="00D867B5"/>
    <w:rsid w:val="00D86F50"/>
    <w:rsid w:val="00D87178"/>
    <w:rsid w:val="00D908A8"/>
    <w:rsid w:val="00D90DF8"/>
    <w:rsid w:val="00D919ED"/>
    <w:rsid w:val="00D92449"/>
    <w:rsid w:val="00D9299D"/>
    <w:rsid w:val="00D92A0F"/>
    <w:rsid w:val="00D93F4E"/>
    <w:rsid w:val="00D95BE7"/>
    <w:rsid w:val="00D9649B"/>
    <w:rsid w:val="00D977B6"/>
    <w:rsid w:val="00DA0C0D"/>
    <w:rsid w:val="00DA0DB3"/>
    <w:rsid w:val="00DA1165"/>
    <w:rsid w:val="00DA14B7"/>
    <w:rsid w:val="00DA4A31"/>
    <w:rsid w:val="00DA7B04"/>
    <w:rsid w:val="00DB19E7"/>
    <w:rsid w:val="00DB36C2"/>
    <w:rsid w:val="00DB5109"/>
    <w:rsid w:val="00DB5CFE"/>
    <w:rsid w:val="00DC0713"/>
    <w:rsid w:val="00DC138D"/>
    <w:rsid w:val="00DC169B"/>
    <w:rsid w:val="00DC286A"/>
    <w:rsid w:val="00DC2AB9"/>
    <w:rsid w:val="00DC2F5B"/>
    <w:rsid w:val="00DC63F0"/>
    <w:rsid w:val="00DC65E1"/>
    <w:rsid w:val="00DC7530"/>
    <w:rsid w:val="00DD40FB"/>
    <w:rsid w:val="00DD4AAB"/>
    <w:rsid w:val="00DD5146"/>
    <w:rsid w:val="00DD5C22"/>
    <w:rsid w:val="00DD6EE5"/>
    <w:rsid w:val="00DD6FD4"/>
    <w:rsid w:val="00DD7ED9"/>
    <w:rsid w:val="00DE0F25"/>
    <w:rsid w:val="00DE2840"/>
    <w:rsid w:val="00DE2B67"/>
    <w:rsid w:val="00DE386C"/>
    <w:rsid w:val="00DE38D4"/>
    <w:rsid w:val="00DE4D35"/>
    <w:rsid w:val="00DE593D"/>
    <w:rsid w:val="00DE5B70"/>
    <w:rsid w:val="00DF059F"/>
    <w:rsid w:val="00DF098B"/>
    <w:rsid w:val="00DF0CC1"/>
    <w:rsid w:val="00DF11C4"/>
    <w:rsid w:val="00DF1BE2"/>
    <w:rsid w:val="00DF210C"/>
    <w:rsid w:val="00DF228C"/>
    <w:rsid w:val="00DF3193"/>
    <w:rsid w:val="00DF42D7"/>
    <w:rsid w:val="00DF4530"/>
    <w:rsid w:val="00DF4B6A"/>
    <w:rsid w:val="00DF5004"/>
    <w:rsid w:val="00DF6A36"/>
    <w:rsid w:val="00E01585"/>
    <w:rsid w:val="00E01E65"/>
    <w:rsid w:val="00E02C09"/>
    <w:rsid w:val="00E02F31"/>
    <w:rsid w:val="00E04D59"/>
    <w:rsid w:val="00E04FE4"/>
    <w:rsid w:val="00E0632D"/>
    <w:rsid w:val="00E0652D"/>
    <w:rsid w:val="00E06B20"/>
    <w:rsid w:val="00E075E8"/>
    <w:rsid w:val="00E07DA1"/>
    <w:rsid w:val="00E10A03"/>
    <w:rsid w:val="00E12232"/>
    <w:rsid w:val="00E123CB"/>
    <w:rsid w:val="00E13BB1"/>
    <w:rsid w:val="00E14019"/>
    <w:rsid w:val="00E14829"/>
    <w:rsid w:val="00E154C0"/>
    <w:rsid w:val="00E16669"/>
    <w:rsid w:val="00E17966"/>
    <w:rsid w:val="00E20E13"/>
    <w:rsid w:val="00E20FA6"/>
    <w:rsid w:val="00E21DBC"/>
    <w:rsid w:val="00E22F48"/>
    <w:rsid w:val="00E275D7"/>
    <w:rsid w:val="00E27A20"/>
    <w:rsid w:val="00E27DBE"/>
    <w:rsid w:val="00E32AB1"/>
    <w:rsid w:val="00E36C71"/>
    <w:rsid w:val="00E370C8"/>
    <w:rsid w:val="00E3786A"/>
    <w:rsid w:val="00E37AC7"/>
    <w:rsid w:val="00E4018D"/>
    <w:rsid w:val="00E40404"/>
    <w:rsid w:val="00E40595"/>
    <w:rsid w:val="00E40E56"/>
    <w:rsid w:val="00E41D2F"/>
    <w:rsid w:val="00E42014"/>
    <w:rsid w:val="00E427F1"/>
    <w:rsid w:val="00E43877"/>
    <w:rsid w:val="00E43894"/>
    <w:rsid w:val="00E44179"/>
    <w:rsid w:val="00E4529A"/>
    <w:rsid w:val="00E459C6"/>
    <w:rsid w:val="00E47199"/>
    <w:rsid w:val="00E47589"/>
    <w:rsid w:val="00E5160B"/>
    <w:rsid w:val="00E5264A"/>
    <w:rsid w:val="00E5307F"/>
    <w:rsid w:val="00E60206"/>
    <w:rsid w:val="00E605DC"/>
    <w:rsid w:val="00E62381"/>
    <w:rsid w:val="00E64915"/>
    <w:rsid w:val="00E661D4"/>
    <w:rsid w:val="00E674A9"/>
    <w:rsid w:val="00E70091"/>
    <w:rsid w:val="00E704F1"/>
    <w:rsid w:val="00E70730"/>
    <w:rsid w:val="00E708EC"/>
    <w:rsid w:val="00E720F5"/>
    <w:rsid w:val="00E7264B"/>
    <w:rsid w:val="00E740CA"/>
    <w:rsid w:val="00E76CCD"/>
    <w:rsid w:val="00E76D47"/>
    <w:rsid w:val="00E77660"/>
    <w:rsid w:val="00E77CB3"/>
    <w:rsid w:val="00E82732"/>
    <w:rsid w:val="00E849F7"/>
    <w:rsid w:val="00E86DEB"/>
    <w:rsid w:val="00E90302"/>
    <w:rsid w:val="00E9132E"/>
    <w:rsid w:val="00E92648"/>
    <w:rsid w:val="00E953E5"/>
    <w:rsid w:val="00E95EDC"/>
    <w:rsid w:val="00E97396"/>
    <w:rsid w:val="00EA0359"/>
    <w:rsid w:val="00EA093D"/>
    <w:rsid w:val="00EA0B64"/>
    <w:rsid w:val="00EA185E"/>
    <w:rsid w:val="00EA2864"/>
    <w:rsid w:val="00EA362F"/>
    <w:rsid w:val="00EA4160"/>
    <w:rsid w:val="00EA56EE"/>
    <w:rsid w:val="00EA592A"/>
    <w:rsid w:val="00EA6539"/>
    <w:rsid w:val="00EB14E4"/>
    <w:rsid w:val="00EB29C2"/>
    <w:rsid w:val="00EB2E1D"/>
    <w:rsid w:val="00EB32A5"/>
    <w:rsid w:val="00EB34ED"/>
    <w:rsid w:val="00EB5E63"/>
    <w:rsid w:val="00EB5EDC"/>
    <w:rsid w:val="00EB72FA"/>
    <w:rsid w:val="00EB7BE0"/>
    <w:rsid w:val="00EB7E63"/>
    <w:rsid w:val="00EC03A5"/>
    <w:rsid w:val="00EC133F"/>
    <w:rsid w:val="00EC24B0"/>
    <w:rsid w:val="00EC315E"/>
    <w:rsid w:val="00EC5372"/>
    <w:rsid w:val="00EC5F97"/>
    <w:rsid w:val="00EC6490"/>
    <w:rsid w:val="00EC7A88"/>
    <w:rsid w:val="00ED058C"/>
    <w:rsid w:val="00ED077C"/>
    <w:rsid w:val="00ED0CCF"/>
    <w:rsid w:val="00ED1190"/>
    <w:rsid w:val="00ED1B0A"/>
    <w:rsid w:val="00ED2AF5"/>
    <w:rsid w:val="00ED3E8D"/>
    <w:rsid w:val="00ED6544"/>
    <w:rsid w:val="00ED71BB"/>
    <w:rsid w:val="00EE0277"/>
    <w:rsid w:val="00EE1780"/>
    <w:rsid w:val="00EE2FFE"/>
    <w:rsid w:val="00EE3E00"/>
    <w:rsid w:val="00EE58DE"/>
    <w:rsid w:val="00EE5DD2"/>
    <w:rsid w:val="00EE627E"/>
    <w:rsid w:val="00EE6DD4"/>
    <w:rsid w:val="00EF0BCF"/>
    <w:rsid w:val="00EF224C"/>
    <w:rsid w:val="00EF2E80"/>
    <w:rsid w:val="00EF63C2"/>
    <w:rsid w:val="00EF6C13"/>
    <w:rsid w:val="00EF7F54"/>
    <w:rsid w:val="00F00109"/>
    <w:rsid w:val="00F00597"/>
    <w:rsid w:val="00F00A79"/>
    <w:rsid w:val="00F00E86"/>
    <w:rsid w:val="00F02280"/>
    <w:rsid w:val="00F02926"/>
    <w:rsid w:val="00F0449A"/>
    <w:rsid w:val="00F04EEA"/>
    <w:rsid w:val="00F06E5F"/>
    <w:rsid w:val="00F07C1E"/>
    <w:rsid w:val="00F105DB"/>
    <w:rsid w:val="00F1199D"/>
    <w:rsid w:val="00F12820"/>
    <w:rsid w:val="00F132BC"/>
    <w:rsid w:val="00F13D80"/>
    <w:rsid w:val="00F15765"/>
    <w:rsid w:val="00F16AAA"/>
    <w:rsid w:val="00F170CD"/>
    <w:rsid w:val="00F20FF8"/>
    <w:rsid w:val="00F21161"/>
    <w:rsid w:val="00F218EF"/>
    <w:rsid w:val="00F21BC7"/>
    <w:rsid w:val="00F237DC"/>
    <w:rsid w:val="00F26626"/>
    <w:rsid w:val="00F266A2"/>
    <w:rsid w:val="00F30A73"/>
    <w:rsid w:val="00F32269"/>
    <w:rsid w:val="00F339D6"/>
    <w:rsid w:val="00F33AA2"/>
    <w:rsid w:val="00F34CC0"/>
    <w:rsid w:val="00F3670C"/>
    <w:rsid w:val="00F43167"/>
    <w:rsid w:val="00F53147"/>
    <w:rsid w:val="00F533DF"/>
    <w:rsid w:val="00F56A6F"/>
    <w:rsid w:val="00F5709C"/>
    <w:rsid w:val="00F577F7"/>
    <w:rsid w:val="00F57F8C"/>
    <w:rsid w:val="00F60166"/>
    <w:rsid w:val="00F605F8"/>
    <w:rsid w:val="00F60FD2"/>
    <w:rsid w:val="00F6263E"/>
    <w:rsid w:val="00F64EF1"/>
    <w:rsid w:val="00F674B1"/>
    <w:rsid w:val="00F67DB0"/>
    <w:rsid w:val="00F70C95"/>
    <w:rsid w:val="00F70EA1"/>
    <w:rsid w:val="00F75B89"/>
    <w:rsid w:val="00F76EEF"/>
    <w:rsid w:val="00F81E13"/>
    <w:rsid w:val="00F8765F"/>
    <w:rsid w:val="00F90767"/>
    <w:rsid w:val="00F94E07"/>
    <w:rsid w:val="00F95EA9"/>
    <w:rsid w:val="00F97A53"/>
    <w:rsid w:val="00FA29A8"/>
    <w:rsid w:val="00FA43EE"/>
    <w:rsid w:val="00FA4C07"/>
    <w:rsid w:val="00FA4DA1"/>
    <w:rsid w:val="00FA66CC"/>
    <w:rsid w:val="00FA685B"/>
    <w:rsid w:val="00FB0C01"/>
    <w:rsid w:val="00FB3843"/>
    <w:rsid w:val="00FB4483"/>
    <w:rsid w:val="00FB6AE3"/>
    <w:rsid w:val="00FB7ACE"/>
    <w:rsid w:val="00FC105F"/>
    <w:rsid w:val="00FC10C9"/>
    <w:rsid w:val="00FC18F2"/>
    <w:rsid w:val="00FC218B"/>
    <w:rsid w:val="00FC29EF"/>
    <w:rsid w:val="00FC39E5"/>
    <w:rsid w:val="00FC3A78"/>
    <w:rsid w:val="00FC5810"/>
    <w:rsid w:val="00FC7F6B"/>
    <w:rsid w:val="00FD1005"/>
    <w:rsid w:val="00FD1211"/>
    <w:rsid w:val="00FD28E3"/>
    <w:rsid w:val="00FD44B6"/>
    <w:rsid w:val="00FD583C"/>
    <w:rsid w:val="00FD6C75"/>
    <w:rsid w:val="00FE22F2"/>
    <w:rsid w:val="00FE2F54"/>
    <w:rsid w:val="00FE44B1"/>
    <w:rsid w:val="00FE49AA"/>
    <w:rsid w:val="00FE71B3"/>
    <w:rsid w:val="00FF1F53"/>
    <w:rsid w:val="00FF2B68"/>
    <w:rsid w:val="00FF42C5"/>
    <w:rsid w:val="00FF6591"/>
    <w:rsid w:val="00FF7EE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375C7D"/>
    <w:pPr>
      <w:jc w:val="both"/>
    </w:pPr>
    <w:rPr>
      <w:rFonts w:eastAsia="MS Mincho"/>
      <w:sz w:val="24"/>
      <w:lang w:val="en-US" w:eastAsia="en-US"/>
    </w:rPr>
  </w:style>
  <w:style w:type="paragraph" w:styleId="Nagwek1">
    <w:name w:val="heading 1"/>
    <w:basedOn w:val="Normalny"/>
    <w:next w:val="Normalny"/>
    <w:link w:val="Nagwek1Znak"/>
    <w:uiPriority w:val="99"/>
    <w:qFormat/>
    <w:rsid w:val="00375C7D"/>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qFormat/>
    <w:rsid w:val="00375C7D"/>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375C7D"/>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375C7D"/>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375C7D"/>
    <w:pPr>
      <w:spacing w:before="200"/>
      <w:outlineLvl w:val="4"/>
    </w:pPr>
    <w:rPr>
      <w:rFonts w:eastAsia="MS Gothic"/>
      <w:b/>
      <w:bCs/>
      <w:color w:val="808080"/>
    </w:rPr>
  </w:style>
  <w:style w:type="paragraph" w:styleId="Nagwek6">
    <w:name w:val="heading 6"/>
    <w:basedOn w:val="Normalny"/>
    <w:next w:val="Normalny"/>
    <w:link w:val="Nagwek6Znak"/>
    <w:uiPriority w:val="99"/>
    <w:qFormat/>
    <w:rsid w:val="00375C7D"/>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375C7D"/>
    <w:pPr>
      <w:outlineLvl w:val="6"/>
    </w:pPr>
    <w:rPr>
      <w:rFonts w:eastAsia="MS Gothic"/>
      <w:i/>
      <w:iCs/>
    </w:rPr>
  </w:style>
  <w:style w:type="paragraph" w:styleId="Nagwek8">
    <w:name w:val="heading 8"/>
    <w:basedOn w:val="Normalny"/>
    <w:next w:val="Normalny"/>
    <w:link w:val="Nagwek8Znak"/>
    <w:uiPriority w:val="99"/>
    <w:qFormat/>
    <w:rsid w:val="00375C7D"/>
    <w:pPr>
      <w:outlineLvl w:val="7"/>
    </w:pPr>
    <w:rPr>
      <w:rFonts w:eastAsia="MS Gothic"/>
      <w:sz w:val="20"/>
      <w:szCs w:val="20"/>
    </w:rPr>
  </w:style>
  <w:style w:type="paragraph" w:styleId="Nagwek9">
    <w:name w:val="heading 9"/>
    <w:basedOn w:val="Normalny"/>
    <w:next w:val="Normalny"/>
    <w:link w:val="Nagwek9Znak"/>
    <w:uiPriority w:val="99"/>
    <w:qFormat/>
    <w:rsid w:val="00375C7D"/>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375C7D"/>
    <w:rPr>
      <w:rFonts w:ascii="Times New Roman" w:eastAsia="MS Gothic"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375C7D"/>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375C7D"/>
    <w:rPr>
      <w:rFonts w:ascii="Times New Roman" w:eastAsia="MS Gothic" w:hAnsi="Times New Roman" w:cs="Times New Roman"/>
      <w:b/>
      <w:bCs/>
      <w:color w:val="5F5F5F"/>
      <w:sz w:val="24"/>
    </w:rPr>
  </w:style>
  <w:style w:type="character" w:customStyle="1" w:styleId="Nagwek4Znak">
    <w:name w:val="Nagłówek 4 Znak"/>
    <w:basedOn w:val="Domylnaczcionkaakapitu"/>
    <w:link w:val="Nagwek4"/>
    <w:uiPriority w:val="99"/>
    <w:semiHidden/>
    <w:locked/>
    <w:rsid w:val="00375C7D"/>
    <w:rPr>
      <w:rFonts w:ascii="Times New Roman" w:eastAsia="MS Gothic" w:hAnsi="Times New Roman" w:cs="Times New Roman"/>
      <w:b/>
      <w:bCs/>
      <w:i/>
      <w:iCs/>
      <w:color w:val="777777"/>
      <w:sz w:val="24"/>
    </w:rPr>
  </w:style>
  <w:style w:type="character" w:customStyle="1" w:styleId="Nagwek5Znak">
    <w:name w:val="Nagłówek 5 Znak"/>
    <w:basedOn w:val="Domylnaczcionkaakapitu"/>
    <w:link w:val="Nagwek5"/>
    <w:uiPriority w:val="99"/>
    <w:semiHidden/>
    <w:locked/>
    <w:rsid w:val="00375C7D"/>
    <w:rPr>
      <w:rFonts w:ascii="Times New Roman" w:eastAsia="MS Gothic" w:hAnsi="Times New Roman" w:cs="Times New Roman"/>
      <w:b/>
      <w:bCs/>
      <w:color w:val="808080"/>
      <w:sz w:val="24"/>
    </w:rPr>
  </w:style>
  <w:style w:type="character" w:customStyle="1" w:styleId="Nagwek6Znak">
    <w:name w:val="Nagłówek 6 Znak"/>
    <w:basedOn w:val="Domylnaczcionkaakapitu"/>
    <w:link w:val="Nagwek6"/>
    <w:uiPriority w:val="99"/>
    <w:semiHidden/>
    <w:locked/>
    <w:rsid w:val="00375C7D"/>
    <w:rPr>
      <w:rFonts w:ascii="Times New Roman" w:eastAsia="MS Gothic" w:hAnsi="Times New Roman" w:cs="Times New Roman"/>
      <w:b/>
      <w:bCs/>
      <w:i/>
      <w:iCs/>
      <w:color w:val="7F7F7F"/>
      <w:sz w:val="24"/>
    </w:rPr>
  </w:style>
  <w:style w:type="character" w:customStyle="1" w:styleId="Nagwek7Znak">
    <w:name w:val="Nagłówek 7 Znak"/>
    <w:basedOn w:val="Domylnaczcionkaakapitu"/>
    <w:link w:val="Nagwek7"/>
    <w:uiPriority w:val="99"/>
    <w:semiHidden/>
    <w:locked/>
    <w:rsid w:val="00375C7D"/>
    <w:rPr>
      <w:rFonts w:ascii="Times New Roman" w:eastAsia="MS Gothic" w:hAnsi="Times New Roman" w:cs="Times New Roman"/>
      <w:i/>
      <w:iCs/>
      <w:sz w:val="24"/>
    </w:rPr>
  </w:style>
  <w:style w:type="character" w:customStyle="1" w:styleId="Nagwek8Znak">
    <w:name w:val="Nagłówek 8 Znak"/>
    <w:basedOn w:val="Domylnaczcionkaakapitu"/>
    <w:link w:val="Nagwek8"/>
    <w:uiPriority w:val="99"/>
    <w:semiHidden/>
    <w:locked/>
    <w:rsid w:val="00375C7D"/>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375C7D"/>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375C7D"/>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375C7D"/>
    <w:rPr>
      <w:rFonts w:ascii="Tahoma" w:eastAsia="MS Mincho" w:hAnsi="Tahoma" w:cs="Tahoma"/>
      <w:sz w:val="16"/>
      <w:szCs w:val="16"/>
    </w:rPr>
  </w:style>
  <w:style w:type="character" w:styleId="Tytuksiki">
    <w:name w:val="Book Title"/>
    <w:basedOn w:val="Domylnaczcionkaakapitu"/>
    <w:uiPriority w:val="99"/>
    <w:qFormat/>
    <w:rsid w:val="00375C7D"/>
    <w:rPr>
      <w:rFonts w:cs="Times New Roman"/>
      <w:i/>
      <w:smallCaps/>
      <w:spacing w:val="5"/>
    </w:rPr>
  </w:style>
  <w:style w:type="paragraph" w:customStyle="1" w:styleId="ECHRHeader">
    <w:name w:val="ECHR_Header"/>
    <w:aliases w:val="Ju_Header"/>
    <w:basedOn w:val="Nagwek"/>
    <w:uiPriority w:val="99"/>
    <w:rsid w:val="00375C7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99"/>
    <w:semiHidden/>
    <w:rsid w:val="00375C7D"/>
    <w:pPr>
      <w:jc w:val="left"/>
    </w:pPr>
    <w:rPr>
      <w:sz w:val="8"/>
    </w:rPr>
  </w:style>
  <w:style w:type="character" w:styleId="Pogrubienie">
    <w:name w:val="Strong"/>
    <w:basedOn w:val="Domylnaczcionkaakapitu"/>
    <w:uiPriority w:val="99"/>
    <w:qFormat/>
    <w:rsid w:val="00375C7D"/>
    <w:rPr>
      <w:rFonts w:cs="Times New Roman"/>
      <w:b/>
    </w:rPr>
  </w:style>
  <w:style w:type="paragraph" w:styleId="Bezodstpw">
    <w:name w:val="No Spacing"/>
    <w:basedOn w:val="Normalny"/>
    <w:link w:val="BezodstpwZnak"/>
    <w:uiPriority w:val="99"/>
    <w:qFormat/>
    <w:rsid w:val="00375C7D"/>
  </w:style>
  <w:style w:type="character" w:customStyle="1" w:styleId="BezodstpwZnak">
    <w:name w:val="Bez odstępów Znak"/>
    <w:basedOn w:val="Domylnaczcionkaakapitu"/>
    <w:link w:val="Bezodstpw"/>
    <w:uiPriority w:val="99"/>
    <w:semiHidden/>
    <w:locked/>
    <w:rsid w:val="00375C7D"/>
    <w:rPr>
      <w:rFonts w:eastAsia="MS Mincho" w:cs="Times New Roman"/>
      <w:sz w:val="24"/>
    </w:rPr>
  </w:style>
  <w:style w:type="paragraph" w:customStyle="1" w:styleId="ECHRFooterLine">
    <w:name w:val="ECHR_Footer_Line"/>
    <w:aliases w:val="Footer_Line"/>
    <w:basedOn w:val="Normalny"/>
    <w:next w:val="ECHRFooter"/>
    <w:uiPriority w:val="99"/>
    <w:semiHidden/>
    <w:rsid w:val="00375C7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375C7D"/>
    <w:pPr>
      <w:numPr>
        <w:numId w:val="14"/>
      </w:numPr>
      <w:jc w:val="left"/>
    </w:pPr>
    <w:rPr>
      <w:b/>
    </w:rPr>
  </w:style>
  <w:style w:type="paragraph" w:customStyle="1" w:styleId="OpiPara">
    <w:name w:val="Opi_Para"/>
    <w:basedOn w:val="ECHRPara"/>
    <w:uiPriority w:val="99"/>
    <w:semiHidden/>
    <w:rsid w:val="00375C7D"/>
  </w:style>
  <w:style w:type="paragraph" w:customStyle="1" w:styleId="JuParaSub">
    <w:name w:val="Ju_Para_Sub"/>
    <w:basedOn w:val="ECHRPara"/>
    <w:uiPriority w:val="99"/>
    <w:rsid w:val="00375C7D"/>
    <w:pPr>
      <w:ind w:left="284"/>
    </w:pPr>
  </w:style>
  <w:style w:type="paragraph" w:customStyle="1" w:styleId="ECHRTitleCentre3">
    <w:name w:val="ECHR_Title_Centre_3"/>
    <w:aliases w:val="Ju_H_Article"/>
    <w:basedOn w:val="Normalny"/>
    <w:next w:val="ECHRParaQuote"/>
    <w:uiPriority w:val="99"/>
    <w:rsid w:val="00375C7D"/>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375C7D"/>
    <w:pPr>
      <w:keepNext/>
      <w:keepLines/>
      <w:spacing w:after="240"/>
      <w:jc w:val="center"/>
      <w:outlineLvl w:val="0"/>
    </w:pPr>
    <w:rPr>
      <w:sz w:val="28"/>
    </w:rPr>
  </w:style>
  <w:style w:type="paragraph" w:customStyle="1" w:styleId="OpiParaSub">
    <w:name w:val="Opi_Para_Sub"/>
    <w:basedOn w:val="JuParaSub"/>
    <w:uiPriority w:val="99"/>
    <w:semiHidden/>
    <w:rsid w:val="00375C7D"/>
  </w:style>
  <w:style w:type="paragraph" w:customStyle="1" w:styleId="OpiQuot">
    <w:name w:val="Opi_Quot"/>
    <w:basedOn w:val="ECHRParaQuote"/>
    <w:uiPriority w:val="99"/>
    <w:semiHidden/>
    <w:rsid w:val="00375C7D"/>
  </w:style>
  <w:style w:type="paragraph" w:customStyle="1" w:styleId="OpiQuotSub">
    <w:name w:val="Opi_Quot_Sub"/>
    <w:basedOn w:val="JuQuotSub"/>
    <w:uiPriority w:val="99"/>
    <w:semiHidden/>
    <w:rsid w:val="00375C7D"/>
  </w:style>
  <w:style w:type="paragraph" w:customStyle="1" w:styleId="ECHRTitleCentre2">
    <w:name w:val="ECHR_Title_Centre_2"/>
    <w:aliases w:val="Dec_H_Case"/>
    <w:basedOn w:val="Normalny"/>
    <w:next w:val="ECHRPara"/>
    <w:uiPriority w:val="99"/>
    <w:rsid w:val="00375C7D"/>
    <w:pPr>
      <w:spacing w:after="240"/>
      <w:jc w:val="center"/>
      <w:outlineLvl w:val="0"/>
    </w:pPr>
  </w:style>
  <w:style w:type="paragraph" w:customStyle="1" w:styleId="JuTitle">
    <w:name w:val="Ju_Title"/>
    <w:basedOn w:val="Normalny"/>
    <w:next w:val="ECHRPara"/>
    <w:uiPriority w:val="99"/>
    <w:rsid w:val="00375C7D"/>
    <w:pPr>
      <w:spacing w:before="720" w:after="240"/>
      <w:jc w:val="center"/>
      <w:outlineLvl w:val="0"/>
    </w:pPr>
    <w:rPr>
      <w:b/>
      <w:caps/>
    </w:rPr>
  </w:style>
  <w:style w:type="paragraph" w:styleId="Tytu">
    <w:name w:val="Title"/>
    <w:basedOn w:val="Normalny"/>
    <w:next w:val="Normalny"/>
    <w:link w:val="TytuZnak"/>
    <w:uiPriority w:val="99"/>
    <w:qFormat/>
    <w:rsid w:val="00375C7D"/>
    <w:pPr>
      <w:pBdr>
        <w:bottom w:val="single" w:sz="4" w:space="1" w:color="auto"/>
      </w:pBdr>
      <w:contextualSpacing/>
    </w:pPr>
    <w:rPr>
      <w:rFonts w:eastAsia="MS Gothic"/>
      <w:spacing w:val="5"/>
      <w:sz w:val="52"/>
      <w:szCs w:val="52"/>
    </w:rPr>
  </w:style>
  <w:style w:type="character" w:customStyle="1" w:styleId="TytuZnak">
    <w:name w:val="Tytuł Znak"/>
    <w:basedOn w:val="Domylnaczcionkaakapitu"/>
    <w:link w:val="Tytu"/>
    <w:uiPriority w:val="99"/>
    <w:semiHidden/>
    <w:locked/>
    <w:rsid w:val="00375C7D"/>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375C7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rsid w:val="00375C7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375C7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375C7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99"/>
    <w:rsid w:val="00375C7D"/>
    <w:pPr>
      <w:keepNext/>
      <w:keepLines/>
      <w:spacing w:before="240" w:after="120"/>
      <w:ind w:left="1236"/>
    </w:pPr>
    <w:rPr>
      <w:sz w:val="20"/>
    </w:rPr>
  </w:style>
  <w:style w:type="paragraph" w:customStyle="1" w:styleId="JuQuotSub">
    <w:name w:val="Ju_Quot_Sub"/>
    <w:basedOn w:val="ECHRParaQuote"/>
    <w:uiPriority w:val="99"/>
    <w:rsid w:val="00375C7D"/>
    <w:pPr>
      <w:ind w:left="567"/>
    </w:pPr>
  </w:style>
  <w:style w:type="paragraph" w:customStyle="1" w:styleId="JuInitialled">
    <w:name w:val="Ju_Initialled"/>
    <w:basedOn w:val="Normalny"/>
    <w:uiPriority w:val="99"/>
    <w:rsid w:val="00375C7D"/>
    <w:pPr>
      <w:tabs>
        <w:tab w:val="center" w:pos="6407"/>
      </w:tabs>
      <w:spacing w:before="720"/>
      <w:jc w:val="right"/>
    </w:pPr>
  </w:style>
  <w:style w:type="paragraph" w:customStyle="1" w:styleId="OpiHA">
    <w:name w:val="Opi_H_A"/>
    <w:basedOn w:val="ECHRHeading1"/>
    <w:next w:val="OpiPara"/>
    <w:uiPriority w:val="99"/>
    <w:semiHidden/>
    <w:rsid w:val="00375C7D"/>
    <w:pPr>
      <w:tabs>
        <w:tab w:val="clear" w:pos="357"/>
      </w:tabs>
      <w:outlineLvl w:val="1"/>
    </w:pPr>
    <w:rPr>
      <w:b/>
    </w:rPr>
  </w:style>
  <w:style w:type="paragraph" w:styleId="Nagwek">
    <w:name w:val="header"/>
    <w:basedOn w:val="Normalny"/>
    <w:link w:val="NagwekZnak"/>
    <w:uiPriority w:val="99"/>
    <w:semiHidden/>
    <w:rsid w:val="00375C7D"/>
    <w:pPr>
      <w:tabs>
        <w:tab w:val="center" w:pos="4536"/>
        <w:tab w:val="right" w:pos="9072"/>
      </w:tabs>
    </w:pPr>
    <w:rPr>
      <w:rFonts w:eastAsia="Times New Roman"/>
    </w:rPr>
  </w:style>
  <w:style w:type="character" w:customStyle="1" w:styleId="NagwekZnak">
    <w:name w:val="Nagłówek Znak"/>
    <w:basedOn w:val="Domylnaczcionkaakapitu"/>
    <w:link w:val="Nagwek"/>
    <w:uiPriority w:val="99"/>
    <w:semiHidden/>
    <w:locked/>
    <w:rsid w:val="00375C7D"/>
    <w:rPr>
      <w:rFonts w:cs="Times New Roman"/>
      <w:sz w:val="24"/>
    </w:rPr>
  </w:style>
  <w:style w:type="paragraph" w:customStyle="1" w:styleId="ECHRHeading1">
    <w:name w:val="ECHR_Heading_1"/>
    <w:aliases w:val="Ju_H_I_Roman"/>
    <w:basedOn w:val="Nagwek1"/>
    <w:next w:val="ECHRPara"/>
    <w:uiPriority w:val="99"/>
    <w:rsid w:val="00375C7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99"/>
    <w:rsid w:val="00375C7D"/>
    <w:pPr>
      <w:keepNext/>
      <w:keepLines/>
      <w:tabs>
        <w:tab w:val="left" w:pos="584"/>
      </w:tabs>
      <w:spacing w:before="360" w:after="240"/>
      <w:ind w:left="584" w:hanging="352"/>
    </w:pPr>
    <w:rPr>
      <w:color w:val="auto"/>
      <w:sz w:val="24"/>
    </w:rPr>
  </w:style>
  <w:style w:type="character" w:customStyle="1" w:styleId="JUNAMES">
    <w:name w:val="JU_NAMES"/>
    <w:uiPriority w:val="99"/>
    <w:rsid w:val="00375C7D"/>
    <w:rPr>
      <w:smallCaps/>
    </w:rPr>
  </w:style>
  <w:style w:type="paragraph" w:customStyle="1" w:styleId="ECHRDecisionBody">
    <w:name w:val="ECHR_Decision_Body"/>
    <w:aliases w:val="Ju_Judges"/>
    <w:basedOn w:val="Normalny"/>
    <w:uiPriority w:val="99"/>
    <w:rsid w:val="00375C7D"/>
    <w:pPr>
      <w:tabs>
        <w:tab w:val="left" w:pos="567"/>
        <w:tab w:val="left" w:pos="1134"/>
      </w:tabs>
      <w:jc w:val="left"/>
    </w:pPr>
  </w:style>
  <w:style w:type="paragraph" w:customStyle="1" w:styleId="ECHRPara">
    <w:name w:val="ECHR_Para"/>
    <w:aliases w:val="Ju_Para"/>
    <w:basedOn w:val="Normalny"/>
    <w:link w:val="ECHRParaChar"/>
    <w:uiPriority w:val="99"/>
    <w:rsid w:val="00375C7D"/>
    <w:pPr>
      <w:ind w:firstLine="284"/>
    </w:pPr>
  </w:style>
  <w:style w:type="character" w:styleId="Wyrnieniedelikatne">
    <w:name w:val="Subtle Emphasis"/>
    <w:basedOn w:val="Domylnaczcionkaakapitu"/>
    <w:uiPriority w:val="99"/>
    <w:qFormat/>
    <w:rsid w:val="00375C7D"/>
    <w:rPr>
      <w:rFonts w:cs="Times New Roman"/>
      <w:i/>
    </w:rPr>
  </w:style>
  <w:style w:type="table" w:customStyle="1" w:styleId="ECHRTable">
    <w:name w:val="ECHR_Table"/>
    <w:uiPriority w:val="99"/>
    <w:rsid w:val="00860B03"/>
    <w:rPr>
      <w:sz w:val="20"/>
      <w:szCs w:val="20"/>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sz w:val="20"/>
      <w:szCs w:val="20"/>
      <w:lang w:val="en-GB"/>
    </w:rPr>
    <w:tblPr>
      <w:tblInd w:w="0" w:type="dxa"/>
      <w:tblCellMar>
        <w:top w:w="57" w:type="dxa"/>
        <w:left w:w="57" w:type="dxa"/>
        <w:bottom w:w="57" w:type="dxa"/>
        <w:right w:w="57" w:type="dxa"/>
      </w:tblCellMar>
    </w:tblPr>
    <w:tcPr>
      <w:shd w:val="clear" w:color="auto" w:fill="F8F8F8"/>
    </w:tcPr>
  </w:style>
  <w:style w:type="paragraph" w:customStyle="1" w:styleId="ECHRTitle1">
    <w:name w:val="ECHR_Title_1"/>
    <w:aliases w:val="Ju_H_Head,Title_L_1"/>
    <w:basedOn w:val="Normalny"/>
    <w:next w:val="ECHRPara"/>
    <w:uiPriority w:val="99"/>
    <w:rsid w:val="00375C7D"/>
    <w:pPr>
      <w:keepNext/>
      <w:keepLines/>
      <w:spacing w:before="720" w:after="240"/>
      <w:outlineLvl w:val="0"/>
    </w:pPr>
    <w:rPr>
      <w:sz w:val="28"/>
    </w:rPr>
  </w:style>
  <w:style w:type="character" w:styleId="Uwydatnienie">
    <w:name w:val="Emphasis"/>
    <w:basedOn w:val="Domylnaczcionkaakapitu"/>
    <w:uiPriority w:val="99"/>
    <w:qFormat/>
    <w:rsid w:val="00375C7D"/>
    <w:rPr>
      <w:rFonts w:cs="Times New Roman"/>
      <w:b/>
      <w:i/>
      <w:spacing w:val="10"/>
      <w:shd w:val="clear" w:color="auto" w:fill="auto"/>
    </w:rPr>
  </w:style>
  <w:style w:type="paragraph" w:styleId="Stopka">
    <w:name w:val="footer"/>
    <w:basedOn w:val="Normalny"/>
    <w:link w:val="StopkaZnak"/>
    <w:uiPriority w:val="99"/>
    <w:semiHidden/>
    <w:rsid w:val="00375C7D"/>
    <w:pPr>
      <w:tabs>
        <w:tab w:val="center" w:pos="4536"/>
        <w:tab w:val="right" w:pos="9696"/>
      </w:tabs>
      <w:ind w:left="-680" w:right="-680"/>
    </w:pPr>
    <w:rPr>
      <w:rFonts w:eastAsia="Times New Roman"/>
    </w:rPr>
  </w:style>
  <w:style w:type="character" w:customStyle="1" w:styleId="StopkaZnak">
    <w:name w:val="Stopka Znak"/>
    <w:basedOn w:val="Domylnaczcionkaakapitu"/>
    <w:link w:val="Stopka"/>
    <w:uiPriority w:val="99"/>
    <w:semiHidden/>
    <w:locked/>
    <w:rsid w:val="00375C7D"/>
    <w:rPr>
      <w:rFonts w:cs="Times New Roman"/>
      <w:sz w:val="24"/>
    </w:rPr>
  </w:style>
  <w:style w:type="character" w:styleId="Odwoanieprzypisudolnego">
    <w:name w:val="footnote reference"/>
    <w:basedOn w:val="Domylnaczcionkaakapitu"/>
    <w:uiPriority w:val="99"/>
    <w:semiHidden/>
    <w:rsid w:val="00375C7D"/>
    <w:rPr>
      <w:rFonts w:cs="Times New Roman"/>
      <w:vertAlign w:val="superscript"/>
    </w:rPr>
  </w:style>
  <w:style w:type="paragraph" w:styleId="Tekstprzypisudolnego">
    <w:name w:val="footnote text"/>
    <w:basedOn w:val="Normalny"/>
    <w:link w:val="TekstprzypisudolnegoZnak"/>
    <w:uiPriority w:val="99"/>
    <w:semiHidden/>
    <w:rsid w:val="00375C7D"/>
    <w:rPr>
      <w:sz w:val="20"/>
      <w:szCs w:val="20"/>
    </w:rPr>
  </w:style>
  <w:style w:type="character" w:customStyle="1" w:styleId="TekstprzypisudolnegoZnak">
    <w:name w:val="Tekst przypisu dolnego Znak"/>
    <w:basedOn w:val="Domylnaczcionkaakapitu"/>
    <w:link w:val="Tekstprzypisudolnego"/>
    <w:uiPriority w:val="99"/>
    <w:semiHidden/>
    <w:locked/>
    <w:rsid w:val="00375C7D"/>
    <w:rPr>
      <w:rFonts w:eastAsia="MS Mincho" w:cs="Times New Roman"/>
      <w:sz w:val="20"/>
      <w:szCs w:val="20"/>
    </w:rPr>
  </w:style>
  <w:style w:type="character" w:styleId="Hipercze">
    <w:name w:val="Hyperlink"/>
    <w:basedOn w:val="Domylnaczcionkaakapitu"/>
    <w:uiPriority w:val="99"/>
    <w:semiHidden/>
    <w:rsid w:val="00375C7D"/>
    <w:rPr>
      <w:rFonts w:cs="Times New Roman"/>
      <w:color w:val="0072BC"/>
      <w:u w:val="single"/>
    </w:rPr>
  </w:style>
  <w:style w:type="character" w:styleId="Wyrnienieintensywne">
    <w:name w:val="Intense Emphasis"/>
    <w:basedOn w:val="Domylnaczcionkaakapitu"/>
    <w:uiPriority w:val="99"/>
    <w:qFormat/>
    <w:rsid w:val="00375C7D"/>
    <w:rPr>
      <w:rFonts w:cs="Times New Roman"/>
      <w:b/>
    </w:rPr>
  </w:style>
  <w:style w:type="paragraph" w:styleId="Cytatintensywny">
    <w:name w:val="Intense Quote"/>
    <w:basedOn w:val="Normalny"/>
    <w:next w:val="Normalny"/>
    <w:link w:val="CytatintensywnyZnak"/>
    <w:uiPriority w:val="99"/>
    <w:qFormat/>
    <w:rsid w:val="00375C7D"/>
    <w:pPr>
      <w:pBdr>
        <w:bottom w:val="single" w:sz="4" w:space="1" w:color="auto"/>
      </w:pBdr>
      <w:spacing w:before="200" w:after="280"/>
      <w:ind w:left="1008" w:right="1152"/>
    </w:pPr>
    <w:rPr>
      <w:b/>
      <w:bCs/>
      <w:i/>
      <w:iCs/>
    </w:rPr>
  </w:style>
  <w:style w:type="character" w:customStyle="1" w:styleId="CytatintensywnyZnak">
    <w:name w:val="Cytat intensywny Znak"/>
    <w:basedOn w:val="Domylnaczcionkaakapitu"/>
    <w:link w:val="Cytatintensywny"/>
    <w:uiPriority w:val="99"/>
    <w:semiHidden/>
    <w:locked/>
    <w:rsid w:val="00375C7D"/>
    <w:rPr>
      <w:rFonts w:eastAsia="MS Mincho" w:cs="Times New Roman"/>
      <w:b/>
      <w:bCs/>
      <w:i/>
      <w:iCs/>
      <w:sz w:val="24"/>
    </w:rPr>
  </w:style>
  <w:style w:type="character" w:styleId="Odwoanieintensywne">
    <w:name w:val="Intense Reference"/>
    <w:basedOn w:val="Domylnaczcionkaakapitu"/>
    <w:uiPriority w:val="99"/>
    <w:qFormat/>
    <w:rsid w:val="00375C7D"/>
    <w:rPr>
      <w:rFonts w:cs="Times New Roman"/>
      <w:smallCaps/>
      <w:spacing w:val="5"/>
      <w:u w:val="single"/>
    </w:rPr>
  </w:style>
  <w:style w:type="paragraph" w:styleId="Akapitzlist">
    <w:name w:val="List Paragraph"/>
    <w:basedOn w:val="Normalny"/>
    <w:uiPriority w:val="99"/>
    <w:qFormat/>
    <w:rsid w:val="00375C7D"/>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375C7D"/>
    <w:pPr>
      <w:spacing w:before="200"/>
      <w:ind w:left="360" w:right="360"/>
    </w:pPr>
    <w:rPr>
      <w:i/>
      <w:iCs/>
    </w:rPr>
  </w:style>
  <w:style w:type="character" w:customStyle="1" w:styleId="CytatZnak">
    <w:name w:val="Cytat Znak"/>
    <w:basedOn w:val="Domylnaczcionkaakapitu"/>
    <w:link w:val="Cytat"/>
    <w:uiPriority w:val="99"/>
    <w:semiHidden/>
    <w:locked/>
    <w:rsid w:val="00375C7D"/>
    <w:rPr>
      <w:rFonts w:eastAsia="MS Mincho" w:cs="Times New Roman"/>
      <w:i/>
      <w:iCs/>
      <w:sz w:val="24"/>
    </w:rPr>
  </w:style>
  <w:style w:type="character" w:styleId="Odwoaniedelikatne">
    <w:name w:val="Subtle Reference"/>
    <w:basedOn w:val="Domylnaczcionkaakapitu"/>
    <w:uiPriority w:val="99"/>
    <w:qFormat/>
    <w:rsid w:val="00375C7D"/>
    <w:rPr>
      <w:rFonts w:cs="Times New Roman"/>
      <w:smallCaps/>
    </w:rPr>
  </w:style>
  <w:style w:type="table" w:styleId="Tabela-Siatka">
    <w:name w:val="Table Grid"/>
    <w:basedOn w:val="Standardowy"/>
    <w:uiPriority w:val="99"/>
    <w:rsid w:val="00375C7D"/>
    <w:rPr>
      <w:rFonts w:eastAsia="MS Mincho"/>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375C7D"/>
    <w:pPr>
      <w:spacing w:before="120" w:after="60"/>
      <w:ind w:left="340" w:right="340" w:hanging="340"/>
    </w:pPr>
    <w:rPr>
      <w:color w:val="0D0D0D"/>
    </w:rPr>
  </w:style>
  <w:style w:type="paragraph" w:styleId="Spistreci2">
    <w:name w:val="toc 2"/>
    <w:basedOn w:val="Normalny"/>
    <w:next w:val="Normalny"/>
    <w:autoRedefine/>
    <w:uiPriority w:val="99"/>
    <w:semiHidden/>
    <w:rsid w:val="00375C7D"/>
    <w:pPr>
      <w:spacing w:after="60"/>
      <w:ind w:left="680" w:right="340" w:hanging="340"/>
    </w:pPr>
  </w:style>
  <w:style w:type="paragraph" w:styleId="Spistreci3">
    <w:name w:val="toc 3"/>
    <w:basedOn w:val="Normalny"/>
    <w:next w:val="Normalny"/>
    <w:autoRedefine/>
    <w:uiPriority w:val="99"/>
    <w:semiHidden/>
    <w:rsid w:val="00375C7D"/>
    <w:pPr>
      <w:spacing w:after="60"/>
      <w:ind w:left="1020" w:right="340" w:hanging="340"/>
    </w:pPr>
  </w:style>
  <w:style w:type="paragraph" w:styleId="Spistreci4">
    <w:name w:val="toc 4"/>
    <w:basedOn w:val="Normalny"/>
    <w:next w:val="Normalny"/>
    <w:autoRedefine/>
    <w:uiPriority w:val="99"/>
    <w:semiHidden/>
    <w:rsid w:val="00375C7D"/>
    <w:pPr>
      <w:tabs>
        <w:tab w:val="right" w:leader="dot" w:pos="9017"/>
      </w:tabs>
      <w:spacing w:after="60"/>
      <w:ind w:left="1361" w:right="340" w:hanging="340"/>
    </w:pPr>
  </w:style>
  <w:style w:type="paragraph" w:styleId="Spistreci5">
    <w:name w:val="toc 5"/>
    <w:basedOn w:val="Normalny"/>
    <w:next w:val="Normalny"/>
    <w:autoRedefine/>
    <w:uiPriority w:val="99"/>
    <w:semiHidden/>
    <w:rsid w:val="00375C7D"/>
    <w:pPr>
      <w:spacing w:after="60"/>
      <w:ind w:left="1701" w:right="340" w:hanging="340"/>
    </w:pPr>
  </w:style>
  <w:style w:type="paragraph" w:styleId="Nagwekspisutreci">
    <w:name w:val="TOC Heading"/>
    <w:basedOn w:val="Nagwek1"/>
    <w:next w:val="Normalny"/>
    <w:uiPriority w:val="99"/>
    <w:qFormat/>
    <w:rsid w:val="00375C7D"/>
    <w:pPr>
      <w:outlineLvl w:val="9"/>
    </w:pPr>
    <w:rPr>
      <w:color w:val="474747"/>
    </w:rPr>
  </w:style>
  <w:style w:type="table" w:customStyle="1" w:styleId="UGTable">
    <w:name w:val="UG_Table"/>
    <w:uiPriority w:val="99"/>
    <w:rsid w:val="00801300"/>
    <w:rPr>
      <w:rFonts w:eastAsia="MS Mincho"/>
      <w:sz w:val="20"/>
      <w:szCs w:val="20"/>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801300"/>
    <w:rPr>
      <w:rFonts w:eastAsia="MS Mincho"/>
      <w:sz w:val="20"/>
      <w:szCs w:val="20"/>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375C7D"/>
    <w:pPr>
      <w:spacing w:before="120"/>
    </w:pPr>
    <w:rPr>
      <w:rFonts w:eastAsia="MS Gothic"/>
      <w:b/>
      <w:bCs/>
      <w:color w:val="474747"/>
      <w:szCs w:val="24"/>
    </w:rPr>
  </w:style>
  <w:style w:type="paragraph" w:customStyle="1" w:styleId="ECHRParaQuote">
    <w:name w:val="ECHR_Para_Quote"/>
    <w:aliases w:val="Ju_Quot,Para_Quote"/>
    <w:basedOn w:val="Normalny"/>
    <w:uiPriority w:val="99"/>
    <w:rsid w:val="00375C7D"/>
    <w:pPr>
      <w:spacing w:before="120" w:after="120"/>
      <w:ind w:left="425" w:firstLine="142"/>
    </w:pPr>
    <w:rPr>
      <w:sz w:val="20"/>
    </w:r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375C7D"/>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style>
  <w:style w:type="paragraph" w:customStyle="1" w:styleId="JuSigned">
    <w:name w:val="Ju_Signed"/>
    <w:basedOn w:val="Normalny"/>
    <w:next w:val="JuParaLast"/>
    <w:uiPriority w:val="99"/>
    <w:rsid w:val="00375C7D"/>
    <w:pPr>
      <w:tabs>
        <w:tab w:val="center" w:pos="851"/>
        <w:tab w:val="center" w:pos="6407"/>
      </w:tabs>
      <w:spacing w:before="720"/>
      <w:jc w:val="left"/>
    </w:pPr>
  </w:style>
  <w:style w:type="character" w:customStyle="1" w:styleId="JuITMark">
    <w:name w:val="Ju_ITMark"/>
    <w:basedOn w:val="Domylnaczcionkaakapitu"/>
    <w:uiPriority w:val="99"/>
    <w:rsid w:val="00375C7D"/>
    <w:rPr>
      <w:rFonts w:cs="Times New Roman"/>
      <w:color w:val="auto"/>
      <w:sz w:val="14"/>
    </w:rPr>
  </w:style>
  <w:style w:type="paragraph" w:customStyle="1" w:styleId="JuCase">
    <w:name w:val="Ju_Case"/>
    <w:basedOn w:val="Normalny"/>
    <w:next w:val="ECHRPara"/>
    <w:uiPriority w:val="99"/>
    <w:rsid w:val="00375C7D"/>
    <w:pPr>
      <w:ind w:firstLine="284"/>
    </w:pPr>
    <w:rPr>
      <w:b/>
    </w:rPr>
  </w:style>
  <w:style w:type="paragraph" w:customStyle="1" w:styleId="JuList">
    <w:name w:val="Ju_List"/>
    <w:basedOn w:val="Normalny"/>
    <w:uiPriority w:val="99"/>
    <w:rsid w:val="00375C7D"/>
    <w:pPr>
      <w:ind w:left="340" w:hanging="340"/>
    </w:pPr>
  </w:style>
  <w:style w:type="paragraph" w:customStyle="1" w:styleId="OpiTranslation">
    <w:name w:val="Opi_Translation"/>
    <w:basedOn w:val="Normalny"/>
    <w:next w:val="OpiPara"/>
    <w:uiPriority w:val="99"/>
    <w:semiHidden/>
    <w:rsid w:val="00375C7D"/>
    <w:pPr>
      <w:jc w:val="center"/>
      <w:outlineLvl w:val="0"/>
    </w:pPr>
    <w:rPr>
      <w:i/>
    </w:rPr>
  </w:style>
  <w:style w:type="character" w:styleId="Numerstrony">
    <w:name w:val="page number"/>
    <w:basedOn w:val="Domylnaczcionkaakapitu"/>
    <w:uiPriority w:val="99"/>
    <w:semiHidden/>
    <w:rsid w:val="00E77CB3"/>
    <w:rPr>
      <w:rFonts w:ascii="Times New Roman" w:hAnsi="Times New Roman" w:cs="Times New Roman"/>
      <w:sz w:val="18"/>
    </w:rPr>
  </w:style>
  <w:style w:type="paragraph" w:customStyle="1" w:styleId="DecHTitle">
    <w:name w:val="Dec_H_Title"/>
    <w:basedOn w:val="ECHRTitleCentre1"/>
    <w:uiPriority w:val="99"/>
    <w:rsid w:val="00375C7D"/>
  </w:style>
  <w:style w:type="paragraph" w:customStyle="1" w:styleId="JuCourt">
    <w:name w:val="Ju_Court"/>
    <w:basedOn w:val="Normalny"/>
    <w:next w:val="Normalny"/>
    <w:uiPriority w:val="99"/>
    <w:rsid w:val="00375C7D"/>
    <w:pPr>
      <w:tabs>
        <w:tab w:val="left" w:pos="907"/>
        <w:tab w:val="left" w:pos="1701"/>
        <w:tab w:val="right" w:pos="7371"/>
      </w:tabs>
      <w:spacing w:before="240"/>
      <w:ind w:left="397" w:hanging="397"/>
      <w:jc w:val="left"/>
    </w:pPr>
  </w:style>
  <w:style w:type="character" w:styleId="Odwoaniedokomentarza">
    <w:name w:val="annotation reference"/>
    <w:basedOn w:val="Domylnaczcionkaakapitu"/>
    <w:uiPriority w:val="99"/>
    <w:semiHidden/>
    <w:rsid w:val="00E77CB3"/>
    <w:rPr>
      <w:rFonts w:cs="Times New Roman"/>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locked/>
    <w:rsid w:val="00E77CB3"/>
    <w:rPr>
      <w:rFonts w:eastAsia="MS Mincho" w:cs="Times New Roman"/>
      <w:sz w:val="20"/>
    </w:rPr>
  </w:style>
  <w:style w:type="character" w:styleId="Odwoanieprzypisukocowego">
    <w:name w:val="endnote reference"/>
    <w:basedOn w:val="Domylnaczcionkaakapitu"/>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locked/>
    <w:rsid w:val="00E77CB3"/>
    <w:rPr>
      <w:rFonts w:eastAsia="MS Mincho" w:cs="Times New Roman"/>
      <w:sz w:val="20"/>
    </w:rPr>
  </w:style>
  <w:style w:type="character" w:styleId="UyteHipercze">
    <w:name w:val="FollowedHyperlink"/>
    <w:basedOn w:val="Domylnaczcionkaakapitu"/>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JuParaLast">
    <w:name w:val="Ju_Para_Last"/>
    <w:basedOn w:val="Normalny"/>
    <w:next w:val="ECHRPara"/>
    <w:uiPriority w:val="99"/>
    <w:rsid w:val="00375C7D"/>
    <w:pPr>
      <w:keepNext/>
      <w:keepLines/>
      <w:spacing w:before="240"/>
      <w:ind w:firstLine="284"/>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locked/>
    <w:rsid w:val="00E77CB3"/>
    <w:rPr>
      <w:rFonts w:eastAsia="MS Mincho" w:cs="Times New Roman"/>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locked/>
    <w:rsid w:val="00E77CB3"/>
    <w:rPr>
      <w:rFonts w:ascii="Tahoma" w:eastAsia="MS Mincho" w:hAnsi="Tahoma" w:cs="Tahoma"/>
      <w:sz w:val="20"/>
      <w:shd w:val="clear" w:color="auto" w:fill="000080"/>
    </w:rPr>
  </w:style>
  <w:style w:type="paragraph" w:customStyle="1" w:styleId="DecList">
    <w:name w:val="Dec_List"/>
    <w:basedOn w:val="Normalny"/>
    <w:uiPriority w:val="99"/>
    <w:rsid w:val="00375C7D"/>
    <w:pPr>
      <w:spacing w:before="240"/>
      <w:ind w:left="284"/>
    </w:pPr>
  </w:style>
  <w:style w:type="paragraph" w:styleId="Podtytu">
    <w:name w:val="Subtitle"/>
    <w:basedOn w:val="Normalny"/>
    <w:next w:val="Normalny"/>
    <w:link w:val="PodtytuZnak"/>
    <w:uiPriority w:val="99"/>
    <w:qFormat/>
    <w:rsid w:val="00375C7D"/>
    <w:pPr>
      <w:spacing w:after="600"/>
    </w:pPr>
    <w:rPr>
      <w:rFonts w:eastAsia="MS Gothic"/>
      <w:i/>
      <w:iCs/>
      <w:spacing w:val="13"/>
      <w:szCs w:val="24"/>
    </w:rPr>
  </w:style>
  <w:style w:type="character" w:customStyle="1" w:styleId="PodtytuZnak">
    <w:name w:val="Podtytuł Znak"/>
    <w:basedOn w:val="Domylnaczcionkaakapitu"/>
    <w:link w:val="Podtytu"/>
    <w:uiPriority w:val="99"/>
    <w:semiHidden/>
    <w:locked/>
    <w:rsid w:val="00375C7D"/>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E77CB3"/>
  </w:style>
  <w:style w:type="paragraph" w:styleId="Tekstblokowy">
    <w:name w:val="Block Text"/>
    <w:basedOn w:val="Normalny"/>
    <w:uiPriority w:val="99"/>
    <w:semiHidden/>
    <w:rsid w:val="00E77CB3"/>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locked/>
    <w:rsid w:val="00E77CB3"/>
    <w:rPr>
      <w:rFonts w:eastAsia="MS Mincho" w:cs="Times New Roman"/>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locked/>
    <w:rsid w:val="00E77CB3"/>
    <w:rPr>
      <w:rFonts w:eastAsia="MS Mincho" w:cs="Times New Roman"/>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E77CB3"/>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E77CB3"/>
    <w:rPr>
      <w:rFonts w:eastAsia="MS Mincho" w:cs="Times New Roman"/>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locked/>
    <w:rsid w:val="00E77CB3"/>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E77CB3"/>
    <w:rPr>
      <w:rFonts w:eastAsia="MS Mincho" w:cs="Times New Roman"/>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E77CB3"/>
    <w:rPr>
      <w:rFonts w:eastAsia="MS Mincho" w:cs="Times New Roman"/>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E77CB3"/>
    <w:rPr>
      <w:rFonts w:eastAsia="MS Mincho" w:cs="Times New Roman"/>
      <w:sz w:val="16"/>
      <w:szCs w:val="16"/>
    </w:rPr>
  </w:style>
  <w:style w:type="paragraph" w:styleId="Legenda">
    <w:name w:val="caption"/>
    <w:basedOn w:val="Normalny"/>
    <w:next w:val="Normalny"/>
    <w:uiPriority w:val="99"/>
    <w:qFormat/>
    <w:rsid w:val="00E77CB3"/>
    <w:pPr>
      <w:spacing w:after="200"/>
    </w:pPr>
    <w:rPr>
      <w:b/>
      <w:bCs/>
      <w:color w:val="0072BC"/>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locked/>
    <w:rsid w:val="00E77CB3"/>
    <w:rPr>
      <w:rFonts w:eastAsia="MS Mincho" w:cs="Times New Roman"/>
      <w:sz w:val="24"/>
    </w:rPr>
  </w:style>
  <w:style w:type="table" w:styleId="Kolorowasiatka">
    <w:name w:val="Colorful Grid"/>
    <w:basedOn w:val="Standardowy"/>
    <w:uiPriority w:val="99"/>
    <w:semiHidden/>
    <w:rsid w:val="00E77CB3"/>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E77CB3"/>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E77CB3"/>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E77CB3"/>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E77CB3"/>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E77CB3"/>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E77CB3"/>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E77CB3"/>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E77CB3"/>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E77CB3"/>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E77CB3"/>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E77CB3"/>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E77CB3"/>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E77CB3"/>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E77CB3"/>
    <w:rPr>
      <w:color w:val="000000"/>
      <w:sz w:val="20"/>
      <w:szCs w:val="20"/>
      <w:lang w:val="fr-FR" w:eastAsia="fr-FR"/>
    </w:rPr>
    <w:tblPr>
      <w:tblStyleRowBandSize w:val="1"/>
      <w:tblStyleColBandSize w:val="1"/>
      <w:tblInd w:w="0" w:type="dxa"/>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E77CB3"/>
    <w:rPr>
      <w:color w:val="000000"/>
      <w:sz w:val="20"/>
      <w:szCs w:val="20"/>
      <w:lang w:val="fr-FR" w:eastAsia="fr-FR"/>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E77CB3"/>
    <w:rPr>
      <w:color w:val="000000"/>
      <w:sz w:val="20"/>
      <w:szCs w:val="20"/>
      <w:lang w:val="fr-FR" w:eastAsia="fr-FR"/>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E77CB3"/>
    <w:rPr>
      <w:color w:val="000000"/>
      <w:sz w:val="20"/>
      <w:szCs w:val="20"/>
      <w:lang w:val="fr-FR" w:eastAsia="fr-FR"/>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E77CB3"/>
    <w:rPr>
      <w:color w:val="000000"/>
      <w:sz w:val="20"/>
      <w:szCs w:val="20"/>
      <w:lang w:val="fr-FR" w:eastAsia="fr-FR"/>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E77CB3"/>
    <w:rPr>
      <w:color w:val="000000"/>
      <w:sz w:val="20"/>
      <w:szCs w:val="20"/>
      <w:lang w:val="fr-FR" w:eastAsia="fr-FR"/>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E77CB3"/>
    <w:rPr>
      <w:color w:val="000000"/>
      <w:sz w:val="20"/>
      <w:szCs w:val="20"/>
      <w:lang w:val="fr-FR" w:eastAsia="fr-FR"/>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E77CB3"/>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77CB3"/>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77CB3"/>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77CB3"/>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77CB3"/>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77CB3"/>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77CB3"/>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locked/>
    <w:rsid w:val="00E77CB3"/>
    <w:rPr>
      <w:rFonts w:eastAsia="MS Mincho" w:cs="Times New Roman"/>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locked/>
    <w:rsid w:val="00E77CB3"/>
    <w:rPr>
      <w:rFonts w:eastAsia="MS Mincho" w:cs="Times New Roman"/>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E77CB3"/>
    <w:rPr>
      <w:rFonts w:eastAsia="MS Gothic"/>
      <w:sz w:val="20"/>
      <w:szCs w:val="20"/>
    </w:rPr>
  </w:style>
  <w:style w:type="character" w:styleId="HTML-akronim">
    <w:name w:val="HTML Acronym"/>
    <w:basedOn w:val="Domylnaczcionkaakapitu"/>
    <w:uiPriority w:val="99"/>
    <w:semiHidden/>
    <w:rsid w:val="00E77CB3"/>
    <w:rPr>
      <w:rFonts w:cs="Times New Roman"/>
    </w:rPr>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locked/>
    <w:rsid w:val="00E77CB3"/>
    <w:rPr>
      <w:rFonts w:eastAsia="MS Mincho" w:cs="Times New Roman"/>
      <w:i/>
      <w:iCs/>
      <w:sz w:val="24"/>
    </w:rPr>
  </w:style>
  <w:style w:type="character" w:styleId="HTML-cytat">
    <w:name w:val="HTML Cite"/>
    <w:basedOn w:val="Domylnaczcionkaakapitu"/>
    <w:uiPriority w:val="99"/>
    <w:semiHidden/>
    <w:rsid w:val="00E77CB3"/>
    <w:rPr>
      <w:rFonts w:cs="Times New Roman"/>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rFonts w:cs="Times New Roman"/>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E77CB3"/>
    <w:rPr>
      <w:rFonts w:ascii="Consolas" w:eastAsia="MS Mincho"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rFonts w:cs="Times New Roman"/>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eastAsia="MS Gothic"/>
      <w:b/>
      <w:bCs/>
    </w:rPr>
  </w:style>
  <w:style w:type="table" w:styleId="Jasnasiatka">
    <w:name w:val="Light Grid"/>
    <w:basedOn w:val="Standardowy"/>
    <w:uiPriority w:val="99"/>
    <w:semiHidden/>
    <w:rsid w:val="00E77CB3"/>
    <w:rPr>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77CB3"/>
    <w:rPr>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77CB3"/>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77CB3"/>
    <w:rPr>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77CB3"/>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77CB3"/>
    <w:rPr>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77CB3"/>
    <w:rPr>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77CB3"/>
    <w:rPr>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77CB3"/>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77CB3"/>
    <w:rPr>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77CB3"/>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77CB3"/>
    <w:rPr>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77CB3"/>
    <w:rPr>
      <w:color w:val="000000"/>
      <w:sz w:val="20"/>
      <w:szCs w:val="2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77CB3"/>
    <w:rPr>
      <w:color w:val="00548C"/>
      <w:sz w:val="20"/>
      <w:szCs w:val="2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77CB3"/>
    <w:rPr>
      <w:color w:val="8F0000"/>
      <w:sz w:val="20"/>
      <w:szCs w:val="2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77CB3"/>
    <w:rPr>
      <w:color w:val="474747"/>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77CB3"/>
    <w:rPr>
      <w:color w:val="707070"/>
      <w:sz w:val="20"/>
      <w:szCs w:val="2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77CB3"/>
    <w:rPr>
      <w:color w:val="474747"/>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77CB3"/>
    <w:rPr>
      <w:color w:val="393939"/>
      <w:sz w:val="20"/>
      <w:szCs w:val="2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77CB3"/>
    <w:rPr>
      <w:rFonts w:cs="Times New Roman"/>
    </w:rPr>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2"/>
      </w:numPr>
      <w:contextualSpacing/>
    </w:pPr>
  </w:style>
  <w:style w:type="paragraph" w:styleId="Listapunktowana3">
    <w:name w:val="List Bullet 3"/>
    <w:basedOn w:val="Normalny"/>
    <w:uiPriority w:val="99"/>
    <w:semiHidden/>
    <w:rsid w:val="00E77CB3"/>
    <w:pPr>
      <w:numPr>
        <w:numId w:val="3"/>
      </w:numPr>
      <w:contextualSpacing/>
    </w:pPr>
  </w:style>
  <w:style w:type="paragraph" w:styleId="Listapunktowana4">
    <w:name w:val="List Bullet 4"/>
    <w:basedOn w:val="Normalny"/>
    <w:uiPriority w:val="99"/>
    <w:semiHidden/>
    <w:rsid w:val="00E77CB3"/>
    <w:pPr>
      <w:numPr>
        <w:numId w:val="10"/>
      </w:numPr>
      <w:contextualSpacing/>
    </w:pPr>
  </w:style>
  <w:style w:type="paragraph" w:styleId="Listapunktowana5">
    <w:name w:val="List Bullet 5"/>
    <w:basedOn w:val="Normalny"/>
    <w:uiPriority w:val="99"/>
    <w:semiHidden/>
    <w:rsid w:val="00E77CB3"/>
    <w:pPr>
      <w:numPr>
        <w:numId w:val="4"/>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5"/>
      </w:numPr>
      <w:contextualSpacing/>
    </w:pPr>
  </w:style>
  <w:style w:type="paragraph" w:styleId="Listanumerowana2">
    <w:name w:val="List Number 2"/>
    <w:basedOn w:val="Normalny"/>
    <w:uiPriority w:val="99"/>
    <w:semiHidden/>
    <w:rsid w:val="00E77CB3"/>
    <w:pPr>
      <w:numPr>
        <w:numId w:val="6"/>
      </w:numPr>
      <w:contextualSpacing/>
    </w:pPr>
  </w:style>
  <w:style w:type="paragraph" w:styleId="Listanumerowana3">
    <w:name w:val="List Number 3"/>
    <w:basedOn w:val="Normalny"/>
    <w:uiPriority w:val="99"/>
    <w:semiHidden/>
    <w:rsid w:val="00E77CB3"/>
    <w:pPr>
      <w:numPr>
        <w:numId w:val="7"/>
      </w:numPr>
      <w:contextualSpacing/>
    </w:pPr>
  </w:style>
  <w:style w:type="paragraph" w:styleId="Listanumerowana4">
    <w:name w:val="List Number 4"/>
    <w:basedOn w:val="Normalny"/>
    <w:uiPriority w:val="99"/>
    <w:semiHidden/>
    <w:rsid w:val="00E77CB3"/>
    <w:pPr>
      <w:numPr>
        <w:numId w:val="8"/>
      </w:numPr>
      <w:contextualSpacing/>
    </w:pPr>
  </w:style>
  <w:style w:type="paragraph" w:styleId="Listanumerowana5">
    <w:name w:val="List Number 5"/>
    <w:basedOn w:val="Normalny"/>
    <w:uiPriority w:val="99"/>
    <w:semiHidden/>
    <w:rsid w:val="00E77CB3"/>
    <w:pPr>
      <w:numPr>
        <w:numId w:val="9"/>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sz w:val="20"/>
      <w:szCs w:val="20"/>
      <w:lang w:val="en-US" w:eastAsia="en-US"/>
    </w:rPr>
  </w:style>
  <w:style w:type="character" w:customStyle="1" w:styleId="TekstmakraZnak">
    <w:name w:val="Tekst makra Znak"/>
    <w:basedOn w:val="Domylnaczcionkaakapitu"/>
    <w:link w:val="Tekstmakra"/>
    <w:uiPriority w:val="99"/>
    <w:semiHidden/>
    <w:locked/>
    <w:rsid w:val="00E77CB3"/>
    <w:rPr>
      <w:rFonts w:ascii="Consolas" w:eastAsia="MS Mincho" w:hAnsi="Consolas" w:cs="Consolas"/>
      <w:lang w:val="en-US" w:eastAsia="en-US" w:bidi="ar-SA"/>
    </w:rPr>
  </w:style>
  <w:style w:type="table" w:styleId="redniasiatka1">
    <w:name w:val="Medium Grid 1"/>
    <w:basedOn w:val="Standardowy"/>
    <w:uiPriority w:val="99"/>
    <w:semiHidden/>
    <w:rsid w:val="00E77CB3"/>
    <w:rPr>
      <w:sz w:val="20"/>
      <w:szCs w:val="20"/>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E77CB3"/>
    <w:rPr>
      <w:sz w:val="20"/>
      <w:szCs w:val="20"/>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E77CB3"/>
    <w:rPr>
      <w:sz w:val="20"/>
      <w:szCs w:val="20"/>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E77CB3"/>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E77CB3"/>
    <w:rPr>
      <w:sz w:val="20"/>
      <w:szCs w:val="20"/>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E77CB3"/>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E77CB3"/>
    <w:rPr>
      <w:sz w:val="20"/>
      <w:szCs w:val="20"/>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77CB3"/>
    <w:rPr>
      <w:color w:val="000000"/>
      <w:sz w:val="20"/>
      <w:szCs w:val="2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E77CB3"/>
    <w:rPr>
      <w:color w:val="000000"/>
      <w:sz w:val="20"/>
      <w:szCs w:val="2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E77CB3"/>
    <w:rPr>
      <w:color w:val="000000"/>
      <w:sz w:val="20"/>
      <w:szCs w:val="2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E77CB3"/>
    <w:rPr>
      <w:color w:val="000000"/>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E77CB3"/>
    <w:rPr>
      <w:color w:val="000000"/>
      <w:sz w:val="20"/>
      <w:szCs w:val="2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E77CB3"/>
    <w:rPr>
      <w:color w:val="000000"/>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E77CB3"/>
    <w:rPr>
      <w:color w:val="000000"/>
      <w:sz w:val="20"/>
      <w:szCs w:val="2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E77CB3"/>
    <w:rPr>
      <w:sz w:val="20"/>
      <w:szCs w:val="20"/>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E77CB3"/>
    <w:rPr>
      <w:sz w:val="20"/>
      <w:szCs w:val="20"/>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E77CB3"/>
    <w:rPr>
      <w:sz w:val="20"/>
      <w:szCs w:val="20"/>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E77CB3"/>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E77CB3"/>
    <w:rPr>
      <w:sz w:val="20"/>
      <w:szCs w:val="20"/>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E77CB3"/>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E77CB3"/>
    <w:rPr>
      <w:sz w:val="20"/>
      <w:szCs w:val="20"/>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E77CB3"/>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basedOn w:val="Domylnaczcionkaakapitu"/>
    <w:link w:val="Nagwekwiadomoci"/>
    <w:uiPriority w:val="99"/>
    <w:semiHidden/>
    <w:locked/>
    <w:rsid w:val="00E77CB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E77CB3"/>
    <w:rPr>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locked/>
    <w:rsid w:val="00E77CB3"/>
    <w:rPr>
      <w:rFonts w:eastAsia="MS Mincho" w:cs="Times New Roman"/>
      <w:sz w:val="24"/>
    </w:rPr>
  </w:style>
  <w:style w:type="character" w:styleId="Tekstzastpczy">
    <w:name w:val="Placeholder Text"/>
    <w:basedOn w:val="Domylnaczcionkaakapitu"/>
    <w:uiPriority w:val="99"/>
    <w:semiHidden/>
    <w:rsid w:val="00E77CB3"/>
    <w:rPr>
      <w:rFonts w:cs="Times New Roman"/>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E77CB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locked/>
    <w:rsid w:val="00E77CB3"/>
    <w:rPr>
      <w:rFonts w:eastAsia="MS Mincho" w:cs="Times New Roman"/>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locked/>
    <w:rsid w:val="00E77CB3"/>
    <w:rPr>
      <w:rFonts w:eastAsia="MS Mincho" w:cs="Times New Roman"/>
      <w:sz w:val="24"/>
    </w:rPr>
  </w:style>
  <w:style w:type="table" w:styleId="Tabela-Efekty3W1">
    <w:name w:val="Table 3D effects 1"/>
    <w:basedOn w:val="Standardowy"/>
    <w:uiPriority w:val="99"/>
    <w:semiHidden/>
    <w:rsid w:val="00E77CB3"/>
    <w:pPr>
      <w:jc w:val="both"/>
    </w:pPr>
    <w:rPr>
      <w:sz w:val="20"/>
      <w:szCs w:val="20"/>
      <w:lang w:val="fr-FR" w:eastAsia="fr-FR"/>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sz w:val="20"/>
      <w:szCs w:val="20"/>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sz w:val="20"/>
      <w:szCs w:val="20"/>
      <w:lang w:val="fr-FR" w:eastAsia="fr-FR"/>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sz w:val="20"/>
      <w:szCs w:val="20"/>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sz w:val="20"/>
      <w:szCs w:val="20"/>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sz w:val="20"/>
      <w:szCs w:val="2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sz w:val="20"/>
      <w:szCs w:val="20"/>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sz w:val="20"/>
      <w:szCs w:val="20"/>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sz w:val="20"/>
      <w:szCs w:val="20"/>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sz w:val="20"/>
      <w:szCs w:val="20"/>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sz w:val="20"/>
      <w:szCs w:val="20"/>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sz w:val="20"/>
      <w:szCs w:val="20"/>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sz w:val="20"/>
      <w:szCs w:val="20"/>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sz w:val="20"/>
      <w:szCs w:val="20"/>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E77CB3"/>
    <w:pPr>
      <w:jc w:val="both"/>
    </w:pPr>
    <w:rPr>
      <w:sz w:val="20"/>
      <w:szCs w:val="20"/>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E77CB3"/>
    <w:pPr>
      <w:jc w:val="both"/>
    </w:pPr>
    <w:rPr>
      <w:sz w:val="20"/>
      <w:szCs w:val="20"/>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sz w:val="20"/>
      <w:szCs w:val="20"/>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sz w:val="20"/>
      <w:szCs w:val="20"/>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sz w:val="20"/>
      <w:szCs w:val="20"/>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sz w:val="20"/>
      <w:szCs w:val="20"/>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sz w:val="20"/>
      <w:szCs w:val="20"/>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sz w:val="20"/>
      <w:szCs w:val="20"/>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sz w:val="20"/>
      <w:szCs w:val="20"/>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sz w:val="20"/>
      <w:szCs w:val="20"/>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sz w:val="20"/>
      <w:szCs w:val="20"/>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sz w:val="20"/>
      <w:szCs w:val="20"/>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sz w:val="20"/>
      <w:szCs w:val="20"/>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sz w:val="20"/>
      <w:szCs w:val="20"/>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sz w:val="20"/>
      <w:szCs w:val="20"/>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sz w:val="20"/>
      <w:szCs w:val="20"/>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sz w:val="20"/>
      <w:szCs w:val="20"/>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sz w:val="20"/>
      <w:szCs w:val="20"/>
      <w:lang w:val="fr-FR" w:eastAsia="fr-FR"/>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sz w:val="20"/>
      <w:szCs w:val="20"/>
      <w:lang w:val="fr-FR" w:eastAsia="fr-FR"/>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sz w:val="20"/>
      <w:szCs w:val="20"/>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sz w:val="20"/>
      <w:szCs w:val="20"/>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E77CB3"/>
    <w:pPr>
      <w:jc w:val="both"/>
    </w:pPr>
    <w:rPr>
      <w:sz w:val="20"/>
      <w:szCs w:val="20"/>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sz w:val="20"/>
      <w:szCs w:val="20"/>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sz w:val="20"/>
      <w:szCs w:val="20"/>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Lista">
    <w:name w:val="Ju_List_a"/>
    <w:basedOn w:val="JuList"/>
    <w:uiPriority w:val="99"/>
    <w:rsid w:val="00375C7D"/>
    <w:pPr>
      <w:ind w:left="346" w:firstLine="0"/>
    </w:pPr>
  </w:style>
  <w:style w:type="paragraph" w:customStyle="1" w:styleId="JuListi">
    <w:name w:val="Ju_List_i"/>
    <w:basedOn w:val="Normalny"/>
    <w:next w:val="JuLista"/>
    <w:uiPriority w:val="99"/>
    <w:rsid w:val="00375C7D"/>
    <w:pPr>
      <w:ind w:left="794"/>
    </w:pPr>
  </w:style>
  <w:style w:type="paragraph" w:customStyle="1" w:styleId="OpiH1">
    <w:name w:val="Opi_H_1"/>
    <w:basedOn w:val="ECHRHeading2"/>
    <w:uiPriority w:val="99"/>
    <w:semiHidden/>
    <w:rsid w:val="00375C7D"/>
    <w:pPr>
      <w:ind w:left="635" w:hanging="357"/>
      <w:outlineLvl w:val="2"/>
    </w:pPr>
  </w:style>
  <w:style w:type="paragraph" w:customStyle="1" w:styleId="OpiHa0">
    <w:name w:val="Opi_H_a"/>
    <w:basedOn w:val="ECHRHeading3"/>
    <w:uiPriority w:val="99"/>
    <w:semiHidden/>
    <w:rsid w:val="00375C7D"/>
    <w:pPr>
      <w:ind w:left="833" w:hanging="357"/>
      <w:outlineLvl w:val="3"/>
    </w:pPr>
    <w:rPr>
      <w:b/>
      <w:i w:val="0"/>
      <w:sz w:val="20"/>
    </w:rPr>
  </w:style>
  <w:style w:type="paragraph" w:customStyle="1" w:styleId="OpiHi">
    <w:name w:val="Opi_H_i"/>
    <w:basedOn w:val="ECHRHeading4"/>
    <w:uiPriority w:val="99"/>
    <w:semiHidden/>
    <w:rsid w:val="00375C7D"/>
    <w:pPr>
      <w:ind w:left="1037" w:hanging="357"/>
      <w:outlineLvl w:val="4"/>
    </w:pPr>
    <w:rPr>
      <w:b w:val="0"/>
      <w:i/>
    </w:rPr>
  </w:style>
  <w:style w:type="paragraph" w:customStyle="1" w:styleId="DummyStyle">
    <w:name w:val="Dummy_Style"/>
    <w:basedOn w:val="Normalny"/>
    <w:uiPriority w:val="99"/>
    <w:semiHidden/>
    <w:rsid w:val="00375C7D"/>
    <w:rPr>
      <w:color w:val="00B050"/>
    </w:rPr>
  </w:style>
  <w:style w:type="paragraph" w:styleId="Poprawka">
    <w:name w:val="Revision"/>
    <w:hidden/>
    <w:uiPriority w:val="99"/>
    <w:semiHidden/>
    <w:rsid w:val="001F576E"/>
    <w:rPr>
      <w:rFonts w:eastAsia="MS Mincho"/>
      <w:sz w:val="24"/>
      <w:lang w:val="en-US" w:eastAsia="en-US"/>
    </w:rPr>
  </w:style>
  <w:style w:type="character" w:customStyle="1" w:styleId="ECHRParaChar">
    <w:name w:val="ECHR_Para Char"/>
    <w:aliases w:val="Ju_Para Char"/>
    <w:basedOn w:val="Domylnaczcionkaakapitu"/>
    <w:link w:val="ECHRPara"/>
    <w:uiPriority w:val="99"/>
    <w:locked/>
    <w:rsid w:val="000F67BC"/>
    <w:rPr>
      <w:rFonts w:eastAsia="MS Mincho" w:cs="Times New Roman"/>
      <w:sz w:val="24"/>
    </w:rPr>
  </w:style>
  <w:style w:type="paragraph" w:customStyle="1" w:styleId="ECHRBullet1">
    <w:name w:val="ECHR_Bullet_1"/>
    <w:aliases w:val="Bul_1"/>
    <w:basedOn w:val="Normalny"/>
    <w:uiPriority w:val="99"/>
    <w:rsid w:val="008B2519"/>
    <w:pPr>
      <w:numPr>
        <w:numId w:val="15"/>
      </w:numPr>
      <w:spacing w:before="60" w:after="60"/>
    </w:pPr>
    <w:rPr>
      <w:sz w:val="22"/>
    </w:rPr>
  </w:style>
  <w:style w:type="paragraph" w:customStyle="1" w:styleId="ECHRBullet2">
    <w:name w:val="ECHR_Bullet_2"/>
    <w:aliases w:val="Bul_2"/>
    <w:basedOn w:val="ECHRBullet1"/>
    <w:uiPriority w:val="99"/>
    <w:rsid w:val="008B2519"/>
    <w:pPr>
      <w:numPr>
        <w:ilvl w:val="1"/>
      </w:numPr>
      <w:tabs>
        <w:tab w:val="num" w:pos="643"/>
        <w:tab w:val="num" w:pos="1209"/>
      </w:tabs>
      <w:ind w:hanging="360"/>
    </w:pPr>
  </w:style>
  <w:style w:type="paragraph" w:customStyle="1" w:styleId="ECHRBullet3">
    <w:name w:val="ECHR_Bullet_3"/>
    <w:aliases w:val="Bul_3"/>
    <w:basedOn w:val="ECHRBullet2"/>
    <w:uiPriority w:val="99"/>
    <w:rsid w:val="008B2519"/>
    <w:pPr>
      <w:numPr>
        <w:ilvl w:val="2"/>
      </w:numPr>
      <w:tabs>
        <w:tab w:val="num" w:pos="643"/>
        <w:tab w:val="num" w:pos="1134"/>
      </w:tabs>
      <w:ind w:hanging="360"/>
    </w:pPr>
  </w:style>
  <w:style w:type="paragraph" w:customStyle="1" w:styleId="ECHRBullet4">
    <w:name w:val="ECHR_Bullet_4"/>
    <w:aliases w:val="Bul_4"/>
    <w:basedOn w:val="ECHRBullet3"/>
    <w:uiPriority w:val="99"/>
    <w:rsid w:val="008B2519"/>
    <w:pPr>
      <w:numPr>
        <w:ilvl w:val="3"/>
      </w:numPr>
      <w:tabs>
        <w:tab w:val="clear" w:pos="1418"/>
        <w:tab w:val="num" w:pos="643"/>
        <w:tab w:val="num" w:pos="1134"/>
      </w:tabs>
      <w:ind w:hanging="360"/>
    </w:pPr>
  </w:style>
  <w:style w:type="paragraph" w:customStyle="1" w:styleId="ECHRNumberedList1">
    <w:name w:val="ECHR_Numbered_List_1"/>
    <w:aliases w:val="Num_1"/>
    <w:basedOn w:val="Normalny"/>
    <w:uiPriority w:val="99"/>
    <w:rsid w:val="008B2519"/>
    <w:pPr>
      <w:tabs>
        <w:tab w:val="num" w:pos="964"/>
      </w:tabs>
      <w:spacing w:before="60" w:after="60"/>
      <w:ind w:left="964" w:hanging="397"/>
      <w:jc w:val="left"/>
    </w:pPr>
    <w:rPr>
      <w:sz w:val="22"/>
    </w:rPr>
  </w:style>
  <w:style w:type="paragraph" w:customStyle="1" w:styleId="ECHRNumberedList2">
    <w:name w:val="ECHR_Numbered_List_2"/>
    <w:aliases w:val="Num_2"/>
    <w:basedOn w:val="ECHRNumberedList1"/>
    <w:uiPriority w:val="99"/>
    <w:rsid w:val="008B2519"/>
    <w:pPr>
      <w:numPr>
        <w:ilvl w:val="1"/>
      </w:numPr>
      <w:tabs>
        <w:tab w:val="num" w:pos="926"/>
        <w:tab w:val="num" w:pos="964"/>
        <w:tab w:val="num" w:pos="1361"/>
      </w:tabs>
      <w:ind w:left="1361" w:hanging="397"/>
    </w:pPr>
  </w:style>
  <w:style w:type="paragraph" w:customStyle="1" w:styleId="ECHRNumberedList3">
    <w:name w:val="ECHR_Numbered_List_3"/>
    <w:aliases w:val="Num_3"/>
    <w:basedOn w:val="ECHRNumberedList2"/>
    <w:uiPriority w:val="99"/>
    <w:rsid w:val="008B2519"/>
    <w:pPr>
      <w:numPr>
        <w:ilvl w:val="2"/>
      </w:numPr>
      <w:tabs>
        <w:tab w:val="clear" w:pos="1361"/>
        <w:tab w:val="num" w:pos="926"/>
        <w:tab w:val="num" w:pos="1758"/>
      </w:tabs>
      <w:ind w:left="1758" w:hanging="397"/>
    </w:pPr>
  </w:style>
  <w:style w:type="numbering" w:styleId="1ai">
    <w:name w:val="Outline List 1"/>
    <w:basedOn w:val="Bezlisty"/>
    <w:uiPriority w:val="99"/>
    <w:semiHidden/>
    <w:unhideWhenUsed/>
    <w:locked/>
    <w:rsid w:val="00C27365"/>
    <w:pPr>
      <w:numPr>
        <w:numId w:val="12"/>
      </w:numPr>
    </w:pPr>
  </w:style>
  <w:style w:type="numbering" w:styleId="111111">
    <w:name w:val="Outline List 2"/>
    <w:basedOn w:val="Bezlisty"/>
    <w:uiPriority w:val="99"/>
    <w:semiHidden/>
    <w:unhideWhenUsed/>
    <w:locked/>
    <w:rsid w:val="00C27365"/>
    <w:pPr>
      <w:numPr>
        <w:numId w:val="11"/>
      </w:numPr>
    </w:pPr>
  </w:style>
  <w:style w:type="numbering" w:customStyle="1" w:styleId="ECHRA1StyleBulletedSquare">
    <w:name w:val="ECHR_A1_Style_Bulleted_Square"/>
    <w:rsid w:val="00C27365"/>
    <w:pPr>
      <w:numPr>
        <w:numId w:val="15"/>
      </w:numPr>
    </w:pPr>
  </w:style>
  <w:style w:type="numbering" w:customStyle="1" w:styleId="ECHRA1StyleNumberedList">
    <w:name w:val="ECHR_A1_Style_Numbered_List"/>
    <w:rsid w:val="00C27365"/>
    <w:pPr>
      <w:numPr>
        <w:numId w:val="16"/>
      </w:numPr>
    </w:pPr>
  </w:style>
  <w:style w:type="numbering" w:styleId="Artykusekcja">
    <w:name w:val="Outline List 3"/>
    <w:basedOn w:val="Bezlisty"/>
    <w:uiPriority w:val="99"/>
    <w:semiHidden/>
    <w:unhideWhenUsed/>
    <w:locked/>
    <w:rsid w:val="00C27365"/>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375C7D"/>
    <w:pPr>
      <w:jc w:val="both"/>
    </w:pPr>
    <w:rPr>
      <w:rFonts w:eastAsia="MS Mincho"/>
      <w:sz w:val="24"/>
      <w:lang w:val="en-US" w:eastAsia="en-US"/>
    </w:rPr>
  </w:style>
  <w:style w:type="paragraph" w:styleId="Nagwek1">
    <w:name w:val="heading 1"/>
    <w:basedOn w:val="Normalny"/>
    <w:next w:val="Normalny"/>
    <w:link w:val="Nagwek1Znak"/>
    <w:uiPriority w:val="99"/>
    <w:qFormat/>
    <w:rsid w:val="00375C7D"/>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qFormat/>
    <w:rsid w:val="00375C7D"/>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375C7D"/>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375C7D"/>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375C7D"/>
    <w:pPr>
      <w:spacing w:before="200"/>
      <w:outlineLvl w:val="4"/>
    </w:pPr>
    <w:rPr>
      <w:rFonts w:eastAsia="MS Gothic"/>
      <w:b/>
      <w:bCs/>
      <w:color w:val="808080"/>
    </w:rPr>
  </w:style>
  <w:style w:type="paragraph" w:styleId="Nagwek6">
    <w:name w:val="heading 6"/>
    <w:basedOn w:val="Normalny"/>
    <w:next w:val="Normalny"/>
    <w:link w:val="Nagwek6Znak"/>
    <w:uiPriority w:val="99"/>
    <w:qFormat/>
    <w:rsid w:val="00375C7D"/>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375C7D"/>
    <w:pPr>
      <w:outlineLvl w:val="6"/>
    </w:pPr>
    <w:rPr>
      <w:rFonts w:eastAsia="MS Gothic"/>
      <w:i/>
      <w:iCs/>
    </w:rPr>
  </w:style>
  <w:style w:type="paragraph" w:styleId="Nagwek8">
    <w:name w:val="heading 8"/>
    <w:basedOn w:val="Normalny"/>
    <w:next w:val="Normalny"/>
    <w:link w:val="Nagwek8Znak"/>
    <w:uiPriority w:val="99"/>
    <w:qFormat/>
    <w:rsid w:val="00375C7D"/>
    <w:pPr>
      <w:outlineLvl w:val="7"/>
    </w:pPr>
    <w:rPr>
      <w:rFonts w:eastAsia="MS Gothic"/>
      <w:sz w:val="20"/>
      <w:szCs w:val="20"/>
    </w:rPr>
  </w:style>
  <w:style w:type="paragraph" w:styleId="Nagwek9">
    <w:name w:val="heading 9"/>
    <w:basedOn w:val="Normalny"/>
    <w:next w:val="Normalny"/>
    <w:link w:val="Nagwek9Znak"/>
    <w:uiPriority w:val="99"/>
    <w:qFormat/>
    <w:rsid w:val="00375C7D"/>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375C7D"/>
    <w:rPr>
      <w:rFonts w:ascii="Times New Roman" w:eastAsia="MS Gothic"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375C7D"/>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375C7D"/>
    <w:rPr>
      <w:rFonts w:ascii="Times New Roman" w:eastAsia="MS Gothic" w:hAnsi="Times New Roman" w:cs="Times New Roman"/>
      <w:b/>
      <w:bCs/>
      <w:color w:val="5F5F5F"/>
      <w:sz w:val="24"/>
    </w:rPr>
  </w:style>
  <w:style w:type="character" w:customStyle="1" w:styleId="Nagwek4Znak">
    <w:name w:val="Nagłówek 4 Znak"/>
    <w:basedOn w:val="Domylnaczcionkaakapitu"/>
    <w:link w:val="Nagwek4"/>
    <w:uiPriority w:val="99"/>
    <w:semiHidden/>
    <w:locked/>
    <w:rsid w:val="00375C7D"/>
    <w:rPr>
      <w:rFonts w:ascii="Times New Roman" w:eastAsia="MS Gothic" w:hAnsi="Times New Roman" w:cs="Times New Roman"/>
      <w:b/>
      <w:bCs/>
      <w:i/>
      <w:iCs/>
      <w:color w:val="777777"/>
      <w:sz w:val="24"/>
    </w:rPr>
  </w:style>
  <w:style w:type="character" w:customStyle="1" w:styleId="Nagwek5Znak">
    <w:name w:val="Nagłówek 5 Znak"/>
    <w:basedOn w:val="Domylnaczcionkaakapitu"/>
    <w:link w:val="Nagwek5"/>
    <w:uiPriority w:val="99"/>
    <w:semiHidden/>
    <w:locked/>
    <w:rsid w:val="00375C7D"/>
    <w:rPr>
      <w:rFonts w:ascii="Times New Roman" w:eastAsia="MS Gothic" w:hAnsi="Times New Roman" w:cs="Times New Roman"/>
      <w:b/>
      <w:bCs/>
      <w:color w:val="808080"/>
      <w:sz w:val="24"/>
    </w:rPr>
  </w:style>
  <w:style w:type="character" w:customStyle="1" w:styleId="Nagwek6Znak">
    <w:name w:val="Nagłówek 6 Znak"/>
    <w:basedOn w:val="Domylnaczcionkaakapitu"/>
    <w:link w:val="Nagwek6"/>
    <w:uiPriority w:val="99"/>
    <w:semiHidden/>
    <w:locked/>
    <w:rsid w:val="00375C7D"/>
    <w:rPr>
      <w:rFonts w:ascii="Times New Roman" w:eastAsia="MS Gothic" w:hAnsi="Times New Roman" w:cs="Times New Roman"/>
      <w:b/>
      <w:bCs/>
      <w:i/>
      <w:iCs/>
      <w:color w:val="7F7F7F"/>
      <w:sz w:val="24"/>
    </w:rPr>
  </w:style>
  <w:style w:type="character" w:customStyle="1" w:styleId="Nagwek7Znak">
    <w:name w:val="Nagłówek 7 Znak"/>
    <w:basedOn w:val="Domylnaczcionkaakapitu"/>
    <w:link w:val="Nagwek7"/>
    <w:uiPriority w:val="99"/>
    <w:semiHidden/>
    <w:locked/>
    <w:rsid w:val="00375C7D"/>
    <w:rPr>
      <w:rFonts w:ascii="Times New Roman" w:eastAsia="MS Gothic" w:hAnsi="Times New Roman" w:cs="Times New Roman"/>
      <w:i/>
      <w:iCs/>
      <w:sz w:val="24"/>
    </w:rPr>
  </w:style>
  <w:style w:type="character" w:customStyle="1" w:styleId="Nagwek8Znak">
    <w:name w:val="Nagłówek 8 Znak"/>
    <w:basedOn w:val="Domylnaczcionkaakapitu"/>
    <w:link w:val="Nagwek8"/>
    <w:uiPriority w:val="99"/>
    <w:semiHidden/>
    <w:locked/>
    <w:rsid w:val="00375C7D"/>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375C7D"/>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375C7D"/>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375C7D"/>
    <w:rPr>
      <w:rFonts w:ascii="Tahoma" w:eastAsia="MS Mincho" w:hAnsi="Tahoma" w:cs="Tahoma"/>
      <w:sz w:val="16"/>
      <w:szCs w:val="16"/>
    </w:rPr>
  </w:style>
  <w:style w:type="character" w:styleId="Tytuksiki">
    <w:name w:val="Book Title"/>
    <w:basedOn w:val="Domylnaczcionkaakapitu"/>
    <w:uiPriority w:val="99"/>
    <w:qFormat/>
    <w:rsid w:val="00375C7D"/>
    <w:rPr>
      <w:rFonts w:cs="Times New Roman"/>
      <w:i/>
      <w:smallCaps/>
      <w:spacing w:val="5"/>
    </w:rPr>
  </w:style>
  <w:style w:type="paragraph" w:customStyle="1" w:styleId="ECHRHeader">
    <w:name w:val="ECHR_Header"/>
    <w:aliases w:val="Ju_Header"/>
    <w:basedOn w:val="Nagwek"/>
    <w:uiPriority w:val="99"/>
    <w:rsid w:val="00375C7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99"/>
    <w:semiHidden/>
    <w:rsid w:val="00375C7D"/>
    <w:pPr>
      <w:jc w:val="left"/>
    </w:pPr>
    <w:rPr>
      <w:sz w:val="8"/>
    </w:rPr>
  </w:style>
  <w:style w:type="character" w:styleId="Pogrubienie">
    <w:name w:val="Strong"/>
    <w:basedOn w:val="Domylnaczcionkaakapitu"/>
    <w:uiPriority w:val="99"/>
    <w:qFormat/>
    <w:rsid w:val="00375C7D"/>
    <w:rPr>
      <w:rFonts w:cs="Times New Roman"/>
      <w:b/>
    </w:rPr>
  </w:style>
  <w:style w:type="paragraph" w:styleId="Bezodstpw">
    <w:name w:val="No Spacing"/>
    <w:basedOn w:val="Normalny"/>
    <w:link w:val="BezodstpwZnak"/>
    <w:uiPriority w:val="99"/>
    <w:qFormat/>
    <w:rsid w:val="00375C7D"/>
  </w:style>
  <w:style w:type="character" w:customStyle="1" w:styleId="BezodstpwZnak">
    <w:name w:val="Bez odstępów Znak"/>
    <w:basedOn w:val="Domylnaczcionkaakapitu"/>
    <w:link w:val="Bezodstpw"/>
    <w:uiPriority w:val="99"/>
    <w:semiHidden/>
    <w:locked/>
    <w:rsid w:val="00375C7D"/>
    <w:rPr>
      <w:rFonts w:eastAsia="MS Mincho" w:cs="Times New Roman"/>
      <w:sz w:val="24"/>
    </w:rPr>
  </w:style>
  <w:style w:type="paragraph" w:customStyle="1" w:styleId="ECHRFooterLine">
    <w:name w:val="ECHR_Footer_Line"/>
    <w:aliases w:val="Footer_Line"/>
    <w:basedOn w:val="Normalny"/>
    <w:next w:val="ECHRFooter"/>
    <w:uiPriority w:val="99"/>
    <w:semiHidden/>
    <w:rsid w:val="00375C7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375C7D"/>
    <w:pPr>
      <w:numPr>
        <w:numId w:val="14"/>
      </w:numPr>
      <w:jc w:val="left"/>
    </w:pPr>
    <w:rPr>
      <w:b/>
    </w:rPr>
  </w:style>
  <w:style w:type="paragraph" w:customStyle="1" w:styleId="OpiPara">
    <w:name w:val="Opi_Para"/>
    <w:basedOn w:val="ECHRPara"/>
    <w:uiPriority w:val="99"/>
    <w:semiHidden/>
    <w:rsid w:val="00375C7D"/>
  </w:style>
  <w:style w:type="paragraph" w:customStyle="1" w:styleId="JuParaSub">
    <w:name w:val="Ju_Para_Sub"/>
    <w:basedOn w:val="ECHRPara"/>
    <w:uiPriority w:val="99"/>
    <w:rsid w:val="00375C7D"/>
    <w:pPr>
      <w:ind w:left="284"/>
    </w:pPr>
  </w:style>
  <w:style w:type="paragraph" w:customStyle="1" w:styleId="ECHRTitleCentre3">
    <w:name w:val="ECHR_Title_Centre_3"/>
    <w:aliases w:val="Ju_H_Article"/>
    <w:basedOn w:val="Normalny"/>
    <w:next w:val="ECHRParaQuote"/>
    <w:uiPriority w:val="99"/>
    <w:rsid w:val="00375C7D"/>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375C7D"/>
    <w:pPr>
      <w:keepNext/>
      <w:keepLines/>
      <w:spacing w:after="240"/>
      <w:jc w:val="center"/>
      <w:outlineLvl w:val="0"/>
    </w:pPr>
    <w:rPr>
      <w:sz w:val="28"/>
    </w:rPr>
  </w:style>
  <w:style w:type="paragraph" w:customStyle="1" w:styleId="OpiParaSub">
    <w:name w:val="Opi_Para_Sub"/>
    <w:basedOn w:val="JuParaSub"/>
    <w:uiPriority w:val="99"/>
    <w:semiHidden/>
    <w:rsid w:val="00375C7D"/>
  </w:style>
  <w:style w:type="paragraph" w:customStyle="1" w:styleId="OpiQuot">
    <w:name w:val="Opi_Quot"/>
    <w:basedOn w:val="ECHRParaQuote"/>
    <w:uiPriority w:val="99"/>
    <w:semiHidden/>
    <w:rsid w:val="00375C7D"/>
  </w:style>
  <w:style w:type="paragraph" w:customStyle="1" w:styleId="OpiQuotSub">
    <w:name w:val="Opi_Quot_Sub"/>
    <w:basedOn w:val="JuQuotSub"/>
    <w:uiPriority w:val="99"/>
    <w:semiHidden/>
    <w:rsid w:val="00375C7D"/>
  </w:style>
  <w:style w:type="paragraph" w:customStyle="1" w:styleId="ECHRTitleCentre2">
    <w:name w:val="ECHR_Title_Centre_2"/>
    <w:aliases w:val="Dec_H_Case"/>
    <w:basedOn w:val="Normalny"/>
    <w:next w:val="ECHRPara"/>
    <w:uiPriority w:val="99"/>
    <w:rsid w:val="00375C7D"/>
    <w:pPr>
      <w:spacing w:after="240"/>
      <w:jc w:val="center"/>
      <w:outlineLvl w:val="0"/>
    </w:pPr>
  </w:style>
  <w:style w:type="paragraph" w:customStyle="1" w:styleId="JuTitle">
    <w:name w:val="Ju_Title"/>
    <w:basedOn w:val="Normalny"/>
    <w:next w:val="ECHRPara"/>
    <w:uiPriority w:val="99"/>
    <w:rsid w:val="00375C7D"/>
    <w:pPr>
      <w:spacing w:before="720" w:after="240"/>
      <w:jc w:val="center"/>
      <w:outlineLvl w:val="0"/>
    </w:pPr>
    <w:rPr>
      <w:b/>
      <w:caps/>
    </w:rPr>
  </w:style>
  <w:style w:type="paragraph" w:styleId="Tytu">
    <w:name w:val="Title"/>
    <w:basedOn w:val="Normalny"/>
    <w:next w:val="Normalny"/>
    <w:link w:val="TytuZnak"/>
    <w:uiPriority w:val="99"/>
    <w:qFormat/>
    <w:rsid w:val="00375C7D"/>
    <w:pPr>
      <w:pBdr>
        <w:bottom w:val="single" w:sz="4" w:space="1" w:color="auto"/>
      </w:pBdr>
      <w:contextualSpacing/>
    </w:pPr>
    <w:rPr>
      <w:rFonts w:eastAsia="MS Gothic"/>
      <w:spacing w:val="5"/>
      <w:sz w:val="52"/>
      <w:szCs w:val="52"/>
    </w:rPr>
  </w:style>
  <w:style w:type="character" w:customStyle="1" w:styleId="TytuZnak">
    <w:name w:val="Tytuł Znak"/>
    <w:basedOn w:val="Domylnaczcionkaakapitu"/>
    <w:link w:val="Tytu"/>
    <w:uiPriority w:val="99"/>
    <w:semiHidden/>
    <w:locked/>
    <w:rsid w:val="00375C7D"/>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375C7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rsid w:val="00375C7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375C7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375C7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99"/>
    <w:rsid w:val="00375C7D"/>
    <w:pPr>
      <w:keepNext/>
      <w:keepLines/>
      <w:spacing w:before="240" w:after="120"/>
      <w:ind w:left="1236"/>
    </w:pPr>
    <w:rPr>
      <w:sz w:val="20"/>
    </w:rPr>
  </w:style>
  <w:style w:type="paragraph" w:customStyle="1" w:styleId="JuQuotSub">
    <w:name w:val="Ju_Quot_Sub"/>
    <w:basedOn w:val="ECHRParaQuote"/>
    <w:uiPriority w:val="99"/>
    <w:rsid w:val="00375C7D"/>
    <w:pPr>
      <w:ind w:left="567"/>
    </w:pPr>
  </w:style>
  <w:style w:type="paragraph" w:customStyle="1" w:styleId="JuInitialled">
    <w:name w:val="Ju_Initialled"/>
    <w:basedOn w:val="Normalny"/>
    <w:uiPriority w:val="99"/>
    <w:rsid w:val="00375C7D"/>
    <w:pPr>
      <w:tabs>
        <w:tab w:val="center" w:pos="6407"/>
      </w:tabs>
      <w:spacing w:before="720"/>
      <w:jc w:val="right"/>
    </w:pPr>
  </w:style>
  <w:style w:type="paragraph" w:customStyle="1" w:styleId="OpiHA">
    <w:name w:val="Opi_H_A"/>
    <w:basedOn w:val="ECHRHeading1"/>
    <w:next w:val="OpiPara"/>
    <w:uiPriority w:val="99"/>
    <w:semiHidden/>
    <w:rsid w:val="00375C7D"/>
    <w:pPr>
      <w:tabs>
        <w:tab w:val="clear" w:pos="357"/>
      </w:tabs>
      <w:outlineLvl w:val="1"/>
    </w:pPr>
    <w:rPr>
      <w:b/>
    </w:rPr>
  </w:style>
  <w:style w:type="paragraph" w:styleId="Nagwek">
    <w:name w:val="header"/>
    <w:basedOn w:val="Normalny"/>
    <w:link w:val="NagwekZnak"/>
    <w:uiPriority w:val="99"/>
    <w:semiHidden/>
    <w:rsid w:val="00375C7D"/>
    <w:pPr>
      <w:tabs>
        <w:tab w:val="center" w:pos="4536"/>
        <w:tab w:val="right" w:pos="9072"/>
      </w:tabs>
    </w:pPr>
    <w:rPr>
      <w:rFonts w:eastAsia="Times New Roman"/>
    </w:rPr>
  </w:style>
  <w:style w:type="character" w:customStyle="1" w:styleId="NagwekZnak">
    <w:name w:val="Nagłówek Znak"/>
    <w:basedOn w:val="Domylnaczcionkaakapitu"/>
    <w:link w:val="Nagwek"/>
    <w:uiPriority w:val="99"/>
    <w:semiHidden/>
    <w:locked/>
    <w:rsid w:val="00375C7D"/>
    <w:rPr>
      <w:rFonts w:cs="Times New Roman"/>
      <w:sz w:val="24"/>
    </w:rPr>
  </w:style>
  <w:style w:type="paragraph" w:customStyle="1" w:styleId="ECHRHeading1">
    <w:name w:val="ECHR_Heading_1"/>
    <w:aliases w:val="Ju_H_I_Roman"/>
    <w:basedOn w:val="Nagwek1"/>
    <w:next w:val="ECHRPara"/>
    <w:uiPriority w:val="99"/>
    <w:rsid w:val="00375C7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99"/>
    <w:rsid w:val="00375C7D"/>
    <w:pPr>
      <w:keepNext/>
      <w:keepLines/>
      <w:tabs>
        <w:tab w:val="left" w:pos="584"/>
      </w:tabs>
      <w:spacing w:before="360" w:after="240"/>
      <w:ind w:left="584" w:hanging="352"/>
    </w:pPr>
    <w:rPr>
      <w:color w:val="auto"/>
      <w:sz w:val="24"/>
    </w:rPr>
  </w:style>
  <w:style w:type="character" w:customStyle="1" w:styleId="JUNAMES">
    <w:name w:val="JU_NAMES"/>
    <w:uiPriority w:val="99"/>
    <w:rsid w:val="00375C7D"/>
    <w:rPr>
      <w:smallCaps/>
    </w:rPr>
  </w:style>
  <w:style w:type="paragraph" w:customStyle="1" w:styleId="ECHRDecisionBody">
    <w:name w:val="ECHR_Decision_Body"/>
    <w:aliases w:val="Ju_Judges"/>
    <w:basedOn w:val="Normalny"/>
    <w:uiPriority w:val="99"/>
    <w:rsid w:val="00375C7D"/>
    <w:pPr>
      <w:tabs>
        <w:tab w:val="left" w:pos="567"/>
        <w:tab w:val="left" w:pos="1134"/>
      </w:tabs>
      <w:jc w:val="left"/>
    </w:pPr>
  </w:style>
  <w:style w:type="paragraph" w:customStyle="1" w:styleId="ECHRPara">
    <w:name w:val="ECHR_Para"/>
    <w:aliases w:val="Ju_Para"/>
    <w:basedOn w:val="Normalny"/>
    <w:link w:val="ECHRParaChar"/>
    <w:uiPriority w:val="99"/>
    <w:rsid w:val="00375C7D"/>
    <w:pPr>
      <w:ind w:firstLine="284"/>
    </w:pPr>
  </w:style>
  <w:style w:type="character" w:styleId="Wyrnieniedelikatne">
    <w:name w:val="Subtle Emphasis"/>
    <w:basedOn w:val="Domylnaczcionkaakapitu"/>
    <w:uiPriority w:val="99"/>
    <w:qFormat/>
    <w:rsid w:val="00375C7D"/>
    <w:rPr>
      <w:rFonts w:cs="Times New Roman"/>
      <w:i/>
    </w:rPr>
  </w:style>
  <w:style w:type="table" w:customStyle="1" w:styleId="ECHRTable">
    <w:name w:val="ECHR_Table"/>
    <w:uiPriority w:val="99"/>
    <w:rsid w:val="00860B03"/>
    <w:rPr>
      <w:sz w:val="20"/>
      <w:szCs w:val="20"/>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sz w:val="20"/>
      <w:szCs w:val="20"/>
      <w:lang w:val="en-GB"/>
    </w:rPr>
    <w:tblPr>
      <w:tblInd w:w="0" w:type="dxa"/>
      <w:tblCellMar>
        <w:top w:w="57" w:type="dxa"/>
        <w:left w:w="57" w:type="dxa"/>
        <w:bottom w:w="57" w:type="dxa"/>
        <w:right w:w="57" w:type="dxa"/>
      </w:tblCellMar>
    </w:tblPr>
    <w:tcPr>
      <w:shd w:val="clear" w:color="auto" w:fill="F8F8F8"/>
    </w:tcPr>
  </w:style>
  <w:style w:type="paragraph" w:customStyle="1" w:styleId="ECHRTitle1">
    <w:name w:val="ECHR_Title_1"/>
    <w:aliases w:val="Ju_H_Head,Title_L_1"/>
    <w:basedOn w:val="Normalny"/>
    <w:next w:val="ECHRPara"/>
    <w:uiPriority w:val="99"/>
    <w:rsid w:val="00375C7D"/>
    <w:pPr>
      <w:keepNext/>
      <w:keepLines/>
      <w:spacing w:before="720" w:after="240"/>
      <w:outlineLvl w:val="0"/>
    </w:pPr>
    <w:rPr>
      <w:sz w:val="28"/>
    </w:rPr>
  </w:style>
  <w:style w:type="character" w:styleId="Uwydatnienie">
    <w:name w:val="Emphasis"/>
    <w:basedOn w:val="Domylnaczcionkaakapitu"/>
    <w:uiPriority w:val="99"/>
    <w:qFormat/>
    <w:rsid w:val="00375C7D"/>
    <w:rPr>
      <w:rFonts w:cs="Times New Roman"/>
      <w:b/>
      <w:i/>
      <w:spacing w:val="10"/>
      <w:shd w:val="clear" w:color="auto" w:fill="auto"/>
    </w:rPr>
  </w:style>
  <w:style w:type="paragraph" w:styleId="Stopka">
    <w:name w:val="footer"/>
    <w:basedOn w:val="Normalny"/>
    <w:link w:val="StopkaZnak"/>
    <w:uiPriority w:val="99"/>
    <w:semiHidden/>
    <w:rsid w:val="00375C7D"/>
    <w:pPr>
      <w:tabs>
        <w:tab w:val="center" w:pos="4536"/>
        <w:tab w:val="right" w:pos="9696"/>
      </w:tabs>
      <w:ind w:left="-680" w:right="-680"/>
    </w:pPr>
    <w:rPr>
      <w:rFonts w:eastAsia="Times New Roman"/>
    </w:rPr>
  </w:style>
  <w:style w:type="character" w:customStyle="1" w:styleId="StopkaZnak">
    <w:name w:val="Stopka Znak"/>
    <w:basedOn w:val="Domylnaczcionkaakapitu"/>
    <w:link w:val="Stopka"/>
    <w:uiPriority w:val="99"/>
    <w:semiHidden/>
    <w:locked/>
    <w:rsid w:val="00375C7D"/>
    <w:rPr>
      <w:rFonts w:cs="Times New Roman"/>
      <w:sz w:val="24"/>
    </w:rPr>
  </w:style>
  <w:style w:type="character" w:styleId="Odwoanieprzypisudolnego">
    <w:name w:val="footnote reference"/>
    <w:basedOn w:val="Domylnaczcionkaakapitu"/>
    <w:uiPriority w:val="99"/>
    <w:semiHidden/>
    <w:rsid w:val="00375C7D"/>
    <w:rPr>
      <w:rFonts w:cs="Times New Roman"/>
      <w:vertAlign w:val="superscript"/>
    </w:rPr>
  </w:style>
  <w:style w:type="paragraph" w:styleId="Tekstprzypisudolnego">
    <w:name w:val="footnote text"/>
    <w:basedOn w:val="Normalny"/>
    <w:link w:val="TekstprzypisudolnegoZnak"/>
    <w:uiPriority w:val="99"/>
    <w:semiHidden/>
    <w:rsid w:val="00375C7D"/>
    <w:rPr>
      <w:sz w:val="20"/>
      <w:szCs w:val="20"/>
    </w:rPr>
  </w:style>
  <w:style w:type="character" w:customStyle="1" w:styleId="TekstprzypisudolnegoZnak">
    <w:name w:val="Tekst przypisu dolnego Znak"/>
    <w:basedOn w:val="Domylnaczcionkaakapitu"/>
    <w:link w:val="Tekstprzypisudolnego"/>
    <w:uiPriority w:val="99"/>
    <w:semiHidden/>
    <w:locked/>
    <w:rsid w:val="00375C7D"/>
    <w:rPr>
      <w:rFonts w:eastAsia="MS Mincho" w:cs="Times New Roman"/>
      <w:sz w:val="20"/>
      <w:szCs w:val="20"/>
    </w:rPr>
  </w:style>
  <w:style w:type="character" w:styleId="Hipercze">
    <w:name w:val="Hyperlink"/>
    <w:basedOn w:val="Domylnaczcionkaakapitu"/>
    <w:uiPriority w:val="99"/>
    <w:semiHidden/>
    <w:rsid w:val="00375C7D"/>
    <w:rPr>
      <w:rFonts w:cs="Times New Roman"/>
      <w:color w:val="0072BC"/>
      <w:u w:val="single"/>
    </w:rPr>
  </w:style>
  <w:style w:type="character" w:styleId="Wyrnienieintensywne">
    <w:name w:val="Intense Emphasis"/>
    <w:basedOn w:val="Domylnaczcionkaakapitu"/>
    <w:uiPriority w:val="99"/>
    <w:qFormat/>
    <w:rsid w:val="00375C7D"/>
    <w:rPr>
      <w:rFonts w:cs="Times New Roman"/>
      <w:b/>
    </w:rPr>
  </w:style>
  <w:style w:type="paragraph" w:styleId="Cytatintensywny">
    <w:name w:val="Intense Quote"/>
    <w:basedOn w:val="Normalny"/>
    <w:next w:val="Normalny"/>
    <w:link w:val="CytatintensywnyZnak"/>
    <w:uiPriority w:val="99"/>
    <w:qFormat/>
    <w:rsid w:val="00375C7D"/>
    <w:pPr>
      <w:pBdr>
        <w:bottom w:val="single" w:sz="4" w:space="1" w:color="auto"/>
      </w:pBdr>
      <w:spacing w:before="200" w:after="280"/>
      <w:ind w:left="1008" w:right="1152"/>
    </w:pPr>
    <w:rPr>
      <w:b/>
      <w:bCs/>
      <w:i/>
      <w:iCs/>
    </w:rPr>
  </w:style>
  <w:style w:type="character" w:customStyle="1" w:styleId="CytatintensywnyZnak">
    <w:name w:val="Cytat intensywny Znak"/>
    <w:basedOn w:val="Domylnaczcionkaakapitu"/>
    <w:link w:val="Cytatintensywny"/>
    <w:uiPriority w:val="99"/>
    <w:semiHidden/>
    <w:locked/>
    <w:rsid w:val="00375C7D"/>
    <w:rPr>
      <w:rFonts w:eastAsia="MS Mincho" w:cs="Times New Roman"/>
      <w:b/>
      <w:bCs/>
      <w:i/>
      <w:iCs/>
      <w:sz w:val="24"/>
    </w:rPr>
  </w:style>
  <w:style w:type="character" w:styleId="Odwoanieintensywne">
    <w:name w:val="Intense Reference"/>
    <w:basedOn w:val="Domylnaczcionkaakapitu"/>
    <w:uiPriority w:val="99"/>
    <w:qFormat/>
    <w:rsid w:val="00375C7D"/>
    <w:rPr>
      <w:rFonts w:cs="Times New Roman"/>
      <w:smallCaps/>
      <w:spacing w:val="5"/>
      <w:u w:val="single"/>
    </w:rPr>
  </w:style>
  <w:style w:type="paragraph" w:styleId="Akapitzlist">
    <w:name w:val="List Paragraph"/>
    <w:basedOn w:val="Normalny"/>
    <w:uiPriority w:val="99"/>
    <w:qFormat/>
    <w:rsid w:val="00375C7D"/>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375C7D"/>
    <w:pPr>
      <w:spacing w:before="200"/>
      <w:ind w:left="360" w:right="360"/>
    </w:pPr>
    <w:rPr>
      <w:i/>
      <w:iCs/>
    </w:rPr>
  </w:style>
  <w:style w:type="character" w:customStyle="1" w:styleId="CytatZnak">
    <w:name w:val="Cytat Znak"/>
    <w:basedOn w:val="Domylnaczcionkaakapitu"/>
    <w:link w:val="Cytat"/>
    <w:uiPriority w:val="99"/>
    <w:semiHidden/>
    <w:locked/>
    <w:rsid w:val="00375C7D"/>
    <w:rPr>
      <w:rFonts w:eastAsia="MS Mincho" w:cs="Times New Roman"/>
      <w:i/>
      <w:iCs/>
      <w:sz w:val="24"/>
    </w:rPr>
  </w:style>
  <w:style w:type="character" w:styleId="Odwoaniedelikatne">
    <w:name w:val="Subtle Reference"/>
    <w:basedOn w:val="Domylnaczcionkaakapitu"/>
    <w:uiPriority w:val="99"/>
    <w:qFormat/>
    <w:rsid w:val="00375C7D"/>
    <w:rPr>
      <w:rFonts w:cs="Times New Roman"/>
      <w:smallCaps/>
    </w:rPr>
  </w:style>
  <w:style w:type="table" w:styleId="Tabela-Siatka">
    <w:name w:val="Table Grid"/>
    <w:basedOn w:val="Standardowy"/>
    <w:uiPriority w:val="99"/>
    <w:rsid w:val="00375C7D"/>
    <w:rPr>
      <w:rFonts w:eastAsia="MS Mincho"/>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375C7D"/>
    <w:pPr>
      <w:spacing w:before="120" w:after="60"/>
      <w:ind w:left="340" w:right="340" w:hanging="340"/>
    </w:pPr>
    <w:rPr>
      <w:color w:val="0D0D0D"/>
    </w:rPr>
  </w:style>
  <w:style w:type="paragraph" w:styleId="Spistreci2">
    <w:name w:val="toc 2"/>
    <w:basedOn w:val="Normalny"/>
    <w:next w:val="Normalny"/>
    <w:autoRedefine/>
    <w:uiPriority w:val="99"/>
    <w:semiHidden/>
    <w:rsid w:val="00375C7D"/>
    <w:pPr>
      <w:spacing w:after="60"/>
      <w:ind w:left="680" w:right="340" w:hanging="340"/>
    </w:pPr>
  </w:style>
  <w:style w:type="paragraph" w:styleId="Spistreci3">
    <w:name w:val="toc 3"/>
    <w:basedOn w:val="Normalny"/>
    <w:next w:val="Normalny"/>
    <w:autoRedefine/>
    <w:uiPriority w:val="99"/>
    <w:semiHidden/>
    <w:rsid w:val="00375C7D"/>
    <w:pPr>
      <w:spacing w:after="60"/>
      <w:ind w:left="1020" w:right="340" w:hanging="340"/>
    </w:pPr>
  </w:style>
  <w:style w:type="paragraph" w:styleId="Spistreci4">
    <w:name w:val="toc 4"/>
    <w:basedOn w:val="Normalny"/>
    <w:next w:val="Normalny"/>
    <w:autoRedefine/>
    <w:uiPriority w:val="99"/>
    <w:semiHidden/>
    <w:rsid w:val="00375C7D"/>
    <w:pPr>
      <w:tabs>
        <w:tab w:val="right" w:leader="dot" w:pos="9017"/>
      </w:tabs>
      <w:spacing w:after="60"/>
      <w:ind w:left="1361" w:right="340" w:hanging="340"/>
    </w:pPr>
  </w:style>
  <w:style w:type="paragraph" w:styleId="Spistreci5">
    <w:name w:val="toc 5"/>
    <w:basedOn w:val="Normalny"/>
    <w:next w:val="Normalny"/>
    <w:autoRedefine/>
    <w:uiPriority w:val="99"/>
    <w:semiHidden/>
    <w:rsid w:val="00375C7D"/>
    <w:pPr>
      <w:spacing w:after="60"/>
      <w:ind w:left="1701" w:right="340" w:hanging="340"/>
    </w:pPr>
  </w:style>
  <w:style w:type="paragraph" w:styleId="Nagwekspisutreci">
    <w:name w:val="TOC Heading"/>
    <w:basedOn w:val="Nagwek1"/>
    <w:next w:val="Normalny"/>
    <w:uiPriority w:val="99"/>
    <w:qFormat/>
    <w:rsid w:val="00375C7D"/>
    <w:pPr>
      <w:outlineLvl w:val="9"/>
    </w:pPr>
    <w:rPr>
      <w:color w:val="474747"/>
    </w:rPr>
  </w:style>
  <w:style w:type="table" w:customStyle="1" w:styleId="UGTable">
    <w:name w:val="UG_Table"/>
    <w:uiPriority w:val="99"/>
    <w:rsid w:val="00801300"/>
    <w:rPr>
      <w:rFonts w:eastAsia="MS Mincho"/>
      <w:sz w:val="20"/>
      <w:szCs w:val="20"/>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801300"/>
    <w:rPr>
      <w:rFonts w:eastAsia="MS Mincho"/>
      <w:sz w:val="20"/>
      <w:szCs w:val="20"/>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375C7D"/>
    <w:pPr>
      <w:spacing w:before="120"/>
    </w:pPr>
    <w:rPr>
      <w:rFonts w:eastAsia="MS Gothic"/>
      <w:b/>
      <w:bCs/>
      <w:color w:val="474747"/>
      <w:szCs w:val="24"/>
    </w:rPr>
  </w:style>
  <w:style w:type="paragraph" w:customStyle="1" w:styleId="ECHRParaQuote">
    <w:name w:val="ECHR_Para_Quote"/>
    <w:aliases w:val="Ju_Quot,Para_Quote"/>
    <w:basedOn w:val="Normalny"/>
    <w:uiPriority w:val="99"/>
    <w:rsid w:val="00375C7D"/>
    <w:pPr>
      <w:spacing w:before="120" w:after="120"/>
      <w:ind w:left="425" w:firstLine="142"/>
    </w:pPr>
    <w:rPr>
      <w:sz w:val="20"/>
    </w:r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375C7D"/>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style>
  <w:style w:type="paragraph" w:customStyle="1" w:styleId="JuSigned">
    <w:name w:val="Ju_Signed"/>
    <w:basedOn w:val="Normalny"/>
    <w:next w:val="JuParaLast"/>
    <w:uiPriority w:val="99"/>
    <w:rsid w:val="00375C7D"/>
    <w:pPr>
      <w:tabs>
        <w:tab w:val="center" w:pos="851"/>
        <w:tab w:val="center" w:pos="6407"/>
      </w:tabs>
      <w:spacing w:before="720"/>
      <w:jc w:val="left"/>
    </w:pPr>
  </w:style>
  <w:style w:type="character" w:customStyle="1" w:styleId="JuITMark">
    <w:name w:val="Ju_ITMark"/>
    <w:basedOn w:val="Domylnaczcionkaakapitu"/>
    <w:uiPriority w:val="99"/>
    <w:rsid w:val="00375C7D"/>
    <w:rPr>
      <w:rFonts w:cs="Times New Roman"/>
      <w:color w:val="auto"/>
      <w:sz w:val="14"/>
    </w:rPr>
  </w:style>
  <w:style w:type="paragraph" w:customStyle="1" w:styleId="JuCase">
    <w:name w:val="Ju_Case"/>
    <w:basedOn w:val="Normalny"/>
    <w:next w:val="ECHRPara"/>
    <w:uiPriority w:val="99"/>
    <w:rsid w:val="00375C7D"/>
    <w:pPr>
      <w:ind w:firstLine="284"/>
    </w:pPr>
    <w:rPr>
      <w:b/>
    </w:rPr>
  </w:style>
  <w:style w:type="paragraph" w:customStyle="1" w:styleId="JuList">
    <w:name w:val="Ju_List"/>
    <w:basedOn w:val="Normalny"/>
    <w:uiPriority w:val="99"/>
    <w:rsid w:val="00375C7D"/>
    <w:pPr>
      <w:ind w:left="340" w:hanging="340"/>
    </w:pPr>
  </w:style>
  <w:style w:type="paragraph" w:customStyle="1" w:styleId="OpiTranslation">
    <w:name w:val="Opi_Translation"/>
    <w:basedOn w:val="Normalny"/>
    <w:next w:val="OpiPara"/>
    <w:uiPriority w:val="99"/>
    <w:semiHidden/>
    <w:rsid w:val="00375C7D"/>
    <w:pPr>
      <w:jc w:val="center"/>
      <w:outlineLvl w:val="0"/>
    </w:pPr>
    <w:rPr>
      <w:i/>
    </w:rPr>
  </w:style>
  <w:style w:type="character" w:styleId="Numerstrony">
    <w:name w:val="page number"/>
    <w:basedOn w:val="Domylnaczcionkaakapitu"/>
    <w:uiPriority w:val="99"/>
    <w:semiHidden/>
    <w:rsid w:val="00E77CB3"/>
    <w:rPr>
      <w:rFonts w:ascii="Times New Roman" w:hAnsi="Times New Roman" w:cs="Times New Roman"/>
      <w:sz w:val="18"/>
    </w:rPr>
  </w:style>
  <w:style w:type="paragraph" w:customStyle="1" w:styleId="DecHTitle">
    <w:name w:val="Dec_H_Title"/>
    <w:basedOn w:val="ECHRTitleCentre1"/>
    <w:uiPriority w:val="99"/>
    <w:rsid w:val="00375C7D"/>
  </w:style>
  <w:style w:type="paragraph" w:customStyle="1" w:styleId="JuCourt">
    <w:name w:val="Ju_Court"/>
    <w:basedOn w:val="Normalny"/>
    <w:next w:val="Normalny"/>
    <w:uiPriority w:val="99"/>
    <w:rsid w:val="00375C7D"/>
    <w:pPr>
      <w:tabs>
        <w:tab w:val="left" w:pos="907"/>
        <w:tab w:val="left" w:pos="1701"/>
        <w:tab w:val="right" w:pos="7371"/>
      </w:tabs>
      <w:spacing w:before="240"/>
      <w:ind w:left="397" w:hanging="397"/>
      <w:jc w:val="left"/>
    </w:pPr>
  </w:style>
  <w:style w:type="character" w:styleId="Odwoaniedokomentarza">
    <w:name w:val="annotation reference"/>
    <w:basedOn w:val="Domylnaczcionkaakapitu"/>
    <w:uiPriority w:val="99"/>
    <w:semiHidden/>
    <w:rsid w:val="00E77CB3"/>
    <w:rPr>
      <w:rFonts w:cs="Times New Roman"/>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locked/>
    <w:rsid w:val="00E77CB3"/>
    <w:rPr>
      <w:rFonts w:eastAsia="MS Mincho" w:cs="Times New Roman"/>
      <w:sz w:val="20"/>
    </w:rPr>
  </w:style>
  <w:style w:type="character" w:styleId="Odwoanieprzypisukocowego">
    <w:name w:val="endnote reference"/>
    <w:basedOn w:val="Domylnaczcionkaakapitu"/>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locked/>
    <w:rsid w:val="00E77CB3"/>
    <w:rPr>
      <w:rFonts w:eastAsia="MS Mincho" w:cs="Times New Roman"/>
      <w:sz w:val="20"/>
    </w:rPr>
  </w:style>
  <w:style w:type="character" w:styleId="UyteHipercze">
    <w:name w:val="FollowedHyperlink"/>
    <w:basedOn w:val="Domylnaczcionkaakapitu"/>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JuParaLast">
    <w:name w:val="Ju_Para_Last"/>
    <w:basedOn w:val="Normalny"/>
    <w:next w:val="ECHRPara"/>
    <w:uiPriority w:val="99"/>
    <w:rsid w:val="00375C7D"/>
    <w:pPr>
      <w:keepNext/>
      <w:keepLines/>
      <w:spacing w:before="240"/>
      <w:ind w:firstLine="284"/>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locked/>
    <w:rsid w:val="00E77CB3"/>
    <w:rPr>
      <w:rFonts w:eastAsia="MS Mincho" w:cs="Times New Roman"/>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locked/>
    <w:rsid w:val="00E77CB3"/>
    <w:rPr>
      <w:rFonts w:ascii="Tahoma" w:eastAsia="MS Mincho" w:hAnsi="Tahoma" w:cs="Tahoma"/>
      <w:sz w:val="20"/>
      <w:shd w:val="clear" w:color="auto" w:fill="000080"/>
    </w:rPr>
  </w:style>
  <w:style w:type="paragraph" w:customStyle="1" w:styleId="DecList">
    <w:name w:val="Dec_List"/>
    <w:basedOn w:val="Normalny"/>
    <w:uiPriority w:val="99"/>
    <w:rsid w:val="00375C7D"/>
    <w:pPr>
      <w:spacing w:before="240"/>
      <w:ind w:left="284"/>
    </w:pPr>
  </w:style>
  <w:style w:type="paragraph" w:styleId="Podtytu">
    <w:name w:val="Subtitle"/>
    <w:basedOn w:val="Normalny"/>
    <w:next w:val="Normalny"/>
    <w:link w:val="PodtytuZnak"/>
    <w:uiPriority w:val="99"/>
    <w:qFormat/>
    <w:rsid w:val="00375C7D"/>
    <w:pPr>
      <w:spacing w:after="600"/>
    </w:pPr>
    <w:rPr>
      <w:rFonts w:eastAsia="MS Gothic"/>
      <w:i/>
      <w:iCs/>
      <w:spacing w:val="13"/>
      <w:szCs w:val="24"/>
    </w:rPr>
  </w:style>
  <w:style w:type="character" w:customStyle="1" w:styleId="PodtytuZnak">
    <w:name w:val="Podtytuł Znak"/>
    <w:basedOn w:val="Domylnaczcionkaakapitu"/>
    <w:link w:val="Podtytu"/>
    <w:uiPriority w:val="99"/>
    <w:semiHidden/>
    <w:locked/>
    <w:rsid w:val="00375C7D"/>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E77CB3"/>
  </w:style>
  <w:style w:type="paragraph" w:styleId="Tekstblokowy">
    <w:name w:val="Block Text"/>
    <w:basedOn w:val="Normalny"/>
    <w:uiPriority w:val="99"/>
    <w:semiHidden/>
    <w:rsid w:val="00E77CB3"/>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locked/>
    <w:rsid w:val="00E77CB3"/>
    <w:rPr>
      <w:rFonts w:eastAsia="MS Mincho" w:cs="Times New Roman"/>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locked/>
    <w:rsid w:val="00E77CB3"/>
    <w:rPr>
      <w:rFonts w:eastAsia="MS Mincho" w:cs="Times New Roman"/>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E77CB3"/>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E77CB3"/>
    <w:rPr>
      <w:rFonts w:eastAsia="MS Mincho" w:cs="Times New Roman"/>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locked/>
    <w:rsid w:val="00E77CB3"/>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E77CB3"/>
    <w:rPr>
      <w:rFonts w:eastAsia="MS Mincho" w:cs="Times New Roman"/>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E77CB3"/>
    <w:rPr>
      <w:rFonts w:eastAsia="MS Mincho" w:cs="Times New Roman"/>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E77CB3"/>
    <w:rPr>
      <w:rFonts w:eastAsia="MS Mincho" w:cs="Times New Roman"/>
      <w:sz w:val="16"/>
      <w:szCs w:val="16"/>
    </w:rPr>
  </w:style>
  <w:style w:type="paragraph" w:styleId="Legenda">
    <w:name w:val="caption"/>
    <w:basedOn w:val="Normalny"/>
    <w:next w:val="Normalny"/>
    <w:uiPriority w:val="99"/>
    <w:qFormat/>
    <w:rsid w:val="00E77CB3"/>
    <w:pPr>
      <w:spacing w:after="200"/>
    </w:pPr>
    <w:rPr>
      <w:b/>
      <w:bCs/>
      <w:color w:val="0072BC"/>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locked/>
    <w:rsid w:val="00E77CB3"/>
    <w:rPr>
      <w:rFonts w:eastAsia="MS Mincho" w:cs="Times New Roman"/>
      <w:sz w:val="24"/>
    </w:rPr>
  </w:style>
  <w:style w:type="table" w:styleId="Kolorowasiatka">
    <w:name w:val="Colorful Grid"/>
    <w:basedOn w:val="Standardowy"/>
    <w:uiPriority w:val="99"/>
    <w:semiHidden/>
    <w:rsid w:val="00E77CB3"/>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E77CB3"/>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E77CB3"/>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E77CB3"/>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E77CB3"/>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E77CB3"/>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E77CB3"/>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E77CB3"/>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E77CB3"/>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E77CB3"/>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E77CB3"/>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E77CB3"/>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E77CB3"/>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E77CB3"/>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E77CB3"/>
    <w:rPr>
      <w:color w:val="000000"/>
      <w:sz w:val="20"/>
      <w:szCs w:val="20"/>
      <w:lang w:val="fr-FR" w:eastAsia="fr-FR"/>
    </w:rPr>
    <w:tblPr>
      <w:tblStyleRowBandSize w:val="1"/>
      <w:tblStyleColBandSize w:val="1"/>
      <w:tblInd w:w="0" w:type="dxa"/>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E77CB3"/>
    <w:rPr>
      <w:color w:val="000000"/>
      <w:sz w:val="20"/>
      <w:szCs w:val="20"/>
      <w:lang w:val="fr-FR" w:eastAsia="fr-FR"/>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E77CB3"/>
    <w:rPr>
      <w:color w:val="000000"/>
      <w:sz w:val="20"/>
      <w:szCs w:val="20"/>
      <w:lang w:val="fr-FR" w:eastAsia="fr-FR"/>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E77CB3"/>
    <w:rPr>
      <w:color w:val="000000"/>
      <w:sz w:val="20"/>
      <w:szCs w:val="20"/>
      <w:lang w:val="fr-FR" w:eastAsia="fr-FR"/>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E77CB3"/>
    <w:rPr>
      <w:color w:val="000000"/>
      <w:sz w:val="20"/>
      <w:szCs w:val="20"/>
      <w:lang w:val="fr-FR" w:eastAsia="fr-FR"/>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E77CB3"/>
    <w:rPr>
      <w:color w:val="000000"/>
      <w:sz w:val="20"/>
      <w:szCs w:val="20"/>
      <w:lang w:val="fr-FR" w:eastAsia="fr-FR"/>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E77CB3"/>
    <w:rPr>
      <w:color w:val="000000"/>
      <w:sz w:val="20"/>
      <w:szCs w:val="20"/>
      <w:lang w:val="fr-FR" w:eastAsia="fr-FR"/>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E77CB3"/>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77CB3"/>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77CB3"/>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77CB3"/>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77CB3"/>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77CB3"/>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77CB3"/>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locked/>
    <w:rsid w:val="00E77CB3"/>
    <w:rPr>
      <w:rFonts w:eastAsia="MS Mincho" w:cs="Times New Roman"/>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locked/>
    <w:rsid w:val="00E77CB3"/>
    <w:rPr>
      <w:rFonts w:eastAsia="MS Mincho" w:cs="Times New Roman"/>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E77CB3"/>
    <w:rPr>
      <w:rFonts w:eastAsia="MS Gothic"/>
      <w:sz w:val="20"/>
      <w:szCs w:val="20"/>
    </w:rPr>
  </w:style>
  <w:style w:type="character" w:styleId="HTML-akronim">
    <w:name w:val="HTML Acronym"/>
    <w:basedOn w:val="Domylnaczcionkaakapitu"/>
    <w:uiPriority w:val="99"/>
    <w:semiHidden/>
    <w:rsid w:val="00E77CB3"/>
    <w:rPr>
      <w:rFonts w:cs="Times New Roman"/>
    </w:rPr>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locked/>
    <w:rsid w:val="00E77CB3"/>
    <w:rPr>
      <w:rFonts w:eastAsia="MS Mincho" w:cs="Times New Roman"/>
      <w:i/>
      <w:iCs/>
      <w:sz w:val="24"/>
    </w:rPr>
  </w:style>
  <w:style w:type="character" w:styleId="HTML-cytat">
    <w:name w:val="HTML Cite"/>
    <w:basedOn w:val="Domylnaczcionkaakapitu"/>
    <w:uiPriority w:val="99"/>
    <w:semiHidden/>
    <w:rsid w:val="00E77CB3"/>
    <w:rPr>
      <w:rFonts w:cs="Times New Roman"/>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rFonts w:cs="Times New Roman"/>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E77CB3"/>
    <w:rPr>
      <w:rFonts w:ascii="Consolas" w:eastAsia="MS Mincho"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rFonts w:cs="Times New Roman"/>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eastAsia="MS Gothic"/>
      <w:b/>
      <w:bCs/>
    </w:rPr>
  </w:style>
  <w:style w:type="table" w:styleId="Jasnasiatka">
    <w:name w:val="Light Grid"/>
    <w:basedOn w:val="Standardowy"/>
    <w:uiPriority w:val="99"/>
    <w:semiHidden/>
    <w:rsid w:val="00E77CB3"/>
    <w:rPr>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77CB3"/>
    <w:rPr>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77CB3"/>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77CB3"/>
    <w:rPr>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77CB3"/>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77CB3"/>
    <w:rPr>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77CB3"/>
    <w:rPr>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77CB3"/>
    <w:rPr>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77CB3"/>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77CB3"/>
    <w:rPr>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77CB3"/>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77CB3"/>
    <w:rPr>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77CB3"/>
    <w:rPr>
      <w:color w:val="000000"/>
      <w:sz w:val="20"/>
      <w:szCs w:val="2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77CB3"/>
    <w:rPr>
      <w:color w:val="00548C"/>
      <w:sz w:val="20"/>
      <w:szCs w:val="2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77CB3"/>
    <w:rPr>
      <w:color w:val="8F0000"/>
      <w:sz w:val="20"/>
      <w:szCs w:val="2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77CB3"/>
    <w:rPr>
      <w:color w:val="474747"/>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77CB3"/>
    <w:rPr>
      <w:color w:val="707070"/>
      <w:sz w:val="20"/>
      <w:szCs w:val="2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77CB3"/>
    <w:rPr>
      <w:color w:val="474747"/>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77CB3"/>
    <w:rPr>
      <w:color w:val="393939"/>
      <w:sz w:val="20"/>
      <w:szCs w:val="2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77CB3"/>
    <w:rPr>
      <w:rFonts w:cs="Times New Roman"/>
    </w:rPr>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2"/>
      </w:numPr>
      <w:contextualSpacing/>
    </w:pPr>
  </w:style>
  <w:style w:type="paragraph" w:styleId="Listapunktowana3">
    <w:name w:val="List Bullet 3"/>
    <w:basedOn w:val="Normalny"/>
    <w:uiPriority w:val="99"/>
    <w:semiHidden/>
    <w:rsid w:val="00E77CB3"/>
    <w:pPr>
      <w:numPr>
        <w:numId w:val="3"/>
      </w:numPr>
      <w:contextualSpacing/>
    </w:pPr>
  </w:style>
  <w:style w:type="paragraph" w:styleId="Listapunktowana4">
    <w:name w:val="List Bullet 4"/>
    <w:basedOn w:val="Normalny"/>
    <w:uiPriority w:val="99"/>
    <w:semiHidden/>
    <w:rsid w:val="00E77CB3"/>
    <w:pPr>
      <w:numPr>
        <w:numId w:val="10"/>
      </w:numPr>
      <w:contextualSpacing/>
    </w:pPr>
  </w:style>
  <w:style w:type="paragraph" w:styleId="Listapunktowana5">
    <w:name w:val="List Bullet 5"/>
    <w:basedOn w:val="Normalny"/>
    <w:uiPriority w:val="99"/>
    <w:semiHidden/>
    <w:rsid w:val="00E77CB3"/>
    <w:pPr>
      <w:numPr>
        <w:numId w:val="4"/>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5"/>
      </w:numPr>
      <w:contextualSpacing/>
    </w:pPr>
  </w:style>
  <w:style w:type="paragraph" w:styleId="Listanumerowana2">
    <w:name w:val="List Number 2"/>
    <w:basedOn w:val="Normalny"/>
    <w:uiPriority w:val="99"/>
    <w:semiHidden/>
    <w:rsid w:val="00E77CB3"/>
    <w:pPr>
      <w:numPr>
        <w:numId w:val="6"/>
      </w:numPr>
      <w:contextualSpacing/>
    </w:pPr>
  </w:style>
  <w:style w:type="paragraph" w:styleId="Listanumerowana3">
    <w:name w:val="List Number 3"/>
    <w:basedOn w:val="Normalny"/>
    <w:uiPriority w:val="99"/>
    <w:semiHidden/>
    <w:rsid w:val="00E77CB3"/>
    <w:pPr>
      <w:numPr>
        <w:numId w:val="7"/>
      </w:numPr>
      <w:contextualSpacing/>
    </w:pPr>
  </w:style>
  <w:style w:type="paragraph" w:styleId="Listanumerowana4">
    <w:name w:val="List Number 4"/>
    <w:basedOn w:val="Normalny"/>
    <w:uiPriority w:val="99"/>
    <w:semiHidden/>
    <w:rsid w:val="00E77CB3"/>
    <w:pPr>
      <w:numPr>
        <w:numId w:val="8"/>
      </w:numPr>
      <w:contextualSpacing/>
    </w:pPr>
  </w:style>
  <w:style w:type="paragraph" w:styleId="Listanumerowana5">
    <w:name w:val="List Number 5"/>
    <w:basedOn w:val="Normalny"/>
    <w:uiPriority w:val="99"/>
    <w:semiHidden/>
    <w:rsid w:val="00E77CB3"/>
    <w:pPr>
      <w:numPr>
        <w:numId w:val="9"/>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sz w:val="20"/>
      <w:szCs w:val="20"/>
      <w:lang w:val="en-US" w:eastAsia="en-US"/>
    </w:rPr>
  </w:style>
  <w:style w:type="character" w:customStyle="1" w:styleId="TekstmakraZnak">
    <w:name w:val="Tekst makra Znak"/>
    <w:basedOn w:val="Domylnaczcionkaakapitu"/>
    <w:link w:val="Tekstmakra"/>
    <w:uiPriority w:val="99"/>
    <w:semiHidden/>
    <w:locked/>
    <w:rsid w:val="00E77CB3"/>
    <w:rPr>
      <w:rFonts w:ascii="Consolas" w:eastAsia="MS Mincho" w:hAnsi="Consolas" w:cs="Consolas"/>
      <w:lang w:val="en-US" w:eastAsia="en-US" w:bidi="ar-SA"/>
    </w:rPr>
  </w:style>
  <w:style w:type="table" w:styleId="redniasiatka1">
    <w:name w:val="Medium Grid 1"/>
    <w:basedOn w:val="Standardowy"/>
    <w:uiPriority w:val="99"/>
    <w:semiHidden/>
    <w:rsid w:val="00E77CB3"/>
    <w:rPr>
      <w:sz w:val="20"/>
      <w:szCs w:val="20"/>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E77CB3"/>
    <w:rPr>
      <w:sz w:val="20"/>
      <w:szCs w:val="20"/>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E77CB3"/>
    <w:rPr>
      <w:sz w:val="20"/>
      <w:szCs w:val="20"/>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E77CB3"/>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E77CB3"/>
    <w:rPr>
      <w:sz w:val="20"/>
      <w:szCs w:val="20"/>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E77CB3"/>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E77CB3"/>
    <w:rPr>
      <w:sz w:val="20"/>
      <w:szCs w:val="20"/>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77CB3"/>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77CB3"/>
    <w:rPr>
      <w:color w:val="000000"/>
      <w:sz w:val="20"/>
      <w:szCs w:val="2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E77CB3"/>
    <w:rPr>
      <w:color w:val="000000"/>
      <w:sz w:val="20"/>
      <w:szCs w:val="2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E77CB3"/>
    <w:rPr>
      <w:color w:val="000000"/>
      <w:sz w:val="20"/>
      <w:szCs w:val="2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E77CB3"/>
    <w:rPr>
      <w:color w:val="000000"/>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E77CB3"/>
    <w:rPr>
      <w:color w:val="000000"/>
      <w:sz w:val="20"/>
      <w:szCs w:val="2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E77CB3"/>
    <w:rPr>
      <w:color w:val="000000"/>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E77CB3"/>
    <w:rPr>
      <w:color w:val="000000"/>
      <w:sz w:val="20"/>
      <w:szCs w:val="2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E77CB3"/>
    <w:rPr>
      <w:rFonts w:eastAsia="MS Gothic"/>
      <w:color w:val="000000"/>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E77CB3"/>
    <w:rPr>
      <w:sz w:val="20"/>
      <w:szCs w:val="20"/>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E77CB3"/>
    <w:rPr>
      <w:sz w:val="20"/>
      <w:szCs w:val="20"/>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E77CB3"/>
    <w:rPr>
      <w:sz w:val="20"/>
      <w:szCs w:val="20"/>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E77CB3"/>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E77CB3"/>
    <w:rPr>
      <w:sz w:val="20"/>
      <w:szCs w:val="20"/>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E77CB3"/>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E77CB3"/>
    <w:rPr>
      <w:sz w:val="20"/>
      <w:szCs w:val="20"/>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E77CB3"/>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basedOn w:val="Domylnaczcionkaakapitu"/>
    <w:link w:val="Nagwekwiadomoci"/>
    <w:uiPriority w:val="99"/>
    <w:semiHidden/>
    <w:locked/>
    <w:rsid w:val="00E77CB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E77CB3"/>
    <w:rPr>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locked/>
    <w:rsid w:val="00E77CB3"/>
    <w:rPr>
      <w:rFonts w:eastAsia="MS Mincho" w:cs="Times New Roman"/>
      <w:sz w:val="24"/>
    </w:rPr>
  </w:style>
  <w:style w:type="character" w:styleId="Tekstzastpczy">
    <w:name w:val="Placeholder Text"/>
    <w:basedOn w:val="Domylnaczcionkaakapitu"/>
    <w:uiPriority w:val="99"/>
    <w:semiHidden/>
    <w:rsid w:val="00E77CB3"/>
    <w:rPr>
      <w:rFonts w:cs="Times New Roman"/>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E77CB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locked/>
    <w:rsid w:val="00E77CB3"/>
    <w:rPr>
      <w:rFonts w:eastAsia="MS Mincho" w:cs="Times New Roman"/>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locked/>
    <w:rsid w:val="00E77CB3"/>
    <w:rPr>
      <w:rFonts w:eastAsia="MS Mincho" w:cs="Times New Roman"/>
      <w:sz w:val="24"/>
    </w:rPr>
  </w:style>
  <w:style w:type="table" w:styleId="Tabela-Efekty3W1">
    <w:name w:val="Table 3D effects 1"/>
    <w:basedOn w:val="Standardowy"/>
    <w:uiPriority w:val="99"/>
    <w:semiHidden/>
    <w:rsid w:val="00E77CB3"/>
    <w:pPr>
      <w:jc w:val="both"/>
    </w:pPr>
    <w:rPr>
      <w:sz w:val="20"/>
      <w:szCs w:val="20"/>
      <w:lang w:val="fr-FR" w:eastAsia="fr-FR"/>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sz w:val="20"/>
      <w:szCs w:val="20"/>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sz w:val="20"/>
      <w:szCs w:val="20"/>
      <w:lang w:val="fr-FR" w:eastAsia="fr-FR"/>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sz w:val="20"/>
      <w:szCs w:val="20"/>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sz w:val="20"/>
      <w:szCs w:val="20"/>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sz w:val="20"/>
      <w:szCs w:val="2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sz w:val="20"/>
      <w:szCs w:val="20"/>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sz w:val="20"/>
      <w:szCs w:val="20"/>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sz w:val="20"/>
      <w:szCs w:val="20"/>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sz w:val="20"/>
      <w:szCs w:val="20"/>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sz w:val="20"/>
      <w:szCs w:val="20"/>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sz w:val="20"/>
      <w:szCs w:val="20"/>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sz w:val="20"/>
      <w:szCs w:val="20"/>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sz w:val="20"/>
      <w:szCs w:val="20"/>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E77CB3"/>
    <w:pPr>
      <w:jc w:val="both"/>
    </w:pPr>
    <w:rPr>
      <w:sz w:val="20"/>
      <w:szCs w:val="20"/>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E77CB3"/>
    <w:pPr>
      <w:jc w:val="both"/>
    </w:pPr>
    <w:rPr>
      <w:sz w:val="20"/>
      <w:szCs w:val="20"/>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sz w:val="20"/>
      <w:szCs w:val="20"/>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sz w:val="20"/>
      <w:szCs w:val="20"/>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sz w:val="20"/>
      <w:szCs w:val="20"/>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sz w:val="20"/>
      <w:szCs w:val="20"/>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sz w:val="20"/>
      <w:szCs w:val="20"/>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sz w:val="20"/>
      <w:szCs w:val="20"/>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sz w:val="20"/>
      <w:szCs w:val="20"/>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sz w:val="20"/>
      <w:szCs w:val="20"/>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sz w:val="20"/>
      <w:szCs w:val="20"/>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sz w:val="20"/>
      <w:szCs w:val="20"/>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sz w:val="20"/>
      <w:szCs w:val="20"/>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sz w:val="20"/>
      <w:szCs w:val="20"/>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sz w:val="20"/>
      <w:szCs w:val="20"/>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sz w:val="20"/>
      <w:szCs w:val="20"/>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sz w:val="20"/>
      <w:szCs w:val="20"/>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sz w:val="20"/>
      <w:szCs w:val="20"/>
      <w:lang w:val="fr-FR" w:eastAsia="fr-FR"/>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sz w:val="20"/>
      <w:szCs w:val="20"/>
      <w:lang w:val="fr-FR" w:eastAsia="fr-FR"/>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sz w:val="20"/>
      <w:szCs w:val="20"/>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sz w:val="20"/>
      <w:szCs w:val="20"/>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E77CB3"/>
    <w:pPr>
      <w:jc w:val="both"/>
    </w:pPr>
    <w:rPr>
      <w:sz w:val="20"/>
      <w:szCs w:val="20"/>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sz w:val="20"/>
      <w:szCs w:val="20"/>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sz w:val="20"/>
      <w:szCs w:val="20"/>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Lista">
    <w:name w:val="Ju_List_a"/>
    <w:basedOn w:val="JuList"/>
    <w:uiPriority w:val="99"/>
    <w:rsid w:val="00375C7D"/>
    <w:pPr>
      <w:ind w:left="346" w:firstLine="0"/>
    </w:pPr>
  </w:style>
  <w:style w:type="paragraph" w:customStyle="1" w:styleId="JuListi">
    <w:name w:val="Ju_List_i"/>
    <w:basedOn w:val="Normalny"/>
    <w:next w:val="JuLista"/>
    <w:uiPriority w:val="99"/>
    <w:rsid w:val="00375C7D"/>
    <w:pPr>
      <w:ind w:left="794"/>
    </w:pPr>
  </w:style>
  <w:style w:type="paragraph" w:customStyle="1" w:styleId="OpiH1">
    <w:name w:val="Opi_H_1"/>
    <w:basedOn w:val="ECHRHeading2"/>
    <w:uiPriority w:val="99"/>
    <w:semiHidden/>
    <w:rsid w:val="00375C7D"/>
    <w:pPr>
      <w:ind w:left="635" w:hanging="357"/>
      <w:outlineLvl w:val="2"/>
    </w:pPr>
  </w:style>
  <w:style w:type="paragraph" w:customStyle="1" w:styleId="OpiHa0">
    <w:name w:val="Opi_H_a"/>
    <w:basedOn w:val="ECHRHeading3"/>
    <w:uiPriority w:val="99"/>
    <w:semiHidden/>
    <w:rsid w:val="00375C7D"/>
    <w:pPr>
      <w:ind w:left="833" w:hanging="357"/>
      <w:outlineLvl w:val="3"/>
    </w:pPr>
    <w:rPr>
      <w:b/>
      <w:i w:val="0"/>
      <w:sz w:val="20"/>
    </w:rPr>
  </w:style>
  <w:style w:type="paragraph" w:customStyle="1" w:styleId="OpiHi">
    <w:name w:val="Opi_H_i"/>
    <w:basedOn w:val="ECHRHeading4"/>
    <w:uiPriority w:val="99"/>
    <w:semiHidden/>
    <w:rsid w:val="00375C7D"/>
    <w:pPr>
      <w:ind w:left="1037" w:hanging="357"/>
      <w:outlineLvl w:val="4"/>
    </w:pPr>
    <w:rPr>
      <w:b w:val="0"/>
      <w:i/>
    </w:rPr>
  </w:style>
  <w:style w:type="paragraph" w:customStyle="1" w:styleId="DummyStyle">
    <w:name w:val="Dummy_Style"/>
    <w:basedOn w:val="Normalny"/>
    <w:uiPriority w:val="99"/>
    <w:semiHidden/>
    <w:rsid w:val="00375C7D"/>
    <w:rPr>
      <w:color w:val="00B050"/>
    </w:rPr>
  </w:style>
  <w:style w:type="paragraph" w:styleId="Poprawka">
    <w:name w:val="Revision"/>
    <w:hidden/>
    <w:uiPriority w:val="99"/>
    <w:semiHidden/>
    <w:rsid w:val="001F576E"/>
    <w:rPr>
      <w:rFonts w:eastAsia="MS Mincho"/>
      <w:sz w:val="24"/>
      <w:lang w:val="en-US" w:eastAsia="en-US"/>
    </w:rPr>
  </w:style>
  <w:style w:type="character" w:customStyle="1" w:styleId="ECHRParaChar">
    <w:name w:val="ECHR_Para Char"/>
    <w:aliases w:val="Ju_Para Char"/>
    <w:basedOn w:val="Domylnaczcionkaakapitu"/>
    <w:link w:val="ECHRPara"/>
    <w:uiPriority w:val="99"/>
    <w:locked/>
    <w:rsid w:val="000F67BC"/>
    <w:rPr>
      <w:rFonts w:eastAsia="MS Mincho" w:cs="Times New Roman"/>
      <w:sz w:val="24"/>
    </w:rPr>
  </w:style>
  <w:style w:type="paragraph" w:customStyle="1" w:styleId="ECHRBullet1">
    <w:name w:val="ECHR_Bullet_1"/>
    <w:aliases w:val="Bul_1"/>
    <w:basedOn w:val="Normalny"/>
    <w:uiPriority w:val="99"/>
    <w:rsid w:val="008B2519"/>
    <w:pPr>
      <w:numPr>
        <w:numId w:val="15"/>
      </w:numPr>
      <w:spacing w:before="60" w:after="60"/>
    </w:pPr>
    <w:rPr>
      <w:sz w:val="22"/>
    </w:rPr>
  </w:style>
  <w:style w:type="paragraph" w:customStyle="1" w:styleId="ECHRBullet2">
    <w:name w:val="ECHR_Bullet_2"/>
    <w:aliases w:val="Bul_2"/>
    <w:basedOn w:val="ECHRBullet1"/>
    <w:uiPriority w:val="99"/>
    <w:rsid w:val="008B2519"/>
    <w:pPr>
      <w:numPr>
        <w:ilvl w:val="1"/>
      </w:numPr>
      <w:tabs>
        <w:tab w:val="num" w:pos="643"/>
        <w:tab w:val="num" w:pos="1209"/>
      </w:tabs>
      <w:ind w:hanging="360"/>
    </w:pPr>
  </w:style>
  <w:style w:type="paragraph" w:customStyle="1" w:styleId="ECHRBullet3">
    <w:name w:val="ECHR_Bullet_3"/>
    <w:aliases w:val="Bul_3"/>
    <w:basedOn w:val="ECHRBullet2"/>
    <w:uiPriority w:val="99"/>
    <w:rsid w:val="008B2519"/>
    <w:pPr>
      <w:numPr>
        <w:ilvl w:val="2"/>
      </w:numPr>
      <w:tabs>
        <w:tab w:val="num" w:pos="643"/>
        <w:tab w:val="num" w:pos="1134"/>
      </w:tabs>
      <w:ind w:hanging="360"/>
    </w:pPr>
  </w:style>
  <w:style w:type="paragraph" w:customStyle="1" w:styleId="ECHRBullet4">
    <w:name w:val="ECHR_Bullet_4"/>
    <w:aliases w:val="Bul_4"/>
    <w:basedOn w:val="ECHRBullet3"/>
    <w:uiPriority w:val="99"/>
    <w:rsid w:val="008B2519"/>
    <w:pPr>
      <w:numPr>
        <w:ilvl w:val="3"/>
      </w:numPr>
      <w:tabs>
        <w:tab w:val="clear" w:pos="1418"/>
        <w:tab w:val="num" w:pos="643"/>
        <w:tab w:val="num" w:pos="1134"/>
      </w:tabs>
      <w:ind w:hanging="360"/>
    </w:pPr>
  </w:style>
  <w:style w:type="paragraph" w:customStyle="1" w:styleId="ECHRNumberedList1">
    <w:name w:val="ECHR_Numbered_List_1"/>
    <w:aliases w:val="Num_1"/>
    <w:basedOn w:val="Normalny"/>
    <w:uiPriority w:val="99"/>
    <w:rsid w:val="008B2519"/>
    <w:pPr>
      <w:tabs>
        <w:tab w:val="num" w:pos="964"/>
      </w:tabs>
      <w:spacing w:before="60" w:after="60"/>
      <w:ind w:left="964" w:hanging="397"/>
      <w:jc w:val="left"/>
    </w:pPr>
    <w:rPr>
      <w:sz w:val="22"/>
    </w:rPr>
  </w:style>
  <w:style w:type="paragraph" w:customStyle="1" w:styleId="ECHRNumberedList2">
    <w:name w:val="ECHR_Numbered_List_2"/>
    <w:aliases w:val="Num_2"/>
    <w:basedOn w:val="ECHRNumberedList1"/>
    <w:uiPriority w:val="99"/>
    <w:rsid w:val="008B2519"/>
    <w:pPr>
      <w:numPr>
        <w:ilvl w:val="1"/>
      </w:numPr>
      <w:tabs>
        <w:tab w:val="num" w:pos="926"/>
        <w:tab w:val="num" w:pos="964"/>
        <w:tab w:val="num" w:pos="1361"/>
      </w:tabs>
      <w:ind w:left="1361" w:hanging="397"/>
    </w:pPr>
  </w:style>
  <w:style w:type="paragraph" w:customStyle="1" w:styleId="ECHRNumberedList3">
    <w:name w:val="ECHR_Numbered_List_3"/>
    <w:aliases w:val="Num_3"/>
    <w:basedOn w:val="ECHRNumberedList2"/>
    <w:uiPriority w:val="99"/>
    <w:rsid w:val="008B2519"/>
    <w:pPr>
      <w:numPr>
        <w:ilvl w:val="2"/>
      </w:numPr>
      <w:tabs>
        <w:tab w:val="clear" w:pos="1361"/>
        <w:tab w:val="num" w:pos="926"/>
        <w:tab w:val="num" w:pos="1758"/>
      </w:tabs>
      <w:ind w:left="1758" w:hanging="397"/>
    </w:pPr>
  </w:style>
  <w:style w:type="numbering" w:styleId="1ai">
    <w:name w:val="Outline List 1"/>
    <w:basedOn w:val="Bezlisty"/>
    <w:uiPriority w:val="99"/>
    <w:semiHidden/>
    <w:unhideWhenUsed/>
    <w:locked/>
    <w:rsid w:val="00C27365"/>
    <w:pPr>
      <w:numPr>
        <w:numId w:val="12"/>
      </w:numPr>
    </w:pPr>
  </w:style>
  <w:style w:type="numbering" w:styleId="111111">
    <w:name w:val="Outline List 2"/>
    <w:basedOn w:val="Bezlisty"/>
    <w:uiPriority w:val="99"/>
    <w:semiHidden/>
    <w:unhideWhenUsed/>
    <w:locked/>
    <w:rsid w:val="00C27365"/>
    <w:pPr>
      <w:numPr>
        <w:numId w:val="11"/>
      </w:numPr>
    </w:pPr>
  </w:style>
  <w:style w:type="numbering" w:customStyle="1" w:styleId="ECHRA1StyleBulletedSquare">
    <w:name w:val="ECHR_A1_Style_Bulleted_Square"/>
    <w:rsid w:val="00C27365"/>
    <w:pPr>
      <w:numPr>
        <w:numId w:val="15"/>
      </w:numPr>
    </w:pPr>
  </w:style>
  <w:style w:type="numbering" w:customStyle="1" w:styleId="ECHRA1StyleNumberedList">
    <w:name w:val="ECHR_A1_Style_Numbered_List"/>
    <w:rsid w:val="00C27365"/>
    <w:pPr>
      <w:numPr>
        <w:numId w:val="16"/>
      </w:numPr>
    </w:pPr>
  </w:style>
  <w:style w:type="numbering" w:styleId="Artykusekcja">
    <w:name w:val="Outline List 3"/>
    <w:basedOn w:val="Bezlisty"/>
    <w:uiPriority w:val="99"/>
    <w:semiHidden/>
    <w:unhideWhenUsed/>
    <w:locked/>
    <w:rsid w:val="00C27365"/>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9287258">
      <w:marLeft w:val="390"/>
      <w:marRight w:val="390"/>
      <w:marTop w:val="0"/>
      <w:marBottom w:val="0"/>
      <w:divBdr>
        <w:top w:val="none" w:sz="0" w:space="0" w:color="auto"/>
        <w:left w:val="none" w:sz="0" w:space="0" w:color="auto"/>
        <w:bottom w:val="none" w:sz="0" w:space="0" w:color="auto"/>
        <w:right w:val="none" w:sz="0" w:space="0" w:color="auto"/>
      </w:divBdr>
    </w:div>
    <w:div w:id="1739287263">
      <w:marLeft w:val="0"/>
      <w:marRight w:val="0"/>
      <w:marTop w:val="0"/>
      <w:marBottom w:val="0"/>
      <w:divBdr>
        <w:top w:val="none" w:sz="0" w:space="0" w:color="auto"/>
        <w:left w:val="none" w:sz="0" w:space="0" w:color="auto"/>
        <w:bottom w:val="none" w:sz="0" w:space="0" w:color="auto"/>
        <w:right w:val="none" w:sz="0" w:space="0" w:color="auto"/>
      </w:divBdr>
      <w:divsChild>
        <w:div w:id="1739287260">
          <w:marLeft w:val="0"/>
          <w:marRight w:val="0"/>
          <w:marTop w:val="0"/>
          <w:marBottom w:val="0"/>
          <w:divBdr>
            <w:top w:val="none" w:sz="0" w:space="0" w:color="auto"/>
            <w:left w:val="none" w:sz="0" w:space="0" w:color="auto"/>
            <w:bottom w:val="none" w:sz="0" w:space="0" w:color="auto"/>
            <w:right w:val="none" w:sz="0" w:space="0" w:color="auto"/>
          </w:divBdr>
          <w:divsChild>
            <w:div w:id="1739287269">
              <w:marLeft w:val="0"/>
              <w:marRight w:val="0"/>
              <w:marTop w:val="0"/>
              <w:marBottom w:val="0"/>
              <w:divBdr>
                <w:top w:val="none" w:sz="0" w:space="0" w:color="auto"/>
                <w:left w:val="none" w:sz="0" w:space="0" w:color="auto"/>
                <w:bottom w:val="none" w:sz="0" w:space="0" w:color="auto"/>
                <w:right w:val="none" w:sz="0" w:space="0" w:color="auto"/>
              </w:divBdr>
              <w:divsChild>
                <w:div w:id="1739287259">
                  <w:marLeft w:val="0"/>
                  <w:marRight w:val="0"/>
                  <w:marTop w:val="0"/>
                  <w:marBottom w:val="0"/>
                  <w:divBdr>
                    <w:top w:val="none" w:sz="0" w:space="0" w:color="auto"/>
                    <w:left w:val="none" w:sz="0" w:space="0" w:color="auto"/>
                    <w:bottom w:val="none" w:sz="0" w:space="0" w:color="auto"/>
                    <w:right w:val="none" w:sz="0" w:space="0" w:color="auto"/>
                  </w:divBdr>
                  <w:divsChild>
                    <w:div w:id="1739287261">
                      <w:marLeft w:val="1"/>
                      <w:marRight w:val="1"/>
                      <w:marTop w:val="0"/>
                      <w:marBottom w:val="0"/>
                      <w:divBdr>
                        <w:top w:val="none" w:sz="0" w:space="0" w:color="auto"/>
                        <w:left w:val="none" w:sz="0" w:space="0" w:color="auto"/>
                        <w:bottom w:val="none" w:sz="0" w:space="0" w:color="auto"/>
                        <w:right w:val="none" w:sz="0" w:space="0" w:color="auto"/>
                      </w:divBdr>
                      <w:divsChild>
                        <w:div w:id="1739287262">
                          <w:marLeft w:val="0"/>
                          <w:marRight w:val="0"/>
                          <w:marTop w:val="0"/>
                          <w:marBottom w:val="0"/>
                          <w:divBdr>
                            <w:top w:val="none" w:sz="0" w:space="0" w:color="auto"/>
                            <w:left w:val="none" w:sz="0" w:space="0" w:color="auto"/>
                            <w:bottom w:val="none" w:sz="0" w:space="0" w:color="auto"/>
                            <w:right w:val="none" w:sz="0" w:space="0" w:color="auto"/>
                          </w:divBdr>
                          <w:divsChild>
                            <w:div w:id="1739287268">
                              <w:marLeft w:val="0"/>
                              <w:marRight w:val="0"/>
                              <w:marTop w:val="0"/>
                              <w:marBottom w:val="360"/>
                              <w:divBdr>
                                <w:top w:val="none" w:sz="0" w:space="0" w:color="auto"/>
                                <w:left w:val="none" w:sz="0" w:space="0" w:color="auto"/>
                                <w:bottom w:val="none" w:sz="0" w:space="0" w:color="auto"/>
                                <w:right w:val="none" w:sz="0" w:space="0" w:color="auto"/>
                              </w:divBdr>
                              <w:divsChild>
                                <w:div w:id="1739287267">
                                  <w:marLeft w:val="0"/>
                                  <w:marRight w:val="0"/>
                                  <w:marTop w:val="0"/>
                                  <w:marBottom w:val="0"/>
                                  <w:divBdr>
                                    <w:top w:val="none" w:sz="0" w:space="0" w:color="auto"/>
                                    <w:left w:val="none" w:sz="0" w:space="0" w:color="auto"/>
                                    <w:bottom w:val="none" w:sz="0" w:space="0" w:color="auto"/>
                                    <w:right w:val="none" w:sz="0" w:space="0" w:color="auto"/>
                                  </w:divBdr>
                                  <w:divsChild>
                                    <w:div w:id="1739287265">
                                      <w:marLeft w:val="0"/>
                                      <w:marRight w:val="0"/>
                                      <w:marTop w:val="0"/>
                                      <w:marBottom w:val="0"/>
                                      <w:divBdr>
                                        <w:top w:val="none" w:sz="0" w:space="0" w:color="auto"/>
                                        <w:left w:val="none" w:sz="0" w:space="0" w:color="auto"/>
                                        <w:bottom w:val="none" w:sz="0" w:space="0" w:color="auto"/>
                                        <w:right w:val="none" w:sz="0" w:space="0" w:color="auto"/>
                                      </w:divBdr>
                                      <w:divsChild>
                                        <w:div w:id="173928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92872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6712</Words>
  <Characters>40276</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ECHR</vt:lpstr>
    </vt:vector>
  </TitlesOfParts>
  <LinksUpToDate>false</LinksUpToDate>
  <CharactersWithSpaces>46895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2016-05-18T10:04:00Z</cp:lastPrinted>
  <dcterms:created xsi:type="dcterms:W3CDTF">2017-01-13T14:22:00Z</dcterms:created>
  <dcterms:modified xsi:type="dcterms:W3CDTF">2017-01-13T14:22:00Z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