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7A5972" w:rsidRDefault="00014566" w:rsidP="008533F0">
      <w:pPr>
        <w:pStyle w:val="ECHRDecisionBody"/>
        <w:jc w:val="center"/>
        <w:rPr>
          <w:lang w:val="pl-PL"/>
        </w:rPr>
      </w:pPr>
    </w:p>
    <w:p w:rsidR="009104CB" w:rsidRPr="007A5972" w:rsidRDefault="009104CB" w:rsidP="008533F0">
      <w:pPr>
        <w:pStyle w:val="ECHRDecisionBody"/>
        <w:jc w:val="center"/>
        <w:rPr>
          <w:lang w:val="pl-PL"/>
        </w:rPr>
      </w:pPr>
    </w:p>
    <w:p w:rsidR="009104CB" w:rsidRPr="007A5972" w:rsidRDefault="009104CB" w:rsidP="008533F0">
      <w:pPr>
        <w:pStyle w:val="ECHRDecisionBody"/>
        <w:jc w:val="center"/>
        <w:rPr>
          <w:lang w:val="pl-PL"/>
        </w:rPr>
      </w:pPr>
    </w:p>
    <w:p w:rsidR="00014566" w:rsidRPr="007A5972" w:rsidRDefault="00612E7F" w:rsidP="008533F0">
      <w:pPr>
        <w:jc w:val="center"/>
        <w:rPr>
          <w:lang w:val="pl-PL"/>
        </w:rPr>
      </w:pPr>
      <w:r w:rsidRPr="007A5972">
        <w:rPr>
          <w:lang w:val="pl-PL"/>
        </w:rPr>
        <w:t>SEKCJA CZWARTA</w:t>
      </w:r>
    </w:p>
    <w:p w:rsidR="00014566" w:rsidRPr="007A5972" w:rsidRDefault="00014566" w:rsidP="008533F0">
      <w:pPr>
        <w:jc w:val="center"/>
        <w:rPr>
          <w:lang w:val="pl-PL"/>
        </w:rPr>
      </w:pPr>
    </w:p>
    <w:p w:rsidR="009104CB" w:rsidRPr="007A5972" w:rsidRDefault="009104CB" w:rsidP="008533F0">
      <w:pPr>
        <w:jc w:val="center"/>
        <w:rPr>
          <w:lang w:val="pl-PL"/>
        </w:rPr>
      </w:pPr>
    </w:p>
    <w:p w:rsidR="009104CB" w:rsidRPr="007A5972" w:rsidRDefault="009104CB" w:rsidP="008533F0">
      <w:pPr>
        <w:jc w:val="center"/>
        <w:rPr>
          <w:lang w:val="pl-PL"/>
        </w:rPr>
      </w:pPr>
    </w:p>
    <w:p w:rsidR="009104CB" w:rsidRPr="007A5972" w:rsidRDefault="009104CB" w:rsidP="008533F0">
      <w:pPr>
        <w:jc w:val="center"/>
        <w:rPr>
          <w:lang w:val="pl-PL"/>
        </w:rPr>
      </w:pPr>
    </w:p>
    <w:p w:rsidR="009104CB" w:rsidRPr="007A5972" w:rsidRDefault="009104CB" w:rsidP="008533F0">
      <w:pPr>
        <w:jc w:val="center"/>
        <w:rPr>
          <w:lang w:val="pl-PL"/>
        </w:rPr>
      </w:pPr>
    </w:p>
    <w:p w:rsidR="009104CB" w:rsidRPr="007A5972" w:rsidRDefault="009104CB" w:rsidP="008533F0">
      <w:pPr>
        <w:jc w:val="center"/>
        <w:rPr>
          <w:lang w:val="pl-PL"/>
        </w:rPr>
      </w:pPr>
    </w:p>
    <w:p w:rsidR="00014566" w:rsidRPr="007A5972" w:rsidRDefault="00612E7F" w:rsidP="008533F0">
      <w:pPr>
        <w:jc w:val="center"/>
        <w:rPr>
          <w:b/>
          <w:lang w:val="pl-PL"/>
        </w:rPr>
      </w:pPr>
      <w:bookmarkStart w:id="0" w:name="To"/>
      <w:r w:rsidRPr="007A5972">
        <w:rPr>
          <w:b/>
          <w:lang w:val="pl-PL"/>
        </w:rPr>
        <w:t>SPRAWA</w:t>
      </w:r>
      <w:r w:rsidR="00014566" w:rsidRPr="007A5972">
        <w:rPr>
          <w:b/>
          <w:lang w:val="pl-PL"/>
        </w:rPr>
        <w:t xml:space="preserve"> </w:t>
      </w:r>
      <w:bookmarkEnd w:id="0"/>
      <w:r w:rsidR="009B6E04" w:rsidRPr="007A5972">
        <w:rPr>
          <w:b/>
          <w:lang w:val="pl-PL"/>
        </w:rPr>
        <w:t xml:space="preserve">ZIEMBIŃSKI </w:t>
      </w:r>
      <w:r w:rsidRPr="007A5972">
        <w:rPr>
          <w:b/>
          <w:lang w:val="pl-PL"/>
        </w:rPr>
        <w:t>PRZECIWKO</w:t>
      </w:r>
      <w:r w:rsidR="009B6E04" w:rsidRPr="007A5972">
        <w:rPr>
          <w:b/>
          <w:lang w:val="pl-PL"/>
        </w:rPr>
        <w:t xml:space="preserve"> </w:t>
      </w:r>
      <w:r w:rsidRPr="007A5972">
        <w:rPr>
          <w:b/>
          <w:lang w:val="pl-PL"/>
        </w:rPr>
        <w:t>POLSCE</w:t>
      </w:r>
      <w:r w:rsidR="009B6E04" w:rsidRPr="007A5972">
        <w:rPr>
          <w:b/>
          <w:lang w:val="pl-PL"/>
        </w:rPr>
        <w:t xml:space="preserve"> (N</w:t>
      </w:r>
      <w:r w:rsidRPr="007A5972">
        <w:rPr>
          <w:b/>
          <w:lang w:val="pl-PL"/>
        </w:rPr>
        <w:t>r</w:t>
      </w:r>
      <w:r w:rsidR="009B6E04" w:rsidRPr="007A5972">
        <w:rPr>
          <w:b/>
          <w:lang w:val="pl-PL"/>
        </w:rPr>
        <w:t xml:space="preserve"> 2)</w:t>
      </w:r>
    </w:p>
    <w:p w:rsidR="00014566" w:rsidRPr="007A5972" w:rsidRDefault="00014566" w:rsidP="008533F0">
      <w:pPr>
        <w:jc w:val="center"/>
        <w:rPr>
          <w:lang w:val="pl-PL"/>
        </w:rPr>
      </w:pPr>
    </w:p>
    <w:p w:rsidR="00014566" w:rsidRPr="007A5972" w:rsidRDefault="00014566" w:rsidP="008533F0">
      <w:pPr>
        <w:jc w:val="center"/>
        <w:rPr>
          <w:i/>
          <w:lang w:val="pl-PL"/>
        </w:rPr>
      </w:pPr>
      <w:r w:rsidRPr="007A5972">
        <w:rPr>
          <w:i/>
          <w:lang w:val="pl-PL"/>
        </w:rPr>
        <w:t>(</w:t>
      </w:r>
      <w:r w:rsidR="00612E7F" w:rsidRPr="007A5972">
        <w:rPr>
          <w:i/>
          <w:lang w:val="pl-PL"/>
        </w:rPr>
        <w:t>Skarga Nr</w:t>
      </w:r>
      <w:r w:rsidR="009B6E04" w:rsidRPr="007A5972">
        <w:rPr>
          <w:i/>
          <w:lang w:val="pl-PL"/>
        </w:rPr>
        <w:t xml:space="preserve"> 1799/07</w:t>
      </w:r>
      <w:r w:rsidRPr="007A5972">
        <w:rPr>
          <w:i/>
          <w:lang w:val="pl-PL"/>
        </w:rPr>
        <w:t>)</w:t>
      </w:r>
    </w:p>
    <w:p w:rsidR="00014566" w:rsidRPr="007A5972" w:rsidRDefault="00014566" w:rsidP="008533F0">
      <w:pPr>
        <w:jc w:val="center"/>
        <w:rPr>
          <w:lang w:val="pl-PL"/>
        </w:rPr>
      </w:pPr>
    </w:p>
    <w:p w:rsidR="00014566" w:rsidRPr="007A5972" w:rsidRDefault="00014566" w:rsidP="008533F0">
      <w:pPr>
        <w:jc w:val="center"/>
        <w:rPr>
          <w:lang w:val="pl-PL"/>
        </w:rPr>
      </w:pPr>
    </w:p>
    <w:p w:rsidR="00014566" w:rsidRPr="007A5972" w:rsidRDefault="00014566" w:rsidP="008533F0">
      <w:pPr>
        <w:jc w:val="center"/>
        <w:rPr>
          <w:lang w:val="pl-PL"/>
        </w:rPr>
      </w:pPr>
    </w:p>
    <w:p w:rsidR="00653175" w:rsidRPr="007A5972" w:rsidRDefault="00653175" w:rsidP="008533F0">
      <w:pPr>
        <w:jc w:val="center"/>
        <w:rPr>
          <w:lang w:val="pl-PL"/>
        </w:rPr>
      </w:pPr>
    </w:p>
    <w:p w:rsidR="00653175" w:rsidRPr="007A5972" w:rsidRDefault="00653175" w:rsidP="008533F0">
      <w:pPr>
        <w:jc w:val="center"/>
        <w:rPr>
          <w:lang w:val="pl-PL"/>
        </w:rPr>
      </w:pPr>
    </w:p>
    <w:p w:rsidR="00653175" w:rsidRPr="007A5972" w:rsidRDefault="00653175" w:rsidP="008533F0">
      <w:pPr>
        <w:jc w:val="center"/>
        <w:rPr>
          <w:lang w:val="pl-PL"/>
        </w:rPr>
      </w:pPr>
    </w:p>
    <w:p w:rsidR="00014566" w:rsidRPr="007A5972" w:rsidRDefault="00014566" w:rsidP="008533F0">
      <w:pPr>
        <w:jc w:val="center"/>
        <w:rPr>
          <w:lang w:val="pl-PL"/>
        </w:rPr>
      </w:pPr>
    </w:p>
    <w:p w:rsidR="000E7E78" w:rsidRPr="007A5972" w:rsidRDefault="00612E7F" w:rsidP="008533F0">
      <w:pPr>
        <w:jc w:val="center"/>
        <w:rPr>
          <w:lang w:val="pl-PL"/>
        </w:rPr>
      </w:pPr>
      <w:r w:rsidRPr="007A5972">
        <w:rPr>
          <w:lang w:val="pl-PL"/>
        </w:rPr>
        <w:t>WYROK</w:t>
      </w:r>
    </w:p>
    <w:p w:rsidR="000E7E78" w:rsidRPr="007A5972" w:rsidRDefault="000E7E78" w:rsidP="008533F0">
      <w:pPr>
        <w:jc w:val="center"/>
        <w:rPr>
          <w:lang w:val="pl-PL"/>
        </w:rPr>
      </w:pPr>
    </w:p>
    <w:p w:rsidR="00301432" w:rsidRPr="007A5972" w:rsidRDefault="00301432" w:rsidP="008533F0">
      <w:pPr>
        <w:jc w:val="center"/>
        <w:rPr>
          <w:szCs w:val="24"/>
          <w:lang w:val="pl-PL"/>
        </w:rPr>
      </w:pPr>
    </w:p>
    <w:p w:rsidR="009104CB" w:rsidRPr="007A5972" w:rsidRDefault="009104CB" w:rsidP="008533F0">
      <w:pPr>
        <w:pStyle w:val="JuCase"/>
        <w:ind w:firstLine="0"/>
        <w:jc w:val="center"/>
        <w:rPr>
          <w:b w:val="0"/>
          <w:lang w:val="pl-PL"/>
        </w:rPr>
      </w:pPr>
    </w:p>
    <w:p w:rsidR="009104CB" w:rsidRPr="007A5972" w:rsidRDefault="009104CB" w:rsidP="008533F0">
      <w:pPr>
        <w:pStyle w:val="JuCase"/>
        <w:ind w:firstLine="0"/>
        <w:jc w:val="center"/>
        <w:rPr>
          <w:b w:val="0"/>
          <w:lang w:val="pl-PL"/>
        </w:rPr>
      </w:pPr>
    </w:p>
    <w:p w:rsidR="009104CB" w:rsidRPr="007A5972" w:rsidRDefault="009104CB" w:rsidP="008533F0">
      <w:pPr>
        <w:pStyle w:val="JuCase"/>
        <w:ind w:firstLine="0"/>
        <w:jc w:val="center"/>
        <w:rPr>
          <w:b w:val="0"/>
          <w:lang w:val="pl-PL"/>
        </w:rPr>
      </w:pPr>
      <w:r w:rsidRPr="007A5972">
        <w:rPr>
          <w:b w:val="0"/>
          <w:lang w:val="pl-PL"/>
        </w:rPr>
        <w:t>STRASBOURG</w:t>
      </w:r>
    </w:p>
    <w:p w:rsidR="009104CB" w:rsidRPr="007A5972" w:rsidRDefault="009104CB" w:rsidP="008533F0">
      <w:pPr>
        <w:pStyle w:val="JuCase"/>
        <w:ind w:firstLine="0"/>
        <w:jc w:val="center"/>
        <w:rPr>
          <w:b w:val="0"/>
          <w:lang w:val="pl-PL"/>
        </w:rPr>
      </w:pPr>
    </w:p>
    <w:p w:rsidR="009104CB" w:rsidRPr="007A5972" w:rsidRDefault="004460B8" w:rsidP="008533F0">
      <w:pPr>
        <w:pStyle w:val="JuCase"/>
        <w:ind w:firstLine="0"/>
        <w:jc w:val="center"/>
        <w:rPr>
          <w:b w:val="0"/>
          <w:lang w:val="pl-PL"/>
        </w:rPr>
      </w:pPr>
      <w:r w:rsidRPr="007A5972">
        <w:rPr>
          <w:b w:val="0"/>
          <w:lang w:val="pl-PL"/>
        </w:rPr>
        <w:t xml:space="preserve">5 </w:t>
      </w:r>
      <w:r w:rsidR="00612E7F" w:rsidRPr="007A5972">
        <w:rPr>
          <w:b w:val="0"/>
          <w:lang w:val="pl-PL"/>
        </w:rPr>
        <w:t>lipca</w:t>
      </w:r>
      <w:r w:rsidRPr="007A5972">
        <w:rPr>
          <w:b w:val="0"/>
          <w:lang w:val="pl-PL"/>
        </w:rPr>
        <w:t xml:space="preserve"> 2016</w:t>
      </w:r>
    </w:p>
    <w:p w:rsidR="009104CB" w:rsidRPr="007A5972" w:rsidRDefault="009104CB" w:rsidP="008533F0">
      <w:pPr>
        <w:pStyle w:val="JuCase"/>
        <w:ind w:firstLine="0"/>
        <w:jc w:val="center"/>
        <w:rPr>
          <w:b w:val="0"/>
          <w:lang w:val="pl-PL"/>
        </w:rPr>
      </w:pPr>
    </w:p>
    <w:p w:rsidR="009104CB" w:rsidRPr="007A5972" w:rsidRDefault="009104CB" w:rsidP="008533F0">
      <w:pPr>
        <w:pStyle w:val="JuCase"/>
        <w:ind w:firstLine="0"/>
        <w:jc w:val="center"/>
        <w:rPr>
          <w:b w:val="0"/>
          <w:lang w:val="pl-PL"/>
        </w:rPr>
      </w:pPr>
    </w:p>
    <w:p w:rsidR="00653175" w:rsidRPr="007A5972" w:rsidRDefault="00653175" w:rsidP="008533F0">
      <w:pPr>
        <w:jc w:val="center"/>
        <w:rPr>
          <w:lang w:val="pl-PL"/>
        </w:rPr>
      </w:pPr>
    </w:p>
    <w:p w:rsidR="00653175" w:rsidRPr="007A5972" w:rsidRDefault="00653175" w:rsidP="008533F0">
      <w:pPr>
        <w:jc w:val="center"/>
        <w:rPr>
          <w:lang w:val="pl-PL"/>
        </w:rPr>
      </w:pPr>
    </w:p>
    <w:p w:rsidR="00653175" w:rsidRPr="007A5972" w:rsidRDefault="00653175" w:rsidP="008533F0">
      <w:pPr>
        <w:jc w:val="center"/>
        <w:rPr>
          <w:lang w:val="pl-PL"/>
        </w:rPr>
      </w:pPr>
    </w:p>
    <w:p w:rsidR="00653175" w:rsidRPr="007A5972" w:rsidRDefault="00653175" w:rsidP="008533F0">
      <w:pPr>
        <w:jc w:val="center"/>
        <w:rPr>
          <w:lang w:val="pl-PL"/>
        </w:rPr>
      </w:pPr>
    </w:p>
    <w:p w:rsidR="009104CB" w:rsidRPr="007A5972" w:rsidRDefault="00612E7F" w:rsidP="008533F0">
      <w:pPr>
        <w:pStyle w:val="JuCase"/>
        <w:ind w:firstLine="0"/>
        <w:jc w:val="left"/>
        <w:rPr>
          <w:b w:val="0"/>
          <w:lang w:val="pl-PL"/>
        </w:rPr>
        <w:sectPr w:rsidR="009104CB" w:rsidRPr="007A5972" w:rsidSect="009104CB">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r w:rsidRPr="007A5972">
        <w:rPr>
          <w:rFonts w:ascii="Times New Roman" w:eastAsia="MS Mincho" w:hAnsi="Times New Roman" w:cs="Times New Roman"/>
          <w:b w:val="0"/>
          <w:i/>
          <w:sz w:val="22"/>
          <w:szCs w:val="20"/>
          <w:lang w:val="pl-PL" w:eastAsia="fr-FR"/>
        </w:rPr>
        <w:t>Ten wyrok uprawomocni się na warunkach określonych w Artykule 44 § 2 Konwencji. Może podlegać korekcie wydawniczej</w:t>
      </w:r>
      <w:r w:rsidR="009104CB" w:rsidRPr="007A5972">
        <w:rPr>
          <w:b w:val="0"/>
          <w:i/>
          <w:sz w:val="22"/>
          <w:lang w:val="pl-PL"/>
        </w:rPr>
        <w:t>.</w:t>
      </w:r>
    </w:p>
    <w:p w:rsidR="00656CD4" w:rsidRDefault="00612E7F" w:rsidP="008533F0">
      <w:pPr>
        <w:pStyle w:val="JuCase"/>
        <w:rPr>
          <w:lang w:val="pl-PL"/>
        </w:rPr>
      </w:pPr>
      <w:r w:rsidRPr="007A5972">
        <w:rPr>
          <w:lang w:val="pl-PL"/>
        </w:rPr>
        <w:lastRenderedPageBreak/>
        <w:t xml:space="preserve">W sprawie </w:t>
      </w:r>
      <w:r w:rsidR="007C43B7" w:rsidRPr="007A5972">
        <w:rPr>
          <w:lang w:val="pl-PL"/>
        </w:rPr>
        <w:t xml:space="preserve">Ziembiński </w:t>
      </w:r>
      <w:r w:rsidRPr="007A5972">
        <w:rPr>
          <w:lang w:val="pl-PL"/>
        </w:rPr>
        <w:t>przeciwko</w:t>
      </w:r>
      <w:r w:rsidR="00656CD4">
        <w:rPr>
          <w:lang w:val="pl-PL"/>
        </w:rPr>
        <w:t>,</w:t>
      </w:r>
    </w:p>
    <w:p w:rsidR="00014566" w:rsidRPr="007A5972" w:rsidRDefault="00656CD4" w:rsidP="008533F0">
      <w:pPr>
        <w:pStyle w:val="JuCase"/>
        <w:rPr>
          <w:bCs/>
          <w:lang w:val="pl-PL"/>
        </w:rPr>
      </w:pPr>
      <w:r>
        <w:rPr>
          <w:lang w:val="pl-PL"/>
        </w:rPr>
        <w:t>0</w:t>
      </w:r>
      <w:r w:rsidR="00612E7F" w:rsidRPr="007A5972">
        <w:rPr>
          <w:lang w:val="pl-PL"/>
        </w:rPr>
        <w:t xml:space="preserve"> Polsce</w:t>
      </w:r>
      <w:r w:rsidR="007C43B7" w:rsidRPr="007A5972">
        <w:rPr>
          <w:lang w:val="pl-PL"/>
        </w:rPr>
        <w:t xml:space="preserve"> (n</w:t>
      </w:r>
      <w:r w:rsidR="00612E7F" w:rsidRPr="007A5972">
        <w:rPr>
          <w:lang w:val="pl-PL"/>
        </w:rPr>
        <w:t>r</w:t>
      </w:r>
      <w:r w:rsidR="009B6E04" w:rsidRPr="007A5972">
        <w:rPr>
          <w:lang w:val="pl-PL"/>
        </w:rPr>
        <w:t xml:space="preserve"> 2)</w:t>
      </w:r>
      <w:r w:rsidR="00014566" w:rsidRPr="007A5972">
        <w:rPr>
          <w:lang w:val="pl-PL"/>
        </w:rPr>
        <w:t>,</w:t>
      </w:r>
    </w:p>
    <w:p w:rsidR="00014566" w:rsidRPr="007A5972" w:rsidRDefault="00612E7F" w:rsidP="008533F0">
      <w:pPr>
        <w:pStyle w:val="ECHRPara"/>
        <w:rPr>
          <w:lang w:val="pl-PL"/>
        </w:rPr>
      </w:pPr>
      <w:r w:rsidRPr="007A5972">
        <w:rPr>
          <w:rFonts w:ascii="Times New Roman" w:eastAsia="MS Mincho" w:hAnsi="Times New Roman" w:cs="Times New Roman"/>
          <w:szCs w:val="24"/>
          <w:lang w:val="pl-PL" w:eastAsia="fr-FR"/>
        </w:rPr>
        <w:t>Europejski Trybunał Praw Człowieka (Sekcja Czwarta), zasiadając jako Izba w składzie</w:t>
      </w:r>
      <w:r w:rsidR="00014566" w:rsidRPr="007A5972">
        <w:rPr>
          <w:lang w:val="pl-PL"/>
        </w:rPr>
        <w:t>:</w:t>
      </w:r>
    </w:p>
    <w:p w:rsidR="00014566" w:rsidRPr="007A5972" w:rsidRDefault="00653175" w:rsidP="008533F0">
      <w:pPr>
        <w:pStyle w:val="ECHRDecisionBody"/>
        <w:rPr>
          <w:lang w:val="pl-PL"/>
        </w:rPr>
      </w:pPr>
      <w:r w:rsidRPr="007A5972">
        <w:rPr>
          <w:lang w:val="pl-PL"/>
        </w:rPr>
        <w:tab/>
      </w:r>
      <w:proofErr w:type="spellStart"/>
      <w:r w:rsidRPr="007A5972">
        <w:rPr>
          <w:lang w:val="pl-PL"/>
        </w:rPr>
        <w:t>András</w:t>
      </w:r>
      <w:proofErr w:type="spellEnd"/>
      <w:r w:rsidRPr="007A5972">
        <w:rPr>
          <w:lang w:val="pl-PL"/>
        </w:rPr>
        <w:t xml:space="preserve"> </w:t>
      </w:r>
      <w:proofErr w:type="spellStart"/>
      <w:r w:rsidRPr="007A5972">
        <w:rPr>
          <w:lang w:val="pl-PL"/>
        </w:rPr>
        <w:t>Sajó</w:t>
      </w:r>
      <w:proofErr w:type="spellEnd"/>
      <w:r w:rsidRPr="007A5972">
        <w:rPr>
          <w:lang w:val="pl-PL"/>
        </w:rPr>
        <w:t>,</w:t>
      </w:r>
      <w:r w:rsidRPr="007A5972">
        <w:rPr>
          <w:i/>
          <w:lang w:val="pl-PL"/>
        </w:rPr>
        <w:t xml:space="preserve"> </w:t>
      </w:r>
      <w:r w:rsidR="00612E7F" w:rsidRPr="007A5972">
        <w:rPr>
          <w:i/>
          <w:lang w:val="pl-PL"/>
        </w:rPr>
        <w:t>Przewodniczący</w:t>
      </w:r>
      <w:r w:rsidRPr="007A5972">
        <w:rPr>
          <w:i/>
          <w:lang w:val="pl-PL"/>
        </w:rPr>
        <w:t>,</w:t>
      </w:r>
      <w:r w:rsidRPr="007A5972">
        <w:rPr>
          <w:i/>
          <w:lang w:val="pl-PL"/>
        </w:rPr>
        <w:br/>
      </w:r>
      <w:r w:rsidRPr="007A5972">
        <w:rPr>
          <w:lang w:val="pl-PL"/>
        </w:rPr>
        <w:tab/>
        <w:t xml:space="preserve">Paulo </w:t>
      </w:r>
      <w:proofErr w:type="spellStart"/>
      <w:r w:rsidRPr="007A5972">
        <w:rPr>
          <w:lang w:val="pl-PL"/>
        </w:rPr>
        <w:t>Pinto</w:t>
      </w:r>
      <w:proofErr w:type="spellEnd"/>
      <w:r w:rsidRPr="007A5972">
        <w:rPr>
          <w:lang w:val="pl-PL"/>
        </w:rPr>
        <w:t xml:space="preserve"> de Albuquerque,</w:t>
      </w:r>
      <w:r w:rsidRPr="007A5972">
        <w:rPr>
          <w:i/>
          <w:lang w:val="pl-PL"/>
        </w:rPr>
        <w:br/>
      </w:r>
      <w:r w:rsidRPr="007A5972">
        <w:rPr>
          <w:lang w:val="pl-PL"/>
        </w:rPr>
        <w:tab/>
        <w:t xml:space="preserve">Krzysztof </w:t>
      </w:r>
      <w:proofErr w:type="spellStart"/>
      <w:r w:rsidRPr="007A5972">
        <w:rPr>
          <w:lang w:val="pl-PL"/>
        </w:rPr>
        <w:t>Wojtyczek</w:t>
      </w:r>
      <w:proofErr w:type="spellEnd"/>
      <w:r w:rsidRPr="007A5972">
        <w:rPr>
          <w:lang w:val="pl-PL"/>
        </w:rPr>
        <w:t>,</w:t>
      </w:r>
      <w:r w:rsidRPr="007A5972">
        <w:rPr>
          <w:i/>
          <w:lang w:val="pl-PL"/>
        </w:rPr>
        <w:br/>
      </w:r>
      <w:r w:rsidRPr="007A5972">
        <w:rPr>
          <w:lang w:val="pl-PL"/>
        </w:rPr>
        <w:tab/>
      </w:r>
      <w:proofErr w:type="spellStart"/>
      <w:r w:rsidRPr="007A5972">
        <w:rPr>
          <w:lang w:val="pl-PL"/>
        </w:rPr>
        <w:t>Egidijus</w:t>
      </w:r>
      <w:proofErr w:type="spellEnd"/>
      <w:r w:rsidRPr="007A5972">
        <w:rPr>
          <w:lang w:val="pl-PL"/>
        </w:rPr>
        <w:t xml:space="preserve"> </w:t>
      </w:r>
      <w:proofErr w:type="spellStart"/>
      <w:r w:rsidRPr="007A5972">
        <w:rPr>
          <w:lang w:val="pl-PL"/>
        </w:rPr>
        <w:t>Kūris</w:t>
      </w:r>
      <w:proofErr w:type="spellEnd"/>
      <w:r w:rsidRPr="007A5972">
        <w:rPr>
          <w:lang w:val="pl-PL"/>
        </w:rPr>
        <w:t>,</w:t>
      </w:r>
      <w:r w:rsidRPr="007A5972">
        <w:rPr>
          <w:i/>
          <w:lang w:val="pl-PL"/>
        </w:rPr>
        <w:br/>
      </w:r>
      <w:r w:rsidRPr="007A5972">
        <w:rPr>
          <w:lang w:val="pl-PL"/>
        </w:rPr>
        <w:tab/>
      </w:r>
      <w:proofErr w:type="spellStart"/>
      <w:r w:rsidRPr="007A5972">
        <w:rPr>
          <w:lang w:val="pl-PL"/>
        </w:rPr>
        <w:t>Iulia</w:t>
      </w:r>
      <w:proofErr w:type="spellEnd"/>
      <w:r w:rsidRPr="007A5972">
        <w:rPr>
          <w:lang w:val="pl-PL"/>
        </w:rPr>
        <w:t xml:space="preserve"> </w:t>
      </w:r>
      <w:proofErr w:type="spellStart"/>
      <w:r w:rsidRPr="007A5972">
        <w:rPr>
          <w:lang w:val="pl-PL"/>
        </w:rPr>
        <w:t>Motoc</w:t>
      </w:r>
      <w:proofErr w:type="spellEnd"/>
      <w:r w:rsidRPr="007A5972">
        <w:rPr>
          <w:lang w:val="pl-PL"/>
        </w:rPr>
        <w:t>,</w:t>
      </w:r>
      <w:r w:rsidRPr="007A5972">
        <w:rPr>
          <w:i/>
          <w:lang w:val="pl-PL"/>
        </w:rPr>
        <w:br/>
      </w:r>
      <w:r w:rsidRPr="007A5972">
        <w:rPr>
          <w:lang w:val="pl-PL"/>
        </w:rPr>
        <w:tab/>
        <w:t xml:space="preserve">Gabriele </w:t>
      </w:r>
      <w:proofErr w:type="spellStart"/>
      <w:r w:rsidRPr="007A5972">
        <w:rPr>
          <w:lang w:val="pl-PL"/>
        </w:rPr>
        <w:t>Kucsko-Stadlmayer</w:t>
      </w:r>
      <w:proofErr w:type="spellEnd"/>
      <w:r w:rsidRPr="007A5972">
        <w:rPr>
          <w:lang w:val="pl-PL"/>
        </w:rPr>
        <w:t>,</w:t>
      </w:r>
      <w:r w:rsidRPr="007A5972">
        <w:rPr>
          <w:i/>
          <w:lang w:val="pl-PL"/>
        </w:rPr>
        <w:br/>
      </w:r>
      <w:r w:rsidRPr="007A5972">
        <w:rPr>
          <w:lang w:val="pl-PL"/>
        </w:rPr>
        <w:tab/>
        <w:t xml:space="preserve">Marko </w:t>
      </w:r>
      <w:proofErr w:type="spellStart"/>
      <w:r w:rsidRPr="007A5972">
        <w:rPr>
          <w:lang w:val="pl-PL"/>
        </w:rPr>
        <w:t>Bošnjak</w:t>
      </w:r>
      <w:proofErr w:type="spellEnd"/>
      <w:r w:rsidRPr="007A5972">
        <w:rPr>
          <w:lang w:val="pl-PL"/>
        </w:rPr>
        <w:t>,</w:t>
      </w:r>
      <w:r w:rsidRPr="007A5972">
        <w:rPr>
          <w:i/>
          <w:lang w:val="pl-PL"/>
        </w:rPr>
        <w:t xml:space="preserve"> </w:t>
      </w:r>
      <w:r w:rsidR="00612E7F" w:rsidRPr="007A5972">
        <w:rPr>
          <w:i/>
          <w:lang w:val="pl-PL"/>
        </w:rPr>
        <w:t>sędziowie</w:t>
      </w:r>
      <w:r w:rsidRPr="007A5972">
        <w:rPr>
          <w:i/>
          <w:lang w:val="pl-PL"/>
        </w:rPr>
        <w:t>,</w:t>
      </w:r>
      <w:r w:rsidR="00014566" w:rsidRPr="007A5972">
        <w:rPr>
          <w:szCs w:val="24"/>
          <w:lang w:val="pl-PL"/>
        </w:rPr>
        <w:br/>
      </w:r>
      <w:r w:rsidR="00612E7F" w:rsidRPr="007A5972">
        <w:rPr>
          <w:lang w:val="pl-PL"/>
        </w:rPr>
        <w:t xml:space="preserve">oraz </w:t>
      </w:r>
      <w:proofErr w:type="spellStart"/>
      <w:r w:rsidR="00612E7F" w:rsidRPr="007A5972">
        <w:rPr>
          <w:lang w:val="pl-PL"/>
        </w:rPr>
        <w:t>Marialena</w:t>
      </w:r>
      <w:proofErr w:type="spellEnd"/>
      <w:r w:rsidR="00612E7F" w:rsidRPr="007A5972">
        <w:rPr>
          <w:lang w:val="pl-PL"/>
        </w:rPr>
        <w:t xml:space="preserve"> </w:t>
      </w:r>
      <w:proofErr w:type="spellStart"/>
      <w:r w:rsidR="00612E7F" w:rsidRPr="007A5972">
        <w:rPr>
          <w:lang w:val="pl-PL"/>
        </w:rPr>
        <w:t>Tsirli</w:t>
      </w:r>
      <w:proofErr w:type="spellEnd"/>
      <w:r w:rsidR="00612E7F" w:rsidRPr="007A5972">
        <w:rPr>
          <w:lang w:val="pl-PL"/>
        </w:rPr>
        <w:t xml:space="preserve">, </w:t>
      </w:r>
      <w:r w:rsidR="00612E7F" w:rsidRPr="007A5972">
        <w:rPr>
          <w:i/>
          <w:lang w:val="pl-PL"/>
        </w:rPr>
        <w:t>Kanclerz Sekcji</w:t>
      </w:r>
      <w:r w:rsidR="00014566" w:rsidRPr="007A5972">
        <w:rPr>
          <w:i/>
          <w:lang w:val="pl-PL"/>
        </w:rPr>
        <w:t>,</w:t>
      </w:r>
    </w:p>
    <w:p w:rsidR="00014566" w:rsidRPr="007A5972" w:rsidRDefault="00612E7F" w:rsidP="008533F0">
      <w:pPr>
        <w:pStyle w:val="ECHRPara"/>
        <w:rPr>
          <w:lang w:val="pl-PL"/>
        </w:rPr>
      </w:pPr>
      <w:r w:rsidRPr="007A5972">
        <w:rPr>
          <w:rFonts w:ascii="Times New Roman" w:eastAsia="MS Mincho" w:hAnsi="Times New Roman" w:cs="Times New Roman"/>
          <w:szCs w:val="20"/>
          <w:lang w:val="pl-PL" w:eastAsia="fr-FR"/>
        </w:rPr>
        <w:t>Obradując na posiedzeniu niejawnym w dniu</w:t>
      </w:r>
      <w:r w:rsidRPr="007A5972">
        <w:rPr>
          <w:lang w:val="pl-PL"/>
        </w:rPr>
        <w:t xml:space="preserve"> </w:t>
      </w:r>
      <w:r w:rsidR="00653175" w:rsidRPr="007A5972">
        <w:rPr>
          <w:lang w:val="pl-PL"/>
        </w:rPr>
        <w:t xml:space="preserve">7 </w:t>
      </w:r>
      <w:r w:rsidRPr="007A5972">
        <w:rPr>
          <w:lang w:val="pl-PL"/>
        </w:rPr>
        <w:t>czerwca</w:t>
      </w:r>
      <w:r w:rsidR="00653175" w:rsidRPr="007A5972">
        <w:rPr>
          <w:lang w:val="pl-PL"/>
        </w:rPr>
        <w:t xml:space="preserve"> 2016</w:t>
      </w:r>
      <w:r w:rsidR="00014566" w:rsidRPr="007A5972">
        <w:rPr>
          <w:lang w:val="pl-PL"/>
        </w:rPr>
        <w:t>,</w:t>
      </w:r>
    </w:p>
    <w:p w:rsidR="00014566" w:rsidRPr="007A5972" w:rsidRDefault="00612E7F" w:rsidP="008533F0">
      <w:pPr>
        <w:pStyle w:val="ECHRPara"/>
        <w:rPr>
          <w:lang w:val="pl-PL"/>
        </w:rPr>
      </w:pPr>
      <w:r w:rsidRPr="007A5972">
        <w:rPr>
          <w:rFonts w:ascii="Times New Roman" w:eastAsia="MS Mincho" w:hAnsi="Times New Roman" w:cs="Times New Roman"/>
          <w:szCs w:val="20"/>
          <w:lang w:val="pl-PL" w:eastAsia="fr-FR"/>
        </w:rPr>
        <w:t>Wydaje następujący wyrok, który został przyjęty w tym dniu</w:t>
      </w:r>
      <w:r w:rsidR="00014566" w:rsidRPr="007A5972">
        <w:rPr>
          <w:lang w:val="pl-PL"/>
        </w:rPr>
        <w:t>:</w:t>
      </w:r>
    </w:p>
    <w:p w:rsidR="00014566" w:rsidRPr="007A5972" w:rsidRDefault="00612E7F" w:rsidP="008533F0">
      <w:pPr>
        <w:pStyle w:val="ECHRTitle1"/>
        <w:rPr>
          <w:lang w:val="pl-PL"/>
        </w:rPr>
      </w:pPr>
      <w:r w:rsidRPr="007A5972">
        <w:rPr>
          <w:lang w:val="pl-PL"/>
        </w:rPr>
        <w:t>POSTĘPOWANIE</w:t>
      </w:r>
    </w:p>
    <w:p w:rsidR="009B6E04"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1</w:t>
      </w:r>
      <w:r w:rsidRPr="007A5972">
        <w:rPr>
          <w:lang w:val="pl-PL"/>
        </w:rPr>
        <w:fldChar w:fldCharType="end"/>
      </w:r>
      <w:r w:rsidR="00014566" w:rsidRPr="007A5972">
        <w:rPr>
          <w:lang w:val="pl-PL"/>
        </w:rPr>
        <w:t>.  </w:t>
      </w:r>
      <w:r w:rsidR="00612E7F" w:rsidRPr="007A5972">
        <w:rPr>
          <w:lang w:val="pl-PL"/>
        </w:rPr>
        <w:t>Sprawa wywodzi się ze skargi (nr</w:t>
      </w:r>
      <w:r w:rsidRPr="007A5972">
        <w:rPr>
          <w:lang w:val="pl-PL"/>
        </w:rPr>
        <w:t xml:space="preserve"> 1799/07)</w:t>
      </w:r>
      <w:r w:rsidR="00014566" w:rsidRPr="007A5972">
        <w:rPr>
          <w:lang w:val="pl-PL"/>
        </w:rPr>
        <w:t xml:space="preserve"> </w:t>
      </w:r>
      <w:r w:rsidR="00612E7F" w:rsidRPr="007A5972">
        <w:rPr>
          <w:rFonts w:ascii="Times New Roman" w:eastAsia="MS Mincho" w:hAnsi="Times New Roman" w:cs="Times New Roman"/>
          <w:szCs w:val="24"/>
          <w:lang w:val="pl-PL"/>
        </w:rPr>
        <w:t>przeciwko Rzeczypospolitej Polskiej</w:t>
      </w:r>
      <w:r w:rsidR="00612E7F" w:rsidRPr="007A5972">
        <w:rPr>
          <w:lang w:val="pl-PL"/>
        </w:rPr>
        <w:t xml:space="preserve"> wniesionej do Trybunału </w:t>
      </w:r>
      <w:r w:rsidR="00612E7F" w:rsidRPr="007A5972">
        <w:rPr>
          <w:rFonts w:ascii="Times New Roman" w:eastAsia="MS Mincho" w:hAnsi="Times New Roman" w:cs="Times New Roman"/>
          <w:szCs w:val="24"/>
          <w:lang w:val="pl-PL"/>
        </w:rPr>
        <w:t>na podstawie Artykułu 34 Konwencji o Ochronie Praw Człowieka i Podstawowych Wolności („Konwencja”) przez obywatela Polski, Pana</w:t>
      </w:r>
      <w:r w:rsidRPr="007A5972">
        <w:rPr>
          <w:lang w:val="pl-PL"/>
        </w:rPr>
        <w:t xml:space="preserve"> Maciej</w:t>
      </w:r>
      <w:r w:rsidR="00612E7F" w:rsidRPr="007A5972">
        <w:rPr>
          <w:lang w:val="pl-PL"/>
        </w:rPr>
        <w:t>a</w:t>
      </w:r>
      <w:r w:rsidRPr="007A5972">
        <w:rPr>
          <w:lang w:val="pl-PL"/>
        </w:rPr>
        <w:t xml:space="preserve"> Zi</w:t>
      </w:r>
      <w:r w:rsidR="00E779B6" w:rsidRPr="007A5972">
        <w:rPr>
          <w:lang w:val="pl-PL"/>
        </w:rPr>
        <w:t>embiński</w:t>
      </w:r>
      <w:r w:rsidR="00612E7F" w:rsidRPr="007A5972">
        <w:rPr>
          <w:lang w:val="pl-PL"/>
        </w:rPr>
        <w:t>ego</w:t>
      </w:r>
      <w:r w:rsidR="00E779B6" w:rsidRPr="007A5972">
        <w:rPr>
          <w:lang w:val="pl-PL"/>
        </w:rPr>
        <w:t xml:space="preserve"> (“</w:t>
      </w:r>
      <w:r w:rsidR="00612E7F" w:rsidRPr="007A5972">
        <w:rPr>
          <w:lang w:val="pl-PL"/>
        </w:rPr>
        <w:t>skarżący</w:t>
      </w:r>
      <w:r w:rsidRPr="007A5972">
        <w:rPr>
          <w:lang w:val="pl-PL"/>
        </w:rPr>
        <w:t xml:space="preserve">”), </w:t>
      </w:r>
      <w:r w:rsidR="00612E7F" w:rsidRPr="007A5972">
        <w:rPr>
          <w:lang w:val="pl-PL"/>
        </w:rPr>
        <w:t>w dniu</w:t>
      </w:r>
      <w:r w:rsidRPr="007A5972">
        <w:rPr>
          <w:lang w:val="pl-PL"/>
        </w:rPr>
        <w:t xml:space="preserve"> 22 </w:t>
      </w:r>
      <w:r w:rsidR="00612E7F" w:rsidRPr="007A5972">
        <w:rPr>
          <w:lang w:val="pl-PL"/>
        </w:rPr>
        <w:t>listopada</w:t>
      </w:r>
      <w:r w:rsidRPr="007A5972">
        <w:rPr>
          <w:lang w:val="pl-PL"/>
        </w:rPr>
        <w:t xml:space="preserve"> 2006</w:t>
      </w:r>
      <w:r w:rsidR="00014566" w:rsidRPr="007A5972">
        <w:rPr>
          <w:lang w:val="pl-PL"/>
        </w:rPr>
        <w:t>.</w:t>
      </w:r>
    </w:p>
    <w:p w:rsidR="00FD3AFC"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w:t>
      </w:r>
      <w:r w:rsidRPr="007A5972">
        <w:rPr>
          <w:lang w:val="pl-PL"/>
        </w:rPr>
        <w:fldChar w:fldCharType="end"/>
      </w:r>
      <w:r w:rsidR="00014566" w:rsidRPr="007A5972">
        <w:rPr>
          <w:lang w:val="pl-PL"/>
        </w:rPr>
        <w:t>.  </w:t>
      </w:r>
      <w:r w:rsidR="00612E7F" w:rsidRPr="007A5972">
        <w:rPr>
          <w:lang w:val="pl-PL"/>
        </w:rPr>
        <w:t>Skarżący</w:t>
      </w:r>
      <w:r w:rsidR="00612E7F" w:rsidRPr="007A5972">
        <w:rPr>
          <w:rFonts w:ascii="Times New Roman" w:eastAsia="MS Mincho" w:hAnsi="Times New Roman" w:cs="Times New Roman"/>
          <w:szCs w:val="24"/>
          <w:lang w:val="pl-PL"/>
        </w:rPr>
        <w:t xml:space="preserve"> był reprezentowany przez </w:t>
      </w:r>
      <w:r w:rsidR="00612E7F" w:rsidRPr="007A5972">
        <w:rPr>
          <w:lang w:val="pl-PL"/>
        </w:rPr>
        <w:t>Panią</w:t>
      </w:r>
      <w:r w:rsidRPr="007A5972">
        <w:rPr>
          <w:lang w:val="pl-PL"/>
        </w:rPr>
        <w:t xml:space="preserve"> </w:t>
      </w:r>
      <w:r w:rsidR="00FD3AFC" w:rsidRPr="007A5972">
        <w:rPr>
          <w:lang w:val="pl-PL"/>
        </w:rPr>
        <w:t xml:space="preserve">K. </w:t>
      </w:r>
      <w:r w:rsidR="00612E7F" w:rsidRPr="007A5972">
        <w:rPr>
          <w:lang w:val="pl-PL"/>
        </w:rPr>
        <w:t>Zakrzewską</w:t>
      </w:r>
      <w:r w:rsidRPr="007A5972">
        <w:rPr>
          <w:lang w:val="pl-PL"/>
        </w:rPr>
        <w:t xml:space="preserve">, </w:t>
      </w:r>
      <w:r w:rsidR="00612E7F" w:rsidRPr="007A5972">
        <w:rPr>
          <w:lang w:val="pl-PL"/>
        </w:rPr>
        <w:t>prawnik praktykującą w</w:t>
      </w:r>
      <w:r w:rsidRPr="007A5972">
        <w:rPr>
          <w:lang w:val="pl-PL"/>
        </w:rPr>
        <w:t xml:space="preserve"> Radomsk</w:t>
      </w:r>
      <w:r w:rsidR="00612E7F" w:rsidRPr="007A5972">
        <w:rPr>
          <w:lang w:val="pl-PL"/>
        </w:rPr>
        <w:t>u</w:t>
      </w:r>
      <w:r w:rsidRPr="007A5972">
        <w:rPr>
          <w:lang w:val="pl-PL"/>
        </w:rPr>
        <w:t xml:space="preserve">. </w:t>
      </w:r>
      <w:r w:rsidR="00612E7F" w:rsidRPr="007A5972">
        <w:rPr>
          <w:rFonts w:ascii="Times New Roman" w:eastAsia="MS Mincho" w:hAnsi="Times New Roman" w:cs="Times New Roman"/>
          <w:szCs w:val="24"/>
          <w:lang w:val="pl-PL"/>
        </w:rPr>
        <w:t>Rząd Polski („Rząd”) był reprezentowany przez pełnomocnika</w:t>
      </w:r>
      <w:r w:rsidR="00014566" w:rsidRPr="007A5972">
        <w:rPr>
          <w:lang w:val="pl-PL"/>
        </w:rPr>
        <w:t xml:space="preserve">, </w:t>
      </w:r>
      <w:r w:rsidR="00612E7F" w:rsidRPr="007A5972">
        <w:rPr>
          <w:lang w:val="pl-PL"/>
        </w:rPr>
        <w:t>Pana</w:t>
      </w:r>
      <w:r w:rsidR="008B0217" w:rsidRPr="007A5972">
        <w:rPr>
          <w:lang w:val="pl-PL"/>
        </w:rPr>
        <w:t xml:space="preserve"> </w:t>
      </w:r>
      <w:r w:rsidR="00FD3AFC" w:rsidRPr="007A5972">
        <w:rPr>
          <w:lang w:val="pl-PL"/>
        </w:rPr>
        <w:t>J.</w:t>
      </w:r>
      <w:r w:rsidR="008B0217" w:rsidRPr="007A5972">
        <w:rPr>
          <w:lang w:val="pl-PL"/>
        </w:rPr>
        <w:t xml:space="preserve"> </w:t>
      </w:r>
      <w:proofErr w:type="spellStart"/>
      <w:r w:rsidR="00FD3AFC" w:rsidRPr="007A5972">
        <w:rPr>
          <w:lang w:val="pl-PL"/>
        </w:rPr>
        <w:t>Wołąsiewicz</w:t>
      </w:r>
      <w:r w:rsidR="00612E7F" w:rsidRPr="007A5972">
        <w:rPr>
          <w:lang w:val="pl-PL"/>
        </w:rPr>
        <w:t>a</w:t>
      </w:r>
      <w:proofErr w:type="spellEnd"/>
      <w:r w:rsidR="00FD3AFC" w:rsidRPr="007A5972">
        <w:rPr>
          <w:lang w:val="pl-PL"/>
        </w:rPr>
        <w:t xml:space="preserve">, </w:t>
      </w:r>
      <w:r w:rsidR="0015461B">
        <w:rPr>
          <w:lang w:val="pl-PL"/>
        </w:rPr>
        <w:t>a następnie</w:t>
      </w:r>
      <w:r w:rsidR="007A5972" w:rsidRPr="007A5972">
        <w:rPr>
          <w:lang w:val="pl-PL"/>
        </w:rPr>
        <w:t xml:space="preserve"> przez</w:t>
      </w:r>
      <w:r w:rsidR="00612E7F" w:rsidRPr="007A5972">
        <w:rPr>
          <w:lang w:val="pl-PL"/>
        </w:rPr>
        <w:t xml:space="preserve"> Panią</w:t>
      </w:r>
      <w:r w:rsidR="008B0217" w:rsidRPr="007A5972">
        <w:rPr>
          <w:lang w:val="pl-PL"/>
        </w:rPr>
        <w:t xml:space="preserve"> </w:t>
      </w:r>
      <w:r w:rsidR="00612E7F" w:rsidRPr="007A5972">
        <w:rPr>
          <w:lang w:val="pl-PL" w:eastAsia="fr-FR"/>
        </w:rPr>
        <w:t>J. Chrzanowską, z Ministerstwa Spraw Zagranicznych</w:t>
      </w:r>
      <w:r w:rsidR="00FD3AFC" w:rsidRPr="007A5972">
        <w:rPr>
          <w:lang w:val="pl-PL"/>
        </w:rPr>
        <w:t>.</w:t>
      </w:r>
    </w:p>
    <w:p w:rsidR="009805BC"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w:t>
      </w:r>
      <w:r w:rsidRPr="007A5972">
        <w:rPr>
          <w:lang w:val="pl-PL"/>
        </w:rPr>
        <w:fldChar w:fldCharType="end"/>
      </w:r>
      <w:r w:rsidRPr="007A5972">
        <w:rPr>
          <w:lang w:val="pl-PL"/>
        </w:rPr>
        <w:t>.  </w:t>
      </w:r>
      <w:r w:rsidR="00EB7799" w:rsidRPr="007A5972">
        <w:rPr>
          <w:lang w:val="pl-PL"/>
        </w:rPr>
        <w:t>Skarżący twierdził, że jego skazanie za znieważenie odbyło się z naruszeniem jego prawa do wolności wypowiedzi</w:t>
      </w:r>
      <w:r w:rsidR="009805BC" w:rsidRPr="007A5972">
        <w:rPr>
          <w:lang w:val="pl-PL"/>
        </w:rPr>
        <w:t>.</w:t>
      </w:r>
    </w:p>
    <w:p w:rsidR="00014566" w:rsidRPr="007A5972" w:rsidRDefault="009805BC"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w:t>
      </w:r>
      <w:r w:rsidRPr="007A5972">
        <w:rPr>
          <w:lang w:val="pl-PL"/>
        </w:rPr>
        <w:fldChar w:fldCharType="end"/>
      </w:r>
      <w:r w:rsidRPr="007A5972">
        <w:rPr>
          <w:lang w:val="pl-PL"/>
        </w:rPr>
        <w:t>.  </w:t>
      </w:r>
      <w:r w:rsidR="00EB7799" w:rsidRPr="007A5972">
        <w:rPr>
          <w:lang w:val="pl-PL"/>
        </w:rPr>
        <w:t>W dniu 8 marca 2010 roku skarga został przekazana do Rządu</w:t>
      </w:r>
      <w:r w:rsidR="00014566" w:rsidRPr="007A5972">
        <w:rPr>
          <w:lang w:val="pl-PL"/>
        </w:rPr>
        <w:t>.</w:t>
      </w:r>
    </w:p>
    <w:p w:rsidR="00014566" w:rsidRPr="007A5972" w:rsidRDefault="00EB7799" w:rsidP="008533F0">
      <w:pPr>
        <w:pStyle w:val="ECHRTitle1"/>
        <w:rPr>
          <w:lang w:val="pl-PL"/>
        </w:rPr>
      </w:pPr>
      <w:r w:rsidRPr="007A5972">
        <w:rPr>
          <w:lang w:val="pl-PL"/>
        </w:rPr>
        <w:t>STAN FAKTYCZNY</w:t>
      </w:r>
    </w:p>
    <w:p w:rsidR="00014566" w:rsidRPr="007A5972" w:rsidRDefault="00014566" w:rsidP="008533F0">
      <w:pPr>
        <w:pStyle w:val="ECHRHeading1"/>
        <w:rPr>
          <w:lang w:val="pl-PL"/>
        </w:rPr>
      </w:pPr>
      <w:r w:rsidRPr="007A5972">
        <w:rPr>
          <w:lang w:val="pl-PL"/>
        </w:rPr>
        <w:t>I.  </w:t>
      </w:r>
      <w:r w:rsidR="00EB7799" w:rsidRPr="007A5972">
        <w:rPr>
          <w:lang w:val="pl-PL"/>
        </w:rPr>
        <w:t>OKOLICZNOŚCI SPRAWY</w:t>
      </w:r>
    </w:p>
    <w:p w:rsidR="00014566"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w:t>
      </w:r>
      <w:r w:rsidRPr="007A5972">
        <w:rPr>
          <w:lang w:val="pl-PL"/>
        </w:rPr>
        <w:fldChar w:fldCharType="end"/>
      </w:r>
      <w:r w:rsidR="00014566" w:rsidRPr="007A5972">
        <w:rPr>
          <w:lang w:val="pl-PL"/>
        </w:rPr>
        <w:t>.  </w:t>
      </w:r>
      <w:r w:rsidR="00EB7799" w:rsidRPr="007A5972">
        <w:rPr>
          <w:lang w:val="pl-PL"/>
        </w:rPr>
        <w:t>Skarżący urodził się w 1944 roku i mieszka w Kłomnicach</w:t>
      </w:r>
      <w:r w:rsidR="00014566" w:rsidRPr="007A5972">
        <w:rPr>
          <w:lang w:val="pl-PL"/>
        </w:rPr>
        <w:t>.</w:t>
      </w:r>
    </w:p>
    <w:p w:rsidR="004476D1" w:rsidRPr="007A5972" w:rsidRDefault="009B6E04" w:rsidP="008533F0">
      <w:pPr>
        <w:pStyle w:val="ECHRPara"/>
        <w:rPr>
          <w:rFonts w:ascii="Times New Roman" w:eastAsia="Times New Roman" w:hAnsi="Times New Roman" w:cs="Times New Roman"/>
          <w:szCs w:val="20"/>
          <w:lang w:val="pl-PL" w:eastAsia="fr-FR"/>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6</w:t>
      </w:r>
      <w:r w:rsidRPr="007A5972">
        <w:rPr>
          <w:lang w:val="pl-PL"/>
        </w:rPr>
        <w:fldChar w:fldCharType="end"/>
      </w:r>
      <w:r w:rsidR="00014566" w:rsidRPr="007A5972">
        <w:rPr>
          <w:lang w:val="pl-PL"/>
        </w:rPr>
        <w:t>.  </w:t>
      </w:r>
      <w:r w:rsidR="008C582C" w:rsidRPr="007A5972">
        <w:rPr>
          <w:lang w:val="pl-PL"/>
        </w:rPr>
        <w:t xml:space="preserve">Skarżący jest właścicielem i redaktorem naczelnym lokalnego </w:t>
      </w:r>
      <w:r w:rsidR="007A5972" w:rsidRPr="007A5972">
        <w:rPr>
          <w:lang w:val="pl-PL"/>
        </w:rPr>
        <w:t>tygodnika, „Komu</w:t>
      </w:r>
      <w:r w:rsidR="008C582C" w:rsidRPr="007A5972">
        <w:rPr>
          <w:lang w:val="pl-PL"/>
        </w:rPr>
        <w:t xml:space="preserve"> i Czemu", publikowan</w:t>
      </w:r>
      <w:r w:rsidR="007A5972" w:rsidRPr="007A5972">
        <w:rPr>
          <w:lang w:val="pl-PL"/>
        </w:rPr>
        <w:t>ego</w:t>
      </w:r>
      <w:r w:rsidR="008C582C" w:rsidRPr="007A5972">
        <w:rPr>
          <w:lang w:val="pl-PL"/>
        </w:rPr>
        <w:t xml:space="preserve"> w powiatach </w:t>
      </w:r>
      <w:r w:rsidR="006464A3">
        <w:rPr>
          <w:lang w:val="pl-PL"/>
        </w:rPr>
        <w:t>r</w:t>
      </w:r>
      <w:r w:rsidR="008C582C" w:rsidRPr="007A5972">
        <w:rPr>
          <w:lang w:val="pl-PL"/>
        </w:rPr>
        <w:t xml:space="preserve">adomskim i </w:t>
      </w:r>
      <w:r w:rsidR="006464A3">
        <w:rPr>
          <w:lang w:val="pl-PL"/>
        </w:rPr>
        <w:t>b</w:t>
      </w:r>
      <w:r w:rsidR="008C582C" w:rsidRPr="007A5972">
        <w:rPr>
          <w:lang w:val="pl-PL"/>
        </w:rPr>
        <w:t>ełchatowskim</w:t>
      </w:r>
      <w:r w:rsidR="004476D1" w:rsidRPr="007A5972">
        <w:rPr>
          <w:rFonts w:ascii="Times New Roman" w:eastAsia="Times New Roman" w:hAnsi="Times New Roman" w:cs="Times New Roman"/>
          <w:szCs w:val="20"/>
          <w:lang w:val="pl-PL" w:eastAsia="fr-FR"/>
        </w:rPr>
        <w:t>.</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7</w:t>
      </w:r>
      <w:r w:rsidRPr="007A5972">
        <w:rPr>
          <w:rFonts w:eastAsia="Times New Roman"/>
          <w:lang w:val="pl-PL" w:eastAsia="fr-FR"/>
        </w:rPr>
        <w:fldChar w:fldCharType="end"/>
      </w:r>
      <w:r w:rsidRPr="007A5972">
        <w:rPr>
          <w:rFonts w:eastAsia="Times New Roman"/>
          <w:lang w:val="pl-PL" w:eastAsia="fr-FR"/>
        </w:rPr>
        <w:t>.  </w:t>
      </w:r>
      <w:r w:rsidR="008C582C" w:rsidRPr="007A5972">
        <w:rPr>
          <w:lang w:val="pl-PL"/>
        </w:rPr>
        <w:t xml:space="preserve">W numerze 33 z dnia 18 sierpnia 2004 roku skarżący opublikował artykuł zatytułowany </w:t>
      </w:r>
      <w:r w:rsidRPr="007A5972">
        <w:rPr>
          <w:rFonts w:eastAsia="Times New Roman"/>
          <w:i/>
          <w:lang w:val="pl-PL" w:eastAsia="fr-FR"/>
        </w:rPr>
        <w:t>“Łajno – elegancko opakowane”</w:t>
      </w:r>
      <w:r w:rsidR="00F808F0">
        <w:rPr>
          <w:rFonts w:eastAsia="Times New Roman"/>
          <w:lang w:val="pl-PL" w:eastAsia="fr-FR"/>
        </w:rPr>
        <w:t>, w którym napisano:</w:t>
      </w:r>
    </w:p>
    <w:p w:rsidR="00890DC7" w:rsidRDefault="004476D1" w:rsidP="00890DC7">
      <w:pPr>
        <w:pStyle w:val="ECHRParaQuote"/>
        <w:rPr>
          <w:lang w:val="pl-PL"/>
        </w:rPr>
      </w:pPr>
      <w:r w:rsidRPr="007A5972">
        <w:rPr>
          <w:rFonts w:eastAsia="Times New Roman"/>
          <w:lang w:val="pl-PL" w:eastAsia="fr-FR"/>
        </w:rPr>
        <w:lastRenderedPageBreak/>
        <w:t>“</w:t>
      </w:r>
      <w:r w:rsidR="000101A3" w:rsidRPr="007A5972">
        <w:rPr>
          <w:lang w:val="pl-PL"/>
        </w:rPr>
        <w:t xml:space="preserve">Pozerem </w:t>
      </w:r>
      <w:r w:rsidR="00890DC7">
        <w:rPr>
          <w:lang w:val="pl-PL"/>
        </w:rPr>
        <w:t>to facet, który robi wszystko, by uzyskać zewnętrzny efekt w postępowaniu, mowie, a zwłaszcza głoszonym populizmie. Przybiera postać palanta pozującego na ludowego trybuna. Jedynym panaceum na takiego, czyli uniwersalnym środkiem uzdrawiającym, jest rozpoznanie jego zamiarów i podjęcie bezkrwawej walki, bo na argumenty. Argumentem na wszelkiego rodzaju zagrywki pozera czy populisty będzie zawsze kontrargument oparty na realiach, logice i możliwościach wcielenia w życie zawartych w nim zamierzeń.</w:t>
      </w:r>
    </w:p>
    <w:p w:rsidR="004476D1" w:rsidRDefault="00890DC7" w:rsidP="00890DC7">
      <w:pPr>
        <w:pStyle w:val="ECHRParaQuote"/>
        <w:ind w:firstLine="0"/>
        <w:rPr>
          <w:rFonts w:eastAsia="Times New Roman"/>
          <w:lang w:val="pl-PL" w:eastAsia="fr-FR"/>
        </w:rPr>
      </w:pPr>
      <w:r>
        <w:rPr>
          <w:lang w:val="pl-PL"/>
        </w:rPr>
        <w:t xml:space="preserve">Pamiętam, gdy nie tak znów dawno autor koncepcji rozwoju hodowli przepiórek jako panaceum na wiejskie bezrobocie, dokopał mi na łamach usłużnej mu lokalnej gazety, zarzucając złośliwość, dyskredytowanie każdego dobrego pomysłu, jak i bezmyślność, która doprowadzi do psychicznego choróbska i wielu nieodwracalnych perturbacji w typie debilizmu. Sam zaś oświadczył, że będzie nadal robił swoje, czyli skazywał rolników na hodowanie sympatycznych ptasząt w celu pozyskiwania jajek. Jego szef uznał przepiórczy interes za bardzo ważny, bo w konsekwencji doprowadzi do wyeliminowania </w:t>
      </w:r>
      <w:proofErr w:type="spellStart"/>
      <w:r>
        <w:rPr>
          <w:lang w:val="pl-PL"/>
        </w:rPr>
        <w:t>wiagry</w:t>
      </w:r>
      <w:proofErr w:type="spellEnd"/>
      <w:r>
        <w:rPr>
          <w:lang w:val="pl-PL"/>
        </w:rPr>
        <w:t xml:space="preserve">. Takiego kina to już bardzo dawno nie notowano w powiecie radomszczańskim. Zbliża się więc niebawem czas, że do Radomska będą zjeżdżały pielgrzymki panów z całej Polski, a może i Unii Europejskiej, by skosztować przepiórczych jajek, a po </w:t>
      </w:r>
      <w:r w:rsidR="00A960F7">
        <w:rPr>
          <w:lang w:val="pl-PL"/>
        </w:rPr>
        <w:t>skonsumowaniu</w:t>
      </w:r>
      <w:r>
        <w:rPr>
          <w:lang w:val="pl-PL"/>
        </w:rPr>
        <w:t xml:space="preserve"> rozpocząć prokreację.</w:t>
      </w:r>
      <w:r>
        <w:rPr>
          <w:lang w:val="pl-PL"/>
        </w:rPr>
        <w:br/>
      </w:r>
      <w:r>
        <w:rPr>
          <w:lang w:val="pl-PL"/>
        </w:rPr>
        <w:br/>
      </w:r>
      <w:r>
        <w:rPr>
          <w:rFonts w:eastAsia="Times New Roman"/>
          <w:lang w:val="pl-PL" w:eastAsia="fr-FR"/>
        </w:rPr>
        <w:t xml:space="preserve">Tak się zastanawiam, kto tu w tym powiecie zwariował i dlaczego wariackie pomysły, poparte jeszcze bardziej wariackimi argumentami, mogą być w urzędniczym życiu akceptowane. Ale cóż. Każdego nierozgarniętego szefa można przekonać do każdej głupoty. Jeszcze więc raz pragnę autorytatywnie i odpowiedzialnie oświadczyć, że ani przepiórki, ani pieczarkarnie, ani eternity, o których zrobiło się raptem cicho, nie rozwiążą problemu bezrobocia – głównie na wsiach naszego regionu. Każde działanie zaś </w:t>
      </w:r>
      <w:proofErr w:type="spellStart"/>
      <w:r>
        <w:rPr>
          <w:rFonts w:eastAsia="Times New Roman"/>
          <w:lang w:val="pl-PL" w:eastAsia="fr-FR"/>
        </w:rPr>
        <w:t>przygłupawych</w:t>
      </w:r>
      <w:proofErr w:type="spellEnd"/>
      <w:r>
        <w:rPr>
          <w:rFonts w:eastAsia="Times New Roman"/>
          <w:lang w:val="pl-PL" w:eastAsia="fr-FR"/>
        </w:rPr>
        <w:t xml:space="preserve"> urzędników i ich nierozgarniętych szefów będę nadal nazywał pozoranctwem, populizmem i żaden palant nie przekona mnie, że nie mam racji.” </w:t>
      </w:r>
    </w:p>
    <w:p w:rsidR="00890DC7" w:rsidRPr="007A5972" w:rsidRDefault="00890DC7" w:rsidP="00890DC7">
      <w:pPr>
        <w:pStyle w:val="ECHRParaQuote"/>
        <w:ind w:firstLine="0"/>
        <w:rPr>
          <w:rFonts w:eastAsia="Times New Roman"/>
          <w:lang w:val="pl-PL" w:eastAsia="fr-FR"/>
        </w:rPr>
      </w:pP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8</w:t>
      </w:r>
      <w:r w:rsidRPr="007A5972">
        <w:rPr>
          <w:rFonts w:eastAsia="Times New Roman"/>
          <w:lang w:val="pl-PL" w:eastAsia="fr-FR"/>
        </w:rPr>
        <w:fldChar w:fldCharType="end"/>
      </w:r>
      <w:r w:rsidRPr="007A5972">
        <w:rPr>
          <w:rFonts w:eastAsia="Times New Roman"/>
          <w:lang w:val="pl-PL" w:eastAsia="fr-FR"/>
        </w:rPr>
        <w:t>.  </w:t>
      </w:r>
      <w:r w:rsidR="002F1255" w:rsidRPr="007A5972">
        <w:rPr>
          <w:lang w:val="pl-PL"/>
        </w:rPr>
        <w:t xml:space="preserve">Skarżący </w:t>
      </w:r>
      <w:r w:rsidR="00B804A2" w:rsidRPr="007A5972">
        <w:rPr>
          <w:lang w:val="pl-PL"/>
        </w:rPr>
        <w:t>przeszedł</w:t>
      </w:r>
      <w:r w:rsidR="00890DC7">
        <w:rPr>
          <w:lang w:val="pl-PL"/>
        </w:rPr>
        <w:t xml:space="preserve"> następnie</w:t>
      </w:r>
      <w:r w:rsidR="00B804A2" w:rsidRPr="007A5972">
        <w:rPr>
          <w:lang w:val="pl-PL"/>
        </w:rPr>
        <w:t xml:space="preserve"> do </w:t>
      </w:r>
      <w:r w:rsidR="002F1255" w:rsidRPr="007A5972">
        <w:rPr>
          <w:lang w:val="pl-PL"/>
        </w:rPr>
        <w:t>opis</w:t>
      </w:r>
      <w:r w:rsidR="00F808F0">
        <w:rPr>
          <w:lang w:val="pl-PL"/>
        </w:rPr>
        <w:t>ania w ogólny sposób</w:t>
      </w:r>
      <w:r w:rsidR="002F1255" w:rsidRPr="007A5972">
        <w:rPr>
          <w:lang w:val="pl-PL"/>
        </w:rPr>
        <w:t xml:space="preserve"> warunk</w:t>
      </w:r>
      <w:r w:rsidR="00A67D47" w:rsidRPr="007A5972">
        <w:rPr>
          <w:lang w:val="pl-PL"/>
        </w:rPr>
        <w:t>ów</w:t>
      </w:r>
      <w:r w:rsidR="002F1255" w:rsidRPr="007A5972">
        <w:rPr>
          <w:lang w:val="pl-PL"/>
        </w:rPr>
        <w:t xml:space="preserve"> lokaln</w:t>
      </w:r>
      <w:r w:rsidR="00B804A2" w:rsidRPr="007A5972">
        <w:rPr>
          <w:lang w:val="pl-PL"/>
        </w:rPr>
        <w:t>ego</w:t>
      </w:r>
      <w:r w:rsidR="002F1255" w:rsidRPr="007A5972">
        <w:rPr>
          <w:lang w:val="pl-PL"/>
        </w:rPr>
        <w:t xml:space="preserve"> program</w:t>
      </w:r>
      <w:r w:rsidR="00B804A2" w:rsidRPr="007A5972">
        <w:rPr>
          <w:lang w:val="pl-PL"/>
        </w:rPr>
        <w:t>u</w:t>
      </w:r>
      <w:r w:rsidR="002F1255" w:rsidRPr="007A5972">
        <w:rPr>
          <w:lang w:val="pl-PL"/>
        </w:rPr>
        <w:t xml:space="preserve"> rozwoju gospodarczego, który został mu przedstawiony przez biznesmena. Skończył artykuł z następującym akapitem</w:t>
      </w:r>
    </w:p>
    <w:p w:rsidR="00890DC7" w:rsidRDefault="00890DC7" w:rsidP="008533F0">
      <w:pPr>
        <w:pStyle w:val="ECHRParaQuote"/>
        <w:rPr>
          <w:rFonts w:eastAsia="Times New Roman"/>
          <w:lang w:val="pl-PL" w:eastAsia="fr-FR"/>
        </w:rPr>
      </w:pPr>
      <w:r>
        <w:rPr>
          <w:rFonts w:eastAsia="Times New Roman"/>
          <w:lang w:val="pl-PL" w:eastAsia="fr-FR"/>
        </w:rPr>
        <w:t>„Nie będzie to przedsięwzięcie z cyklu przepiórki jakiegoś tam sprytnego pozera, który nierozgarniętym szefom jest w stanie sprzedać w ładne słówka opakowane łajno. I sprzedaje – z efektem.”</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9</w:t>
      </w:r>
      <w:r w:rsidRPr="007A5972">
        <w:rPr>
          <w:rFonts w:eastAsia="Times New Roman"/>
          <w:lang w:val="pl-PL" w:eastAsia="fr-FR"/>
        </w:rPr>
        <w:fldChar w:fldCharType="end"/>
      </w:r>
      <w:r w:rsidRPr="007A5972">
        <w:rPr>
          <w:rFonts w:eastAsia="Times New Roman"/>
          <w:lang w:val="pl-PL" w:eastAsia="fr-FR"/>
        </w:rPr>
        <w:t>.  </w:t>
      </w:r>
      <w:r w:rsidR="00B804A2" w:rsidRPr="007A5972">
        <w:rPr>
          <w:lang w:val="pl-PL"/>
        </w:rPr>
        <w:t>W dniu 8 marca 2005</w:t>
      </w:r>
      <w:r w:rsidR="00CF5273">
        <w:rPr>
          <w:lang w:val="pl-PL"/>
        </w:rPr>
        <w:t xml:space="preserve"> roku</w:t>
      </w:r>
      <w:r w:rsidR="00B804A2" w:rsidRPr="007A5972">
        <w:rPr>
          <w:lang w:val="pl-PL"/>
        </w:rPr>
        <w:t xml:space="preserve"> M</w:t>
      </w:r>
      <w:r w:rsidR="00A96650">
        <w:rPr>
          <w:lang w:val="pl-PL"/>
        </w:rPr>
        <w:t>.</w:t>
      </w:r>
      <w:r w:rsidR="00B804A2" w:rsidRPr="007A5972">
        <w:rPr>
          <w:lang w:val="pl-PL"/>
        </w:rPr>
        <w:t>D</w:t>
      </w:r>
      <w:r w:rsidR="00A96650">
        <w:rPr>
          <w:lang w:val="pl-PL"/>
        </w:rPr>
        <w:t>.</w:t>
      </w:r>
      <w:r w:rsidR="00B804A2" w:rsidRPr="007A5972">
        <w:rPr>
          <w:lang w:val="pl-PL"/>
        </w:rPr>
        <w:t xml:space="preserve">, </w:t>
      </w:r>
      <w:r w:rsidR="004700B5">
        <w:rPr>
          <w:lang w:val="pl-PL"/>
        </w:rPr>
        <w:t>Starosta P</w:t>
      </w:r>
      <w:r w:rsidR="00A96650">
        <w:rPr>
          <w:lang w:val="pl-PL"/>
        </w:rPr>
        <w:t>owiatu</w:t>
      </w:r>
      <w:r w:rsidR="00B804A2" w:rsidRPr="007A5972">
        <w:rPr>
          <w:lang w:val="pl-PL"/>
        </w:rPr>
        <w:t xml:space="preserve"> Radomsko, G</w:t>
      </w:r>
      <w:r w:rsidR="00A96650">
        <w:rPr>
          <w:lang w:val="pl-PL"/>
        </w:rPr>
        <w:t>.</w:t>
      </w:r>
      <w:r w:rsidR="00B804A2" w:rsidRPr="007A5972">
        <w:rPr>
          <w:lang w:val="pl-PL"/>
        </w:rPr>
        <w:t>D</w:t>
      </w:r>
      <w:r w:rsidR="00A96650">
        <w:rPr>
          <w:lang w:val="pl-PL"/>
        </w:rPr>
        <w:t>.</w:t>
      </w:r>
      <w:r w:rsidR="00B804A2" w:rsidRPr="007A5972">
        <w:rPr>
          <w:lang w:val="pl-PL"/>
        </w:rPr>
        <w:t xml:space="preserve">, naczelnik i rzecznik powiatowego </w:t>
      </w:r>
      <w:r w:rsidR="00A96650">
        <w:rPr>
          <w:lang w:val="pl-PL"/>
        </w:rPr>
        <w:t>wy</w:t>
      </w:r>
      <w:r w:rsidR="00B804A2" w:rsidRPr="007A5972">
        <w:rPr>
          <w:lang w:val="pl-PL"/>
        </w:rPr>
        <w:t xml:space="preserve">działu </w:t>
      </w:r>
      <w:r w:rsidR="00A96650">
        <w:rPr>
          <w:lang w:val="pl-PL"/>
        </w:rPr>
        <w:t>marketingu oraz K.H., pracownik</w:t>
      </w:r>
      <w:r w:rsidR="00B804A2" w:rsidRPr="007A5972">
        <w:rPr>
          <w:lang w:val="pl-PL"/>
        </w:rPr>
        <w:t xml:space="preserve"> tego wydziału, wnieśli prywatny akt oskarżenia przeciwko skarżącemu do Sądu Rejonowego w Radomsku. W odniesieniu do spornego artykułu, oskarżyli go o zniesławienie popełnione za pośrednictwem środków masowego przekazu na podstawie art 212 § 2 Kodeksu karnego. W szczególności twierdzili oni, że </w:t>
      </w:r>
      <w:r w:rsidR="003F000D">
        <w:rPr>
          <w:lang w:val="pl-PL"/>
        </w:rPr>
        <w:t>nadmierne</w:t>
      </w:r>
      <w:r w:rsidR="00B804A2" w:rsidRPr="007A5972">
        <w:rPr>
          <w:lang w:val="pl-PL"/>
        </w:rPr>
        <w:t xml:space="preserve"> używanie słów takich jak</w:t>
      </w:r>
      <w:r w:rsidR="00B804A2" w:rsidRPr="007A5972">
        <w:rPr>
          <w:rFonts w:eastAsia="Times New Roman"/>
          <w:lang w:val="pl-PL" w:eastAsia="fr-FR"/>
        </w:rPr>
        <w:t xml:space="preserve"> </w:t>
      </w:r>
      <w:r w:rsidR="00890DC7">
        <w:rPr>
          <w:rFonts w:eastAsia="Times New Roman"/>
          <w:lang w:val="pl-PL" w:eastAsia="fr-FR"/>
        </w:rPr>
        <w:t>„</w:t>
      </w:r>
      <w:r w:rsidRPr="00890DC7">
        <w:rPr>
          <w:rFonts w:eastAsia="Times New Roman"/>
          <w:lang w:val="pl-PL" w:eastAsia="fr-FR"/>
        </w:rPr>
        <w:t>palant”</w:t>
      </w:r>
      <w:r w:rsidRPr="007A5972">
        <w:rPr>
          <w:rFonts w:eastAsia="Times New Roman"/>
          <w:lang w:val="pl-PL" w:eastAsia="fr-FR"/>
        </w:rPr>
        <w:t>,</w:t>
      </w:r>
      <w:r w:rsidRPr="007A5972">
        <w:rPr>
          <w:rFonts w:eastAsia="Times New Roman"/>
          <w:i/>
          <w:lang w:val="pl-PL" w:eastAsia="fr-FR"/>
        </w:rPr>
        <w:t xml:space="preserve"> </w:t>
      </w:r>
      <w:r w:rsidR="00890DC7" w:rsidRPr="00890DC7">
        <w:rPr>
          <w:rFonts w:eastAsia="Times New Roman"/>
          <w:lang w:val="pl-PL" w:eastAsia="fr-FR"/>
        </w:rPr>
        <w:t>„</w:t>
      </w:r>
      <w:r w:rsidRPr="00890DC7">
        <w:rPr>
          <w:rFonts w:eastAsia="Times New Roman"/>
          <w:lang w:val="pl-PL" w:eastAsia="fr-FR"/>
        </w:rPr>
        <w:t>nierozgarnięty</w:t>
      </w:r>
      <w:r w:rsidRPr="007A5972">
        <w:rPr>
          <w:rFonts w:eastAsia="Times New Roman"/>
          <w:i/>
          <w:lang w:val="pl-PL" w:eastAsia="fr-FR"/>
        </w:rPr>
        <w:t xml:space="preserve"> </w:t>
      </w:r>
      <w:r w:rsidRPr="00890DC7">
        <w:rPr>
          <w:rFonts w:eastAsia="Times New Roman"/>
          <w:lang w:val="pl-PL" w:eastAsia="fr-FR"/>
        </w:rPr>
        <w:t>szef”,</w:t>
      </w:r>
      <w:r w:rsidR="00890DC7">
        <w:rPr>
          <w:rFonts w:eastAsia="Times New Roman"/>
          <w:i/>
          <w:lang w:val="pl-PL" w:eastAsia="fr-FR"/>
        </w:rPr>
        <w:t xml:space="preserve"> </w:t>
      </w:r>
      <w:r w:rsidR="00890DC7" w:rsidRPr="00890DC7">
        <w:rPr>
          <w:rFonts w:eastAsia="Times New Roman"/>
          <w:lang w:val="pl-PL" w:eastAsia="fr-FR"/>
        </w:rPr>
        <w:t>„</w:t>
      </w:r>
      <w:proofErr w:type="spellStart"/>
      <w:r w:rsidRPr="00890DC7">
        <w:rPr>
          <w:rFonts w:eastAsia="Times New Roman"/>
          <w:lang w:val="pl-PL" w:eastAsia="fr-FR"/>
        </w:rPr>
        <w:t>przygłupawy</w:t>
      </w:r>
      <w:proofErr w:type="spellEnd"/>
      <w:r w:rsidRPr="007A5972">
        <w:rPr>
          <w:rFonts w:eastAsia="Times New Roman"/>
          <w:i/>
          <w:lang w:val="pl-PL" w:eastAsia="fr-FR"/>
        </w:rPr>
        <w:t xml:space="preserve"> </w:t>
      </w:r>
      <w:r w:rsidRPr="00890DC7">
        <w:rPr>
          <w:rFonts w:eastAsia="Times New Roman"/>
          <w:lang w:val="pl-PL" w:eastAsia="fr-FR"/>
        </w:rPr>
        <w:t>urzędnik”</w:t>
      </w:r>
      <w:r w:rsidRPr="007A5972">
        <w:rPr>
          <w:rFonts w:eastAsia="Times New Roman"/>
          <w:lang w:val="pl-PL" w:eastAsia="fr-FR"/>
        </w:rPr>
        <w:t>,</w:t>
      </w:r>
      <w:r w:rsidRPr="007A5972">
        <w:rPr>
          <w:rFonts w:eastAsia="Times New Roman"/>
          <w:i/>
          <w:lang w:val="pl-PL" w:eastAsia="fr-FR"/>
        </w:rPr>
        <w:t xml:space="preserve"> </w:t>
      </w:r>
      <w:r w:rsidR="00890DC7">
        <w:rPr>
          <w:rFonts w:eastAsia="Times New Roman"/>
          <w:i/>
          <w:lang w:val="pl-PL" w:eastAsia="fr-FR"/>
        </w:rPr>
        <w:t>„</w:t>
      </w:r>
      <w:r w:rsidRPr="00890DC7">
        <w:rPr>
          <w:rFonts w:eastAsia="Times New Roman"/>
          <w:lang w:val="pl-PL" w:eastAsia="fr-FR"/>
        </w:rPr>
        <w:t>pozer”</w:t>
      </w:r>
      <w:r w:rsidRPr="007A5972">
        <w:rPr>
          <w:rFonts w:eastAsia="Times New Roman"/>
          <w:lang w:val="pl-PL" w:eastAsia="fr-FR"/>
        </w:rPr>
        <w:t>,</w:t>
      </w:r>
      <w:r w:rsidRPr="007A5972">
        <w:rPr>
          <w:rFonts w:eastAsia="Times New Roman"/>
          <w:i/>
          <w:lang w:val="pl-PL" w:eastAsia="fr-FR"/>
        </w:rPr>
        <w:t xml:space="preserve"> “</w:t>
      </w:r>
      <w:r w:rsidRPr="00CF5273">
        <w:rPr>
          <w:rFonts w:eastAsia="Times New Roman"/>
          <w:lang w:val="pl-PL" w:eastAsia="fr-FR"/>
        </w:rPr>
        <w:t>populista</w:t>
      </w:r>
      <w:r w:rsidRPr="007A5972">
        <w:rPr>
          <w:rFonts w:eastAsia="Times New Roman"/>
          <w:i/>
          <w:lang w:val="pl-PL" w:eastAsia="fr-FR"/>
        </w:rPr>
        <w:t>”</w:t>
      </w:r>
      <w:r w:rsidRPr="007A5972">
        <w:rPr>
          <w:rFonts w:eastAsia="Times New Roman"/>
          <w:lang w:val="pl-PL" w:eastAsia="fr-FR"/>
        </w:rPr>
        <w:t xml:space="preserve"> </w:t>
      </w:r>
      <w:r w:rsidR="00B804A2" w:rsidRPr="007A5972">
        <w:rPr>
          <w:lang w:val="pl-PL"/>
        </w:rPr>
        <w:t>zniesławiło ich jako samorządowców</w:t>
      </w:r>
      <w:r w:rsidRPr="007A5972">
        <w:rPr>
          <w:rFonts w:eastAsia="Times New Roman"/>
          <w:lang w:val="pl-PL" w:eastAsia="fr-FR"/>
        </w:rPr>
        <w:t xml:space="preserve">. </w:t>
      </w:r>
      <w:r w:rsidR="00A67D47" w:rsidRPr="007A5972">
        <w:rPr>
          <w:lang w:val="pl-PL"/>
        </w:rPr>
        <w:t>Określenia te znieważają ich w opinii publicznej i podważają zaufanie publiczne niezbędne do wykonywania swoich obowiązków</w:t>
      </w:r>
      <w:r w:rsidRPr="007A5972">
        <w:rPr>
          <w:rFonts w:eastAsia="Times New Roman"/>
          <w:lang w:val="pl-PL" w:eastAsia="fr-FR"/>
        </w:rPr>
        <w:t>.</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10</w:t>
      </w:r>
      <w:r w:rsidRPr="007A5972">
        <w:rPr>
          <w:rFonts w:eastAsia="Times New Roman"/>
          <w:lang w:val="pl-PL" w:eastAsia="fr-FR"/>
        </w:rPr>
        <w:fldChar w:fldCharType="end"/>
      </w:r>
      <w:r w:rsidRPr="007A5972">
        <w:rPr>
          <w:rFonts w:eastAsia="Times New Roman"/>
          <w:lang w:val="pl-PL" w:eastAsia="fr-FR"/>
        </w:rPr>
        <w:t>.  </w:t>
      </w:r>
      <w:r w:rsidR="008E4CA4" w:rsidRPr="007A5972">
        <w:rPr>
          <w:lang w:val="pl-PL"/>
        </w:rPr>
        <w:t xml:space="preserve">Oskarżyciele prywatni domagali się nakazania skarżącemu opublikowania przeprosin w tygodniku. </w:t>
      </w:r>
      <w:r w:rsidR="00CB68E5">
        <w:rPr>
          <w:lang w:val="pl-PL"/>
        </w:rPr>
        <w:t>P</w:t>
      </w:r>
      <w:r w:rsidR="008E4CA4" w:rsidRPr="007A5972">
        <w:rPr>
          <w:lang w:val="pl-PL"/>
        </w:rPr>
        <w:t xml:space="preserve">onadto domagali się zwrotu </w:t>
      </w:r>
      <w:r w:rsidR="00CF5273">
        <w:rPr>
          <w:lang w:val="pl-PL"/>
        </w:rPr>
        <w:lastRenderedPageBreak/>
        <w:t>poniesionych</w:t>
      </w:r>
      <w:r w:rsidR="008E4CA4" w:rsidRPr="007A5972">
        <w:rPr>
          <w:lang w:val="pl-PL"/>
        </w:rPr>
        <w:t xml:space="preserve"> kosztów prawnych i zapłacenia przez skarżącego 5.000 złotych polskich (PLN) na cele charytatywne</w:t>
      </w:r>
      <w:r w:rsidRPr="007A5972">
        <w:rPr>
          <w:rFonts w:eastAsia="Times New Roman"/>
          <w:lang w:val="pl-PL" w:eastAsia="fr-FR"/>
        </w:rPr>
        <w:t>.</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11</w:t>
      </w:r>
      <w:r w:rsidRPr="007A5972">
        <w:rPr>
          <w:rFonts w:eastAsia="Times New Roman"/>
          <w:lang w:val="pl-PL" w:eastAsia="fr-FR"/>
        </w:rPr>
        <w:fldChar w:fldCharType="end"/>
      </w:r>
      <w:r w:rsidRPr="007A5972">
        <w:rPr>
          <w:rFonts w:eastAsia="Times New Roman"/>
          <w:lang w:val="pl-PL" w:eastAsia="fr-FR"/>
        </w:rPr>
        <w:t>.  </w:t>
      </w:r>
      <w:r w:rsidR="008E4CA4" w:rsidRPr="007A5972">
        <w:rPr>
          <w:lang w:val="pl-PL"/>
        </w:rPr>
        <w:t xml:space="preserve">Sąd Rejonowy w Radomsku uznał, że nie jest właściwy w tej sprawie i przekazał prywatny akt oskarżenia do Sądu Rejonowego w Piotrkowie Trybunalskim. Sąd </w:t>
      </w:r>
      <w:r w:rsidR="002100C3">
        <w:rPr>
          <w:lang w:val="pl-PL"/>
        </w:rPr>
        <w:t>przeprowadził dwa terminy</w:t>
      </w:r>
      <w:r w:rsidR="008E4CA4" w:rsidRPr="007A5972">
        <w:rPr>
          <w:lang w:val="pl-PL"/>
        </w:rPr>
        <w:t xml:space="preserve"> rozprawy</w:t>
      </w:r>
      <w:r w:rsidRPr="007A5972">
        <w:rPr>
          <w:rFonts w:eastAsia="Times New Roman"/>
          <w:lang w:val="pl-PL" w:eastAsia="fr-FR"/>
        </w:rPr>
        <w:t>.</w:t>
      </w:r>
    </w:p>
    <w:p w:rsidR="008E4CA4" w:rsidRPr="007A5972" w:rsidRDefault="004476D1" w:rsidP="008533F0">
      <w:pPr>
        <w:pStyle w:val="ECHRPara"/>
        <w:rPr>
          <w:lang w:val="pl-PL"/>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12</w:t>
      </w:r>
      <w:r w:rsidRPr="007A5972">
        <w:rPr>
          <w:rFonts w:eastAsia="Times New Roman"/>
          <w:lang w:val="pl-PL" w:eastAsia="fr-FR"/>
        </w:rPr>
        <w:fldChar w:fldCharType="end"/>
      </w:r>
      <w:r w:rsidR="008E4CA4" w:rsidRPr="007A5972">
        <w:rPr>
          <w:lang w:val="pl-PL"/>
        </w:rPr>
        <w:t xml:space="preserve"> W dniu 8 lutego 2006 roku Sąd Rejonowy w Piotrkowie Tryb</w:t>
      </w:r>
      <w:r w:rsidR="00674330">
        <w:rPr>
          <w:lang w:val="pl-PL"/>
        </w:rPr>
        <w:t>unalskim wydał wyrok</w:t>
      </w:r>
      <w:r w:rsidR="008E4CA4" w:rsidRPr="007A5972">
        <w:rPr>
          <w:lang w:val="pl-PL"/>
        </w:rPr>
        <w:t>,</w:t>
      </w:r>
      <w:r w:rsidR="00674330">
        <w:rPr>
          <w:lang w:val="pl-PL"/>
        </w:rPr>
        <w:t xml:space="preserve"> w którym stwierdzono,</w:t>
      </w:r>
      <w:r w:rsidR="008E4CA4" w:rsidRPr="007A5972">
        <w:rPr>
          <w:lang w:val="pl-PL"/>
        </w:rPr>
        <w:t xml:space="preserve"> że użycie </w:t>
      </w:r>
      <w:r w:rsidR="00674330">
        <w:rPr>
          <w:lang w:val="pl-PL"/>
        </w:rPr>
        <w:t>słów:</w:t>
      </w:r>
      <w:r w:rsidR="008E4CA4" w:rsidRPr="007A5972">
        <w:rPr>
          <w:lang w:val="pl-PL"/>
        </w:rPr>
        <w:t xml:space="preserve"> "palant", "pozer" i "</w:t>
      </w:r>
      <w:proofErr w:type="spellStart"/>
      <w:r w:rsidR="008E4CA4" w:rsidRPr="007A5972">
        <w:rPr>
          <w:lang w:val="pl-PL"/>
        </w:rPr>
        <w:t>przygłupawy</w:t>
      </w:r>
      <w:proofErr w:type="spellEnd"/>
      <w:r w:rsidR="008E4CA4" w:rsidRPr="007A5972">
        <w:rPr>
          <w:lang w:val="pl-PL"/>
        </w:rPr>
        <w:t xml:space="preserve"> urzędnik" w odniesieniu do K.H. i użycie słów</w:t>
      </w:r>
      <w:r w:rsidR="00674330">
        <w:rPr>
          <w:lang w:val="pl-PL"/>
        </w:rPr>
        <w:t>:</w:t>
      </w:r>
      <w:r w:rsidR="008E4CA4" w:rsidRPr="007A5972">
        <w:rPr>
          <w:lang w:val="pl-PL"/>
        </w:rPr>
        <w:t xml:space="preserve"> "nierozgarnięci szefowie" w odniesieniu do M.D. i G.D., wyczerpywały znamiona zniewagi popełnionej za mocą środków masowego przekazu, w rozumieniu artykułu 216 § 2 Kodeksu karnego. Sąd skazał skarżącego na podstawie tego przepisu i nakazał mu zapłacić grzywnę w wysokości 10.000 złotych (około 2630 euro (EUR)). Nakazał mu również zwrot kosztów </w:t>
      </w:r>
      <w:r w:rsidR="00524CCE">
        <w:rPr>
          <w:lang w:val="pl-PL"/>
        </w:rPr>
        <w:t xml:space="preserve">poniesionych przez </w:t>
      </w:r>
      <w:r w:rsidR="008E4CA4" w:rsidRPr="007A5972">
        <w:rPr>
          <w:lang w:val="pl-PL"/>
        </w:rPr>
        <w:t>oskarżycieli prywatnych (900 zł, ok</w:t>
      </w:r>
      <w:r w:rsidR="00524CCE">
        <w:rPr>
          <w:lang w:val="pl-PL"/>
        </w:rPr>
        <w:t>oło 236 EUR) oraz kosztów</w:t>
      </w:r>
      <w:r w:rsidR="008E4CA4" w:rsidRPr="007A5972">
        <w:rPr>
          <w:lang w:val="pl-PL"/>
        </w:rPr>
        <w:t xml:space="preserve"> Skarbu Państwa (1000 zł, około 263 euro)</w:t>
      </w:r>
      <w:r w:rsidR="00524CCE">
        <w:rPr>
          <w:lang w:val="pl-PL"/>
        </w:rPr>
        <w:t>.</w:t>
      </w:r>
    </w:p>
    <w:p w:rsidR="001A3D3E"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13</w:t>
      </w:r>
      <w:r w:rsidRPr="007A5972">
        <w:rPr>
          <w:rFonts w:eastAsia="Times New Roman"/>
          <w:lang w:val="pl-PL" w:eastAsia="fr-FR"/>
        </w:rPr>
        <w:fldChar w:fldCharType="end"/>
      </w:r>
      <w:r w:rsidRPr="007A5972">
        <w:rPr>
          <w:rFonts w:eastAsia="Times New Roman"/>
          <w:lang w:val="pl-PL" w:eastAsia="fr-FR"/>
        </w:rPr>
        <w:t>.  </w:t>
      </w:r>
      <w:r w:rsidR="008466B3" w:rsidRPr="007A5972">
        <w:rPr>
          <w:lang w:val="pl-PL"/>
        </w:rPr>
        <w:t>W odniesieniu do faktów, sąd zauważył, że od marca 2004 r</w:t>
      </w:r>
      <w:r w:rsidR="00EB78EE">
        <w:rPr>
          <w:lang w:val="pl-PL"/>
        </w:rPr>
        <w:t>oku, gazeta skarżącego publikowała</w:t>
      </w:r>
      <w:r w:rsidR="008466B3" w:rsidRPr="007A5972">
        <w:rPr>
          <w:lang w:val="pl-PL"/>
        </w:rPr>
        <w:t xml:space="preserve"> artykuły, które były krytycznie wobec M. D., </w:t>
      </w:r>
      <w:r w:rsidR="00EB78EE">
        <w:rPr>
          <w:lang w:val="pl-PL"/>
        </w:rPr>
        <w:t>S</w:t>
      </w:r>
      <w:r w:rsidR="008466B3" w:rsidRPr="007A5972">
        <w:rPr>
          <w:lang w:val="pl-PL"/>
        </w:rPr>
        <w:t xml:space="preserve">tarosty </w:t>
      </w:r>
      <w:r w:rsidR="00EB78EE">
        <w:rPr>
          <w:lang w:val="pl-PL"/>
        </w:rPr>
        <w:t>P</w:t>
      </w:r>
      <w:r w:rsidR="008466B3" w:rsidRPr="007A5972">
        <w:rPr>
          <w:lang w:val="pl-PL"/>
        </w:rPr>
        <w:t xml:space="preserve">owiatu Radomsko i jego urzędników. Gazeta była szczególnie krytyczna wobec </w:t>
      </w:r>
      <w:r w:rsidR="00EB78EE">
        <w:rPr>
          <w:lang w:val="pl-PL"/>
        </w:rPr>
        <w:t>pomysłu</w:t>
      </w:r>
      <w:r w:rsidR="008466B3" w:rsidRPr="007A5972">
        <w:rPr>
          <w:lang w:val="pl-PL"/>
        </w:rPr>
        <w:t xml:space="preserve"> K.H. </w:t>
      </w:r>
      <w:r w:rsidR="00EB78EE">
        <w:rPr>
          <w:lang w:val="pl-PL"/>
        </w:rPr>
        <w:t xml:space="preserve">dotyczącego </w:t>
      </w:r>
      <w:r w:rsidR="008466B3" w:rsidRPr="007A5972">
        <w:rPr>
          <w:lang w:val="pl-PL"/>
        </w:rPr>
        <w:t>rozwoju hodowli przepiórek w celu rozwiązania problemu ubożenia ludności miejscowej. K.H. był urzędnikiem w powiatowym dziale marketingu. G.D., naczelnik działu marketingu, był również zaangażowany w realizację tego projektu. W kwietniu 2004 roku skarżący opublikował artykuł, w którym uczynił ironiczne uwagi na temat inicjatywy K.H.. W czerwcu 2004 roku dziennikarz w tej samej gazecie opublikował szczegółowy artykuł na ten sam temat. Konflikt między skarżącym i prywatnymi oskarżycielami nasilał się z każdym kolejno opublikowanym artykułem</w:t>
      </w:r>
      <w:r w:rsidR="008F091B" w:rsidRPr="007A5972">
        <w:rPr>
          <w:rFonts w:eastAsia="Times New Roman"/>
          <w:lang w:val="pl-PL" w:eastAsia="fr-FR"/>
        </w:rPr>
        <w:t>.</w:t>
      </w:r>
    </w:p>
    <w:p w:rsidR="001A3D3E" w:rsidRPr="007A5972" w:rsidRDefault="00737B9D"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14</w:t>
      </w:r>
      <w:r w:rsidRPr="007A5972">
        <w:rPr>
          <w:rFonts w:eastAsia="Times New Roman"/>
          <w:lang w:val="pl-PL" w:eastAsia="fr-FR"/>
        </w:rPr>
        <w:fldChar w:fldCharType="end"/>
      </w:r>
      <w:r w:rsidRPr="007A5972">
        <w:rPr>
          <w:rFonts w:eastAsia="Times New Roman"/>
          <w:lang w:val="pl-PL" w:eastAsia="fr-FR"/>
        </w:rPr>
        <w:t>.  </w:t>
      </w:r>
      <w:r w:rsidR="00E2258C" w:rsidRPr="007A5972">
        <w:rPr>
          <w:lang w:val="pl-PL"/>
        </w:rPr>
        <w:t>Sąd zauważył ponadto, że w swoim artykule zatytułowanym "Łajno - elegancko opakowane", skarżący ponownie napisał o hodowli przepiórek. Zdając sobie sprawę z reklamy, którą otrzymała inicjatywa promowana przez K.H. i GD, skarżący zdecydował się ponownie zadrwić z dwóch urzędników, a także ich przełożonego, M.D.  Nazywał on K.H., autora inicjatywy, mianem "pozera", "palanta" i "</w:t>
      </w:r>
      <w:proofErr w:type="spellStart"/>
      <w:r w:rsidR="00E2258C" w:rsidRPr="007A5972">
        <w:rPr>
          <w:lang w:val="pl-PL"/>
        </w:rPr>
        <w:t>przygłupawego</w:t>
      </w:r>
      <w:proofErr w:type="spellEnd"/>
      <w:r w:rsidR="00E2258C" w:rsidRPr="007A5972">
        <w:rPr>
          <w:lang w:val="pl-PL"/>
        </w:rPr>
        <w:t xml:space="preserve"> urzędnika", natomiast pomysł hodowli przepiórek był określany jako "Łajno –</w:t>
      </w:r>
      <w:r w:rsidR="00D67CFD">
        <w:rPr>
          <w:lang w:val="pl-PL"/>
        </w:rPr>
        <w:t xml:space="preserve"> </w:t>
      </w:r>
      <w:r w:rsidR="00E2258C" w:rsidRPr="007A5972">
        <w:rPr>
          <w:lang w:val="pl-PL"/>
        </w:rPr>
        <w:t>elegancko opakowane". Zdaniem skarżącego</w:t>
      </w:r>
      <w:r w:rsidR="00104634">
        <w:rPr>
          <w:lang w:val="pl-PL"/>
        </w:rPr>
        <w:t>, tego rodzaju "produkt" został</w:t>
      </w:r>
      <w:r w:rsidR="00E2258C" w:rsidRPr="007A5972">
        <w:rPr>
          <w:lang w:val="pl-PL"/>
        </w:rPr>
        <w:t xml:space="preserve"> sprzedany "nierozgarniętym szefom", czyli najpierw G.D. a następnie M.D., staroście powiatu</w:t>
      </w:r>
      <w:r w:rsidRPr="007A5972">
        <w:rPr>
          <w:rFonts w:eastAsia="Times New Roman"/>
          <w:lang w:val="pl-PL" w:eastAsia="fr-FR"/>
        </w:rPr>
        <w:t>.</w:t>
      </w:r>
    </w:p>
    <w:p w:rsidR="001A3D3E"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15</w:t>
      </w:r>
      <w:r w:rsidRPr="007A5972">
        <w:rPr>
          <w:rFonts w:eastAsia="Times New Roman"/>
          <w:lang w:val="pl-PL" w:eastAsia="fr-FR"/>
        </w:rPr>
        <w:fldChar w:fldCharType="end"/>
      </w:r>
      <w:r w:rsidRPr="007A5972">
        <w:rPr>
          <w:rFonts w:eastAsia="Times New Roman"/>
          <w:lang w:val="pl-PL" w:eastAsia="fr-FR"/>
        </w:rPr>
        <w:t>.  </w:t>
      </w:r>
      <w:r w:rsidR="00385569" w:rsidRPr="007A5972">
        <w:rPr>
          <w:lang w:val="pl-PL"/>
        </w:rPr>
        <w:t xml:space="preserve">Sąd pierwszej instancji odrzucił argument skarżącego, że zakwestionowany artykuł był zwykłym cotygodniowym felietonem, w którym jakiekolwiek podobieństwo do rzeczywistych osób było czysto przypadkowe. </w:t>
      </w:r>
      <w:r w:rsidR="00432FE6">
        <w:rPr>
          <w:lang w:val="pl-PL"/>
        </w:rPr>
        <w:t>Ustalono</w:t>
      </w:r>
      <w:r w:rsidR="00385569" w:rsidRPr="007A5972">
        <w:rPr>
          <w:lang w:val="pl-PL"/>
        </w:rPr>
        <w:t xml:space="preserve">, że artykuł w numerze był częścią kampanii przeprowadzonej przez gazetę wobec oskarżycieli prywatnych. Nie zostali oni wymienieni z nazwiska, lecz byli oni łatwo rozpoznawalni ze względu na rozgłos generowany przez projekt hodowli przepiórek i wcześniejsze </w:t>
      </w:r>
      <w:r w:rsidR="00385569" w:rsidRPr="007A5972">
        <w:rPr>
          <w:lang w:val="pl-PL"/>
        </w:rPr>
        <w:lastRenderedPageBreak/>
        <w:t>artykuły opublikowane przez gazetę skarżącego. Sąd ustalił, że nie było żadnych wątpliwości, że słowa "palant", "</w:t>
      </w:r>
      <w:proofErr w:type="spellStart"/>
      <w:r w:rsidR="00385569" w:rsidRPr="007A5972">
        <w:rPr>
          <w:lang w:val="pl-PL"/>
        </w:rPr>
        <w:t>przygłupawy</w:t>
      </w:r>
      <w:proofErr w:type="spellEnd"/>
      <w:r w:rsidR="00385569" w:rsidRPr="007A5972">
        <w:rPr>
          <w:lang w:val="pl-PL"/>
        </w:rPr>
        <w:t xml:space="preserve"> urzędnik" i "pozer" odnosiły się do K.H., a określenie </w:t>
      </w:r>
      <w:r w:rsidR="00104634">
        <w:rPr>
          <w:lang w:val="pl-PL"/>
        </w:rPr>
        <w:t>"nierozgarnięci szefowie</w:t>
      </w:r>
      <w:r w:rsidR="005608A2">
        <w:rPr>
          <w:lang w:val="pl-PL"/>
        </w:rPr>
        <w:t>”</w:t>
      </w:r>
      <w:r w:rsidR="00104634">
        <w:rPr>
          <w:lang w:val="pl-PL"/>
        </w:rPr>
        <w:t xml:space="preserve"> do M.</w:t>
      </w:r>
      <w:r w:rsidR="00385569" w:rsidRPr="007A5972">
        <w:rPr>
          <w:lang w:val="pl-PL"/>
        </w:rPr>
        <w:t>D. i G.D</w:t>
      </w:r>
      <w:r w:rsidRPr="007A5972">
        <w:rPr>
          <w:rFonts w:eastAsia="Times New Roman"/>
          <w:lang w:val="pl-PL" w:eastAsia="fr-FR"/>
        </w:rPr>
        <w:t>.</w:t>
      </w:r>
    </w:p>
    <w:p w:rsidR="004476D1" w:rsidRPr="007A5972" w:rsidRDefault="004476D1" w:rsidP="008533F0">
      <w:pPr>
        <w:pStyle w:val="ECHRPara"/>
        <w:rPr>
          <w:rFonts w:ascii="Times New Roman" w:eastAsia="Times New Roman" w:hAnsi="Times New Roman" w:cs="Times New Roman"/>
          <w:szCs w:val="20"/>
          <w:lang w:val="pl-PL" w:eastAsia="fr-FR"/>
        </w:rPr>
      </w:pPr>
      <w:r w:rsidRPr="007A5972">
        <w:rPr>
          <w:rFonts w:ascii="Times New Roman" w:eastAsia="Times New Roman" w:hAnsi="Times New Roman" w:cs="Times New Roman"/>
          <w:szCs w:val="20"/>
          <w:lang w:val="pl-PL" w:eastAsia="fr-FR"/>
        </w:rPr>
        <w:fldChar w:fldCharType="begin"/>
      </w:r>
      <w:r w:rsidRPr="007A5972">
        <w:rPr>
          <w:rFonts w:ascii="Times New Roman" w:eastAsia="Times New Roman" w:hAnsi="Times New Roman" w:cs="Times New Roman"/>
          <w:szCs w:val="20"/>
          <w:lang w:val="pl-PL" w:eastAsia="fr-FR"/>
        </w:rPr>
        <w:instrText xml:space="preserve"> SEQ level0 \*arabic </w:instrText>
      </w:r>
      <w:r w:rsidRPr="007A5972">
        <w:rPr>
          <w:rFonts w:ascii="Times New Roman" w:eastAsia="Times New Roman" w:hAnsi="Times New Roman" w:cs="Times New Roman"/>
          <w:szCs w:val="20"/>
          <w:lang w:val="pl-PL" w:eastAsia="fr-FR"/>
        </w:rPr>
        <w:fldChar w:fldCharType="separate"/>
      </w:r>
      <w:r w:rsidR="001C3AC1">
        <w:rPr>
          <w:rFonts w:ascii="Times New Roman" w:eastAsia="Times New Roman" w:hAnsi="Times New Roman" w:cs="Times New Roman"/>
          <w:noProof/>
          <w:szCs w:val="20"/>
          <w:lang w:val="pl-PL" w:eastAsia="fr-FR"/>
        </w:rPr>
        <w:t>16</w:t>
      </w:r>
      <w:r w:rsidRPr="007A5972">
        <w:rPr>
          <w:rFonts w:ascii="Times New Roman" w:eastAsia="Times New Roman" w:hAnsi="Times New Roman" w:cs="Times New Roman"/>
          <w:szCs w:val="20"/>
          <w:lang w:val="pl-PL" w:eastAsia="fr-FR"/>
        </w:rPr>
        <w:fldChar w:fldCharType="end"/>
      </w:r>
      <w:r w:rsidRPr="007A5972">
        <w:rPr>
          <w:rFonts w:ascii="Times New Roman" w:eastAsia="Times New Roman" w:hAnsi="Times New Roman" w:cs="Times New Roman"/>
          <w:szCs w:val="20"/>
          <w:lang w:val="pl-PL" w:eastAsia="fr-FR"/>
        </w:rPr>
        <w:t>.  </w:t>
      </w:r>
      <w:r w:rsidR="00385569" w:rsidRPr="007A5972">
        <w:rPr>
          <w:lang w:val="pl-PL"/>
        </w:rPr>
        <w:t>W odniesieniu do odpowiedzialności karnej skarżącego, sąd zauważył, że dziennikarz ma prawo do krytykowania działań funkcjonariuszy publicznych, ale nie jest upr</w:t>
      </w:r>
      <w:r w:rsidR="005608A2">
        <w:rPr>
          <w:lang w:val="pl-PL"/>
        </w:rPr>
        <w:t xml:space="preserve">awniony do korzystania z mediów, by poprzez manipulacje prowadzić </w:t>
      </w:r>
      <w:r w:rsidR="00385569" w:rsidRPr="007A5972">
        <w:rPr>
          <w:lang w:val="pl-PL"/>
        </w:rPr>
        <w:t>prywatn</w:t>
      </w:r>
      <w:r w:rsidR="005608A2">
        <w:rPr>
          <w:lang w:val="pl-PL"/>
        </w:rPr>
        <w:t>e</w:t>
      </w:r>
      <w:r w:rsidR="00385569" w:rsidRPr="007A5972">
        <w:rPr>
          <w:lang w:val="pl-PL"/>
        </w:rPr>
        <w:t xml:space="preserve"> wojn</w:t>
      </w:r>
      <w:r w:rsidR="005608A2">
        <w:rPr>
          <w:lang w:val="pl-PL"/>
        </w:rPr>
        <w:t>y</w:t>
      </w:r>
      <w:r w:rsidR="00385569" w:rsidRPr="007A5972">
        <w:rPr>
          <w:lang w:val="pl-PL"/>
        </w:rPr>
        <w:t>. To ostatnie zachowanie było nie tylko nieetyczne i nieprofesjonalne, ale także niezgodne z rolą mediów, które mają służyć państwu i społeczeństwu. Sąd orzekł ponadto</w:t>
      </w:r>
      <w:r w:rsidRPr="007A5972">
        <w:rPr>
          <w:rFonts w:ascii="Times New Roman" w:eastAsia="Times New Roman" w:hAnsi="Times New Roman" w:cs="Times New Roman"/>
          <w:szCs w:val="20"/>
          <w:lang w:val="pl-PL" w:eastAsia="fr-FR"/>
        </w:rPr>
        <w:t>:</w:t>
      </w:r>
    </w:p>
    <w:p w:rsidR="004476D1" w:rsidRPr="007A5972" w:rsidRDefault="004476D1" w:rsidP="008533F0">
      <w:pPr>
        <w:pStyle w:val="ECHRParaQuote"/>
        <w:rPr>
          <w:rFonts w:eastAsia="Times New Roman"/>
          <w:lang w:val="pl-PL" w:eastAsia="fr-FR"/>
        </w:rPr>
      </w:pPr>
      <w:r w:rsidRPr="007A5972">
        <w:rPr>
          <w:rFonts w:eastAsia="Times New Roman"/>
          <w:lang w:val="pl-PL" w:eastAsia="fr-FR"/>
        </w:rPr>
        <w:t>“</w:t>
      </w:r>
      <w:r w:rsidR="00890DC7">
        <w:rPr>
          <w:rFonts w:eastAsia="Times New Roman"/>
          <w:lang w:val="pl-PL" w:eastAsia="fr-FR"/>
        </w:rPr>
        <w:t>Pożądana w dziennikarstwie rzeczowa krytyka i pozbawiony osobistych emocji, obiektywny przekaz, ustąpiły miejsca prywatnemu interesowi oskarżonego, realizowanemu w dodatku poprzez wyrażenia, które w powszechnym odczuciu pozostają obraźliwe i uwłaczające. Trudno nie zgodzić się ze stanowiskiem, iż określenie „palant”, jakkolwiek mające swój desygnat pojęciowy prawnie irrelewantny, w analizowanym tu kontekście nosi wszelkie cechy zniewagi, o której mowa w art. 216 k.k. Równie obelżywy charakter mają słowa „pozer”, „</w:t>
      </w:r>
      <w:proofErr w:type="spellStart"/>
      <w:r w:rsidR="00890DC7">
        <w:rPr>
          <w:rFonts w:eastAsia="Times New Roman"/>
          <w:lang w:val="pl-PL" w:eastAsia="fr-FR"/>
        </w:rPr>
        <w:t>przygłupawy</w:t>
      </w:r>
      <w:proofErr w:type="spellEnd"/>
      <w:r w:rsidR="00890DC7">
        <w:rPr>
          <w:rFonts w:eastAsia="Times New Roman"/>
          <w:lang w:val="pl-PL" w:eastAsia="fr-FR"/>
        </w:rPr>
        <w:t xml:space="preserve"> urzędnik” i „nierozgarnięty szef”. Próżno by szukać osoby, która nie poczułaby się dotknięta podobnymi epitetami formułowanymi w dodatku na łamach prasy.</w:t>
      </w:r>
      <w:r w:rsidR="00890DC7">
        <w:rPr>
          <w:rFonts w:eastAsia="Times New Roman"/>
          <w:lang w:val="pl-PL" w:eastAsia="fr-FR"/>
        </w:rPr>
        <w:br/>
      </w:r>
      <w:r w:rsidR="00890DC7">
        <w:rPr>
          <w:rFonts w:eastAsia="Times New Roman"/>
          <w:lang w:val="pl-PL" w:eastAsia="fr-FR"/>
        </w:rPr>
        <w:br/>
        <w:t xml:space="preserve">Na marginesie wypada zauważyć, że także użyte w tytule artykułu słowo „łajno” ma swój dosadniejszy odpowiednik i bez wątpienia – tenże odpowiednik miał skwitować wkład Krzysztofa </w:t>
      </w:r>
      <w:proofErr w:type="spellStart"/>
      <w:r w:rsidR="00890DC7">
        <w:rPr>
          <w:rFonts w:eastAsia="Times New Roman"/>
          <w:lang w:val="pl-PL" w:eastAsia="fr-FR"/>
        </w:rPr>
        <w:t>Hochmana</w:t>
      </w:r>
      <w:proofErr w:type="spellEnd"/>
      <w:r w:rsidR="00890DC7">
        <w:rPr>
          <w:rFonts w:eastAsia="Times New Roman"/>
          <w:lang w:val="pl-PL" w:eastAsia="fr-FR"/>
        </w:rPr>
        <w:t xml:space="preserve"> w rozwój rodzimej przedsiębiorczości, bez zastrzeżeń przyjęty przez jego „nierozgarniętych szefów”. „Nierozgarniętych”, a zatem pozbawionych bystrości umysłu, nieinteligentnych, dotkniętych niedorozwojem intelektualnym.</w:t>
      </w:r>
      <w:r w:rsidR="00890DC7">
        <w:rPr>
          <w:rFonts w:eastAsia="Times New Roman"/>
          <w:lang w:val="pl-PL" w:eastAsia="fr-FR"/>
        </w:rPr>
        <w:br/>
      </w:r>
      <w:r w:rsidR="00890DC7">
        <w:rPr>
          <w:rFonts w:eastAsia="Times New Roman"/>
          <w:lang w:val="pl-PL" w:eastAsia="fr-FR"/>
        </w:rPr>
        <w:br/>
        <w:t xml:space="preserve">Jednakże sąd nie znalazł podstaw do przyjęcia, że przytoczone wyżej zwroty prowadzą do poniżenia oskarżycieli w opinii publicznej lub narażają na utratę zaufania potrzebnego do piastowanych przez nich stanowisk urzędników samorządowych. Tym samym nieuprawniona byłaby kwalifikacja prawna zachowania oskarżonego z art. 212 </w:t>
      </w:r>
      <w:r w:rsidR="00890DC7" w:rsidRPr="00890DC7">
        <w:rPr>
          <w:rFonts w:ascii="Times New Roman" w:hAnsi="Times New Roman" w:cs="Times New Roman"/>
          <w:szCs w:val="24"/>
          <w:lang w:val="pl-PL"/>
        </w:rPr>
        <w:t>§</w:t>
      </w:r>
      <w:r w:rsidR="00890DC7">
        <w:rPr>
          <w:rFonts w:ascii="Times New Roman" w:hAnsi="Times New Roman" w:cs="Times New Roman"/>
          <w:szCs w:val="24"/>
          <w:lang w:val="pl-PL"/>
        </w:rPr>
        <w:t xml:space="preserve"> 2 k.k. Cytowane określenia godziły raczej w wyobrażenie oskarżycieli prywatnych o własnej godności i taka też była zdaniem sądu intencja oskarżonego. Wypowiadając obraźliwe słowa pod adresem urzędników Starostwa Maciej Ziembiński zmierzał do osiągnięcia osobistej satysfakcji z wyrządzonej im krzywdy moralnej. Czyniąc to za pomocą środka masowego komunikowania wyczerpał więc dyspozycję art. 216 </w:t>
      </w:r>
      <w:r w:rsidR="00890DC7" w:rsidRPr="00890DC7">
        <w:rPr>
          <w:rFonts w:ascii="Times New Roman" w:hAnsi="Times New Roman" w:cs="Times New Roman"/>
          <w:szCs w:val="24"/>
          <w:lang w:val="pl-PL"/>
        </w:rPr>
        <w:t>§</w:t>
      </w:r>
      <w:r w:rsidR="00890DC7">
        <w:rPr>
          <w:rFonts w:ascii="Times New Roman" w:hAnsi="Times New Roman" w:cs="Times New Roman"/>
          <w:szCs w:val="24"/>
          <w:lang w:val="pl-PL"/>
        </w:rPr>
        <w:t xml:space="preserve"> 2 k.k., postępując w sposób bezprawny, karygodny, a w braku okoliczności zdolnych wyłączyć lub ograniczyć winę – także zawiniony”.</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17</w:t>
      </w:r>
      <w:r w:rsidRPr="007A5972">
        <w:rPr>
          <w:rFonts w:eastAsia="Times New Roman"/>
          <w:lang w:val="pl-PL" w:eastAsia="fr-FR"/>
        </w:rPr>
        <w:fldChar w:fldCharType="end"/>
      </w:r>
      <w:r w:rsidRPr="007A5972">
        <w:rPr>
          <w:rFonts w:eastAsia="Times New Roman"/>
          <w:lang w:val="pl-PL" w:eastAsia="fr-FR"/>
        </w:rPr>
        <w:t>.  </w:t>
      </w:r>
      <w:r w:rsidR="00B30239" w:rsidRPr="007A5972">
        <w:rPr>
          <w:lang w:val="pl-PL"/>
        </w:rPr>
        <w:t xml:space="preserve">Sąd pierwszej instancji zauważył, że niniejsza sprawa dotyczyła konfliktu między konstytucyjnie zagwarantowaną wolnością słowa i prawem każdego obywatela do ochrony reputacji. Jednak stwierdził, że czyny skarżącego stanowiły rażące nadużycie wolności słowa i etyki zawodowej. Sąd zauważył, że czyny i motywacje </w:t>
      </w:r>
      <w:r w:rsidR="00B81013">
        <w:rPr>
          <w:lang w:val="pl-PL"/>
        </w:rPr>
        <w:t xml:space="preserve">skarżącego </w:t>
      </w:r>
      <w:r w:rsidR="00B30239" w:rsidRPr="007A5972">
        <w:rPr>
          <w:lang w:val="pl-PL"/>
        </w:rPr>
        <w:t xml:space="preserve">były naganne, gdyż </w:t>
      </w:r>
      <w:r w:rsidR="00957F7D">
        <w:rPr>
          <w:lang w:val="pl-PL"/>
        </w:rPr>
        <w:t>załatwiał</w:t>
      </w:r>
      <w:r w:rsidR="00B30239" w:rsidRPr="007A5972">
        <w:rPr>
          <w:lang w:val="pl-PL"/>
        </w:rPr>
        <w:t xml:space="preserve"> on prywatny konflikt z urzędnikami i przekroczył podstawowe standardy zawodowe</w:t>
      </w:r>
      <w:r w:rsidRPr="007A5972">
        <w:rPr>
          <w:rFonts w:eastAsia="Times New Roman"/>
          <w:lang w:val="pl-PL" w:eastAsia="fr-FR"/>
        </w:rPr>
        <w:t>.</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18</w:t>
      </w:r>
      <w:r w:rsidRPr="007A5972">
        <w:rPr>
          <w:rFonts w:eastAsia="Times New Roman"/>
          <w:lang w:val="pl-PL" w:eastAsia="fr-FR"/>
        </w:rPr>
        <w:fldChar w:fldCharType="end"/>
      </w:r>
      <w:r w:rsidRPr="007A5972">
        <w:rPr>
          <w:rFonts w:eastAsia="Times New Roman"/>
          <w:lang w:val="pl-PL" w:eastAsia="fr-FR"/>
        </w:rPr>
        <w:t>.  </w:t>
      </w:r>
      <w:r w:rsidR="00B30239" w:rsidRPr="007A5972">
        <w:rPr>
          <w:lang w:val="pl-PL"/>
        </w:rPr>
        <w:t xml:space="preserve">Jeśli chodzi o kary, sąd uznał, że biorąc pod uwagę okoliczności sprawy, </w:t>
      </w:r>
      <w:r w:rsidR="00BD2BF1" w:rsidRPr="007A5972">
        <w:rPr>
          <w:lang w:val="pl-PL"/>
        </w:rPr>
        <w:t xml:space="preserve">nieproporcjonalne </w:t>
      </w:r>
      <w:r w:rsidR="00B30239" w:rsidRPr="007A5972">
        <w:rPr>
          <w:lang w:val="pl-PL"/>
        </w:rPr>
        <w:t xml:space="preserve">byłoby nałożenie kary pozbawienia wolności </w:t>
      </w:r>
      <w:r w:rsidR="00B30239" w:rsidRPr="007A5972">
        <w:rPr>
          <w:lang w:val="pl-PL"/>
        </w:rPr>
        <w:lastRenderedPageBreak/>
        <w:t>oraz że grzywna byłaby najbardziej odpowiednią karą. Nałożył zatem grzywnę w wysokości 10.000 zł, którą uznał, za proporcjonalną do powagi przestępstwa oraz stopnia winy skarżącego</w:t>
      </w:r>
      <w:r w:rsidRPr="007A5972">
        <w:rPr>
          <w:rFonts w:eastAsia="Times New Roman"/>
          <w:lang w:val="pl-PL" w:eastAsia="fr-FR"/>
        </w:rPr>
        <w:t>.</w:t>
      </w:r>
    </w:p>
    <w:p w:rsidR="004476D1" w:rsidRPr="007A5972" w:rsidRDefault="00DC0556" w:rsidP="008533F0">
      <w:pPr>
        <w:pStyle w:val="ECHRPara"/>
        <w:rPr>
          <w:rFonts w:ascii="Times New Roman" w:eastAsia="Times New Roman" w:hAnsi="Times New Roman" w:cs="Times New Roman"/>
          <w:szCs w:val="20"/>
          <w:lang w:val="pl-PL" w:eastAsia="fr-FR"/>
        </w:rPr>
      </w:pPr>
      <w:r w:rsidRPr="007A5972">
        <w:rPr>
          <w:rFonts w:ascii="Times New Roman" w:eastAsia="Times New Roman" w:hAnsi="Times New Roman" w:cs="Times New Roman"/>
          <w:szCs w:val="20"/>
          <w:lang w:val="pl-PL" w:eastAsia="fr-FR"/>
        </w:rPr>
        <w:fldChar w:fldCharType="begin"/>
      </w:r>
      <w:r w:rsidRPr="007A5972">
        <w:rPr>
          <w:rFonts w:ascii="Times New Roman" w:eastAsia="Times New Roman" w:hAnsi="Times New Roman" w:cs="Times New Roman"/>
          <w:szCs w:val="20"/>
          <w:lang w:val="pl-PL" w:eastAsia="fr-FR"/>
        </w:rPr>
        <w:instrText xml:space="preserve"> SEQ level0 \*arabic </w:instrText>
      </w:r>
      <w:r w:rsidRPr="007A5972">
        <w:rPr>
          <w:rFonts w:ascii="Times New Roman" w:eastAsia="Times New Roman" w:hAnsi="Times New Roman" w:cs="Times New Roman"/>
          <w:szCs w:val="20"/>
          <w:lang w:val="pl-PL" w:eastAsia="fr-FR"/>
        </w:rPr>
        <w:fldChar w:fldCharType="separate"/>
      </w:r>
      <w:r w:rsidR="001C3AC1">
        <w:rPr>
          <w:rFonts w:ascii="Times New Roman" w:eastAsia="Times New Roman" w:hAnsi="Times New Roman" w:cs="Times New Roman"/>
          <w:noProof/>
          <w:szCs w:val="20"/>
          <w:lang w:val="pl-PL" w:eastAsia="fr-FR"/>
        </w:rPr>
        <w:t>19</w:t>
      </w:r>
      <w:r w:rsidRPr="007A5972">
        <w:rPr>
          <w:rFonts w:ascii="Times New Roman" w:eastAsia="Times New Roman" w:hAnsi="Times New Roman" w:cs="Times New Roman"/>
          <w:szCs w:val="20"/>
          <w:lang w:val="pl-PL" w:eastAsia="fr-FR"/>
        </w:rPr>
        <w:fldChar w:fldCharType="end"/>
      </w:r>
      <w:r w:rsidRPr="007A5972">
        <w:rPr>
          <w:rFonts w:ascii="Times New Roman" w:eastAsia="Times New Roman" w:hAnsi="Times New Roman" w:cs="Times New Roman"/>
          <w:szCs w:val="20"/>
          <w:lang w:val="pl-PL" w:eastAsia="fr-FR"/>
        </w:rPr>
        <w:t>.  </w:t>
      </w:r>
      <w:r w:rsidR="00B821C5" w:rsidRPr="007A5972">
        <w:rPr>
          <w:lang w:val="pl-PL"/>
        </w:rPr>
        <w:t xml:space="preserve">Skarżący </w:t>
      </w:r>
      <w:r w:rsidR="00F62DC9">
        <w:rPr>
          <w:lang w:val="pl-PL"/>
        </w:rPr>
        <w:t>złożył apelację</w:t>
      </w:r>
      <w:r w:rsidR="00B821C5" w:rsidRPr="007A5972">
        <w:rPr>
          <w:lang w:val="pl-PL"/>
        </w:rPr>
        <w:t xml:space="preserve">. Zakwestionował ustalenia faktyczne sądu pierwszej instancji, w szczególności, że jego artykuł dotyczył prywatnych oskarżycieli osobiście. Twierdził, że zakwestionowany artykuł przedstawił w sarkastycznym świetle ludzi, którzy osiągnęli korzyści osobiste przez udawanie pracy, oraz ich nierozgarniętych szefów, którzy zaakceptowali takie praktyki. Skarżący podkreślił, że </w:t>
      </w:r>
      <w:r w:rsidR="0091414A">
        <w:rPr>
          <w:lang w:val="pl-PL"/>
        </w:rPr>
        <w:t xml:space="preserve">uzasadnione było krytyczne odniesienie się do projektu fermy przepiórczej jako </w:t>
      </w:r>
      <w:r w:rsidR="0039755F">
        <w:rPr>
          <w:lang w:val="pl-PL"/>
        </w:rPr>
        <w:t xml:space="preserve">rzekomego </w:t>
      </w:r>
      <w:r w:rsidR="0091414A">
        <w:rPr>
          <w:lang w:val="pl-PL"/>
        </w:rPr>
        <w:t xml:space="preserve">rozwiązania problemów </w:t>
      </w:r>
      <w:r w:rsidR="0039755F">
        <w:rPr>
          <w:lang w:val="pl-PL"/>
        </w:rPr>
        <w:t>w rolnictwie w regionie</w:t>
      </w:r>
      <w:r w:rsidR="00B821C5" w:rsidRPr="007A5972">
        <w:rPr>
          <w:lang w:val="pl-PL"/>
        </w:rPr>
        <w:t>. Wreszcie, stwierdził</w:t>
      </w:r>
      <w:r w:rsidR="00957F7D">
        <w:rPr>
          <w:lang w:val="pl-PL"/>
        </w:rPr>
        <w:t xml:space="preserve"> on</w:t>
      </w:r>
      <w:r w:rsidR="00B821C5" w:rsidRPr="007A5972">
        <w:rPr>
          <w:lang w:val="pl-PL"/>
        </w:rPr>
        <w:t xml:space="preserve">, że osoby publiczne, takie jak M. D., starosta powiatowy, i inni urzędnicy </w:t>
      </w:r>
      <w:r w:rsidR="00957F7D">
        <w:rPr>
          <w:lang w:val="pl-PL"/>
        </w:rPr>
        <w:t>muszą</w:t>
      </w:r>
      <w:r w:rsidR="00B821C5" w:rsidRPr="007A5972">
        <w:rPr>
          <w:lang w:val="pl-PL"/>
        </w:rPr>
        <w:t xml:space="preserve"> zaakceptować ostrą krytykę swoich działań</w:t>
      </w:r>
      <w:r w:rsidR="004476D1" w:rsidRPr="007A5972">
        <w:rPr>
          <w:rFonts w:ascii="Times New Roman" w:eastAsia="Times New Roman" w:hAnsi="Times New Roman" w:cs="Times New Roman"/>
          <w:szCs w:val="20"/>
          <w:lang w:val="pl-PL" w:eastAsia="fr-FR"/>
        </w:rPr>
        <w:t>.</w:t>
      </w:r>
    </w:p>
    <w:p w:rsidR="004476D1" w:rsidRPr="007A5972" w:rsidRDefault="004476D1" w:rsidP="008533F0">
      <w:pPr>
        <w:pStyle w:val="ECHRPara"/>
        <w:rPr>
          <w:rFonts w:ascii="Times New Roman" w:eastAsia="Times New Roman" w:hAnsi="Times New Roman" w:cs="Times New Roman"/>
          <w:szCs w:val="20"/>
          <w:lang w:val="pl-PL" w:eastAsia="fr-FR"/>
        </w:rPr>
      </w:pPr>
      <w:r w:rsidRPr="007A5972">
        <w:rPr>
          <w:rFonts w:ascii="Times New Roman" w:eastAsia="Times New Roman" w:hAnsi="Times New Roman" w:cs="Times New Roman"/>
          <w:szCs w:val="20"/>
          <w:lang w:val="pl-PL" w:eastAsia="fr-FR"/>
        </w:rPr>
        <w:fldChar w:fldCharType="begin"/>
      </w:r>
      <w:r w:rsidRPr="007A5972">
        <w:rPr>
          <w:rFonts w:ascii="Times New Roman" w:eastAsia="Times New Roman" w:hAnsi="Times New Roman" w:cs="Times New Roman"/>
          <w:szCs w:val="20"/>
          <w:lang w:val="pl-PL" w:eastAsia="fr-FR"/>
        </w:rPr>
        <w:instrText xml:space="preserve"> SEQ level0 \*arabic </w:instrText>
      </w:r>
      <w:r w:rsidRPr="007A5972">
        <w:rPr>
          <w:rFonts w:ascii="Times New Roman" w:eastAsia="Times New Roman" w:hAnsi="Times New Roman" w:cs="Times New Roman"/>
          <w:szCs w:val="20"/>
          <w:lang w:val="pl-PL" w:eastAsia="fr-FR"/>
        </w:rPr>
        <w:fldChar w:fldCharType="separate"/>
      </w:r>
      <w:r w:rsidR="001C3AC1">
        <w:rPr>
          <w:rFonts w:ascii="Times New Roman" w:eastAsia="Times New Roman" w:hAnsi="Times New Roman" w:cs="Times New Roman"/>
          <w:noProof/>
          <w:szCs w:val="20"/>
          <w:lang w:val="pl-PL" w:eastAsia="fr-FR"/>
        </w:rPr>
        <w:t>20</w:t>
      </w:r>
      <w:r w:rsidRPr="007A5972">
        <w:rPr>
          <w:rFonts w:ascii="Times New Roman" w:eastAsia="Times New Roman" w:hAnsi="Times New Roman" w:cs="Times New Roman"/>
          <w:szCs w:val="20"/>
          <w:lang w:val="pl-PL" w:eastAsia="fr-FR"/>
        </w:rPr>
        <w:fldChar w:fldCharType="end"/>
      </w:r>
      <w:r w:rsidRPr="007A5972">
        <w:rPr>
          <w:rFonts w:ascii="Times New Roman" w:eastAsia="Times New Roman" w:hAnsi="Times New Roman" w:cs="Times New Roman"/>
          <w:szCs w:val="20"/>
          <w:lang w:val="pl-PL" w:eastAsia="fr-FR"/>
        </w:rPr>
        <w:t>.  </w:t>
      </w:r>
      <w:r w:rsidR="00B821C5" w:rsidRPr="007A5972">
        <w:rPr>
          <w:lang w:val="pl-PL"/>
        </w:rPr>
        <w:t xml:space="preserve">W dniu 18 kwietnia 2006 roku Sąd </w:t>
      </w:r>
      <w:r w:rsidR="00093BF4">
        <w:rPr>
          <w:lang w:val="pl-PL"/>
        </w:rPr>
        <w:t>Okręgowy</w:t>
      </w:r>
      <w:r w:rsidR="00B821C5" w:rsidRPr="007A5972">
        <w:rPr>
          <w:lang w:val="pl-PL"/>
        </w:rPr>
        <w:t xml:space="preserve"> w Piotrkowie Trybunalskim utrzymał w mocy wyrok sądu pierwszej instancji. Nakazał skarżącemu zapłacić 1000 zł (ok. 256 EUR) z tytułu kosztów postępowania odwoławczego</w:t>
      </w:r>
      <w:r w:rsidRPr="007A5972">
        <w:rPr>
          <w:rFonts w:ascii="Times New Roman" w:eastAsia="Times New Roman" w:hAnsi="Times New Roman" w:cs="Times New Roman"/>
          <w:szCs w:val="20"/>
          <w:lang w:val="pl-PL" w:eastAsia="fr-FR"/>
        </w:rPr>
        <w:t>.</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21</w:t>
      </w:r>
      <w:r w:rsidRPr="007A5972">
        <w:rPr>
          <w:rFonts w:eastAsia="Times New Roman"/>
          <w:lang w:val="pl-PL" w:eastAsia="fr-FR"/>
        </w:rPr>
        <w:fldChar w:fldCharType="end"/>
      </w:r>
      <w:r w:rsidRPr="007A5972">
        <w:rPr>
          <w:rFonts w:eastAsia="Times New Roman"/>
          <w:lang w:val="pl-PL" w:eastAsia="fr-FR"/>
        </w:rPr>
        <w:t>.  </w:t>
      </w:r>
      <w:r w:rsidR="00B821C5" w:rsidRPr="007A5972">
        <w:rPr>
          <w:lang w:val="pl-PL"/>
        </w:rPr>
        <w:t xml:space="preserve">Sąd </w:t>
      </w:r>
      <w:r w:rsidR="00F47505">
        <w:rPr>
          <w:lang w:val="pl-PL"/>
        </w:rPr>
        <w:t>Okręgowy</w:t>
      </w:r>
      <w:r w:rsidR="00B821C5" w:rsidRPr="007A5972">
        <w:rPr>
          <w:lang w:val="pl-PL"/>
        </w:rPr>
        <w:t xml:space="preserve"> uznał, że sąd niższej instancji prawidłowo ustalił stan faktyczny sprawy. </w:t>
      </w:r>
      <w:r w:rsidR="009B0AE1">
        <w:rPr>
          <w:lang w:val="pl-PL"/>
        </w:rPr>
        <w:t>Potwierdził</w:t>
      </w:r>
      <w:r w:rsidR="00B821C5" w:rsidRPr="007A5972">
        <w:rPr>
          <w:lang w:val="pl-PL"/>
        </w:rPr>
        <w:t xml:space="preserve"> </w:t>
      </w:r>
      <w:r w:rsidR="00135CB5">
        <w:rPr>
          <w:lang w:val="pl-PL"/>
        </w:rPr>
        <w:t>ustalenia</w:t>
      </w:r>
      <w:r w:rsidR="00B821C5" w:rsidRPr="007A5972">
        <w:rPr>
          <w:lang w:val="pl-PL"/>
        </w:rPr>
        <w:t xml:space="preserve"> sądu </w:t>
      </w:r>
      <w:r w:rsidR="00135CB5">
        <w:rPr>
          <w:lang w:val="pl-PL"/>
        </w:rPr>
        <w:t>I instancji</w:t>
      </w:r>
      <w:r w:rsidR="00B821C5" w:rsidRPr="007A5972">
        <w:rPr>
          <w:lang w:val="pl-PL"/>
        </w:rPr>
        <w:t xml:space="preserve">, że słowa użyte w artykule były obraźliwe i </w:t>
      </w:r>
      <w:r w:rsidR="00135CB5">
        <w:rPr>
          <w:lang w:val="pl-PL"/>
        </w:rPr>
        <w:t>naruszające</w:t>
      </w:r>
      <w:r w:rsidR="00B821C5" w:rsidRPr="007A5972">
        <w:rPr>
          <w:lang w:val="pl-PL"/>
        </w:rPr>
        <w:t xml:space="preserve"> godnoś</w:t>
      </w:r>
      <w:r w:rsidR="00135CB5">
        <w:rPr>
          <w:lang w:val="pl-PL"/>
        </w:rPr>
        <w:t>ć</w:t>
      </w:r>
      <w:r w:rsidR="00B821C5" w:rsidRPr="007A5972">
        <w:rPr>
          <w:lang w:val="pl-PL"/>
        </w:rPr>
        <w:t xml:space="preserve"> prywatnych oskarżycieli. </w:t>
      </w:r>
      <w:r w:rsidR="008270B3">
        <w:rPr>
          <w:lang w:val="pl-PL"/>
        </w:rPr>
        <w:t>W wyroku nadto stwierdzono</w:t>
      </w:r>
      <w:r w:rsidR="00B821C5" w:rsidRPr="007A5972">
        <w:rPr>
          <w:lang w:val="pl-PL"/>
        </w:rPr>
        <w:t xml:space="preserve">, że o ile uzasadniona krytyka władz publicznych i urzędników była pożądana społecznie i </w:t>
      </w:r>
      <w:r w:rsidR="00135CB5">
        <w:rPr>
          <w:lang w:val="pl-PL"/>
        </w:rPr>
        <w:t>zgodna z prawem</w:t>
      </w:r>
      <w:r w:rsidR="00B821C5" w:rsidRPr="007A5972">
        <w:rPr>
          <w:lang w:val="pl-PL"/>
        </w:rPr>
        <w:t>,</w:t>
      </w:r>
      <w:r w:rsidR="00135CB5">
        <w:rPr>
          <w:lang w:val="pl-PL"/>
        </w:rPr>
        <w:t xml:space="preserve"> o tyle</w:t>
      </w:r>
      <w:r w:rsidR="00B821C5" w:rsidRPr="007A5972">
        <w:rPr>
          <w:lang w:val="pl-PL"/>
        </w:rPr>
        <w:t xml:space="preserve"> ochrona przyznana przez prawo nie rozciąga się do stosowania obraźliwych słów, które </w:t>
      </w:r>
      <w:r w:rsidR="00D323A2">
        <w:rPr>
          <w:lang w:val="pl-PL"/>
        </w:rPr>
        <w:t>naruszają</w:t>
      </w:r>
      <w:r w:rsidR="00B821C5" w:rsidRPr="007A5972">
        <w:rPr>
          <w:lang w:val="pl-PL"/>
        </w:rPr>
        <w:t xml:space="preserve"> ludzką godność</w:t>
      </w:r>
      <w:r w:rsidRPr="007A5972">
        <w:rPr>
          <w:rFonts w:eastAsia="Times New Roman"/>
          <w:lang w:val="pl-PL" w:eastAsia="fr-FR"/>
        </w:rPr>
        <w:t>.</w:t>
      </w:r>
    </w:p>
    <w:p w:rsidR="004476D1" w:rsidRPr="007A5972" w:rsidRDefault="004476D1"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22</w:t>
      </w:r>
      <w:r w:rsidRPr="007A5972">
        <w:rPr>
          <w:rFonts w:eastAsia="Times New Roman"/>
          <w:lang w:val="pl-PL" w:eastAsia="fr-FR"/>
        </w:rPr>
        <w:fldChar w:fldCharType="end"/>
      </w:r>
      <w:r w:rsidRPr="007A5972">
        <w:rPr>
          <w:rFonts w:eastAsia="Times New Roman"/>
          <w:lang w:val="pl-PL" w:eastAsia="fr-FR"/>
        </w:rPr>
        <w:t>.  </w:t>
      </w:r>
      <w:r w:rsidR="00F56AE0" w:rsidRPr="007A5972">
        <w:rPr>
          <w:lang w:val="pl-PL"/>
        </w:rPr>
        <w:t>Wyrok został doręczony skarżącemu w dniu 29 maja 2006 r</w:t>
      </w:r>
      <w:r w:rsidRPr="007A5972">
        <w:rPr>
          <w:rFonts w:eastAsia="Times New Roman"/>
          <w:lang w:val="pl-PL" w:eastAsia="fr-FR"/>
        </w:rPr>
        <w:t>.</w:t>
      </w:r>
    </w:p>
    <w:p w:rsidR="00014566" w:rsidRPr="007A5972" w:rsidRDefault="00014566" w:rsidP="008533F0">
      <w:pPr>
        <w:pStyle w:val="ECHRHeading1"/>
        <w:rPr>
          <w:lang w:val="pl-PL"/>
        </w:rPr>
      </w:pPr>
      <w:r w:rsidRPr="007A5972">
        <w:rPr>
          <w:lang w:val="pl-PL"/>
        </w:rPr>
        <w:t>II.  </w:t>
      </w:r>
      <w:r w:rsidR="00F56AE0" w:rsidRPr="007A5972">
        <w:rPr>
          <w:lang w:val="pl-PL"/>
        </w:rPr>
        <w:t>WŁAŚCIWE PRAWO KRAJOWE I PRAKTYKA</w:t>
      </w:r>
    </w:p>
    <w:p w:rsidR="006739FE" w:rsidRPr="007A5972" w:rsidRDefault="006739FE" w:rsidP="008533F0">
      <w:pPr>
        <w:pStyle w:val="ECHRHeading2"/>
        <w:rPr>
          <w:lang w:val="pl-PL"/>
        </w:rPr>
      </w:pPr>
      <w:r w:rsidRPr="007A5972">
        <w:rPr>
          <w:lang w:val="pl-PL"/>
        </w:rPr>
        <w:t>A.  </w:t>
      </w:r>
      <w:r w:rsidR="00F56AE0" w:rsidRPr="007A5972">
        <w:rPr>
          <w:lang w:val="pl-PL"/>
        </w:rPr>
        <w:t>Przepisy konstytucyjne</w:t>
      </w:r>
    </w:p>
    <w:p w:rsidR="006739FE" w:rsidRPr="007A5972" w:rsidRDefault="006739FE" w:rsidP="008533F0">
      <w:pPr>
        <w:pStyle w:val="ECHRPara"/>
        <w:widowControl w:val="0"/>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23</w:t>
      </w:r>
      <w:r w:rsidRPr="007A5972">
        <w:rPr>
          <w:noProof/>
          <w:lang w:val="pl-PL"/>
        </w:rPr>
        <w:fldChar w:fldCharType="end"/>
      </w:r>
      <w:r w:rsidRPr="007A5972">
        <w:rPr>
          <w:lang w:val="pl-PL"/>
        </w:rPr>
        <w:t>.  </w:t>
      </w:r>
      <w:r w:rsidR="00F56AE0" w:rsidRPr="007A5972">
        <w:rPr>
          <w:lang w:val="pl-PL"/>
        </w:rPr>
        <w:t>Artykuł 14 stanowi, że</w:t>
      </w:r>
      <w:r w:rsidRPr="007A5972">
        <w:rPr>
          <w:lang w:val="pl-PL"/>
        </w:rPr>
        <w:t>:</w:t>
      </w:r>
    </w:p>
    <w:p w:rsidR="006739FE" w:rsidRPr="007A5972" w:rsidRDefault="00D96BAB" w:rsidP="00D96BAB">
      <w:pPr>
        <w:pStyle w:val="ECHRParaQuote"/>
        <w:widowControl w:val="0"/>
        <w:ind w:firstLine="0"/>
        <w:rPr>
          <w:lang w:val="pl-PL"/>
        </w:rPr>
      </w:pPr>
      <w:r>
        <w:rPr>
          <w:lang w:val="pl-PL"/>
        </w:rPr>
        <w:t>„</w:t>
      </w:r>
      <w:r w:rsidR="00F56AE0" w:rsidRPr="007A5972">
        <w:rPr>
          <w:lang w:val="pl-PL"/>
        </w:rPr>
        <w:t>Rzeczpospolita Polska zapewnia wolność prasy i innych środków społecznego przekazu</w:t>
      </w:r>
      <w:r w:rsidR="006739FE" w:rsidRPr="007A5972">
        <w:rPr>
          <w:lang w:val="pl-PL"/>
        </w:rPr>
        <w:t>.”</w:t>
      </w:r>
    </w:p>
    <w:p w:rsidR="006739FE" w:rsidRPr="007A5972" w:rsidRDefault="00F56AE0" w:rsidP="008533F0">
      <w:pPr>
        <w:pStyle w:val="ECHRPara"/>
        <w:widowControl w:val="0"/>
        <w:rPr>
          <w:lang w:val="pl-PL"/>
        </w:rPr>
      </w:pPr>
      <w:r w:rsidRPr="007A5972">
        <w:rPr>
          <w:lang w:val="pl-PL"/>
        </w:rPr>
        <w:t>Artykuł 31 § 3 Konstytucji, który ustanawia ogólny zakaz nadmiernego ograniczania konstytucyjnych praw i wolności (zasada proporcjonalności) stanowi</w:t>
      </w:r>
      <w:r w:rsidR="006739FE" w:rsidRPr="007A5972">
        <w:rPr>
          <w:lang w:val="pl-PL"/>
        </w:rPr>
        <w:t>:</w:t>
      </w:r>
    </w:p>
    <w:p w:rsidR="006739FE" w:rsidRPr="007A5972" w:rsidRDefault="00D96BAB" w:rsidP="00D96BAB">
      <w:pPr>
        <w:pStyle w:val="ECHRParaQuote"/>
        <w:widowControl w:val="0"/>
        <w:ind w:firstLine="0"/>
        <w:rPr>
          <w:lang w:val="pl-PL"/>
        </w:rPr>
      </w:pPr>
      <w:r>
        <w:rPr>
          <w:lang w:val="pl-PL"/>
        </w:rPr>
        <w:t>„</w:t>
      </w:r>
      <w:r w:rsidR="00E84612">
        <w:rPr>
          <w:lang w:val="pl-PL"/>
        </w:rPr>
        <w:t>O</w:t>
      </w:r>
      <w:r w:rsidR="00F56AE0" w:rsidRPr="007A5972">
        <w:rPr>
          <w:lang w:val="pl-PL"/>
        </w:rPr>
        <w:t xml:space="preserve">graniczenia w </w:t>
      </w:r>
      <w:r w:rsidR="00640B80">
        <w:rPr>
          <w:lang w:val="pl-PL"/>
        </w:rPr>
        <w:t xml:space="preserve">zakresie </w:t>
      </w:r>
      <w:r>
        <w:rPr>
          <w:lang w:val="pl-PL"/>
        </w:rPr>
        <w:t>korzystania</w:t>
      </w:r>
      <w:r w:rsidR="00F56AE0" w:rsidRPr="007A5972">
        <w:rPr>
          <w:lang w:val="pl-PL"/>
        </w:rPr>
        <w:t xml:space="preserve">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w:t>
      </w:r>
      <w:r w:rsidR="006739FE" w:rsidRPr="007A5972">
        <w:rPr>
          <w:lang w:val="pl-PL"/>
        </w:rPr>
        <w:t>.”</w:t>
      </w:r>
    </w:p>
    <w:p w:rsidR="006739FE" w:rsidRPr="007A5972" w:rsidRDefault="00F56AE0" w:rsidP="008533F0">
      <w:pPr>
        <w:pStyle w:val="ECHRPara"/>
        <w:widowControl w:val="0"/>
        <w:rPr>
          <w:lang w:val="pl-PL"/>
        </w:rPr>
      </w:pPr>
      <w:r w:rsidRPr="007A5972">
        <w:rPr>
          <w:lang w:val="pl-PL"/>
        </w:rPr>
        <w:t>Artykuł 54 § 1 Konstytucji gwarantuje w</w:t>
      </w:r>
      <w:r w:rsidR="00EC2B8F">
        <w:rPr>
          <w:lang w:val="pl-PL"/>
        </w:rPr>
        <w:t>olność wypowiedzi. Stwierdza on</w:t>
      </w:r>
      <w:r w:rsidRPr="007A5972">
        <w:rPr>
          <w:lang w:val="pl-PL"/>
        </w:rPr>
        <w:t>, w</w:t>
      </w:r>
      <w:r w:rsidR="00EC2B8F">
        <w:rPr>
          <w:lang w:val="pl-PL"/>
        </w:rPr>
        <w:t>e</w:t>
      </w:r>
      <w:r w:rsidRPr="007A5972">
        <w:rPr>
          <w:lang w:val="pl-PL"/>
        </w:rPr>
        <w:t xml:space="preserve"> </w:t>
      </w:r>
      <w:r w:rsidR="00EC2B8F">
        <w:rPr>
          <w:lang w:val="pl-PL"/>
        </w:rPr>
        <w:t>właściwym</w:t>
      </w:r>
      <w:r w:rsidR="00115584">
        <w:rPr>
          <w:lang w:val="pl-PL"/>
        </w:rPr>
        <w:t xml:space="preserve"> </w:t>
      </w:r>
      <w:r w:rsidRPr="007A5972">
        <w:rPr>
          <w:lang w:val="pl-PL"/>
        </w:rPr>
        <w:t>zakresie</w:t>
      </w:r>
      <w:r w:rsidR="00115584">
        <w:rPr>
          <w:lang w:val="pl-PL"/>
        </w:rPr>
        <w:t>, że</w:t>
      </w:r>
      <w:r w:rsidR="006739FE" w:rsidRPr="007A5972">
        <w:rPr>
          <w:lang w:val="pl-PL"/>
        </w:rPr>
        <w:t>:</w:t>
      </w:r>
    </w:p>
    <w:p w:rsidR="006739FE" w:rsidRPr="007A5972" w:rsidRDefault="00D96BAB" w:rsidP="00D96BAB">
      <w:pPr>
        <w:pStyle w:val="ECHRParaQuote"/>
        <w:widowControl w:val="0"/>
        <w:ind w:firstLine="0"/>
        <w:rPr>
          <w:lang w:val="pl-PL"/>
        </w:rPr>
      </w:pPr>
      <w:r>
        <w:rPr>
          <w:lang w:val="pl-PL"/>
        </w:rPr>
        <w:lastRenderedPageBreak/>
        <w:t>„</w:t>
      </w:r>
      <w:r w:rsidR="00491CEF">
        <w:rPr>
          <w:lang w:val="pl-PL"/>
        </w:rPr>
        <w:t xml:space="preserve">Każdemu zapewnia się </w:t>
      </w:r>
      <w:r w:rsidR="00CA0C9D" w:rsidRPr="007A5972">
        <w:rPr>
          <w:lang w:val="pl-PL"/>
        </w:rPr>
        <w:t>wolność wyrażania swoich poglądów oraz pozyskiwania i rozpowszechniania informacji</w:t>
      </w:r>
      <w:r w:rsidR="006739FE" w:rsidRPr="007A5972">
        <w:rPr>
          <w:lang w:val="pl-PL"/>
        </w:rPr>
        <w:t>.”</w:t>
      </w:r>
    </w:p>
    <w:p w:rsidR="006739FE" w:rsidRPr="007A5972" w:rsidRDefault="006739FE" w:rsidP="008533F0">
      <w:pPr>
        <w:pStyle w:val="ECHRHeading2"/>
        <w:rPr>
          <w:lang w:val="pl-PL"/>
        </w:rPr>
      </w:pPr>
      <w:r w:rsidRPr="007A5972">
        <w:rPr>
          <w:lang w:val="pl-PL"/>
        </w:rPr>
        <w:t>B.  </w:t>
      </w:r>
      <w:r w:rsidR="00CA0C9D" w:rsidRPr="007A5972">
        <w:rPr>
          <w:lang w:val="pl-PL"/>
        </w:rPr>
        <w:t>Właściwe przepisy Kodeksu karnego</w:t>
      </w:r>
    </w:p>
    <w:p w:rsidR="006739FE" w:rsidRPr="007A5972" w:rsidRDefault="006739FE" w:rsidP="008533F0">
      <w:pPr>
        <w:pStyle w:val="ECHRPara"/>
        <w:rPr>
          <w:rFonts w:eastAsia="Times New Roman"/>
          <w:lang w:val="pl-PL" w:eastAsia="fr-FR"/>
        </w:rPr>
      </w:pPr>
      <w:r w:rsidRPr="007A5972">
        <w:rPr>
          <w:rFonts w:eastAsia="Times New Roman"/>
          <w:lang w:val="pl-PL" w:eastAsia="fr-FR"/>
        </w:rPr>
        <w:fldChar w:fldCharType="begin"/>
      </w:r>
      <w:r w:rsidRPr="007A5972">
        <w:rPr>
          <w:rFonts w:eastAsia="Times New Roman"/>
          <w:lang w:val="pl-PL" w:eastAsia="fr-FR"/>
        </w:rPr>
        <w:instrText xml:space="preserve"> SEQ level0 \*arabic </w:instrText>
      </w:r>
      <w:r w:rsidRPr="007A5972">
        <w:rPr>
          <w:rFonts w:eastAsia="Times New Roman"/>
          <w:lang w:val="pl-PL" w:eastAsia="fr-FR"/>
        </w:rPr>
        <w:fldChar w:fldCharType="separate"/>
      </w:r>
      <w:r w:rsidR="001C3AC1">
        <w:rPr>
          <w:rFonts w:eastAsia="Times New Roman"/>
          <w:noProof/>
          <w:lang w:val="pl-PL" w:eastAsia="fr-FR"/>
        </w:rPr>
        <w:t>24</w:t>
      </w:r>
      <w:r w:rsidRPr="007A5972">
        <w:rPr>
          <w:rFonts w:eastAsia="Times New Roman"/>
          <w:lang w:val="pl-PL" w:eastAsia="fr-FR"/>
        </w:rPr>
        <w:fldChar w:fldCharType="end"/>
      </w:r>
      <w:r w:rsidRPr="007A5972">
        <w:rPr>
          <w:rFonts w:eastAsia="Times New Roman"/>
          <w:lang w:val="pl-PL" w:eastAsia="fr-FR"/>
        </w:rPr>
        <w:t>.  </w:t>
      </w:r>
      <w:r w:rsidR="008B2896" w:rsidRPr="007A5972">
        <w:rPr>
          <w:lang w:val="pl-PL"/>
        </w:rPr>
        <w:t xml:space="preserve">Artykuł 216 kodeksu karnego </w:t>
      </w:r>
      <w:r w:rsidR="00EC2B8F">
        <w:rPr>
          <w:lang w:val="pl-PL"/>
        </w:rPr>
        <w:t>przewiduje</w:t>
      </w:r>
      <w:r w:rsidR="008B2896" w:rsidRPr="007A5972">
        <w:rPr>
          <w:lang w:val="pl-PL"/>
        </w:rPr>
        <w:t xml:space="preserve">, </w:t>
      </w:r>
      <w:r w:rsidR="00EC2B8F" w:rsidRPr="007A5972">
        <w:rPr>
          <w:lang w:val="pl-PL"/>
        </w:rPr>
        <w:t>w</w:t>
      </w:r>
      <w:r w:rsidR="00EC2B8F">
        <w:rPr>
          <w:lang w:val="pl-PL"/>
        </w:rPr>
        <w:t>e</w:t>
      </w:r>
      <w:r w:rsidR="00EC2B8F" w:rsidRPr="007A5972">
        <w:rPr>
          <w:lang w:val="pl-PL"/>
        </w:rPr>
        <w:t xml:space="preserve"> </w:t>
      </w:r>
      <w:r w:rsidR="00EC2B8F">
        <w:rPr>
          <w:lang w:val="pl-PL"/>
        </w:rPr>
        <w:t xml:space="preserve">właściwym </w:t>
      </w:r>
      <w:r w:rsidR="00EC2B8F" w:rsidRPr="007A5972">
        <w:rPr>
          <w:lang w:val="pl-PL"/>
        </w:rPr>
        <w:t>zakresie</w:t>
      </w:r>
      <w:r w:rsidR="00EC2B8F">
        <w:rPr>
          <w:lang w:val="pl-PL"/>
        </w:rPr>
        <w:t>, że</w:t>
      </w:r>
      <w:r w:rsidRPr="007A5972">
        <w:rPr>
          <w:rFonts w:eastAsia="Times New Roman"/>
          <w:lang w:val="pl-PL" w:eastAsia="fr-FR"/>
        </w:rPr>
        <w:t>:</w:t>
      </w:r>
    </w:p>
    <w:p w:rsidR="006739FE" w:rsidRPr="007A5972" w:rsidRDefault="005570A9" w:rsidP="005570A9">
      <w:pPr>
        <w:pStyle w:val="ECHRParaQuote"/>
        <w:ind w:firstLine="0"/>
        <w:rPr>
          <w:rFonts w:eastAsia="Times New Roman"/>
          <w:lang w:val="pl-PL" w:eastAsia="fr-FR"/>
        </w:rPr>
      </w:pPr>
      <w:r>
        <w:rPr>
          <w:rFonts w:eastAsia="Times New Roman"/>
          <w:lang w:val="pl-PL" w:eastAsia="fr-FR"/>
        </w:rPr>
        <w:t>„</w:t>
      </w:r>
      <w:r w:rsidR="006739FE" w:rsidRPr="007A5972">
        <w:rPr>
          <w:rFonts w:eastAsia="Times New Roman"/>
          <w:lang w:val="pl-PL" w:eastAsia="fr-FR"/>
        </w:rPr>
        <w:t xml:space="preserve">§ 1. </w:t>
      </w:r>
      <w:r w:rsidR="008B2896" w:rsidRPr="007A5972">
        <w:rPr>
          <w:lang w:val="pl-PL"/>
        </w:rPr>
        <w:t>Kto znieważa inną osobę w jej obecności albo choćby pod jej nieobecność, lecz publicznie lub w zamiarze, aby zniewaga do osoby tej dotarła, podlega grzywnie albo karze ograniczenia wolności</w:t>
      </w:r>
      <w:r w:rsidR="006739FE" w:rsidRPr="007A5972">
        <w:rPr>
          <w:rFonts w:eastAsia="Times New Roman"/>
          <w:lang w:val="pl-PL" w:eastAsia="fr-FR"/>
        </w:rPr>
        <w:t>.</w:t>
      </w:r>
    </w:p>
    <w:p w:rsidR="006739FE" w:rsidRPr="007A5972" w:rsidRDefault="006739FE" w:rsidP="008533F0">
      <w:pPr>
        <w:pStyle w:val="ECHRParaQuote"/>
        <w:rPr>
          <w:rFonts w:eastAsia="Times New Roman"/>
          <w:lang w:val="pl-PL" w:eastAsia="fr-FR"/>
        </w:rPr>
      </w:pPr>
      <w:r w:rsidRPr="007A5972">
        <w:rPr>
          <w:rFonts w:eastAsia="Times New Roman"/>
          <w:lang w:val="pl-PL" w:eastAsia="fr-FR"/>
        </w:rPr>
        <w:t>§ 2.  </w:t>
      </w:r>
      <w:r w:rsidR="008B2896" w:rsidRPr="007A5972">
        <w:rPr>
          <w:lang w:val="pl-PL"/>
        </w:rPr>
        <w:t>Kto znieważa inną osobę za pomocą środków masowego komunikowania, podlega grzywnie, karze ograniczenia wolności albo pozbawienia wolności do roku</w:t>
      </w:r>
      <w:r w:rsidRPr="007A5972">
        <w:rPr>
          <w:rFonts w:eastAsia="Times New Roman"/>
          <w:lang w:val="pl-PL" w:eastAsia="fr-FR"/>
        </w:rPr>
        <w:t>.</w:t>
      </w:r>
    </w:p>
    <w:p w:rsidR="006739FE" w:rsidRPr="007A5972" w:rsidRDefault="006739FE" w:rsidP="008533F0">
      <w:pPr>
        <w:pStyle w:val="ECHRParaQuote"/>
        <w:rPr>
          <w:rFonts w:eastAsia="Times New Roman"/>
          <w:lang w:val="pl-PL" w:eastAsia="fr-FR"/>
        </w:rPr>
      </w:pPr>
      <w:r w:rsidRPr="007A5972">
        <w:rPr>
          <w:rFonts w:eastAsia="Times New Roman"/>
          <w:lang w:val="pl-PL" w:eastAsia="fr-FR"/>
        </w:rPr>
        <w:t>§ 5.  </w:t>
      </w:r>
      <w:r w:rsidR="008B2896" w:rsidRPr="007A5972">
        <w:rPr>
          <w:lang w:val="pl-PL"/>
        </w:rPr>
        <w:t>Ściganie odbywa się z oskarżenia prywatnego</w:t>
      </w:r>
      <w:r w:rsidRPr="007A5972">
        <w:rPr>
          <w:rFonts w:eastAsia="Times New Roman"/>
          <w:lang w:val="pl-PL" w:eastAsia="fr-FR"/>
        </w:rPr>
        <w:t>.”</w:t>
      </w:r>
    </w:p>
    <w:p w:rsidR="006739FE" w:rsidRPr="007A5972" w:rsidRDefault="006739FE" w:rsidP="008533F0">
      <w:pPr>
        <w:pStyle w:val="ECHRHeading2"/>
        <w:rPr>
          <w:lang w:val="pl-PL"/>
        </w:rPr>
      </w:pPr>
      <w:r w:rsidRPr="007A5972">
        <w:rPr>
          <w:lang w:val="pl-PL"/>
        </w:rPr>
        <w:t>C.  </w:t>
      </w:r>
      <w:r w:rsidR="008B2896" w:rsidRPr="007A5972">
        <w:rPr>
          <w:lang w:val="pl-PL"/>
        </w:rPr>
        <w:t>Orzecznictwo Trybunału Konstytucyjnego</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25</w:t>
      </w:r>
      <w:r w:rsidRPr="007A5972">
        <w:rPr>
          <w:lang w:val="pl-PL"/>
        </w:rPr>
        <w:fldChar w:fldCharType="end"/>
      </w:r>
      <w:r w:rsidRPr="007A5972">
        <w:rPr>
          <w:lang w:val="pl-PL"/>
        </w:rPr>
        <w:t>.  </w:t>
      </w:r>
      <w:bookmarkStart w:id="1" w:name="OLE_LINK17"/>
      <w:bookmarkStart w:id="2" w:name="OLE_LINK18"/>
      <w:r w:rsidR="00F624E9" w:rsidRPr="007A5972">
        <w:rPr>
          <w:lang w:val="pl-PL"/>
        </w:rPr>
        <w:t xml:space="preserve">W wyroku z dnia 30 października 2006 roku (sygn. P 10/06) Trybunał Konstytucyjny orzekł, że artykuł 212 §§ 1 i 2 kodeksu karnego jest zgodny z art 14 i </w:t>
      </w:r>
      <w:r w:rsidR="00EC2B8F">
        <w:rPr>
          <w:lang w:val="pl-PL"/>
        </w:rPr>
        <w:t>art.</w:t>
      </w:r>
      <w:r w:rsidR="00F624E9" w:rsidRPr="007A5972">
        <w:rPr>
          <w:lang w:val="pl-PL"/>
        </w:rPr>
        <w:t xml:space="preserve"> 54 § 1 Konstytucji, czytany</w:t>
      </w:r>
      <w:r w:rsidR="00EC2B8F">
        <w:rPr>
          <w:lang w:val="pl-PL"/>
        </w:rPr>
        <w:t>m</w:t>
      </w:r>
      <w:r w:rsidR="00F624E9" w:rsidRPr="007A5972">
        <w:rPr>
          <w:lang w:val="pl-PL"/>
        </w:rPr>
        <w:t xml:space="preserve"> w związku z art 31 § 3. Trybunał Konstytucyjny stwierdził, że w pewnych okolicznościach, ochrona praw i wolności, takich jak godność, dobre imię i prywatność może przeważać nad ochroną wolności wypowiedzi. Ponadto Trybunał uznał, że nie było podstaw do przyjęcia, że ​​ochrona dóbr osobistych za pośrednictwem samego prawa cywilnego byłaby równie skuteczna, jak ochrona poprzez prawo karne. Ochrona dóbr osobistych za pomocą prawa karnego nie jest w stanie, sama prze</w:t>
      </w:r>
      <w:r w:rsidR="00EC2B8F">
        <w:rPr>
          <w:lang w:val="pl-PL"/>
        </w:rPr>
        <w:t>z</w:t>
      </w:r>
      <w:r w:rsidR="00F624E9" w:rsidRPr="007A5972">
        <w:rPr>
          <w:lang w:val="pl-PL"/>
        </w:rPr>
        <w:t xml:space="preserve"> się, naruszać odpowiednich przepisów Konstytucji</w:t>
      </w:r>
      <w:r w:rsidRPr="007A5972">
        <w:rPr>
          <w:lang w:val="pl-PL"/>
        </w:rPr>
        <w:t>.</w:t>
      </w:r>
    </w:p>
    <w:p w:rsidR="001A3D3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26</w:t>
      </w:r>
      <w:r w:rsidRPr="007A5972">
        <w:rPr>
          <w:lang w:val="pl-PL"/>
        </w:rPr>
        <w:fldChar w:fldCharType="end"/>
      </w:r>
      <w:r w:rsidRPr="007A5972">
        <w:rPr>
          <w:lang w:val="pl-PL"/>
        </w:rPr>
        <w:t>.  </w:t>
      </w:r>
      <w:r w:rsidR="0064500F" w:rsidRPr="007A5972">
        <w:rPr>
          <w:lang w:val="pl-PL"/>
        </w:rPr>
        <w:t xml:space="preserve">W wyroku z dnia 12 maja 2008 roku (sygn. SK 43/05) Trybunał Konstytucyjny zbadał konstytucyjność </w:t>
      </w:r>
      <w:r w:rsidR="00181192">
        <w:rPr>
          <w:lang w:val="pl-PL"/>
        </w:rPr>
        <w:t>ochrony</w:t>
      </w:r>
      <w:r w:rsidR="0064500F" w:rsidRPr="007A5972">
        <w:rPr>
          <w:lang w:val="pl-PL"/>
        </w:rPr>
        <w:t xml:space="preserve"> przewidzianej w artykule 213 § 2 kodeksu karnego w odniesieniu do przestępstwa zniesławienia popełnionego za pośrednictwem środków masowego przekazu (Artykuł 212 § 2 Kodeksu karnego). Orzekł, że artykuł 213 § 2 jest zgodny z Konstytucją w zakresie, w jakim wymagane jest, aby ​​zarzut był prawdziwy. Trybunał Konstytucyjny uznał jednak, że przepis ten jest niezgodny z </w:t>
      </w:r>
      <w:r w:rsidR="004C2B11">
        <w:rPr>
          <w:lang w:val="pl-PL"/>
        </w:rPr>
        <w:t>K</w:t>
      </w:r>
      <w:r w:rsidR="0064500F" w:rsidRPr="007A5972">
        <w:rPr>
          <w:lang w:val="pl-PL"/>
        </w:rPr>
        <w:t>onstytucją w zakresie, w jakim wymagane jest, aby prawdziwy zarzut dotyczący postępowania funkcjonariusza publicznego musiał służyć społecznie uzasadnionemu interesowi</w:t>
      </w:r>
      <w:r w:rsidRPr="007A5972">
        <w:rPr>
          <w:lang w:val="pl-PL"/>
        </w:rPr>
        <w:t>.</w:t>
      </w:r>
    </w:p>
    <w:bookmarkEnd w:id="1"/>
    <w:bookmarkEnd w:id="2"/>
    <w:p w:rsidR="006739FE" w:rsidRPr="007A5972" w:rsidRDefault="0064500F" w:rsidP="008533F0">
      <w:pPr>
        <w:pStyle w:val="ECHRTitle1"/>
        <w:rPr>
          <w:lang w:val="pl-PL"/>
        </w:rPr>
      </w:pPr>
      <w:r w:rsidRPr="007A5972">
        <w:rPr>
          <w:lang w:val="pl-PL"/>
        </w:rPr>
        <w:lastRenderedPageBreak/>
        <w:t>PRAWO</w:t>
      </w:r>
    </w:p>
    <w:p w:rsidR="006739FE" w:rsidRPr="007A5972" w:rsidRDefault="006739FE" w:rsidP="008533F0">
      <w:pPr>
        <w:pStyle w:val="ECHRHeading1"/>
        <w:rPr>
          <w:lang w:val="pl-PL"/>
        </w:rPr>
      </w:pPr>
      <w:r w:rsidRPr="007A5972">
        <w:rPr>
          <w:lang w:val="pl-PL"/>
        </w:rPr>
        <w:t>I.  </w:t>
      </w:r>
      <w:r w:rsidR="0064500F" w:rsidRPr="007A5972">
        <w:rPr>
          <w:lang w:val="pl-PL"/>
        </w:rPr>
        <w:t>ZARZUT NARUSZENIA ARTYKUŁU 10 KONWENCJI</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27</w:t>
      </w:r>
      <w:r w:rsidRPr="007A5972">
        <w:rPr>
          <w:lang w:val="pl-PL"/>
        </w:rPr>
        <w:fldChar w:fldCharType="end"/>
      </w:r>
      <w:r w:rsidRPr="007A5972">
        <w:rPr>
          <w:lang w:val="pl-PL"/>
        </w:rPr>
        <w:t>.  </w:t>
      </w:r>
      <w:r w:rsidR="00BB2053" w:rsidRPr="007A5972">
        <w:rPr>
          <w:lang w:val="pl-PL"/>
        </w:rPr>
        <w:t xml:space="preserve">Skarżący zarzucał, że doszło do naruszenia jego prawa do wolności wypowiedzi, </w:t>
      </w:r>
      <w:r w:rsidR="00EC2B8F">
        <w:rPr>
          <w:lang w:val="pl-PL"/>
        </w:rPr>
        <w:t>oraz</w:t>
      </w:r>
      <w:r w:rsidR="00BB2053" w:rsidRPr="007A5972">
        <w:rPr>
          <w:lang w:val="pl-PL"/>
        </w:rPr>
        <w:t xml:space="preserve"> twierdził, że grzywna nałożona na niego była nieproporcjonalna. Powołał się na artykuł 10 Konwencji, który brzmi</w:t>
      </w:r>
      <w:r w:rsidRPr="007A5972">
        <w:rPr>
          <w:lang w:val="pl-PL"/>
        </w:rPr>
        <w:t>:</w:t>
      </w:r>
    </w:p>
    <w:p w:rsidR="006739FE" w:rsidRPr="007A5972" w:rsidRDefault="006739FE" w:rsidP="008533F0">
      <w:pPr>
        <w:pStyle w:val="ECHRParaQuote"/>
        <w:rPr>
          <w:lang w:val="pl-PL"/>
        </w:rPr>
      </w:pPr>
      <w:r w:rsidRPr="007A5972">
        <w:rPr>
          <w:lang w:val="pl-PL"/>
        </w:rPr>
        <w:t>“1. </w:t>
      </w:r>
      <w:r w:rsidR="00BB2053" w:rsidRPr="007A5972">
        <w:rPr>
          <w:lang w:val="pl-PL"/>
        </w:rPr>
        <w:t>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r w:rsidRPr="007A5972">
        <w:rPr>
          <w:lang w:val="pl-PL"/>
        </w:rPr>
        <w:t>.</w:t>
      </w:r>
    </w:p>
    <w:p w:rsidR="006739FE" w:rsidRPr="007A5972" w:rsidRDefault="006739FE" w:rsidP="008533F0">
      <w:pPr>
        <w:pStyle w:val="ECHRParaQuote"/>
        <w:rPr>
          <w:lang w:val="pl-PL"/>
        </w:rPr>
      </w:pPr>
      <w:r w:rsidRPr="007A5972">
        <w:rPr>
          <w:lang w:val="pl-PL"/>
        </w:rPr>
        <w:t>2.  </w:t>
      </w:r>
      <w:r w:rsidR="00BB2053" w:rsidRPr="007A5972">
        <w:rPr>
          <w:lang w:val="pl-PL"/>
        </w:rP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Pr="007A5972">
        <w:rPr>
          <w:lang w:val="pl-PL"/>
        </w:rPr>
        <w:t>.”</w:t>
      </w:r>
    </w:p>
    <w:p w:rsidR="006739FE" w:rsidRPr="007A5972" w:rsidRDefault="006739FE" w:rsidP="008533F0">
      <w:pPr>
        <w:pStyle w:val="ECHRHeading2"/>
        <w:rPr>
          <w:lang w:val="pl-PL"/>
        </w:rPr>
      </w:pPr>
      <w:r w:rsidRPr="007A5972">
        <w:rPr>
          <w:lang w:val="pl-PL"/>
        </w:rPr>
        <w:t>A.  </w:t>
      </w:r>
      <w:r w:rsidR="00BB2053" w:rsidRPr="007A5972">
        <w:rPr>
          <w:lang w:val="pl-PL"/>
        </w:rPr>
        <w:t>Dopuszczalność skargi</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28</w:t>
      </w:r>
      <w:r w:rsidRPr="007A5972">
        <w:rPr>
          <w:lang w:val="pl-PL"/>
        </w:rPr>
        <w:fldChar w:fldCharType="end"/>
      </w:r>
      <w:r w:rsidRPr="007A5972">
        <w:rPr>
          <w:lang w:val="pl-PL"/>
        </w:rPr>
        <w:t>.  </w:t>
      </w:r>
      <w:r w:rsidR="00BB2053" w:rsidRPr="007A5972">
        <w:rPr>
          <w:lang w:val="pl-PL"/>
        </w:rPr>
        <w:t>Trybunał zauważa, że ​​skarga nie jest oczywiście bezzasadna w rozumieniu Artykułu 35 § 3 (a) Konwencji. Ponadto zauważa, że ​​nie jest ona niedopuszczalna z jakichkolwiek innych powodów. Należy zatem uznać ją za dopuszczalną</w:t>
      </w:r>
      <w:r w:rsidRPr="007A5972">
        <w:rPr>
          <w:lang w:val="pl-PL"/>
        </w:rPr>
        <w:t>.</w:t>
      </w:r>
    </w:p>
    <w:p w:rsidR="006739FE" w:rsidRPr="007A5972" w:rsidRDefault="006739FE" w:rsidP="008533F0">
      <w:pPr>
        <w:pStyle w:val="ECHRHeading2"/>
        <w:rPr>
          <w:lang w:val="pl-PL"/>
        </w:rPr>
      </w:pPr>
      <w:r w:rsidRPr="007A5972">
        <w:rPr>
          <w:lang w:val="pl-PL"/>
        </w:rPr>
        <w:t>B.  </w:t>
      </w:r>
      <w:r w:rsidR="00BB2053" w:rsidRPr="007A5972">
        <w:rPr>
          <w:lang w:val="pl-PL"/>
        </w:rPr>
        <w:t>Meritum skargi</w:t>
      </w:r>
    </w:p>
    <w:p w:rsidR="006739FE" w:rsidRPr="007A5972" w:rsidRDefault="006739FE" w:rsidP="008533F0">
      <w:pPr>
        <w:pStyle w:val="ECHRHeading3"/>
        <w:rPr>
          <w:lang w:val="pl-PL"/>
        </w:rPr>
      </w:pPr>
      <w:r w:rsidRPr="007A5972">
        <w:rPr>
          <w:lang w:val="pl-PL"/>
        </w:rPr>
        <w:t>1.  </w:t>
      </w:r>
      <w:r w:rsidR="00BB2053" w:rsidRPr="007A5972">
        <w:rPr>
          <w:lang w:val="pl-PL"/>
        </w:rPr>
        <w:t>Stanowisko skarżącego</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29</w:t>
      </w:r>
      <w:r w:rsidRPr="007A5972">
        <w:rPr>
          <w:lang w:val="pl-PL"/>
        </w:rPr>
        <w:fldChar w:fldCharType="end"/>
      </w:r>
      <w:r w:rsidRPr="007A5972">
        <w:rPr>
          <w:lang w:val="pl-PL"/>
        </w:rPr>
        <w:t>.  </w:t>
      </w:r>
      <w:r w:rsidR="00313BE2" w:rsidRPr="007A5972">
        <w:rPr>
          <w:lang w:val="pl-PL"/>
        </w:rPr>
        <w:t xml:space="preserve">Skarżący twierdził, że nie zaszkodził dobremu imieniu innych </w:t>
      </w:r>
      <w:r w:rsidR="00AC0500">
        <w:rPr>
          <w:lang w:val="pl-PL"/>
        </w:rPr>
        <w:t>osób</w:t>
      </w:r>
      <w:r w:rsidR="00313BE2" w:rsidRPr="007A5972">
        <w:rPr>
          <w:lang w:val="pl-PL"/>
        </w:rPr>
        <w:t xml:space="preserve">, ani nie naruszył ich praw. Nie umieścił nawet inicjałów powiatowych urzędników w swoim artykule. Twierdził, że </w:t>
      </w:r>
      <w:r w:rsidR="00BC394F">
        <w:rPr>
          <w:lang w:val="pl-PL"/>
        </w:rPr>
        <w:t xml:space="preserve">przestrzegał zasady </w:t>
      </w:r>
      <w:r w:rsidR="00AC0500">
        <w:rPr>
          <w:lang w:val="pl-PL"/>
        </w:rPr>
        <w:t>rzetelności</w:t>
      </w:r>
      <w:r w:rsidR="00313BE2" w:rsidRPr="007A5972">
        <w:rPr>
          <w:lang w:val="pl-PL"/>
        </w:rPr>
        <w:t xml:space="preserve"> wymaganej od dziennikarzy na podstawie prawa prasowego. Odnosząc się do wyroku Trybunału Konstytucyjnego z dnia 12 maja 2008 roku, skarżący twierdził, że osoba oskarżona o </w:t>
      </w:r>
      <w:r w:rsidR="00AC0500">
        <w:rPr>
          <w:lang w:val="pl-PL"/>
        </w:rPr>
        <w:t>znieważenie</w:t>
      </w:r>
      <w:r w:rsidR="00313BE2" w:rsidRPr="007A5972">
        <w:rPr>
          <w:lang w:val="pl-PL"/>
        </w:rPr>
        <w:t xml:space="preserve"> nie powinna być pociągnięt</w:t>
      </w:r>
      <w:r w:rsidR="00BC394F">
        <w:rPr>
          <w:lang w:val="pl-PL"/>
        </w:rPr>
        <w:t>a</w:t>
      </w:r>
      <w:r w:rsidR="00313BE2" w:rsidRPr="007A5972">
        <w:rPr>
          <w:lang w:val="pl-PL"/>
        </w:rPr>
        <w:t xml:space="preserve"> do odpowiedzialności, jeśli przestrzegała standardów </w:t>
      </w:r>
      <w:r w:rsidR="00AC0500">
        <w:rPr>
          <w:lang w:val="pl-PL"/>
        </w:rPr>
        <w:t>rzetelności</w:t>
      </w:r>
      <w:r w:rsidR="00313BE2" w:rsidRPr="007A5972">
        <w:rPr>
          <w:lang w:val="pl-PL"/>
        </w:rPr>
        <w:t xml:space="preserve"> i niezawodności w zakresie gromadzenia i weryfikacji informacji, nawet jeśli w końcu odpowiednie zarzuty okazały się fałszywe</w:t>
      </w:r>
      <w:r w:rsidRPr="007A5972">
        <w:rPr>
          <w:lang w:val="pl-PL"/>
        </w:rPr>
        <w:t>.</w:t>
      </w:r>
    </w:p>
    <w:p w:rsidR="001A3D3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30</w:t>
      </w:r>
      <w:r w:rsidRPr="007A5972">
        <w:rPr>
          <w:lang w:val="pl-PL"/>
        </w:rPr>
        <w:fldChar w:fldCharType="end"/>
      </w:r>
      <w:r w:rsidRPr="007A5972">
        <w:rPr>
          <w:lang w:val="pl-PL"/>
        </w:rPr>
        <w:t>.  </w:t>
      </w:r>
      <w:r w:rsidR="00313BE2" w:rsidRPr="007A5972">
        <w:rPr>
          <w:lang w:val="pl-PL"/>
        </w:rPr>
        <w:t xml:space="preserve">Skarżący twierdził, że dokładnie informował o </w:t>
      </w:r>
      <w:r w:rsidR="00890DC7">
        <w:rPr>
          <w:lang w:val="pl-PL"/>
        </w:rPr>
        <w:t>projekcie</w:t>
      </w:r>
      <w:r w:rsidR="00313BE2" w:rsidRPr="007A5972">
        <w:rPr>
          <w:lang w:val="pl-PL"/>
        </w:rPr>
        <w:t xml:space="preserve"> f</w:t>
      </w:r>
      <w:r w:rsidR="00AC0500">
        <w:rPr>
          <w:lang w:val="pl-PL"/>
        </w:rPr>
        <w:t>e</w:t>
      </w:r>
      <w:r w:rsidR="00313BE2" w:rsidRPr="007A5972">
        <w:rPr>
          <w:lang w:val="pl-PL"/>
        </w:rPr>
        <w:t xml:space="preserve">rmy przepiórczej, który był organizowany przez lokalnych urzędników. Ingerencja sądów w jego prawa do przedstawienia swojej opinii na temat </w:t>
      </w:r>
      <w:r w:rsidR="00313BE2" w:rsidRPr="007A5972">
        <w:rPr>
          <w:lang w:val="pl-PL"/>
        </w:rPr>
        <w:lastRenderedPageBreak/>
        <w:t>negatywnych zjawisk wpływających na życie lokalnej społeczności był</w:t>
      </w:r>
      <w:r w:rsidR="00BC394F">
        <w:rPr>
          <w:lang w:val="pl-PL"/>
        </w:rPr>
        <w:t>a nieuzasadniona</w:t>
      </w:r>
      <w:r w:rsidR="00313BE2" w:rsidRPr="007A5972">
        <w:rPr>
          <w:lang w:val="pl-PL"/>
        </w:rPr>
        <w:t>. Nie tylko prawo prasowe, ale również Konstytucja pozwoliła wolnym i niezależnym mediom na krytykę zjawisk, które miały miejsce w sprawowaniu władzy przez samorząd</w:t>
      </w:r>
      <w:r w:rsidRPr="007A5972">
        <w:rPr>
          <w:lang w:val="pl-PL"/>
        </w:rPr>
        <w:t>.</w:t>
      </w:r>
    </w:p>
    <w:p w:rsidR="001A3D3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31</w:t>
      </w:r>
      <w:r w:rsidRPr="007A5972">
        <w:rPr>
          <w:lang w:val="pl-PL"/>
        </w:rPr>
        <w:fldChar w:fldCharType="end"/>
      </w:r>
      <w:r w:rsidRPr="007A5972">
        <w:rPr>
          <w:lang w:val="pl-PL"/>
        </w:rPr>
        <w:t>.  </w:t>
      </w:r>
      <w:r w:rsidR="00313BE2" w:rsidRPr="007A5972">
        <w:rPr>
          <w:lang w:val="pl-PL"/>
        </w:rPr>
        <w:t>Skarżący utrzymywał, że nie obraził żadnej osoby, ponieważ nie użył nazwisk ani inicjałów w artykule. Krytykowane były jedynie metody i czyny ludzi, nie wspominając o urzędzie, który reprezentowali. Słowa wymienione w artykule nie o</w:t>
      </w:r>
      <w:r w:rsidR="00BC394F">
        <w:rPr>
          <w:lang w:val="pl-PL"/>
        </w:rPr>
        <w:t>dnosiły się do nikogo osobiście</w:t>
      </w:r>
      <w:r w:rsidR="00313BE2" w:rsidRPr="007A5972">
        <w:rPr>
          <w:lang w:val="pl-PL"/>
        </w:rPr>
        <w:t>, a zostały wykorzystane do wskazania problemów dotyczących populistycznej działalności władz i rzekomej pracy miejscowych urzędników. Słowniki nie wymieniają tych słów jako wyrażeń obraźliwych. Ponadto, osoby publiczne muszą zaakceptować ryzyko narażenia na bardziej ostrą krytykę</w:t>
      </w:r>
      <w:r w:rsidRPr="007A5972">
        <w:rPr>
          <w:lang w:val="pl-PL"/>
        </w:rPr>
        <w:t>.</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32</w:t>
      </w:r>
      <w:r w:rsidRPr="007A5972">
        <w:rPr>
          <w:lang w:val="pl-PL"/>
        </w:rPr>
        <w:fldChar w:fldCharType="end"/>
      </w:r>
      <w:r w:rsidRPr="007A5972">
        <w:rPr>
          <w:lang w:val="pl-PL"/>
        </w:rPr>
        <w:t>.  </w:t>
      </w:r>
      <w:r w:rsidR="00313BE2" w:rsidRPr="007A5972">
        <w:rPr>
          <w:lang w:val="pl-PL"/>
        </w:rPr>
        <w:t>Skarżący nie zgodził się ze stanowiskiem sądów krajowych, że krytyka dziennikarska powinna być pozbawiona osobistych uczuć i emocjonalnego zaangażowania. Dziennikarze i ich gazety nie funkcjonują jak biuletyn rządowy, rejestrujący tylko fakty. Publikacje pozbawione emocji nawet nie zostałyby zauważone przez czytelników, nie mówiąc już o ich przeczytaniu. Dlatego dziennikarz nie może być zmuszony do przedstawienia wydarzeń, bez emocjonalnego zaangażowania</w:t>
      </w:r>
      <w:r w:rsidRPr="007A5972">
        <w:rPr>
          <w:lang w:val="pl-PL"/>
        </w:rPr>
        <w:t>.</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33</w:t>
      </w:r>
      <w:r w:rsidRPr="007A5972">
        <w:rPr>
          <w:lang w:val="pl-PL"/>
        </w:rPr>
        <w:fldChar w:fldCharType="end"/>
      </w:r>
      <w:r w:rsidRPr="007A5972">
        <w:rPr>
          <w:lang w:val="pl-PL"/>
        </w:rPr>
        <w:t>.  </w:t>
      </w:r>
      <w:r w:rsidR="00313BE2" w:rsidRPr="007A5972">
        <w:rPr>
          <w:lang w:val="pl-PL"/>
        </w:rPr>
        <w:t>Skarżący zakwestionował nadto proporcjonalność kary nałożonej na niego, twierdząc, że to doprowadziło do stopniowego upadku gospodarczego gazety. Twierdził on również, że w takim wypadku, kwestia granic dopuszczalnej krytyki powinna zostać ustalona na mocy przepisów prawa cywilnego, a nie karnego</w:t>
      </w:r>
      <w:r w:rsidRPr="007A5972">
        <w:rPr>
          <w:lang w:val="pl-PL"/>
        </w:rPr>
        <w:t>.</w:t>
      </w:r>
    </w:p>
    <w:p w:rsidR="006739FE" w:rsidRPr="007A5972" w:rsidRDefault="006739FE" w:rsidP="008533F0">
      <w:pPr>
        <w:pStyle w:val="ECHRHeading3"/>
        <w:rPr>
          <w:rFonts w:eastAsia="Times New Roman"/>
          <w:lang w:val="pl-PL" w:eastAsia="fr-FR"/>
        </w:rPr>
      </w:pPr>
      <w:r w:rsidRPr="007A5972">
        <w:rPr>
          <w:rFonts w:eastAsia="Times New Roman"/>
          <w:lang w:val="pl-PL" w:eastAsia="fr-FR"/>
        </w:rPr>
        <w:t>2.  </w:t>
      </w:r>
      <w:r w:rsidR="00313BE2" w:rsidRPr="007A5972">
        <w:rPr>
          <w:lang w:val="pl-PL"/>
        </w:rPr>
        <w:t>Stanowisko Rządu</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34</w:t>
      </w:r>
      <w:r w:rsidRPr="007A5972">
        <w:rPr>
          <w:lang w:val="pl-PL"/>
        </w:rPr>
        <w:fldChar w:fldCharType="end"/>
      </w:r>
      <w:r w:rsidRPr="007A5972">
        <w:rPr>
          <w:lang w:val="pl-PL"/>
        </w:rPr>
        <w:t>.  </w:t>
      </w:r>
      <w:r w:rsidR="00313BE2" w:rsidRPr="007A5972">
        <w:rPr>
          <w:lang w:val="pl-PL"/>
        </w:rPr>
        <w:t>Rząd utrzymywał, że ingerencja w prawo skarżącego do wolności wypowiedzi była zgodna z postanowieniami artykułu 10. Oparta na artykule 216 kodeksu karnego, inge</w:t>
      </w:r>
      <w:r w:rsidR="00BC394F">
        <w:rPr>
          <w:lang w:val="pl-PL"/>
        </w:rPr>
        <w:t>rencja była przewidziana prawem oraz</w:t>
      </w:r>
      <w:r w:rsidR="00313BE2" w:rsidRPr="007A5972">
        <w:rPr>
          <w:lang w:val="pl-PL"/>
        </w:rPr>
        <w:t xml:space="preserve"> realizowała on</w:t>
      </w:r>
      <w:r w:rsidR="00BC394F">
        <w:rPr>
          <w:lang w:val="pl-PL"/>
        </w:rPr>
        <w:t>a</w:t>
      </w:r>
      <w:r w:rsidR="00313BE2" w:rsidRPr="007A5972">
        <w:rPr>
          <w:lang w:val="pl-PL"/>
        </w:rPr>
        <w:t xml:space="preserve"> uzasadniony cel, mianowicie ochronę dobrego imienia i praw innych osób</w:t>
      </w:r>
      <w:r w:rsidRPr="007A5972">
        <w:rPr>
          <w:lang w:val="pl-PL"/>
        </w:rPr>
        <w:t>.</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35</w:t>
      </w:r>
      <w:r w:rsidRPr="007A5972">
        <w:rPr>
          <w:noProof/>
          <w:lang w:val="pl-PL"/>
        </w:rPr>
        <w:fldChar w:fldCharType="end"/>
      </w:r>
      <w:r w:rsidRPr="007A5972">
        <w:rPr>
          <w:lang w:val="pl-PL"/>
        </w:rPr>
        <w:t>.  </w:t>
      </w:r>
      <w:r w:rsidR="00313BE2" w:rsidRPr="007A5972">
        <w:rPr>
          <w:lang w:val="pl-PL"/>
        </w:rPr>
        <w:t xml:space="preserve">W odniesieniu do konieczności ingerencji Rząd przyznał, że artykuł 10 § 2 Konwencji w niewielkim zakresie odnosi się do ograniczenia wypowiedzi politycznych lub debaty w kwestiach dotyczących interesu publicznego. Zdaniem Rządu, sądy krajowe podały "istotne i wystarczające" powody swoich decyzji i miały dokładnie uzasadnić swoje orzeczenie, że twierdzenia skarżącego spełniły znamiona zniewagi. </w:t>
      </w:r>
      <w:r w:rsidR="00890DC7">
        <w:rPr>
          <w:lang w:val="pl-PL"/>
        </w:rPr>
        <w:t>Rząd podniósł</w:t>
      </w:r>
      <w:r w:rsidR="00313BE2" w:rsidRPr="007A5972">
        <w:rPr>
          <w:lang w:val="pl-PL"/>
        </w:rPr>
        <w:t xml:space="preserve">, że skarżący przekroczył granice dopuszczalnej krytyki. Z tego powodu, został ukarany grzywną w wysokości 10.000 zł, która została obliczona w świetle jego sytuacji finansowej. Sądy postanowiły nie nakładać bardziej surowych środków, a mianowicie kary ograniczenia wolności lub pozbawienia wolności na okres do jednego roku. Kara nałożona w rzeczywistości była najbardziej </w:t>
      </w:r>
      <w:r w:rsidR="00890DC7">
        <w:rPr>
          <w:lang w:val="pl-PL"/>
        </w:rPr>
        <w:t>łagodna</w:t>
      </w:r>
      <w:r w:rsidR="00313BE2" w:rsidRPr="007A5972">
        <w:rPr>
          <w:lang w:val="pl-PL"/>
        </w:rPr>
        <w:t xml:space="preserve"> z zakresu stosowanych kar i powinna być postrzegana </w:t>
      </w:r>
      <w:r w:rsidR="00313BE2" w:rsidRPr="007A5972">
        <w:rPr>
          <w:lang w:val="pl-PL"/>
        </w:rPr>
        <w:lastRenderedPageBreak/>
        <w:t>jako proporcjonalna do stopnia winy i zagrożenia dla społeczeństwa, które reprezentował jego czyn</w:t>
      </w:r>
      <w:r w:rsidRPr="007A5972">
        <w:rPr>
          <w:lang w:val="pl-PL"/>
        </w:rPr>
        <w:t>.</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36</w:t>
      </w:r>
      <w:r w:rsidRPr="007A5972">
        <w:rPr>
          <w:lang w:val="pl-PL"/>
        </w:rPr>
        <w:fldChar w:fldCharType="end"/>
      </w:r>
      <w:r w:rsidRPr="007A5972">
        <w:rPr>
          <w:lang w:val="pl-PL"/>
        </w:rPr>
        <w:t>.  </w:t>
      </w:r>
      <w:r w:rsidR="007276F4" w:rsidRPr="007A5972">
        <w:rPr>
          <w:lang w:val="pl-PL"/>
        </w:rPr>
        <w:t xml:space="preserve">Trybunał Konstytucyjny w wyrokach w sprawach nr  P 10/06 (30 października 2006) i SK 43/05 (12 maja 2008), podkreślił znaczenie wolności wypowiedzi w społeczeństwie demokratycznym, podkreślając jednocześnie, że </w:t>
      </w:r>
      <w:r w:rsidR="00BC394F">
        <w:rPr>
          <w:lang w:val="pl-PL"/>
        </w:rPr>
        <w:t>godność jednostki również musi</w:t>
      </w:r>
      <w:r w:rsidR="007276F4" w:rsidRPr="007A5972">
        <w:rPr>
          <w:lang w:val="pl-PL"/>
        </w:rPr>
        <w:t xml:space="preserve"> być chroniona przez władze. W przypadku konfliktu między wolnością wypowiedzi i prawa do </w:t>
      </w:r>
      <w:r w:rsidR="00890DC7">
        <w:rPr>
          <w:lang w:val="pl-PL"/>
        </w:rPr>
        <w:t xml:space="preserve">poszanowania </w:t>
      </w:r>
      <w:r w:rsidR="007276F4" w:rsidRPr="007A5972">
        <w:rPr>
          <w:lang w:val="pl-PL"/>
        </w:rPr>
        <w:t xml:space="preserve">życia prywatnego, to ostatnie może przeważać nad tym pierwszym. Trybunał Konstytucyjny stwierdził ponadto, że ochrona reputacji i dobrego imienia - </w:t>
      </w:r>
      <w:r w:rsidR="00645AB6">
        <w:rPr>
          <w:lang w:val="pl-PL"/>
        </w:rPr>
        <w:t>wartości</w:t>
      </w:r>
      <w:r w:rsidR="007276F4" w:rsidRPr="007A5972">
        <w:rPr>
          <w:lang w:val="pl-PL"/>
        </w:rPr>
        <w:t>, które są nierozerwalnie związane z godnością - na mocy przepisów prawa karnego nie jest w stanie sama w sobie naruszać odpowiednich przepisów Konstytucji. Sankcje cywilne byłyby wystarczające, jeśli umożliwiał</w:t>
      </w:r>
      <w:r w:rsidR="00890DC7">
        <w:rPr>
          <w:lang w:val="pl-PL"/>
        </w:rPr>
        <w:t>yb</w:t>
      </w:r>
      <w:r w:rsidR="007276F4" w:rsidRPr="007A5972">
        <w:rPr>
          <w:lang w:val="pl-PL"/>
        </w:rPr>
        <w:t xml:space="preserve">y przywrócenie poprzedniego stanu rzeczy. Jednak konsekwencje </w:t>
      </w:r>
      <w:r w:rsidR="00890DC7">
        <w:rPr>
          <w:lang w:val="pl-PL"/>
        </w:rPr>
        <w:t>naruszania</w:t>
      </w:r>
      <w:r w:rsidR="007276F4" w:rsidRPr="007A5972">
        <w:rPr>
          <w:lang w:val="pl-PL"/>
        </w:rPr>
        <w:t xml:space="preserve"> dobrego imienia danej osoby nie mogą być odwrócone, a następne przeprosiny nie </w:t>
      </w:r>
      <w:r w:rsidR="00890DC7">
        <w:rPr>
          <w:lang w:val="pl-PL"/>
        </w:rPr>
        <w:t>naprawić wyrządzonej szkody</w:t>
      </w:r>
      <w:r w:rsidR="007276F4" w:rsidRPr="007A5972">
        <w:rPr>
          <w:lang w:val="pl-PL"/>
        </w:rPr>
        <w:t xml:space="preserve">. Wreszcie Rząd </w:t>
      </w:r>
      <w:r w:rsidR="00890DC7">
        <w:rPr>
          <w:lang w:val="pl-PL"/>
        </w:rPr>
        <w:t>podniósł</w:t>
      </w:r>
      <w:r w:rsidR="007276F4" w:rsidRPr="007A5972">
        <w:rPr>
          <w:lang w:val="pl-PL"/>
        </w:rPr>
        <w:t>, że postępowanie karne w sprawie skarżącego zostało zainicjowane przez akt oskarżenia wniesiony przez osoby prywatne, a nie przez prokuratora</w:t>
      </w:r>
      <w:r w:rsidRPr="007A5972">
        <w:rPr>
          <w:lang w:val="pl-PL"/>
        </w:rPr>
        <w:t>.</w:t>
      </w:r>
    </w:p>
    <w:p w:rsidR="006739FE" w:rsidRPr="007A5972" w:rsidRDefault="006739FE" w:rsidP="008533F0">
      <w:pPr>
        <w:pStyle w:val="ECHRHeading3"/>
        <w:rPr>
          <w:rFonts w:eastAsia="Times New Roman"/>
          <w:lang w:val="pl-PL" w:eastAsia="fr-FR"/>
        </w:rPr>
      </w:pPr>
      <w:r w:rsidRPr="007A5972">
        <w:rPr>
          <w:rFonts w:eastAsia="Times New Roman"/>
          <w:lang w:val="pl-PL" w:eastAsia="fr-FR"/>
        </w:rPr>
        <w:t>3.  </w:t>
      </w:r>
      <w:r w:rsidR="007276F4" w:rsidRPr="007A5972">
        <w:rPr>
          <w:lang w:val="pl-PL"/>
        </w:rPr>
        <w:t>Ocena Trybunału</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37</w:t>
      </w:r>
      <w:r w:rsidRPr="007A5972">
        <w:rPr>
          <w:lang w:val="pl-PL"/>
        </w:rPr>
        <w:fldChar w:fldCharType="end"/>
      </w:r>
      <w:r w:rsidRPr="007A5972">
        <w:rPr>
          <w:lang w:val="pl-PL"/>
        </w:rPr>
        <w:t>.  </w:t>
      </w:r>
      <w:r w:rsidR="005E5991">
        <w:rPr>
          <w:lang w:val="pl-PL"/>
        </w:rPr>
        <w:t>Bezsporne</w:t>
      </w:r>
      <w:r w:rsidR="000F23BF" w:rsidRPr="007A5972">
        <w:rPr>
          <w:lang w:val="pl-PL"/>
        </w:rPr>
        <w:t xml:space="preserve"> między stronami</w:t>
      </w:r>
      <w:r w:rsidR="005E5991">
        <w:rPr>
          <w:lang w:val="pl-PL"/>
        </w:rPr>
        <w:t xml:space="preserve"> pozostaje</w:t>
      </w:r>
      <w:r w:rsidR="00890DC7">
        <w:rPr>
          <w:lang w:val="pl-PL"/>
        </w:rPr>
        <w:t>, że skazanie skarżącego stanowiło</w:t>
      </w:r>
      <w:r w:rsidR="000F23BF" w:rsidRPr="007A5972">
        <w:rPr>
          <w:lang w:val="pl-PL"/>
        </w:rPr>
        <w:t xml:space="preserve"> "ingerencję" w </w:t>
      </w:r>
      <w:r w:rsidR="005E5991">
        <w:rPr>
          <w:lang w:val="pl-PL"/>
        </w:rPr>
        <w:t xml:space="preserve">jego </w:t>
      </w:r>
      <w:r w:rsidR="000F23BF" w:rsidRPr="007A5972">
        <w:rPr>
          <w:lang w:val="pl-PL"/>
        </w:rPr>
        <w:t>korzystanie z prawa do wolności wypowiedzi. Trybunał stwierdza ponadto, że ingerencja była przewidziana przez prawo, a mianowicie art 216 § 2 Kodeksu karnego, oraz realizowała uzasadniony cel, o którym mowa w artykule 10 § 2 Konwencji, a mianowicie "ochronę dobrego imienia i praw innych</w:t>
      </w:r>
      <w:r w:rsidR="00890DC7">
        <w:rPr>
          <w:lang w:val="pl-PL"/>
        </w:rPr>
        <w:t xml:space="preserve"> osób</w:t>
      </w:r>
      <w:r w:rsidR="000F23BF" w:rsidRPr="007A5972">
        <w:rPr>
          <w:lang w:val="pl-PL"/>
        </w:rPr>
        <w:t>"</w:t>
      </w:r>
      <w:r w:rsidRPr="007A5972">
        <w:rPr>
          <w:lang w:val="pl-PL"/>
        </w:rPr>
        <w:t>.</w:t>
      </w:r>
    </w:p>
    <w:p w:rsidR="001A3D3E" w:rsidRPr="007A5972" w:rsidRDefault="006739FE" w:rsidP="008533F0">
      <w:pPr>
        <w:pStyle w:val="ECHRPara"/>
        <w:rPr>
          <w:snapToGrid w:val="0"/>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38</w:t>
      </w:r>
      <w:r w:rsidRPr="007A5972">
        <w:rPr>
          <w:lang w:val="pl-PL"/>
        </w:rPr>
        <w:fldChar w:fldCharType="end"/>
      </w:r>
      <w:r w:rsidRPr="007A5972">
        <w:rPr>
          <w:lang w:val="pl-PL"/>
        </w:rPr>
        <w:t>.  </w:t>
      </w:r>
      <w:r w:rsidR="002030CE" w:rsidRPr="007A5972">
        <w:rPr>
          <w:lang w:val="pl-PL"/>
        </w:rPr>
        <w:t xml:space="preserve">Pozostaje ustalić, czy ingerencja była "konieczna w demokratycznym społeczeństwie". Ogólne zasady oceny, czy ingerencja w korzystanie z prawa do wolności wypowiedzi jest "konieczna w demokratycznym społeczeństwie" w rozumieniu artykułu 10 § 2 Konwencji są również rozstrzygane w orzecznictwie Trybunału. Zostały one niedawno przedstawione w sprawie </w:t>
      </w:r>
      <w:proofErr w:type="spellStart"/>
      <w:r w:rsidR="002030CE" w:rsidRPr="007A5972">
        <w:rPr>
          <w:i/>
          <w:lang w:val="pl-PL"/>
        </w:rPr>
        <w:t>Pentikäinen</w:t>
      </w:r>
      <w:proofErr w:type="spellEnd"/>
      <w:r w:rsidR="002030CE" w:rsidRPr="007A5972">
        <w:rPr>
          <w:i/>
          <w:lang w:val="pl-PL"/>
        </w:rPr>
        <w:t xml:space="preserve"> przeciwko Finlandii</w:t>
      </w:r>
      <w:r w:rsidR="002030CE" w:rsidRPr="007A5972">
        <w:rPr>
          <w:lang w:val="pl-PL"/>
        </w:rPr>
        <w:t xml:space="preserve"> ([GC], nr 11882/10, § 87, ECHR 2015) oraz </w:t>
      </w:r>
      <w:proofErr w:type="spellStart"/>
      <w:r w:rsidR="002030CE" w:rsidRPr="007A5972">
        <w:rPr>
          <w:i/>
          <w:lang w:val="pl-PL"/>
        </w:rPr>
        <w:t>Bédat</w:t>
      </w:r>
      <w:proofErr w:type="spellEnd"/>
      <w:r w:rsidR="002030CE" w:rsidRPr="007A5972">
        <w:rPr>
          <w:i/>
          <w:lang w:val="pl-PL"/>
        </w:rPr>
        <w:t xml:space="preserve"> przeciwko Szwajcarii</w:t>
      </w:r>
      <w:r w:rsidR="002030CE" w:rsidRPr="007A5972">
        <w:rPr>
          <w:lang w:val="pl-PL"/>
        </w:rPr>
        <w:t xml:space="preserve"> ([GC], nr 56925/08, § 48, 29 marca 2016)</w:t>
      </w:r>
      <w:r w:rsidRPr="007A5972">
        <w:rPr>
          <w:snapToGrid w:val="0"/>
          <w:lang w:val="pl-PL"/>
        </w:rPr>
        <w:t>.</w:t>
      </w:r>
    </w:p>
    <w:p w:rsidR="006739F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39</w:t>
      </w:r>
      <w:r w:rsidRPr="007A5972">
        <w:rPr>
          <w:lang w:val="pl-PL"/>
        </w:rPr>
        <w:fldChar w:fldCharType="end"/>
      </w:r>
      <w:r w:rsidRPr="007A5972">
        <w:rPr>
          <w:lang w:val="pl-PL"/>
        </w:rPr>
        <w:t>.  </w:t>
      </w:r>
      <w:r w:rsidR="002030CE" w:rsidRPr="007A5972">
        <w:rPr>
          <w:lang w:val="pl-PL"/>
        </w:rPr>
        <w:t>Trybunał musi również ustalić, czy władze krajowe znalazły odpowiednią równowagę pomiędzy ochroną wolności wypowiedzi zawartą w artykule 10 i ochroną reputacji tych, przeciwko którym zarzuty zostały podniesione</w:t>
      </w:r>
      <w:r w:rsidR="00890DC7">
        <w:rPr>
          <w:lang w:val="pl-PL"/>
        </w:rPr>
        <w:t xml:space="preserve"> (tj. </w:t>
      </w:r>
      <w:r w:rsidR="002030CE" w:rsidRPr="007A5972">
        <w:rPr>
          <w:lang w:val="pl-PL"/>
        </w:rPr>
        <w:t>praw</w:t>
      </w:r>
      <w:r w:rsidR="00890DC7">
        <w:rPr>
          <w:lang w:val="pl-PL"/>
        </w:rPr>
        <w:t>em</w:t>
      </w:r>
      <w:r w:rsidR="002030CE" w:rsidRPr="007A5972">
        <w:rPr>
          <w:lang w:val="pl-PL"/>
        </w:rPr>
        <w:t xml:space="preserve"> które, jako aspekt prywatnego życia jest chronione przez artykuł 8 Konwencji</w:t>
      </w:r>
      <w:r w:rsidR="00890DC7">
        <w:rPr>
          <w:lang w:val="pl-PL"/>
        </w:rPr>
        <w:t>)</w:t>
      </w:r>
      <w:r w:rsidR="002030CE" w:rsidRPr="007A5972">
        <w:rPr>
          <w:lang w:val="pl-PL"/>
        </w:rPr>
        <w:t>.</w:t>
      </w:r>
      <w:r w:rsidR="00890DC7">
        <w:rPr>
          <w:lang w:val="pl-PL"/>
        </w:rPr>
        <w:t xml:space="preserve"> </w:t>
      </w:r>
      <w:r w:rsidR="002030CE" w:rsidRPr="007A5972">
        <w:rPr>
          <w:lang w:val="pl-PL"/>
        </w:rPr>
        <w:t xml:space="preserve">W dwóch ostatnich przypadkach, Trybunał zdefiniował swoją rolę w równoważeniu tych dwóch sprzecznych interesów. Przeszedł on do rozpoznania szeregu istotnych kryteriów, w których prawo do swobody wypowiedzi jest zrównoważane prawem do poszanowania życia prywatnego (patrz </w:t>
      </w:r>
      <w:r w:rsidR="002030CE" w:rsidRPr="007A5972">
        <w:rPr>
          <w:i/>
          <w:lang w:val="pl-PL"/>
        </w:rPr>
        <w:t>Axel Springer AG przeciwko Niemcom</w:t>
      </w:r>
      <w:r w:rsidR="002030CE" w:rsidRPr="007A5972">
        <w:rPr>
          <w:lang w:val="pl-PL"/>
        </w:rPr>
        <w:t xml:space="preserve"> [GC], nr 39954/08, §§ 82- 95, 07 lutego 2012, oraz </w:t>
      </w:r>
      <w:r w:rsidR="002030CE" w:rsidRPr="007A5972">
        <w:rPr>
          <w:i/>
          <w:lang w:val="pl-PL"/>
        </w:rPr>
        <w:t xml:space="preserve">Von </w:t>
      </w:r>
      <w:proofErr w:type="spellStart"/>
      <w:r w:rsidR="002030CE" w:rsidRPr="007A5972">
        <w:rPr>
          <w:i/>
          <w:lang w:val="pl-PL"/>
        </w:rPr>
        <w:t>Hannover</w:t>
      </w:r>
      <w:proofErr w:type="spellEnd"/>
      <w:r w:rsidR="002030CE" w:rsidRPr="007A5972">
        <w:rPr>
          <w:i/>
          <w:lang w:val="pl-PL"/>
        </w:rPr>
        <w:t xml:space="preserve"> </w:t>
      </w:r>
      <w:r w:rsidR="002030CE" w:rsidRPr="007A5972">
        <w:rPr>
          <w:i/>
          <w:lang w:val="pl-PL"/>
        </w:rPr>
        <w:lastRenderedPageBreak/>
        <w:t>przeciwko Niemcom</w:t>
      </w:r>
      <w:r w:rsidR="002030CE" w:rsidRPr="007A5972">
        <w:rPr>
          <w:lang w:val="pl-PL"/>
        </w:rPr>
        <w:t xml:space="preserve"> (nr. 2) [GC], nr. 40660/08 i 60641/08, §§ 101-113, ECHR 2012)</w:t>
      </w:r>
      <w:r w:rsidRPr="007A5972">
        <w:rPr>
          <w:lang w:val="pl-PL"/>
        </w:rPr>
        <w:t>.</w:t>
      </w:r>
    </w:p>
    <w:p w:rsidR="001A3D3E" w:rsidRPr="007A5972" w:rsidRDefault="006739FE" w:rsidP="008533F0">
      <w:pPr>
        <w:pStyle w:val="ECHRPara"/>
        <w:rPr>
          <w:rFonts w:ascii="Times New Roman" w:eastAsia="Times New Roman" w:hAnsi="Times New Roman" w:cs="Times New Roman"/>
          <w:szCs w:val="20"/>
          <w:lang w:val="pl-PL" w:eastAsia="fr-FR"/>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40</w:t>
      </w:r>
      <w:r w:rsidRPr="007A5972">
        <w:rPr>
          <w:lang w:val="pl-PL"/>
        </w:rPr>
        <w:fldChar w:fldCharType="end"/>
      </w:r>
      <w:r w:rsidRPr="007A5972">
        <w:rPr>
          <w:lang w:val="pl-PL"/>
        </w:rPr>
        <w:t>.  </w:t>
      </w:r>
      <w:r w:rsidR="002030CE" w:rsidRPr="007A5972">
        <w:rPr>
          <w:lang w:val="pl-PL"/>
        </w:rPr>
        <w:t xml:space="preserve">W przedmiotowej sprawie skarżący napisał satyryczny artykuł krytykujący projekt hodowli przepiórek zatwierdzony przez lokalnych urzędników jako remedium na problem lokalnego bezrobocia. Nie ma wątpliwości, że ta kwestia, odnosząca się do wykonywania </w:t>
      </w:r>
      <w:r w:rsidR="00890DC7">
        <w:rPr>
          <w:lang w:val="pl-PL"/>
        </w:rPr>
        <w:t xml:space="preserve">swoich </w:t>
      </w:r>
      <w:r w:rsidR="002030CE" w:rsidRPr="007A5972">
        <w:rPr>
          <w:lang w:val="pl-PL"/>
        </w:rPr>
        <w:t xml:space="preserve">funkcji </w:t>
      </w:r>
      <w:r w:rsidR="00890DC7">
        <w:rPr>
          <w:lang w:val="pl-PL"/>
        </w:rPr>
        <w:t xml:space="preserve">przez </w:t>
      </w:r>
      <w:r w:rsidR="002030CE" w:rsidRPr="007A5972">
        <w:rPr>
          <w:lang w:val="pl-PL"/>
        </w:rPr>
        <w:t xml:space="preserve">miejscowych urzędników, była kwestią uzasadnionego interesu publicznego (zob. </w:t>
      </w:r>
      <w:r w:rsidR="002030CE" w:rsidRPr="007A5972">
        <w:rPr>
          <w:i/>
          <w:lang w:val="pl-PL"/>
        </w:rPr>
        <w:t>Kwiecień przeciwko Polsce</w:t>
      </w:r>
      <w:r w:rsidR="002030CE" w:rsidRPr="007A5972">
        <w:rPr>
          <w:lang w:val="pl-PL"/>
        </w:rPr>
        <w:t xml:space="preserve">, nr 51744/99, § 51, 9 stycznia 2007 roku). </w:t>
      </w:r>
      <w:r w:rsidR="00890DC7">
        <w:rPr>
          <w:lang w:val="pl-PL"/>
        </w:rPr>
        <w:t xml:space="preserve">Należy zatem uznać, że </w:t>
      </w:r>
      <w:r w:rsidR="002030CE" w:rsidRPr="007A5972">
        <w:rPr>
          <w:lang w:val="pl-PL"/>
        </w:rPr>
        <w:t>publikacja skarżącego dotyczyła sfery, w której ograniczenia swobody wypowiedzi muszą być ściśle interpretowane</w:t>
      </w:r>
      <w:r w:rsidRPr="007A5972">
        <w:rPr>
          <w:rFonts w:ascii="Times New Roman" w:eastAsia="Times New Roman" w:hAnsi="Times New Roman" w:cs="Times New Roman"/>
          <w:szCs w:val="20"/>
          <w:lang w:val="pl-PL" w:eastAsia="fr-FR"/>
        </w:rPr>
        <w:t>.</w:t>
      </w:r>
    </w:p>
    <w:p w:rsidR="006739FE" w:rsidRPr="007A5972" w:rsidRDefault="006739FE" w:rsidP="008533F0">
      <w:pPr>
        <w:pStyle w:val="ECHRPara"/>
        <w:rPr>
          <w:rFonts w:ascii="Times New Roman" w:eastAsia="Times New Roman" w:hAnsi="Times New Roman" w:cs="Times New Roman"/>
          <w:szCs w:val="20"/>
          <w:lang w:val="pl-PL" w:eastAsia="fr-FR"/>
        </w:rPr>
      </w:pPr>
      <w:r w:rsidRPr="007A5972">
        <w:rPr>
          <w:rFonts w:ascii="Times New Roman" w:eastAsia="Times New Roman" w:hAnsi="Times New Roman" w:cs="Times New Roman"/>
          <w:szCs w:val="20"/>
          <w:lang w:val="pl-PL" w:eastAsia="fr-FR"/>
        </w:rPr>
        <w:fldChar w:fldCharType="begin"/>
      </w:r>
      <w:r w:rsidRPr="007A5972">
        <w:rPr>
          <w:rFonts w:ascii="Times New Roman" w:eastAsia="Times New Roman" w:hAnsi="Times New Roman" w:cs="Times New Roman"/>
          <w:szCs w:val="20"/>
          <w:lang w:val="pl-PL" w:eastAsia="fr-FR"/>
        </w:rPr>
        <w:instrText xml:space="preserve"> SEQ level0 \*arabic </w:instrText>
      </w:r>
      <w:r w:rsidRPr="007A5972">
        <w:rPr>
          <w:rFonts w:ascii="Times New Roman" w:eastAsia="Times New Roman" w:hAnsi="Times New Roman" w:cs="Times New Roman"/>
          <w:szCs w:val="20"/>
          <w:lang w:val="pl-PL" w:eastAsia="fr-FR"/>
        </w:rPr>
        <w:fldChar w:fldCharType="separate"/>
      </w:r>
      <w:r w:rsidR="001C3AC1">
        <w:rPr>
          <w:rFonts w:ascii="Times New Roman" w:eastAsia="Times New Roman" w:hAnsi="Times New Roman" w:cs="Times New Roman"/>
          <w:noProof/>
          <w:szCs w:val="20"/>
          <w:lang w:val="pl-PL" w:eastAsia="fr-FR"/>
        </w:rPr>
        <w:t>41</w:t>
      </w:r>
      <w:r w:rsidRPr="007A5972">
        <w:rPr>
          <w:rFonts w:ascii="Times New Roman" w:eastAsia="Times New Roman" w:hAnsi="Times New Roman" w:cs="Times New Roman"/>
          <w:szCs w:val="20"/>
          <w:lang w:val="pl-PL" w:eastAsia="fr-FR"/>
        </w:rPr>
        <w:fldChar w:fldCharType="end"/>
      </w:r>
      <w:r w:rsidRPr="007A5972">
        <w:rPr>
          <w:rFonts w:ascii="Times New Roman" w:eastAsia="Times New Roman" w:hAnsi="Times New Roman" w:cs="Times New Roman"/>
          <w:szCs w:val="20"/>
          <w:lang w:val="pl-PL" w:eastAsia="fr-FR"/>
        </w:rPr>
        <w:t>.  </w:t>
      </w:r>
      <w:r w:rsidR="002030CE" w:rsidRPr="007A5972">
        <w:rPr>
          <w:lang w:val="pl-PL"/>
        </w:rPr>
        <w:t>Skarżący został skazany za znieważeni</w:t>
      </w:r>
      <w:r w:rsidR="009353FB">
        <w:rPr>
          <w:lang w:val="pl-PL"/>
        </w:rPr>
        <w:t>e za to, że użył słowa "palant</w:t>
      </w:r>
      <w:r w:rsidR="002030CE" w:rsidRPr="007A5972">
        <w:rPr>
          <w:lang w:val="pl-PL"/>
        </w:rPr>
        <w:t>", "pozer</w:t>
      </w:r>
      <w:r w:rsidR="009353FB">
        <w:rPr>
          <w:lang w:val="pl-PL"/>
        </w:rPr>
        <w:t>" i "</w:t>
      </w:r>
      <w:proofErr w:type="spellStart"/>
      <w:r w:rsidR="009353FB">
        <w:rPr>
          <w:lang w:val="pl-PL"/>
        </w:rPr>
        <w:t>przygłupawy</w:t>
      </w:r>
      <w:proofErr w:type="spellEnd"/>
      <w:r w:rsidR="009353FB">
        <w:rPr>
          <w:lang w:val="pl-PL"/>
        </w:rPr>
        <w:t xml:space="preserve"> urzędnik"</w:t>
      </w:r>
      <w:r w:rsidR="002030CE" w:rsidRPr="007A5972">
        <w:rPr>
          <w:lang w:val="pl-PL"/>
        </w:rPr>
        <w:t xml:space="preserve"> w odniesieniu do K.H., </w:t>
      </w:r>
      <w:r w:rsidR="009353FB">
        <w:rPr>
          <w:lang w:val="pl-PL"/>
        </w:rPr>
        <w:t>oraz wyrazów</w:t>
      </w:r>
      <w:r w:rsidR="002030CE" w:rsidRPr="007A5972">
        <w:rPr>
          <w:lang w:val="pl-PL"/>
        </w:rPr>
        <w:t xml:space="preserve"> "nierozgarnięci szefowie" w odniesieniu do M.D. i G.D. Sąd pierwszej instancji uznał, że skarżący nie odniósł się do władz lokalnych z nazwiska, ale były one możliwe do zidentyfikowania ze względu na rozgłos wokół projektu</w:t>
      </w:r>
      <w:r w:rsidRPr="007A5972">
        <w:rPr>
          <w:rFonts w:ascii="Times New Roman" w:eastAsia="Times New Roman" w:hAnsi="Times New Roman" w:cs="Times New Roman"/>
          <w:szCs w:val="20"/>
          <w:lang w:val="pl-PL" w:eastAsia="fr-FR"/>
        </w:rPr>
        <w:t>.</w:t>
      </w:r>
    </w:p>
    <w:p w:rsidR="001A3D3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42</w:t>
      </w:r>
      <w:r w:rsidRPr="007A5972">
        <w:rPr>
          <w:lang w:val="pl-PL"/>
        </w:rPr>
        <w:fldChar w:fldCharType="end"/>
      </w:r>
      <w:r w:rsidRPr="007A5972">
        <w:rPr>
          <w:lang w:val="pl-PL"/>
        </w:rPr>
        <w:t>.  </w:t>
      </w:r>
      <w:r w:rsidR="002030CE" w:rsidRPr="007A5972">
        <w:rPr>
          <w:lang w:val="pl-PL"/>
        </w:rPr>
        <w:t>Trybunał zauważa, że ​​M. D. był starostą powiatu, a zatem wybranym lokalnym politykiem i urzędnikiem. W orzecznictwie Trybunału dobrze ugruntowane jest, że granice dopuszczalnej krytyki są szersze w stosunku do polityków</w:t>
      </w:r>
      <w:r w:rsidR="009353FB">
        <w:rPr>
          <w:lang w:val="pl-PL"/>
        </w:rPr>
        <w:t>,</w:t>
      </w:r>
      <w:r w:rsidR="002030CE" w:rsidRPr="007A5972">
        <w:rPr>
          <w:lang w:val="pl-PL"/>
        </w:rPr>
        <w:t xml:space="preserve"> niż w odniesieniu do osoby prywatnej (</w:t>
      </w:r>
      <w:proofErr w:type="spellStart"/>
      <w:r w:rsidR="002030CE" w:rsidRPr="007A5972">
        <w:rPr>
          <w:lang w:val="pl-PL"/>
        </w:rPr>
        <w:t>zob</w:t>
      </w:r>
      <w:proofErr w:type="spellEnd"/>
      <w:r w:rsidR="002030CE" w:rsidRPr="007A5972">
        <w:rPr>
          <w:lang w:val="pl-PL"/>
        </w:rPr>
        <w:t xml:space="preserve"> </w:t>
      </w:r>
      <w:proofErr w:type="spellStart"/>
      <w:r w:rsidR="002030CE" w:rsidRPr="007A5972">
        <w:rPr>
          <w:i/>
          <w:lang w:val="pl-PL"/>
        </w:rPr>
        <w:t>Lingens</w:t>
      </w:r>
      <w:proofErr w:type="spellEnd"/>
      <w:r w:rsidR="002030CE" w:rsidRPr="007A5972">
        <w:rPr>
          <w:i/>
          <w:lang w:val="pl-PL"/>
        </w:rPr>
        <w:t xml:space="preserve"> przeciwko Austrii</w:t>
      </w:r>
      <w:r w:rsidR="002030CE" w:rsidRPr="007A5972">
        <w:rPr>
          <w:lang w:val="pl-PL"/>
        </w:rPr>
        <w:t>, 8 l</w:t>
      </w:r>
      <w:r w:rsidR="009353FB">
        <w:rPr>
          <w:lang w:val="pl-PL"/>
        </w:rPr>
        <w:t>ipca 1986, § 42, Seria A nr 103</w:t>
      </w:r>
      <w:r w:rsidR="002030CE" w:rsidRPr="007A5972">
        <w:rPr>
          <w:lang w:val="pl-PL"/>
        </w:rPr>
        <w:t xml:space="preserve">. </w:t>
      </w:r>
      <w:proofErr w:type="spellStart"/>
      <w:r w:rsidR="002030CE" w:rsidRPr="007A5972">
        <w:rPr>
          <w:i/>
          <w:lang w:val="pl-PL"/>
        </w:rPr>
        <w:t>Oberschlick</w:t>
      </w:r>
      <w:proofErr w:type="spellEnd"/>
      <w:r w:rsidR="002030CE" w:rsidRPr="007A5972">
        <w:rPr>
          <w:lang w:val="pl-PL"/>
        </w:rPr>
        <w:t xml:space="preserve"> </w:t>
      </w:r>
      <w:r w:rsidR="002030CE" w:rsidRPr="007A5972">
        <w:rPr>
          <w:i/>
          <w:lang w:val="pl-PL"/>
        </w:rPr>
        <w:t>przeciwko Austrii</w:t>
      </w:r>
      <w:r w:rsidR="009353FB">
        <w:rPr>
          <w:lang w:val="pl-PL"/>
        </w:rPr>
        <w:t xml:space="preserve"> (nr 2)</w:t>
      </w:r>
      <w:r w:rsidR="002030CE" w:rsidRPr="007A5972">
        <w:rPr>
          <w:lang w:val="pl-PL"/>
        </w:rPr>
        <w:t xml:space="preserve">, 1 lipca 1997, § 29, </w:t>
      </w:r>
      <w:r w:rsidR="002030CE" w:rsidRPr="007A5972">
        <w:rPr>
          <w:i/>
          <w:lang w:val="pl-PL"/>
        </w:rPr>
        <w:t>Zbiór wyroków i decyzji</w:t>
      </w:r>
      <w:r w:rsidR="009353FB">
        <w:rPr>
          <w:lang w:val="pl-PL"/>
        </w:rPr>
        <w:t xml:space="preserve"> 1997 IV,</w:t>
      </w:r>
      <w:r w:rsidR="002030CE" w:rsidRPr="007A5972">
        <w:rPr>
          <w:lang w:val="pl-PL"/>
        </w:rPr>
        <w:t xml:space="preserve"> </w:t>
      </w:r>
      <w:proofErr w:type="spellStart"/>
      <w:r w:rsidR="002030CE" w:rsidRPr="007A5972">
        <w:rPr>
          <w:i/>
          <w:lang w:val="pl-PL"/>
        </w:rPr>
        <w:t>Mamère</w:t>
      </w:r>
      <w:proofErr w:type="spellEnd"/>
      <w:r w:rsidR="002030CE" w:rsidRPr="007A5972">
        <w:rPr>
          <w:i/>
          <w:lang w:val="pl-PL"/>
        </w:rPr>
        <w:t xml:space="preserve"> przeciwko Francji</w:t>
      </w:r>
      <w:r w:rsidR="002030CE" w:rsidRPr="007A5972">
        <w:rPr>
          <w:lang w:val="pl-PL"/>
        </w:rPr>
        <w:t xml:space="preserve">, nr 12697/03, § 27, ECHR 2006 XIII oraz </w:t>
      </w:r>
      <w:r w:rsidR="002030CE" w:rsidRPr="007A5972">
        <w:rPr>
          <w:i/>
          <w:lang w:val="pl-PL"/>
        </w:rPr>
        <w:t>Kwiecień</w:t>
      </w:r>
      <w:r w:rsidR="002030CE" w:rsidRPr="007A5972">
        <w:rPr>
          <w:lang w:val="pl-PL"/>
        </w:rPr>
        <w:t>, cytowany powyżej, § 47 ). Dwoma dalszymi osobami, do których - zdaniem sądu - adresowana była krytyka skarżącego byli lokalni urzędnicy</w:t>
      </w:r>
      <w:r w:rsidR="009353FB">
        <w:rPr>
          <w:lang w:val="pl-PL"/>
        </w:rPr>
        <w:t xml:space="preserve"> służby cywilnej</w:t>
      </w:r>
      <w:r w:rsidR="002030CE" w:rsidRPr="007A5972">
        <w:rPr>
          <w:lang w:val="pl-PL"/>
        </w:rPr>
        <w:t>, G.D. i K.H., odpowiednio</w:t>
      </w:r>
      <w:r w:rsidR="009353FB">
        <w:rPr>
          <w:lang w:val="pl-PL"/>
        </w:rPr>
        <w:t>:</w:t>
      </w:r>
      <w:r w:rsidR="002030CE" w:rsidRPr="007A5972">
        <w:rPr>
          <w:lang w:val="pl-PL"/>
        </w:rPr>
        <w:t xml:space="preserve"> naczelnik powiatowego wydziału marketingu i urzędnik w tym wydziale. Prawdą jest, że urzędnicy działający </w:t>
      </w:r>
      <w:r w:rsidR="0017633D">
        <w:rPr>
          <w:lang w:val="pl-PL"/>
        </w:rPr>
        <w:t>w ramach pełnionej funkcji</w:t>
      </w:r>
      <w:r w:rsidR="002030CE" w:rsidRPr="007A5972">
        <w:rPr>
          <w:lang w:val="pl-PL"/>
        </w:rPr>
        <w:t xml:space="preserve"> podlegają, podobnie jak politycy, szerszym granicom dopuszczalnej krytyki niż osoby prywatne. Jednak nie można powiedzieć, że urzędnicy sami świadomie poddają się ścisłej kontroli każdego ich sł</w:t>
      </w:r>
      <w:r w:rsidR="009353FB">
        <w:rPr>
          <w:lang w:val="pl-PL"/>
        </w:rPr>
        <w:t>owa i czynu do takiego stopnia,</w:t>
      </w:r>
      <w:r w:rsidR="002030CE" w:rsidRPr="007A5972">
        <w:rPr>
          <w:lang w:val="pl-PL"/>
        </w:rPr>
        <w:t xml:space="preserve"> jak czynią to politycy (patrz </w:t>
      </w:r>
      <w:r w:rsidR="002030CE" w:rsidRPr="007A5972">
        <w:rPr>
          <w:i/>
          <w:lang w:val="pl-PL"/>
        </w:rPr>
        <w:t>Janowski przeciwko Polsce</w:t>
      </w:r>
      <w:r w:rsidR="002030CE" w:rsidRPr="007A5972">
        <w:rPr>
          <w:lang w:val="pl-PL"/>
        </w:rPr>
        <w:t xml:space="preserve"> [GC], nr 25716/94, § 33, ECHR 1999 I, i </w:t>
      </w:r>
      <w:r w:rsidR="002030CE" w:rsidRPr="007A5972">
        <w:rPr>
          <w:i/>
          <w:lang w:val="pl-PL"/>
        </w:rPr>
        <w:t xml:space="preserve">Pedersen oraz </w:t>
      </w:r>
      <w:proofErr w:type="spellStart"/>
      <w:r w:rsidR="002030CE" w:rsidRPr="007A5972">
        <w:rPr>
          <w:i/>
          <w:lang w:val="pl-PL"/>
        </w:rPr>
        <w:t>Baadsgaard</w:t>
      </w:r>
      <w:proofErr w:type="spellEnd"/>
      <w:r w:rsidR="002030CE" w:rsidRPr="007A5972">
        <w:rPr>
          <w:i/>
          <w:lang w:val="pl-PL"/>
        </w:rPr>
        <w:t xml:space="preserve"> przeciwko Danii</w:t>
      </w:r>
      <w:r w:rsidR="002030CE" w:rsidRPr="007A5972">
        <w:rPr>
          <w:lang w:val="pl-PL"/>
        </w:rPr>
        <w:t xml:space="preserve"> [GC], no. 49017/99, § 80, ECHR 2004 XI)</w:t>
      </w:r>
      <w:r w:rsidRPr="007A5972">
        <w:rPr>
          <w:lang w:val="pl-PL"/>
        </w:rPr>
        <w:t>.</w:t>
      </w:r>
    </w:p>
    <w:p w:rsidR="001A3D3E" w:rsidRPr="007A5972" w:rsidRDefault="00313BE2"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43</w:t>
      </w:r>
      <w:r w:rsidRPr="007A5972">
        <w:rPr>
          <w:noProof/>
          <w:lang w:val="pl-PL"/>
        </w:rPr>
        <w:fldChar w:fldCharType="end"/>
      </w:r>
      <w:r w:rsidR="006739FE" w:rsidRPr="007A5972">
        <w:rPr>
          <w:lang w:val="pl-PL"/>
        </w:rPr>
        <w:t>.  </w:t>
      </w:r>
      <w:r w:rsidR="002030CE" w:rsidRPr="007A5972">
        <w:rPr>
          <w:lang w:val="pl-PL"/>
        </w:rPr>
        <w:t xml:space="preserve">W odniesieniu do klasyfikacji </w:t>
      </w:r>
      <w:r w:rsidR="005E5991">
        <w:rPr>
          <w:lang w:val="pl-PL"/>
        </w:rPr>
        <w:t>rzeczonych wypowiedzi</w:t>
      </w:r>
      <w:r w:rsidR="002030CE" w:rsidRPr="007A5972">
        <w:rPr>
          <w:lang w:val="pl-PL"/>
        </w:rPr>
        <w:t>, Trybunał zauważa, że ​​sądy krajowe nie zajęły wyraźnego stanowiska w tym względzie. U</w:t>
      </w:r>
      <w:r w:rsidR="005E5991">
        <w:rPr>
          <w:lang w:val="pl-PL"/>
        </w:rPr>
        <w:t>zna</w:t>
      </w:r>
      <w:r w:rsidR="002030CE" w:rsidRPr="007A5972">
        <w:rPr>
          <w:lang w:val="pl-PL"/>
        </w:rPr>
        <w:t xml:space="preserve">ły one, że skarżący przekroczył granice </w:t>
      </w:r>
      <w:r w:rsidR="005E5991">
        <w:rPr>
          <w:lang w:val="pl-PL"/>
        </w:rPr>
        <w:t>rzetelnej</w:t>
      </w:r>
      <w:r w:rsidR="002030CE" w:rsidRPr="007A5972">
        <w:rPr>
          <w:lang w:val="pl-PL"/>
        </w:rPr>
        <w:t xml:space="preserve"> krytyki i uciekł się do wyrażeń, które były lekceważące i obraźliwe. Wyrażenia te zostały następnie uznane za szkodliwe dla percepcji godności własnej powodów</w:t>
      </w:r>
      <w:r w:rsidR="006739FE" w:rsidRPr="007A5972">
        <w:rPr>
          <w:lang w:val="pl-PL"/>
        </w:rPr>
        <w:t>.</w:t>
      </w:r>
    </w:p>
    <w:p w:rsidR="001A3D3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44</w:t>
      </w:r>
      <w:r w:rsidRPr="007A5972">
        <w:rPr>
          <w:lang w:val="pl-PL"/>
        </w:rPr>
        <w:fldChar w:fldCharType="end"/>
      </w:r>
      <w:r w:rsidRPr="007A5972">
        <w:rPr>
          <w:lang w:val="pl-PL"/>
        </w:rPr>
        <w:t>.  </w:t>
      </w:r>
      <w:r w:rsidR="002030CE" w:rsidRPr="005E5991">
        <w:rPr>
          <w:lang w:val="pl-PL"/>
        </w:rPr>
        <w:t>Trybunał</w:t>
      </w:r>
      <w:r w:rsidR="002030CE" w:rsidRPr="007A5972">
        <w:rPr>
          <w:lang w:val="pl-PL"/>
        </w:rPr>
        <w:t xml:space="preserve"> zauważa, że ​​ocena konieczności ingerencji w niniejszej sprawie nie może być oderwana od kontekstu i </w:t>
      </w:r>
      <w:r w:rsidR="005E5991">
        <w:rPr>
          <w:lang w:val="pl-PL"/>
        </w:rPr>
        <w:t>oczywistego</w:t>
      </w:r>
      <w:r w:rsidR="002030CE" w:rsidRPr="007A5972">
        <w:rPr>
          <w:lang w:val="pl-PL"/>
        </w:rPr>
        <w:t xml:space="preserve"> celu krytyki skarżącego. Uważa ponadto, że przy analizie artykułu skarżącego powinny </w:t>
      </w:r>
      <w:r w:rsidR="002030CE" w:rsidRPr="007A5972">
        <w:rPr>
          <w:lang w:val="pl-PL"/>
        </w:rPr>
        <w:lastRenderedPageBreak/>
        <w:t xml:space="preserve">być brane pod uwagę satyryczny charakter tekstu i </w:t>
      </w:r>
      <w:r w:rsidR="0036722C" w:rsidRPr="00C0416F">
        <w:rPr>
          <w:lang w:val="pl-PL"/>
        </w:rPr>
        <w:t>ironia leżąca u jego</w:t>
      </w:r>
      <w:r w:rsidR="0036722C">
        <w:rPr>
          <w:lang w:val="pl-PL"/>
        </w:rPr>
        <w:t xml:space="preserve"> podstaw</w:t>
      </w:r>
      <w:r w:rsidR="002030CE" w:rsidRPr="007A5972">
        <w:rPr>
          <w:lang w:val="pl-PL"/>
        </w:rPr>
        <w:t xml:space="preserve"> (patrz Sokołowski przeciwko Polsce, nr 75955/01, § 46 </w:t>
      </w:r>
      <w:r w:rsidR="002030CE" w:rsidRPr="007A5972">
        <w:rPr>
          <w:i/>
          <w:lang w:val="pl-PL"/>
        </w:rPr>
        <w:t>in fine</w:t>
      </w:r>
      <w:r w:rsidR="002030CE" w:rsidRPr="007A5972">
        <w:rPr>
          <w:lang w:val="pl-PL"/>
        </w:rPr>
        <w:t xml:space="preserve">, 29 marca 2005). Stosowanie sarkazmu i ironii jest w pełni zgodne z wykonywaniem swobody wypowiedzi dziennikarza (patrz </w:t>
      </w:r>
      <w:r w:rsidR="002030CE" w:rsidRPr="007A5972">
        <w:rPr>
          <w:i/>
          <w:lang w:val="pl-PL"/>
        </w:rPr>
        <w:t>Smolorz przeciwko Polsce</w:t>
      </w:r>
      <w:r w:rsidR="002030CE" w:rsidRPr="007A5972">
        <w:rPr>
          <w:lang w:val="pl-PL"/>
        </w:rPr>
        <w:t>, nr 17446/07, § 41, 16 października 2012). Okazuje się jednak, że sądy krajowe nie uwzględniają w wystarczającym stopniu tych cech, choć zauważają, że skarżący miał zamiar zadrwić z urzędników i wcześniej publikowan</w:t>
      </w:r>
      <w:r w:rsidR="0036722C">
        <w:rPr>
          <w:lang w:val="pl-PL"/>
        </w:rPr>
        <w:t>y</w:t>
      </w:r>
      <w:r w:rsidR="002030CE" w:rsidRPr="007A5972">
        <w:rPr>
          <w:lang w:val="pl-PL"/>
        </w:rPr>
        <w:t xml:space="preserve"> </w:t>
      </w:r>
      <w:r w:rsidR="00AE7F69">
        <w:rPr>
          <w:lang w:val="pl-PL"/>
        </w:rPr>
        <w:t xml:space="preserve">był </w:t>
      </w:r>
      <w:r w:rsidR="002030CE" w:rsidRPr="007A5972">
        <w:rPr>
          <w:lang w:val="pl-PL"/>
        </w:rPr>
        <w:t xml:space="preserve">ironiczny artykuł na ten sam temat. W tym kontekście Trybunał przypomina, że ​​każda osoba, która bierze udział w publicznej debacie budzącej ogólne zainteresowanie - jak skarżący w niniejszej sprawie - nie może przekraczać pewnych granic, w szczególności w odniesieniu do poszanowania dobrego imienia i praw innych osób, </w:t>
      </w:r>
      <w:r w:rsidR="009765A2">
        <w:rPr>
          <w:lang w:val="pl-PL"/>
        </w:rPr>
        <w:t xml:space="preserve">przy czym </w:t>
      </w:r>
      <w:r w:rsidR="002030CE" w:rsidRPr="007A5972">
        <w:rPr>
          <w:lang w:val="pl-PL"/>
        </w:rPr>
        <w:t>pewien stopień przesady, a nawet prowokacji jest dozwolony</w:t>
      </w:r>
      <w:r w:rsidR="009765A2">
        <w:rPr>
          <w:lang w:val="pl-PL"/>
        </w:rPr>
        <w:t>.</w:t>
      </w:r>
      <w:r w:rsidR="002030CE" w:rsidRPr="007A5972">
        <w:rPr>
          <w:lang w:val="pl-PL"/>
        </w:rPr>
        <w:t xml:space="preserve"> Innymi słowy, </w:t>
      </w:r>
      <w:r w:rsidR="0036722C">
        <w:rPr>
          <w:lang w:val="pl-PL"/>
        </w:rPr>
        <w:t>dozwolony jest pewien stopień nieumiarkowania</w:t>
      </w:r>
      <w:r w:rsidR="002030CE" w:rsidRPr="007A5972">
        <w:rPr>
          <w:lang w:val="pl-PL"/>
        </w:rPr>
        <w:t xml:space="preserve"> (patrz </w:t>
      </w:r>
      <w:proofErr w:type="spellStart"/>
      <w:r w:rsidR="002030CE" w:rsidRPr="007A5972">
        <w:rPr>
          <w:i/>
          <w:lang w:val="pl-PL"/>
        </w:rPr>
        <w:t>Mamère</w:t>
      </w:r>
      <w:proofErr w:type="spellEnd"/>
      <w:r w:rsidR="002030CE" w:rsidRPr="007A5972">
        <w:rPr>
          <w:lang w:val="pl-PL"/>
        </w:rPr>
        <w:t xml:space="preserve">, cytowany powyżej, § 25;. </w:t>
      </w:r>
      <w:r w:rsidR="002030CE" w:rsidRPr="007A5972">
        <w:rPr>
          <w:i/>
          <w:lang w:val="pl-PL"/>
        </w:rPr>
        <w:t>Dąbrowski przeciwko Polsce</w:t>
      </w:r>
      <w:r w:rsidR="002030CE" w:rsidRPr="007A5972">
        <w:rPr>
          <w:lang w:val="pl-PL"/>
        </w:rPr>
        <w:t xml:space="preserve">, nr 18235/02, § 35, 19 grudnia 2006;.. </w:t>
      </w:r>
      <w:r w:rsidR="002030CE" w:rsidRPr="007A5972">
        <w:rPr>
          <w:i/>
          <w:lang w:val="pl-PL"/>
        </w:rPr>
        <w:t>Uj przeciwko Węgrom</w:t>
      </w:r>
      <w:r w:rsidR="002030CE" w:rsidRPr="007A5972">
        <w:rPr>
          <w:lang w:val="pl-PL"/>
        </w:rPr>
        <w:t xml:space="preserve">, nr 23954/10, §. 24, 19 lipca 2011 r.. </w:t>
      </w:r>
      <w:proofErr w:type="spellStart"/>
      <w:r w:rsidR="002030CE" w:rsidRPr="007A5972">
        <w:rPr>
          <w:i/>
          <w:lang w:val="pl-PL"/>
        </w:rPr>
        <w:t>Nowaja</w:t>
      </w:r>
      <w:proofErr w:type="spellEnd"/>
      <w:r w:rsidR="002030CE" w:rsidRPr="007A5972">
        <w:rPr>
          <w:i/>
          <w:lang w:val="pl-PL"/>
        </w:rPr>
        <w:t xml:space="preserve"> Gazeta i </w:t>
      </w:r>
      <w:proofErr w:type="spellStart"/>
      <w:r w:rsidR="002030CE" w:rsidRPr="007A5972">
        <w:rPr>
          <w:i/>
          <w:lang w:val="pl-PL"/>
        </w:rPr>
        <w:t>Borodyanskiy</w:t>
      </w:r>
      <w:proofErr w:type="spellEnd"/>
      <w:r w:rsidR="002030CE" w:rsidRPr="007A5972">
        <w:rPr>
          <w:i/>
          <w:lang w:val="pl-PL"/>
        </w:rPr>
        <w:t xml:space="preserve"> przeciwko Rosji</w:t>
      </w:r>
      <w:r w:rsidR="002030CE" w:rsidRPr="007A5972">
        <w:rPr>
          <w:lang w:val="pl-PL"/>
        </w:rPr>
        <w:t xml:space="preserve">, nr 14087/08, § 29, 28 marca 2013 r., i </w:t>
      </w:r>
      <w:r w:rsidR="002030CE" w:rsidRPr="007A5972">
        <w:rPr>
          <w:i/>
          <w:lang w:val="pl-PL"/>
        </w:rPr>
        <w:t>Marian Maciejewski przeciwko Polsce</w:t>
      </w:r>
      <w:r w:rsidR="002030CE" w:rsidRPr="007A5972">
        <w:rPr>
          <w:lang w:val="pl-PL"/>
        </w:rPr>
        <w:t>, nr 34447/05, § 79, 13 stycznia 2015)</w:t>
      </w:r>
      <w:r w:rsidRPr="007A5972">
        <w:rPr>
          <w:lang w:val="pl-PL"/>
        </w:rPr>
        <w:t>.</w:t>
      </w:r>
    </w:p>
    <w:p w:rsidR="001A3D3E" w:rsidRPr="007A5972" w:rsidRDefault="006739FE" w:rsidP="008533F0">
      <w:pPr>
        <w:pStyle w:val="ECHRPara"/>
        <w:rPr>
          <w:snapToGrid w:val="0"/>
          <w:lang w:val="pl-PL"/>
        </w:rPr>
      </w:pPr>
      <w:r w:rsidRPr="007A5972">
        <w:rPr>
          <w:bCs/>
          <w:lang w:val="pl-PL"/>
        </w:rPr>
        <w:fldChar w:fldCharType="begin"/>
      </w:r>
      <w:r w:rsidRPr="007A5972">
        <w:rPr>
          <w:bCs/>
          <w:lang w:val="pl-PL"/>
        </w:rPr>
        <w:instrText xml:space="preserve"> SEQ level0 \*arabic </w:instrText>
      </w:r>
      <w:r w:rsidRPr="007A5972">
        <w:rPr>
          <w:bCs/>
          <w:lang w:val="pl-PL"/>
        </w:rPr>
        <w:fldChar w:fldCharType="separate"/>
      </w:r>
      <w:r w:rsidR="001C3AC1">
        <w:rPr>
          <w:bCs/>
          <w:noProof/>
          <w:lang w:val="pl-PL"/>
        </w:rPr>
        <w:t>45</w:t>
      </w:r>
      <w:r w:rsidRPr="007A5972">
        <w:rPr>
          <w:bCs/>
          <w:lang w:val="pl-PL"/>
        </w:rPr>
        <w:fldChar w:fldCharType="end"/>
      </w:r>
      <w:r w:rsidRPr="007A5972">
        <w:rPr>
          <w:bCs/>
          <w:lang w:val="pl-PL"/>
        </w:rPr>
        <w:t>.  </w:t>
      </w:r>
      <w:r w:rsidR="00194FA6" w:rsidRPr="007A5972">
        <w:rPr>
          <w:lang w:val="pl-PL"/>
        </w:rPr>
        <w:t xml:space="preserve">W opinii Trybunału, </w:t>
      </w:r>
      <w:r w:rsidR="00A71AAA">
        <w:rPr>
          <w:lang w:val="pl-PL"/>
        </w:rPr>
        <w:t xml:space="preserve">nie dokonując oceny każdego pojedynczego </w:t>
      </w:r>
      <w:r w:rsidR="003B2CDF">
        <w:rPr>
          <w:lang w:val="pl-PL"/>
        </w:rPr>
        <w:t>wyrażenia</w:t>
      </w:r>
      <w:r w:rsidR="00A71AAA">
        <w:rPr>
          <w:lang w:val="pl-PL"/>
        </w:rPr>
        <w:t xml:space="preserve"> zawartego w artykule</w:t>
      </w:r>
      <w:r w:rsidR="00194FA6" w:rsidRPr="007A5972">
        <w:rPr>
          <w:lang w:val="pl-PL"/>
        </w:rPr>
        <w:t xml:space="preserve">, nie ma wątpliwości, że </w:t>
      </w:r>
      <w:r w:rsidR="003B2CDF">
        <w:rPr>
          <w:lang w:val="pl-PL"/>
        </w:rPr>
        <w:t>wyrażenia te</w:t>
      </w:r>
      <w:r w:rsidR="00194FA6" w:rsidRPr="007A5972">
        <w:rPr>
          <w:lang w:val="pl-PL"/>
        </w:rPr>
        <w:t xml:space="preserve"> stosowane w szczególnym kontekście artykułu, pozostają w granicach dopuszczalnej przesady. Sądy krajowe nie uwzględniły </w:t>
      </w:r>
      <w:r w:rsidR="003B2CDF">
        <w:rPr>
          <w:lang w:val="pl-PL"/>
        </w:rPr>
        <w:t xml:space="preserve">wyrażeń zawartych w artykule </w:t>
      </w:r>
      <w:r w:rsidR="00194FA6" w:rsidRPr="007A5972">
        <w:rPr>
          <w:lang w:val="pl-PL"/>
        </w:rPr>
        <w:t xml:space="preserve">skarżącego w kontekście artykułu jako całości. Trybunał zauważył kilkakrotnie, że satyra jest formą ekspresji artystycznej i komentarzem społecznym, który, poprzez swoje nieodłączne cechy przesady i wypaczenia rzeczywistości, w sposób oczywisty ma na celu sprowokowanie i </w:t>
      </w:r>
      <w:r w:rsidR="00D200FA" w:rsidRPr="007A5972">
        <w:rPr>
          <w:lang w:val="pl-PL"/>
        </w:rPr>
        <w:t>wzburze</w:t>
      </w:r>
      <w:r w:rsidR="00194FA6" w:rsidRPr="007A5972">
        <w:rPr>
          <w:lang w:val="pl-PL"/>
        </w:rPr>
        <w:t xml:space="preserve">nie. W związku z tym jakakolwiek ingerencja w prawo do korzystania z tego środka wypowiedzi powinna zostać </w:t>
      </w:r>
      <w:r w:rsidR="00194FA6" w:rsidRPr="00C0416F">
        <w:rPr>
          <w:lang w:val="pl-PL"/>
        </w:rPr>
        <w:t xml:space="preserve">zbadana ze szczególną </w:t>
      </w:r>
      <w:r w:rsidR="002C4511">
        <w:rPr>
          <w:lang w:val="pl-PL"/>
        </w:rPr>
        <w:t>uwagą</w:t>
      </w:r>
      <w:r w:rsidR="00194FA6" w:rsidRPr="00C0416F">
        <w:rPr>
          <w:lang w:val="pl-PL"/>
        </w:rPr>
        <w:t xml:space="preserve"> (patrz </w:t>
      </w:r>
      <w:proofErr w:type="spellStart"/>
      <w:r w:rsidR="00194FA6" w:rsidRPr="00C0416F">
        <w:rPr>
          <w:i/>
          <w:lang w:val="pl-PL"/>
        </w:rPr>
        <w:t>Vereinigung</w:t>
      </w:r>
      <w:proofErr w:type="spellEnd"/>
      <w:r w:rsidR="00194FA6" w:rsidRPr="00C0416F">
        <w:rPr>
          <w:i/>
          <w:lang w:val="pl-PL"/>
        </w:rPr>
        <w:t xml:space="preserve"> </w:t>
      </w:r>
      <w:proofErr w:type="spellStart"/>
      <w:r w:rsidR="00194FA6" w:rsidRPr="00C0416F">
        <w:rPr>
          <w:i/>
          <w:lang w:val="pl-PL"/>
        </w:rPr>
        <w:t>Bildender</w:t>
      </w:r>
      <w:proofErr w:type="spellEnd"/>
      <w:r w:rsidR="00194FA6" w:rsidRPr="00C0416F">
        <w:rPr>
          <w:i/>
          <w:lang w:val="pl-PL"/>
        </w:rPr>
        <w:t xml:space="preserve"> </w:t>
      </w:r>
      <w:proofErr w:type="spellStart"/>
      <w:r w:rsidR="00194FA6" w:rsidRPr="00C0416F">
        <w:rPr>
          <w:i/>
          <w:lang w:val="pl-PL"/>
        </w:rPr>
        <w:t>Künstl</w:t>
      </w:r>
      <w:r w:rsidR="00194FA6" w:rsidRPr="007A5972">
        <w:rPr>
          <w:i/>
          <w:lang w:val="pl-PL"/>
        </w:rPr>
        <w:t>er</w:t>
      </w:r>
      <w:proofErr w:type="spellEnd"/>
      <w:r w:rsidR="00194FA6" w:rsidRPr="007A5972">
        <w:rPr>
          <w:i/>
          <w:lang w:val="pl-PL"/>
        </w:rPr>
        <w:t xml:space="preserve"> przeciwko Austrii</w:t>
      </w:r>
      <w:r w:rsidR="00194FA6" w:rsidRPr="007A5972">
        <w:rPr>
          <w:lang w:val="pl-PL"/>
        </w:rPr>
        <w:t xml:space="preserve">, nr 8354/01, § 33, 25 stycznia 2007 r... </w:t>
      </w:r>
      <w:proofErr w:type="spellStart"/>
      <w:r w:rsidR="00194FA6" w:rsidRPr="007A5972">
        <w:rPr>
          <w:i/>
          <w:lang w:val="pl-PL"/>
        </w:rPr>
        <w:t>Alves</w:t>
      </w:r>
      <w:proofErr w:type="spellEnd"/>
      <w:r w:rsidR="00194FA6" w:rsidRPr="007A5972">
        <w:rPr>
          <w:i/>
          <w:lang w:val="pl-PL"/>
        </w:rPr>
        <w:t xml:space="preserve"> da Silva przeciwko Portugalii</w:t>
      </w:r>
      <w:r w:rsidR="00194FA6" w:rsidRPr="007A5972">
        <w:rPr>
          <w:lang w:val="pl-PL"/>
        </w:rPr>
        <w:t xml:space="preserve">, nr 41665/07, § 27, 20 października 2009 r.. i </w:t>
      </w:r>
      <w:r w:rsidR="00194FA6" w:rsidRPr="007A5972">
        <w:rPr>
          <w:i/>
          <w:lang w:val="pl-PL"/>
        </w:rPr>
        <w:t>Eon przeciwko Francji</w:t>
      </w:r>
      <w:r w:rsidR="00194FA6" w:rsidRPr="007A5972">
        <w:rPr>
          <w:lang w:val="pl-PL"/>
        </w:rPr>
        <w:t>, nr 26118/10, § 60, 14 marca 2013)</w:t>
      </w:r>
      <w:r w:rsidRPr="007A5972">
        <w:rPr>
          <w:snapToGrid w:val="0"/>
          <w:lang w:val="pl-PL"/>
        </w:rPr>
        <w:t>.</w:t>
      </w:r>
    </w:p>
    <w:p w:rsidR="006739FE" w:rsidRPr="007A5972" w:rsidRDefault="006739FE" w:rsidP="008533F0">
      <w:pPr>
        <w:pStyle w:val="ECHRPara"/>
        <w:rPr>
          <w:snapToGrid w:val="0"/>
          <w:lang w:val="pl-PL"/>
        </w:rPr>
      </w:pPr>
      <w:r w:rsidRPr="007A5972">
        <w:rPr>
          <w:snapToGrid w:val="0"/>
          <w:lang w:val="pl-PL"/>
        </w:rPr>
        <w:fldChar w:fldCharType="begin"/>
      </w:r>
      <w:r w:rsidRPr="007A5972">
        <w:rPr>
          <w:snapToGrid w:val="0"/>
          <w:lang w:val="pl-PL"/>
        </w:rPr>
        <w:instrText xml:space="preserve"> SEQ level0 \*arabic </w:instrText>
      </w:r>
      <w:r w:rsidRPr="007A5972">
        <w:rPr>
          <w:snapToGrid w:val="0"/>
          <w:lang w:val="pl-PL"/>
        </w:rPr>
        <w:fldChar w:fldCharType="separate"/>
      </w:r>
      <w:r w:rsidR="001C3AC1">
        <w:rPr>
          <w:noProof/>
          <w:snapToGrid w:val="0"/>
          <w:lang w:val="pl-PL"/>
        </w:rPr>
        <w:t>46</w:t>
      </w:r>
      <w:r w:rsidRPr="007A5972">
        <w:rPr>
          <w:snapToGrid w:val="0"/>
          <w:lang w:val="pl-PL"/>
        </w:rPr>
        <w:fldChar w:fldCharType="end"/>
      </w:r>
      <w:r w:rsidRPr="007A5972">
        <w:rPr>
          <w:snapToGrid w:val="0"/>
          <w:lang w:val="pl-PL"/>
        </w:rPr>
        <w:t>.  </w:t>
      </w:r>
      <w:r w:rsidR="00194FA6" w:rsidRPr="007A5972">
        <w:rPr>
          <w:lang w:val="pl-PL"/>
        </w:rPr>
        <w:t>Wreszcie, charakter i surowość wymierzonej kary to czynniki, które należy wziąć pod uwagę przy ocenie proporcjonalności ingerencji. Chociaż stosowanie sankcji karnych w sprawach o zniesławienie samo w sobie nie jest nieproporcjonalne (</w:t>
      </w:r>
      <w:proofErr w:type="spellStart"/>
      <w:r w:rsidR="00194FA6" w:rsidRPr="007A5972">
        <w:rPr>
          <w:lang w:val="pl-PL"/>
        </w:rPr>
        <w:t>zob</w:t>
      </w:r>
      <w:proofErr w:type="spellEnd"/>
      <w:r w:rsidR="00194FA6" w:rsidRPr="007A5972">
        <w:rPr>
          <w:lang w:val="pl-PL"/>
        </w:rPr>
        <w:t xml:space="preserve"> </w:t>
      </w:r>
      <w:r w:rsidR="00194FA6" w:rsidRPr="007A5972">
        <w:rPr>
          <w:i/>
          <w:lang w:val="pl-PL"/>
        </w:rPr>
        <w:t>Radio France i inni przeciwko Francji</w:t>
      </w:r>
      <w:r w:rsidR="00194FA6" w:rsidRPr="007A5972">
        <w:rPr>
          <w:lang w:val="pl-PL"/>
        </w:rPr>
        <w:t xml:space="preserve">, nr 53984/00, § 40, ECHR 2004 II;... </w:t>
      </w:r>
      <w:proofErr w:type="spellStart"/>
      <w:r w:rsidR="00194FA6" w:rsidRPr="007A5972">
        <w:rPr>
          <w:i/>
          <w:lang w:val="pl-PL"/>
        </w:rPr>
        <w:t>Lindon</w:t>
      </w:r>
      <w:proofErr w:type="spellEnd"/>
      <w:r w:rsidR="00194FA6" w:rsidRPr="007A5972">
        <w:rPr>
          <w:i/>
          <w:lang w:val="pl-PL"/>
        </w:rPr>
        <w:t xml:space="preserve">, </w:t>
      </w:r>
      <w:proofErr w:type="spellStart"/>
      <w:r w:rsidR="00194FA6" w:rsidRPr="007A5972">
        <w:rPr>
          <w:i/>
          <w:lang w:val="pl-PL"/>
        </w:rPr>
        <w:t>Otchakovsky-Laurens</w:t>
      </w:r>
      <w:proofErr w:type="spellEnd"/>
      <w:r w:rsidR="00194FA6" w:rsidRPr="007A5972">
        <w:rPr>
          <w:i/>
          <w:lang w:val="pl-PL"/>
        </w:rPr>
        <w:t xml:space="preserve"> i </w:t>
      </w:r>
      <w:proofErr w:type="spellStart"/>
      <w:r w:rsidR="00194FA6" w:rsidRPr="007A5972">
        <w:rPr>
          <w:i/>
          <w:lang w:val="pl-PL"/>
        </w:rPr>
        <w:t>July</w:t>
      </w:r>
      <w:proofErr w:type="spellEnd"/>
      <w:r w:rsidR="00194FA6" w:rsidRPr="007A5972">
        <w:rPr>
          <w:i/>
          <w:lang w:val="pl-PL"/>
        </w:rPr>
        <w:t xml:space="preserve"> przeciwko Francji</w:t>
      </w:r>
      <w:r w:rsidR="00194FA6" w:rsidRPr="007A5972">
        <w:rPr>
          <w:lang w:val="pl-PL"/>
        </w:rPr>
        <w:t xml:space="preserve"> [GC .], nr 21279/02 i 36448/02, § 47, ECHR 2007 IV;. </w:t>
      </w:r>
      <w:r w:rsidR="00194FA6" w:rsidRPr="007A5972">
        <w:rPr>
          <w:i/>
          <w:lang w:val="pl-PL"/>
        </w:rPr>
        <w:t>Długołęcki przeciwko Polsce</w:t>
      </w:r>
      <w:r w:rsidR="00194FA6" w:rsidRPr="007A5972">
        <w:rPr>
          <w:lang w:val="pl-PL"/>
        </w:rPr>
        <w:t xml:space="preserve">, nr 23806/03, § 47, 24 lutego 2009), </w:t>
      </w:r>
      <w:r w:rsidR="002C4511">
        <w:rPr>
          <w:lang w:val="pl-PL"/>
        </w:rPr>
        <w:t xml:space="preserve">to jednak </w:t>
      </w:r>
      <w:r w:rsidR="00194FA6" w:rsidRPr="007A5972">
        <w:rPr>
          <w:lang w:val="pl-PL"/>
        </w:rPr>
        <w:t xml:space="preserve">charakter i surowość </w:t>
      </w:r>
      <w:r w:rsidR="00DA1215" w:rsidRPr="007A5972">
        <w:rPr>
          <w:lang w:val="pl-PL"/>
        </w:rPr>
        <w:t xml:space="preserve">nałożonych </w:t>
      </w:r>
      <w:r w:rsidR="00194FA6" w:rsidRPr="007A5972">
        <w:rPr>
          <w:lang w:val="pl-PL"/>
        </w:rPr>
        <w:t>kar stanowią czynni</w:t>
      </w:r>
      <w:r w:rsidR="00E83C7E">
        <w:rPr>
          <w:lang w:val="pl-PL"/>
        </w:rPr>
        <w:t xml:space="preserve">ki, które należy brać pod uwagę, gdyż nie mogą być one zniechęcać </w:t>
      </w:r>
      <w:r w:rsidR="00A23ACB">
        <w:rPr>
          <w:lang w:val="pl-PL"/>
        </w:rPr>
        <w:t>prasy lub innych uczestników debaty publicznej do</w:t>
      </w:r>
      <w:r w:rsidR="00194FA6" w:rsidRPr="007A5972">
        <w:rPr>
          <w:lang w:val="pl-PL"/>
        </w:rPr>
        <w:t xml:space="preserve"> zabierania głosu w dyskusji o sprawach </w:t>
      </w:r>
      <w:r w:rsidR="00A23ACB">
        <w:rPr>
          <w:lang w:val="pl-PL"/>
        </w:rPr>
        <w:t xml:space="preserve">wzbudzających uzasadnione zainteresowanie publiczne </w:t>
      </w:r>
      <w:r w:rsidR="00194FA6" w:rsidRPr="007A5972">
        <w:rPr>
          <w:lang w:val="pl-PL"/>
        </w:rPr>
        <w:t xml:space="preserve">(patrz </w:t>
      </w:r>
      <w:proofErr w:type="spellStart"/>
      <w:r w:rsidR="00194FA6" w:rsidRPr="007A5972">
        <w:rPr>
          <w:i/>
          <w:lang w:val="pl-PL"/>
        </w:rPr>
        <w:t>Cumpǎnǎ</w:t>
      </w:r>
      <w:proofErr w:type="spellEnd"/>
      <w:r w:rsidR="00194FA6" w:rsidRPr="007A5972">
        <w:rPr>
          <w:i/>
          <w:lang w:val="pl-PL"/>
        </w:rPr>
        <w:t xml:space="preserve"> i </w:t>
      </w:r>
      <w:proofErr w:type="spellStart"/>
      <w:r w:rsidR="00194FA6" w:rsidRPr="007A5972">
        <w:rPr>
          <w:i/>
          <w:lang w:val="pl-PL"/>
        </w:rPr>
        <w:lastRenderedPageBreak/>
        <w:t>Mazǎre</w:t>
      </w:r>
      <w:proofErr w:type="spellEnd"/>
      <w:r w:rsidR="00194FA6" w:rsidRPr="007A5972">
        <w:rPr>
          <w:i/>
          <w:lang w:val="pl-PL"/>
        </w:rPr>
        <w:t xml:space="preserve"> przeciwko Rumunii</w:t>
      </w:r>
      <w:r w:rsidR="00194FA6" w:rsidRPr="007A5972">
        <w:rPr>
          <w:lang w:val="pl-PL"/>
        </w:rPr>
        <w:t xml:space="preserve"> [GC], nr. 33348 / 96, § 111, ECHR 2004 XI). W przedmiotowej sprawie, Trybunał bierze pod uwagę fakt, że skarżący został skazany na karę grzywny w wysokości 10.000 zł (2.630 EUR) i że został ponadto nakazany mu zwrot różnych kosztów w łącznej wysokości 755 EUR</w:t>
      </w:r>
      <w:r w:rsidRPr="007A5972">
        <w:rPr>
          <w:snapToGrid w:val="0"/>
          <w:lang w:val="pl-PL"/>
        </w:rPr>
        <w:t>.</w:t>
      </w:r>
    </w:p>
    <w:p w:rsidR="001A76E3" w:rsidRPr="007A5972" w:rsidRDefault="006739FE" w:rsidP="008533F0">
      <w:pPr>
        <w:pStyle w:val="ECHRPara"/>
        <w:rPr>
          <w:snapToGrid w:val="0"/>
          <w:lang w:val="pl-PL"/>
        </w:rPr>
      </w:pPr>
      <w:r w:rsidRPr="007A5972">
        <w:rPr>
          <w:snapToGrid w:val="0"/>
          <w:lang w:val="pl-PL"/>
        </w:rPr>
        <w:fldChar w:fldCharType="begin"/>
      </w:r>
      <w:r w:rsidRPr="007A5972">
        <w:rPr>
          <w:snapToGrid w:val="0"/>
          <w:lang w:val="pl-PL"/>
        </w:rPr>
        <w:instrText xml:space="preserve"> SEQ level0 \*arabic </w:instrText>
      </w:r>
      <w:r w:rsidRPr="007A5972">
        <w:rPr>
          <w:snapToGrid w:val="0"/>
          <w:lang w:val="pl-PL"/>
        </w:rPr>
        <w:fldChar w:fldCharType="separate"/>
      </w:r>
      <w:r w:rsidR="001C3AC1">
        <w:rPr>
          <w:noProof/>
          <w:snapToGrid w:val="0"/>
          <w:lang w:val="pl-PL"/>
        </w:rPr>
        <w:t>47</w:t>
      </w:r>
      <w:r w:rsidRPr="007A5972">
        <w:rPr>
          <w:snapToGrid w:val="0"/>
          <w:lang w:val="pl-PL"/>
        </w:rPr>
        <w:fldChar w:fldCharType="end"/>
      </w:r>
      <w:r w:rsidRPr="007A5972">
        <w:rPr>
          <w:snapToGrid w:val="0"/>
          <w:lang w:val="pl-PL"/>
        </w:rPr>
        <w:t>.  </w:t>
      </w:r>
      <w:r w:rsidR="00C21799" w:rsidRPr="007A5972">
        <w:rPr>
          <w:lang w:val="pl-PL"/>
        </w:rPr>
        <w:t xml:space="preserve">Uwzględniając powyższe rozważania, należy stwierdzić, że sądy krajowe nie podały "odpowiednich i wystarczających" przyczyn uzasadniających skazanie skarżącego </w:t>
      </w:r>
      <w:r w:rsidR="003E6999">
        <w:rPr>
          <w:lang w:val="pl-PL"/>
        </w:rPr>
        <w:t>za przestępstwo znieważenia</w:t>
      </w:r>
      <w:r w:rsidR="00C21799" w:rsidRPr="007A5972">
        <w:rPr>
          <w:lang w:val="pl-PL"/>
        </w:rPr>
        <w:t>. W związku z tym naruszenie jego prawa do wolności słowa było nieproporcjonalne do zamierzonego celu, a zatem nie było "konieczne w demokratycznym społeczeństwie"</w:t>
      </w:r>
      <w:r w:rsidRPr="007A5972">
        <w:rPr>
          <w:snapToGrid w:val="0"/>
          <w:lang w:val="pl-PL"/>
        </w:rPr>
        <w:t>.</w:t>
      </w:r>
    </w:p>
    <w:p w:rsidR="006739FE" w:rsidRPr="007A5972" w:rsidRDefault="006739FE" w:rsidP="008533F0">
      <w:pPr>
        <w:pStyle w:val="ECHRHeading1"/>
        <w:rPr>
          <w:lang w:val="pl-PL"/>
        </w:rPr>
      </w:pPr>
      <w:r w:rsidRPr="007A5972">
        <w:rPr>
          <w:lang w:val="pl-PL"/>
        </w:rPr>
        <w:t>II.  </w:t>
      </w:r>
      <w:r w:rsidR="00930C0A" w:rsidRPr="007A5972">
        <w:rPr>
          <w:lang w:val="pl-PL"/>
        </w:rPr>
        <w:t xml:space="preserve">POZOSTAŁE ZARZUTY NARUSZENIA KONWENCJI </w:t>
      </w:r>
    </w:p>
    <w:p w:rsidR="001A3D3E" w:rsidRPr="007A5972" w:rsidRDefault="006739FE"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48</w:t>
      </w:r>
      <w:r w:rsidRPr="007A5972">
        <w:rPr>
          <w:lang w:val="pl-PL"/>
        </w:rPr>
        <w:fldChar w:fldCharType="end"/>
      </w:r>
      <w:r w:rsidRPr="007A5972">
        <w:rPr>
          <w:lang w:val="pl-PL"/>
        </w:rPr>
        <w:t>.  </w:t>
      </w:r>
      <w:r w:rsidR="00E22348" w:rsidRPr="007A5972">
        <w:rPr>
          <w:lang w:val="pl-PL"/>
        </w:rPr>
        <w:t>Skarżący zarzucił ponadto, że postępowanie przeciwko niemu było nierzetelne. Zarzucił, że sądy nie wzięły pod uwagę dowodów przedstawionych przez niego i przyjęły fałszywe dowody przedstawione przez prywatnych oskarżycieli. Trybunał stwierdził, że zarzut ten należy zbadać zgodnie z artykułem 6 Konwencji</w:t>
      </w:r>
      <w:r w:rsidRPr="007A5972">
        <w:rPr>
          <w:lang w:val="pl-PL"/>
        </w:rPr>
        <w:t>.</w:t>
      </w:r>
    </w:p>
    <w:p w:rsidR="006739FE" w:rsidRPr="007A5972" w:rsidRDefault="00313BE2"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49</w:t>
      </w:r>
      <w:r w:rsidRPr="007A5972">
        <w:rPr>
          <w:noProof/>
          <w:lang w:val="pl-PL"/>
        </w:rPr>
        <w:fldChar w:fldCharType="end"/>
      </w:r>
      <w:r w:rsidR="006739FE" w:rsidRPr="007A5972">
        <w:rPr>
          <w:lang w:val="pl-PL"/>
        </w:rPr>
        <w:t>.  </w:t>
      </w:r>
      <w:r w:rsidR="00E22348" w:rsidRPr="007A5972">
        <w:rPr>
          <w:lang w:val="pl-PL"/>
        </w:rPr>
        <w:t xml:space="preserve">Trybunał przypomina, że ​​zgodnie z artykułem 19 Konwencji, jego obowiązkiem jest zapewnienie przestrzegania zobowiązań podjętych przez Umawiające się Strony Konwencji. W szczególności, nie jest jego funkcją zajmowanie się błędami faktycznymi lub prawnymi rzekomo popełnionymi przez sądy krajowe, </w:t>
      </w:r>
      <w:r w:rsidR="00AD7E19">
        <w:rPr>
          <w:lang w:val="pl-PL"/>
        </w:rPr>
        <w:t xml:space="preserve">chyba że wpływają one na naruszenie </w:t>
      </w:r>
      <w:r w:rsidR="00DA1215">
        <w:rPr>
          <w:lang w:val="pl-PL"/>
        </w:rPr>
        <w:t>praw</w:t>
      </w:r>
      <w:r w:rsidR="00E22348" w:rsidRPr="007A5972">
        <w:rPr>
          <w:lang w:val="pl-PL"/>
        </w:rPr>
        <w:t xml:space="preserve"> i wolności chronion</w:t>
      </w:r>
      <w:r w:rsidR="00AD7E19">
        <w:rPr>
          <w:lang w:val="pl-PL"/>
        </w:rPr>
        <w:t>ych w odpowiednim zakresie</w:t>
      </w:r>
      <w:r w:rsidR="00E22348" w:rsidRPr="007A5972">
        <w:rPr>
          <w:lang w:val="pl-PL"/>
        </w:rPr>
        <w:t xml:space="preserve"> przez Konwencję. Ponadto, podczas gdy Artykuł 6 Konwencji gwarantuje prawo do rzetelnego procesu, nie określa on żadnych zasad dotyczących dopuszczalności dowodów lub sposobu w jaki należy je oceniać, </w:t>
      </w:r>
      <w:r w:rsidR="005C3633">
        <w:rPr>
          <w:lang w:val="pl-PL"/>
        </w:rPr>
        <w:t xml:space="preserve">a zatem co do zasady są to </w:t>
      </w:r>
      <w:r w:rsidR="00E22348" w:rsidRPr="007A5972">
        <w:rPr>
          <w:lang w:val="pl-PL"/>
        </w:rPr>
        <w:t>kwesti</w:t>
      </w:r>
      <w:r w:rsidR="005C3633">
        <w:rPr>
          <w:lang w:val="pl-PL"/>
        </w:rPr>
        <w:t xml:space="preserve">e, </w:t>
      </w:r>
      <w:r w:rsidR="00D246A4">
        <w:rPr>
          <w:lang w:val="pl-PL"/>
        </w:rPr>
        <w:t xml:space="preserve">które powinny zostać uregulowane przez </w:t>
      </w:r>
      <w:r w:rsidR="00E22348" w:rsidRPr="007A5972">
        <w:rPr>
          <w:lang w:val="pl-PL"/>
        </w:rPr>
        <w:t xml:space="preserve">prawo krajowe i krajowy sąd (zobacz </w:t>
      </w:r>
      <w:proofErr w:type="spellStart"/>
      <w:r w:rsidR="00E22348" w:rsidRPr="007A5972">
        <w:rPr>
          <w:i/>
          <w:lang w:val="pl-PL"/>
        </w:rPr>
        <w:t>García</w:t>
      </w:r>
      <w:proofErr w:type="spellEnd"/>
      <w:r w:rsidR="00E22348" w:rsidRPr="007A5972">
        <w:rPr>
          <w:i/>
          <w:lang w:val="pl-PL"/>
        </w:rPr>
        <w:t xml:space="preserve"> Ruiz przeciwko Hiszpanii</w:t>
      </w:r>
      <w:r w:rsidR="00E22348" w:rsidRPr="007A5972">
        <w:rPr>
          <w:lang w:val="pl-PL"/>
        </w:rPr>
        <w:t xml:space="preserve"> [GC], nr 30544/96, § 28, ECHR 1999 I, z dalszymi odniesieniami)</w:t>
      </w:r>
      <w:r w:rsidR="006739FE" w:rsidRPr="007A5972">
        <w:rPr>
          <w:lang w:val="pl-PL"/>
        </w:rPr>
        <w:t>.</w:t>
      </w:r>
    </w:p>
    <w:p w:rsidR="001A3D3E" w:rsidRPr="007A5972" w:rsidRDefault="00313BE2"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50</w:t>
      </w:r>
      <w:r w:rsidRPr="007A5972">
        <w:rPr>
          <w:noProof/>
          <w:lang w:val="pl-PL"/>
        </w:rPr>
        <w:fldChar w:fldCharType="end"/>
      </w:r>
      <w:r w:rsidR="006739FE" w:rsidRPr="007A5972">
        <w:rPr>
          <w:lang w:val="pl-PL"/>
        </w:rPr>
        <w:t>.  </w:t>
      </w:r>
      <w:r w:rsidR="00E22348" w:rsidRPr="007A5972">
        <w:rPr>
          <w:lang w:val="pl-PL"/>
        </w:rPr>
        <w:t>W niniejszej sprawie, należy stwierdzić, że zarzuty skarżącego nie ujawniają żadnych oznak naruszenia gwarancji rzetelnego procesu w rozumieniu artykułu 6 § 1 Konwencji</w:t>
      </w:r>
      <w:r w:rsidR="006739FE" w:rsidRPr="007A5972">
        <w:rPr>
          <w:lang w:val="pl-PL"/>
        </w:rPr>
        <w:t xml:space="preserve">. </w:t>
      </w:r>
      <w:r w:rsidR="00E22348" w:rsidRPr="007A5972">
        <w:rPr>
          <w:lang w:val="pl-PL"/>
        </w:rPr>
        <w:t>Wynika z tego, że ta część skargi jest oczywiście bezzasadna i musi zostać odrzucona zgodnie z artykułem 35 §§ 3 (a) i 4 Konwencji</w:t>
      </w:r>
      <w:r w:rsidR="006739FE" w:rsidRPr="007A5972">
        <w:rPr>
          <w:lang w:val="pl-PL"/>
        </w:rPr>
        <w:t>.</w:t>
      </w:r>
    </w:p>
    <w:p w:rsidR="00014566" w:rsidRPr="007A5972" w:rsidRDefault="001B2D5D" w:rsidP="008533F0">
      <w:pPr>
        <w:pStyle w:val="ECHRHeading1"/>
        <w:rPr>
          <w:lang w:val="pl-PL"/>
        </w:rPr>
      </w:pPr>
      <w:r w:rsidRPr="007A5972">
        <w:rPr>
          <w:lang w:val="pl-PL"/>
        </w:rPr>
        <w:t>III</w:t>
      </w:r>
      <w:r w:rsidR="00014566" w:rsidRPr="007A5972">
        <w:rPr>
          <w:lang w:val="pl-PL"/>
        </w:rPr>
        <w:t>.  </w:t>
      </w:r>
      <w:r w:rsidR="00E22348" w:rsidRPr="007A5972">
        <w:rPr>
          <w:lang w:val="pl-PL"/>
        </w:rPr>
        <w:t>ZASTOSOWANIE ARTYKUŁU 41 KONWENCJI</w:t>
      </w:r>
    </w:p>
    <w:p w:rsidR="00014566" w:rsidRPr="007A5972" w:rsidRDefault="005025BC"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51</w:t>
      </w:r>
      <w:r w:rsidRPr="007A5972">
        <w:rPr>
          <w:lang w:val="pl-PL"/>
        </w:rPr>
        <w:fldChar w:fldCharType="end"/>
      </w:r>
      <w:r w:rsidRPr="007A5972">
        <w:rPr>
          <w:lang w:val="pl-PL"/>
        </w:rPr>
        <w:t>.  </w:t>
      </w:r>
      <w:r w:rsidR="00E22348" w:rsidRPr="007A5972">
        <w:rPr>
          <w:lang w:val="pl-PL"/>
        </w:rPr>
        <w:t>Artykuł 41 Konwencji stanowi</w:t>
      </w:r>
      <w:r w:rsidR="00014566" w:rsidRPr="007A5972">
        <w:rPr>
          <w:lang w:val="pl-PL"/>
        </w:rPr>
        <w:t>:</w:t>
      </w:r>
    </w:p>
    <w:p w:rsidR="00014566" w:rsidRPr="007A5972" w:rsidRDefault="00014566" w:rsidP="008533F0">
      <w:pPr>
        <w:pStyle w:val="ECHRParaQuote"/>
        <w:keepNext/>
        <w:keepLines/>
        <w:rPr>
          <w:lang w:val="pl-PL"/>
        </w:rPr>
      </w:pPr>
      <w:r w:rsidRPr="007A5972">
        <w:rPr>
          <w:lang w:val="pl-PL"/>
        </w:rPr>
        <w:lastRenderedPageBreak/>
        <w:t>“</w:t>
      </w:r>
      <w:r w:rsidR="00E22348" w:rsidRPr="007A5972">
        <w:rPr>
          <w:lang w:val="pl-PL"/>
        </w:rPr>
        <w:t xml:space="preserve">Jeśli Trybunał stwierdzi, że nastąpiło naruszenie Konwencji lub jej Protokołów, oraz jeśli prawo wewnętrzne zainteresowanej Wysokiej Układającej się Strony pozwala tylko na częściowe usunięcie konsekwencji tego naruszenia, Trybunał orzeka, gdy zachodzi potrzeba, </w:t>
      </w:r>
      <w:r w:rsidR="004F61B0">
        <w:rPr>
          <w:lang w:val="pl-PL"/>
        </w:rPr>
        <w:t>o przyznaniu słusznego zadośćuczynienia pokrzywdzonej stronie</w:t>
      </w:r>
      <w:r w:rsidRPr="007A5972">
        <w:rPr>
          <w:lang w:val="pl-PL"/>
        </w:rPr>
        <w:t>.”</w:t>
      </w:r>
    </w:p>
    <w:p w:rsidR="00014566" w:rsidRPr="007A5972" w:rsidRDefault="00014566" w:rsidP="008533F0">
      <w:pPr>
        <w:pStyle w:val="ECHRHeading2"/>
        <w:rPr>
          <w:lang w:val="pl-PL"/>
        </w:rPr>
      </w:pPr>
      <w:r w:rsidRPr="007A5972">
        <w:rPr>
          <w:lang w:val="pl-PL"/>
        </w:rPr>
        <w:t>A.  </w:t>
      </w:r>
      <w:r w:rsidR="00E22348" w:rsidRPr="007A5972">
        <w:rPr>
          <w:lang w:val="pl-PL"/>
        </w:rPr>
        <w:t>Szkoda</w:t>
      </w:r>
    </w:p>
    <w:p w:rsidR="001A3D3E"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52</w:t>
      </w:r>
      <w:r w:rsidRPr="007A5972">
        <w:rPr>
          <w:lang w:val="pl-PL"/>
        </w:rPr>
        <w:fldChar w:fldCharType="end"/>
      </w:r>
      <w:r w:rsidR="00014566" w:rsidRPr="007A5972">
        <w:rPr>
          <w:lang w:val="pl-PL"/>
        </w:rPr>
        <w:t>.  </w:t>
      </w:r>
      <w:r w:rsidR="009B41BE" w:rsidRPr="007A5972">
        <w:rPr>
          <w:lang w:val="pl-PL"/>
        </w:rPr>
        <w:t>Skarżący domagał się spłaty grzywny nałożonej na niego w wysokości 10.000 złotych polskich (PLN) (2630 euro (EUR)) i kosztów objętych otrzymanym nakazem zapłaty w ł</w:t>
      </w:r>
      <w:r w:rsidR="00DA1215">
        <w:rPr>
          <w:lang w:val="pl-PL"/>
        </w:rPr>
        <w:t>ącznej kwocie 2900 zł (755 EUR).</w:t>
      </w:r>
      <w:r w:rsidR="009B41BE" w:rsidRPr="007A5972">
        <w:rPr>
          <w:lang w:val="pl-PL"/>
        </w:rPr>
        <w:t xml:space="preserve"> Nadto domagał się 300.000 zł (ok. 75.950 EUR) z tytułu szkód </w:t>
      </w:r>
      <w:r w:rsidR="00A728E2">
        <w:rPr>
          <w:lang w:val="pl-PL"/>
        </w:rPr>
        <w:t>niemajątkowych</w:t>
      </w:r>
      <w:r w:rsidR="00014566" w:rsidRPr="007A5972">
        <w:rPr>
          <w:lang w:val="pl-PL"/>
        </w:rPr>
        <w:t>.</w:t>
      </w:r>
    </w:p>
    <w:p w:rsidR="001A3D3E"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53</w:t>
      </w:r>
      <w:r w:rsidRPr="007A5972">
        <w:rPr>
          <w:lang w:val="pl-PL"/>
        </w:rPr>
        <w:fldChar w:fldCharType="end"/>
      </w:r>
      <w:r w:rsidR="00545D16" w:rsidRPr="007A5972">
        <w:rPr>
          <w:lang w:val="pl-PL"/>
        </w:rPr>
        <w:t>. </w:t>
      </w:r>
      <w:r w:rsidR="00F250EF" w:rsidRPr="007A5972">
        <w:rPr>
          <w:lang w:val="pl-PL"/>
        </w:rPr>
        <w:t> </w:t>
      </w:r>
      <w:r w:rsidR="009B41BE" w:rsidRPr="007A5972">
        <w:rPr>
          <w:lang w:val="pl-PL"/>
        </w:rPr>
        <w:t>Rząd twierdził, że żądana kwota za szkody niemajątkowe była wygórowan</w:t>
      </w:r>
      <w:r w:rsidR="00A728E2">
        <w:rPr>
          <w:lang w:val="pl-PL"/>
        </w:rPr>
        <w:t>a</w:t>
      </w:r>
      <w:r w:rsidR="009B41BE" w:rsidRPr="007A5972">
        <w:rPr>
          <w:lang w:val="pl-PL"/>
        </w:rPr>
        <w:t xml:space="preserve">, uwzględniając </w:t>
      </w:r>
      <w:r w:rsidR="00A728E2">
        <w:rPr>
          <w:lang w:val="pl-PL"/>
        </w:rPr>
        <w:t xml:space="preserve">kwoty przyznane przez </w:t>
      </w:r>
      <w:r w:rsidR="009B41BE" w:rsidRPr="007A5972">
        <w:rPr>
          <w:lang w:val="pl-PL"/>
        </w:rPr>
        <w:t xml:space="preserve">Trybunał w podobnych sprawach przeciwko Polsce. </w:t>
      </w:r>
      <w:r w:rsidR="0064364A" w:rsidRPr="007A5972">
        <w:rPr>
          <w:lang w:val="pl-PL"/>
        </w:rPr>
        <w:t>Rząd stwierdził</w:t>
      </w:r>
      <w:r w:rsidR="0064364A">
        <w:rPr>
          <w:lang w:val="pl-PL"/>
        </w:rPr>
        <w:t>, że w</w:t>
      </w:r>
      <w:r w:rsidR="009B41BE" w:rsidRPr="007A5972">
        <w:rPr>
          <w:lang w:val="pl-PL"/>
        </w:rPr>
        <w:t xml:space="preserve"> przypadku, gdyby Trybunał ustalił, że doszło do naruszenia artykułu 10 w sprawie, </w:t>
      </w:r>
      <w:r w:rsidR="0064364A">
        <w:rPr>
          <w:lang w:val="pl-PL"/>
        </w:rPr>
        <w:t xml:space="preserve">to wówczas </w:t>
      </w:r>
      <w:r w:rsidR="009B41BE" w:rsidRPr="007A5972">
        <w:rPr>
          <w:lang w:val="pl-PL"/>
        </w:rPr>
        <w:t xml:space="preserve">stwierdzenie naruszenia stanowiłoby wystarczające zadośćuczynienie. Alternatywnie, zwrócił się do Trybunału, aby odniósł się do kwestii odszkodowania na podstawie swojego orzecznictwa w podobnych sprawach, z uwzględnieniem krajowych warunków </w:t>
      </w:r>
      <w:r w:rsidR="0064364A">
        <w:rPr>
          <w:lang w:val="pl-PL"/>
        </w:rPr>
        <w:t>gospodarczych</w:t>
      </w:r>
      <w:r w:rsidR="00545D16" w:rsidRPr="007A5972">
        <w:rPr>
          <w:lang w:val="pl-PL"/>
        </w:rPr>
        <w:t>.</w:t>
      </w:r>
    </w:p>
    <w:p w:rsidR="00B4428C" w:rsidRPr="007A5972" w:rsidRDefault="00932557" w:rsidP="008533F0">
      <w:pPr>
        <w:pStyle w:val="ECHRPara"/>
        <w:rPr>
          <w:b/>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54</w:t>
      </w:r>
      <w:r w:rsidRPr="007A5972">
        <w:rPr>
          <w:lang w:val="pl-PL"/>
        </w:rPr>
        <w:fldChar w:fldCharType="end"/>
      </w:r>
      <w:r w:rsidRPr="007A5972">
        <w:rPr>
          <w:lang w:val="pl-PL"/>
        </w:rPr>
        <w:t>.  </w:t>
      </w:r>
      <w:r w:rsidR="009B41BE" w:rsidRPr="007A5972">
        <w:rPr>
          <w:lang w:val="pl-PL"/>
        </w:rPr>
        <w:t>Trybunał uważa, że ​​skarżący jest, co do zasady, uprawniony do odzyskania kwot, które zapłacił w formie grzywien i kosztów</w:t>
      </w:r>
      <w:r w:rsidR="00891757">
        <w:rPr>
          <w:lang w:val="pl-PL"/>
        </w:rPr>
        <w:t xml:space="preserve"> sądowych</w:t>
      </w:r>
      <w:r w:rsidR="009B41BE" w:rsidRPr="007A5972">
        <w:rPr>
          <w:lang w:val="pl-PL"/>
        </w:rPr>
        <w:t xml:space="preserve">, ze względu na ich bezpośredni związek z wyrokami sądów krajowych, które Trybunał uznaje za naruszenie jego prawa do wolności słowa (patrz </w:t>
      </w:r>
      <w:proofErr w:type="spellStart"/>
      <w:r w:rsidR="009B41BE" w:rsidRPr="007A5972">
        <w:rPr>
          <w:i/>
          <w:lang w:val="pl-PL"/>
        </w:rPr>
        <w:t>Lingens</w:t>
      </w:r>
      <w:proofErr w:type="spellEnd"/>
      <w:r w:rsidR="009B41BE" w:rsidRPr="007A5972">
        <w:rPr>
          <w:lang w:val="pl-PL"/>
        </w:rPr>
        <w:t xml:space="preserve">, cytowany powyżej, § 50;.. </w:t>
      </w:r>
      <w:proofErr w:type="spellStart"/>
      <w:r w:rsidR="009B41BE" w:rsidRPr="007A5972">
        <w:rPr>
          <w:i/>
          <w:lang w:val="pl-PL"/>
        </w:rPr>
        <w:t>Scharsach</w:t>
      </w:r>
      <w:proofErr w:type="spellEnd"/>
      <w:r w:rsidR="009B41BE" w:rsidRPr="007A5972">
        <w:rPr>
          <w:i/>
          <w:lang w:val="pl-PL"/>
        </w:rPr>
        <w:t xml:space="preserve"> i News </w:t>
      </w:r>
      <w:proofErr w:type="spellStart"/>
      <w:r w:rsidR="009B41BE" w:rsidRPr="007A5972">
        <w:rPr>
          <w:i/>
          <w:lang w:val="pl-PL"/>
        </w:rPr>
        <w:t>Verlagsgesellschaft</w:t>
      </w:r>
      <w:proofErr w:type="spellEnd"/>
      <w:r w:rsidR="009B41BE" w:rsidRPr="007A5972">
        <w:rPr>
          <w:i/>
          <w:lang w:val="pl-PL"/>
        </w:rPr>
        <w:t xml:space="preserve"> przeciwko Austrii</w:t>
      </w:r>
      <w:r w:rsidR="009B41BE" w:rsidRPr="007A5972">
        <w:rPr>
          <w:lang w:val="pl-PL"/>
        </w:rPr>
        <w:t xml:space="preserve">, nr 39394/98, § 50, ECHR 2003-XI;.. </w:t>
      </w:r>
      <w:proofErr w:type="spellStart"/>
      <w:r w:rsidR="009B41BE" w:rsidRPr="007A5972">
        <w:rPr>
          <w:i/>
          <w:lang w:val="pl-PL"/>
        </w:rPr>
        <w:t>Yordanova</w:t>
      </w:r>
      <w:proofErr w:type="spellEnd"/>
      <w:r w:rsidR="009B41BE" w:rsidRPr="007A5972">
        <w:rPr>
          <w:i/>
          <w:lang w:val="pl-PL"/>
        </w:rPr>
        <w:t xml:space="preserve"> i </w:t>
      </w:r>
      <w:proofErr w:type="spellStart"/>
      <w:r w:rsidR="009B41BE" w:rsidRPr="007A5972">
        <w:rPr>
          <w:i/>
          <w:lang w:val="pl-PL"/>
        </w:rPr>
        <w:t>Toshev</w:t>
      </w:r>
      <w:proofErr w:type="spellEnd"/>
      <w:r w:rsidR="009B41BE" w:rsidRPr="007A5972">
        <w:rPr>
          <w:i/>
          <w:lang w:val="pl-PL"/>
        </w:rPr>
        <w:t xml:space="preserve"> przeciwko Bułgarii</w:t>
      </w:r>
      <w:r w:rsidR="009B41BE" w:rsidRPr="007A5972">
        <w:rPr>
          <w:lang w:val="pl-PL"/>
        </w:rPr>
        <w:t xml:space="preserve">, nr 5126/05, § 78, 2 października 2012;.., oraz </w:t>
      </w:r>
      <w:r w:rsidR="009B41BE" w:rsidRPr="007A5972">
        <w:rPr>
          <w:i/>
          <w:lang w:val="pl-PL"/>
        </w:rPr>
        <w:t>Stankiewicz i inni przeciwko Polsce</w:t>
      </w:r>
      <w:r w:rsidR="009B41BE" w:rsidRPr="007A5972">
        <w:rPr>
          <w:lang w:val="pl-PL"/>
        </w:rPr>
        <w:t xml:space="preserve">, nr 48723/07, § 87, 14 października 2014). Skarga złożona przez skarżącego </w:t>
      </w:r>
      <w:r w:rsidR="00D72533">
        <w:rPr>
          <w:lang w:val="pl-PL"/>
        </w:rPr>
        <w:t xml:space="preserve">dotyczy naprawienia </w:t>
      </w:r>
      <w:r w:rsidR="009B41BE" w:rsidRPr="007A5972">
        <w:rPr>
          <w:lang w:val="pl-PL"/>
        </w:rPr>
        <w:t>szkód materialnych. Mając na uwadze powyższe, Trybunał przyznaje skarżącemu 3385 euro z tytułu szkody majątkowej, suma ta odpowiada łącznej kwocie grzywny i kosztów</w:t>
      </w:r>
      <w:r w:rsidR="005F7D37" w:rsidRPr="007A5972">
        <w:rPr>
          <w:lang w:val="pl-PL"/>
        </w:rPr>
        <w:t>.</w:t>
      </w:r>
    </w:p>
    <w:p w:rsidR="00FC0870" w:rsidRPr="007A5972" w:rsidRDefault="00313BE2" w:rsidP="008533F0">
      <w:pPr>
        <w:pStyle w:val="ECHRPara"/>
        <w:keepNext/>
        <w:keepLines/>
        <w:rPr>
          <w:lang w:val="pl-PL"/>
        </w:rPr>
      </w:pPr>
      <w:r w:rsidRPr="007A5972">
        <w:rPr>
          <w:lang w:val="pl-PL"/>
        </w:rPr>
        <w:lastRenderedPageBreak/>
        <w:fldChar w:fldCharType="begin"/>
      </w:r>
      <w:r w:rsidRPr="007A5972">
        <w:rPr>
          <w:lang w:val="pl-PL"/>
        </w:rPr>
        <w:instrText xml:space="preserve"> SEQ level0 \*arabic </w:instrText>
      </w:r>
      <w:r w:rsidRPr="007A5972">
        <w:rPr>
          <w:lang w:val="pl-PL"/>
        </w:rPr>
        <w:fldChar w:fldCharType="separate"/>
      </w:r>
      <w:r w:rsidR="001C3AC1">
        <w:rPr>
          <w:noProof/>
          <w:lang w:val="pl-PL"/>
        </w:rPr>
        <w:t>55</w:t>
      </w:r>
      <w:r w:rsidRPr="007A5972">
        <w:rPr>
          <w:noProof/>
          <w:lang w:val="pl-PL"/>
        </w:rPr>
        <w:fldChar w:fldCharType="end"/>
      </w:r>
      <w:r w:rsidR="00932557" w:rsidRPr="007A5972">
        <w:rPr>
          <w:lang w:val="pl-PL"/>
        </w:rPr>
        <w:t>.  </w:t>
      </w:r>
      <w:r w:rsidR="009B41BE" w:rsidRPr="007A5972">
        <w:rPr>
          <w:lang w:val="pl-PL"/>
        </w:rPr>
        <w:t xml:space="preserve">Ponadto Sąd uważa, że ​​skarżący poniósł szkody niemajątkowe, w postaci cierpienia i frustracji, w wyniku naruszenia jego prawa do wolności wypowiedzi. Szkoda ta nie może być odpowiednio zrekompensowana przez stwierdzenie naruszenia. Mając na uwadze charakter naruszenia oraz podejmując decyzję na zasadzie słuszności, Trybunał przyznaje skarżącemu </w:t>
      </w:r>
      <w:r w:rsidR="00D72533">
        <w:rPr>
          <w:lang w:val="pl-PL"/>
        </w:rPr>
        <w:t xml:space="preserve">kwotę </w:t>
      </w:r>
      <w:r w:rsidR="00D72533" w:rsidRPr="007A5972">
        <w:rPr>
          <w:lang w:val="pl-PL"/>
        </w:rPr>
        <w:t xml:space="preserve">1.000 </w:t>
      </w:r>
      <w:r w:rsidR="009B41BE" w:rsidRPr="007A5972">
        <w:rPr>
          <w:lang w:val="pl-PL"/>
        </w:rPr>
        <w:t xml:space="preserve">EUR </w:t>
      </w:r>
      <w:r w:rsidR="002147FF">
        <w:rPr>
          <w:lang w:val="pl-PL"/>
        </w:rPr>
        <w:t>powiększoną</w:t>
      </w:r>
      <w:r w:rsidR="00D72533">
        <w:rPr>
          <w:lang w:val="pl-PL"/>
        </w:rPr>
        <w:t xml:space="preserve"> o </w:t>
      </w:r>
      <w:r w:rsidR="009B41BE" w:rsidRPr="007A5972">
        <w:rPr>
          <w:lang w:val="pl-PL"/>
        </w:rPr>
        <w:t xml:space="preserve">wszelkie podatki, jakie mogą być nałożone w odniesieniu do szkód </w:t>
      </w:r>
      <w:r w:rsidR="00D72533">
        <w:rPr>
          <w:lang w:val="pl-PL"/>
        </w:rPr>
        <w:t>niemajątkowych</w:t>
      </w:r>
      <w:r w:rsidR="00FC0870" w:rsidRPr="007A5972">
        <w:rPr>
          <w:lang w:val="pl-PL"/>
        </w:rPr>
        <w:t>.</w:t>
      </w:r>
    </w:p>
    <w:p w:rsidR="00014566" w:rsidRPr="007A5972" w:rsidRDefault="00014566" w:rsidP="008533F0">
      <w:pPr>
        <w:pStyle w:val="ECHRHeading2"/>
        <w:rPr>
          <w:lang w:val="pl-PL"/>
        </w:rPr>
      </w:pPr>
      <w:r w:rsidRPr="007A5972">
        <w:rPr>
          <w:lang w:val="pl-PL"/>
        </w:rPr>
        <w:t>B.  </w:t>
      </w:r>
      <w:r w:rsidR="009B41BE" w:rsidRPr="007A5972">
        <w:rPr>
          <w:lang w:val="pl-PL"/>
        </w:rPr>
        <w:t>Koszty i wydatki</w:t>
      </w:r>
    </w:p>
    <w:p w:rsidR="001A3D3E"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56</w:t>
      </w:r>
      <w:r w:rsidRPr="007A5972">
        <w:rPr>
          <w:lang w:val="pl-PL"/>
        </w:rPr>
        <w:fldChar w:fldCharType="end"/>
      </w:r>
      <w:r w:rsidR="00014566" w:rsidRPr="007A5972">
        <w:rPr>
          <w:lang w:val="pl-PL"/>
        </w:rPr>
        <w:t>.  </w:t>
      </w:r>
      <w:r w:rsidR="009B41BE" w:rsidRPr="007A5972">
        <w:rPr>
          <w:lang w:val="pl-PL"/>
        </w:rPr>
        <w:t>Skarżący domagał się również 7200 zł (1822 euro) z tytułu kosztów jego reprezentacji prawnej przed Trybunałem</w:t>
      </w:r>
      <w:r w:rsidR="00897757" w:rsidRPr="007A5972">
        <w:rPr>
          <w:lang w:val="pl-PL"/>
        </w:rPr>
        <w:t>.</w:t>
      </w:r>
    </w:p>
    <w:p w:rsidR="001A3D3E" w:rsidRPr="007A5972" w:rsidRDefault="009B6E0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57</w:t>
      </w:r>
      <w:r w:rsidRPr="007A5972">
        <w:rPr>
          <w:lang w:val="pl-PL"/>
        </w:rPr>
        <w:fldChar w:fldCharType="end"/>
      </w:r>
      <w:r w:rsidR="007872B6" w:rsidRPr="007A5972">
        <w:rPr>
          <w:lang w:val="pl-PL"/>
        </w:rPr>
        <w:t>.  </w:t>
      </w:r>
      <w:r w:rsidR="009B41BE" w:rsidRPr="007A5972">
        <w:rPr>
          <w:lang w:val="pl-PL"/>
        </w:rPr>
        <w:t>Rząd twierdził, że żądana kwota była nadmierna i że żadne pokwitowania lub faktury na poparcie tego żądania nie zostały przedstawione</w:t>
      </w:r>
      <w:r w:rsidR="007872B6" w:rsidRPr="007A5972">
        <w:rPr>
          <w:lang w:val="pl-PL"/>
        </w:rPr>
        <w:t>.</w:t>
      </w:r>
    </w:p>
    <w:p w:rsidR="00AD7C54" w:rsidRPr="007A5972" w:rsidRDefault="00AD7C54"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58</w:t>
      </w:r>
      <w:r w:rsidRPr="007A5972">
        <w:rPr>
          <w:lang w:val="pl-PL"/>
        </w:rPr>
        <w:fldChar w:fldCharType="end"/>
      </w:r>
      <w:r w:rsidRPr="007A5972">
        <w:rPr>
          <w:lang w:val="pl-PL"/>
        </w:rPr>
        <w:t>.  </w:t>
      </w:r>
      <w:r w:rsidR="009B41BE" w:rsidRPr="007A5972">
        <w:rPr>
          <w:lang w:val="pl-PL"/>
        </w:rPr>
        <w:t>Zgodnie z orzecznictwem Trybunału, skarżący jest uprawniony do zwrotu kosztów i wydatków jedynie w zakresie, w jakim zostało wykazane, że zostały one faktycznie i koniecznie poniesione oraz były rozsądne co do wysokości. Trybunał zauważa, że ​​skarżący nie przedstawił żadnych dokumentów potwierdzających, że faktycznie poniósł koszty w związku z jego zastępstwem prawnym w postępowaniu przed nim. W tych okolicznościach, mając na uwadze postanowienia Reguły 60 §§ 2 i 3 Regulaminu, Trybunał nie nakazuje, żadnego zwrotu w odniesieniu do tego roszczenia</w:t>
      </w:r>
      <w:r w:rsidRPr="007A5972">
        <w:rPr>
          <w:lang w:val="pl-PL"/>
        </w:rPr>
        <w:t>.</w:t>
      </w:r>
    </w:p>
    <w:p w:rsidR="00014566" w:rsidRPr="007A5972" w:rsidRDefault="00014566" w:rsidP="008533F0">
      <w:pPr>
        <w:pStyle w:val="ECHRHeading2"/>
        <w:rPr>
          <w:lang w:val="pl-PL"/>
        </w:rPr>
      </w:pPr>
      <w:r w:rsidRPr="007A5972">
        <w:rPr>
          <w:lang w:val="pl-PL"/>
        </w:rPr>
        <w:t>C.  </w:t>
      </w:r>
      <w:r w:rsidR="009B41BE" w:rsidRPr="007A5972">
        <w:rPr>
          <w:lang w:val="pl-PL"/>
        </w:rPr>
        <w:t>Odsetki za zwłokę</w:t>
      </w:r>
    </w:p>
    <w:p w:rsidR="00014566" w:rsidRPr="007A5972" w:rsidRDefault="00BD4D08" w:rsidP="008533F0">
      <w:pPr>
        <w:pStyle w:val="ECHRPara"/>
        <w:rPr>
          <w:lang w:val="pl-PL"/>
        </w:rPr>
      </w:pPr>
      <w:r w:rsidRPr="007A5972">
        <w:rPr>
          <w:lang w:val="pl-PL"/>
        </w:rPr>
        <w:fldChar w:fldCharType="begin"/>
      </w:r>
      <w:r w:rsidRPr="007A5972">
        <w:rPr>
          <w:lang w:val="pl-PL"/>
        </w:rPr>
        <w:instrText xml:space="preserve"> SEQ level0 \*arabic </w:instrText>
      </w:r>
      <w:r w:rsidRPr="007A5972">
        <w:rPr>
          <w:lang w:val="pl-PL"/>
        </w:rPr>
        <w:fldChar w:fldCharType="separate"/>
      </w:r>
      <w:r w:rsidR="001C3AC1">
        <w:rPr>
          <w:noProof/>
          <w:lang w:val="pl-PL"/>
        </w:rPr>
        <w:t>59</w:t>
      </w:r>
      <w:r w:rsidRPr="007A5972">
        <w:rPr>
          <w:lang w:val="pl-PL"/>
        </w:rPr>
        <w:fldChar w:fldCharType="end"/>
      </w:r>
      <w:r w:rsidRPr="007A5972">
        <w:rPr>
          <w:lang w:val="pl-PL"/>
        </w:rPr>
        <w:t>.  </w:t>
      </w:r>
      <w:r w:rsidR="009B41BE" w:rsidRPr="007A5972">
        <w:rPr>
          <w:lang w:val="pl-PL"/>
        </w:rPr>
        <w:t>Trybunał uznaje za właściwe, aby odsetki za zwłokę były oparte na marginalnej stopie procentowej Europejskiego Banku Centralnego, powiększonej o trzy punkty procentowe</w:t>
      </w:r>
      <w:r w:rsidR="00014566" w:rsidRPr="007A5972">
        <w:rPr>
          <w:lang w:val="pl-PL"/>
        </w:rPr>
        <w:t>.</w:t>
      </w:r>
    </w:p>
    <w:p w:rsidR="00014566" w:rsidRPr="007A5972" w:rsidRDefault="009B41BE" w:rsidP="008533F0">
      <w:pPr>
        <w:pStyle w:val="ECHRTitle1"/>
        <w:rPr>
          <w:lang w:val="pl-PL"/>
        </w:rPr>
      </w:pPr>
      <w:r w:rsidRPr="007A5972">
        <w:rPr>
          <w:lang w:val="pl-PL"/>
        </w:rPr>
        <w:t>Z TYCH PRZYCZYN TRYBUNAŁ, JEDNOMYŚLNIE</w:t>
      </w:r>
    </w:p>
    <w:p w:rsidR="001B07C5" w:rsidRPr="007A5972" w:rsidRDefault="009B6E04" w:rsidP="008533F0">
      <w:pPr>
        <w:pStyle w:val="JuList"/>
        <w:rPr>
          <w:lang w:val="pl-PL"/>
        </w:rPr>
      </w:pPr>
      <w:r w:rsidRPr="007A5972">
        <w:rPr>
          <w:lang w:val="pl-PL"/>
        </w:rPr>
        <w:t>1.  </w:t>
      </w:r>
      <w:r w:rsidR="009B41BE" w:rsidRPr="007A5972">
        <w:rPr>
          <w:i/>
          <w:lang w:val="pl-PL"/>
        </w:rPr>
        <w:t>Uznaje,</w:t>
      </w:r>
      <w:r w:rsidR="009B41BE" w:rsidRPr="007A5972">
        <w:rPr>
          <w:lang w:val="pl-PL"/>
        </w:rPr>
        <w:t xml:space="preserve"> jednogłośnie, skargę dotyczącą Artykułu 10 Konwencji za dopuszczalną, natomiast pozostałą część skargi za niedopuszczalną</w:t>
      </w:r>
      <w:r w:rsidR="001B07C5" w:rsidRPr="007A5972">
        <w:rPr>
          <w:lang w:val="pl-PL"/>
        </w:rPr>
        <w:t>;</w:t>
      </w:r>
    </w:p>
    <w:p w:rsidR="00014566" w:rsidRPr="007A5972" w:rsidRDefault="00014566" w:rsidP="008533F0">
      <w:pPr>
        <w:pStyle w:val="JuList"/>
        <w:ind w:left="0" w:firstLine="0"/>
        <w:rPr>
          <w:lang w:val="pl-PL"/>
        </w:rPr>
      </w:pPr>
    </w:p>
    <w:p w:rsidR="001A3D3E" w:rsidRPr="007A5972" w:rsidRDefault="00DA646E" w:rsidP="008533F0">
      <w:pPr>
        <w:pStyle w:val="JuList"/>
        <w:rPr>
          <w:lang w:val="pl-PL"/>
        </w:rPr>
      </w:pPr>
      <w:r w:rsidRPr="007A5972">
        <w:rPr>
          <w:lang w:val="pl-PL"/>
        </w:rPr>
        <w:t>2</w:t>
      </w:r>
      <w:r w:rsidR="00014566" w:rsidRPr="007A5972">
        <w:rPr>
          <w:lang w:val="pl-PL"/>
        </w:rPr>
        <w:t>.  </w:t>
      </w:r>
      <w:r w:rsidR="00721F4F" w:rsidRPr="007A5972">
        <w:rPr>
          <w:i/>
          <w:lang w:val="pl-PL"/>
        </w:rPr>
        <w:t>Orzeka</w:t>
      </w:r>
      <w:r w:rsidR="009B41BE" w:rsidRPr="007A5972">
        <w:rPr>
          <w:lang w:val="pl-PL"/>
        </w:rPr>
        <w:t>, większością pięciu głosów do dwóch, że doszło do naruszenia artykułu 10 Konwencji</w:t>
      </w:r>
      <w:r w:rsidR="00592B16" w:rsidRPr="007A5972">
        <w:rPr>
          <w:lang w:val="pl-PL"/>
        </w:rPr>
        <w:t>;</w:t>
      </w:r>
    </w:p>
    <w:p w:rsidR="003E3FDB" w:rsidRPr="007A5972" w:rsidRDefault="003E3FDB" w:rsidP="008533F0">
      <w:pPr>
        <w:pStyle w:val="JuList"/>
        <w:rPr>
          <w:lang w:val="pl-PL"/>
        </w:rPr>
      </w:pPr>
    </w:p>
    <w:p w:rsidR="00D04B18" w:rsidRPr="007A5972" w:rsidRDefault="00592B16" w:rsidP="008533F0">
      <w:pPr>
        <w:pStyle w:val="JuList"/>
        <w:rPr>
          <w:rFonts w:eastAsia="Times New Roman"/>
          <w:lang w:val="pl-PL"/>
        </w:rPr>
      </w:pPr>
      <w:r w:rsidRPr="007A5972">
        <w:rPr>
          <w:lang w:val="pl-PL"/>
        </w:rPr>
        <w:t>3</w:t>
      </w:r>
      <w:r w:rsidR="00745930" w:rsidRPr="007A5972">
        <w:rPr>
          <w:lang w:val="pl-PL"/>
        </w:rPr>
        <w:t>.</w:t>
      </w:r>
      <w:r w:rsidR="00E33D57" w:rsidRPr="007A5972">
        <w:rPr>
          <w:lang w:val="pl-PL"/>
        </w:rPr>
        <w:t>  </w:t>
      </w:r>
      <w:r w:rsidR="00721F4F" w:rsidRPr="007A5972">
        <w:rPr>
          <w:i/>
          <w:lang w:val="pl-PL"/>
        </w:rPr>
        <w:t>Orzeka</w:t>
      </w:r>
      <w:r w:rsidR="00721F4F" w:rsidRPr="007A5972">
        <w:rPr>
          <w:lang w:val="pl-PL"/>
        </w:rPr>
        <w:t>, większością pięciu głosów do dwóch</w:t>
      </w:r>
      <w:r w:rsidR="00D04B18" w:rsidRPr="007A5972">
        <w:rPr>
          <w:rFonts w:eastAsia="Times New Roman"/>
          <w:lang w:val="pl-PL"/>
        </w:rPr>
        <w:t>,</w:t>
      </w:r>
    </w:p>
    <w:p w:rsidR="00D04B18" w:rsidRPr="007A5972" w:rsidRDefault="00D04B18" w:rsidP="008533F0">
      <w:pPr>
        <w:pStyle w:val="JuLista"/>
        <w:rPr>
          <w:rFonts w:eastAsia="Times New Roman"/>
          <w:lang w:val="pl-PL"/>
        </w:rPr>
      </w:pPr>
      <w:r w:rsidRPr="007A5972">
        <w:rPr>
          <w:rFonts w:eastAsia="Times New Roman"/>
          <w:lang w:val="pl-PL"/>
        </w:rPr>
        <w:t>(a)  </w:t>
      </w:r>
      <w:r w:rsidR="00721F4F" w:rsidRPr="007A5972">
        <w:rPr>
          <w:lang w:val="pl-PL"/>
        </w:rPr>
        <w:t xml:space="preserve">że pozwane Państwo ma wypłacić skarżącemu, w ciągu trzech miesięcy od dnia, w którym wyrok stanie się prawomocny zgodnie z </w:t>
      </w:r>
      <w:r w:rsidR="00721F4F" w:rsidRPr="007A5972">
        <w:rPr>
          <w:lang w:val="pl-PL"/>
        </w:rPr>
        <w:lastRenderedPageBreak/>
        <w:t xml:space="preserve">artykułem 44 § 2 Konwencji, następujące kwoty, które będą przeliczone na walutę pozwanego państwa po kursie obowiązującym w dniu </w:t>
      </w:r>
      <w:r w:rsidR="006F46D3">
        <w:rPr>
          <w:lang w:val="pl-PL"/>
        </w:rPr>
        <w:t>rozliczenia</w:t>
      </w:r>
      <w:r w:rsidRPr="007A5972">
        <w:rPr>
          <w:rFonts w:eastAsia="Times New Roman"/>
          <w:lang w:val="pl-PL"/>
        </w:rPr>
        <w:t>:</w:t>
      </w:r>
    </w:p>
    <w:p w:rsidR="00D04B18" w:rsidRPr="007A5972" w:rsidRDefault="00D04B18" w:rsidP="008533F0">
      <w:pPr>
        <w:pStyle w:val="JuListi"/>
        <w:rPr>
          <w:rFonts w:eastAsia="Times New Roman"/>
          <w:lang w:val="pl-PL"/>
        </w:rPr>
      </w:pPr>
      <w:r w:rsidRPr="007A5972">
        <w:rPr>
          <w:rFonts w:eastAsia="Times New Roman"/>
          <w:lang w:val="pl-PL"/>
        </w:rPr>
        <w:t>(i)  </w:t>
      </w:r>
      <w:r w:rsidR="00721F4F" w:rsidRPr="007A5972">
        <w:rPr>
          <w:rFonts w:eastAsia="Times New Roman"/>
          <w:lang w:val="pl-PL"/>
        </w:rPr>
        <w:t>3,385</w:t>
      </w:r>
      <w:r w:rsidR="00721F4F" w:rsidRPr="007A5972">
        <w:rPr>
          <w:rFonts w:eastAsia="Times New Roman"/>
          <w:b/>
          <w:lang w:val="pl-PL"/>
        </w:rPr>
        <w:t xml:space="preserve"> </w:t>
      </w:r>
      <w:r w:rsidRPr="007A5972">
        <w:rPr>
          <w:rFonts w:eastAsia="Times New Roman"/>
          <w:lang w:val="pl-PL"/>
        </w:rPr>
        <w:t>EUR (</w:t>
      </w:r>
      <w:r w:rsidR="00721F4F" w:rsidRPr="007A5972">
        <w:rPr>
          <w:lang w:val="pl-PL"/>
        </w:rPr>
        <w:t>trzy tysiące trzysta osiemdziesiąt pięć euro), plus jakikolwiek podatek, jaki może być pobrany, z tytułu szkody majątkowej</w:t>
      </w:r>
      <w:r w:rsidRPr="007A5972">
        <w:rPr>
          <w:rFonts w:eastAsia="Times New Roman"/>
          <w:lang w:val="pl-PL"/>
        </w:rPr>
        <w:t>;</w:t>
      </w:r>
    </w:p>
    <w:p w:rsidR="00D04B18" w:rsidRPr="007A5972" w:rsidRDefault="00D04B18" w:rsidP="008533F0">
      <w:pPr>
        <w:pStyle w:val="JuListi"/>
        <w:rPr>
          <w:rFonts w:eastAsia="Times New Roman"/>
          <w:lang w:val="pl-PL"/>
        </w:rPr>
      </w:pPr>
      <w:r w:rsidRPr="007A5972">
        <w:rPr>
          <w:rFonts w:eastAsia="Times New Roman"/>
          <w:lang w:val="pl-PL"/>
        </w:rPr>
        <w:t>(ii)  </w:t>
      </w:r>
      <w:r w:rsidR="00721F4F" w:rsidRPr="007A5972">
        <w:rPr>
          <w:rFonts w:eastAsia="Times New Roman"/>
          <w:lang w:val="pl-PL"/>
        </w:rPr>
        <w:t xml:space="preserve">1,000 </w:t>
      </w:r>
      <w:r w:rsidRPr="007A5972">
        <w:rPr>
          <w:rFonts w:eastAsia="Times New Roman"/>
          <w:lang w:val="pl-PL"/>
        </w:rPr>
        <w:t>EUR (</w:t>
      </w:r>
      <w:r w:rsidR="00721F4F" w:rsidRPr="007A5972">
        <w:rPr>
          <w:lang w:val="pl-PL"/>
        </w:rPr>
        <w:t>jeden tysiąc euro), plus jakikolwiek podatek, jaki może być pobrany, z tytułu szkody niemajątkowej</w:t>
      </w:r>
      <w:r w:rsidRPr="007A5972">
        <w:rPr>
          <w:rFonts w:eastAsia="Times New Roman"/>
          <w:lang w:val="pl-PL"/>
        </w:rPr>
        <w:t>;</w:t>
      </w:r>
    </w:p>
    <w:p w:rsidR="00D04B18" w:rsidRPr="007A5972" w:rsidRDefault="00D04B18" w:rsidP="008533F0">
      <w:pPr>
        <w:pStyle w:val="JuLista"/>
        <w:rPr>
          <w:lang w:val="pl-PL"/>
        </w:rPr>
      </w:pPr>
      <w:r w:rsidRPr="007A5972">
        <w:rPr>
          <w:rFonts w:eastAsia="Times New Roman"/>
          <w:lang w:val="pl-PL"/>
        </w:rPr>
        <w:t>(b)  </w:t>
      </w:r>
      <w:r w:rsidR="00721F4F" w:rsidRPr="007A5972">
        <w:rPr>
          <w:lang w:val="pl-PL"/>
        </w:rPr>
        <w:t>od wygaśnięcia powyższego trzymiesięcznego terminu do momentu zapłaty będą płatne od powyższych kwot odsetki zwykłe według stopy procentowej równej marginalnej stopie procentowej Europejskiego Banku Centralnego w okresie zwłoki, plus trzy punkty procentowe</w:t>
      </w:r>
      <w:r w:rsidRPr="007A5972">
        <w:rPr>
          <w:rFonts w:eastAsia="Times New Roman"/>
          <w:lang w:val="pl-PL"/>
        </w:rPr>
        <w:t>;</w:t>
      </w:r>
    </w:p>
    <w:p w:rsidR="00014566" w:rsidRPr="007A5972" w:rsidRDefault="00014566" w:rsidP="008533F0">
      <w:pPr>
        <w:pStyle w:val="JuLista"/>
        <w:rPr>
          <w:lang w:val="pl-PL"/>
        </w:rPr>
      </w:pPr>
    </w:p>
    <w:p w:rsidR="00014566" w:rsidRPr="007A5972" w:rsidRDefault="000A2C50" w:rsidP="008533F0">
      <w:pPr>
        <w:pStyle w:val="JuList"/>
        <w:rPr>
          <w:lang w:val="pl-PL"/>
        </w:rPr>
      </w:pPr>
      <w:r w:rsidRPr="007A5972">
        <w:rPr>
          <w:lang w:val="pl-PL"/>
        </w:rPr>
        <w:t>4</w:t>
      </w:r>
      <w:r w:rsidR="00014566" w:rsidRPr="007A5972">
        <w:rPr>
          <w:lang w:val="pl-PL"/>
        </w:rPr>
        <w:t>.  </w:t>
      </w:r>
      <w:r w:rsidR="00864313" w:rsidRPr="007A5972">
        <w:rPr>
          <w:i/>
          <w:lang w:val="pl-PL"/>
        </w:rPr>
        <w:t>Oddala</w:t>
      </w:r>
      <w:r w:rsidR="00864313" w:rsidRPr="007A5972">
        <w:rPr>
          <w:lang w:val="pl-PL"/>
        </w:rPr>
        <w:t xml:space="preserve"> jednogłośnie pozostałą część roszczenia skarżącego o </w:t>
      </w:r>
      <w:r w:rsidR="006F46D3">
        <w:rPr>
          <w:lang w:val="pl-PL"/>
        </w:rPr>
        <w:t xml:space="preserve">słuszne </w:t>
      </w:r>
      <w:r w:rsidR="00864313" w:rsidRPr="007A5972">
        <w:rPr>
          <w:lang w:val="pl-PL"/>
        </w:rPr>
        <w:t>zadośćuczynienie</w:t>
      </w:r>
      <w:r w:rsidR="00014566" w:rsidRPr="007A5972">
        <w:rPr>
          <w:lang w:val="pl-PL"/>
        </w:rPr>
        <w:t>.</w:t>
      </w:r>
    </w:p>
    <w:p w:rsidR="00014566" w:rsidRPr="007A5972" w:rsidRDefault="00864313" w:rsidP="008533F0">
      <w:pPr>
        <w:pStyle w:val="JuParaLast"/>
        <w:rPr>
          <w:lang w:val="pl-PL"/>
        </w:rPr>
      </w:pPr>
      <w:r w:rsidRPr="007A5972">
        <w:rPr>
          <w:lang w:val="pl-PL"/>
        </w:rPr>
        <w:t xml:space="preserve">Sporządzono w języku angielskim oraz obwieszczono pisemnie dnia </w:t>
      </w:r>
      <w:r w:rsidR="008B0217" w:rsidRPr="007A5972">
        <w:rPr>
          <w:lang w:val="pl-PL"/>
        </w:rPr>
        <w:t xml:space="preserve">5 </w:t>
      </w:r>
      <w:r w:rsidRPr="007A5972">
        <w:rPr>
          <w:lang w:val="pl-PL"/>
        </w:rPr>
        <w:t>lipca</w:t>
      </w:r>
      <w:r w:rsidR="008B0217" w:rsidRPr="007A5972">
        <w:rPr>
          <w:lang w:val="pl-PL"/>
        </w:rPr>
        <w:t xml:space="preserve"> 2016</w:t>
      </w:r>
      <w:r w:rsidR="00014566" w:rsidRPr="007A5972">
        <w:rPr>
          <w:lang w:val="pl-PL"/>
        </w:rPr>
        <w:t xml:space="preserve">, </w:t>
      </w:r>
      <w:r w:rsidRPr="007A5972">
        <w:rPr>
          <w:lang w:val="pl-PL"/>
        </w:rPr>
        <w:t>zgodnie z Regułą 77 ust. 2 i ust. 3 Regulaminu Trybunału</w:t>
      </w:r>
      <w:r w:rsidR="00014566" w:rsidRPr="007A5972">
        <w:rPr>
          <w:lang w:val="pl-PL"/>
        </w:rPr>
        <w:t>.</w:t>
      </w:r>
    </w:p>
    <w:p w:rsidR="001116A1" w:rsidRPr="007A5972" w:rsidRDefault="00014566" w:rsidP="008533F0">
      <w:pPr>
        <w:pStyle w:val="JuSigned"/>
        <w:tabs>
          <w:tab w:val="clear" w:pos="851"/>
          <w:tab w:val="center" w:pos="993"/>
        </w:tabs>
        <w:rPr>
          <w:lang w:val="pl-PL"/>
        </w:rPr>
      </w:pPr>
      <w:r w:rsidRPr="007A5972">
        <w:rPr>
          <w:lang w:val="pl-PL"/>
        </w:rPr>
        <w:tab/>
      </w:r>
      <w:proofErr w:type="spellStart"/>
      <w:r w:rsidR="006E1073" w:rsidRPr="007A5972">
        <w:rPr>
          <w:lang w:val="pl-PL"/>
        </w:rPr>
        <w:t>Marialena</w:t>
      </w:r>
      <w:proofErr w:type="spellEnd"/>
      <w:r w:rsidR="006E1073" w:rsidRPr="007A5972">
        <w:rPr>
          <w:lang w:val="pl-PL"/>
        </w:rPr>
        <w:t xml:space="preserve"> </w:t>
      </w:r>
      <w:proofErr w:type="spellStart"/>
      <w:r w:rsidR="006E1073" w:rsidRPr="007A5972">
        <w:rPr>
          <w:lang w:val="pl-PL"/>
        </w:rPr>
        <w:t>Tsirli</w:t>
      </w:r>
      <w:proofErr w:type="spellEnd"/>
      <w:r w:rsidRPr="007A5972">
        <w:rPr>
          <w:lang w:val="pl-PL"/>
        </w:rPr>
        <w:tab/>
      </w:r>
      <w:proofErr w:type="spellStart"/>
      <w:r w:rsidR="0050654C" w:rsidRPr="007A5972">
        <w:rPr>
          <w:lang w:val="pl-PL"/>
        </w:rPr>
        <w:t>András</w:t>
      </w:r>
      <w:proofErr w:type="spellEnd"/>
      <w:r w:rsidR="0050654C" w:rsidRPr="007A5972">
        <w:rPr>
          <w:lang w:val="pl-PL"/>
        </w:rPr>
        <w:t xml:space="preserve"> </w:t>
      </w:r>
      <w:proofErr w:type="spellStart"/>
      <w:r w:rsidR="0050654C" w:rsidRPr="007A5972">
        <w:rPr>
          <w:lang w:val="pl-PL"/>
        </w:rPr>
        <w:t>Sajó</w:t>
      </w:r>
      <w:proofErr w:type="spellEnd"/>
      <w:r w:rsidR="003E3FDB" w:rsidRPr="007A5972">
        <w:rPr>
          <w:lang w:val="pl-PL"/>
        </w:rPr>
        <w:br/>
      </w:r>
      <w:r w:rsidRPr="007A5972">
        <w:rPr>
          <w:lang w:val="pl-PL"/>
        </w:rPr>
        <w:tab/>
      </w:r>
      <w:r w:rsidR="00864313" w:rsidRPr="007A5972">
        <w:rPr>
          <w:iCs/>
          <w:lang w:val="pl-PL"/>
        </w:rPr>
        <w:t>Kanclerz</w:t>
      </w:r>
      <w:r w:rsidRPr="007A5972">
        <w:rPr>
          <w:lang w:val="pl-PL"/>
        </w:rPr>
        <w:tab/>
      </w:r>
      <w:r w:rsidR="00864313" w:rsidRPr="007A5972">
        <w:rPr>
          <w:lang w:val="pl-PL"/>
        </w:rPr>
        <w:t>Przewodniczący</w:t>
      </w:r>
    </w:p>
    <w:p w:rsidR="00711FC7" w:rsidRPr="007A5972" w:rsidRDefault="00864313" w:rsidP="008533F0">
      <w:pPr>
        <w:pStyle w:val="JuParaLast"/>
        <w:rPr>
          <w:lang w:val="pl-PL"/>
        </w:rPr>
      </w:pPr>
      <w:r w:rsidRPr="007A5972">
        <w:rPr>
          <w:lang w:val="pl-PL"/>
        </w:rPr>
        <w:t>Zgodnie z artykułem 45 § 2 Konwencji oraz Regułą 74 § 2 Regulaminu Trybunału, do niniejszego wyroku załącza się wspólną odrębną opinię sędziów Wojtycz</w:t>
      </w:r>
      <w:r w:rsidR="00EC323D" w:rsidRPr="007A5972">
        <w:rPr>
          <w:lang w:val="pl-PL"/>
        </w:rPr>
        <w:t>k</w:t>
      </w:r>
      <w:r w:rsidRPr="007A5972">
        <w:rPr>
          <w:lang w:val="pl-PL"/>
        </w:rPr>
        <w:t>a</w:t>
      </w:r>
      <w:r w:rsidR="00EC323D" w:rsidRPr="007A5972">
        <w:rPr>
          <w:lang w:val="pl-PL"/>
        </w:rPr>
        <w:t xml:space="preserve"> </w:t>
      </w:r>
      <w:r w:rsidRPr="007A5972">
        <w:rPr>
          <w:lang w:val="pl-PL"/>
        </w:rPr>
        <w:t>i</w:t>
      </w:r>
      <w:r w:rsidR="00EC323D" w:rsidRPr="007A5972">
        <w:rPr>
          <w:lang w:val="pl-PL"/>
        </w:rPr>
        <w:t xml:space="preserve"> </w:t>
      </w:r>
      <w:proofErr w:type="spellStart"/>
      <w:r w:rsidR="00EC323D" w:rsidRPr="007A5972">
        <w:rPr>
          <w:lang w:val="pl-PL"/>
        </w:rPr>
        <w:t>Kūris</w:t>
      </w:r>
      <w:r w:rsidRPr="007A5972">
        <w:rPr>
          <w:lang w:val="pl-PL"/>
        </w:rPr>
        <w:t>a</w:t>
      </w:r>
      <w:proofErr w:type="spellEnd"/>
      <w:r w:rsidR="009C4009" w:rsidRPr="007A5972">
        <w:rPr>
          <w:lang w:val="pl-PL"/>
        </w:rPr>
        <w:t>.</w:t>
      </w:r>
    </w:p>
    <w:p w:rsidR="00A0311D" w:rsidRPr="007A5972" w:rsidRDefault="00DD28EC" w:rsidP="008533F0">
      <w:pPr>
        <w:pStyle w:val="JuInitialled"/>
        <w:rPr>
          <w:lang w:val="pl-PL"/>
        </w:rPr>
      </w:pPr>
      <w:r w:rsidRPr="007A5972">
        <w:rPr>
          <w:lang w:val="pl-PL"/>
        </w:rPr>
        <w:t>A</w:t>
      </w:r>
      <w:r w:rsidR="007A5CA8" w:rsidRPr="007A5972">
        <w:rPr>
          <w:lang w:val="pl-PL"/>
        </w:rPr>
        <w:t>.</w:t>
      </w:r>
      <w:r w:rsidRPr="007A5972">
        <w:rPr>
          <w:lang w:val="pl-PL"/>
        </w:rPr>
        <w:t>S</w:t>
      </w:r>
      <w:r w:rsidR="007A5CA8" w:rsidRPr="007A5972">
        <w:rPr>
          <w:lang w:val="pl-PL"/>
        </w:rPr>
        <w:t>.</w:t>
      </w:r>
      <w:r w:rsidRPr="007A5972">
        <w:rPr>
          <w:lang w:val="pl-PL"/>
        </w:rPr>
        <w:br/>
      </w:r>
      <w:r w:rsidR="00717D4B" w:rsidRPr="007A5972">
        <w:rPr>
          <w:lang w:val="pl-PL"/>
        </w:rPr>
        <w:t>M.T.</w:t>
      </w:r>
    </w:p>
    <w:p w:rsidR="00717D4B" w:rsidRPr="007A5972" w:rsidRDefault="00717D4B" w:rsidP="008533F0">
      <w:pPr>
        <w:pStyle w:val="JuInitialled"/>
        <w:jc w:val="left"/>
        <w:rPr>
          <w:lang w:val="pl-PL"/>
        </w:rPr>
        <w:sectPr w:rsidR="00717D4B" w:rsidRPr="007A5972" w:rsidSect="004C08A0">
          <w:headerReference w:type="even" r:id="rId15"/>
          <w:headerReference w:type="default" r:id="rId16"/>
          <w:footnotePr>
            <w:numRestart w:val="eachPage"/>
          </w:footnotePr>
          <w:pgSz w:w="11906" w:h="16838" w:code="9"/>
          <w:pgMar w:top="2274" w:right="2274" w:bottom="2274" w:left="2274" w:header="1701" w:footer="720" w:gutter="0"/>
          <w:cols w:space="720"/>
          <w:docGrid w:linePitch="326"/>
        </w:sectPr>
      </w:pPr>
    </w:p>
    <w:p w:rsidR="00D31765" w:rsidRPr="007A5972" w:rsidRDefault="00864313" w:rsidP="008533F0">
      <w:pPr>
        <w:pStyle w:val="ECHRTitleCentre1"/>
        <w:spacing w:after="0"/>
        <w:rPr>
          <w:lang w:val="pl-PL"/>
        </w:rPr>
      </w:pPr>
      <w:r w:rsidRPr="007A5972">
        <w:rPr>
          <w:lang w:val="pl-PL"/>
        </w:rPr>
        <w:lastRenderedPageBreak/>
        <w:t>WSPÓLNA ODRĘBNA OPINIA</w:t>
      </w:r>
      <w:r w:rsidR="008533F0" w:rsidRPr="007A5972">
        <w:rPr>
          <w:lang w:val="pl-PL"/>
        </w:rPr>
        <w:br/>
      </w:r>
      <w:r w:rsidRPr="007A5972">
        <w:rPr>
          <w:lang w:val="pl-PL"/>
        </w:rPr>
        <w:t xml:space="preserve">SĘDZIÓW WOJTYCZEK I </w:t>
      </w:r>
      <w:r w:rsidR="00D31765" w:rsidRPr="007A5972">
        <w:rPr>
          <w:lang w:val="pl-PL"/>
        </w:rPr>
        <w:t>KŪRIS</w:t>
      </w:r>
    </w:p>
    <w:p w:rsidR="008533F0" w:rsidRPr="007A5972" w:rsidRDefault="008533F0" w:rsidP="008533F0">
      <w:pPr>
        <w:pStyle w:val="OpiPara"/>
        <w:rPr>
          <w:lang w:val="pl-PL"/>
        </w:rPr>
      </w:pPr>
    </w:p>
    <w:p w:rsidR="00D31765" w:rsidRPr="007A5972" w:rsidRDefault="00D31765" w:rsidP="008533F0">
      <w:pPr>
        <w:pStyle w:val="OpiPara"/>
        <w:rPr>
          <w:lang w:val="pl-PL"/>
        </w:rPr>
      </w:pPr>
      <w:r w:rsidRPr="007A5972">
        <w:rPr>
          <w:lang w:val="pl-PL"/>
        </w:rPr>
        <w:t>1.</w:t>
      </w:r>
      <w:r w:rsidR="00FD59DD" w:rsidRPr="007A5972">
        <w:rPr>
          <w:lang w:val="pl-PL"/>
        </w:rPr>
        <w:t>  </w:t>
      </w:r>
      <w:r w:rsidR="00864313" w:rsidRPr="007A5972">
        <w:rPr>
          <w:lang w:val="pl-PL"/>
        </w:rPr>
        <w:t>Z całym szacunkiem, ale nie możemy przyjąć stwierdzenia większości, że doszło do naruszenia artykułu 10 Konwencji w niniejszej sprawie. W naszym głębokim przekonaniu, wręcz przeciwnie, artykuł ten nie został naruszony</w:t>
      </w:r>
      <w:r w:rsidRPr="007A5972">
        <w:rPr>
          <w:lang w:val="pl-PL"/>
        </w:rPr>
        <w:t>.</w:t>
      </w:r>
    </w:p>
    <w:p w:rsidR="00D31765" w:rsidRPr="007A5972" w:rsidRDefault="00D31765" w:rsidP="008533F0">
      <w:pPr>
        <w:pStyle w:val="OpiHA"/>
        <w:jc w:val="center"/>
        <w:rPr>
          <w:lang w:val="pl-PL"/>
        </w:rPr>
      </w:pPr>
      <w:r w:rsidRPr="007A5972">
        <w:rPr>
          <w:lang w:val="pl-PL"/>
        </w:rPr>
        <w:t>I</w:t>
      </w:r>
    </w:p>
    <w:p w:rsidR="00D31765" w:rsidRPr="007A5972" w:rsidRDefault="00D31765" w:rsidP="008533F0">
      <w:pPr>
        <w:pStyle w:val="OpiPara"/>
        <w:rPr>
          <w:lang w:val="pl-PL"/>
        </w:rPr>
      </w:pPr>
      <w:r w:rsidRPr="007A5972">
        <w:rPr>
          <w:lang w:val="pl-PL"/>
        </w:rPr>
        <w:t>2.</w:t>
      </w:r>
      <w:r w:rsidR="00FD59DD" w:rsidRPr="007A5972">
        <w:rPr>
          <w:lang w:val="pl-PL"/>
        </w:rPr>
        <w:t>  </w:t>
      </w:r>
      <w:r w:rsidR="00D3602E" w:rsidRPr="007A5972">
        <w:rPr>
          <w:lang w:val="pl-PL"/>
        </w:rPr>
        <w:t xml:space="preserve">Zgadzamy się, że "użycie sarkazmu i ironii jest w pełni zgodne z wykonywaniem dziennikarskiej wolności wypowiedzi" (patrz pkt 45 wyroku). Rzeczywiście, </w:t>
      </w:r>
      <w:r w:rsidR="000C2F32">
        <w:rPr>
          <w:lang w:val="pl-PL"/>
        </w:rPr>
        <w:t>nie narusza prawa</w:t>
      </w:r>
      <w:r w:rsidR="00D3602E" w:rsidRPr="007A5972">
        <w:rPr>
          <w:lang w:val="pl-PL"/>
        </w:rPr>
        <w:t xml:space="preserve"> dziennikarz (i nie tylko dziennikarz)</w:t>
      </w:r>
      <w:r w:rsidR="000C2F32">
        <w:rPr>
          <w:lang w:val="pl-PL"/>
        </w:rPr>
        <w:t>, który</w:t>
      </w:r>
      <w:r w:rsidR="00D3602E" w:rsidRPr="007A5972">
        <w:rPr>
          <w:lang w:val="pl-PL"/>
        </w:rPr>
        <w:t xml:space="preserve"> używa ostrych słów, szczególnie, gdy przedstawiają patologie w funkcjonowaniu instytucji publicznych. To jednak nie oznacza, że ​​wszelkie ostre słowa mogą być stosowane</w:t>
      </w:r>
      <w:r w:rsidR="00B206D7">
        <w:rPr>
          <w:lang w:val="pl-PL"/>
        </w:rPr>
        <w:t>, bez znaczenia jakie</w:t>
      </w:r>
      <w:r w:rsidR="00D3602E" w:rsidRPr="007A5972">
        <w:rPr>
          <w:lang w:val="pl-PL"/>
        </w:rPr>
        <w:t>. Wolność słowa, jak to wyraźnie wynika z art 10 § 2, nie jest nieograniczona. Wolność ta nie powinna być stosowana jako zasłona dla obrażania innych osób, niezależnie od wagi czynów, które mogą im być (subiektywnie) przypisane przez dziennikarza</w:t>
      </w:r>
      <w:r w:rsidRPr="007A5972">
        <w:rPr>
          <w:lang w:val="pl-PL"/>
        </w:rPr>
        <w:t>.</w:t>
      </w:r>
      <w:r w:rsidR="00D3602E" w:rsidRPr="007A5972">
        <w:rPr>
          <w:lang w:val="pl-PL"/>
        </w:rPr>
        <w:t xml:space="preserve"> </w:t>
      </w:r>
    </w:p>
    <w:p w:rsidR="00D31765" w:rsidRPr="007A5972" w:rsidRDefault="00D31765" w:rsidP="008533F0">
      <w:pPr>
        <w:pStyle w:val="OpiPara"/>
        <w:rPr>
          <w:lang w:val="pl-PL"/>
        </w:rPr>
      </w:pPr>
      <w:r w:rsidRPr="007A5972">
        <w:rPr>
          <w:lang w:val="pl-PL"/>
        </w:rPr>
        <w:t>3.</w:t>
      </w:r>
      <w:r w:rsidR="00FD59DD" w:rsidRPr="007A5972">
        <w:rPr>
          <w:lang w:val="pl-PL"/>
        </w:rPr>
        <w:t>  </w:t>
      </w:r>
      <w:r w:rsidR="00D3602E" w:rsidRPr="007A5972">
        <w:rPr>
          <w:lang w:val="pl-PL"/>
        </w:rPr>
        <w:t>W Polsce spór koncentruje się na czterech wykorzystywanych przez skarżącego wyrażeniach</w:t>
      </w:r>
      <w:r w:rsidRPr="007A5972">
        <w:rPr>
          <w:lang w:val="pl-PL"/>
        </w:rPr>
        <w:t xml:space="preserve">: </w:t>
      </w:r>
      <w:r w:rsidR="00676561">
        <w:rPr>
          <w:lang w:val="pl-PL"/>
        </w:rPr>
        <w:t>„</w:t>
      </w:r>
      <w:r w:rsidRPr="00676561">
        <w:rPr>
          <w:lang w:val="pl-PL"/>
        </w:rPr>
        <w:t>pozer</w:t>
      </w:r>
      <w:r w:rsidRPr="007A5972">
        <w:rPr>
          <w:lang w:val="pl-PL"/>
        </w:rPr>
        <w:t xml:space="preserve">”, </w:t>
      </w:r>
      <w:r w:rsidR="00676561">
        <w:rPr>
          <w:lang w:val="pl-PL"/>
        </w:rPr>
        <w:t>„</w:t>
      </w:r>
      <w:r w:rsidRPr="00676561">
        <w:rPr>
          <w:lang w:val="pl-PL"/>
        </w:rPr>
        <w:t>nierozgarnięci szefowie</w:t>
      </w:r>
      <w:r w:rsidRPr="007A5972">
        <w:rPr>
          <w:lang w:val="pl-PL"/>
        </w:rPr>
        <w:t xml:space="preserve">”, </w:t>
      </w:r>
      <w:r w:rsidR="00676561">
        <w:rPr>
          <w:lang w:val="pl-PL"/>
        </w:rPr>
        <w:t>„</w:t>
      </w:r>
      <w:r w:rsidRPr="00676561">
        <w:rPr>
          <w:lang w:val="pl-PL"/>
        </w:rPr>
        <w:t>palant</w:t>
      </w:r>
      <w:r w:rsidRPr="007A5972">
        <w:rPr>
          <w:lang w:val="pl-PL"/>
        </w:rPr>
        <w:t xml:space="preserve">” </w:t>
      </w:r>
      <w:r w:rsidR="00D3602E" w:rsidRPr="007A5972">
        <w:rPr>
          <w:lang w:val="pl-PL"/>
        </w:rPr>
        <w:t>oraz</w:t>
      </w:r>
      <w:r w:rsidRPr="007A5972">
        <w:rPr>
          <w:lang w:val="pl-PL"/>
        </w:rPr>
        <w:t xml:space="preserve"> </w:t>
      </w:r>
      <w:r w:rsidR="00676561">
        <w:rPr>
          <w:lang w:val="pl-PL"/>
        </w:rPr>
        <w:t>„</w:t>
      </w:r>
      <w:proofErr w:type="spellStart"/>
      <w:r w:rsidRPr="00676561">
        <w:rPr>
          <w:lang w:val="pl-PL"/>
        </w:rPr>
        <w:t>przygłupawy</w:t>
      </w:r>
      <w:proofErr w:type="spellEnd"/>
      <w:r w:rsidRPr="00676561">
        <w:rPr>
          <w:lang w:val="pl-PL"/>
        </w:rPr>
        <w:t xml:space="preserve"> urzędnik</w:t>
      </w:r>
      <w:r w:rsidRPr="007A5972">
        <w:rPr>
          <w:lang w:val="pl-PL"/>
        </w:rPr>
        <w:t xml:space="preserve">”. </w:t>
      </w:r>
      <w:r w:rsidR="00D3602E" w:rsidRPr="007A5972">
        <w:rPr>
          <w:lang w:val="pl-PL"/>
        </w:rPr>
        <w:t>W wyroku, te wyrażenia są tłumaczone na angielski odpowiednio jako</w:t>
      </w:r>
      <w:r w:rsidRPr="007A5972">
        <w:rPr>
          <w:lang w:val="pl-PL"/>
        </w:rPr>
        <w:t xml:space="preserve"> “</w:t>
      </w:r>
      <w:proofErr w:type="spellStart"/>
      <w:r w:rsidRPr="007A5972">
        <w:rPr>
          <w:lang w:val="pl-PL"/>
        </w:rPr>
        <w:t>poser</w:t>
      </w:r>
      <w:proofErr w:type="spellEnd"/>
      <w:r w:rsidRPr="007A5972">
        <w:rPr>
          <w:lang w:val="pl-PL"/>
        </w:rPr>
        <w:t>”, “</w:t>
      </w:r>
      <w:proofErr w:type="spellStart"/>
      <w:r w:rsidRPr="007A5972">
        <w:rPr>
          <w:lang w:val="pl-PL"/>
        </w:rPr>
        <w:t>dull</w:t>
      </w:r>
      <w:proofErr w:type="spellEnd"/>
      <w:r w:rsidRPr="007A5972">
        <w:rPr>
          <w:lang w:val="pl-PL"/>
        </w:rPr>
        <w:t xml:space="preserve"> </w:t>
      </w:r>
      <w:proofErr w:type="spellStart"/>
      <w:r w:rsidRPr="007A5972">
        <w:rPr>
          <w:lang w:val="pl-PL"/>
        </w:rPr>
        <w:t>bosses</w:t>
      </w:r>
      <w:proofErr w:type="spellEnd"/>
      <w:r w:rsidRPr="007A5972">
        <w:rPr>
          <w:lang w:val="pl-PL"/>
        </w:rPr>
        <w:t>”, “</w:t>
      </w:r>
      <w:proofErr w:type="spellStart"/>
      <w:r w:rsidRPr="007A5972">
        <w:rPr>
          <w:lang w:val="pl-PL"/>
        </w:rPr>
        <w:t>numbskull</w:t>
      </w:r>
      <w:proofErr w:type="spellEnd"/>
      <w:r w:rsidRPr="007A5972">
        <w:rPr>
          <w:lang w:val="pl-PL"/>
        </w:rPr>
        <w:t xml:space="preserve">” </w:t>
      </w:r>
      <w:r w:rsidR="00D3602E" w:rsidRPr="007A5972">
        <w:rPr>
          <w:lang w:val="pl-PL"/>
        </w:rPr>
        <w:t>i</w:t>
      </w:r>
      <w:r w:rsidRPr="007A5972">
        <w:rPr>
          <w:lang w:val="pl-PL"/>
        </w:rPr>
        <w:t xml:space="preserve"> “</w:t>
      </w:r>
      <w:proofErr w:type="spellStart"/>
      <w:r w:rsidRPr="007A5972">
        <w:rPr>
          <w:lang w:val="pl-PL"/>
        </w:rPr>
        <w:t>dim-witted</w:t>
      </w:r>
      <w:proofErr w:type="spellEnd"/>
      <w:r w:rsidRPr="007A5972">
        <w:rPr>
          <w:lang w:val="pl-PL"/>
        </w:rPr>
        <w:t xml:space="preserve"> </w:t>
      </w:r>
      <w:proofErr w:type="spellStart"/>
      <w:r w:rsidRPr="007A5972">
        <w:rPr>
          <w:lang w:val="pl-PL"/>
        </w:rPr>
        <w:t>official</w:t>
      </w:r>
      <w:proofErr w:type="spellEnd"/>
      <w:r w:rsidRPr="007A5972">
        <w:rPr>
          <w:lang w:val="pl-PL"/>
        </w:rPr>
        <w:t xml:space="preserve">”; </w:t>
      </w:r>
      <w:r w:rsidR="00D3602E" w:rsidRPr="007A5972">
        <w:rPr>
          <w:lang w:val="pl-PL"/>
        </w:rPr>
        <w:t xml:space="preserve">Jednakże, te tłumaczenia słowo w słowo nie we wszystkich przypadkach (a na pewno nie w przypadku </w:t>
      </w:r>
      <w:r w:rsidR="00676561">
        <w:rPr>
          <w:lang w:val="pl-PL"/>
        </w:rPr>
        <w:t xml:space="preserve">słów: </w:t>
      </w:r>
      <w:r w:rsidR="00D3602E" w:rsidRPr="007A5972">
        <w:rPr>
          <w:lang w:val="pl-PL"/>
        </w:rPr>
        <w:t>"palant" i "</w:t>
      </w:r>
      <w:proofErr w:type="spellStart"/>
      <w:r w:rsidR="00D3602E" w:rsidRPr="007A5972">
        <w:rPr>
          <w:lang w:val="pl-PL"/>
        </w:rPr>
        <w:t>przygłupawy</w:t>
      </w:r>
      <w:proofErr w:type="spellEnd"/>
      <w:r w:rsidR="00D3602E" w:rsidRPr="007A5972">
        <w:rPr>
          <w:lang w:val="pl-PL"/>
        </w:rPr>
        <w:t xml:space="preserve"> urzędnik") przekazują równowartość emocjonalnego ładunku przen</w:t>
      </w:r>
      <w:r w:rsidR="00676561">
        <w:rPr>
          <w:lang w:val="pl-PL"/>
        </w:rPr>
        <w:t>oszonego przez „</w:t>
      </w:r>
      <w:r w:rsidR="00D3602E" w:rsidRPr="007A5972">
        <w:rPr>
          <w:lang w:val="pl-PL"/>
        </w:rPr>
        <w:t>oryginały" polskie. Sugerujemy, że angielskie określenia</w:t>
      </w:r>
      <w:r w:rsidR="00CB06B7">
        <w:rPr>
          <w:lang w:val="pl-PL"/>
        </w:rPr>
        <w:t xml:space="preserve"> „</w:t>
      </w:r>
      <w:proofErr w:type="spellStart"/>
      <w:r w:rsidR="00CB06B7">
        <w:rPr>
          <w:lang w:val="pl-PL"/>
        </w:rPr>
        <w:t>braggart</w:t>
      </w:r>
      <w:proofErr w:type="spellEnd"/>
      <w:r w:rsidR="00CB06B7">
        <w:rPr>
          <w:lang w:val="pl-PL"/>
        </w:rPr>
        <w:t>”, „</w:t>
      </w:r>
      <w:proofErr w:type="spellStart"/>
      <w:r w:rsidR="00CB06B7">
        <w:rPr>
          <w:lang w:val="pl-PL"/>
        </w:rPr>
        <w:t>dim-witted</w:t>
      </w:r>
      <w:proofErr w:type="spellEnd"/>
      <w:r w:rsidR="00CB06B7">
        <w:rPr>
          <w:lang w:val="pl-PL"/>
        </w:rPr>
        <w:t xml:space="preserve"> </w:t>
      </w:r>
      <w:proofErr w:type="spellStart"/>
      <w:r w:rsidR="00CB06B7">
        <w:rPr>
          <w:lang w:val="pl-PL"/>
        </w:rPr>
        <w:t>bosses</w:t>
      </w:r>
      <w:proofErr w:type="spellEnd"/>
      <w:r w:rsidR="00CB06B7">
        <w:rPr>
          <w:lang w:val="pl-PL"/>
        </w:rPr>
        <w:t>”, „</w:t>
      </w:r>
      <w:proofErr w:type="spellStart"/>
      <w:r w:rsidRPr="007A5972">
        <w:rPr>
          <w:lang w:val="pl-PL"/>
        </w:rPr>
        <w:t>jerk</w:t>
      </w:r>
      <w:proofErr w:type="spellEnd"/>
      <w:r w:rsidRPr="007A5972">
        <w:rPr>
          <w:lang w:val="pl-PL"/>
        </w:rPr>
        <w:t>/</w:t>
      </w:r>
      <w:proofErr w:type="spellStart"/>
      <w:r w:rsidRPr="007A5972">
        <w:rPr>
          <w:lang w:val="pl-PL"/>
        </w:rPr>
        <w:t>moron</w:t>
      </w:r>
      <w:proofErr w:type="spellEnd"/>
      <w:r w:rsidRPr="007A5972">
        <w:rPr>
          <w:lang w:val="pl-PL"/>
        </w:rPr>
        <w:t xml:space="preserve">” </w:t>
      </w:r>
      <w:r w:rsidR="00D3602E" w:rsidRPr="007A5972">
        <w:rPr>
          <w:lang w:val="pl-PL"/>
        </w:rPr>
        <w:t>i</w:t>
      </w:r>
      <w:r w:rsidR="00CB06B7">
        <w:rPr>
          <w:lang w:val="pl-PL"/>
        </w:rPr>
        <w:t xml:space="preserve"> „</w:t>
      </w:r>
      <w:proofErr w:type="spellStart"/>
      <w:r w:rsidRPr="007A5972">
        <w:rPr>
          <w:lang w:val="pl-PL"/>
        </w:rPr>
        <w:t>dumb</w:t>
      </w:r>
      <w:proofErr w:type="spellEnd"/>
      <w:r w:rsidRPr="007A5972">
        <w:rPr>
          <w:lang w:val="pl-PL"/>
        </w:rPr>
        <w:t xml:space="preserve"> clerk/</w:t>
      </w:r>
      <w:proofErr w:type="spellStart"/>
      <w:r w:rsidRPr="007A5972">
        <w:rPr>
          <w:lang w:val="pl-PL"/>
        </w:rPr>
        <w:t>official</w:t>
      </w:r>
      <w:proofErr w:type="spellEnd"/>
      <w:r w:rsidRPr="007A5972">
        <w:rPr>
          <w:lang w:val="pl-PL"/>
        </w:rPr>
        <w:t xml:space="preserve">” </w:t>
      </w:r>
      <w:r w:rsidR="00D3602E" w:rsidRPr="007A5972">
        <w:rPr>
          <w:lang w:val="pl-PL"/>
        </w:rPr>
        <w:t xml:space="preserve">byłyby </w:t>
      </w:r>
      <w:r w:rsidR="00CB06B7">
        <w:rPr>
          <w:lang w:val="pl-PL"/>
        </w:rPr>
        <w:t>bardziej zbliżone do</w:t>
      </w:r>
      <w:r w:rsidR="00D3602E" w:rsidRPr="007A5972">
        <w:rPr>
          <w:lang w:val="pl-PL"/>
        </w:rPr>
        <w:t xml:space="preserve"> polskiego tekstu</w:t>
      </w:r>
      <w:r w:rsidRPr="007A5972">
        <w:rPr>
          <w:lang w:val="pl-PL"/>
        </w:rPr>
        <w:t xml:space="preserve">. </w:t>
      </w:r>
      <w:r w:rsidR="00D3602E" w:rsidRPr="007A5972">
        <w:rPr>
          <w:lang w:val="pl-PL"/>
        </w:rPr>
        <w:t xml:space="preserve">Obraźliwy charakter tych polskich wyrażeń został ustalony przez sądy krajowe. </w:t>
      </w:r>
      <w:r w:rsidR="00B206D7">
        <w:rPr>
          <w:lang w:val="pl-PL"/>
        </w:rPr>
        <w:t>Te</w:t>
      </w:r>
      <w:r w:rsidR="00D3602E" w:rsidRPr="007A5972">
        <w:rPr>
          <w:lang w:val="pl-PL"/>
        </w:rPr>
        <w:t xml:space="preserve"> ostatni</w:t>
      </w:r>
      <w:r w:rsidR="00B206D7">
        <w:rPr>
          <w:lang w:val="pl-PL"/>
        </w:rPr>
        <w:t>e</w:t>
      </w:r>
      <w:r w:rsidR="00D3602E" w:rsidRPr="007A5972">
        <w:rPr>
          <w:lang w:val="pl-PL"/>
        </w:rPr>
        <w:t xml:space="preserve"> przedstawi</w:t>
      </w:r>
      <w:r w:rsidR="00B206D7">
        <w:rPr>
          <w:lang w:val="pl-PL"/>
        </w:rPr>
        <w:t>ły</w:t>
      </w:r>
      <w:r w:rsidR="00D3602E" w:rsidRPr="007A5972">
        <w:rPr>
          <w:lang w:val="pl-PL"/>
        </w:rPr>
        <w:t xml:space="preserve"> swoje oceny na podstawie ich wiedzy o faktycznej sytuacji wokół sporu w trakcie jego rozpatrywania i jakości debaty publicznej w kraju, ale także - co niemniej ważne! - semantyki polskiego </w:t>
      </w:r>
      <w:proofErr w:type="spellStart"/>
      <w:r w:rsidR="00D3602E" w:rsidRPr="007A5972">
        <w:rPr>
          <w:lang w:val="pl-PL"/>
        </w:rPr>
        <w:t>słownictwia</w:t>
      </w:r>
      <w:proofErr w:type="spellEnd"/>
      <w:r w:rsidR="00D3602E" w:rsidRPr="007A5972">
        <w:rPr>
          <w:lang w:val="pl-PL"/>
        </w:rPr>
        <w:t xml:space="preserve"> i frazeologii. Ponadto polskie sądy przedstawiły obszerną argumentację na poparcie swoich ustaleń</w:t>
      </w:r>
      <w:r w:rsidRPr="007A5972">
        <w:rPr>
          <w:lang w:val="pl-PL"/>
        </w:rPr>
        <w:t>.</w:t>
      </w:r>
    </w:p>
    <w:p w:rsidR="00D31765" w:rsidRPr="007A5972" w:rsidRDefault="00D3602E" w:rsidP="008533F0">
      <w:pPr>
        <w:pStyle w:val="OpiPara"/>
        <w:rPr>
          <w:lang w:val="pl-PL"/>
        </w:rPr>
      </w:pPr>
      <w:r w:rsidRPr="007A5972">
        <w:rPr>
          <w:lang w:val="pl-PL"/>
        </w:rPr>
        <w:t>Międzynarodowy sąd powinien zachować szczególną ostrożność w podejmowaniu decyzji o oddaleniu takich ustaleń przez sądy krajowe</w:t>
      </w:r>
      <w:r w:rsidR="00C1215D" w:rsidRPr="00C1215D">
        <w:rPr>
          <w:lang w:val="pl-PL"/>
        </w:rPr>
        <w:t xml:space="preserve"> </w:t>
      </w:r>
      <w:r w:rsidR="00C1215D" w:rsidRPr="007A5972">
        <w:rPr>
          <w:lang w:val="pl-PL"/>
        </w:rPr>
        <w:t>na tej podstawie, że instrument międzynarodowy</w:t>
      </w:r>
      <w:r w:rsidR="00C1215D">
        <w:rPr>
          <w:lang w:val="pl-PL"/>
        </w:rPr>
        <w:t xml:space="preserve"> </w:t>
      </w:r>
      <w:r w:rsidR="00C1215D" w:rsidRPr="007A5972">
        <w:rPr>
          <w:lang w:val="pl-PL"/>
        </w:rPr>
        <w:t>(taki jak Konwencja ) rzekomo pozwala na korzystanie z określonego języka</w:t>
      </w:r>
      <w:r w:rsidRPr="007A5972">
        <w:rPr>
          <w:lang w:val="pl-PL"/>
        </w:rPr>
        <w:t xml:space="preserve">, </w:t>
      </w:r>
      <w:r w:rsidR="00C1215D">
        <w:rPr>
          <w:lang w:val="pl-PL"/>
        </w:rPr>
        <w:t>jeśli</w:t>
      </w:r>
      <w:r w:rsidRPr="007A5972">
        <w:rPr>
          <w:lang w:val="pl-PL"/>
        </w:rPr>
        <w:t xml:space="preserve"> pewne słowa lub wyrażenia zostały autorytatywnie uznane za wykraczające poza granice akceptowalności w danym społeczeństwie</w:t>
      </w:r>
      <w:r w:rsidR="00A834AF">
        <w:rPr>
          <w:lang w:val="pl-PL"/>
        </w:rPr>
        <w:t>.</w:t>
      </w:r>
      <w:r w:rsidRPr="007A5972">
        <w:rPr>
          <w:lang w:val="pl-PL"/>
        </w:rPr>
        <w:t xml:space="preserve"> Poza tym, jest to kwestia nie tylko prawna, ale także wiedzy językowej i </w:t>
      </w:r>
      <w:r w:rsidR="00B206D7" w:rsidRPr="007A5972">
        <w:rPr>
          <w:lang w:val="pl-PL"/>
        </w:rPr>
        <w:t>kulturoznawstwa</w:t>
      </w:r>
      <w:r w:rsidRPr="007A5972">
        <w:rPr>
          <w:lang w:val="pl-PL"/>
        </w:rPr>
        <w:t xml:space="preserve">. Żaden sąd </w:t>
      </w:r>
      <w:r w:rsidRPr="007A5972">
        <w:rPr>
          <w:lang w:val="pl-PL"/>
        </w:rPr>
        <w:lastRenderedPageBreak/>
        <w:t xml:space="preserve">międzynarodowy nie może mieć wszystkich tych kompetencji. Byłoby </w:t>
      </w:r>
      <w:r w:rsidR="00B206D7" w:rsidRPr="007A5972">
        <w:rPr>
          <w:lang w:val="pl-PL"/>
        </w:rPr>
        <w:t>próżnością</w:t>
      </w:r>
      <w:r w:rsidRPr="007A5972">
        <w:rPr>
          <w:lang w:val="pl-PL"/>
        </w:rPr>
        <w:t xml:space="preserve"> twierdzenie, że tak jest</w:t>
      </w:r>
      <w:r w:rsidR="00D31765" w:rsidRPr="007A5972">
        <w:rPr>
          <w:lang w:val="pl-PL"/>
        </w:rPr>
        <w:t>.</w:t>
      </w:r>
    </w:p>
    <w:p w:rsidR="00D31765" w:rsidRPr="007A5972" w:rsidRDefault="00D31765" w:rsidP="008533F0">
      <w:pPr>
        <w:pStyle w:val="OpiPara"/>
        <w:rPr>
          <w:lang w:val="pl-PL"/>
        </w:rPr>
      </w:pPr>
      <w:r w:rsidRPr="007A5972">
        <w:rPr>
          <w:lang w:val="pl-PL"/>
        </w:rPr>
        <w:t>4.</w:t>
      </w:r>
      <w:r w:rsidR="00FD59DD" w:rsidRPr="007A5972">
        <w:rPr>
          <w:lang w:val="pl-PL"/>
        </w:rPr>
        <w:t>  </w:t>
      </w:r>
      <w:r w:rsidR="00BE6CF8" w:rsidRPr="007A5972">
        <w:rPr>
          <w:lang w:val="pl-PL"/>
        </w:rPr>
        <w:t xml:space="preserve">Jest oczywiste, że stosowane przez </w:t>
      </w:r>
      <w:r w:rsidR="00682A53" w:rsidRPr="007A5972">
        <w:rPr>
          <w:lang w:val="pl-PL"/>
        </w:rPr>
        <w:t>skarżącego</w:t>
      </w:r>
      <w:r w:rsidR="00BE6CF8" w:rsidRPr="007A5972">
        <w:rPr>
          <w:lang w:val="pl-PL"/>
        </w:rPr>
        <w:t xml:space="preserve"> wyrażenia różnią się co do stopnia intensywności językowej i w związku z tym, w zakresie siły emocjonalnego komunikatu. Okoliczność ta daje podstawę do oceny, czy </w:t>
      </w:r>
      <w:r w:rsidR="00682A53">
        <w:rPr>
          <w:lang w:val="pl-PL"/>
        </w:rPr>
        <w:t>K</w:t>
      </w:r>
      <w:r w:rsidR="00BE6CF8" w:rsidRPr="007A5972">
        <w:rPr>
          <w:lang w:val="pl-PL"/>
        </w:rPr>
        <w:t xml:space="preserve">onwencja wymaga odejścia od ustaleń sądów krajowych. To odejście jest dokładnie tym, do czego Trybunał ucieka się tutaj. To daje pierwszeństwo nie znaczeniom wyrażeń, ale kontekstom, w których zostały one użyte. Musimy podkreślić ten punkt: badanie przez Trybunał spornych wyrażeń </w:t>
      </w:r>
      <w:r w:rsidR="00BE6CF8" w:rsidRPr="007A5972">
        <w:rPr>
          <w:i/>
          <w:lang w:val="pl-PL"/>
        </w:rPr>
        <w:t>nie zostało dopełnione</w:t>
      </w:r>
      <w:r w:rsidR="00BE6CF8" w:rsidRPr="007A5972">
        <w:rPr>
          <w:lang w:val="pl-PL"/>
        </w:rPr>
        <w:t xml:space="preserve">, ale zamiast tego </w:t>
      </w:r>
      <w:r w:rsidR="00BE6CF8" w:rsidRPr="007A5972">
        <w:rPr>
          <w:i/>
          <w:lang w:val="pl-PL"/>
        </w:rPr>
        <w:t>zastąpione</w:t>
      </w:r>
      <w:r w:rsidR="00AD60F2">
        <w:rPr>
          <w:lang w:val="pl-PL"/>
        </w:rPr>
        <w:t xml:space="preserve"> badaniem kontekstu, jeśli „</w:t>
      </w:r>
      <w:r w:rsidR="00BE6CF8" w:rsidRPr="007A5972">
        <w:rPr>
          <w:lang w:val="pl-PL"/>
        </w:rPr>
        <w:t>badanie" tego ostatniego wystąpiło w ogóle, którego dyskusja poniżej może doprowadzić czytelnika do wątpliwości</w:t>
      </w:r>
      <w:r w:rsidRPr="007A5972">
        <w:rPr>
          <w:lang w:val="pl-PL"/>
        </w:rPr>
        <w:t>.</w:t>
      </w:r>
    </w:p>
    <w:p w:rsidR="00D31765" w:rsidRPr="007A5972" w:rsidRDefault="00BE6CF8" w:rsidP="008533F0">
      <w:pPr>
        <w:pStyle w:val="OpiPara"/>
        <w:rPr>
          <w:lang w:val="pl-PL"/>
        </w:rPr>
      </w:pPr>
      <w:r w:rsidRPr="007A5972">
        <w:rPr>
          <w:lang w:val="pl-PL"/>
        </w:rPr>
        <w:t>Niemniej jednak, przyjmujemy, że co do zasady, pewne ustępstw</w:t>
      </w:r>
      <w:r w:rsidR="00682A53">
        <w:rPr>
          <w:lang w:val="pl-PL"/>
        </w:rPr>
        <w:t>a</w:t>
      </w:r>
      <w:r w:rsidRPr="007A5972">
        <w:rPr>
          <w:lang w:val="pl-PL"/>
        </w:rPr>
        <w:t xml:space="preserve"> co do dopuszczalności stosowanych przez skarżącego wyrażeń mogą być poczynione przez Trybunał z punktu widzeni</w:t>
      </w:r>
      <w:r w:rsidR="00682A53">
        <w:rPr>
          <w:lang w:val="pl-PL"/>
        </w:rPr>
        <w:t>a</w:t>
      </w:r>
      <w:r w:rsidRPr="007A5972">
        <w:rPr>
          <w:lang w:val="pl-PL"/>
        </w:rPr>
        <w:t xml:space="preserve">, </w:t>
      </w:r>
      <w:r w:rsidRPr="007A5972">
        <w:rPr>
          <w:i/>
          <w:lang w:val="pl-PL"/>
        </w:rPr>
        <w:t>między innymi</w:t>
      </w:r>
      <w:r w:rsidRPr="007A5972">
        <w:rPr>
          <w:lang w:val="pl-PL"/>
        </w:rPr>
        <w:t xml:space="preserve">, kontekstu, w jakim zostały one użyte oraz  gatunku publikacji (porównaj pkt 44). Ale (i to oczywiste!) wszelkie odstępstwa od ustaleń sądów krajowych co do niedopuszczalności stosowania niektórych wyrażeń muszą, aby uniknąć arbitralności, być dokładnie uzasadnione, a przynajmniej </w:t>
      </w:r>
      <w:r w:rsidRPr="007A5972">
        <w:rPr>
          <w:i/>
          <w:lang w:val="pl-PL"/>
        </w:rPr>
        <w:t>nie mniej dokładnie niż przez sądy krajowe</w:t>
      </w:r>
      <w:r w:rsidR="00D31765" w:rsidRPr="007A5972">
        <w:rPr>
          <w:lang w:val="pl-PL"/>
        </w:rPr>
        <w:t>.</w:t>
      </w:r>
      <w:r w:rsidRPr="007A5972">
        <w:rPr>
          <w:lang w:val="pl-PL"/>
        </w:rPr>
        <w:t xml:space="preserve"> </w:t>
      </w:r>
    </w:p>
    <w:p w:rsidR="00D31765" w:rsidRPr="007A5972" w:rsidRDefault="00D31765" w:rsidP="008533F0">
      <w:pPr>
        <w:pStyle w:val="OpiPara"/>
        <w:rPr>
          <w:lang w:val="pl-PL"/>
        </w:rPr>
      </w:pPr>
      <w:r w:rsidRPr="007A5972">
        <w:rPr>
          <w:lang w:val="pl-PL"/>
        </w:rPr>
        <w:t>5.</w:t>
      </w:r>
      <w:r w:rsidR="00923E05" w:rsidRPr="007A5972">
        <w:rPr>
          <w:lang w:val="pl-PL"/>
        </w:rPr>
        <w:t>  </w:t>
      </w:r>
      <w:r w:rsidR="00890ABA" w:rsidRPr="007A5972">
        <w:rPr>
          <w:lang w:val="pl-PL"/>
        </w:rPr>
        <w:t xml:space="preserve">Przystępując obecnie do oceny wyrażeń, które legły u podstaw niniejszego postępowania, uznajemy, że dwa z nich, a mianowicie </w:t>
      </w:r>
      <w:r w:rsidR="00CC4F97">
        <w:rPr>
          <w:lang w:val="pl-PL"/>
        </w:rPr>
        <w:t>„</w:t>
      </w:r>
      <w:r w:rsidR="00890ABA" w:rsidRPr="00CC4F97">
        <w:rPr>
          <w:lang w:val="pl-PL"/>
        </w:rPr>
        <w:t>pozer</w:t>
      </w:r>
      <w:r w:rsidR="00890ABA" w:rsidRPr="007A5972">
        <w:rPr>
          <w:lang w:val="pl-PL"/>
        </w:rPr>
        <w:t xml:space="preserve">" i </w:t>
      </w:r>
      <w:r w:rsidR="00CC4F97">
        <w:rPr>
          <w:lang w:val="pl-PL"/>
        </w:rPr>
        <w:t>„</w:t>
      </w:r>
      <w:r w:rsidR="00890ABA" w:rsidRPr="00CC4F97">
        <w:rPr>
          <w:lang w:val="pl-PL"/>
        </w:rPr>
        <w:t>nierozgarnięci szefowie"</w:t>
      </w:r>
      <w:r w:rsidR="00890ABA" w:rsidRPr="007A5972">
        <w:rPr>
          <w:lang w:val="pl-PL"/>
        </w:rPr>
        <w:t xml:space="preserve">, choć </w:t>
      </w:r>
      <w:r w:rsidR="00682A53" w:rsidRPr="007A5972">
        <w:rPr>
          <w:lang w:val="pl-PL"/>
        </w:rPr>
        <w:t>grubiańskie</w:t>
      </w:r>
      <w:r w:rsidR="00890ABA" w:rsidRPr="007A5972">
        <w:rPr>
          <w:lang w:val="pl-PL"/>
        </w:rPr>
        <w:t xml:space="preserve"> i nieprzyjemne, gdy analizowane w oderwaniu od kontekstu, mogą mieścić się w granicach swobody wypowiedzi chronionej na mocy artykułu 10</w:t>
      </w:r>
      <w:r w:rsidRPr="007A5972">
        <w:rPr>
          <w:lang w:val="pl-PL"/>
        </w:rPr>
        <w:t>.</w:t>
      </w:r>
    </w:p>
    <w:p w:rsidR="00D31765" w:rsidRPr="007A5972" w:rsidRDefault="00890ABA" w:rsidP="008533F0">
      <w:pPr>
        <w:pStyle w:val="OpiPara"/>
        <w:rPr>
          <w:lang w:val="pl-PL"/>
        </w:rPr>
      </w:pPr>
      <w:r w:rsidRPr="007A5972">
        <w:rPr>
          <w:lang w:val="pl-PL"/>
        </w:rPr>
        <w:t xml:space="preserve">Jednocześnie, w języku polskim, </w:t>
      </w:r>
      <w:r w:rsidR="00CC4F97">
        <w:rPr>
          <w:lang w:val="pl-PL"/>
        </w:rPr>
        <w:t>„</w:t>
      </w:r>
      <w:r w:rsidRPr="00CC4F97">
        <w:rPr>
          <w:lang w:val="pl-PL"/>
        </w:rPr>
        <w:t>palant"</w:t>
      </w:r>
      <w:r w:rsidRPr="007A5972">
        <w:rPr>
          <w:lang w:val="pl-PL"/>
        </w:rPr>
        <w:t xml:space="preserve"> i </w:t>
      </w:r>
      <w:r w:rsidR="00CC4F97">
        <w:rPr>
          <w:lang w:val="pl-PL"/>
        </w:rPr>
        <w:t>„</w:t>
      </w:r>
      <w:proofErr w:type="spellStart"/>
      <w:r w:rsidRPr="00CC4F97">
        <w:rPr>
          <w:lang w:val="pl-PL"/>
        </w:rPr>
        <w:t>przygłupawy</w:t>
      </w:r>
      <w:proofErr w:type="spellEnd"/>
      <w:r w:rsidRPr="00CC4F97">
        <w:rPr>
          <w:lang w:val="pl-PL"/>
        </w:rPr>
        <w:t xml:space="preserve"> urzędnik</w:t>
      </w:r>
      <w:r w:rsidRPr="007A5972">
        <w:rPr>
          <w:lang w:val="pl-PL"/>
        </w:rPr>
        <w:t>" są wyrażeniami obraźliwymi. Pola</w:t>
      </w:r>
      <w:r w:rsidR="00CC4F97">
        <w:rPr>
          <w:lang w:val="pl-PL"/>
        </w:rPr>
        <w:t>k, jeśli opisany zostanie jako „</w:t>
      </w:r>
      <w:r w:rsidRPr="007A5972">
        <w:rPr>
          <w:lang w:val="pl-PL"/>
        </w:rPr>
        <w:t xml:space="preserve">palant" albo </w:t>
      </w:r>
      <w:r w:rsidR="00CC4F97">
        <w:rPr>
          <w:lang w:val="pl-PL"/>
        </w:rPr>
        <w:t>„</w:t>
      </w:r>
      <w:proofErr w:type="spellStart"/>
      <w:r w:rsidRPr="007A5972">
        <w:rPr>
          <w:lang w:val="pl-PL"/>
        </w:rPr>
        <w:t>przygłupawy</w:t>
      </w:r>
      <w:proofErr w:type="spellEnd"/>
      <w:r w:rsidRPr="007A5972">
        <w:rPr>
          <w:lang w:val="pl-PL"/>
        </w:rPr>
        <w:t xml:space="preserve"> urzędnik", poczuje się dotknięty, </w:t>
      </w:r>
      <w:r w:rsidR="00682A53" w:rsidRPr="007A5972">
        <w:rPr>
          <w:lang w:val="pl-PL"/>
        </w:rPr>
        <w:t>obrażony</w:t>
      </w:r>
      <w:r w:rsidRPr="007A5972">
        <w:rPr>
          <w:lang w:val="pl-PL"/>
        </w:rPr>
        <w:t xml:space="preserve">, urażony. Polskie sądy mają uprawnienia do orzekania, czy ​​zgodnie z prawem krajowym, stosowanie tych określeń nie jest uzasadnione, nawet w kontekście najbardziej krytycznych komunikatów politycznych i niezależnie od gatunku, w który dany komunikat jest ubrany. Jeżeli organem do decydowania o tych sprawach nie są sądy krajowe, to, które mogą nimi być w ogóle? Jest to rola Trybunału w Strasburgu, ale </w:t>
      </w:r>
      <w:r w:rsidR="003E04F9">
        <w:rPr>
          <w:lang w:val="pl-PL"/>
        </w:rPr>
        <w:t>musi on brać pod uwagę</w:t>
      </w:r>
      <w:r w:rsidRPr="007A5972">
        <w:rPr>
          <w:lang w:val="pl-PL"/>
        </w:rPr>
        <w:t xml:space="preserve"> orzeczenia sądów krajowych w takich przypadkach. Pod względem marginesu uznania, margines dla tego Trybunał</w:t>
      </w:r>
      <w:r w:rsidR="00682A53">
        <w:rPr>
          <w:lang w:val="pl-PL"/>
        </w:rPr>
        <w:t>u</w:t>
      </w:r>
      <w:r w:rsidRPr="007A5972">
        <w:rPr>
          <w:lang w:val="pl-PL"/>
        </w:rPr>
        <w:t xml:space="preserve"> jest nieporównywalnie mniejszy niż dla sądów krajowych. Po za wszystkim, sądy krajowe są i zawsze będą, nieporównywalnie lepiej wyposażone od tego Trybunału, aby ocenić, co jest obraźliwe dla rodzimego użytkownika języka</w:t>
      </w:r>
      <w:r w:rsidR="00D31765" w:rsidRPr="007A5972">
        <w:rPr>
          <w:lang w:val="pl-PL"/>
        </w:rPr>
        <w:t>.</w:t>
      </w:r>
    </w:p>
    <w:p w:rsidR="00D31765" w:rsidRPr="007A5972" w:rsidRDefault="00D31765" w:rsidP="008533F0">
      <w:pPr>
        <w:pStyle w:val="OpiHA"/>
        <w:jc w:val="center"/>
        <w:rPr>
          <w:lang w:val="pl-PL"/>
        </w:rPr>
      </w:pPr>
      <w:r w:rsidRPr="007A5972">
        <w:rPr>
          <w:lang w:val="pl-PL"/>
        </w:rPr>
        <w:t>II</w:t>
      </w:r>
    </w:p>
    <w:p w:rsidR="00D31765" w:rsidRPr="007A5972" w:rsidRDefault="00923E05" w:rsidP="008533F0">
      <w:pPr>
        <w:pStyle w:val="OpiPara"/>
        <w:rPr>
          <w:lang w:val="pl-PL"/>
        </w:rPr>
      </w:pPr>
      <w:r w:rsidRPr="007A5972">
        <w:rPr>
          <w:lang w:val="pl-PL"/>
        </w:rPr>
        <w:t>6.  </w:t>
      </w:r>
      <w:r w:rsidR="00AA3A7F">
        <w:rPr>
          <w:lang w:val="pl-PL"/>
        </w:rPr>
        <w:t xml:space="preserve">Moglibyśmy zatrzymać </w:t>
      </w:r>
      <w:r w:rsidR="007B1A1E" w:rsidRPr="007A5972">
        <w:rPr>
          <w:lang w:val="pl-PL"/>
        </w:rPr>
        <w:t xml:space="preserve">się tutaj, </w:t>
      </w:r>
      <w:r w:rsidR="00AA3A7F">
        <w:rPr>
          <w:lang w:val="pl-PL"/>
        </w:rPr>
        <w:t>[twierdząc, że]</w:t>
      </w:r>
      <w:r w:rsidR="007B1A1E" w:rsidRPr="007A5972">
        <w:rPr>
          <w:lang w:val="pl-PL"/>
        </w:rPr>
        <w:t xml:space="preserve"> jeśli sądy krajowe ustaliły, że pewien wyraz </w:t>
      </w:r>
      <w:r w:rsidR="007B1A1E" w:rsidRPr="007A5972">
        <w:rPr>
          <w:i/>
          <w:lang w:val="pl-PL"/>
        </w:rPr>
        <w:t>w języku tego kraju</w:t>
      </w:r>
      <w:r w:rsidR="007B1A1E" w:rsidRPr="007A5972">
        <w:rPr>
          <w:lang w:val="pl-PL"/>
        </w:rPr>
        <w:t xml:space="preserve"> </w:t>
      </w:r>
      <w:r w:rsidR="00D73EFF">
        <w:rPr>
          <w:lang w:val="pl-PL"/>
        </w:rPr>
        <w:t>szkodzi debacie publicznej</w:t>
      </w:r>
      <w:r w:rsidR="007B1A1E" w:rsidRPr="007A5972">
        <w:rPr>
          <w:lang w:val="pl-PL"/>
        </w:rPr>
        <w:t xml:space="preserve"> w </w:t>
      </w:r>
      <w:r w:rsidR="007B1A1E" w:rsidRPr="007A5972">
        <w:rPr>
          <w:lang w:val="pl-PL"/>
        </w:rPr>
        <w:lastRenderedPageBreak/>
        <w:t xml:space="preserve">stopniu, który jest nie do zniesienia, </w:t>
      </w:r>
      <w:r w:rsidR="007C082A">
        <w:rPr>
          <w:lang w:val="pl-PL"/>
        </w:rPr>
        <w:t>to tak należy uznać</w:t>
      </w:r>
      <w:r w:rsidR="00AA3A7F">
        <w:rPr>
          <w:lang w:val="pl-PL"/>
        </w:rPr>
        <w:t xml:space="preserve"> i n</w:t>
      </w:r>
      <w:r w:rsidR="007B1A1E" w:rsidRPr="007A5972">
        <w:rPr>
          <w:lang w:val="pl-PL"/>
        </w:rPr>
        <w:t xml:space="preserve">ie jest wymagana żadna dalsza dyskusja. Niemniej jednak, aby </w:t>
      </w:r>
      <w:r w:rsidR="00D26A5E">
        <w:rPr>
          <w:lang w:val="pl-PL"/>
        </w:rPr>
        <w:t>wywód był spójny</w:t>
      </w:r>
      <w:r w:rsidR="007B1A1E" w:rsidRPr="007A5972">
        <w:rPr>
          <w:lang w:val="pl-PL"/>
        </w:rPr>
        <w:t>, nie możemy ignorować tych argumentów, które wskazują na przeciwny wniosek i które inni mogą uznać za ważne i przekonujące. Przyznawszy, że zastosowanie dwóch z rozpatrywanych wyrażeń może, w szczególnych okolicznościach sprawy, być chronione na mocy artykułu 10, musimy, zatem mieć do czynienia także z wykorzystaniem pozostałych dwóch - nie tylko poprzez "oświadczenie" ich niedopuszczalności (jak to już zrobiono, opierając się na autorytatywnej wiedzy polskich sądów), ale także przyglądając się, czy jakieś ważkie argumenty nie zostały przedstawione przez większość</w:t>
      </w:r>
      <w:r w:rsidR="006E3D88">
        <w:rPr>
          <w:lang w:val="pl-PL"/>
        </w:rPr>
        <w:t>, które</w:t>
      </w:r>
      <w:r w:rsidR="007B1A1E" w:rsidRPr="007A5972">
        <w:rPr>
          <w:lang w:val="pl-PL"/>
        </w:rPr>
        <w:t xml:space="preserve"> uzasadnia</w:t>
      </w:r>
      <w:r w:rsidR="006E3D88">
        <w:rPr>
          <w:lang w:val="pl-PL"/>
        </w:rPr>
        <w:t>łyby</w:t>
      </w:r>
      <w:r w:rsidR="007B1A1E" w:rsidRPr="007A5972">
        <w:rPr>
          <w:lang w:val="pl-PL"/>
        </w:rPr>
        <w:t xml:space="preserve"> odejście od ustaleń sądów krajowych dotyczących stosowania tych dwóch innych wyrażeń i na poparcie stwierdzenia naruszenia artykułu 10 w tym przypadku</w:t>
      </w:r>
      <w:r w:rsidR="00D31765" w:rsidRPr="007A5972">
        <w:rPr>
          <w:lang w:val="pl-PL"/>
        </w:rPr>
        <w:t>.</w:t>
      </w:r>
    </w:p>
    <w:p w:rsidR="00D31765" w:rsidRPr="007A5972" w:rsidRDefault="006E3D88" w:rsidP="008533F0">
      <w:pPr>
        <w:pStyle w:val="OpiPara"/>
        <w:rPr>
          <w:lang w:val="pl-PL"/>
        </w:rPr>
      </w:pPr>
      <w:r>
        <w:rPr>
          <w:lang w:val="pl-PL"/>
        </w:rPr>
        <w:t>A zatem</w:t>
      </w:r>
      <w:r w:rsidR="0047099C">
        <w:rPr>
          <w:lang w:val="pl-PL"/>
        </w:rPr>
        <w:t xml:space="preserve"> pójdźmy tokiem rozumowania zaprezentowanym przez większość</w:t>
      </w:r>
      <w:r w:rsidR="007B1A1E" w:rsidRPr="007A5972">
        <w:rPr>
          <w:lang w:val="pl-PL"/>
        </w:rPr>
        <w:t>. To rozumowanie opiera się nie tylko na domniemaniu, że kwestionowane wyrażenia muszą być analizowane w kontekście całego tekstu (jak już wspomniano w pkt 2 powyżej), ale także na (</w:t>
      </w:r>
      <w:r w:rsidR="00FD193B">
        <w:rPr>
          <w:lang w:val="pl-PL"/>
        </w:rPr>
        <w:t>pow</w:t>
      </w:r>
      <w:r w:rsidR="007B1A1E" w:rsidRPr="007A5972">
        <w:rPr>
          <w:lang w:val="pl-PL"/>
        </w:rPr>
        <w:t>iązanym</w:t>
      </w:r>
      <w:r w:rsidR="00FD193B">
        <w:rPr>
          <w:lang w:val="pl-PL"/>
        </w:rPr>
        <w:t xml:space="preserve"> z nim</w:t>
      </w:r>
      <w:r w:rsidR="007B1A1E" w:rsidRPr="007A5972">
        <w:rPr>
          <w:lang w:val="pl-PL"/>
        </w:rPr>
        <w:t xml:space="preserve">) domniemaniu, że nawet wyrażenia, które są pozornie nie do zniesienia </w:t>
      </w:r>
      <w:r w:rsidR="007B1A1E" w:rsidRPr="007A5972">
        <w:rPr>
          <w:i/>
          <w:lang w:val="pl-PL"/>
        </w:rPr>
        <w:t xml:space="preserve">per </w:t>
      </w:r>
      <w:proofErr w:type="spellStart"/>
      <w:r w:rsidR="007B1A1E" w:rsidRPr="007A5972">
        <w:rPr>
          <w:i/>
          <w:lang w:val="pl-PL"/>
        </w:rPr>
        <w:t>se</w:t>
      </w:r>
      <w:proofErr w:type="spellEnd"/>
      <w:r w:rsidR="007B1A1E" w:rsidRPr="007A5972">
        <w:rPr>
          <w:lang w:val="pl-PL"/>
        </w:rPr>
        <w:t xml:space="preserve"> mogą korzystać z ochrony przewidzianej w art 10 ze względu na kontekst, w jakim zostały użyte i/lub gatunek publikacji. Większość sugeruje (między innymi w pkt 44), że ogólny ostry ton artykułu </w:t>
      </w:r>
      <w:r w:rsidR="00682A53">
        <w:rPr>
          <w:lang w:val="pl-PL"/>
        </w:rPr>
        <w:t>osłabia</w:t>
      </w:r>
      <w:r w:rsidR="007B1A1E" w:rsidRPr="007A5972">
        <w:rPr>
          <w:lang w:val="pl-PL"/>
        </w:rPr>
        <w:t xml:space="preserve"> oddziaływanie spornych wyrażeń</w:t>
      </w:r>
      <w:r w:rsidR="00E73B1E">
        <w:rPr>
          <w:lang w:val="pl-PL"/>
        </w:rPr>
        <w:t xml:space="preserve"> </w:t>
      </w:r>
      <w:r w:rsidR="003F0F6E">
        <w:rPr>
          <w:lang w:val="pl-PL"/>
        </w:rPr>
        <w:t>deprecjonujących osoby</w:t>
      </w:r>
      <w:r w:rsidR="00E73B1E">
        <w:rPr>
          <w:lang w:val="pl-PL"/>
        </w:rPr>
        <w:t>.</w:t>
      </w:r>
    </w:p>
    <w:p w:rsidR="00D31765" w:rsidRPr="007A5972" w:rsidRDefault="007B1A1E" w:rsidP="008533F0">
      <w:pPr>
        <w:pStyle w:val="OpiPara"/>
        <w:rPr>
          <w:lang w:val="pl-PL"/>
        </w:rPr>
      </w:pPr>
      <w:r w:rsidRPr="007A5972">
        <w:rPr>
          <w:lang w:val="pl-PL"/>
        </w:rPr>
        <w:t>Sprawdźmy, czy zostało to udowodnione w niniejszym przypadku</w:t>
      </w:r>
      <w:r w:rsidR="00D31765" w:rsidRPr="007A5972">
        <w:rPr>
          <w:lang w:val="pl-PL"/>
        </w:rPr>
        <w:t>.</w:t>
      </w:r>
    </w:p>
    <w:p w:rsidR="001A76E3" w:rsidRPr="007A5972" w:rsidRDefault="00D31765" w:rsidP="008533F0">
      <w:pPr>
        <w:pStyle w:val="OpiPara"/>
        <w:rPr>
          <w:lang w:val="pl-PL"/>
        </w:rPr>
      </w:pPr>
      <w:r w:rsidRPr="007A5972">
        <w:rPr>
          <w:lang w:val="pl-PL"/>
        </w:rPr>
        <w:t>7.</w:t>
      </w:r>
      <w:r w:rsidR="00923E05" w:rsidRPr="007A5972">
        <w:rPr>
          <w:lang w:val="pl-PL"/>
        </w:rPr>
        <w:t>  </w:t>
      </w:r>
      <w:r w:rsidR="008E2F19" w:rsidRPr="007A5972">
        <w:rPr>
          <w:lang w:val="pl-PL"/>
        </w:rPr>
        <w:t xml:space="preserve">Kwestionowane wypowiedzi były nieodłączną częścią artykułu opublikowanego w prasie lokalnej. Cały artykuł został napisany w bardzo ostrych słowach oraz w sarkastycznym tonie. Większość </w:t>
      </w:r>
      <w:r w:rsidR="00682A53">
        <w:rPr>
          <w:lang w:val="pl-PL"/>
        </w:rPr>
        <w:t>odbier</w:t>
      </w:r>
      <w:r w:rsidR="00F63B80">
        <w:rPr>
          <w:lang w:val="pl-PL"/>
        </w:rPr>
        <w:t>a</w:t>
      </w:r>
      <w:r w:rsidR="008E2F19" w:rsidRPr="007A5972">
        <w:rPr>
          <w:lang w:val="pl-PL"/>
        </w:rPr>
        <w:t xml:space="preserve"> artykuł jako przeniknięty ironią, </w:t>
      </w:r>
      <w:r w:rsidR="00F63B80">
        <w:rPr>
          <w:lang w:val="pl-PL"/>
        </w:rPr>
        <w:t>i</w:t>
      </w:r>
      <w:r w:rsidR="008E2F19" w:rsidRPr="007A5972">
        <w:rPr>
          <w:lang w:val="pl-PL"/>
        </w:rPr>
        <w:t xml:space="preserve"> nawet bez</w:t>
      </w:r>
      <w:r w:rsidR="00166620">
        <w:rPr>
          <w:lang w:val="pl-PL"/>
        </w:rPr>
        <w:t xml:space="preserve"> zachowania</w:t>
      </w:r>
      <w:r w:rsidR="008E2F19" w:rsidRPr="007A5972">
        <w:rPr>
          <w:lang w:val="pl-PL"/>
        </w:rPr>
        <w:t xml:space="preserve"> pozorów uważnej analizy, zrównuj</w:t>
      </w:r>
      <w:r w:rsidR="00F63B80">
        <w:rPr>
          <w:lang w:val="pl-PL"/>
        </w:rPr>
        <w:t>e</w:t>
      </w:r>
      <w:r w:rsidR="008E2F19" w:rsidRPr="007A5972">
        <w:rPr>
          <w:lang w:val="pl-PL"/>
        </w:rPr>
        <w:t xml:space="preserve"> go z satyrą (patrz: pkt 40, 44 i 45). </w:t>
      </w:r>
      <w:r w:rsidR="00166620">
        <w:rPr>
          <w:lang w:val="pl-PL"/>
        </w:rPr>
        <w:t>Większość podkreśla</w:t>
      </w:r>
      <w:r w:rsidR="008E2F19" w:rsidRPr="007A5972">
        <w:rPr>
          <w:lang w:val="pl-PL"/>
        </w:rPr>
        <w:t xml:space="preserve"> tę funkcję artykułu do takiego stopnia, że ​​wydaje się, jakby to było samo w sobie uzasadnionym usprawiedliwieniem dla wszystkich słów i zwrotów używanych w publikacji. Będziemy wracać do tego "</w:t>
      </w:r>
      <w:r w:rsidR="009F326F">
        <w:rPr>
          <w:lang w:val="pl-PL"/>
        </w:rPr>
        <w:t>usprawiedliwiającego</w:t>
      </w:r>
      <w:r w:rsidR="008E2F19" w:rsidRPr="007A5972">
        <w:rPr>
          <w:lang w:val="pl-PL"/>
        </w:rPr>
        <w:t xml:space="preserve">" argumentu nieco później. Niemniej jednak, zanim to zrobimy, musimy przyznać, że naszym zdaniem, artykuł ten naprawdę zawiera pewną ironię, nawet w znacznej ilości. </w:t>
      </w:r>
      <w:r w:rsidR="00F63B80">
        <w:rPr>
          <w:lang w:val="pl-PL"/>
        </w:rPr>
        <w:t>Niemniej jednak, j</w:t>
      </w:r>
      <w:r w:rsidR="008E2F19" w:rsidRPr="007A5972">
        <w:rPr>
          <w:lang w:val="pl-PL"/>
        </w:rPr>
        <w:t>ego klasyfikacja jak</w:t>
      </w:r>
      <w:r w:rsidR="009F326F">
        <w:rPr>
          <w:lang w:val="pl-PL"/>
        </w:rPr>
        <w:t xml:space="preserve">o satyry nie jest tak </w:t>
      </w:r>
      <w:r w:rsidR="00F63B80">
        <w:rPr>
          <w:lang w:val="pl-PL"/>
        </w:rPr>
        <w:t>oczywist</w:t>
      </w:r>
      <w:r w:rsidR="009F326F">
        <w:rPr>
          <w:lang w:val="pl-PL"/>
        </w:rPr>
        <w:t>a</w:t>
      </w:r>
      <w:r w:rsidR="008E2F19" w:rsidRPr="007A5972">
        <w:rPr>
          <w:lang w:val="pl-PL"/>
        </w:rPr>
        <w:t xml:space="preserve">. Nie każdy emocjonalny tekst </w:t>
      </w:r>
      <w:r w:rsidR="009F326F">
        <w:rPr>
          <w:lang w:val="pl-PL"/>
        </w:rPr>
        <w:t>przepełniony</w:t>
      </w:r>
      <w:r w:rsidR="008E2F19" w:rsidRPr="007A5972">
        <w:rPr>
          <w:lang w:val="pl-PL"/>
        </w:rPr>
        <w:t xml:space="preserve"> sarkazmem i ironią jest satyrą, tak jak nie każdy tekst napisany wierszem jest poezją. Chociaż, oczywiście, nie jest to rzeczą specjalistów od prawa (nie wyłączając nas sędziów), aby mieć decydujący głos w sprawie tego, czy ten artykuł (lub inny dokument) może być prawidłowo zakwalifikowany jako satyra, mamy jednak wątpliwości, czy wielu krytyków literackich z łatwością zgodzi się z taką klasyfikacją, tak </w:t>
      </w:r>
      <w:r w:rsidR="008C44CA">
        <w:rPr>
          <w:lang w:val="pl-PL"/>
        </w:rPr>
        <w:t>stanowczo</w:t>
      </w:r>
      <w:r w:rsidR="008E2F19" w:rsidRPr="007A5972">
        <w:rPr>
          <w:lang w:val="pl-PL"/>
        </w:rPr>
        <w:t xml:space="preserve"> głoszoną przez większość. Ale nawet jeśli artykuł można opisać jako satyryczny, jak sugeruje większość,</w:t>
      </w:r>
      <w:r w:rsidR="008C44CA">
        <w:rPr>
          <w:lang w:val="pl-PL"/>
        </w:rPr>
        <w:t xml:space="preserve"> to</w:t>
      </w:r>
      <w:r w:rsidR="008E2F19" w:rsidRPr="007A5972">
        <w:rPr>
          <w:lang w:val="pl-PL"/>
        </w:rPr>
        <w:t xml:space="preserve"> fakt bycia satyrą, nie może reprezentować takiego przywileju, że może ona sama w sobie, zwalniać autora z jakiejkolwiek </w:t>
      </w:r>
      <w:r w:rsidR="008E2F19" w:rsidRPr="007A5972">
        <w:rPr>
          <w:lang w:val="pl-PL"/>
        </w:rPr>
        <w:lastRenderedPageBreak/>
        <w:t xml:space="preserve">odpowiedzialności za słowa i zwroty użyte w publikacji. Fakt bycia satyrykiem </w:t>
      </w:r>
      <w:r w:rsidR="008E2F19" w:rsidRPr="007A5972">
        <w:rPr>
          <w:i/>
          <w:lang w:val="pl-PL"/>
        </w:rPr>
        <w:t>nie jest rozgrzeszeniem</w:t>
      </w:r>
      <w:r w:rsidR="008E2F19" w:rsidRPr="007A5972">
        <w:rPr>
          <w:lang w:val="pl-PL"/>
        </w:rPr>
        <w:t>. Istnieje satyra, która mo</w:t>
      </w:r>
      <w:r w:rsidR="00B37238">
        <w:rPr>
          <w:lang w:val="pl-PL"/>
        </w:rPr>
        <w:t>że</w:t>
      </w:r>
      <w:r w:rsidR="008E2F19" w:rsidRPr="007A5972">
        <w:rPr>
          <w:lang w:val="pl-PL"/>
        </w:rPr>
        <w:t xml:space="preserve"> być tolerowana i satyra, któr</w:t>
      </w:r>
      <w:r w:rsidR="000A40A5" w:rsidRPr="007A5972">
        <w:rPr>
          <w:lang w:val="pl-PL"/>
        </w:rPr>
        <w:t>a</w:t>
      </w:r>
      <w:r w:rsidR="008E2F19" w:rsidRPr="007A5972">
        <w:rPr>
          <w:lang w:val="pl-PL"/>
        </w:rPr>
        <w:t xml:space="preserve"> po prostu nie mo</w:t>
      </w:r>
      <w:r w:rsidR="000A40A5" w:rsidRPr="007A5972">
        <w:rPr>
          <w:lang w:val="pl-PL"/>
        </w:rPr>
        <w:t>że</w:t>
      </w:r>
      <w:r w:rsidR="008E2F19" w:rsidRPr="007A5972">
        <w:rPr>
          <w:lang w:val="pl-PL"/>
        </w:rPr>
        <w:t xml:space="preserve"> być tolerowana. Dotyczy to w równym stopniu żartu, komedii, groteski, paszkwil</w:t>
      </w:r>
      <w:r w:rsidR="000A40A5" w:rsidRPr="007A5972">
        <w:rPr>
          <w:lang w:val="pl-PL"/>
        </w:rPr>
        <w:t xml:space="preserve">u, parodii, karykatury </w:t>
      </w:r>
      <w:r w:rsidR="008E2F19" w:rsidRPr="007A5972">
        <w:rPr>
          <w:lang w:val="pl-PL"/>
        </w:rPr>
        <w:t>i</w:t>
      </w:r>
      <w:r w:rsidR="000A40A5" w:rsidRPr="007A5972">
        <w:rPr>
          <w:lang w:val="pl-PL"/>
        </w:rPr>
        <w:t xml:space="preserve"> internet</w:t>
      </w:r>
      <w:r w:rsidR="008E2F19" w:rsidRPr="007A5972">
        <w:rPr>
          <w:lang w:val="pl-PL"/>
        </w:rPr>
        <w:t xml:space="preserve">owych </w:t>
      </w:r>
      <w:proofErr w:type="spellStart"/>
      <w:r w:rsidR="008E2F19" w:rsidRPr="007A5972">
        <w:rPr>
          <w:lang w:val="pl-PL"/>
        </w:rPr>
        <w:t>memów</w:t>
      </w:r>
      <w:proofErr w:type="spellEnd"/>
      <w:r w:rsidR="008E2F19" w:rsidRPr="007A5972">
        <w:rPr>
          <w:lang w:val="pl-PL"/>
        </w:rPr>
        <w:t xml:space="preserve"> ... lista może być wydłużana. To prawda, że ​​granice dopuszczalności języka (i obrazów) w tych gatunkach są bardzo szerokie, nawet wyjątkowo szerokie, ale w żaden sposób nie są one </w:t>
      </w:r>
      <w:r w:rsidR="008E2F19" w:rsidRPr="007A5972">
        <w:rPr>
          <w:i/>
          <w:lang w:val="pl-PL"/>
        </w:rPr>
        <w:t>nieistniejące</w:t>
      </w:r>
      <w:r w:rsidRPr="007A5972">
        <w:rPr>
          <w:lang w:val="pl-PL"/>
        </w:rPr>
        <w:t>.</w:t>
      </w:r>
    </w:p>
    <w:p w:rsidR="00D31765" w:rsidRPr="007A5972" w:rsidRDefault="00D31765" w:rsidP="008533F0">
      <w:pPr>
        <w:pStyle w:val="OpiPara"/>
        <w:rPr>
          <w:lang w:val="pl-PL"/>
        </w:rPr>
      </w:pPr>
      <w:r w:rsidRPr="007A5972">
        <w:rPr>
          <w:lang w:val="pl-PL"/>
        </w:rPr>
        <w:t>8.</w:t>
      </w:r>
      <w:r w:rsidR="00923E05" w:rsidRPr="007A5972">
        <w:rPr>
          <w:lang w:val="pl-PL"/>
        </w:rPr>
        <w:t>  </w:t>
      </w:r>
      <w:r w:rsidR="008051BC" w:rsidRPr="007A5972">
        <w:rPr>
          <w:lang w:val="pl-PL"/>
        </w:rPr>
        <w:t xml:space="preserve">Poza wszystkim, zagadnieniem prawnym wniesionym przed sądami krajowymi, a także w postępowaniu przed Trybunałem jest nie tylko artykuł jako całość, ale - przede wszystkim! - </w:t>
      </w:r>
      <w:r w:rsidR="008051BC" w:rsidRPr="007A5972">
        <w:rPr>
          <w:i/>
          <w:lang w:val="pl-PL"/>
        </w:rPr>
        <w:t>konkretne wyrażenia</w:t>
      </w:r>
      <w:r w:rsidR="008051BC" w:rsidRPr="007A5972">
        <w:rPr>
          <w:lang w:val="pl-PL"/>
        </w:rPr>
        <w:t xml:space="preserve"> użyte w tym artykule. Sądy, nie wyłączając tego Trybunału, są często krytykowane za to, że nie dostrzega</w:t>
      </w:r>
      <w:r w:rsidR="00F63B80">
        <w:rPr>
          <w:lang w:val="pl-PL"/>
        </w:rPr>
        <w:t>ją</w:t>
      </w:r>
      <w:r w:rsidR="008051BC" w:rsidRPr="007A5972">
        <w:rPr>
          <w:lang w:val="pl-PL"/>
        </w:rPr>
        <w:t xml:space="preserve"> lasu tylko drzewa. Ale gdy próbuj</w:t>
      </w:r>
      <w:r w:rsidR="00F63B80">
        <w:rPr>
          <w:lang w:val="pl-PL"/>
        </w:rPr>
        <w:t>ą</w:t>
      </w:r>
      <w:r w:rsidR="008051BC" w:rsidRPr="007A5972">
        <w:rPr>
          <w:lang w:val="pl-PL"/>
        </w:rPr>
        <w:t xml:space="preserve"> zobaczyć las, sądy, w tym ten Trybunał, powinny również nie zapominać o drzewach two</w:t>
      </w:r>
      <w:r w:rsidR="00CB1138">
        <w:rPr>
          <w:lang w:val="pl-PL"/>
        </w:rPr>
        <w:t>rzących ten las. Nikt nie podważa wolności słowa,</w:t>
      </w:r>
      <w:r w:rsidR="008051BC" w:rsidRPr="007A5972">
        <w:rPr>
          <w:lang w:val="pl-PL"/>
        </w:rPr>
        <w:t xml:space="preserve"> ale w każdym konkretnym przypadku Trybunał ma do czynienia z konkretnymi wyrażeniami</w:t>
      </w:r>
      <w:r w:rsidRPr="007A5972">
        <w:rPr>
          <w:lang w:val="pl-PL"/>
        </w:rPr>
        <w:t>.</w:t>
      </w:r>
    </w:p>
    <w:p w:rsidR="00D31765" w:rsidRPr="007A5972" w:rsidRDefault="00D31765" w:rsidP="008533F0">
      <w:pPr>
        <w:pStyle w:val="OpiPara"/>
        <w:rPr>
          <w:lang w:val="pl-PL"/>
        </w:rPr>
      </w:pPr>
      <w:r w:rsidRPr="007A5972">
        <w:rPr>
          <w:lang w:val="pl-PL"/>
        </w:rPr>
        <w:t>9.</w:t>
      </w:r>
      <w:r w:rsidR="00923E05" w:rsidRPr="007A5972">
        <w:rPr>
          <w:lang w:val="pl-PL"/>
        </w:rPr>
        <w:t>  </w:t>
      </w:r>
      <w:r w:rsidR="008051BC" w:rsidRPr="007A5972">
        <w:rPr>
          <w:lang w:val="pl-PL"/>
        </w:rPr>
        <w:t>T</w:t>
      </w:r>
      <w:r w:rsidR="005F1078">
        <w:rPr>
          <w:lang w:val="pl-PL"/>
        </w:rPr>
        <w:t>ym</w:t>
      </w:r>
      <w:r w:rsidR="008051BC" w:rsidRPr="007A5972">
        <w:rPr>
          <w:lang w:val="pl-PL"/>
        </w:rPr>
        <w:t xml:space="preserve">, co jest ważne z punktu widzenia uzasadnienia </w:t>
      </w:r>
      <w:r w:rsidR="005F1078">
        <w:rPr>
          <w:lang w:val="pl-PL"/>
        </w:rPr>
        <w:t>wyroku jest fakt, że argumentacja większości, która</w:t>
      </w:r>
      <w:r w:rsidR="008051BC" w:rsidRPr="007A5972">
        <w:rPr>
          <w:lang w:val="pl-PL"/>
        </w:rPr>
        <w:t xml:space="preserve"> doprowadził</w:t>
      </w:r>
      <w:r w:rsidR="005F1078">
        <w:rPr>
          <w:lang w:val="pl-PL"/>
        </w:rPr>
        <w:t>a</w:t>
      </w:r>
      <w:r w:rsidR="008051BC" w:rsidRPr="007A5972">
        <w:rPr>
          <w:lang w:val="pl-PL"/>
        </w:rPr>
        <w:t xml:space="preserve"> do ​​stwierdzenia naruszenia artykułu 10 jest </w:t>
      </w:r>
      <w:r w:rsidR="008051BC" w:rsidRPr="007A5972">
        <w:rPr>
          <w:i/>
          <w:lang w:val="pl-PL"/>
        </w:rPr>
        <w:t>ewidentnie błędn</w:t>
      </w:r>
      <w:r w:rsidR="005F1078">
        <w:rPr>
          <w:i/>
          <w:lang w:val="pl-PL"/>
        </w:rPr>
        <w:t>a</w:t>
      </w:r>
      <w:r w:rsidRPr="007A5972">
        <w:rPr>
          <w:lang w:val="pl-PL"/>
        </w:rPr>
        <w:t>.</w:t>
      </w:r>
    </w:p>
    <w:p w:rsidR="00D31765" w:rsidRPr="007A5972" w:rsidRDefault="00D200FA" w:rsidP="008533F0">
      <w:pPr>
        <w:pStyle w:val="OpiPara"/>
        <w:rPr>
          <w:lang w:val="pl-PL"/>
        </w:rPr>
      </w:pPr>
      <w:r w:rsidRPr="007A5972">
        <w:rPr>
          <w:lang w:val="pl-PL"/>
        </w:rPr>
        <w:t>Całe to rozumowanie, albo przynajmniej je</w:t>
      </w:r>
      <w:r w:rsidR="00F63B80">
        <w:rPr>
          <w:lang w:val="pl-PL"/>
        </w:rPr>
        <w:t>go</w:t>
      </w:r>
      <w:r w:rsidRPr="007A5972">
        <w:rPr>
          <w:lang w:val="pl-PL"/>
        </w:rPr>
        <w:t xml:space="preserve"> trzon</w:t>
      </w:r>
      <w:r w:rsidR="00F63B80">
        <w:rPr>
          <w:lang w:val="pl-PL"/>
        </w:rPr>
        <w:t>, jest zawarte</w:t>
      </w:r>
      <w:r w:rsidRPr="007A5972">
        <w:rPr>
          <w:lang w:val="pl-PL"/>
        </w:rPr>
        <w:t xml:space="preserve"> w jednym punkcie (nr 45) i składa się z zaledwie trzech cytatów z orzecznictwa Trybunału (odniesienia do odpowiednich przypadków zostały pominięte w niniejszej opinii) oraz - jak my będzie</w:t>
      </w:r>
      <w:r w:rsidR="00F63B80">
        <w:rPr>
          <w:lang w:val="pl-PL"/>
        </w:rPr>
        <w:t>my</w:t>
      </w:r>
      <w:r w:rsidRPr="007A5972">
        <w:rPr>
          <w:lang w:val="pl-PL"/>
        </w:rPr>
        <w:t xml:space="preserve"> to opisywać - "wniosk</w:t>
      </w:r>
      <w:r w:rsidR="005A2526">
        <w:rPr>
          <w:lang w:val="pl-PL"/>
        </w:rPr>
        <w:t>u</w:t>
      </w:r>
      <w:r w:rsidRPr="007A5972">
        <w:rPr>
          <w:lang w:val="pl-PL"/>
        </w:rPr>
        <w:t xml:space="preserve"> co do dopuszczalności użytych wyrażeń". T</w:t>
      </w:r>
      <w:r w:rsidR="00F63B80">
        <w:rPr>
          <w:lang w:val="pl-PL"/>
        </w:rPr>
        <w:t>en</w:t>
      </w:r>
      <w:r w:rsidRPr="007A5972">
        <w:rPr>
          <w:lang w:val="pl-PL"/>
        </w:rPr>
        <w:t xml:space="preserve"> ostatn</w:t>
      </w:r>
      <w:r w:rsidR="00F63B80">
        <w:rPr>
          <w:lang w:val="pl-PL"/>
        </w:rPr>
        <w:t>i</w:t>
      </w:r>
      <w:r w:rsidRPr="007A5972">
        <w:rPr>
          <w:lang w:val="pl-PL"/>
        </w:rPr>
        <w:t xml:space="preserve"> poprzedza argumenty, które uzasadnia</w:t>
      </w:r>
      <w:r w:rsidR="00F63B80">
        <w:rPr>
          <w:lang w:val="pl-PL"/>
        </w:rPr>
        <w:t>łyby ex post ten wniosek, ale ten</w:t>
      </w:r>
      <w:r w:rsidRPr="007A5972">
        <w:rPr>
          <w:lang w:val="pl-PL"/>
        </w:rPr>
        <w:t xml:space="preserve"> </w:t>
      </w:r>
      <w:r w:rsidR="00F63B80">
        <w:rPr>
          <w:lang w:val="pl-PL"/>
        </w:rPr>
        <w:t>szczegół techniczny nie jest sam</w:t>
      </w:r>
      <w:r w:rsidRPr="007A5972">
        <w:rPr>
          <w:lang w:val="pl-PL"/>
        </w:rPr>
        <w:t xml:space="preserve"> w sobie wadą</w:t>
      </w:r>
      <w:r w:rsidR="00D31765" w:rsidRPr="007A5972">
        <w:rPr>
          <w:lang w:val="pl-PL"/>
        </w:rPr>
        <w:t>.</w:t>
      </w:r>
    </w:p>
    <w:p w:rsidR="00D31765" w:rsidRPr="007A5972" w:rsidRDefault="00D200FA" w:rsidP="008533F0">
      <w:pPr>
        <w:pStyle w:val="OpiPara"/>
        <w:rPr>
          <w:lang w:val="pl-PL"/>
        </w:rPr>
      </w:pPr>
      <w:r w:rsidRPr="007A5972">
        <w:rPr>
          <w:lang w:val="pl-PL"/>
        </w:rPr>
        <w:t>Przypomnijmy argumenty większości w nieco schematycznej - ale wystarczającej - postaci</w:t>
      </w:r>
      <w:r w:rsidR="00D31765" w:rsidRPr="007A5972">
        <w:rPr>
          <w:lang w:val="pl-PL"/>
        </w:rPr>
        <w:t>:</w:t>
      </w:r>
    </w:p>
    <w:p w:rsidR="00D31765" w:rsidRPr="007A5972" w:rsidRDefault="00D200FA" w:rsidP="008533F0">
      <w:pPr>
        <w:pStyle w:val="OpiPara"/>
        <w:rPr>
          <w:lang w:val="pl-PL"/>
        </w:rPr>
      </w:pPr>
      <w:r w:rsidRPr="007A5972">
        <w:rPr>
          <w:i/>
          <w:lang w:val="pl-PL"/>
        </w:rPr>
        <w:t>Argument nr 1</w:t>
      </w:r>
      <w:r w:rsidRPr="007A5972">
        <w:rPr>
          <w:lang w:val="pl-PL"/>
        </w:rPr>
        <w:t>: "Satyra jest formą ekspresji artystycznej i komentarzem społecznym, która przez swoje nieodłączne cechy przesady i wypaczenia rzeczywistości, oczywiście ma na celu prowokowanie i wzburzenie</w:t>
      </w:r>
      <w:r w:rsidR="00D31765" w:rsidRPr="007A5972">
        <w:rPr>
          <w:lang w:val="pl-PL"/>
        </w:rPr>
        <w:t>”.</w:t>
      </w:r>
    </w:p>
    <w:p w:rsidR="00D31765" w:rsidRPr="007A5972" w:rsidRDefault="00894E19" w:rsidP="008533F0">
      <w:pPr>
        <w:pStyle w:val="OpiPara"/>
        <w:rPr>
          <w:lang w:val="pl-PL"/>
        </w:rPr>
      </w:pPr>
      <w:r w:rsidRPr="007A5972">
        <w:rPr>
          <w:lang w:val="pl-PL"/>
        </w:rPr>
        <w:t xml:space="preserve">Nasze pytania: Czy satyra musi "naturalnie", być także </w:t>
      </w:r>
      <w:r w:rsidRPr="007A5972">
        <w:rPr>
          <w:i/>
          <w:lang w:val="pl-PL"/>
        </w:rPr>
        <w:t>obraźliwa</w:t>
      </w:r>
      <w:r w:rsidRPr="007A5972">
        <w:rPr>
          <w:lang w:val="pl-PL"/>
        </w:rPr>
        <w:t xml:space="preserve">? Czy przesada, zniekształcenie, prowokacja lub pobudzenie "naturalnie" muszą być </w:t>
      </w:r>
      <w:r w:rsidRPr="007A5972">
        <w:rPr>
          <w:i/>
          <w:lang w:val="pl-PL"/>
        </w:rPr>
        <w:t>poniżające osobę</w:t>
      </w:r>
      <w:r w:rsidRPr="007A5972">
        <w:rPr>
          <w:lang w:val="pl-PL"/>
        </w:rPr>
        <w:t xml:space="preserve"> ? A co do "satyry" rozważanej w tym przypadku: czy jeżeli wyrażenia: typu "palant" albo "</w:t>
      </w:r>
      <w:proofErr w:type="spellStart"/>
      <w:r w:rsidRPr="007A5972">
        <w:rPr>
          <w:lang w:val="pl-PL"/>
        </w:rPr>
        <w:t>przygłupawy</w:t>
      </w:r>
      <w:proofErr w:type="spellEnd"/>
      <w:r w:rsidRPr="007A5972">
        <w:rPr>
          <w:lang w:val="pl-PL"/>
        </w:rPr>
        <w:t xml:space="preserve"> urzędnik" </w:t>
      </w:r>
      <w:r w:rsidR="00CC25AC">
        <w:rPr>
          <w:lang w:val="pl-PL"/>
        </w:rPr>
        <w:t>nie znalazłaby się w treści artykułu</w:t>
      </w:r>
      <w:r w:rsidRPr="007A5972">
        <w:rPr>
          <w:lang w:val="pl-PL"/>
        </w:rPr>
        <w:t>, to czy pozbawiłoby to rzeczonego artykułu jego właściwości "satyry"</w:t>
      </w:r>
      <w:r w:rsidR="00D31765" w:rsidRPr="007A5972">
        <w:rPr>
          <w:lang w:val="pl-PL"/>
        </w:rPr>
        <w:t>?</w:t>
      </w:r>
    </w:p>
    <w:p w:rsidR="00D31765" w:rsidRPr="007A5972" w:rsidRDefault="00D31765" w:rsidP="008533F0">
      <w:pPr>
        <w:pStyle w:val="OpiPara"/>
        <w:rPr>
          <w:lang w:val="pl-PL"/>
        </w:rPr>
      </w:pPr>
      <w:r w:rsidRPr="007A5972">
        <w:rPr>
          <w:i/>
          <w:lang w:val="pl-PL"/>
        </w:rPr>
        <w:t xml:space="preserve">Argument </w:t>
      </w:r>
      <w:r w:rsidR="00894E19" w:rsidRPr="007A5972">
        <w:rPr>
          <w:i/>
          <w:lang w:val="pl-PL"/>
        </w:rPr>
        <w:t>nr</w:t>
      </w:r>
      <w:r w:rsidRPr="007A5972">
        <w:rPr>
          <w:i/>
          <w:lang w:val="pl-PL"/>
        </w:rPr>
        <w:t xml:space="preserve"> 2</w:t>
      </w:r>
      <w:r w:rsidRPr="007A5972">
        <w:rPr>
          <w:lang w:val="pl-PL"/>
        </w:rPr>
        <w:t xml:space="preserve">: </w:t>
      </w:r>
      <w:r w:rsidR="00894E19" w:rsidRPr="007A5972">
        <w:rPr>
          <w:lang w:val="pl-PL"/>
        </w:rPr>
        <w:t>W związku z powyższym, jakakolwiek ingerencja w prawo do korzystania z tego środka wyrazu powinna zostać zbadan</w:t>
      </w:r>
      <w:r w:rsidR="00F63B80">
        <w:rPr>
          <w:lang w:val="pl-PL"/>
        </w:rPr>
        <w:t>a</w:t>
      </w:r>
      <w:r w:rsidR="00894E19" w:rsidRPr="007A5972">
        <w:rPr>
          <w:lang w:val="pl-PL"/>
        </w:rPr>
        <w:t xml:space="preserve"> ze szczególną </w:t>
      </w:r>
      <w:r w:rsidR="00F63B80">
        <w:rPr>
          <w:lang w:val="pl-PL"/>
        </w:rPr>
        <w:t>ostrożnością</w:t>
      </w:r>
      <w:r w:rsidRPr="007A5972">
        <w:rPr>
          <w:lang w:val="pl-PL"/>
        </w:rPr>
        <w:t>”.</w:t>
      </w:r>
    </w:p>
    <w:p w:rsidR="00D31765" w:rsidRPr="007A5972" w:rsidRDefault="00894E19" w:rsidP="008533F0">
      <w:pPr>
        <w:pStyle w:val="OpiPara"/>
        <w:rPr>
          <w:lang w:val="pl-PL"/>
        </w:rPr>
      </w:pPr>
      <w:r w:rsidRPr="007A5972">
        <w:rPr>
          <w:lang w:val="pl-PL"/>
        </w:rPr>
        <w:t>Nasze pytania</w:t>
      </w:r>
      <w:r w:rsidR="00D31765" w:rsidRPr="007A5972">
        <w:rPr>
          <w:lang w:val="pl-PL"/>
        </w:rPr>
        <w:t xml:space="preserve">: </w:t>
      </w:r>
      <w:r w:rsidRPr="007A5972">
        <w:rPr>
          <w:lang w:val="pl-PL"/>
        </w:rPr>
        <w:t xml:space="preserve">Czy wymóg ten stosuje się wyłącznie do sądów krajowych, czy do tego Trybunału, także? Czy to dotyczy rozumowania tego Trybunału w </w:t>
      </w:r>
      <w:r w:rsidRPr="007A5972">
        <w:rPr>
          <w:i/>
          <w:lang w:val="pl-PL"/>
        </w:rPr>
        <w:t>tym konkretnym przypadku</w:t>
      </w:r>
      <w:r w:rsidRPr="007A5972">
        <w:rPr>
          <w:lang w:val="pl-PL"/>
        </w:rPr>
        <w:t>? Jeśli nie, to na jakiej uzasadnionej</w:t>
      </w:r>
      <w:r w:rsidR="00CC25AC">
        <w:rPr>
          <w:lang w:val="pl-PL"/>
        </w:rPr>
        <w:t xml:space="preserve"> podstawie Sąd korzysta z takiego przywileju</w:t>
      </w:r>
      <w:r w:rsidR="00D31765" w:rsidRPr="007A5972">
        <w:rPr>
          <w:lang w:val="pl-PL"/>
        </w:rPr>
        <w:t>?</w:t>
      </w:r>
    </w:p>
    <w:p w:rsidR="00D31765" w:rsidRPr="007A5972" w:rsidRDefault="00D31765" w:rsidP="008533F0">
      <w:pPr>
        <w:pStyle w:val="OpiPara"/>
        <w:rPr>
          <w:lang w:val="pl-PL"/>
        </w:rPr>
      </w:pPr>
      <w:r w:rsidRPr="007A5972">
        <w:rPr>
          <w:i/>
          <w:lang w:val="pl-PL"/>
        </w:rPr>
        <w:lastRenderedPageBreak/>
        <w:t xml:space="preserve">Argument </w:t>
      </w:r>
      <w:r w:rsidR="00894E19" w:rsidRPr="007A5972">
        <w:rPr>
          <w:i/>
          <w:lang w:val="pl-PL"/>
        </w:rPr>
        <w:t>nr</w:t>
      </w:r>
      <w:r w:rsidRPr="007A5972">
        <w:rPr>
          <w:i/>
          <w:lang w:val="pl-PL"/>
        </w:rPr>
        <w:t xml:space="preserve"> 3</w:t>
      </w:r>
      <w:r w:rsidRPr="007A5972">
        <w:rPr>
          <w:lang w:val="pl-PL"/>
        </w:rPr>
        <w:t>: “</w:t>
      </w:r>
      <w:r w:rsidR="00894E19" w:rsidRPr="007A5972">
        <w:rPr>
          <w:lang w:val="pl-PL"/>
        </w:rPr>
        <w:t>Wykorzystanie sarkazmu i ironii jest w pełni zgodne z wykonywaniem dziennikarskiej swobody wypowiedzi</w:t>
      </w:r>
      <w:r w:rsidRPr="007A5972">
        <w:rPr>
          <w:lang w:val="pl-PL"/>
        </w:rPr>
        <w:t>”.</w:t>
      </w:r>
    </w:p>
    <w:p w:rsidR="00D31765" w:rsidRPr="007A5972" w:rsidRDefault="00894E19" w:rsidP="008533F0">
      <w:pPr>
        <w:pStyle w:val="OpiPara"/>
        <w:rPr>
          <w:lang w:val="pl-PL"/>
        </w:rPr>
      </w:pPr>
      <w:r w:rsidRPr="007A5972">
        <w:rPr>
          <w:lang w:val="pl-PL"/>
        </w:rPr>
        <w:t>Nasze pytania</w:t>
      </w:r>
      <w:r w:rsidR="00D31765" w:rsidRPr="007A5972">
        <w:rPr>
          <w:lang w:val="pl-PL"/>
        </w:rPr>
        <w:t xml:space="preserve">: </w:t>
      </w:r>
      <w:r w:rsidR="00AC5524">
        <w:rPr>
          <w:lang w:val="pl-PL"/>
        </w:rPr>
        <w:t>Czy sarkazm (jak satyra) mus</w:t>
      </w:r>
      <w:r w:rsidRPr="007A5972">
        <w:rPr>
          <w:lang w:val="pl-PL"/>
        </w:rPr>
        <w:t>i być obraźliwy? I czy może sam fakt, że obraźliwe wyrażenie jest sarkastyczne</w:t>
      </w:r>
      <w:r w:rsidR="00AC5524">
        <w:rPr>
          <w:lang w:val="pl-PL"/>
        </w:rPr>
        <w:t>,</w:t>
      </w:r>
      <w:r w:rsidRPr="007A5972">
        <w:rPr>
          <w:lang w:val="pl-PL"/>
        </w:rPr>
        <w:t xml:space="preserve"> </w:t>
      </w:r>
      <w:r w:rsidR="00AC5524" w:rsidRPr="007A5972">
        <w:rPr>
          <w:lang w:val="pl-PL"/>
        </w:rPr>
        <w:t xml:space="preserve">w sobie </w:t>
      </w:r>
      <w:r w:rsidR="00AC5524">
        <w:rPr>
          <w:lang w:val="pl-PL"/>
        </w:rPr>
        <w:t xml:space="preserve">i przez się, </w:t>
      </w:r>
      <w:r w:rsidRPr="007A5972">
        <w:rPr>
          <w:lang w:val="pl-PL"/>
        </w:rPr>
        <w:t>złagodzić poniżające oddziaływanie tego wyrażenia</w:t>
      </w:r>
      <w:r w:rsidR="00D31765" w:rsidRPr="007A5972">
        <w:rPr>
          <w:lang w:val="pl-PL"/>
        </w:rPr>
        <w:t>?</w:t>
      </w:r>
    </w:p>
    <w:p w:rsidR="00D31765" w:rsidRPr="007A5972" w:rsidRDefault="009E599B" w:rsidP="008533F0">
      <w:pPr>
        <w:pStyle w:val="OpiPara"/>
        <w:rPr>
          <w:bCs/>
          <w:lang w:val="pl-PL"/>
        </w:rPr>
      </w:pPr>
      <w:r w:rsidRPr="007A5972">
        <w:rPr>
          <w:lang w:val="pl-PL"/>
        </w:rPr>
        <w:t xml:space="preserve">Te trzy bardzo ogólne argumenty, </w:t>
      </w:r>
      <w:r w:rsidRPr="007A5972">
        <w:rPr>
          <w:i/>
          <w:lang w:val="pl-PL"/>
        </w:rPr>
        <w:t>całkowicie oderwane od konkretnych okoliczności sprawy</w:t>
      </w:r>
      <w:r w:rsidRPr="007A5972">
        <w:rPr>
          <w:lang w:val="pl-PL"/>
        </w:rPr>
        <w:t>, pozwalają większoś</w:t>
      </w:r>
      <w:r w:rsidR="00AA0B55">
        <w:rPr>
          <w:lang w:val="pl-PL"/>
        </w:rPr>
        <w:t>ci wyprowadzić</w:t>
      </w:r>
      <w:r w:rsidRPr="007A5972">
        <w:rPr>
          <w:lang w:val="pl-PL"/>
        </w:rPr>
        <w:t xml:space="preserve"> "wnios</w:t>
      </w:r>
      <w:r w:rsidR="00AA0B55">
        <w:rPr>
          <w:lang w:val="pl-PL"/>
        </w:rPr>
        <w:t>e</w:t>
      </w:r>
      <w:r w:rsidRPr="007A5972">
        <w:rPr>
          <w:lang w:val="pl-PL"/>
        </w:rPr>
        <w:t>k", że te konkretne wyrażenia były dopuszczalne. Ten "</w:t>
      </w:r>
      <w:r w:rsidRPr="007A5972">
        <w:rPr>
          <w:i/>
          <w:lang w:val="pl-PL"/>
        </w:rPr>
        <w:t>wniosek</w:t>
      </w:r>
      <w:r w:rsidRPr="007A5972">
        <w:rPr>
          <w:lang w:val="pl-PL"/>
        </w:rPr>
        <w:t xml:space="preserve">" jest sformułowany w następujący sposób: "W opinii Trybunału, bez zajmowania stanowiska odnośnie każdej konkretnej uwagi </w:t>
      </w:r>
      <w:r w:rsidR="00AC5524">
        <w:rPr>
          <w:lang w:val="pl-PL"/>
        </w:rPr>
        <w:t>dokonanej</w:t>
      </w:r>
      <w:r w:rsidRPr="007A5972">
        <w:rPr>
          <w:lang w:val="pl-PL"/>
        </w:rPr>
        <w:t xml:space="preserve"> przez skarżącego, nie ma wątpliwości, że uwagi te, stosowane w szczególnym kontekście artykułu, pozostają w granicach dopuszczalnej przesady</w:t>
      </w:r>
      <w:r w:rsidR="00D31765" w:rsidRPr="007A5972">
        <w:rPr>
          <w:bCs/>
          <w:lang w:val="pl-PL"/>
        </w:rPr>
        <w:t>.”</w:t>
      </w:r>
    </w:p>
    <w:p w:rsidR="00D31765" w:rsidRPr="007A5972" w:rsidRDefault="00D31765" w:rsidP="008533F0">
      <w:pPr>
        <w:pStyle w:val="OpiPara"/>
        <w:rPr>
          <w:lang w:val="pl-PL"/>
        </w:rPr>
      </w:pPr>
      <w:r w:rsidRPr="007A5972">
        <w:rPr>
          <w:bCs/>
          <w:lang w:val="pl-PL"/>
        </w:rPr>
        <w:t>10.</w:t>
      </w:r>
      <w:r w:rsidR="00923E05" w:rsidRPr="007A5972">
        <w:rPr>
          <w:bCs/>
          <w:lang w:val="pl-PL"/>
        </w:rPr>
        <w:t>  </w:t>
      </w:r>
      <w:r w:rsidR="0089712B" w:rsidRPr="007A5972">
        <w:rPr>
          <w:lang w:val="pl-PL"/>
        </w:rPr>
        <w:t xml:space="preserve">To, co jest najbardziej uderzające w tej </w:t>
      </w:r>
      <w:r w:rsidR="00AC5524">
        <w:rPr>
          <w:lang w:val="pl-PL"/>
        </w:rPr>
        <w:t>kolejności rozumowania prawnego</w:t>
      </w:r>
      <w:r w:rsidR="0089712B" w:rsidRPr="007A5972">
        <w:rPr>
          <w:lang w:val="pl-PL"/>
        </w:rPr>
        <w:t>, to, to że większość, stwierdziwszy, że "jakakolwiek ingerencja w prawo do korzystania z tego środka wypowiedzi powinn</w:t>
      </w:r>
      <w:r w:rsidR="00AC5524">
        <w:rPr>
          <w:lang w:val="pl-PL"/>
        </w:rPr>
        <w:t>a</w:t>
      </w:r>
      <w:r w:rsidR="0089712B" w:rsidRPr="007A5972">
        <w:rPr>
          <w:lang w:val="pl-PL"/>
        </w:rPr>
        <w:t xml:space="preserve"> zostać zbadan</w:t>
      </w:r>
      <w:r w:rsidR="00B1330F">
        <w:rPr>
          <w:lang w:val="pl-PL"/>
        </w:rPr>
        <w:t>a</w:t>
      </w:r>
      <w:r w:rsidR="0089712B" w:rsidRPr="007A5972">
        <w:rPr>
          <w:lang w:val="pl-PL"/>
        </w:rPr>
        <w:t xml:space="preserve"> ze szczególną </w:t>
      </w:r>
      <w:r w:rsidR="00AC5524">
        <w:rPr>
          <w:lang w:val="pl-PL"/>
        </w:rPr>
        <w:t>ostrożnością</w:t>
      </w:r>
      <w:r w:rsidR="0089712B" w:rsidRPr="007A5972">
        <w:rPr>
          <w:lang w:val="pl-PL"/>
        </w:rPr>
        <w:t xml:space="preserve">" (Argument nr 2; patrz pkt 9 powyżej ), zatrzymuje się dokładnie w tym miejscu. Rzeczona większość </w:t>
      </w:r>
      <w:r w:rsidR="0089712B" w:rsidRPr="007A5972">
        <w:rPr>
          <w:i/>
          <w:lang w:val="pl-PL"/>
        </w:rPr>
        <w:t>nie bada</w:t>
      </w:r>
      <w:r w:rsidR="0089712B" w:rsidRPr="007A5972">
        <w:rPr>
          <w:lang w:val="pl-PL"/>
        </w:rPr>
        <w:t xml:space="preserve"> zakwestionowanych wyrażeń "ze szczególną </w:t>
      </w:r>
      <w:r w:rsidR="00AC5524">
        <w:rPr>
          <w:lang w:val="pl-PL"/>
        </w:rPr>
        <w:t>ostrożnością</w:t>
      </w:r>
      <w:r w:rsidR="0089712B" w:rsidRPr="007A5972">
        <w:rPr>
          <w:lang w:val="pl-PL"/>
        </w:rPr>
        <w:t xml:space="preserve">". Nie bada ich nawet z jakąkolwiek </w:t>
      </w:r>
      <w:r w:rsidR="00AC5524">
        <w:rPr>
          <w:lang w:val="pl-PL"/>
        </w:rPr>
        <w:t>ostrożnością</w:t>
      </w:r>
      <w:r w:rsidR="0089712B" w:rsidRPr="007A5972">
        <w:rPr>
          <w:lang w:val="pl-PL"/>
        </w:rPr>
        <w:t xml:space="preserve">. Nie bada ich </w:t>
      </w:r>
      <w:r w:rsidR="0089712B" w:rsidRPr="007A5972">
        <w:rPr>
          <w:i/>
          <w:lang w:val="pl-PL"/>
        </w:rPr>
        <w:t>w ogóle</w:t>
      </w:r>
      <w:r w:rsidR="0089712B" w:rsidRPr="007A5972">
        <w:rPr>
          <w:lang w:val="pl-PL"/>
        </w:rPr>
        <w:t xml:space="preserve">. </w:t>
      </w:r>
      <w:r w:rsidR="009F6842">
        <w:rPr>
          <w:lang w:val="pl-PL"/>
        </w:rPr>
        <w:t xml:space="preserve">Większość nie przejmuje się zastosowaniem </w:t>
      </w:r>
      <w:r w:rsidR="0089712B" w:rsidRPr="007A5972">
        <w:rPr>
          <w:lang w:val="pl-PL"/>
        </w:rPr>
        <w:t>pojęci</w:t>
      </w:r>
      <w:r w:rsidR="009F6842">
        <w:rPr>
          <w:lang w:val="pl-PL"/>
        </w:rPr>
        <w:t>a</w:t>
      </w:r>
      <w:r w:rsidR="0089712B" w:rsidRPr="007A5972">
        <w:rPr>
          <w:lang w:val="pl-PL"/>
        </w:rPr>
        <w:t xml:space="preserve"> użyte</w:t>
      </w:r>
      <w:r w:rsidR="009F6842">
        <w:rPr>
          <w:lang w:val="pl-PL"/>
        </w:rPr>
        <w:t>go</w:t>
      </w:r>
      <w:r w:rsidR="0089712B" w:rsidRPr="007A5972">
        <w:rPr>
          <w:lang w:val="pl-PL"/>
        </w:rPr>
        <w:t xml:space="preserve"> w klauzuli "szczególnej </w:t>
      </w:r>
      <w:r w:rsidR="00AC5524">
        <w:rPr>
          <w:lang w:val="pl-PL"/>
        </w:rPr>
        <w:t>ostrożności</w:t>
      </w:r>
      <w:r w:rsidR="0089712B" w:rsidRPr="007A5972">
        <w:rPr>
          <w:lang w:val="pl-PL"/>
        </w:rPr>
        <w:t>", która stanowi i</w:t>
      </w:r>
      <w:r w:rsidR="009F6842">
        <w:rPr>
          <w:lang w:val="pl-PL"/>
        </w:rPr>
        <w:t>stotną część argumentacji nr. 2.</w:t>
      </w:r>
    </w:p>
    <w:p w:rsidR="00D31765" w:rsidRPr="007A5972" w:rsidRDefault="0089712B" w:rsidP="008533F0">
      <w:pPr>
        <w:pStyle w:val="OpiPara"/>
        <w:rPr>
          <w:bCs/>
          <w:lang w:val="pl-PL"/>
        </w:rPr>
      </w:pPr>
      <w:r w:rsidRPr="007A5972">
        <w:rPr>
          <w:lang w:val="pl-PL"/>
        </w:rPr>
        <w:t xml:space="preserve">Co więcej </w:t>
      </w:r>
      <w:r w:rsidRPr="007A5972">
        <w:rPr>
          <w:i/>
          <w:lang w:val="pl-PL"/>
        </w:rPr>
        <w:t>wyraźnie odmawia ona</w:t>
      </w:r>
      <w:r w:rsidRPr="007A5972">
        <w:rPr>
          <w:lang w:val="pl-PL"/>
        </w:rPr>
        <w:t xml:space="preserve"> </w:t>
      </w:r>
      <w:r w:rsidR="00AC5524">
        <w:rPr>
          <w:lang w:val="pl-PL"/>
        </w:rPr>
        <w:t>badania</w:t>
      </w:r>
      <w:r w:rsidRPr="007A5972">
        <w:rPr>
          <w:lang w:val="pl-PL"/>
        </w:rPr>
        <w:t xml:space="preserve"> zakwestionowanych wyrażeń i ingeren</w:t>
      </w:r>
      <w:r w:rsidR="00AC5524">
        <w:rPr>
          <w:lang w:val="pl-PL"/>
        </w:rPr>
        <w:t>cji w swobodę ich wykorzystania.</w:t>
      </w:r>
      <w:r w:rsidRPr="007A5972">
        <w:rPr>
          <w:lang w:val="pl-PL"/>
        </w:rPr>
        <w:t xml:space="preserve"> Czyni to, ogłaszając, że nie "zajmuje stanowiska w sprawie poszczególnych uwag </w:t>
      </w:r>
      <w:r w:rsidR="00AC5524">
        <w:rPr>
          <w:lang w:val="pl-PL"/>
        </w:rPr>
        <w:t>dokonanych</w:t>
      </w:r>
      <w:r w:rsidRPr="007A5972">
        <w:rPr>
          <w:lang w:val="pl-PL"/>
        </w:rPr>
        <w:t xml:space="preserve"> przez skarżącego". Tym niemniej, te ostrożne i eleganckie sformułowania nie oddają rzeczywistej "metodologii badania" rzeczonych wyrażeń: to nie do "każdej poszczególnej uwagi", większość nie zajmuje stanowiska, lecz do wszystkich uwag, ponieważ </w:t>
      </w:r>
      <w:r w:rsidRPr="007A5972">
        <w:rPr>
          <w:i/>
          <w:lang w:val="pl-PL"/>
        </w:rPr>
        <w:t>żadna</w:t>
      </w:r>
      <w:r w:rsidRPr="007A5972">
        <w:rPr>
          <w:lang w:val="pl-PL"/>
        </w:rPr>
        <w:t xml:space="preserve"> z nich nie jest badana. Dla większości, analiza dowolnej spornej uwagi nie jest konieczna, </w:t>
      </w:r>
      <w:r w:rsidRPr="007A5972">
        <w:rPr>
          <w:i/>
          <w:lang w:val="pl-PL"/>
        </w:rPr>
        <w:t xml:space="preserve">pomimo wymogu, określonego bezpośrednio przed tym, że kwestie te muszą zostać zbadane "ze szczególną </w:t>
      </w:r>
      <w:r w:rsidR="000053CF">
        <w:rPr>
          <w:i/>
          <w:lang w:val="pl-PL"/>
        </w:rPr>
        <w:t>ostrożnością</w:t>
      </w:r>
      <w:r w:rsidRPr="007A5972">
        <w:rPr>
          <w:lang w:val="pl-PL"/>
        </w:rPr>
        <w:t>"</w:t>
      </w:r>
      <w:r w:rsidR="00D31765" w:rsidRPr="007A5972">
        <w:rPr>
          <w:bCs/>
          <w:lang w:val="pl-PL"/>
        </w:rPr>
        <w:t>.</w:t>
      </w:r>
    </w:p>
    <w:p w:rsidR="00D31765" w:rsidRPr="007A5972" w:rsidRDefault="0089712B" w:rsidP="008533F0">
      <w:pPr>
        <w:pStyle w:val="OpiPara"/>
        <w:rPr>
          <w:bCs/>
          <w:lang w:val="pl-PL"/>
        </w:rPr>
      </w:pPr>
      <w:r w:rsidRPr="007A5972">
        <w:rPr>
          <w:lang w:val="pl-PL"/>
        </w:rPr>
        <w:t>Powyższy wniosek został wyciągnięty po tym jak Sąd pr</w:t>
      </w:r>
      <w:r w:rsidR="0061325B" w:rsidRPr="007A5972">
        <w:rPr>
          <w:lang w:val="pl-PL"/>
        </w:rPr>
        <w:t xml:space="preserve">zypomniał sobie o </w:t>
      </w:r>
      <w:r w:rsidRPr="007A5972">
        <w:rPr>
          <w:lang w:val="pl-PL"/>
        </w:rPr>
        <w:t>swoim zobowiązaniu do "ustalenia, czy władze krajowe znalazły odpowiednią równowagę pomiędzy ochroną wolności wypowiedzi</w:t>
      </w:r>
      <w:r w:rsidR="00036DBE">
        <w:rPr>
          <w:lang w:val="pl-PL"/>
        </w:rPr>
        <w:t>,</w:t>
      </w:r>
      <w:r w:rsidRPr="007A5972">
        <w:rPr>
          <w:lang w:val="pl-PL"/>
        </w:rPr>
        <w:t xml:space="preserve"> </w:t>
      </w:r>
      <w:r w:rsidR="00036DBE">
        <w:rPr>
          <w:lang w:val="pl-PL"/>
        </w:rPr>
        <w:t>o której mowa w artykule</w:t>
      </w:r>
      <w:r w:rsidRPr="007A5972">
        <w:rPr>
          <w:lang w:val="pl-PL"/>
        </w:rPr>
        <w:t xml:space="preserve"> 10 i ochron</w:t>
      </w:r>
      <w:r w:rsidR="000053CF">
        <w:rPr>
          <w:lang w:val="pl-PL"/>
        </w:rPr>
        <w:t>ą</w:t>
      </w:r>
      <w:r w:rsidRPr="007A5972">
        <w:rPr>
          <w:lang w:val="pl-PL"/>
        </w:rPr>
        <w:t xml:space="preserve"> reputacji tych, wobec których zarzuty zostały </w:t>
      </w:r>
      <w:r w:rsidR="00036DBE">
        <w:rPr>
          <w:lang w:val="pl-PL"/>
        </w:rPr>
        <w:t>podniesione</w:t>
      </w:r>
      <w:r w:rsidRPr="007A5972">
        <w:rPr>
          <w:lang w:val="pl-PL"/>
        </w:rPr>
        <w:t xml:space="preserve">, </w:t>
      </w:r>
      <w:r w:rsidR="000053CF">
        <w:rPr>
          <w:lang w:val="pl-PL"/>
        </w:rPr>
        <w:t xml:space="preserve">czyli </w:t>
      </w:r>
      <w:r w:rsidR="00036DBE">
        <w:rPr>
          <w:lang w:val="pl-PL"/>
        </w:rPr>
        <w:t xml:space="preserve">ochroną </w:t>
      </w:r>
      <w:r w:rsidR="000053CF">
        <w:rPr>
          <w:lang w:val="pl-PL"/>
        </w:rPr>
        <w:t>prawa</w:t>
      </w:r>
      <w:r w:rsidRPr="007A5972">
        <w:rPr>
          <w:lang w:val="pl-PL"/>
        </w:rPr>
        <w:t xml:space="preserve">, które, jako aspekt życia prywatnego, </w:t>
      </w:r>
      <w:r w:rsidR="004A4551">
        <w:rPr>
          <w:lang w:val="pl-PL"/>
        </w:rPr>
        <w:t xml:space="preserve">jest objęte gwarancjami </w:t>
      </w:r>
      <w:r w:rsidRPr="007A5972">
        <w:rPr>
          <w:lang w:val="pl-PL"/>
        </w:rPr>
        <w:t xml:space="preserve">artykułu 8 Konwencji "(patrz pkt 39). </w:t>
      </w:r>
      <w:r w:rsidR="004A4551">
        <w:rPr>
          <w:lang w:val="pl-PL"/>
        </w:rPr>
        <w:t>W jaki sposób j</w:t>
      </w:r>
      <w:r w:rsidRPr="007A5972">
        <w:rPr>
          <w:lang w:val="pl-PL"/>
        </w:rPr>
        <w:t xml:space="preserve">akiekolwiek zrównoważenie praw, nie mówiąc już o </w:t>
      </w:r>
      <w:r w:rsidR="00DF570A">
        <w:rPr>
          <w:lang w:val="pl-PL"/>
        </w:rPr>
        <w:t>sprawiedliwym [ich zbalansowaniu]</w:t>
      </w:r>
      <w:r w:rsidRPr="007A5972">
        <w:rPr>
          <w:lang w:val="pl-PL"/>
        </w:rPr>
        <w:t>, może zostać osiągnięte bez "zajęcia stanowiska w sprawie poszczególnych uwag</w:t>
      </w:r>
      <w:r w:rsidR="00DF570A">
        <w:rPr>
          <w:lang w:val="pl-PL"/>
        </w:rPr>
        <w:t xml:space="preserve"> </w:t>
      </w:r>
      <w:r w:rsidR="000053CF">
        <w:rPr>
          <w:lang w:val="pl-PL"/>
        </w:rPr>
        <w:t>dokonanych</w:t>
      </w:r>
      <w:r w:rsidRPr="007A5972">
        <w:rPr>
          <w:lang w:val="pl-PL"/>
        </w:rPr>
        <w:t xml:space="preserve"> przez skarżącego" pozostaje tajemnicą</w:t>
      </w:r>
      <w:r w:rsidR="00D31765" w:rsidRPr="007A5972">
        <w:rPr>
          <w:bCs/>
          <w:lang w:val="pl-PL"/>
        </w:rPr>
        <w:t>.</w:t>
      </w:r>
    </w:p>
    <w:p w:rsidR="00D31765" w:rsidRPr="007A5972" w:rsidRDefault="00D31765" w:rsidP="008533F0">
      <w:pPr>
        <w:pStyle w:val="OpiPara"/>
        <w:rPr>
          <w:bCs/>
          <w:lang w:val="pl-PL"/>
        </w:rPr>
      </w:pPr>
      <w:r w:rsidRPr="007A5972">
        <w:rPr>
          <w:bCs/>
          <w:lang w:val="pl-PL"/>
        </w:rPr>
        <w:t>11.</w:t>
      </w:r>
      <w:r w:rsidR="00923E05" w:rsidRPr="007A5972">
        <w:rPr>
          <w:bCs/>
          <w:lang w:val="pl-PL"/>
        </w:rPr>
        <w:t>  </w:t>
      </w:r>
      <w:r w:rsidR="004B6567" w:rsidRPr="007A5972">
        <w:rPr>
          <w:lang w:val="pl-PL"/>
        </w:rPr>
        <w:t xml:space="preserve">Aby </w:t>
      </w:r>
      <w:r w:rsidR="000053CF">
        <w:rPr>
          <w:lang w:val="pl-PL"/>
        </w:rPr>
        <w:t>zachować precyzję, rozpatrywany</w:t>
      </w:r>
      <w:r w:rsidR="004B6567" w:rsidRPr="007A5972">
        <w:rPr>
          <w:lang w:val="pl-PL"/>
        </w:rPr>
        <w:t xml:space="preserve"> tu "wniosek" również zawiera argument. Byłoby bez sensu zaklasyfikowanie go jako "autonomiczny" "</w:t>
      </w:r>
      <w:r w:rsidR="004F380D">
        <w:rPr>
          <w:lang w:val="pl-PL"/>
        </w:rPr>
        <w:t>a</w:t>
      </w:r>
      <w:r w:rsidR="004B6567" w:rsidRPr="007A5972">
        <w:rPr>
          <w:lang w:val="pl-PL"/>
        </w:rPr>
        <w:t xml:space="preserve">rgument nr. 4 ", ponieważ jest </w:t>
      </w:r>
      <w:r w:rsidR="004F380D">
        <w:rPr>
          <w:lang w:val="pl-PL"/>
        </w:rPr>
        <w:t xml:space="preserve">on </w:t>
      </w:r>
      <w:r w:rsidR="004B6567" w:rsidRPr="007A5972">
        <w:rPr>
          <w:lang w:val="pl-PL"/>
        </w:rPr>
        <w:t xml:space="preserve">zwieńczeniem trzech wymienionych argumentów (patrz pkt 9 powyżej). Argument ten </w:t>
      </w:r>
      <w:r w:rsidR="00150D3F">
        <w:rPr>
          <w:lang w:val="pl-PL"/>
        </w:rPr>
        <w:t xml:space="preserve">ogranicza </w:t>
      </w:r>
      <w:r w:rsidR="00150D3F">
        <w:rPr>
          <w:lang w:val="pl-PL"/>
        </w:rPr>
        <w:lastRenderedPageBreak/>
        <w:t xml:space="preserve">się do stwierdzenia, iż </w:t>
      </w:r>
      <w:r w:rsidR="004B6567" w:rsidRPr="007A5972">
        <w:rPr>
          <w:lang w:val="pl-PL"/>
        </w:rPr>
        <w:t xml:space="preserve"> "nie ma wątpliwości"</w:t>
      </w:r>
      <w:r w:rsidR="00150D3F">
        <w:rPr>
          <w:lang w:val="pl-PL"/>
        </w:rPr>
        <w:t xml:space="preserve"> [iż należy przyjąć dany wniosek]</w:t>
      </w:r>
      <w:r w:rsidRPr="007A5972">
        <w:rPr>
          <w:bCs/>
          <w:lang w:val="pl-PL"/>
        </w:rPr>
        <w:t>.</w:t>
      </w:r>
    </w:p>
    <w:p w:rsidR="00D31765" w:rsidRPr="007A5972" w:rsidRDefault="004B6567" w:rsidP="008533F0">
      <w:pPr>
        <w:pStyle w:val="OpiPara"/>
        <w:rPr>
          <w:bCs/>
          <w:lang w:val="pl-PL"/>
        </w:rPr>
      </w:pPr>
      <w:r w:rsidRPr="007A5972">
        <w:rPr>
          <w:lang w:val="pl-PL"/>
        </w:rPr>
        <w:t xml:space="preserve">Nie będziemy </w:t>
      </w:r>
      <w:r w:rsidR="009F6A56">
        <w:rPr>
          <w:lang w:val="pl-PL"/>
        </w:rPr>
        <w:t>analizować</w:t>
      </w:r>
      <w:r w:rsidRPr="007A5972">
        <w:rPr>
          <w:lang w:val="pl-PL"/>
        </w:rPr>
        <w:t xml:space="preserve"> wątpliwej si</w:t>
      </w:r>
      <w:r w:rsidR="009F6A56">
        <w:rPr>
          <w:lang w:val="pl-PL"/>
        </w:rPr>
        <w:t>ły</w:t>
      </w:r>
      <w:r w:rsidRPr="007A5972">
        <w:rPr>
          <w:lang w:val="pl-PL"/>
        </w:rPr>
        <w:t xml:space="preserve"> tego argumentu, arcydzieła bezkrytycznej perspektywy</w:t>
      </w:r>
      <w:r w:rsidR="009F6A56">
        <w:rPr>
          <w:lang w:val="pl-PL"/>
        </w:rPr>
        <w:t>.</w:t>
      </w:r>
      <w:r w:rsidRPr="007A5972">
        <w:rPr>
          <w:lang w:val="pl-PL"/>
        </w:rPr>
        <w:t xml:space="preserve"> </w:t>
      </w:r>
      <w:r w:rsidR="009F6A56">
        <w:rPr>
          <w:lang w:val="pl-PL"/>
        </w:rPr>
        <w:t>J</w:t>
      </w:r>
      <w:r w:rsidRPr="007A5972">
        <w:rPr>
          <w:lang w:val="pl-PL"/>
        </w:rPr>
        <w:t>eśli, dla Trybunału, "nie ma wątpliwości", nawet "bez zajmowania stanowiska" w tej sprawi</w:t>
      </w:r>
      <w:r w:rsidR="00817A86">
        <w:rPr>
          <w:lang w:val="pl-PL"/>
        </w:rPr>
        <w:t>e, to uzasadnienie prawne wzbudza głębokie zastrzeżenia</w:t>
      </w:r>
      <w:r w:rsidRPr="007A5972">
        <w:rPr>
          <w:lang w:val="pl-PL"/>
        </w:rPr>
        <w:t xml:space="preserve">. Podobnie </w:t>
      </w:r>
      <w:r w:rsidR="009F6A56">
        <w:rPr>
          <w:lang w:val="pl-PL"/>
        </w:rPr>
        <w:t xml:space="preserve">[zresztą] </w:t>
      </w:r>
      <w:r w:rsidRPr="007A5972">
        <w:rPr>
          <w:lang w:val="pl-PL"/>
        </w:rPr>
        <w:t>jak dobra osobiste</w:t>
      </w:r>
      <w:r w:rsidR="00D31765" w:rsidRPr="007A5972">
        <w:rPr>
          <w:bCs/>
          <w:lang w:val="pl-PL"/>
        </w:rPr>
        <w:t>.</w:t>
      </w:r>
    </w:p>
    <w:p w:rsidR="00D31765" w:rsidRPr="007A5972" w:rsidRDefault="00D31765" w:rsidP="008533F0">
      <w:pPr>
        <w:pStyle w:val="OpiPara"/>
        <w:rPr>
          <w:lang w:val="pl-PL"/>
        </w:rPr>
      </w:pPr>
      <w:r w:rsidRPr="007A5972">
        <w:rPr>
          <w:bCs/>
          <w:lang w:val="pl-PL"/>
        </w:rPr>
        <w:t>12.</w:t>
      </w:r>
      <w:r w:rsidR="00923E05" w:rsidRPr="007A5972">
        <w:rPr>
          <w:bCs/>
          <w:lang w:val="pl-PL"/>
        </w:rPr>
        <w:t>  </w:t>
      </w:r>
      <w:r w:rsidR="004B6567" w:rsidRPr="007A5972">
        <w:rPr>
          <w:lang w:val="pl-PL"/>
        </w:rPr>
        <w:t xml:space="preserve">Zatem, całe rozumowanie prowadzi do stwierdzenia, że ​​stosowanie kwestionowanych wyrażeń było dopuszczalne na podstawie Konwencji sprowadza się do </w:t>
      </w:r>
      <w:r w:rsidR="004B6567" w:rsidRPr="007A5972">
        <w:rPr>
          <w:i/>
          <w:lang w:val="pl-PL"/>
        </w:rPr>
        <w:t>jednego prostego argumentu</w:t>
      </w:r>
      <w:r w:rsidR="004B6567" w:rsidRPr="007A5972">
        <w:rPr>
          <w:lang w:val="pl-PL"/>
        </w:rPr>
        <w:t xml:space="preserve">. Ten wyrafinowany rzeczywisty argument brzmi następująco: opublikowany tekst jest "satyryczny" (bo większość tak go zaetykietowała), </w:t>
      </w:r>
      <w:r w:rsidR="004B6567" w:rsidRPr="007A5972">
        <w:rPr>
          <w:i/>
          <w:lang w:val="pl-PL"/>
        </w:rPr>
        <w:t>a tylko z tego powodu</w:t>
      </w:r>
      <w:r w:rsidR="004B6567" w:rsidRPr="007A5972">
        <w:rPr>
          <w:lang w:val="pl-PL"/>
        </w:rPr>
        <w:t xml:space="preserve"> stosowanie w tym tekście praktycznie każdego ostrego języka jest dopuszczalne</w:t>
      </w:r>
      <w:r w:rsidR="004B6567" w:rsidRPr="007A5972">
        <w:rPr>
          <w:i/>
          <w:lang w:val="pl-PL"/>
        </w:rPr>
        <w:t xml:space="preserve"> a priori</w:t>
      </w:r>
      <w:r w:rsidR="004B6567" w:rsidRPr="007A5972">
        <w:rPr>
          <w:lang w:val="pl-PL"/>
        </w:rPr>
        <w:t>. To właśnie dlatego główny i jedyny argument większości wygląda tak, jak gdyby został odsiany z opisu stanu faktycznego sprawy i "ogólnych zasad", które powinny być (ale nie były) zastosowane do niego, jak również z kilku innych ozdobników tekstowych</w:t>
      </w:r>
      <w:r w:rsidRPr="007A5972">
        <w:rPr>
          <w:lang w:val="pl-PL"/>
        </w:rPr>
        <w:t>.</w:t>
      </w:r>
    </w:p>
    <w:p w:rsidR="00D31765" w:rsidRPr="007A5972" w:rsidRDefault="00ED74C6" w:rsidP="008533F0">
      <w:pPr>
        <w:pStyle w:val="OpiPara"/>
        <w:rPr>
          <w:lang w:val="pl-PL"/>
        </w:rPr>
      </w:pPr>
      <w:r w:rsidRPr="007A5972">
        <w:rPr>
          <w:lang w:val="pl-PL"/>
        </w:rPr>
        <w:t xml:space="preserve">W celu zapewnienia, aby ​​formuła "praktycznie każdy szorstki język jest dopuszczalny </w:t>
      </w:r>
      <w:r w:rsidRPr="007A5972">
        <w:rPr>
          <w:i/>
          <w:lang w:val="pl-PL"/>
        </w:rPr>
        <w:t>a priori</w:t>
      </w:r>
      <w:r w:rsidRPr="007A5972">
        <w:rPr>
          <w:lang w:val="pl-PL"/>
        </w:rPr>
        <w:t xml:space="preserve"> " nie była źle rozumiana, jako zbyt bezwzględna, a zatem bezpodstawnie </w:t>
      </w:r>
      <w:r w:rsidR="000053CF" w:rsidRPr="007A5972">
        <w:rPr>
          <w:lang w:val="pl-PL"/>
        </w:rPr>
        <w:t>oskarżycielska</w:t>
      </w:r>
      <w:r w:rsidRPr="007A5972">
        <w:rPr>
          <w:lang w:val="pl-PL"/>
        </w:rPr>
        <w:t xml:space="preserve">, musimy zastrzec, że należy się spodziewać, że większość dopuściłaby takie wyjątki od </w:t>
      </w:r>
      <w:r w:rsidR="006C2301">
        <w:rPr>
          <w:lang w:val="pl-PL"/>
        </w:rPr>
        <w:t xml:space="preserve">absolutnej </w:t>
      </w:r>
      <w:r w:rsidRPr="007A5972">
        <w:rPr>
          <w:lang w:val="pl-PL"/>
        </w:rPr>
        <w:t>dopuszczalności języka "satyrycznego" jak</w:t>
      </w:r>
      <w:r w:rsidR="006C2301">
        <w:rPr>
          <w:lang w:val="pl-PL"/>
        </w:rPr>
        <w:t>o</w:t>
      </w:r>
      <w:r w:rsidRPr="007A5972">
        <w:rPr>
          <w:lang w:val="pl-PL"/>
        </w:rPr>
        <w:t xml:space="preserve"> form</w:t>
      </w:r>
      <w:r w:rsidR="006C2301">
        <w:rPr>
          <w:lang w:val="pl-PL"/>
        </w:rPr>
        <w:t>y</w:t>
      </w:r>
      <w:r w:rsidRPr="007A5972">
        <w:rPr>
          <w:lang w:val="pl-PL"/>
        </w:rPr>
        <w:t xml:space="preserve"> prześladowania w przypadku </w:t>
      </w:r>
      <w:r w:rsidR="000053CF">
        <w:rPr>
          <w:lang w:val="pl-PL"/>
        </w:rPr>
        <w:t>mowy</w:t>
      </w:r>
      <w:r w:rsidRPr="007A5972">
        <w:rPr>
          <w:lang w:val="pl-PL"/>
        </w:rPr>
        <w:t xml:space="preserve"> nienawiści czy podżegania do przemocy oraz innych obraźliwych ataków tego rodzaju, które nie byłyby chronione przez "satyryczny" charakter </w:t>
      </w:r>
      <w:r w:rsidR="00910A99">
        <w:rPr>
          <w:lang w:val="pl-PL"/>
        </w:rPr>
        <w:t>komunikatu</w:t>
      </w:r>
      <w:r w:rsidRPr="007A5972">
        <w:rPr>
          <w:lang w:val="pl-PL"/>
        </w:rPr>
        <w:t>. Ale to zastrzeżenie nie ma znaczenia dla te</w:t>
      </w:r>
      <w:r w:rsidR="00910A99">
        <w:rPr>
          <w:lang w:val="pl-PL"/>
        </w:rPr>
        <w:t>j</w:t>
      </w:r>
      <w:r w:rsidRPr="007A5972">
        <w:rPr>
          <w:lang w:val="pl-PL"/>
        </w:rPr>
        <w:t xml:space="preserve"> konkretne</w:t>
      </w:r>
      <w:r w:rsidR="00910A99">
        <w:rPr>
          <w:lang w:val="pl-PL"/>
        </w:rPr>
        <w:t>j</w:t>
      </w:r>
      <w:r w:rsidRPr="007A5972">
        <w:rPr>
          <w:lang w:val="pl-PL"/>
        </w:rPr>
        <w:t xml:space="preserve"> </w:t>
      </w:r>
      <w:r w:rsidR="00910A99">
        <w:rPr>
          <w:lang w:val="pl-PL"/>
        </w:rPr>
        <w:t>sprawy</w:t>
      </w:r>
      <w:r w:rsidRPr="007A5972">
        <w:rPr>
          <w:lang w:val="pl-PL"/>
        </w:rPr>
        <w:t>, oraz dla naszych rozważań, a więc nie będziemy go powtarzać przy każdej okazji w dalszej części opinii</w:t>
      </w:r>
      <w:r w:rsidR="00D31765" w:rsidRPr="007A5972">
        <w:rPr>
          <w:lang w:val="pl-PL"/>
        </w:rPr>
        <w:t>.</w:t>
      </w:r>
    </w:p>
    <w:p w:rsidR="00D31765" w:rsidRPr="007A5972" w:rsidRDefault="00D31765" w:rsidP="008533F0">
      <w:pPr>
        <w:pStyle w:val="OpiPara"/>
        <w:rPr>
          <w:lang w:val="pl-PL"/>
        </w:rPr>
      </w:pPr>
      <w:r w:rsidRPr="007A5972">
        <w:rPr>
          <w:lang w:val="pl-PL"/>
        </w:rPr>
        <w:t>13.</w:t>
      </w:r>
      <w:r w:rsidR="00923E05" w:rsidRPr="007A5972">
        <w:rPr>
          <w:lang w:val="pl-PL"/>
        </w:rPr>
        <w:t>  </w:t>
      </w:r>
      <w:r w:rsidR="005C7587" w:rsidRPr="007A5972">
        <w:rPr>
          <w:lang w:val="pl-PL"/>
        </w:rPr>
        <w:t xml:space="preserve">Prawdą jest, że wyrok zawiera również, </w:t>
      </w:r>
      <w:r w:rsidR="005C7587" w:rsidRPr="007A5972">
        <w:rPr>
          <w:i/>
          <w:lang w:val="pl-PL"/>
        </w:rPr>
        <w:t>passim</w:t>
      </w:r>
      <w:r w:rsidR="005C7587" w:rsidRPr="007A5972">
        <w:rPr>
          <w:lang w:val="pl-PL"/>
        </w:rPr>
        <w:t xml:space="preserve"> (pkt 40, 42-44), niektóre inne </w:t>
      </w:r>
      <w:r w:rsidR="009B683F">
        <w:rPr>
          <w:lang w:val="pl-PL"/>
        </w:rPr>
        <w:t>kwestie</w:t>
      </w:r>
      <w:r w:rsidR="005C7587" w:rsidRPr="007A5972">
        <w:rPr>
          <w:lang w:val="pl-PL"/>
        </w:rPr>
        <w:t xml:space="preserve">, ale </w:t>
      </w:r>
      <w:r w:rsidR="009B683F">
        <w:rPr>
          <w:lang w:val="pl-PL"/>
        </w:rPr>
        <w:t>są one tylko powtórzeniem i rozszerzeniem</w:t>
      </w:r>
      <w:r w:rsidR="005C7587" w:rsidRPr="007A5972">
        <w:rPr>
          <w:lang w:val="pl-PL"/>
        </w:rPr>
        <w:t xml:space="preserve"> argument</w:t>
      </w:r>
      <w:r w:rsidR="009B683F">
        <w:rPr>
          <w:lang w:val="pl-PL"/>
        </w:rPr>
        <w:t>ów</w:t>
      </w:r>
      <w:r w:rsidR="005C7587" w:rsidRPr="007A5972">
        <w:rPr>
          <w:lang w:val="pl-PL"/>
        </w:rPr>
        <w:t xml:space="preserve"> przytoczon</w:t>
      </w:r>
      <w:r w:rsidR="009B683F">
        <w:rPr>
          <w:lang w:val="pl-PL"/>
        </w:rPr>
        <w:t>ych</w:t>
      </w:r>
      <w:r w:rsidR="005C7587" w:rsidRPr="007A5972">
        <w:rPr>
          <w:lang w:val="pl-PL"/>
        </w:rPr>
        <w:t xml:space="preserve"> powyżej w § 9. Dodatkowe kwestie dotyczące "charakteru i nasilenia nałożonej kary" na skarżącego (patrz pkt 46) są nieco innej treści. Mimo to, nawet te względy związane z karą najwyraźniej nie mają decydującego znaczenia dla rozstrzygnięcia sprawy. Są one drugorzędne, ponieważ surowość kary po prostu </w:t>
      </w:r>
      <w:r w:rsidR="005C7587" w:rsidRPr="007A5972">
        <w:rPr>
          <w:i/>
          <w:lang w:val="pl-PL"/>
        </w:rPr>
        <w:t xml:space="preserve">nie może być </w:t>
      </w:r>
      <w:r w:rsidR="00910A99">
        <w:rPr>
          <w:i/>
          <w:lang w:val="pl-PL"/>
        </w:rPr>
        <w:t>analizowana</w:t>
      </w:r>
      <w:r w:rsidR="005C7587" w:rsidRPr="007A5972">
        <w:rPr>
          <w:i/>
          <w:lang w:val="pl-PL"/>
        </w:rPr>
        <w:t xml:space="preserve"> w żaden znaczący sposób, jeżeli przestępstwo, za które kara została nałożona nie jest </w:t>
      </w:r>
      <w:r w:rsidR="00910A99">
        <w:rPr>
          <w:i/>
          <w:lang w:val="pl-PL"/>
        </w:rPr>
        <w:t>przeanalizowane</w:t>
      </w:r>
      <w:r w:rsidRPr="007A5972">
        <w:rPr>
          <w:lang w:val="pl-PL"/>
        </w:rPr>
        <w:t>.</w:t>
      </w:r>
    </w:p>
    <w:p w:rsidR="00D31765" w:rsidRPr="007A5972" w:rsidRDefault="00D31765" w:rsidP="008533F0">
      <w:pPr>
        <w:pStyle w:val="OpiPara"/>
        <w:rPr>
          <w:lang w:val="pl-PL"/>
        </w:rPr>
      </w:pPr>
      <w:r w:rsidRPr="007A5972">
        <w:rPr>
          <w:lang w:val="pl-PL"/>
        </w:rPr>
        <w:t>14.</w:t>
      </w:r>
      <w:r w:rsidR="00923E05" w:rsidRPr="007A5972">
        <w:rPr>
          <w:lang w:val="pl-PL"/>
        </w:rPr>
        <w:t>  </w:t>
      </w:r>
      <w:r w:rsidR="005C7587" w:rsidRPr="007A5972">
        <w:rPr>
          <w:lang w:val="pl-PL"/>
        </w:rPr>
        <w:t xml:space="preserve">Po raz kolejny w orzecznictwie Trybunału (ale, w większości na szczęście, nie </w:t>
      </w:r>
      <w:r w:rsidR="00910A99">
        <w:rPr>
          <w:lang w:val="pl-PL"/>
        </w:rPr>
        <w:t>we wszystkich</w:t>
      </w:r>
      <w:r w:rsidR="005C7587" w:rsidRPr="007A5972">
        <w:rPr>
          <w:lang w:val="pl-PL"/>
        </w:rPr>
        <w:t xml:space="preserve"> jego </w:t>
      </w:r>
      <w:r w:rsidR="00910A99">
        <w:rPr>
          <w:lang w:val="pl-PL"/>
        </w:rPr>
        <w:t>orzeczeniach</w:t>
      </w:r>
      <w:r w:rsidR="005C7587" w:rsidRPr="007A5972">
        <w:rPr>
          <w:lang w:val="pl-PL"/>
        </w:rPr>
        <w:t xml:space="preserve">!), główny argument opisany powyżej (patrz pkt 12) wynika z przekonania, że ​​artykuł 10 jest "gwiazdą Artykułów". To przekonanie, ku naszemu ubolewaniu, które wyłania się raz po raz w sprawach z tytułu artykułu 10, nie jest otwarcie potwierdzane, ale nawet bardzo prosta analiza pozwoli na jego odkrycie spod osłony symulowanej argumentacji i ujawnienie sposobu myślenia o nim. To, że jest </w:t>
      </w:r>
      <w:r w:rsidR="00910A99">
        <w:rPr>
          <w:lang w:val="pl-PL"/>
        </w:rPr>
        <w:t xml:space="preserve">to </w:t>
      </w:r>
      <w:r w:rsidR="005C7587" w:rsidRPr="007A5972">
        <w:rPr>
          <w:lang w:val="pl-PL"/>
        </w:rPr>
        <w:t>przekonanie</w:t>
      </w:r>
      <w:r w:rsidR="00910A99">
        <w:rPr>
          <w:lang w:val="pl-PL"/>
        </w:rPr>
        <w:t>m</w:t>
      </w:r>
      <w:r w:rsidR="005C7587" w:rsidRPr="007A5972">
        <w:rPr>
          <w:lang w:val="pl-PL"/>
        </w:rPr>
        <w:t xml:space="preserve"> </w:t>
      </w:r>
      <w:r w:rsidR="00910A99">
        <w:rPr>
          <w:lang w:val="pl-PL"/>
        </w:rPr>
        <w:t>leżącym u podstaw wynika z</w:t>
      </w:r>
      <w:r w:rsidR="004F7ED3">
        <w:rPr>
          <w:lang w:val="pl-PL"/>
        </w:rPr>
        <w:t xml:space="preserve"> argumentu, iż </w:t>
      </w:r>
      <w:r w:rsidR="005C7587" w:rsidRPr="007A5972">
        <w:rPr>
          <w:lang w:val="pl-PL"/>
        </w:rPr>
        <w:t>"nie ma ż</w:t>
      </w:r>
      <w:r w:rsidR="00910A99">
        <w:rPr>
          <w:lang w:val="pl-PL"/>
        </w:rPr>
        <w:t>a</w:t>
      </w:r>
      <w:r w:rsidR="004F7ED3">
        <w:rPr>
          <w:lang w:val="pl-PL"/>
        </w:rPr>
        <w:t xml:space="preserve">dnych wątpliwości" [by przyjąć określone konkluzje] </w:t>
      </w:r>
      <w:r w:rsidR="005C7587" w:rsidRPr="007A5972">
        <w:rPr>
          <w:lang w:val="pl-PL"/>
        </w:rPr>
        <w:t xml:space="preserve">(patrz paragraf 11 </w:t>
      </w:r>
      <w:r w:rsidR="005C7587" w:rsidRPr="007A5972">
        <w:rPr>
          <w:lang w:val="pl-PL"/>
        </w:rPr>
        <w:lastRenderedPageBreak/>
        <w:t xml:space="preserve">powyżej). Przy konfrontacji z wolnością wypowiedzi, w szczególności wolności prasy, wszystkie inne wartości stają się podporządkowane, jeżeli w ogóle one ocaleją. (W tym podejściu, z którym się nie zgadzamy, odnosimy się do naszej wspólnej odrębnej opinii w sprawie </w:t>
      </w:r>
      <w:proofErr w:type="spellStart"/>
      <w:r w:rsidR="005C7587" w:rsidRPr="007A5972">
        <w:rPr>
          <w:i/>
          <w:lang w:val="pl-PL"/>
        </w:rPr>
        <w:t>Fürst-Pfeifer</w:t>
      </w:r>
      <w:proofErr w:type="spellEnd"/>
      <w:r w:rsidR="005C7587" w:rsidRPr="007A5972">
        <w:rPr>
          <w:i/>
          <w:lang w:val="pl-PL"/>
        </w:rPr>
        <w:t xml:space="preserve"> przeciwko Austrii</w:t>
      </w:r>
      <w:r w:rsidR="005C7587" w:rsidRPr="007A5972">
        <w:rPr>
          <w:lang w:val="pl-PL"/>
        </w:rPr>
        <w:t xml:space="preserve"> (nr 33677/10 i 52340/10, 17 maja 2016)). Większość twierdzi, że "osoba, która bierze udział w publicznej debacie ogólnego zainteresowania... nie może przekraczać pewnych granic, w szczególności w odniesieniu do poszanowania dobrego imienia i praw innych osób" (patrz pkt 44). Prawidłowe słowa! Al</w:t>
      </w:r>
      <w:r w:rsidR="009D0865">
        <w:rPr>
          <w:lang w:val="pl-PL"/>
        </w:rPr>
        <w:t xml:space="preserve">e nie ma nawet jednej wskazówki, </w:t>
      </w:r>
      <w:r w:rsidR="005C7587" w:rsidRPr="007A5972">
        <w:rPr>
          <w:lang w:val="pl-PL"/>
        </w:rPr>
        <w:t>gdzie te ogra</w:t>
      </w:r>
      <w:r w:rsidR="009D0865">
        <w:rPr>
          <w:lang w:val="pl-PL"/>
        </w:rPr>
        <w:t>niczenia można znaleźć w wyroku.</w:t>
      </w:r>
      <w:r w:rsidR="005C7587" w:rsidRPr="007A5972">
        <w:rPr>
          <w:lang w:val="pl-PL"/>
        </w:rPr>
        <w:t xml:space="preserve"> Zamiast tego, większość jest przekonana, że ​​"pewien stopień przesady, a nawet prowokacji jest dozwolony" i że "pewien stopień nieumiarkowania jest dozwolony" (patrz pkt 44). </w:t>
      </w:r>
      <w:r w:rsidR="005C7587" w:rsidRPr="007A5972">
        <w:rPr>
          <w:i/>
          <w:lang w:val="pl-PL"/>
        </w:rPr>
        <w:t>Jaki stopień?</w:t>
      </w:r>
    </w:p>
    <w:p w:rsidR="00D31765" w:rsidRPr="007A5972" w:rsidRDefault="005C7587" w:rsidP="008533F0">
      <w:pPr>
        <w:pStyle w:val="OpiPara"/>
        <w:rPr>
          <w:lang w:val="pl-PL"/>
        </w:rPr>
      </w:pPr>
      <w:r w:rsidRPr="007A5972">
        <w:rPr>
          <w:lang w:val="pl-PL"/>
        </w:rPr>
        <w:t xml:space="preserve">Dla większości, nie jest konieczne, aby rozwiązać ten problem, ponieważ "satyryczny artykuł [traktował] o pełnieniu funkcji miejscowych urzędników, [co stanowiło] kwestię uzasadnionego zainteresowania publicznego", a zatem "dotyczył sfery, w której ograniczenia w zakresie wolności wypowiedzi powinny być ściśle interpretowane"(patrz pkt 40), tak jakby </w:t>
      </w:r>
      <w:r w:rsidR="00562227">
        <w:rPr>
          <w:lang w:val="pl-PL"/>
        </w:rPr>
        <w:t>wypowiadanie się w tych sprawach</w:t>
      </w:r>
      <w:r w:rsidRPr="007A5972">
        <w:rPr>
          <w:lang w:val="pl-PL"/>
        </w:rPr>
        <w:t xml:space="preserve"> było </w:t>
      </w:r>
      <w:r w:rsidR="00910A99">
        <w:rPr>
          <w:i/>
          <w:lang w:val="pl-PL"/>
        </w:rPr>
        <w:t>kolejną podstawą rozgrzeszenia</w:t>
      </w:r>
      <w:r w:rsidRPr="007A5972">
        <w:rPr>
          <w:lang w:val="pl-PL"/>
        </w:rPr>
        <w:t xml:space="preserve"> (taką jak satyryczny charakter; porównaj § 7 powyżej) z jakiejkolwiek odpowiedzialności za słowa i wyrażenia użyte w artykule. W rzeczywistości</w:t>
      </w:r>
      <w:r w:rsidR="00B161DD">
        <w:rPr>
          <w:lang w:val="pl-PL"/>
        </w:rPr>
        <w:t xml:space="preserve"> owo wyrażenie "ściśl</w:t>
      </w:r>
      <w:r w:rsidRPr="007A5972">
        <w:rPr>
          <w:lang w:val="pl-PL"/>
        </w:rPr>
        <w:t xml:space="preserve">e interpretowane", w kontekście całego rozumowania większości oznacza </w:t>
      </w:r>
      <w:r w:rsidR="00B161DD">
        <w:rPr>
          <w:lang w:val="pl-PL"/>
        </w:rPr>
        <w:t xml:space="preserve">(tak jak poprzednio) </w:t>
      </w:r>
      <w:r w:rsidRPr="007A5972">
        <w:rPr>
          <w:lang w:val="pl-PL"/>
        </w:rPr>
        <w:t>"niedozwolone"</w:t>
      </w:r>
      <w:r w:rsidR="00D31765" w:rsidRPr="007A5972">
        <w:rPr>
          <w:lang w:val="pl-PL"/>
        </w:rPr>
        <w:t>.</w:t>
      </w:r>
    </w:p>
    <w:p w:rsidR="00D31765" w:rsidRPr="007A5972" w:rsidRDefault="00D31765" w:rsidP="008533F0">
      <w:pPr>
        <w:pStyle w:val="OpiPara"/>
        <w:rPr>
          <w:lang w:val="pl-PL"/>
        </w:rPr>
      </w:pPr>
      <w:r w:rsidRPr="007A5972">
        <w:rPr>
          <w:lang w:val="pl-PL"/>
        </w:rPr>
        <w:t>15.</w:t>
      </w:r>
      <w:r w:rsidR="00923E05" w:rsidRPr="007A5972">
        <w:rPr>
          <w:lang w:val="pl-PL"/>
        </w:rPr>
        <w:t>  </w:t>
      </w:r>
      <w:r w:rsidR="00B161DD">
        <w:rPr>
          <w:lang w:val="pl-PL"/>
        </w:rPr>
        <w:t>Konkluzją naszej argumentacji</w:t>
      </w:r>
      <w:r w:rsidR="005C7587" w:rsidRPr="007A5972">
        <w:rPr>
          <w:lang w:val="pl-PL"/>
        </w:rPr>
        <w:t xml:space="preserve"> jest to, że ani kontekst wyrażeń, ani gatunek wybrany przez autora, nie moż</w:t>
      </w:r>
      <w:r w:rsidR="007C01F1">
        <w:rPr>
          <w:lang w:val="pl-PL"/>
        </w:rPr>
        <w:t>e</w:t>
      </w:r>
      <w:r w:rsidR="005C7587" w:rsidRPr="007A5972">
        <w:rPr>
          <w:lang w:val="pl-PL"/>
        </w:rPr>
        <w:t xml:space="preserve"> być sam w sobie </w:t>
      </w:r>
      <w:r w:rsidR="00A63C64">
        <w:rPr>
          <w:lang w:val="pl-PL"/>
        </w:rPr>
        <w:t>usprawiedliwiać</w:t>
      </w:r>
      <w:r w:rsidR="005C7587" w:rsidRPr="007A5972">
        <w:rPr>
          <w:lang w:val="pl-PL"/>
        </w:rPr>
        <w:t xml:space="preserve"> </w:t>
      </w:r>
      <w:r w:rsidR="00C0416F">
        <w:rPr>
          <w:lang w:val="pl-PL"/>
        </w:rPr>
        <w:t>godzącego w dobra osobiste</w:t>
      </w:r>
      <w:r w:rsidR="005C7587" w:rsidRPr="00C0416F">
        <w:rPr>
          <w:lang w:val="pl-PL"/>
        </w:rPr>
        <w:t xml:space="preserve"> charakteru</w:t>
      </w:r>
      <w:r w:rsidR="005C7587" w:rsidRPr="007A5972">
        <w:rPr>
          <w:lang w:val="pl-PL"/>
        </w:rPr>
        <w:t xml:space="preserve"> wyrażeń użytych w artykule</w:t>
      </w:r>
      <w:r w:rsidRPr="007A5972">
        <w:rPr>
          <w:lang w:val="pl-PL"/>
        </w:rPr>
        <w:t>.</w:t>
      </w:r>
    </w:p>
    <w:p w:rsidR="00D31765" w:rsidRPr="007A5972" w:rsidRDefault="00D31765" w:rsidP="008533F0">
      <w:pPr>
        <w:pStyle w:val="OpiPara"/>
        <w:rPr>
          <w:lang w:val="pl-PL"/>
        </w:rPr>
      </w:pPr>
      <w:r w:rsidRPr="007A5972">
        <w:rPr>
          <w:lang w:val="pl-PL"/>
        </w:rPr>
        <w:t>16.</w:t>
      </w:r>
      <w:r w:rsidR="00923E05" w:rsidRPr="007A5972">
        <w:rPr>
          <w:lang w:val="pl-PL"/>
        </w:rPr>
        <w:t>  </w:t>
      </w:r>
      <w:r w:rsidR="005C7587" w:rsidRPr="007A5972">
        <w:rPr>
          <w:i/>
          <w:lang w:val="pl-PL"/>
        </w:rPr>
        <w:t>Kontek</w:t>
      </w:r>
      <w:r w:rsidR="00A63C64">
        <w:rPr>
          <w:i/>
          <w:lang w:val="pl-PL"/>
        </w:rPr>
        <w:t>s</w:t>
      </w:r>
      <w:r w:rsidR="005C7587" w:rsidRPr="007A5972">
        <w:rPr>
          <w:i/>
          <w:lang w:val="pl-PL"/>
        </w:rPr>
        <w:t>t</w:t>
      </w:r>
      <w:r w:rsidR="005C7587" w:rsidRPr="007A5972">
        <w:rPr>
          <w:lang w:val="pl-PL"/>
        </w:rPr>
        <w:t xml:space="preserve"> publikacji może uzasadniać stosowani</w:t>
      </w:r>
      <w:r w:rsidR="00A63C64">
        <w:rPr>
          <w:lang w:val="pl-PL"/>
        </w:rPr>
        <w:t>e</w:t>
      </w:r>
      <w:r w:rsidR="005C7587" w:rsidRPr="007A5972">
        <w:rPr>
          <w:lang w:val="pl-PL"/>
        </w:rPr>
        <w:t xml:space="preserve"> nawet najbardziej grubiańskich wyrażeń, </w:t>
      </w:r>
      <w:r w:rsidR="005C7587" w:rsidRPr="007A5972">
        <w:rPr>
          <w:i/>
          <w:lang w:val="pl-PL"/>
        </w:rPr>
        <w:t>ale tylko pod warunkiem, że same wyrażenia są analizowane i oceniane</w:t>
      </w:r>
      <w:r w:rsidR="005C7587" w:rsidRPr="007A5972">
        <w:rPr>
          <w:lang w:val="pl-PL"/>
        </w:rPr>
        <w:t xml:space="preserve">. Wymóg uwzględniania </w:t>
      </w:r>
      <w:r w:rsidR="005C7587" w:rsidRPr="007A5972">
        <w:rPr>
          <w:i/>
          <w:lang w:val="pl-PL"/>
        </w:rPr>
        <w:t>kontekstu</w:t>
      </w:r>
      <w:r w:rsidR="005C7587" w:rsidRPr="007A5972">
        <w:rPr>
          <w:lang w:val="pl-PL"/>
        </w:rPr>
        <w:t xml:space="preserve"> nie znaczy, że znika wymóg badania </w:t>
      </w:r>
      <w:r w:rsidR="005C7587" w:rsidRPr="007A5972">
        <w:rPr>
          <w:i/>
          <w:lang w:val="pl-PL"/>
        </w:rPr>
        <w:t>treści tekstu</w:t>
      </w:r>
      <w:r w:rsidR="005C7587" w:rsidRPr="007A5972">
        <w:rPr>
          <w:lang w:val="pl-PL"/>
        </w:rPr>
        <w:t xml:space="preserve">. Nawet najpiękniejszy las (gdy patrzeć na niego z daleka) może mieć wypaczone lub nawet zaatakowane chorobą drzewa. Nawet na słońcu występują plamy. Trybunał nie jest zwolniony z obowiązku przyglądania się konkretnym okolicznościom sprawy i nie może być usatysfakcjonowany wyłącznie "ogólnym obrazem". Powtarzamy (porównaj pkt 4 powyżej): w celu uzasadnienia użycia, w publikacji, wyrażeń uznanych przez sądy krajowe za obraźliwe,  niezbędna jest dokładna argumentacja </w:t>
      </w:r>
      <w:r w:rsidR="005C7587" w:rsidRPr="007A5972">
        <w:rPr>
          <w:i/>
          <w:lang w:val="pl-PL"/>
        </w:rPr>
        <w:t>znaczenia i wagi</w:t>
      </w:r>
      <w:r w:rsidR="005C7587" w:rsidRPr="007A5972">
        <w:rPr>
          <w:lang w:val="pl-PL"/>
        </w:rPr>
        <w:t xml:space="preserve"> tych wyrażeń. Sam Trybunał jednoznacznie uznał takie podejści</w:t>
      </w:r>
      <w:r w:rsidR="005D2E6A" w:rsidRPr="007A5972">
        <w:rPr>
          <w:lang w:val="pl-PL"/>
        </w:rPr>
        <w:t>e</w:t>
      </w:r>
      <w:r w:rsidR="005C7587" w:rsidRPr="007A5972">
        <w:rPr>
          <w:lang w:val="pl-PL"/>
        </w:rPr>
        <w:t xml:space="preserve"> (patrz pkt 35 poniżej). W przeciwnym razie wyrok będzie oparty na </w:t>
      </w:r>
      <w:r w:rsidR="005C7587" w:rsidRPr="007A5972">
        <w:rPr>
          <w:i/>
          <w:lang w:val="pl-PL"/>
        </w:rPr>
        <w:t>fiat</w:t>
      </w:r>
      <w:r w:rsidR="005C7587" w:rsidRPr="007A5972">
        <w:rPr>
          <w:lang w:val="pl-PL"/>
        </w:rPr>
        <w:t xml:space="preserve">, zaś </w:t>
      </w:r>
      <w:r w:rsidR="005C7587" w:rsidRPr="007A5972">
        <w:rPr>
          <w:i/>
          <w:lang w:val="pl-PL"/>
        </w:rPr>
        <w:t>fiat</w:t>
      </w:r>
      <w:r w:rsidR="005C7587" w:rsidRPr="007A5972">
        <w:rPr>
          <w:lang w:val="pl-PL"/>
        </w:rPr>
        <w:t xml:space="preserve"> nie jest argumentem prawnym. Co więcej, nie jest argumentem w ogóle - jest pozwoleniem, zezwoleniem, zatwierdzeniem, aprobatą, i niczym więcej</w:t>
      </w:r>
      <w:r w:rsidRPr="007A5972">
        <w:rPr>
          <w:lang w:val="pl-PL"/>
        </w:rPr>
        <w:t>.</w:t>
      </w:r>
    </w:p>
    <w:p w:rsidR="00D31765" w:rsidRPr="007A5972" w:rsidRDefault="005C7587" w:rsidP="008533F0">
      <w:pPr>
        <w:pStyle w:val="OpiPara"/>
        <w:rPr>
          <w:lang w:val="pl-PL"/>
        </w:rPr>
      </w:pPr>
      <w:r w:rsidRPr="007A5972">
        <w:rPr>
          <w:lang w:val="pl-PL"/>
        </w:rPr>
        <w:t xml:space="preserve">Można też zapytać, czy Trybunał naprawdę uważa, że kontekst publikacji może służyć jedynie uzasadnieniu stosowania grubiańskich wyrażeń. Czy przeciwieństwo nie jest również możliwe? Wierzymy, że jest. </w:t>
      </w:r>
      <w:r w:rsidRPr="007A5972">
        <w:rPr>
          <w:lang w:val="pl-PL"/>
        </w:rPr>
        <w:lastRenderedPageBreak/>
        <w:t xml:space="preserve">Mimo to, odczytujemy ten wyrok </w:t>
      </w:r>
      <w:r w:rsidR="005D2E6A" w:rsidRPr="007A5972">
        <w:rPr>
          <w:lang w:val="pl-PL"/>
        </w:rPr>
        <w:t>w taki</w:t>
      </w:r>
      <w:r w:rsidRPr="007A5972">
        <w:rPr>
          <w:lang w:val="pl-PL"/>
        </w:rPr>
        <w:t xml:space="preserve"> sposób, że w opinii większości, dopuszczalny jest tylko ruch jednokierunkowy w takich przypadkach. Jednak analiza dyskutowanego artykułu i </w:t>
      </w:r>
      <w:r w:rsidRPr="007A5972">
        <w:rPr>
          <w:i/>
          <w:lang w:val="pl-PL"/>
        </w:rPr>
        <w:t>jego kontekstu</w:t>
      </w:r>
      <w:r w:rsidRPr="007A5972">
        <w:rPr>
          <w:lang w:val="pl-PL"/>
        </w:rPr>
        <w:t xml:space="preserve">, przewidziana przez sądy krajowe (patrz: pkt 19-26 poniżej), pozwala na wniosek, że w okolicznościach niniejszej sprawy, szersze tło nie zmniejsza </w:t>
      </w:r>
      <w:r w:rsidR="00C0416F">
        <w:rPr>
          <w:lang w:val="pl-PL"/>
        </w:rPr>
        <w:t xml:space="preserve">godzącego w dobra osobiste </w:t>
      </w:r>
      <w:r w:rsidRPr="00C0416F">
        <w:rPr>
          <w:lang w:val="pl-PL"/>
        </w:rPr>
        <w:t>oddziaływania</w:t>
      </w:r>
      <w:r w:rsidRPr="007A5972">
        <w:rPr>
          <w:lang w:val="pl-PL"/>
        </w:rPr>
        <w:t xml:space="preserve"> spornych wyrażeń, ale raczej </w:t>
      </w:r>
      <w:r w:rsidRPr="007A5972">
        <w:rPr>
          <w:i/>
          <w:lang w:val="pl-PL"/>
        </w:rPr>
        <w:t>wzmacnia go</w:t>
      </w:r>
      <w:r w:rsidR="00D31765" w:rsidRPr="007A5972">
        <w:rPr>
          <w:lang w:val="pl-PL"/>
        </w:rPr>
        <w:t>.</w:t>
      </w:r>
    </w:p>
    <w:p w:rsidR="00D31765" w:rsidRPr="007A5972" w:rsidRDefault="00D31765" w:rsidP="008533F0">
      <w:pPr>
        <w:pStyle w:val="OpiPara"/>
        <w:rPr>
          <w:lang w:val="pl-PL"/>
        </w:rPr>
      </w:pPr>
      <w:r w:rsidRPr="007A5972">
        <w:rPr>
          <w:lang w:val="pl-PL"/>
        </w:rPr>
        <w:t>17.</w:t>
      </w:r>
      <w:r w:rsidR="00923E05" w:rsidRPr="007A5972">
        <w:rPr>
          <w:lang w:val="pl-PL"/>
        </w:rPr>
        <w:t>  </w:t>
      </w:r>
      <w:r w:rsidR="007151D4" w:rsidRPr="007A5972">
        <w:rPr>
          <w:lang w:val="pl-PL"/>
        </w:rPr>
        <w:t xml:space="preserve">Teraz, do </w:t>
      </w:r>
      <w:r w:rsidR="007151D4" w:rsidRPr="007A5972">
        <w:rPr>
          <w:i/>
          <w:lang w:val="pl-PL"/>
        </w:rPr>
        <w:t>gatunku</w:t>
      </w:r>
      <w:r w:rsidR="007151D4" w:rsidRPr="007A5972">
        <w:rPr>
          <w:lang w:val="pl-PL"/>
        </w:rPr>
        <w:t xml:space="preserve"> publikacji. Ten sam komunikat, w tym krytyki politycznej, może być przekazywany do publicznej wiadomości za pomocą różnych gatunków. Jednym z nich jest satyra. Jest to kwestia wyboru strategii, co do tego, który gatunek, zdaniem nadawcy wiadomości, jest najbardziej odpowiedni do uczynienia wiadomości bardziej rezonującą dla adresata, a tym samym bardziej efektywny. Innymi słowy, jest to kwestia wyboru środków do celu. Wybór gatunku jest środkiem, a przekazywanie wiadomości z konkretną treścią jest celem</w:t>
      </w:r>
      <w:r w:rsidRPr="007A5972">
        <w:rPr>
          <w:lang w:val="pl-PL"/>
        </w:rPr>
        <w:t>.</w:t>
      </w:r>
    </w:p>
    <w:p w:rsidR="00D31765" w:rsidRPr="007A5972" w:rsidRDefault="007151D4" w:rsidP="008533F0">
      <w:pPr>
        <w:pStyle w:val="OpiPara"/>
        <w:rPr>
          <w:lang w:val="pl-PL"/>
        </w:rPr>
      </w:pPr>
      <w:r w:rsidRPr="007A5972">
        <w:rPr>
          <w:lang w:val="pl-PL"/>
        </w:rPr>
        <w:t xml:space="preserve">Chcemy jednak, stwierdzić, że w europejskiej cywilizacji XXI wieku jest bezsporną prawdą, w zakresie zarówno politycznej moralności jak i sprawiedliwości prawnej, to, że środki nie uzasadniają celu. Wydaje się, że niniejszy wyrok opiera się na przeciwległej metodologii: wszystko jest wybaczone, jeśli przez autora wybrana jest "poprawna" strategia, czyli strategia, która zapewnia </w:t>
      </w:r>
      <w:r w:rsidRPr="007A5972">
        <w:rPr>
          <w:i/>
          <w:lang w:val="pl-PL"/>
        </w:rPr>
        <w:t>a priori</w:t>
      </w:r>
      <w:r w:rsidRPr="007A5972">
        <w:rPr>
          <w:lang w:val="pl-PL"/>
        </w:rPr>
        <w:t xml:space="preserve"> rozgrzeszenie niezależnie od użytego języka. Zatem wybór "prawidłowego" gatunku artykułu to przyjęcie tego gatunku, który, zdaniem autora, nie tylko uczyni dany artykuł bardziej skutecznym, ale również zwalnia autora od jakiejkolwiek odpowiedzialności za słowa i frazy w nim użyte. W związku z tym, satyra staje się gatunkiem gatunków. </w:t>
      </w:r>
      <w:r w:rsidR="007301BD">
        <w:rPr>
          <w:lang w:val="pl-PL"/>
        </w:rPr>
        <w:t>Forma staje się ważniejsza od</w:t>
      </w:r>
      <w:r w:rsidRPr="007A5972">
        <w:rPr>
          <w:lang w:val="pl-PL"/>
        </w:rPr>
        <w:t xml:space="preserve"> treści</w:t>
      </w:r>
      <w:r w:rsidR="00D31765" w:rsidRPr="007A5972">
        <w:rPr>
          <w:lang w:val="pl-PL"/>
        </w:rPr>
        <w:t>.</w:t>
      </w:r>
    </w:p>
    <w:p w:rsidR="00D31765" w:rsidRPr="007A5972" w:rsidRDefault="00D31765" w:rsidP="008533F0">
      <w:pPr>
        <w:pStyle w:val="OpiPara"/>
        <w:rPr>
          <w:lang w:val="pl-PL"/>
        </w:rPr>
      </w:pPr>
      <w:r w:rsidRPr="007A5972">
        <w:rPr>
          <w:lang w:val="pl-PL"/>
        </w:rPr>
        <w:t>18.</w:t>
      </w:r>
      <w:r w:rsidR="00923E05" w:rsidRPr="007A5972">
        <w:rPr>
          <w:lang w:val="pl-PL"/>
        </w:rPr>
        <w:t>  </w:t>
      </w:r>
      <w:r w:rsidR="007151D4" w:rsidRPr="007A5972">
        <w:rPr>
          <w:lang w:val="pl-PL"/>
        </w:rPr>
        <w:t>Powyższe rozważania, zwłaszcza te odnoszące się do braku argumentów dla najważniejszych zagadnień merytorycznych tej konkretnej sprawy i odmowa przez większość zbadania zaskarżonych wyrażeń, w szczególności</w:t>
      </w:r>
      <w:r w:rsidR="007301BD">
        <w:rPr>
          <w:lang w:val="pl-PL"/>
        </w:rPr>
        <w:t>:</w:t>
      </w:r>
      <w:r w:rsidR="007151D4" w:rsidRPr="007A5972">
        <w:rPr>
          <w:lang w:val="pl-PL"/>
        </w:rPr>
        <w:t xml:space="preserve"> "</w:t>
      </w:r>
      <w:r w:rsidR="007151D4" w:rsidRPr="007A5972">
        <w:rPr>
          <w:i/>
          <w:lang w:val="pl-PL"/>
        </w:rPr>
        <w:t>palant</w:t>
      </w:r>
      <w:r w:rsidR="007151D4" w:rsidRPr="007A5972">
        <w:rPr>
          <w:lang w:val="pl-PL"/>
        </w:rPr>
        <w:t>" i "</w:t>
      </w:r>
      <w:proofErr w:type="spellStart"/>
      <w:r w:rsidR="007151D4" w:rsidRPr="007A5972">
        <w:rPr>
          <w:i/>
          <w:lang w:val="pl-PL"/>
        </w:rPr>
        <w:t>przygłupawy</w:t>
      </w:r>
      <w:proofErr w:type="spellEnd"/>
      <w:r w:rsidR="007151D4" w:rsidRPr="007A5972">
        <w:rPr>
          <w:i/>
          <w:lang w:val="pl-PL"/>
        </w:rPr>
        <w:t xml:space="preserve"> urzędnik</w:t>
      </w:r>
      <w:r w:rsidR="007151D4" w:rsidRPr="007A5972">
        <w:rPr>
          <w:lang w:val="pl-PL"/>
        </w:rPr>
        <w:t xml:space="preserve">", pozwala nam stwierdzić, że </w:t>
      </w:r>
      <w:r w:rsidR="007151D4" w:rsidRPr="007A5972">
        <w:rPr>
          <w:i/>
          <w:lang w:val="pl-PL"/>
        </w:rPr>
        <w:t>jest</w:t>
      </w:r>
      <w:r w:rsidR="007151D4" w:rsidRPr="007A5972">
        <w:rPr>
          <w:lang w:val="pl-PL"/>
        </w:rPr>
        <w:t xml:space="preserve"> </w:t>
      </w:r>
      <w:r w:rsidR="007151D4" w:rsidRPr="007A5972">
        <w:rPr>
          <w:i/>
          <w:lang w:val="pl-PL"/>
        </w:rPr>
        <w:t>udowodnione</w:t>
      </w:r>
      <w:r w:rsidR="007151D4" w:rsidRPr="007A5972">
        <w:rPr>
          <w:lang w:val="pl-PL"/>
        </w:rPr>
        <w:t>, iż stwierdzenie większości</w:t>
      </w:r>
      <w:r w:rsidR="007301BD">
        <w:rPr>
          <w:lang w:val="pl-PL"/>
        </w:rPr>
        <w:t xml:space="preserve"> co do </w:t>
      </w:r>
      <w:r w:rsidR="007151D4" w:rsidRPr="007A5972">
        <w:rPr>
          <w:lang w:val="pl-PL"/>
        </w:rPr>
        <w:t xml:space="preserve">naruszenia artykułu 10 </w:t>
      </w:r>
      <w:r w:rsidR="007151D4" w:rsidRPr="007A5972">
        <w:rPr>
          <w:i/>
          <w:lang w:val="pl-PL"/>
        </w:rPr>
        <w:t>nie jest udowodnione</w:t>
      </w:r>
      <w:r w:rsidRPr="007A5972">
        <w:rPr>
          <w:lang w:val="pl-PL"/>
        </w:rPr>
        <w:t>.</w:t>
      </w:r>
    </w:p>
    <w:p w:rsidR="00D31765" w:rsidRPr="007A5972" w:rsidRDefault="00D31765" w:rsidP="008533F0">
      <w:pPr>
        <w:pStyle w:val="OpiHA"/>
        <w:jc w:val="center"/>
        <w:rPr>
          <w:lang w:val="pl-PL"/>
        </w:rPr>
      </w:pPr>
      <w:r w:rsidRPr="007A5972">
        <w:rPr>
          <w:lang w:val="pl-PL"/>
        </w:rPr>
        <w:t>III</w:t>
      </w:r>
    </w:p>
    <w:p w:rsidR="00D31765" w:rsidRPr="007A5972" w:rsidRDefault="00D31765" w:rsidP="008533F0">
      <w:pPr>
        <w:pStyle w:val="OpiPara"/>
        <w:rPr>
          <w:lang w:val="pl-PL"/>
        </w:rPr>
      </w:pPr>
      <w:r w:rsidRPr="007A5972">
        <w:rPr>
          <w:lang w:val="pl-PL"/>
        </w:rPr>
        <w:t>19.</w:t>
      </w:r>
      <w:r w:rsidR="00923E05" w:rsidRPr="007A5972">
        <w:rPr>
          <w:lang w:val="pl-PL"/>
        </w:rPr>
        <w:t> </w:t>
      </w:r>
      <w:r w:rsidR="00BD3B68" w:rsidRPr="007A5972">
        <w:rPr>
          <w:lang w:val="pl-PL"/>
        </w:rPr>
        <w:t> </w:t>
      </w:r>
      <w:r w:rsidR="002D72A8" w:rsidRPr="007A5972">
        <w:rPr>
          <w:lang w:val="pl-PL"/>
        </w:rPr>
        <w:t xml:space="preserve">Ale jest jeszcze coś więcej, niż tylko to. W najostrzejszym </w:t>
      </w:r>
      <w:r w:rsidR="007C01F1">
        <w:rPr>
          <w:lang w:val="pl-PL"/>
        </w:rPr>
        <w:t>kontraście</w:t>
      </w:r>
      <w:r w:rsidR="002D72A8" w:rsidRPr="007A5972">
        <w:rPr>
          <w:lang w:val="pl-PL"/>
        </w:rPr>
        <w:t xml:space="preserve"> do </w:t>
      </w:r>
      <w:r w:rsidR="007C01F1">
        <w:rPr>
          <w:lang w:val="pl-PL"/>
        </w:rPr>
        <w:t>rzeczywistego</w:t>
      </w:r>
      <w:r w:rsidR="002D72A8" w:rsidRPr="007A5972">
        <w:rPr>
          <w:lang w:val="pl-PL"/>
        </w:rPr>
        <w:t xml:space="preserve"> argumentu, na którym opiera się stwierdzenie naruszenia artykułu 10 (patrz pkt 12 powyżej), oraz sekwencji rozumowania w tej sprawie, </w:t>
      </w:r>
      <w:r w:rsidR="007C01F1">
        <w:rPr>
          <w:lang w:val="pl-PL"/>
        </w:rPr>
        <w:t>znajdują się</w:t>
      </w:r>
      <w:r w:rsidR="002D72A8" w:rsidRPr="007A5972">
        <w:rPr>
          <w:lang w:val="pl-PL"/>
        </w:rPr>
        <w:t xml:space="preserve"> </w:t>
      </w:r>
      <w:r w:rsidR="002D72A8" w:rsidRPr="007A5972">
        <w:rPr>
          <w:i/>
          <w:lang w:val="pl-PL"/>
        </w:rPr>
        <w:t>zarzuty</w:t>
      </w:r>
      <w:r w:rsidR="002D72A8" w:rsidRPr="007A5972">
        <w:rPr>
          <w:lang w:val="pl-PL"/>
        </w:rPr>
        <w:t xml:space="preserve"> większości do polskich sądów. Te zarzuty są </w:t>
      </w:r>
      <w:r w:rsidR="00F2300C">
        <w:rPr>
          <w:lang w:val="pl-PL"/>
        </w:rPr>
        <w:t>podnoszone</w:t>
      </w:r>
      <w:r w:rsidR="002D72A8" w:rsidRPr="007A5972">
        <w:rPr>
          <w:lang w:val="pl-PL"/>
        </w:rPr>
        <w:t xml:space="preserve"> trzykrotnie w wyroku</w:t>
      </w:r>
      <w:r w:rsidRPr="007A5972">
        <w:rPr>
          <w:lang w:val="pl-PL"/>
        </w:rPr>
        <w:t>:</w:t>
      </w:r>
    </w:p>
    <w:p w:rsidR="00D31765" w:rsidRPr="007A5972" w:rsidRDefault="002D72A8" w:rsidP="008533F0">
      <w:pPr>
        <w:pStyle w:val="OpiPara"/>
        <w:rPr>
          <w:lang w:val="pl-PL"/>
        </w:rPr>
      </w:pPr>
      <w:r w:rsidRPr="007A5972">
        <w:rPr>
          <w:i/>
          <w:lang w:val="pl-PL"/>
        </w:rPr>
        <w:t>Zarzut nr</w:t>
      </w:r>
      <w:r w:rsidR="00D31765" w:rsidRPr="007A5972">
        <w:rPr>
          <w:i/>
          <w:lang w:val="pl-PL"/>
        </w:rPr>
        <w:t xml:space="preserve"> 1</w:t>
      </w:r>
      <w:r w:rsidR="00D31765" w:rsidRPr="007A5972">
        <w:rPr>
          <w:lang w:val="pl-PL"/>
        </w:rPr>
        <w:t>: “</w:t>
      </w:r>
      <w:r w:rsidR="00DF6581" w:rsidRPr="007A5972">
        <w:rPr>
          <w:lang w:val="pl-PL"/>
        </w:rPr>
        <w:t>W odniesieniu do klasyfikacji kwestionowanych stwierdzeń, Trybunał zauważa, że ​​sądy krajowe nie zajęły jasnego stanowiska w tej sprawie" (pkt</w:t>
      </w:r>
      <w:r w:rsidR="00D31765" w:rsidRPr="007A5972">
        <w:rPr>
          <w:lang w:val="pl-PL"/>
        </w:rPr>
        <w:t xml:space="preserve"> 43).</w:t>
      </w:r>
    </w:p>
    <w:p w:rsidR="00D31765" w:rsidRPr="007A5972" w:rsidRDefault="002D72A8" w:rsidP="008533F0">
      <w:pPr>
        <w:pStyle w:val="OpiPara"/>
        <w:rPr>
          <w:lang w:val="pl-PL"/>
        </w:rPr>
      </w:pPr>
      <w:r w:rsidRPr="007A5972">
        <w:rPr>
          <w:i/>
          <w:lang w:val="pl-PL"/>
        </w:rPr>
        <w:lastRenderedPageBreak/>
        <w:t>Zarzut nr</w:t>
      </w:r>
      <w:r w:rsidR="00D31765" w:rsidRPr="007A5972">
        <w:rPr>
          <w:i/>
          <w:lang w:val="pl-PL"/>
        </w:rPr>
        <w:t xml:space="preserve"> 2</w:t>
      </w:r>
      <w:r w:rsidR="00D31765" w:rsidRPr="007A5972">
        <w:rPr>
          <w:lang w:val="pl-PL"/>
        </w:rPr>
        <w:t>: “[</w:t>
      </w:r>
      <w:r w:rsidR="00DF6581" w:rsidRPr="007A5972">
        <w:rPr>
          <w:lang w:val="pl-PL"/>
        </w:rPr>
        <w:t>Wydaje się, że ​​sądy krajowe nie uwzględniają w wystarczającym stopniu tych cech [tj. "satyrycznego charakteru tekstu i leżącej u jego podłoża ironii</w:t>
      </w:r>
      <w:r w:rsidR="00D31765" w:rsidRPr="007A5972">
        <w:rPr>
          <w:lang w:val="pl-PL"/>
        </w:rPr>
        <w:t>”] (</w:t>
      </w:r>
      <w:r w:rsidR="00DF6581" w:rsidRPr="007A5972">
        <w:rPr>
          <w:lang w:val="pl-PL"/>
        </w:rPr>
        <w:t>pkt.</w:t>
      </w:r>
      <w:r w:rsidR="00D31765" w:rsidRPr="007A5972">
        <w:rPr>
          <w:lang w:val="pl-PL"/>
        </w:rPr>
        <w:t xml:space="preserve"> 44).</w:t>
      </w:r>
    </w:p>
    <w:p w:rsidR="00D31765" w:rsidRPr="007A5972" w:rsidRDefault="002D72A8" w:rsidP="008533F0">
      <w:pPr>
        <w:pStyle w:val="OpiPara"/>
        <w:rPr>
          <w:lang w:val="pl-PL"/>
        </w:rPr>
      </w:pPr>
      <w:r w:rsidRPr="007A5972">
        <w:rPr>
          <w:i/>
          <w:lang w:val="pl-PL"/>
        </w:rPr>
        <w:t>Zarzut nr</w:t>
      </w:r>
      <w:r w:rsidR="00D31765" w:rsidRPr="007A5972">
        <w:rPr>
          <w:i/>
          <w:lang w:val="pl-PL"/>
        </w:rPr>
        <w:t xml:space="preserve"> 3</w:t>
      </w:r>
      <w:r w:rsidR="00D31765" w:rsidRPr="007A5972">
        <w:rPr>
          <w:lang w:val="pl-PL"/>
        </w:rPr>
        <w:t>: “[</w:t>
      </w:r>
      <w:r w:rsidR="00DF6581" w:rsidRPr="007A5972">
        <w:rPr>
          <w:lang w:val="pl-PL"/>
        </w:rPr>
        <w:t>Sądy krajowe nie podają" istotnych i wystarczających" przyczyn uzasadniających skazanie skarżącego oraz ukaranie za zniewagę</w:t>
      </w:r>
      <w:r w:rsidR="00D31765" w:rsidRPr="007A5972">
        <w:rPr>
          <w:lang w:val="pl-PL"/>
        </w:rPr>
        <w:t>” (</w:t>
      </w:r>
      <w:r w:rsidR="00DF6581" w:rsidRPr="007A5972">
        <w:rPr>
          <w:lang w:val="pl-PL"/>
        </w:rPr>
        <w:t>pkt.</w:t>
      </w:r>
      <w:r w:rsidR="00D31765" w:rsidRPr="007A5972">
        <w:rPr>
          <w:lang w:val="pl-PL"/>
        </w:rPr>
        <w:t xml:space="preserve"> 47).</w:t>
      </w:r>
    </w:p>
    <w:p w:rsidR="00D31765" w:rsidRPr="007A5972" w:rsidRDefault="00D31765" w:rsidP="008533F0">
      <w:pPr>
        <w:pStyle w:val="OpiPara"/>
        <w:rPr>
          <w:lang w:val="pl-PL"/>
        </w:rPr>
      </w:pPr>
      <w:r w:rsidRPr="007A5972">
        <w:rPr>
          <w:lang w:val="pl-PL"/>
        </w:rPr>
        <w:t>20.</w:t>
      </w:r>
      <w:r w:rsidR="00BD3B68" w:rsidRPr="007A5972">
        <w:rPr>
          <w:lang w:val="pl-PL"/>
        </w:rPr>
        <w:t>  </w:t>
      </w:r>
      <w:r w:rsidR="00DF6581" w:rsidRPr="007A5972">
        <w:rPr>
          <w:lang w:val="pl-PL"/>
        </w:rPr>
        <w:t xml:space="preserve">Zarzuty nr </w:t>
      </w:r>
      <w:r w:rsidRPr="007A5972">
        <w:rPr>
          <w:lang w:val="pl-PL"/>
        </w:rPr>
        <w:t xml:space="preserve">1 </w:t>
      </w:r>
      <w:r w:rsidR="00DF6581" w:rsidRPr="007A5972">
        <w:rPr>
          <w:lang w:val="pl-PL"/>
        </w:rPr>
        <w:t>i</w:t>
      </w:r>
      <w:r w:rsidRPr="007A5972">
        <w:rPr>
          <w:lang w:val="pl-PL"/>
        </w:rPr>
        <w:t xml:space="preserve"> 2 </w:t>
      </w:r>
      <w:r w:rsidR="00DF6581" w:rsidRPr="007A5972">
        <w:rPr>
          <w:lang w:val="pl-PL"/>
        </w:rPr>
        <w:t>mogłyby być traktowan</w:t>
      </w:r>
      <w:r w:rsidR="002D1062">
        <w:rPr>
          <w:lang w:val="pl-PL"/>
        </w:rPr>
        <w:t>e</w:t>
      </w:r>
      <w:r w:rsidR="00DF6581" w:rsidRPr="007A5972">
        <w:rPr>
          <w:lang w:val="pl-PL"/>
        </w:rPr>
        <w:t xml:space="preserve"> jako poważne, uzasadnione, a nawet ciężkie, gdyby Trybunał sam "uwzględnił odpowiednio" wszystkie elementy sprawy i sam podał "istotne i wystarczające powody", aby uzasadnić swój własny wniosek</w:t>
      </w:r>
      <w:r w:rsidRPr="007A5972">
        <w:rPr>
          <w:lang w:val="pl-PL"/>
        </w:rPr>
        <w:t>.</w:t>
      </w:r>
    </w:p>
    <w:p w:rsidR="00D31765" w:rsidRPr="007A5972" w:rsidRDefault="00DF6581" w:rsidP="008533F0">
      <w:pPr>
        <w:pStyle w:val="OpiPara"/>
        <w:rPr>
          <w:lang w:val="pl-PL"/>
        </w:rPr>
      </w:pPr>
      <w:r w:rsidRPr="007A5972">
        <w:rPr>
          <w:lang w:val="pl-PL"/>
        </w:rPr>
        <w:t xml:space="preserve">Jak widzieliśmy, </w:t>
      </w:r>
      <w:r w:rsidRPr="007A5972">
        <w:rPr>
          <w:i/>
          <w:lang w:val="pl-PL"/>
        </w:rPr>
        <w:t>odmówił on nawet spojrzenia na te sprawy</w:t>
      </w:r>
      <w:r w:rsidRPr="007A5972">
        <w:rPr>
          <w:lang w:val="pl-PL"/>
        </w:rPr>
        <w:t>. Jak w takim przypadku te zarzuty mogą kogoś przekonywać</w:t>
      </w:r>
      <w:r w:rsidR="00D31765" w:rsidRPr="007A5972">
        <w:rPr>
          <w:lang w:val="pl-PL"/>
        </w:rPr>
        <w:t>?</w:t>
      </w:r>
    </w:p>
    <w:p w:rsidR="00D31765" w:rsidRPr="007A5972" w:rsidRDefault="00DF6581" w:rsidP="008533F0">
      <w:pPr>
        <w:pStyle w:val="OpiPara"/>
        <w:rPr>
          <w:lang w:val="pl-PL"/>
        </w:rPr>
      </w:pPr>
      <w:r w:rsidRPr="007A5972">
        <w:rPr>
          <w:lang w:val="pl-PL"/>
        </w:rPr>
        <w:t>Ponadto</w:t>
      </w:r>
      <w:r w:rsidR="00D31765" w:rsidRPr="007A5972">
        <w:rPr>
          <w:lang w:val="pl-PL"/>
        </w:rPr>
        <w:t xml:space="preserve">, </w:t>
      </w:r>
      <w:r w:rsidRPr="007A5972">
        <w:rPr>
          <w:lang w:val="pl-PL"/>
        </w:rPr>
        <w:t>z</w:t>
      </w:r>
      <w:r w:rsidR="002D72A8" w:rsidRPr="007A5972">
        <w:rPr>
          <w:lang w:val="pl-PL"/>
        </w:rPr>
        <w:t>arzut nr</w:t>
      </w:r>
      <w:r w:rsidR="00D31765" w:rsidRPr="007A5972">
        <w:rPr>
          <w:lang w:val="pl-PL"/>
        </w:rPr>
        <w:t xml:space="preserve"> 2 </w:t>
      </w:r>
      <w:r w:rsidR="00D5465F" w:rsidRPr="007A5972">
        <w:rPr>
          <w:lang w:val="pl-PL"/>
        </w:rPr>
        <w:t xml:space="preserve">mówi o "cechach", ale przewidziane odniesienie nie ma związku z okolicznościami rozpatrywanej sprawy, </w:t>
      </w:r>
      <w:r w:rsidR="00EB3567">
        <w:rPr>
          <w:lang w:val="pl-PL"/>
        </w:rPr>
        <w:t>lecz inną</w:t>
      </w:r>
      <w:r w:rsidR="00D5465F" w:rsidRPr="007A5972">
        <w:rPr>
          <w:lang w:val="pl-PL"/>
        </w:rPr>
        <w:t xml:space="preserve"> spraw</w:t>
      </w:r>
      <w:r w:rsidR="00EB3567">
        <w:rPr>
          <w:lang w:val="pl-PL"/>
        </w:rPr>
        <w:t>ą</w:t>
      </w:r>
      <w:r w:rsidR="00D5465F" w:rsidRPr="007A5972">
        <w:rPr>
          <w:lang w:val="pl-PL"/>
        </w:rPr>
        <w:t xml:space="preserve"> p</w:t>
      </w:r>
      <w:r w:rsidR="00EB3567">
        <w:rPr>
          <w:lang w:val="pl-PL"/>
        </w:rPr>
        <w:t>rzeciwko Polsce, rozstrzygniętą</w:t>
      </w:r>
      <w:r w:rsidR="00D5465F" w:rsidRPr="007A5972">
        <w:rPr>
          <w:lang w:val="pl-PL"/>
        </w:rPr>
        <w:t xml:space="preserve"> już w 2005 roku, a odnosząc</w:t>
      </w:r>
      <w:r w:rsidR="00EB3567">
        <w:rPr>
          <w:lang w:val="pl-PL"/>
        </w:rPr>
        <w:t>ą</w:t>
      </w:r>
      <w:r w:rsidR="00D5465F" w:rsidRPr="007A5972">
        <w:rPr>
          <w:lang w:val="pl-PL"/>
        </w:rPr>
        <w:t xml:space="preserve"> się do czegoś, co miało miejsce w roku 1995. Czy Trybunał dokonał oceny ewentualnych zmian w jakości dyskursu publicznego w tym kraju, które są również ważnym aspektem kontekstu publikacji? Nie. Jest za to cytat, udający analizę, i to rozwiązuje wszystko</w:t>
      </w:r>
      <w:r w:rsidR="00D31765" w:rsidRPr="007A5972">
        <w:rPr>
          <w:lang w:val="pl-PL"/>
        </w:rPr>
        <w:t>.</w:t>
      </w:r>
    </w:p>
    <w:p w:rsidR="00D31765" w:rsidRPr="007A5972" w:rsidRDefault="00D5465F" w:rsidP="008533F0">
      <w:pPr>
        <w:pStyle w:val="OpiPara"/>
        <w:rPr>
          <w:bCs/>
          <w:lang w:val="pl-PL"/>
        </w:rPr>
      </w:pPr>
      <w:r w:rsidRPr="007A5972">
        <w:rPr>
          <w:lang w:val="pl-PL"/>
        </w:rPr>
        <w:t>Co do rzekomego braku „jasnego stanowiska” sądów krajowych "... [w odniesieniu do klasyfikacji kwestionowanych</w:t>
      </w:r>
      <w:r w:rsidR="00EB3567">
        <w:rPr>
          <w:lang w:val="pl-PL"/>
        </w:rPr>
        <w:t xml:space="preserve"> stwierdzeń " uważamy, że było ono</w:t>
      </w:r>
      <w:r w:rsidRPr="007A5972">
        <w:rPr>
          <w:lang w:val="pl-PL"/>
        </w:rPr>
        <w:t xml:space="preserve"> tak </w:t>
      </w:r>
      <w:r w:rsidR="00EB3567">
        <w:rPr>
          <w:lang w:val="pl-PL"/>
        </w:rPr>
        <w:t>jasn</w:t>
      </w:r>
      <w:r w:rsidRPr="007A5972">
        <w:rPr>
          <w:lang w:val="pl-PL"/>
        </w:rPr>
        <w:t xml:space="preserve">e, jak </w:t>
      </w:r>
      <w:r w:rsidR="00EB3567">
        <w:rPr>
          <w:lang w:val="pl-PL"/>
        </w:rPr>
        <w:t>tylko mogło</w:t>
      </w:r>
      <w:r w:rsidRPr="007A5972">
        <w:rPr>
          <w:lang w:val="pl-PL"/>
        </w:rPr>
        <w:t xml:space="preserve"> być: "stwierdzenia" skarżącego zostały uznane za obraźliwe i poniżające, i dlatego też, został on skazany. Ale t</w:t>
      </w:r>
      <w:r w:rsidR="00B33A47">
        <w:rPr>
          <w:lang w:val="pl-PL"/>
        </w:rPr>
        <w:t>ym</w:t>
      </w:r>
      <w:r w:rsidRPr="007A5972">
        <w:rPr>
          <w:lang w:val="pl-PL"/>
        </w:rPr>
        <w:t xml:space="preserve">, co jest najważniejsze, a nawet szokujące, jest to, że ten zarzut jest </w:t>
      </w:r>
      <w:r w:rsidR="00B33A47">
        <w:rPr>
          <w:lang w:val="pl-PL"/>
        </w:rPr>
        <w:t>kierowany pod adresem sądów</w:t>
      </w:r>
      <w:r w:rsidRPr="007A5972">
        <w:rPr>
          <w:lang w:val="pl-PL"/>
        </w:rPr>
        <w:t xml:space="preserve"> krajow</w:t>
      </w:r>
      <w:r w:rsidR="00B33A47">
        <w:rPr>
          <w:lang w:val="pl-PL"/>
        </w:rPr>
        <w:t>ych</w:t>
      </w:r>
      <w:r w:rsidRPr="007A5972">
        <w:rPr>
          <w:lang w:val="pl-PL"/>
        </w:rPr>
        <w:t xml:space="preserve"> przez Trybunał, który orzekł, że </w:t>
      </w:r>
      <w:r w:rsidRPr="007A5972">
        <w:rPr>
          <w:i/>
          <w:lang w:val="pl-PL"/>
        </w:rPr>
        <w:t>sam</w:t>
      </w:r>
      <w:r w:rsidRPr="007A5972">
        <w:rPr>
          <w:lang w:val="pl-PL"/>
        </w:rPr>
        <w:t xml:space="preserve"> nie jest nawet w stanie "przyjąć stanowiska w kwestii każdej konkretnej uwagi dokonanej przez skarżącego</w:t>
      </w:r>
      <w:r w:rsidR="00D31765" w:rsidRPr="007A5972">
        <w:rPr>
          <w:bCs/>
          <w:lang w:val="pl-PL"/>
        </w:rPr>
        <w:t>”.</w:t>
      </w:r>
    </w:p>
    <w:p w:rsidR="00D31765" w:rsidRPr="007A5972" w:rsidRDefault="00D5465F" w:rsidP="008533F0">
      <w:pPr>
        <w:pStyle w:val="OpiPara"/>
        <w:rPr>
          <w:lang w:val="pl-PL"/>
        </w:rPr>
      </w:pPr>
      <w:r w:rsidRPr="007A5972">
        <w:rPr>
          <w:lang w:val="pl-PL"/>
        </w:rPr>
        <w:t xml:space="preserve">To jest to, co niektórzy nazywają </w:t>
      </w:r>
      <w:r w:rsidRPr="007A5972">
        <w:rPr>
          <w:i/>
          <w:lang w:val="pl-PL"/>
        </w:rPr>
        <w:t>podwójnymi standardami</w:t>
      </w:r>
      <w:r w:rsidR="00D31765" w:rsidRPr="007A5972">
        <w:rPr>
          <w:lang w:val="pl-PL"/>
        </w:rPr>
        <w:t>.</w:t>
      </w:r>
    </w:p>
    <w:p w:rsidR="00D31765" w:rsidRPr="007A5972" w:rsidRDefault="00D31765" w:rsidP="008533F0">
      <w:pPr>
        <w:pStyle w:val="OpiPara"/>
        <w:rPr>
          <w:lang w:val="pl-PL"/>
        </w:rPr>
      </w:pPr>
      <w:r w:rsidRPr="007A5972">
        <w:rPr>
          <w:lang w:val="pl-PL"/>
        </w:rPr>
        <w:t>21.</w:t>
      </w:r>
      <w:r w:rsidR="00BD3B68" w:rsidRPr="007A5972">
        <w:rPr>
          <w:lang w:val="pl-PL"/>
        </w:rPr>
        <w:t>  </w:t>
      </w:r>
      <w:r w:rsidR="00D5465F" w:rsidRPr="007A5972">
        <w:rPr>
          <w:lang w:val="pl-PL"/>
        </w:rPr>
        <w:t>Lecz, być może zarzuty nie są bezpodstawne same w sobie, nawet jeśli Trybunał sam nie przestrzegał wymagań, które skierował do sądów krajowych, a tym samym nie wywiązał się ze swoich własnych standardów</w:t>
      </w:r>
      <w:r w:rsidRPr="007A5972">
        <w:rPr>
          <w:lang w:val="pl-PL"/>
        </w:rPr>
        <w:t>?</w:t>
      </w:r>
    </w:p>
    <w:p w:rsidR="00D31765" w:rsidRPr="007A5972" w:rsidRDefault="00D31765" w:rsidP="008533F0">
      <w:pPr>
        <w:pStyle w:val="OpiPara"/>
        <w:rPr>
          <w:lang w:val="pl-PL"/>
        </w:rPr>
      </w:pPr>
      <w:r w:rsidRPr="007A5972">
        <w:rPr>
          <w:lang w:val="pl-PL"/>
        </w:rPr>
        <w:t>22.</w:t>
      </w:r>
      <w:r w:rsidR="00AF46A2" w:rsidRPr="007A5972">
        <w:rPr>
          <w:lang w:val="pl-PL"/>
        </w:rPr>
        <w:t>  </w:t>
      </w:r>
      <w:r w:rsidR="00D5465F" w:rsidRPr="007A5972">
        <w:rPr>
          <w:lang w:val="pl-PL"/>
        </w:rPr>
        <w:t>Z naszej strony możemy zauważyć, że</w:t>
      </w:r>
      <w:r w:rsidR="00EB3567">
        <w:rPr>
          <w:lang w:val="pl-PL"/>
        </w:rPr>
        <w:t>,</w:t>
      </w:r>
      <w:r w:rsidR="00D5465F" w:rsidRPr="007A5972">
        <w:rPr>
          <w:lang w:val="pl-PL"/>
        </w:rPr>
        <w:t xml:space="preserve"> mimo iż sądy krajowe nie rozwinęły bardzo szczegółowo kontekstu spornych wyrażeń, </w:t>
      </w:r>
      <w:r w:rsidR="00D5465F" w:rsidRPr="007A5972">
        <w:rPr>
          <w:i/>
          <w:lang w:val="pl-PL"/>
        </w:rPr>
        <w:t>mimo wszystko, odniosły się do tekstu jako całości i do tonu całej publikacji</w:t>
      </w:r>
      <w:r w:rsidRPr="007A5972">
        <w:rPr>
          <w:lang w:val="pl-PL"/>
        </w:rPr>
        <w:t>.</w:t>
      </w:r>
    </w:p>
    <w:p w:rsidR="00D31765" w:rsidRPr="007A5972" w:rsidRDefault="00D31765" w:rsidP="008533F0">
      <w:pPr>
        <w:pStyle w:val="OpiPara"/>
        <w:rPr>
          <w:lang w:val="pl-PL"/>
        </w:rPr>
      </w:pPr>
      <w:r w:rsidRPr="007A5972">
        <w:rPr>
          <w:lang w:val="pl-PL"/>
        </w:rPr>
        <w:t>23.</w:t>
      </w:r>
      <w:r w:rsidR="00B37974" w:rsidRPr="007A5972">
        <w:rPr>
          <w:lang w:val="pl-PL"/>
        </w:rPr>
        <w:t>  </w:t>
      </w:r>
      <w:r w:rsidR="00D5465F" w:rsidRPr="007A5972">
        <w:rPr>
          <w:lang w:val="pl-PL"/>
        </w:rPr>
        <w:t xml:space="preserve">Ponadto kwestionowane wyrażenia należy analizować nie tylko w kontekście tego tekstu jako całości, ale także w szerszym </w:t>
      </w:r>
      <w:r w:rsidR="00D5465F" w:rsidRPr="007A5972">
        <w:rPr>
          <w:i/>
          <w:lang w:val="pl-PL"/>
        </w:rPr>
        <w:t>kontekście społecznym</w:t>
      </w:r>
      <w:r w:rsidR="00D5465F" w:rsidRPr="007A5972">
        <w:rPr>
          <w:lang w:val="pl-PL"/>
        </w:rPr>
        <w:t>, w którym artykuł został opublikowany. Sąd, w przeciwieństwie do tego Trybunał</w:t>
      </w:r>
      <w:r w:rsidR="00EB3567">
        <w:rPr>
          <w:lang w:val="pl-PL"/>
        </w:rPr>
        <w:t>u</w:t>
      </w:r>
      <w:r w:rsidR="00D5465F" w:rsidRPr="007A5972">
        <w:rPr>
          <w:lang w:val="pl-PL"/>
        </w:rPr>
        <w:t xml:space="preserve"> wziął pod uwagę ten aspekt sprawy. W szczególności ustalono, że rzeczony artykuł był częścią szerszej kampanii prowadzonej przez gazetę przeciwko urzędnikom, którzy stali się prywatnymi oskarżycielami (patrz pkt 15)</w:t>
      </w:r>
      <w:r w:rsidRPr="007A5972">
        <w:rPr>
          <w:lang w:val="pl-PL"/>
        </w:rPr>
        <w:t>.</w:t>
      </w:r>
    </w:p>
    <w:p w:rsidR="00D31765" w:rsidRPr="007A5972" w:rsidRDefault="00D5465F" w:rsidP="008533F0">
      <w:pPr>
        <w:pStyle w:val="OpiPara"/>
        <w:rPr>
          <w:lang w:val="pl-PL"/>
        </w:rPr>
      </w:pPr>
      <w:r w:rsidRPr="007A5972">
        <w:rPr>
          <w:lang w:val="pl-PL"/>
        </w:rPr>
        <w:t>Czy większość zwraca uwagę na t</w:t>
      </w:r>
      <w:r w:rsidR="004441E8">
        <w:rPr>
          <w:lang w:val="pl-PL"/>
        </w:rPr>
        <w:t>ę</w:t>
      </w:r>
      <w:r w:rsidRPr="007A5972">
        <w:rPr>
          <w:lang w:val="pl-PL"/>
        </w:rPr>
        <w:t xml:space="preserve"> najważniejszą okoliczność faktyczną</w:t>
      </w:r>
      <w:r w:rsidR="00D31765" w:rsidRPr="007A5972">
        <w:rPr>
          <w:lang w:val="pl-PL"/>
        </w:rPr>
        <w:t xml:space="preserve">? </w:t>
      </w:r>
      <w:r w:rsidR="004441E8">
        <w:rPr>
          <w:lang w:val="pl-PL"/>
        </w:rPr>
        <w:t>Nie, w przeciwieństwie do</w:t>
      </w:r>
      <w:r w:rsidRPr="007A5972">
        <w:rPr>
          <w:lang w:val="pl-PL"/>
        </w:rPr>
        <w:t xml:space="preserve"> </w:t>
      </w:r>
      <w:r w:rsidR="004441E8">
        <w:rPr>
          <w:lang w:val="pl-PL"/>
        </w:rPr>
        <w:t>p</w:t>
      </w:r>
      <w:r w:rsidRPr="007A5972">
        <w:rPr>
          <w:lang w:val="pl-PL"/>
        </w:rPr>
        <w:t>olski</w:t>
      </w:r>
      <w:r w:rsidR="004441E8">
        <w:rPr>
          <w:lang w:val="pl-PL"/>
        </w:rPr>
        <w:t>ch sądów</w:t>
      </w:r>
      <w:r w:rsidR="00D31765" w:rsidRPr="007A5972">
        <w:rPr>
          <w:lang w:val="pl-PL"/>
        </w:rPr>
        <w:t>.</w:t>
      </w:r>
    </w:p>
    <w:p w:rsidR="00D31765" w:rsidRPr="007A5972" w:rsidRDefault="00D31765" w:rsidP="008533F0">
      <w:pPr>
        <w:pStyle w:val="OpiPara"/>
        <w:rPr>
          <w:lang w:val="pl-PL"/>
        </w:rPr>
      </w:pPr>
      <w:r w:rsidRPr="007A5972">
        <w:rPr>
          <w:lang w:val="pl-PL"/>
        </w:rPr>
        <w:lastRenderedPageBreak/>
        <w:t>24.</w:t>
      </w:r>
      <w:r w:rsidR="00B37974" w:rsidRPr="007A5972">
        <w:rPr>
          <w:lang w:val="pl-PL"/>
        </w:rPr>
        <w:t>  </w:t>
      </w:r>
      <w:r w:rsidR="00D5465F" w:rsidRPr="007A5972">
        <w:rPr>
          <w:lang w:val="pl-PL"/>
        </w:rPr>
        <w:t xml:space="preserve">Należy wymienić jeszcze jeden aspekt, który jest szczególnie istotny w niniejszej sprawie, ale również w innych podobnych sprawach (który skrótowo poruszono w § 14 powyżej). Jak słusznie utrzymuje większość (choć nie stwierdza bezpośrednio w wyroku), artykuł podejmował kwestie uzasadnionego interesu publicznego i stanowił wkład do debaty </w:t>
      </w:r>
      <w:r w:rsidR="00FC3099">
        <w:rPr>
          <w:lang w:val="pl-PL"/>
        </w:rPr>
        <w:t xml:space="preserve">publicznej </w:t>
      </w:r>
      <w:r w:rsidR="00D5465F" w:rsidRPr="007A5972">
        <w:rPr>
          <w:lang w:val="pl-PL"/>
        </w:rPr>
        <w:t xml:space="preserve"> (porównaj między innymi, pkt 40, 44 i 46). Jednocześnie, postawy, oświadczenia lub działania osób zaatakowanych przez autora artykułu również muszą być brane pod uwagę. Nic w aktach sprawy, nawet </w:t>
      </w:r>
      <w:r w:rsidR="00FC3099">
        <w:rPr>
          <w:lang w:val="pl-PL"/>
        </w:rPr>
        <w:t xml:space="preserve">w minimalnym stopniu </w:t>
      </w:r>
      <w:r w:rsidR="00D5465F" w:rsidRPr="007A5972">
        <w:rPr>
          <w:lang w:val="pl-PL"/>
        </w:rPr>
        <w:t xml:space="preserve">nie sugeruje, </w:t>
      </w:r>
      <w:r w:rsidR="00EB3567">
        <w:rPr>
          <w:lang w:val="pl-PL"/>
        </w:rPr>
        <w:t>iżby</w:t>
      </w:r>
      <w:r w:rsidR="00D5465F" w:rsidRPr="007A5972">
        <w:rPr>
          <w:lang w:val="pl-PL"/>
        </w:rPr>
        <w:t xml:space="preserve"> użycie w artykule nie </w:t>
      </w:r>
      <w:r w:rsidR="00FC3099">
        <w:rPr>
          <w:lang w:val="pl-PL"/>
        </w:rPr>
        <w:t>tyle</w:t>
      </w:r>
      <w:r w:rsidR="00D5465F" w:rsidRPr="007A5972">
        <w:rPr>
          <w:lang w:val="pl-PL"/>
        </w:rPr>
        <w:t xml:space="preserve"> krytycznych, surowych lub przesadzonych, </w:t>
      </w:r>
      <w:r w:rsidR="00FC3099">
        <w:rPr>
          <w:lang w:val="pl-PL"/>
        </w:rPr>
        <w:t>co</w:t>
      </w:r>
      <w:r w:rsidR="00D5465F" w:rsidRPr="007A5972">
        <w:rPr>
          <w:lang w:val="pl-PL"/>
        </w:rPr>
        <w:t xml:space="preserve"> obraźliwych i poniżających wyrażeń było reakcją na jakiekolwiek prowokacyjne postawy lub oświadczenia lub inne zachowania którejkolwiek z osób zainteresowanych</w:t>
      </w:r>
      <w:r w:rsidRPr="007A5972">
        <w:rPr>
          <w:lang w:val="pl-PL"/>
        </w:rPr>
        <w:t>.</w:t>
      </w:r>
    </w:p>
    <w:p w:rsidR="00D31765" w:rsidRPr="007A5972" w:rsidRDefault="00D5465F" w:rsidP="008533F0">
      <w:pPr>
        <w:pStyle w:val="OpiPara"/>
        <w:rPr>
          <w:lang w:val="pl-PL"/>
        </w:rPr>
      </w:pPr>
      <w:r w:rsidRPr="007A5972">
        <w:rPr>
          <w:lang w:val="pl-PL"/>
        </w:rPr>
        <w:t>Czy większość wzięła tę okoliczność pod uwagę? Znowu, nie - w przeciwieństwie do polskich sądów</w:t>
      </w:r>
      <w:r w:rsidR="00D31765" w:rsidRPr="007A5972">
        <w:rPr>
          <w:lang w:val="pl-PL"/>
        </w:rPr>
        <w:t>.</w:t>
      </w:r>
    </w:p>
    <w:p w:rsidR="00D31765" w:rsidRPr="007A5972" w:rsidRDefault="00D31765" w:rsidP="008533F0">
      <w:pPr>
        <w:pStyle w:val="OpiPara"/>
        <w:rPr>
          <w:lang w:val="pl-PL"/>
        </w:rPr>
      </w:pPr>
      <w:r w:rsidRPr="007A5972">
        <w:rPr>
          <w:lang w:val="pl-PL"/>
        </w:rPr>
        <w:t>25.</w:t>
      </w:r>
      <w:r w:rsidR="00B37974" w:rsidRPr="007A5972">
        <w:rPr>
          <w:lang w:val="pl-PL"/>
        </w:rPr>
        <w:t>  </w:t>
      </w:r>
      <w:r w:rsidR="00D5465F" w:rsidRPr="007A5972">
        <w:rPr>
          <w:lang w:val="pl-PL"/>
        </w:rPr>
        <w:t xml:space="preserve">Wreszcie, uzasadnienie wyroków krajowych pokazuje, że polskie sądy były świadome znaczenia wolności słowa i trudności w orzekaniu w sprawach dotyczących wolności słowa. Sąd rejonowy jednoznacznie podkreślił wrażliwość tych spraw. Odniósł się również do różnych dokumentów polskich i międzynarodowych, gdzie zostały określone standardy etyki dziennikarskiej, w tym Deklaracji meksykańskiej </w:t>
      </w:r>
      <w:r w:rsidR="006215F6">
        <w:rPr>
          <w:lang w:val="pl-PL"/>
        </w:rPr>
        <w:t xml:space="preserve">z </w:t>
      </w:r>
      <w:r w:rsidR="00D5465F" w:rsidRPr="007A5972">
        <w:rPr>
          <w:lang w:val="pl-PL"/>
        </w:rPr>
        <w:t>1980</w:t>
      </w:r>
      <w:r w:rsidR="006215F6">
        <w:rPr>
          <w:lang w:val="pl-PL"/>
        </w:rPr>
        <w:t xml:space="preserve"> roku</w:t>
      </w:r>
      <w:r w:rsidR="00D5465F" w:rsidRPr="007A5972">
        <w:rPr>
          <w:lang w:val="pl-PL"/>
        </w:rPr>
        <w:t>, Deklaracji paryskiej z 1983</w:t>
      </w:r>
      <w:r w:rsidR="006215F6">
        <w:rPr>
          <w:lang w:val="pl-PL"/>
        </w:rPr>
        <w:t xml:space="preserve"> roku</w:t>
      </w:r>
      <w:r w:rsidR="00D5465F" w:rsidRPr="007A5972">
        <w:rPr>
          <w:lang w:val="pl-PL"/>
        </w:rPr>
        <w:t xml:space="preserve"> i Uchwał</w:t>
      </w:r>
      <w:r w:rsidR="00EB3567">
        <w:rPr>
          <w:lang w:val="pl-PL"/>
        </w:rPr>
        <w:t>y</w:t>
      </w:r>
      <w:r w:rsidR="00D5465F" w:rsidRPr="007A5972">
        <w:rPr>
          <w:lang w:val="pl-PL"/>
        </w:rPr>
        <w:t xml:space="preserve"> nr 1003 z roku 1993 Zgromadzenia Parlamentarnego Rady Europy "Etyka dziennikarska". Na tym, między innymi, tle sąd rejonowy uznał, że skarżący </w:t>
      </w:r>
      <w:r w:rsidR="00D5465F" w:rsidRPr="007A5972">
        <w:rPr>
          <w:i/>
          <w:lang w:val="pl-PL"/>
        </w:rPr>
        <w:t>naruszył zasady etyki dziennikarskiej</w:t>
      </w:r>
      <w:r w:rsidRPr="007A5972">
        <w:rPr>
          <w:lang w:val="pl-PL"/>
        </w:rPr>
        <w:t>.</w:t>
      </w:r>
    </w:p>
    <w:p w:rsidR="00D31765" w:rsidRPr="007A5972" w:rsidRDefault="00D5465F" w:rsidP="008533F0">
      <w:pPr>
        <w:pStyle w:val="OpiPara"/>
        <w:rPr>
          <w:lang w:val="pl-PL"/>
        </w:rPr>
      </w:pPr>
      <w:r w:rsidRPr="007A5972">
        <w:rPr>
          <w:lang w:val="pl-PL"/>
        </w:rPr>
        <w:t>Czy większość zajęła jakiekolwiek stanowisko w tych kwestiach etyki dziennikarskiej? Żadnego</w:t>
      </w:r>
      <w:r w:rsidR="00D31765" w:rsidRPr="007A5972">
        <w:rPr>
          <w:lang w:val="pl-PL"/>
        </w:rPr>
        <w:t>.</w:t>
      </w:r>
    </w:p>
    <w:p w:rsidR="00D31765" w:rsidRPr="007A5972" w:rsidRDefault="00D31765" w:rsidP="008533F0">
      <w:pPr>
        <w:pStyle w:val="OpiPara"/>
        <w:rPr>
          <w:lang w:val="pl-PL"/>
        </w:rPr>
      </w:pPr>
      <w:r w:rsidRPr="007A5972">
        <w:rPr>
          <w:lang w:val="pl-PL"/>
        </w:rPr>
        <w:t>26.</w:t>
      </w:r>
      <w:r w:rsidR="00B37974" w:rsidRPr="007A5972">
        <w:rPr>
          <w:lang w:val="pl-PL"/>
        </w:rPr>
        <w:t>  </w:t>
      </w:r>
      <w:r w:rsidR="00D5465F" w:rsidRPr="007A5972">
        <w:rPr>
          <w:lang w:val="pl-PL"/>
        </w:rPr>
        <w:t>Podsumowując, widzimy, że polskie sądy uwzględniły</w:t>
      </w:r>
      <w:r w:rsidRPr="007A5972">
        <w:rPr>
          <w:lang w:val="pl-PL"/>
        </w:rPr>
        <w:t>:</w:t>
      </w:r>
    </w:p>
    <w:p w:rsidR="00D31765" w:rsidRPr="007A5972" w:rsidRDefault="008533F0" w:rsidP="008533F0">
      <w:pPr>
        <w:pStyle w:val="OpiPara"/>
        <w:rPr>
          <w:lang w:val="pl-PL"/>
        </w:rPr>
      </w:pPr>
      <w:r w:rsidRPr="007A5972">
        <w:rPr>
          <w:lang w:val="pl-PL"/>
        </w:rPr>
        <w:t>(i)  </w:t>
      </w:r>
      <w:r w:rsidR="00CC6646">
        <w:rPr>
          <w:lang w:val="pl-PL"/>
        </w:rPr>
        <w:t>treść</w:t>
      </w:r>
      <w:r w:rsidR="00D5465F" w:rsidRPr="007A5972">
        <w:rPr>
          <w:lang w:val="pl-PL"/>
        </w:rPr>
        <w:t xml:space="preserve"> i ciężar przedmiotowych wyrażeń</w:t>
      </w:r>
      <w:r w:rsidR="00D31765" w:rsidRPr="007A5972">
        <w:rPr>
          <w:lang w:val="pl-PL"/>
        </w:rPr>
        <w:t>;</w:t>
      </w:r>
    </w:p>
    <w:p w:rsidR="00D31765" w:rsidRPr="007A5972" w:rsidRDefault="008533F0" w:rsidP="008533F0">
      <w:pPr>
        <w:pStyle w:val="OpiPara"/>
        <w:rPr>
          <w:lang w:val="pl-PL"/>
        </w:rPr>
      </w:pPr>
      <w:r w:rsidRPr="007A5972">
        <w:rPr>
          <w:lang w:val="pl-PL"/>
        </w:rPr>
        <w:t>(ii)  </w:t>
      </w:r>
      <w:r w:rsidR="00D5465F" w:rsidRPr="007A5972">
        <w:rPr>
          <w:lang w:val="pl-PL"/>
        </w:rPr>
        <w:t>kontekst (w jego różnych przejawach), w którym użyto tych wyrażeń</w:t>
      </w:r>
      <w:r w:rsidR="00D31765" w:rsidRPr="007A5972">
        <w:rPr>
          <w:lang w:val="pl-PL"/>
        </w:rPr>
        <w:t>;</w:t>
      </w:r>
    </w:p>
    <w:p w:rsidR="00D31765" w:rsidRPr="007A5972" w:rsidRDefault="008533F0" w:rsidP="008533F0">
      <w:pPr>
        <w:pStyle w:val="OpiPara"/>
        <w:rPr>
          <w:lang w:val="pl-PL"/>
        </w:rPr>
      </w:pPr>
      <w:r w:rsidRPr="007A5972">
        <w:rPr>
          <w:lang w:val="pl-PL"/>
        </w:rPr>
        <w:t>(iii)  </w:t>
      </w:r>
      <w:r w:rsidR="00D5465F" w:rsidRPr="007A5972">
        <w:rPr>
          <w:lang w:val="pl-PL"/>
        </w:rPr>
        <w:t>międzynarodowe standardy etyki dziennikarskiej</w:t>
      </w:r>
      <w:r w:rsidR="00D31765" w:rsidRPr="007A5972">
        <w:rPr>
          <w:lang w:val="pl-PL"/>
        </w:rPr>
        <w:t>.</w:t>
      </w:r>
    </w:p>
    <w:p w:rsidR="00D31765" w:rsidRPr="007A5972" w:rsidRDefault="00D31765" w:rsidP="008533F0">
      <w:pPr>
        <w:pStyle w:val="OpiPara"/>
        <w:rPr>
          <w:lang w:val="pl-PL"/>
        </w:rPr>
      </w:pPr>
      <w:r w:rsidRPr="007A5972">
        <w:rPr>
          <w:lang w:val="pl-PL"/>
        </w:rPr>
        <w:t>27.</w:t>
      </w:r>
      <w:r w:rsidR="00283A70" w:rsidRPr="007A5972">
        <w:rPr>
          <w:lang w:val="pl-PL"/>
        </w:rPr>
        <w:t>  </w:t>
      </w:r>
      <w:r w:rsidR="00976BF7" w:rsidRPr="007A5972">
        <w:rPr>
          <w:lang w:val="pl-PL"/>
        </w:rPr>
        <w:t>Na wszystki</w:t>
      </w:r>
      <w:r w:rsidR="00CC6646">
        <w:rPr>
          <w:lang w:val="pl-PL"/>
        </w:rPr>
        <w:t>e</w:t>
      </w:r>
      <w:r w:rsidR="00976BF7" w:rsidRPr="007A5972">
        <w:rPr>
          <w:lang w:val="pl-PL"/>
        </w:rPr>
        <w:t xml:space="preserve"> te rozważania niniejszy Trybunał odpowiada</w:t>
      </w:r>
      <w:r w:rsidRPr="007A5972">
        <w:rPr>
          <w:lang w:val="pl-PL"/>
        </w:rPr>
        <w:t>:</w:t>
      </w:r>
    </w:p>
    <w:p w:rsidR="00D31765" w:rsidRPr="007A5972" w:rsidRDefault="008533F0" w:rsidP="008533F0">
      <w:pPr>
        <w:pStyle w:val="OpiPara"/>
        <w:rPr>
          <w:lang w:val="pl-PL"/>
        </w:rPr>
      </w:pPr>
      <w:r w:rsidRPr="007A5972">
        <w:rPr>
          <w:lang w:val="pl-PL"/>
        </w:rPr>
        <w:t>(i)  </w:t>
      </w:r>
      <w:r w:rsidR="00174323" w:rsidRPr="007A5972">
        <w:rPr>
          <w:lang w:val="pl-PL"/>
        </w:rPr>
        <w:t>mantrą, składającą się z trzech przykładów z jego orzecznictwa, oderwanych od okoliczności sprawy (porównaj pkt 9 powyżej); i</w:t>
      </w:r>
    </w:p>
    <w:p w:rsidR="00D31765" w:rsidRPr="007A5972" w:rsidRDefault="008533F0" w:rsidP="008533F0">
      <w:pPr>
        <w:pStyle w:val="OpiPara"/>
        <w:rPr>
          <w:bCs/>
          <w:lang w:val="pl-PL"/>
        </w:rPr>
      </w:pPr>
      <w:r w:rsidRPr="007A5972">
        <w:rPr>
          <w:lang w:val="pl-PL"/>
        </w:rPr>
        <w:t>(ii)  </w:t>
      </w:r>
      <w:r w:rsidR="00174323" w:rsidRPr="007A5972">
        <w:rPr>
          <w:lang w:val="pl-PL"/>
        </w:rPr>
        <w:t>"wnioskiem", że "nie ma wątpliwości, że uwagi te, stosowane w szczególnym kontekście artykułu, pozostają w granicach dopuszczalnej przesady" (porównaj pkt 9 i 10 powyżej)</w:t>
      </w:r>
      <w:r w:rsidR="00D31765" w:rsidRPr="007A5972">
        <w:rPr>
          <w:bCs/>
          <w:lang w:val="pl-PL"/>
        </w:rPr>
        <w:t>.</w:t>
      </w:r>
    </w:p>
    <w:p w:rsidR="00D31765" w:rsidRPr="007A5972" w:rsidRDefault="00174323" w:rsidP="008533F0">
      <w:pPr>
        <w:pStyle w:val="OpiPara"/>
        <w:rPr>
          <w:bCs/>
          <w:lang w:val="pl-PL"/>
        </w:rPr>
      </w:pPr>
      <w:r w:rsidRPr="007A5972">
        <w:rPr>
          <w:lang w:val="pl-PL"/>
        </w:rPr>
        <w:t>W istocie Trybunał nie odpowiada na meritum. Przykleja etykiety: "nie ma jasnego stanowiska", "nie uwzględnia w wystarczającym stopniu" nie podaje "istotnyc</w:t>
      </w:r>
      <w:r w:rsidR="006215F6">
        <w:rPr>
          <w:lang w:val="pl-PL"/>
        </w:rPr>
        <w:t>h i wystarczających" przyczyn ", co jest imitacją</w:t>
      </w:r>
      <w:r w:rsidRPr="007A5972">
        <w:rPr>
          <w:lang w:val="pl-PL"/>
        </w:rPr>
        <w:t xml:space="preserve"> analizy</w:t>
      </w:r>
      <w:r w:rsidR="00D31765" w:rsidRPr="007A5972">
        <w:rPr>
          <w:lang w:val="pl-PL"/>
        </w:rPr>
        <w:t>.</w:t>
      </w:r>
    </w:p>
    <w:p w:rsidR="00D31765" w:rsidRPr="007A5972" w:rsidRDefault="00D31765" w:rsidP="008533F0">
      <w:pPr>
        <w:pStyle w:val="OpiPara"/>
        <w:rPr>
          <w:lang w:val="pl-PL"/>
        </w:rPr>
      </w:pPr>
      <w:r w:rsidRPr="007A5972">
        <w:rPr>
          <w:bCs/>
          <w:lang w:val="pl-PL"/>
        </w:rPr>
        <w:t xml:space="preserve">28. </w:t>
      </w:r>
      <w:r w:rsidR="0096037B" w:rsidRPr="007A5972">
        <w:rPr>
          <w:lang w:val="pl-PL"/>
        </w:rPr>
        <w:t xml:space="preserve">Ponadto, cytaty z orzecznictwa Trybunału, którymi większość odpowiedziała na wszystkie </w:t>
      </w:r>
      <w:r w:rsidR="00DB0364">
        <w:rPr>
          <w:lang w:val="pl-PL"/>
        </w:rPr>
        <w:t>argumenty</w:t>
      </w:r>
      <w:r w:rsidR="0096037B" w:rsidRPr="007A5972">
        <w:rPr>
          <w:lang w:val="pl-PL"/>
        </w:rPr>
        <w:t xml:space="preserve"> podniesione przez sądy krajowe, są nie tylko oderwane od konkretnych</w:t>
      </w:r>
      <w:r w:rsidR="00DB0364">
        <w:rPr>
          <w:lang w:val="pl-PL"/>
        </w:rPr>
        <w:t xml:space="preserve"> okoliczności danego przypadku, ale [nadto]</w:t>
      </w:r>
      <w:r w:rsidR="0096037B" w:rsidRPr="007A5972">
        <w:rPr>
          <w:lang w:val="pl-PL"/>
        </w:rPr>
        <w:t xml:space="preserve"> są </w:t>
      </w:r>
      <w:r w:rsidR="0096037B" w:rsidRPr="007A5972">
        <w:rPr>
          <w:i/>
          <w:lang w:val="pl-PL"/>
        </w:rPr>
        <w:t>arbitralnie wybiórcze</w:t>
      </w:r>
      <w:r w:rsidR="0096037B" w:rsidRPr="007A5972">
        <w:rPr>
          <w:lang w:val="pl-PL"/>
        </w:rPr>
        <w:t xml:space="preserve">. Podana wykładnia doktryny Trybunału w </w:t>
      </w:r>
      <w:r w:rsidR="0096037B" w:rsidRPr="007A5972">
        <w:rPr>
          <w:lang w:val="pl-PL"/>
        </w:rPr>
        <w:lastRenderedPageBreak/>
        <w:t xml:space="preserve">tym wyroku jest </w:t>
      </w:r>
      <w:r w:rsidR="0096037B" w:rsidRPr="007A5972">
        <w:rPr>
          <w:i/>
          <w:lang w:val="pl-PL"/>
        </w:rPr>
        <w:t>kategorycznie i samowolnie jednostronna</w:t>
      </w:r>
      <w:r w:rsidR="0096037B" w:rsidRPr="007A5972">
        <w:rPr>
          <w:lang w:val="pl-PL"/>
        </w:rPr>
        <w:t xml:space="preserve">, podczas gdy doktryna ta jest o </w:t>
      </w:r>
      <w:r w:rsidR="0096037B" w:rsidRPr="007A5972">
        <w:rPr>
          <w:i/>
          <w:lang w:val="pl-PL"/>
        </w:rPr>
        <w:t>wiele bogatsza i bardziej wyważona i dopracowana</w:t>
      </w:r>
      <w:r w:rsidR="0096037B" w:rsidRPr="007A5972">
        <w:rPr>
          <w:lang w:val="pl-PL"/>
        </w:rPr>
        <w:t xml:space="preserve"> niż sugeruje wyodrębnianie i wyjątkowe podkreślanie klauzuli "ścisłej konstrukcji" (patrz pkt 14 powyżej)</w:t>
      </w:r>
      <w:r w:rsidRPr="007A5972">
        <w:rPr>
          <w:lang w:val="pl-PL"/>
        </w:rPr>
        <w:t>.</w:t>
      </w:r>
    </w:p>
    <w:p w:rsidR="00D31765" w:rsidRPr="007A5972" w:rsidRDefault="00F902D2" w:rsidP="008533F0">
      <w:pPr>
        <w:pStyle w:val="OpiPara"/>
        <w:rPr>
          <w:lang w:val="pl-PL"/>
        </w:rPr>
      </w:pPr>
      <w:r w:rsidRPr="007A5972">
        <w:rPr>
          <w:lang w:val="pl-PL"/>
        </w:rPr>
        <w:t xml:space="preserve">Na przykład, chociaż Artykuł 10 § 2 wyraźnie wymienia "obowiązki i odpowiedzialność" osób korzystających ze swobody wypowiedzi, większość (jak w sprawie </w:t>
      </w:r>
      <w:proofErr w:type="spellStart"/>
      <w:r w:rsidRPr="007A5972">
        <w:rPr>
          <w:i/>
          <w:lang w:val="pl-PL"/>
        </w:rPr>
        <w:t>Fürst-Pfeifer</w:t>
      </w:r>
      <w:proofErr w:type="spellEnd"/>
      <w:r w:rsidRPr="007A5972">
        <w:rPr>
          <w:i/>
          <w:lang w:val="pl-PL"/>
        </w:rPr>
        <w:t xml:space="preserve"> przeciwko Austrii</w:t>
      </w:r>
      <w:r w:rsidRPr="007A5972">
        <w:rPr>
          <w:lang w:val="pl-PL"/>
        </w:rPr>
        <w:t xml:space="preserve"> (cytowane powyżej)) nie stwierdziła potrzeby nawet wspomnienia o pojęciu odpowiedzialności dziennikarskiej, choć sprawa ta w istocie, </w:t>
      </w:r>
      <w:r w:rsidR="00F862C2">
        <w:rPr>
          <w:lang w:val="pl-PL"/>
        </w:rPr>
        <w:t>dotyczy odpowiedzialnego i nieodpowiedzialnego dziennikarstwa</w:t>
      </w:r>
      <w:r w:rsidRPr="007A5972">
        <w:rPr>
          <w:lang w:val="pl-PL"/>
        </w:rPr>
        <w:t>. Większość ograniczyła się</w:t>
      </w:r>
      <w:r w:rsidR="00CC6646">
        <w:rPr>
          <w:lang w:val="pl-PL"/>
        </w:rPr>
        <w:t>,</w:t>
      </w:r>
      <w:r w:rsidRPr="007A5972">
        <w:rPr>
          <w:lang w:val="pl-PL"/>
        </w:rPr>
        <w:t xml:space="preserve"> w pkt 38, </w:t>
      </w:r>
      <w:r w:rsidR="00CC6646">
        <w:rPr>
          <w:lang w:val="pl-PL"/>
        </w:rPr>
        <w:t>do</w:t>
      </w:r>
      <w:r w:rsidRPr="007A5972">
        <w:rPr>
          <w:lang w:val="pl-PL"/>
        </w:rPr>
        <w:t xml:space="preserve"> ogólnego odniesienia się do niektórych punktów w sprawie </w:t>
      </w:r>
      <w:proofErr w:type="spellStart"/>
      <w:r w:rsidRPr="007A5972">
        <w:rPr>
          <w:i/>
          <w:lang w:val="pl-PL"/>
        </w:rPr>
        <w:t>Pentikäinen</w:t>
      </w:r>
      <w:proofErr w:type="spellEnd"/>
      <w:r w:rsidRPr="007A5972">
        <w:rPr>
          <w:i/>
          <w:lang w:val="pl-PL"/>
        </w:rPr>
        <w:t xml:space="preserve"> przeciwko Finlandii</w:t>
      </w:r>
      <w:r w:rsidRPr="007A5972">
        <w:rPr>
          <w:lang w:val="pl-PL"/>
        </w:rPr>
        <w:t xml:space="preserve"> ([GC], nr 11882/10, ECHR-2015) oraz </w:t>
      </w:r>
      <w:proofErr w:type="spellStart"/>
      <w:r w:rsidRPr="007A5972">
        <w:rPr>
          <w:i/>
          <w:lang w:val="pl-PL"/>
        </w:rPr>
        <w:t>Bédat</w:t>
      </w:r>
      <w:proofErr w:type="spellEnd"/>
      <w:r w:rsidRPr="007A5972">
        <w:rPr>
          <w:i/>
          <w:lang w:val="pl-PL"/>
        </w:rPr>
        <w:t xml:space="preserve"> przeciwko Szwajcarii</w:t>
      </w:r>
      <w:r w:rsidRPr="007A5972">
        <w:rPr>
          <w:lang w:val="pl-PL"/>
        </w:rPr>
        <w:t xml:space="preserve"> ([GC], nr 56925/08 , 29 marzec 2016), wyroków, w których Trybunał orzeka </w:t>
      </w:r>
      <w:r w:rsidR="00F862C2">
        <w:rPr>
          <w:lang w:val="pl-PL"/>
        </w:rPr>
        <w:t>powołując się na tę  zasadę</w:t>
      </w:r>
      <w:r w:rsidRPr="007A5972">
        <w:rPr>
          <w:lang w:val="pl-PL"/>
        </w:rPr>
        <w:t xml:space="preserve">. Należy zauważyć, że punkty wskazane w odniesieniach </w:t>
      </w:r>
      <w:r w:rsidRPr="007A5972">
        <w:rPr>
          <w:i/>
          <w:lang w:val="pl-PL"/>
        </w:rPr>
        <w:t>nie</w:t>
      </w:r>
      <w:r w:rsidRPr="007A5972">
        <w:rPr>
          <w:lang w:val="pl-PL"/>
        </w:rPr>
        <w:t xml:space="preserve"> są punktami, w których rozpatrywana jest zasada odpowiedzialnego dziennikarstwa</w:t>
      </w:r>
      <w:r w:rsidR="00D31765" w:rsidRPr="007A5972">
        <w:rPr>
          <w:lang w:val="pl-PL"/>
        </w:rPr>
        <w:t>!</w:t>
      </w:r>
    </w:p>
    <w:p w:rsidR="00D31765" w:rsidRPr="007A5972" w:rsidRDefault="00F902D2" w:rsidP="008533F0">
      <w:pPr>
        <w:pStyle w:val="OpiPara"/>
        <w:rPr>
          <w:lang w:val="pl-PL"/>
        </w:rPr>
      </w:pPr>
      <w:r w:rsidRPr="007A5972">
        <w:rPr>
          <w:lang w:val="pl-PL"/>
        </w:rPr>
        <w:t xml:space="preserve">Ta zastępcza metodologia, zgodnie, z którą "zasady ogólne", które powinny być stosowane w tej sprawie, są tylko pośrednio podejmowane poprzez odwołanie się do orzecznictwa Trybunału, nie jest wadliwa sama w sobie. Ale, jeśli </w:t>
      </w:r>
      <w:r w:rsidRPr="007A5972">
        <w:rPr>
          <w:i/>
          <w:lang w:val="pl-PL"/>
        </w:rPr>
        <w:t>niektóre</w:t>
      </w:r>
      <w:r w:rsidRPr="007A5972">
        <w:rPr>
          <w:lang w:val="pl-PL"/>
        </w:rPr>
        <w:t xml:space="preserve"> z założeń, takich jak zasada odpowiedzialnego dziennikarstwa, są genialnie skurczone, podczas gdy inne, takie </w:t>
      </w:r>
      <w:r w:rsidR="00F41A8B">
        <w:rPr>
          <w:lang w:val="pl-PL"/>
        </w:rPr>
        <w:t xml:space="preserve">jak </w:t>
      </w:r>
      <w:r w:rsidRPr="007A5972">
        <w:rPr>
          <w:lang w:val="pl-PL"/>
        </w:rPr>
        <w:t>klauzula "ścisłej konstrukcji", są podkreślone (porównaj pkt 14 powyżej), to jest to nic innego niż pomysłowe zniekształcenie doktryny Trybunału. Podejrzewamy, że to zniekształcenie ma wiele do czynienia z groźnym przekonaniem, że wszystkie inne wartości muszą ustąpić swobodzie wypowiedzi, w szczególności wolności prasy (patrz pkt 14 powyżej</w:t>
      </w:r>
      <w:r w:rsidR="00D31765" w:rsidRPr="007A5972">
        <w:rPr>
          <w:lang w:val="pl-PL"/>
        </w:rPr>
        <w:t>).</w:t>
      </w:r>
    </w:p>
    <w:p w:rsidR="00D31765" w:rsidRPr="007A5972" w:rsidRDefault="00F902D2" w:rsidP="008533F0">
      <w:pPr>
        <w:pStyle w:val="OpiPara"/>
        <w:rPr>
          <w:lang w:val="pl-PL"/>
        </w:rPr>
      </w:pPr>
      <w:r w:rsidRPr="007A5972">
        <w:rPr>
          <w:lang w:val="pl-PL"/>
        </w:rPr>
        <w:t xml:space="preserve">Takie podejście, a ten wyrok w szczególności, </w:t>
      </w:r>
      <w:r w:rsidR="00CC6646">
        <w:rPr>
          <w:lang w:val="pl-PL"/>
        </w:rPr>
        <w:t>zmierza</w:t>
      </w:r>
      <w:r w:rsidRPr="007A5972">
        <w:rPr>
          <w:lang w:val="pl-PL"/>
        </w:rPr>
        <w:t xml:space="preserve"> do zubożenia doktryny Trybunału. Określa on</w:t>
      </w:r>
      <w:r w:rsidR="00CC6646">
        <w:rPr>
          <w:lang w:val="pl-PL"/>
        </w:rPr>
        <w:t>o</w:t>
      </w:r>
      <w:r w:rsidRPr="007A5972">
        <w:rPr>
          <w:lang w:val="pl-PL"/>
        </w:rPr>
        <w:t xml:space="preserve"> również wzorzec rozumowania, które</w:t>
      </w:r>
      <w:r w:rsidR="00CC6646">
        <w:rPr>
          <w:lang w:val="pl-PL"/>
        </w:rPr>
        <w:t>go</w:t>
      </w:r>
      <w:r w:rsidRPr="007A5972">
        <w:rPr>
          <w:lang w:val="pl-PL"/>
        </w:rPr>
        <w:t>, jak uważamy, Trybunał nigdy sam z siebie otwarcie nie zaleca sądom krajowym, a którego nie zaakceptowałby, gdyby sądy krajowe, których orzeczenia ten Trybunał musi badać, skorzystały z niego</w:t>
      </w:r>
      <w:r w:rsidR="00D31765" w:rsidRPr="007A5972">
        <w:rPr>
          <w:lang w:val="pl-PL"/>
        </w:rPr>
        <w:t>.</w:t>
      </w:r>
    </w:p>
    <w:p w:rsidR="00D31765" w:rsidRPr="007A5972" w:rsidRDefault="00D31765" w:rsidP="008533F0">
      <w:pPr>
        <w:pStyle w:val="OpiHA"/>
        <w:jc w:val="center"/>
        <w:rPr>
          <w:lang w:val="pl-PL"/>
        </w:rPr>
      </w:pPr>
      <w:r w:rsidRPr="007A5972">
        <w:rPr>
          <w:lang w:val="pl-PL"/>
        </w:rPr>
        <w:t>IV</w:t>
      </w:r>
    </w:p>
    <w:p w:rsidR="00D31765" w:rsidRPr="007A5972" w:rsidRDefault="00D31765" w:rsidP="008533F0">
      <w:pPr>
        <w:pStyle w:val="OpiPara"/>
        <w:rPr>
          <w:lang w:val="pl-PL"/>
        </w:rPr>
      </w:pPr>
      <w:r w:rsidRPr="007A5972">
        <w:rPr>
          <w:bCs/>
          <w:lang w:val="pl-PL"/>
        </w:rPr>
        <w:t>31.</w:t>
      </w:r>
      <w:r w:rsidR="00B37974" w:rsidRPr="007A5972">
        <w:rPr>
          <w:bCs/>
          <w:lang w:val="pl-PL"/>
        </w:rPr>
        <w:t>  </w:t>
      </w:r>
      <w:r w:rsidR="00F41A8B">
        <w:rPr>
          <w:lang w:val="pl-PL"/>
        </w:rPr>
        <w:t>Z uwagi na</w:t>
      </w:r>
      <w:r w:rsidR="00162AD3" w:rsidRPr="007A5972">
        <w:rPr>
          <w:lang w:val="pl-PL"/>
        </w:rPr>
        <w:t xml:space="preserve"> powod</w:t>
      </w:r>
      <w:r w:rsidR="00F41A8B">
        <w:rPr>
          <w:lang w:val="pl-PL"/>
        </w:rPr>
        <w:t>y</w:t>
      </w:r>
      <w:r w:rsidR="00162AD3" w:rsidRPr="007A5972">
        <w:rPr>
          <w:lang w:val="pl-PL"/>
        </w:rPr>
        <w:t xml:space="preserve"> wymienion</w:t>
      </w:r>
      <w:r w:rsidR="00F41A8B">
        <w:rPr>
          <w:lang w:val="pl-PL"/>
        </w:rPr>
        <w:t>e</w:t>
      </w:r>
      <w:r w:rsidR="00162AD3" w:rsidRPr="007A5972">
        <w:rPr>
          <w:lang w:val="pl-PL"/>
        </w:rPr>
        <w:t xml:space="preserve"> wyżej, możemy stwierdzić, że polskie sądy nie naruszyły praw skarżącego na podstawie artykułu 10, gdy </w:t>
      </w:r>
      <w:r w:rsidR="00CC6646">
        <w:rPr>
          <w:lang w:val="pl-PL"/>
        </w:rPr>
        <w:t>ustaliły</w:t>
      </w:r>
      <w:r w:rsidR="00162AD3" w:rsidRPr="007A5972">
        <w:rPr>
          <w:lang w:val="pl-PL"/>
        </w:rPr>
        <w:t xml:space="preserve">, że niektóre z </w:t>
      </w:r>
      <w:r w:rsidR="006E6855">
        <w:rPr>
          <w:lang w:val="pl-PL"/>
        </w:rPr>
        <w:t>wyrażeń</w:t>
      </w:r>
      <w:r w:rsidR="00162AD3" w:rsidRPr="007A5972">
        <w:rPr>
          <w:lang w:val="pl-PL"/>
        </w:rPr>
        <w:t>, o których mowa, a mianowicie "palant" i "</w:t>
      </w:r>
      <w:proofErr w:type="spellStart"/>
      <w:r w:rsidR="00162AD3" w:rsidRPr="007A5972">
        <w:rPr>
          <w:lang w:val="pl-PL"/>
        </w:rPr>
        <w:t>przygłupawy</w:t>
      </w:r>
      <w:proofErr w:type="spellEnd"/>
      <w:r w:rsidR="00162AD3" w:rsidRPr="007A5972">
        <w:rPr>
          <w:lang w:val="pl-PL"/>
        </w:rPr>
        <w:t xml:space="preserve"> urzędnik", stosowanych w szczególnym kontekście, naruszyły prawa osób trzecich, a tym samym przekroczyły granice swobody wypowiedzi. To naruszenie jest oczywiste. Skazanie karne skarżącego pozostaje w granicach swobodnego uznania państwa członkowskiego. Nawet, jeśli przestępstwo przypisane skarżącemu mogło zostać zakwalifikowane przez polskie sądy </w:t>
      </w:r>
      <w:r w:rsidR="006E6855">
        <w:rPr>
          <w:lang w:val="pl-PL"/>
        </w:rPr>
        <w:t>w sposób węższy</w:t>
      </w:r>
      <w:r w:rsidR="00162AD3" w:rsidRPr="007A5972">
        <w:rPr>
          <w:lang w:val="pl-PL"/>
        </w:rPr>
        <w:t xml:space="preserve">, bez odniesienia do </w:t>
      </w:r>
      <w:r w:rsidR="00162AD3" w:rsidRPr="007A5972">
        <w:rPr>
          <w:lang w:val="pl-PL"/>
        </w:rPr>
        <w:lastRenderedPageBreak/>
        <w:t xml:space="preserve">wyrażeń "pozer" i "nierozgarnięci szefowie", prawo krajowe dostarczyło wystarczającej podstawy do skazania skarżącego </w:t>
      </w:r>
      <w:r w:rsidR="006E6855">
        <w:rPr>
          <w:lang w:val="pl-PL"/>
        </w:rPr>
        <w:t>za przestępstwo znieważenia</w:t>
      </w:r>
      <w:r w:rsidRPr="007A5972">
        <w:rPr>
          <w:lang w:val="pl-PL"/>
        </w:rPr>
        <w:t xml:space="preserve">. </w:t>
      </w:r>
      <w:r w:rsidR="00020F9C" w:rsidRPr="007A5972">
        <w:rPr>
          <w:lang w:val="pl-PL"/>
        </w:rPr>
        <w:t xml:space="preserve">Nawet, jeśli najczęściej odpowiedzialność karna nie jest najbardziej pożądanym lub odpowiednim sposobem przeciwdziałania obraźliwej mowie i reagowania na nią, jej wywołanie w przypadkach notorycznego naruszania dóbr osobistych mieści się w marginesie uznania władz krajowych. W ten sposób </w:t>
      </w:r>
      <w:r w:rsidR="00CC6646">
        <w:rPr>
          <w:lang w:val="pl-PL"/>
        </w:rPr>
        <w:t xml:space="preserve">nie </w:t>
      </w:r>
      <w:r w:rsidR="00020F9C" w:rsidRPr="007A5972">
        <w:rPr>
          <w:lang w:val="pl-PL"/>
        </w:rPr>
        <w:t>jesteśmy w stanie zgodzić się z większością, która uznała, że ​​doszło do naruszenia artykułu 10</w:t>
      </w:r>
      <w:r w:rsidRPr="007A5972">
        <w:rPr>
          <w:lang w:val="pl-PL"/>
        </w:rPr>
        <w:t>.</w:t>
      </w:r>
    </w:p>
    <w:p w:rsidR="001A76E3" w:rsidRPr="007A5972" w:rsidRDefault="00D31765" w:rsidP="008533F0">
      <w:pPr>
        <w:pStyle w:val="OpiPara"/>
        <w:rPr>
          <w:lang w:val="pl-PL"/>
        </w:rPr>
      </w:pPr>
      <w:r w:rsidRPr="007A5972">
        <w:rPr>
          <w:lang w:val="pl-PL"/>
        </w:rPr>
        <w:t>32.</w:t>
      </w:r>
      <w:r w:rsidR="00B37974" w:rsidRPr="007A5972">
        <w:rPr>
          <w:lang w:val="pl-PL"/>
        </w:rPr>
        <w:t>  </w:t>
      </w:r>
      <w:r w:rsidR="00E868BA" w:rsidRPr="007A5972">
        <w:rPr>
          <w:lang w:val="pl-PL"/>
        </w:rPr>
        <w:t>Niniejsza sprawa rodzi prawdziwie ogólny niepokój. Obraźliwe wypowiedzi ranią, a mogą nawet zabić. Jest potrzeba znalezienia właściwej równowagi między wolnością słowa i innymi podstawowymi prawami i wart</w:t>
      </w:r>
      <w:r w:rsidR="00CC6646">
        <w:rPr>
          <w:lang w:val="pl-PL"/>
        </w:rPr>
        <w:t>ościami, które mogą kolidować z</w:t>
      </w:r>
      <w:r w:rsidR="00E868BA" w:rsidRPr="007A5972">
        <w:rPr>
          <w:lang w:val="pl-PL"/>
        </w:rPr>
        <w:t xml:space="preserve"> </w:t>
      </w:r>
      <w:r w:rsidR="00CC6646">
        <w:rPr>
          <w:lang w:val="pl-PL"/>
        </w:rPr>
        <w:t>nią</w:t>
      </w:r>
      <w:r w:rsidR="00E868BA" w:rsidRPr="007A5972">
        <w:rPr>
          <w:lang w:val="pl-PL"/>
        </w:rPr>
        <w:t xml:space="preserve">, w tym dobrami osobistymi. Wieloletnie orzecznictwo Trybunału przyjęło nawet bardzo ostre wypowiedzi w prasie, podkreślając wolność prasy w przypadku konfliktu z innymi podstawowymi prawami i wartościami, w tym prawem do godności ludzkiej. Niemniej jednak, </w:t>
      </w:r>
      <w:r w:rsidR="009E1373">
        <w:rPr>
          <w:lang w:val="pl-PL"/>
        </w:rPr>
        <w:t xml:space="preserve">nie </w:t>
      </w:r>
      <w:r w:rsidR="00E868BA" w:rsidRPr="007A5972">
        <w:rPr>
          <w:lang w:val="pl-PL"/>
        </w:rPr>
        <w:t>bylibyśmy w stanie t</w:t>
      </w:r>
      <w:r w:rsidR="009E1373">
        <w:rPr>
          <w:lang w:val="pl-PL"/>
        </w:rPr>
        <w:t>wierdzić</w:t>
      </w:r>
      <w:r w:rsidR="00E868BA" w:rsidRPr="007A5972">
        <w:rPr>
          <w:lang w:val="pl-PL"/>
        </w:rPr>
        <w:t xml:space="preserve"> w wielu z tych przypadków, że takie przyjęcie było bezpodstawne, lub co najmniej, że nie było uzasadnione</w:t>
      </w:r>
      <w:r w:rsidRPr="007A5972">
        <w:rPr>
          <w:lang w:val="pl-PL"/>
        </w:rPr>
        <w:t>.</w:t>
      </w:r>
    </w:p>
    <w:p w:rsidR="00D31765" w:rsidRPr="007A5972" w:rsidRDefault="009E1373" w:rsidP="008533F0">
      <w:pPr>
        <w:pStyle w:val="OpiPara"/>
        <w:rPr>
          <w:lang w:val="pl-PL"/>
        </w:rPr>
      </w:pPr>
      <w:r>
        <w:rPr>
          <w:i/>
          <w:lang w:val="pl-PL"/>
        </w:rPr>
        <w:t>Tym niemniej, p</w:t>
      </w:r>
      <w:r w:rsidR="00EF20E5" w:rsidRPr="007A5972">
        <w:rPr>
          <w:i/>
          <w:lang w:val="pl-PL"/>
        </w:rPr>
        <w:t>rzedmiotowy wyrok</w:t>
      </w:r>
      <w:r w:rsidR="00EF20E5" w:rsidRPr="007A5972">
        <w:rPr>
          <w:lang w:val="pl-PL"/>
        </w:rPr>
        <w:t xml:space="preserve"> jest jednak </w:t>
      </w:r>
      <w:r w:rsidR="00EF20E5" w:rsidRPr="007A5972">
        <w:rPr>
          <w:i/>
          <w:lang w:val="pl-PL"/>
        </w:rPr>
        <w:t>nieuzasadniony</w:t>
      </w:r>
      <w:r w:rsidR="00EF20E5" w:rsidRPr="007A5972">
        <w:rPr>
          <w:lang w:val="pl-PL"/>
        </w:rPr>
        <w:t xml:space="preserve">. Nie może on uderzać </w:t>
      </w:r>
      <w:r>
        <w:rPr>
          <w:lang w:val="pl-PL"/>
        </w:rPr>
        <w:t xml:space="preserve">w </w:t>
      </w:r>
      <w:r w:rsidR="00EF20E5" w:rsidRPr="007A5972">
        <w:rPr>
          <w:lang w:val="pl-PL"/>
        </w:rPr>
        <w:t xml:space="preserve">wyżej wymienioną równowagę, ponieważ </w:t>
      </w:r>
      <w:r w:rsidR="00E954DD">
        <w:rPr>
          <w:lang w:val="pl-PL"/>
        </w:rPr>
        <w:t xml:space="preserve">nie podjęto starania znalezienia [tej] </w:t>
      </w:r>
      <w:r w:rsidR="00EF20E5" w:rsidRPr="00E954DD">
        <w:rPr>
          <w:lang w:val="pl-PL"/>
        </w:rPr>
        <w:t>równowagi</w:t>
      </w:r>
      <w:r w:rsidR="00EF20E5" w:rsidRPr="007A5972">
        <w:rPr>
          <w:lang w:val="pl-PL"/>
        </w:rPr>
        <w:t>. W tym</w:t>
      </w:r>
      <w:r>
        <w:rPr>
          <w:lang w:val="pl-PL"/>
        </w:rPr>
        <w:t xml:space="preserve"> względzie</w:t>
      </w:r>
      <w:r w:rsidR="00EF20E5" w:rsidRPr="007A5972">
        <w:rPr>
          <w:lang w:val="pl-PL"/>
        </w:rPr>
        <w:t xml:space="preserve">, jest </w:t>
      </w:r>
      <w:r>
        <w:rPr>
          <w:lang w:val="pl-PL"/>
        </w:rPr>
        <w:t xml:space="preserve">on </w:t>
      </w:r>
      <w:r w:rsidR="00EF20E5" w:rsidRPr="007A5972">
        <w:rPr>
          <w:lang w:val="pl-PL"/>
        </w:rPr>
        <w:t>w wyraźnej opozycji, nawet z tą najdalej idącą tolerancją Trybunału dla ostrego języka. Zapewnia on dziennikarzom, że mimo użycia obraźliwych, godzących</w:t>
      </w:r>
      <w:r w:rsidR="004E2CF6">
        <w:rPr>
          <w:lang w:val="pl-PL"/>
        </w:rPr>
        <w:t xml:space="preserve"> w dobra osobiste wyrażeń, żadne</w:t>
      </w:r>
      <w:r w:rsidR="00EF20E5" w:rsidRPr="007A5972">
        <w:rPr>
          <w:lang w:val="pl-PL"/>
        </w:rPr>
        <w:t xml:space="preserve"> sankcj</w:t>
      </w:r>
      <w:r w:rsidR="004E2CF6">
        <w:rPr>
          <w:lang w:val="pl-PL"/>
        </w:rPr>
        <w:t>e</w:t>
      </w:r>
      <w:r w:rsidR="00EF20E5" w:rsidRPr="007A5972">
        <w:rPr>
          <w:lang w:val="pl-PL"/>
        </w:rPr>
        <w:t>, nawet t</w:t>
      </w:r>
      <w:r w:rsidR="004E2CF6">
        <w:rPr>
          <w:lang w:val="pl-PL"/>
        </w:rPr>
        <w:t>e</w:t>
      </w:r>
      <w:r w:rsidR="00EF20E5" w:rsidRPr="007A5972">
        <w:rPr>
          <w:lang w:val="pl-PL"/>
        </w:rPr>
        <w:t xml:space="preserve"> przewidzian</w:t>
      </w:r>
      <w:r w:rsidR="004E2CF6">
        <w:rPr>
          <w:lang w:val="pl-PL"/>
        </w:rPr>
        <w:t>e</w:t>
      </w:r>
      <w:r w:rsidR="00EF20E5" w:rsidRPr="007A5972">
        <w:rPr>
          <w:lang w:val="pl-PL"/>
        </w:rPr>
        <w:t xml:space="preserve"> w </w:t>
      </w:r>
      <w:r w:rsidR="00564D5C">
        <w:rPr>
          <w:lang w:val="pl-PL"/>
        </w:rPr>
        <w:t xml:space="preserve">przejrzysty sposób w </w:t>
      </w:r>
      <w:r w:rsidR="00EF20E5" w:rsidRPr="007A5972">
        <w:rPr>
          <w:lang w:val="pl-PL"/>
        </w:rPr>
        <w:t>prawie krajowym, nie mogą zostać na nich nałożone. Dzięki swobodnej de</w:t>
      </w:r>
      <w:r>
        <w:rPr>
          <w:lang w:val="pl-PL"/>
        </w:rPr>
        <w:t>cyzji Trybunału, wulgarni grubi</w:t>
      </w:r>
      <w:r w:rsidR="00EF20E5" w:rsidRPr="007A5972">
        <w:rPr>
          <w:lang w:val="pl-PL"/>
        </w:rPr>
        <w:t>anie są zachęcani do korzystania z wolności wypowiedzi w taki sposób, że wolność nie zna praktycznie żadnych ograniczeń</w:t>
      </w:r>
      <w:r w:rsidR="00D31765" w:rsidRPr="007A5972">
        <w:rPr>
          <w:lang w:val="pl-PL"/>
        </w:rPr>
        <w:t>.</w:t>
      </w:r>
    </w:p>
    <w:p w:rsidR="00D31765" w:rsidRPr="007A5972" w:rsidRDefault="00D31765" w:rsidP="008533F0">
      <w:pPr>
        <w:pStyle w:val="OpiPara"/>
        <w:rPr>
          <w:lang w:val="pl-PL"/>
        </w:rPr>
      </w:pPr>
      <w:r w:rsidRPr="007A5972">
        <w:rPr>
          <w:lang w:val="pl-PL"/>
        </w:rPr>
        <w:t>33.</w:t>
      </w:r>
      <w:r w:rsidR="00B37974" w:rsidRPr="007A5972">
        <w:rPr>
          <w:lang w:val="pl-PL"/>
        </w:rPr>
        <w:t>  </w:t>
      </w:r>
      <w:r w:rsidR="00EF20E5" w:rsidRPr="007A5972">
        <w:rPr>
          <w:lang w:val="pl-PL"/>
        </w:rPr>
        <w:t>Co więcej, w polskim kontekście, wyrok ten jest niestety jeszcze bardziej ironiczny i złowieszczy. To wysyła jasny sygnał do społeczeństwa polskiego, że zniewagi takie jak "</w:t>
      </w:r>
      <w:r w:rsidR="00EF20E5" w:rsidRPr="007A5972">
        <w:rPr>
          <w:i/>
          <w:lang w:val="pl-PL"/>
        </w:rPr>
        <w:t>palant</w:t>
      </w:r>
      <w:r w:rsidR="00EF20E5" w:rsidRPr="007A5972">
        <w:rPr>
          <w:lang w:val="pl-PL"/>
        </w:rPr>
        <w:t>" i "</w:t>
      </w:r>
      <w:proofErr w:type="spellStart"/>
      <w:r w:rsidR="00EF20E5" w:rsidRPr="007A5972">
        <w:rPr>
          <w:i/>
          <w:lang w:val="pl-PL"/>
        </w:rPr>
        <w:t>przygłupawy</w:t>
      </w:r>
      <w:proofErr w:type="spellEnd"/>
      <w:r w:rsidR="00EF20E5" w:rsidRPr="007A5972">
        <w:rPr>
          <w:i/>
          <w:lang w:val="pl-PL"/>
        </w:rPr>
        <w:t xml:space="preserve"> urzędnik</w:t>
      </w:r>
      <w:r w:rsidR="00EF20E5" w:rsidRPr="007A5972">
        <w:rPr>
          <w:lang w:val="pl-PL"/>
        </w:rPr>
        <w:t>" będą rozpatrywane przez ten Trybunał, jako dopuszczalne w de</w:t>
      </w:r>
      <w:r w:rsidR="00564D5C">
        <w:rPr>
          <w:lang w:val="pl-PL"/>
        </w:rPr>
        <w:t>bacie publicznej w przyszłości - w</w:t>
      </w:r>
      <w:r w:rsidR="00EF20E5" w:rsidRPr="007A5972">
        <w:rPr>
          <w:lang w:val="pl-PL"/>
        </w:rPr>
        <w:t>ielkie osiągnięcie</w:t>
      </w:r>
      <w:r w:rsidRPr="007A5972">
        <w:rPr>
          <w:lang w:val="pl-PL"/>
        </w:rPr>
        <w:t>.</w:t>
      </w:r>
    </w:p>
    <w:p w:rsidR="001A28DE" w:rsidRDefault="00D31765" w:rsidP="008533F0">
      <w:pPr>
        <w:pStyle w:val="OpiPara"/>
        <w:rPr>
          <w:lang w:val="pl-PL"/>
        </w:rPr>
      </w:pPr>
      <w:r w:rsidRPr="007A5972">
        <w:rPr>
          <w:lang w:val="pl-PL"/>
        </w:rPr>
        <w:t>34.</w:t>
      </w:r>
      <w:r w:rsidR="00B37974" w:rsidRPr="007A5972">
        <w:rPr>
          <w:lang w:val="pl-PL"/>
        </w:rPr>
        <w:t>  </w:t>
      </w:r>
      <w:r w:rsidR="0032324D" w:rsidRPr="007A5972">
        <w:rPr>
          <w:lang w:val="pl-PL"/>
        </w:rPr>
        <w:t xml:space="preserve">To jest równia pochyła. </w:t>
      </w:r>
      <w:r w:rsidR="00B6649A">
        <w:rPr>
          <w:lang w:val="pl-PL"/>
        </w:rPr>
        <w:t xml:space="preserve">To grozi wywołaniem </w:t>
      </w:r>
      <w:r w:rsidR="0032324D" w:rsidRPr="007A5972">
        <w:rPr>
          <w:lang w:val="pl-PL"/>
        </w:rPr>
        <w:t>efekt</w:t>
      </w:r>
      <w:r w:rsidR="00B6649A">
        <w:rPr>
          <w:lang w:val="pl-PL"/>
        </w:rPr>
        <w:t>u</w:t>
      </w:r>
      <w:r w:rsidR="0032324D" w:rsidRPr="007A5972">
        <w:rPr>
          <w:lang w:val="pl-PL"/>
        </w:rPr>
        <w:t xml:space="preserve"> kuli śnie</w:t>
      </w:r>
      <w:r w:rsidR="00B6649A">
        <w:rPr>
          <w:lang w:val="pl-PL"/>
        </w:rPr>
        <w:t>żnej, a pierwsza</w:t>
      </w:r>
      <w:r w:rsidR="009E1373">
        <w:rPr>
          <w:lang w:val="pl-PL"/>
        </w:rPr>
        <w:t xml:space="preserve"> kula śnieg</w:t>
      </w:r>
      <w:r w:rsidR="00B6649A">
        <w:rPr>
          <w:lang w:val="pl-PL"/>
        </w:rPr>
        <w:t>u</w:t>
      </w:r>
      <w:r w:rsidR="0032324D" w:rsidRPr="007A5972">
        <w:rPr>
          <w:lang w:val="pl-PL"/>
        </w:rPr>
        <w:t xml:space="preserve"> jest </w:t>
      </w:r>
      <w:r w:rsidR="009E1373">
        <w:rPr>
          <w:lang w:val="pl-PL"/>
        </w:rPr>
        <w:t>przygotowywana</w:t>
      </w:r>
      <w:r w:rsidR="0032324D" w:rsidRPr="007A5972">
        <w:rPr>
          <w:lang w:val="pl-PL"/>
        </w:rPr>
        <w:t xml:space="preserve"> przez ten Trybunał. Ta kula śnieżna jest skazana na wzrost masy i pędu, ponieważ stacza się, aby zniszczyć to, co zostało zbudowane przez </w:t>
      </w:r>
      <w:r w:rsidR="004151FA">
        <w:rPr>
          <w:lang w:val="pl-PL"/>
        </w:rPr>
        <w:t>naszą cywilizację</w:t>
      </w:r>
      <w:r w:rsidR="0032324D" w:rsidRPr="007A5972">
        <w:rPr>
          <w:lang w:val="pl-PL"/>
        </w:rPr>
        <w:t xml:space="preserve">. Większość broni kwestionowanego artykułu jako "satyry, [która] ma na celu sprowokować i wzburzyć" (patrz pkt 45). </w:t>
      </w:r>
      <w:r w:rsidR="006411E1">
        <w:rPr>
          <w:lang w:val="pl-PL"/>
        </w:rPr>
        <w:t>W rzeczywistości to opinia większości może prowokować i wzburzać w niemniejszym</w:t>
      </w:r>
      <w:r w:rsidR="001A28DE">
        <w:rPr>
          <w:lang w:val="pl-PL"/>
        </w:rPr>
        <w:t xml:space="preserve"> stopniu niż jakakolwiek satyra (tak ta dobra, jak i zła, ta w lepszym, jak i w gorszym guście) mogłaby to uczynić.</w:t>
      </w:r>
    </w:p>
    <w:p w:rsidR="00D31765" w:rsidRPr="007A5972" w:rsidRDefault="001A28DE" w:rsidP="008533F0">
      <w:pPr>
        <w:pStyle w:val="OpiPara"/>
        <w:rPr>
          <w:lang w:val="pl-PL"/>
        </w:rPr>
      </w:pPr>
      <w:r w:rsidRPr="007A5972">
        <w:rPr>
          <w:lang w:val="pl-PL"/>
        </w:rPr>
        <w:t xml:space="preserve"> </w:t>
      </w:r>
      <w:r w:rsidR="0032324D" w:rsidRPr="007A5972">
        <w:rPr>
          <w:lang w:val="pl-PL"/>
        </w:rPr>
        <w:t xml:space="preserve">Wyrok ten </w:t>
      </w:r>
      <w:r w:rsidR="0032324D" w:rsidRPr="007A5972">
        <w:rPr>
          <w:i/>
          <w:lang w:val="pl-PL"/>
        </w:rPr>
        <w:t>przyczynia się do brutalizacji wypowiedzi politycznych w Europie i spadku poziomu debaty publicznej</w:t>
      </w:r>
      <w:r w:rsidR="00D31765" w:rsidRPr="007A5972">
        <w:rPr>
          <w:lang w:val="pl-PL"/>
        </w:rPr>
        <w:t>.</w:t>
      </w:r>
    </w:p>
    <w:p w:rsidR="00D31765" w:rsidRPr="007A5972" w:rsidRDefault="0032324D" w:rsidP="008533F0">
      <w:pPr>
        <w:pStyle w:val="OpiPara"/>
        <w:rPr>
          <w:lang w:val="pl-PL"/>
        </w:rPr>
      </w:pPr>
      <w:r w:rsidRPr="007A5972">
        <w:rPr>
          <w:lang w:val="pl-PL"/>
        </w:rPr>
        <w:lastRenderedPageBreak/>
        <w:t>Jest absolutnie konieczne, aby Trybunał ponownie zrewidował swoje podejście do sytuacji takiej jak ta oceniana wyżej - ale nie odpowiednio zbadanej w osądzie</w:t>
      </w:r>
      <w:r w:rsidR="00D31765" w:rsidRPr="007A5972">
        <w:rPr>
          <w:lang w:val="pl-PL"/>
        </w:rPr>
        <w:t>.</w:t>
      </w:r>
    </w:p>
    <w:p w:rsidR="00D31765" w:rsidRPr="007A5972" w:rsidRDefault="00D31765" w:rsidP="008533F0">
      <w:pPr>
        <w:pStyle w:val="OpiPara"/>
        <w:rPr>
          <w:lang w:val="pl-PL"/>
        </w:rPr>
      </w:pPr>
      <w:r w:rsidRPr="007A5972">
        <w:rPr>
          <w:lang w:val="pl-PL"/>
        </w:rPr>
        <w:t>35.</w:t>
      </w:r>
      <w:r w:rsidR="00B37974" w:rsidRPr="007A5972">
        <w:rPr>
          <w:lang w:val="pl-PL"/>
        </w:rPr>
        <w:t>  </w:t>
      </w:r>
      <w:r w:rsidR="0043413F" w:rsidRPr="007A5972">
        <w:rPr>
          <w:lang w:val="pl-PL"/>
        </w:rPr>
        <w:t>W tym kontekście, przypomnijmy sobie, że własny standard Trybunału w sprawach z Artykułu 10 jest taki, że "jeż</w:t>
      </w:r>
      <w:r w:rsidR="00C62465">
        <w:rPr>
          <w:lang w:val="pl-PL"/>
        </w:rPr>
        <w:t>eli wyważenie pomiędzy prawami (określonymi w</w:t>
      </w:r>
      <w:r w:rsidR="0043413F" w:rsidRPr="007A5972">
        <w:rPr>
          <w:lang w:val="pl-PL"/>
        </w:rPr>
        <w:t xml:space="preserve"> artyku</w:t>
      </w:r>
      <w:r w:rsidR="00C62465">
        <w:rPr>
          <w:lang w:val="pl-PL"/>
        </w:rPr>
        <w:t>le 10 i artykule</w:t>
      </w:r>
      <w:r w:rsidR="0043413F" w:rsidRPr="007A5972">
        <w:rPr>
          <w:lang w:val="pl-PL"/>
        </w:rPr>
        <w:t xml:space="preserve"> 8</w:t>
      </w:r>
      <w:r w:rsidR="00C62465">
        <w:rPr>
          <w:lang w:val="pl-PL"/>
        </w:rPr>
        <w:t>)</w:t>
      </w:r>
      <w:r w:rsidR="0043413F" w:rsidRPr="007A5972">
        <w:rPr>
          <w:lang w:val="pl-PL"/>
        </w:rPr>
        <w:t xml:space="preserve"> zostało podjęte przez władze krajowe w zgodności z kryteriami określonymi w orzecznictwie Trybunału, Trybunał wymaga ważnych powodów, aby zastąpić swoim poglądem ten uzyskany przez sądy krajowe "(patrz, między innymi, </w:t>
      </w:r>
      <w:r w:rsidR="0043413F" w:rsidRPr="007A5972">
        <w:rPr>
          <w:i/>
          <w:lang w:val="pl-PL"/>
        </w:rPr>
        <w:t>Axel Springer AG przeciwko Niemcom</w:t>
      </w:r>
      <w:r w:rsidR="0043413F" w:rsidRPr="007A5972">
        <w:rPr>
          <w:lang w:val="pl-PL"/>
        </w:rPr>
        <w:t xml:space="preserve"> [GC], nr 39954 / 08, § 88, 7 lutego 2012, oraz orzecznictwo tam cytowane).  Ta zasada została powtórzona, mniej lub bardziej dosłownie w wielu przypadkach, ostatnio w sprawie </w:t>
      </w:r>
      <w:proofErr w:type="spellStart"/>
      <w:r w:rsidR="0043413F" w:rsidRPr="007A5972">
        <w:rPr>
          <w:i/>
          <w:lang w:val="pl-PL"/>
        </w:rPr>
        <w:t>Bédat</w:t>
      </w:r>
      <w:proofErr w:type="spellEnd"/>
      <w:r w:rsidR="0043413F" w:rsidRPr="007A5972">
        <w:rPr>
          <w:i/>
          <w:lang w:val="pl-PL"/>
        </w:rPr>
        <w:t xml:space="preserve"> przeciwko Szwajcarii</w:t>
      </w:r>
      <w:r w:rsidR="008F3919">
        <w:rPr>
          <w:lang w:val="pl-PL"/>
        </w:rPr>
        <w:t xml:space="preserve"> [GC] (</w:t>
      </w:r>
      <w:bookmarkStart w:id="3" w:name="_GoBack"/>
      <w:bookmarkEnd w:id="3"/>
      <w:r w:rsidR="0043413F" w:rsidRPr="007A5972">
        <w:rPr>
          <w:lang w:val="pl-PL"/>
        </w:rPr>
        <w:t>Nr 56925/08, § 54, 29 marca 2016 roku; patrz także orzecznictwo tam cytowane</w:t>
      </w:r>
      <w:r w:rsidRPr="007A5972">
        <w:rPr>
          <w:lang w:val="pl-PL"/>
        </w:rPr>
        <w:t>).</w:t>
      </w:r>
    </w:p>
    <w:p w:rsidR="00D31765" w:rsidRPr="007A5972" w:rsidRDefault="0043413F" w:rsidP="008533F0">
      <w:pPr>
        <w:pStyle w:val="OpiPara"/>
        <w:rPr>
          <w:lang w:val="pl-PL"/>
        </w:rPr>
      </w:pPr>
      <w:r w:rsidRPr="007A5972">
        <w:rPr>
          <w:lang w:val="pl-PL"/>
        </w:rPr>
        <w:t xml:space="preserve">Gdzie są te "ważne powody" w tym wyroku? Nie ma </w:t>
      </w:r>
      <w:r w:rsidRPr="007A5972">
        <w:rPr>
          <w:i/>
          <w:lang w:val="pl-PL"/>
        </w:rPr>
        <w:t>żadnych</w:t>
      </w:r>
      <w:r w:rsidRPr="007A5972">
        <w:rPr>
          <w:lang w:val="pl-PL"/>
        </w:rPr>
        <w:t xml:space="preserve">. I nie ma </w:t>
      </w:r>
      <w:r w:rsidR="00E12752" w:rsidRPr="007A5972">
        <w:rPr>
          <w:lang w:val="pl-PL"/>
        </w:rPr>
        <w:t xml:space="preserve">nawet śladu </w:t>
      </w:r>
      <w:r w:rsidRPr="007A5972">
        <w:rPr>
          <w:lang w:val="pl-PL"/>
        </w:rPr>
        <w:t>wyważeni</w:t>
      </w:r>
      <w:r w:rsidR="001F359B">
        <w:rPr>
          <w:lang w:val="pl-PL"/>
        </w:rPr>
        <w:t>a</w:t>
      </w:r>
      <w:r w:rsidRPr="007A5972">
        <w:rPr>
          <w:lang w:val="pl-PL"/>
        </w:rPr>
        <w:t xml:space="preserve"> praw. Tylko </w:t>
      </w:r>
      <w:r w:rsidRPr="007A5972">
        <w:rPr>
          <w:i/>
          <w:lang w:val="pl-PL"/>
        </w:rPr>
        <w:t>fiat</w:t>
      </w:r>
      <w:r w:rsidRPr="007A5972">
        <w:rPr>
          <w:lang w:val="pl-PL"/>
        </w:rPr>
        <w:t xml:space="preserve">, zakorzenione w przekonaniu </w:t>
      </w:r>
      <w:r w:rsidRPr="007A5972">
        <w:rPr>
          <w:i/>
          <w:lang w:val="pl-PL"/>
        </w:rPr>
        <w:t>a priori</w:t>
      </w:r>
      <w:r w:rsidRPr="007A5972">
        <w:rPr>
          <w:lang w:val="pl-PL"/>
        </w:rPr>
        <w:t xml:space="preserve"> o wyjątkowości praw chronionych na mocy artykułu 10 </w:t>
      </w:r>
      <w:r w:rsidR="00E12752" w:rsidRPr="00E12752">
        <w:rPr>
          <w:lang w:val="pl-PL"/>
        </w:rPr>
        <w:t>w stosunku do</w:t>
      </w:r>
      <w:r w:rsidRPr="007A5972">
        <w:rPr>
          <w:lang w:val="pl-PL"/>
        </w:rPr>
        <w:t xml:space="preserve"> dóbr osobistych i wszelkich innych wartości chronionych przez Konwencję</w:t>
      </w:r>
      <w:r w:rsidR="00D31765" w:rsidRPr="007A5972">
        <w:rPr>
          <w:lang w:val="pl-PL"/>
        </w:rPr>
        <w:t>.</w:t>
      </w:r>
    </w:p>
    <w:p w:rsidR="00D31765" w:rsidRPr="007A5972" w:rsidRDefault="00D31765" w:rsidP="008533F0">
      <w:pPr>
        <w:pStyle w:val="OpiPara"/>
        <w:rPr>
          <w:lang w:val="pl-PL"/>
        </w:rPr>
      </w:pPr>
      <w:r w:rsidRPr="007A5972">
        <w:rPr>
          <w:lang w:val="pl-PL"/>
        </w:rPr>
        <w:t>36.</w:t>
      </w:r>
      <w:r w:rsidR="00B37974" w:rsidRPr="007A5972">
        <w:rPr>
          <w:lang w:val="pl-PL"/>
        </w:rPr>
        <w:t>  </w:t>
      </w:r>
      <w:r w:rsidR="0043413F" w:rsidRPr="007A5972">
        <w:rPr>
          <w:lang w:val="pl-PL"/>
        </w:rPr>
        <w:t xml:space="preserve">Reasumując, ten wyrok jest doskonałym przykładem tego, w jaki sposób Trybunał lekceważy </w:t>
      </w:r>
      <w:r w:rsidR="0043413F" w:rsidRPr="007A5972">
        <w:rPr>
          <w:i/>
          <w:lang w:val="pl-PL"/>
        </w:rPr>
        <w:t>swoje własne standardy</w:t>
      </w:r>
      <w:r w:rsidRPr="007A5972">
        <w:rPr>
          <w:lang w:val="pl-PL"/>
        </w:rPr>
        <w:t>.</w:t>
      </w:r>
    </w:p>
    <w:sectPr w:rsidR="00D31765" w:rsidRPr="007A5972" w:rsidSect="00717D4B">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571" w:rsidRDefault="00C21571" w:rsidP="00014566">
      <w:r>
        <w:separator/>
      </w:r>
    </w:p>
  </w:endnote>
  <w:endnote w:type="continuationSeparator" w:id="0">
    <w:p w:rsidR="00C21571" w:rsidRDefault="00C21571"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150BFA" w:rsidRDefault="002D1062" w:rsidP="00923E05">
    <w:pPr>
      <w:jc w:val="center"/>
    </w:pPr>
    <w:r>
      <w:rPr>
        <w:noProof/>
        <w:lang w:val="pl-PL" w:eastAsia="pl-PL"/>
      </w:rPr>
      <w:drawing>
        <wp:inline distT="0" distB="0" distL="0" distR="0" wp14:anchorId="6CD08EEE" wp14:editId="1808427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D1062" w:rsidRDefault="002D106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571" w:rsidRDefault="00C21571" w:rsidP="00014566">
      <w:r>
        <w:separator/>
      </w:r>
    </w:p>
  </w:footnote>
  <w:footnote w:type="continuationSeparator" w:id="0">
    <w:p w:rsidR="00C21571" w:rsidRDefault="00C21571"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9104CB" w:rsidRDefault="002D1062" w:rsidP="009104CB">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A45145" w:rsidRDefault="002D1062" w:rsidP="00923E05">
    <w:pPr>
      <w:jc w:val="center"/>
    </w:pPr>
    <w:r>
      <w:rPr>
        <w:noProof/>
        <w:lang w:val="pl-PL" w:eastAsia="pl-PL"/>
      </w:rPr>
      <w:drawing>
        <wp:inline distT="0" distB="0" distL="0" distR="0" wp14:anchorId="1B24B6C4" wp14:editId="6A84342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D1062" w:rsidRDefault="002D106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FF2306" w:rsidRDefault="002D1062"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AD60F2">
      <w:rPr>
        <w:rStyle w:val="Numerstrony"/>
        <w:noProof/>
        <w:szCs w:val="18"/>
        <w:lang w:val="en-GB"/>
      </w:rPr>
      <w:t>16</w:t>
    </w:r>
    <w:r>
      <w:rPr>
        <w:rStyle w:val="Numerstrony"/>
        <w:szCs w:val="18"/>
        <w:lang w:val="en-GB"/>
      </w:rPr>
      <w:fldChar w:fldCharType="end"/>
    </w:r>
    <w:r w:rsidRPr="00FF2306">
      <w:rPr>
        <w:lang w:val="en-GB"/>
      </w:rPr>
      <w:tab/>
    </w:r>
    <w:r>
      <w:rPr>
        <w:lang w:val="en-GB"/>
      </w:rPr>
      <w:t>ZIEMBIŃSKI v. POLAND (No. 2)</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D60D87" w:rsidRDefault="002D1062" w:rsidP="00D60D87">
    <w:pPr>
      <w:pStyle w:val="ECHRHeader"/>
      <w:rPr>
        <w:lang w:val="en-GB"/>
      </w:rPr>
    </w:pPr>
    <w:r w:rsidRPr="00D60D87">
      <w:rPr>
        <w:lang w:val="en-GB"/>
      </w:rPr>
      <w:tab/>
    </w:r>
    <w:r>
      <w:rPr>
        <w:lang w:val="en-GB"/>
      </w:rPr>
      <w:t>ZIEMBIŃSKI v. POLAND (No. 2)</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656CD4">
      <w:rPr>
        <w:rStyle w:val="Numerstrony"/>
        <w:noProof/>
        <w:szCs w:val="18"/>
        <w:lang w:val="en-GB"/>
      </w:rPr>
      <w:t>15</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FF2306" w:rsidRDefault="002D1062" w:rsidP="00717D4B">
    <w:pPr>
      <w:pStyle w:val="ECHRHeader"/>
      <w:tabs>
        <w:tab w:val="clear" w:pos="3686"/>
        <w:tab w:val="clear" w:pos="7371"/>
        <w:tab w:val="center" w:pos="3685"/>
      </w:tabs>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30FAB">
      <w:rPr>
        <w:rStyle w:val="Numerstrony"/>
        <w:noProof/>
        <w:szCs w:val="18"/>
        <w:lang w:val="en-GB"/>
      </w:rPr>
      <w:t>28</w:t>
    </w:r>
    <w:r>
      <w:rPr>
        <w:rStyle w:val="Numerstrony"/>
        <w:szCs w:val="18"/>
        <w:lang w:val="en-GB"/>
      </w:rPr>
      <w:fldChar w:fldCharType="end"/>
    </w:r>
    <w:r w:rsidRPr="00FF2306">
      <w:rPr>
        <w:lang w:val="en-GB"/>
      </w:rPr>
      <w:tab/>
    </w:r>
    <w:r>
      <w:rPr>
        <w:lang w:val="en-GB"/>
      </w:rPr>
      <w:t>ZIEMBIŃSKI v. POLAND (No. 2)</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062" w:rsidRPr="00D60D87" w:rsidRDefault="002D1062" w:rsidP="00717D4B">
    <w:pPr>
      <w:pStyle w:val="ECHRHeader"/>
      <w:tabs>
        <w:tab w:val="clear" w:pos="3686"/>
        <w:tab w:val="clear" w:pos="7371"/>
        <w:tab w:val="center" w:pos="3685"/>
        <w:tab w:val="right" w:pos="7370"/>
      </w:tabs>
      <w:rPr>
        <w:lang w:val="en-GB"/>
      </w:rPr>
    </w:pPr>
    <w:r w:rsidRPr="00D60D87">
      <w:rPr>
        <w:lang w:val="en-GB"/>
      </w:rPr>
      <w:tab/>
    </w:r>
    <w:r>
      <w:rPr>
        <w:lang w:val="en-GB"/>
      </w:rPr>
      <w:t>ZIEMBIŃSKI v. POLAND (No. 2)</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F3919">
      <w:rPr>
        <w:rStyle w:val="Numerstrony"/>
        <w:noProof/>
        <w:szCs w:val="18"/>
        <w:lang w:val="en-GB"/>
      </w:rPr>
      <w:t>29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B6E04"/>
    <w:rsid w:val="00001DA7"/>
    <w:rsid w:val="000041F8"/>
    <w:rsid w:val="000042A8"/>
    <w:rsid w:val="00004308"/>
    <w:rsid w:val="000053CF"/>
    <w:rsid w:val="00005BF0"/>
    <w:rsid w:val="00006B0F"/>
    <w:rsid w:val="00007154"/>
    <w:rsid w:val="00007EA1"/>
    <w:rsid w:val="000101A3"/>
    <w:rsid w:val="000103AE"/>
    <w:rsid w:val="00010F21"/>
    <w:rsid w:val="00011D69"/>
    <w:rsid w:val="00012AD3"/>
    <w:rsid w:val="00014566"/>
    <w:rsid w:val="00015C2D"/>
    <w:rsid w:val="00015D00"/>
    <w:rsid w:val="00015F00"/>
    <w:rsid w:val="000170EF"/>
    <w:rsid w:val="00020F9C"/>
    <w:rsid w:val="0002188E"/>
    <w:rsid w:val="00022C1D"/>
    <w:rsid w:val="000246CD"/>
    <w:rsid w:val="00031F3D"/>
    <w:rsid w:val="00034987"/>
    <w:rsid w:val="00036DBE"/>
    <w:rsid w:val="00042FD9"/>
    <w:rsid w:val="00050C6D"/>
    <w:rsid w:val="000602DF"/>
    <w:rsid w:val="000614D3"/>
    <w:rsid w:val="00061B05"/>
    <w:rsid w:val="00062973"/>
    <w:rsid w:val="00062D5D"/>
    <w:rsid w:val="000632D5"/>
    <w:rsid w:val="000644EE"/>
    <w:rsid w:val="000652EC"/>
    <w:rsid w:val="000665C7"/>
    <w:rsid w:val="000678EF"/>
    <w:rsid w:val="00070B3D"/>
    <w:rsid w:val="0007127B"/>
    <w:rsid w:val="000722BD"/>
    <w:rsid w:val="00072DD7"/>
    <w:rsid w:val="00077DE5"/>
    <w:rsid w:val="00082CE8"/>
    <w:rsid w:val="00085DF1"/>
    <w:rsid w:val="000925AD"/>
    <w:rsid w:val="00093BF4"/>
    <w:rsid w:val="000960D8"/>
    <w:rsid w:val="000A191A"/>
    <w:rsid w:val="000A24EB"/>
    <w:rsid w:val="000A2C50"/>
    <w:rsid w:val="000A34A2"/>
    <w:rsid w:val="000A40A5"/>
    <w:rsid w:val="000A4218"/>
    <w:rsid w:val="000A5300"/>
    <w:rsid w:val="000A5E5E"/>
    <w:rsid w:val="000B060E"/>
    <w:rsid w:val="000B5A48"/>
    <w:rsid w:val="000B5FFB"/>
    <w:rsid w:val="000B6923"/>
    <w:rsid w:val="000B6BAD"/>
    <w:rsid w:val="000C033C"/>
    <w:rsid w:val="000C2F32"/>
    <w:rsid w:val="000C5A99"/>
    <w:rsid w:val="000C5F3C"/>
    <w:rsid w:val="000C6DCC"/>
    <w:rsid w:val="000D47AA"/>
    <w:rsid w:val="000D721F"/>
    <w:rsid w:val="000D7E55"/>
    <w:rsid w:val="000E069B"/>
    <w:rsid w:val="000E0E82"/>
    <w:rsid w:val="000E1DC5"/>
    <w:rsid w:val="000E223F"/>
    <w:rsid w:val="000E4867"/>
    <w:rsid w:val="000E6EA7"/>
    <w:rsid w:val="000E7D45"/>
    <w:rsid w:val="000E7E78"/>
    <w:rsid w:val="000F2196"/>
    <w:rsid w:val="000F23BF"/>
    <w:rsid w:val="000F7851"/>
    <w:rsid w:val="00102164"/>
    <w:rsid w:val="0010267F"/>
    <w:rsid w:val="0010345F"/>
    <w:rsid w:val="00104634"/>
    <w:rsid w:val="00104E23"/>
    <w:rsid w:val="001116A1"/>
    <w:rsid w:val="00111B0C"/>
    <w:rsid w:val="00115584"/>
    <w:rsid w:val="0011609E"/>
    <w:rsid w:val="00120D6C"/>
    <w:rsid w:val="001257EC"/>
    <w:rsid w:val="00127C20"/>
    <w:rsid w:val="00127C3C"/>
    <w:rsid w:val="00132C6A"/>
    <w:rsid w:val="00133340"/>
    <w:rsid w:val="00133D33"/>
    <w:rsid w:val="00134D64"/>
    <w:rsid w:val="00135A30"/>
    <w:rsid w:val="00135CB5"/>
    <w:rsid w:val="0013612C"/>
    <w:rsid w:val="00137FF6"/>
    <w:rsid w:val="00141650"/>
    <w:rsid w:val="00144824"/>
    <w:rsid w:val="0014727F"/>
    <w:rsid w:val="00147E10"/>
    <w:rsid w:val="00150D3F"/>
    <w:rsid w:val="0015461B"/>
    <w:rsid w:val="00156A25"/>
    <w:rsid w:val="00162A12"/>
    <w:rsid w:val="00162AD3"/>
    <w:rsid w:val="00163644"/>
    <w:rsid w:val="00166530"/>
    <w:rsid w:val="00166620"/>
    <w:rsid w:val="00170C56"/>
    <w:rsid w:val="00171B5D"/>
    <w:rsid w:val="00171B91"/>
    <w:rsid w:val="00174323"/>
    <w:rsid w:val="0017633D"/>
    <w:rsid w:val="00176DDF"/>
    <w:rsid w:val="00181192"/>
    <w:rsid w:val="001832BD"/>
    <w:rsid w:val="00186376"/>
    <w:rsid w:val="001943B5"/>
    <w:rsid w:val="00194FA6"/>
    <w:rsid w:val="00195134"/>
    <w:rsid w:val="001973E2"/>
    <w:rsid w:val="00197A68"/>
    <w:rsid w:val="001A145B"/>
    <w:rsid w:val="001A28DE"/>
    <w:rsid w:val="001A3D3E"/>
    <w:rsid w:val="001A5FB5"/>
    <w:rsid w:val="001A674C"/>
    <w:rsid w:val="001A76E3"/>
    <w:rsid w:val="001B07C5"/>
    <w:rsid w:val="001B0805"/>
    <w:rsid w:val="001B0F27"/>
    <w:rsid w:val="001B2D5D"/>
    <w:rsid w:val="001B3A29"/>
    <w:rsid w:val="001B3B24"/>
    <w:rsid w:val="001B4CC0"/>
    <w:rsid w:val="001B5366"/>
    <w:rsid w:val="001C0F98"/>
    <w:rsid w:val="001C1939"/>
    <w:rsid w:val="001C2A42"/>
    <w:rsid w:val="001C3AC1"/>
    <w:rsid w:val="001D0254"/>
    <w:rsid w:val="001D5591"/>
    <w:rsid w:val="001D631E"/>
    <w:rsid w:val="001D63ED"/>
    <w:rsid w:val="001D7348"/>
    <w:rsid w:val="001E035B"/>
    <w:rsid w:val="001E0961"/>
    <w:rsid w:val="001E0E49"/>
    <w:rsid w:val="001E108F"/>
    <w:rsid w:val="001E17D1"/>
    <w:rsid w:val="001E3EAE"/>
    <w:rsid w:val="001E6F32"/>
    <w:rsid w:val="001F151F"/>
    <w:rsid w:val="001F2145"/>
    <w:rsid w:val="001F359B"/>
    <w:rsid w:val="001F464E"/>
    <w:rsid w:val="001F5D6F"/>
    <w:rsid w:val="001F6262"/>
    <w:rsid w:val="001F67B0"/>
    <w:rsid w:val="001F7B3D"/>
    <w:rsid w:val="002030CE"/>
    <w:rsid w:val="002051C1"/>
    <w:rsid w:val="00205F9F"/>
    <w:rsid w:val="002100C3"/>
    <w:rsid w:val="00210338"/>
    <w:rsid w:val="002115C2"/>
    <w:rsid w:val="002115FC"/>
    <w:rsid w:val="0021241B"/>
    <w:rsid w:val="0021423C"/>
    <w:rsid w:val="002147FF"/>
    <w:rsid w:val="00215859"/>
    <w:rsid w:val="002209AB"/>
    <w:rsid w:val="0022178D"/>
    <w:rsid w:val="0022350E"/>
    <w:rsid w:val="00224E7B"/>
    <w:rsid w:val="00230D00"/>
    <w:rsid w:val="00231DF7"/>
    <w:rsid w:val="00231FD1"/>
    <w:rsid w:val="0023312A"/>
    <w:rsid w:val="002339E0"/>
    <w:rsid w:val="00233CF8"/>
    <w:rsid w:val="0023575D"/>
    <w:rsid w:val="002369E0"/>
    <w:rsid w:val="00237148"/>
    <w:rsid w:val="0024222D"/>
    <w:rsid w:val="00244B0E"/>
    <w:rsid w:val="00244F6C"/>
    <w:rsid w:val="00246AB4"/>
    <w:rsid w:val="002532C5"/>
    <w:rsid w:val="00255C74"/>
    <w:rsid w:val="00260C03"/>
    <w:rsid w:val="00263104"/>
    <w:rsid w:val="00265349"/>
    <w:rsid w:val="0026540E"/>
    <w:rsid w:val="00272556"/>
    <w:rsid w:val="00275123"/>
    <w:rsid w:val="00276226"/>
    <w:rsid w:val="0027785F"/>
    <w:rsid w:val="00277A3A"/>
    <w:rsid w:val="002800E5"/>
    <w:rsid w:val="00280A2B"/>
    <w:rsid w:val="00282240"/>
    <w:rsid w:val="002831D2"/>
    <w:rsid w:val="00283373"/>
    <w:rsid w:val="00283A70"/>
    <w:rsid w:val="0028572A"/>
    <w:rsid w:val="00287226"/>
    <w:rsid w:val="00290535"/>
    <w:rsid w:val="002948AD"/>
    <w:rsid w:val="00294C92"/>
    <w:rsid w:val="0029597D"/>
    <w:rsid w:val="002973F6"/>
    <w:rsid w:val="002A01CC"/>
    <w:rsid w:val="002A0E50"/>
    <w:rsid w:val="002A5958"/>
    <w:rsid w:val="002A61B1"/>
    <w:rsid w:val="002A663C"/>
    <w:rsid w:val="002A7386"/>
    <w:rsid w:val="002B220E"/>
    <w:rsid w:val="002B444B"/>
    <w:rsid w:val="002B5887"/>
    <w:rsid w:val="002B7066"/>
    <w:rsid w:val="002C0692"/>
    <w:rsid w:val="002C0E27"/>
    <w:rsid w:val="002C3040"/>
    <w:rsid w:val="002C4511"/>
    <w:rsid w:val="002C581B"/>
    <w:rsid w:val="002D022D"/>
    <w:rsid w:val="002D1062"/>
    <w:rsid w:val="002D24BB"/>
    <w:rsid w:val="002D72A8"/>
    <w:rsid w:val="002E0294"/>
    <w:rsid w:val="002E0A11"/>
    <w:rsid w:val="002E3894"/>
    <w:rsid w:val="002F1255"/>
    <w:rsid w:val="002F2AF7"/>
    <w:rsid w:val="002F3932"/>
    <w:rsid w:val="002F39E2"/>
    <w:rsid w:val="002F4171"/>
    <w:rsid w:val="002F440A"/>
    <w:rsid w:val="002F7E1C"/>
    <w:rsid w:val="0030024A"/>
    <w:rsid w:val="00301432"/>
    <w:rsid w:val="00301A75"/>
    <w:rsid w:val="003024D6"/>
    <w:rsid w:val="00302F70"/>
    <w:rsid w:val="0030336F"/>
    <w:rsid w:val="0030375E"/>
    <w:rsid w:val="00305A03"/>
    <w:rsid w:val="00310285"/>
    <w:rsid w:val="0031136D"/>
    <w:rsid w:val="00311CBC"/>
    <w:rsid w:val="00312A30"/>
    <w:rsid w:val="00313BE2"/>
    <w:rsid w:val="0031743F"/>
    <w:rsid w:val="003207B6"/>
    <w:rsid w:val="00320F72"/>
    <w:rsid w:val="003226BE"/>
    <w:rsid w:val="0032324D"/>
    <w:rsid w:val="0032463E"/>
    <w:rsid w:val="00326224"/>
    <w:rsid w:val="0033497C"/>
    <w:rsid w:val="00337EE4"/>
    <w:rsid w:val="00340FFD"/>
    <w:rsid w:val="003457E3"/>
    <w:rsid w:val="003470C2"/>
    <w:rsid w:val="003506B1"/>
    <w:rsid w:val="00352A10"/>
    <w:rsid w:val="00355A36"/>
    <w:rsid w:val="00356AC7"/>
    <w:rsid w:val="00357976"/>
    <w:rsid w:val="003609FA"/>
    <w:rsid w:val="00362207"/>
    <w:rsid w:val="003663CC"/>
    <w:rsid w:val="0036722C"/>
    <w:rsid w:val="003700E3"/>
    <w:rsid w:val="003710C8"/>
    <w:rsid w:val="003750BE"/>
    <w:rsid w:val="0038400F"/>
    <w:rsid w:val="00385569"/>
    <w:rsid w:val="0038668B"/>
    <w:rsid w:val="00386972"/>
    <w:rsid w:val="00387B9D"/>
    <w:rsid w:val="00387DC8"/>
    <w:rsid w:val="0039364F"/>
    <w:rsid w:val="00393A38"/>
    <w:rsid w:val="00396686"/>
    <w:rsid w:val="00396A85"/>
    <w:rsid w:val="00396F13"/>
    <w:rsid w:val="0039755F"/>
    <w:rsid w:val="0039778E"/>
    <w:rsid w:val="003978EC"/>
    <w:rsid w:val="00397B5D"/>
    <w:rsid w:val="003A4938"/>
    <w:rsid w:val="003A6267"/>
    <w:rsid w:val="003B26B3"/>
    <w:rsid w:val="003B2CDF"/>
    <w:rsid w:val="003B4941"/>
    <w:rsid w:val="003B52C5"/>
    <w:rsid w:val="003C1043"/>
    <w:rsid w:val="003C5714"/>
    <w:rsid w:val="003C5EF9"/>
    <w:rsid w:val="003C6B9F"/>
    <w:rsid w:val="003C6E2A"/>
    <w:rsid w:val="003D0299"/>
    <w:rsid w:val="003D3F60"/>
    <w:rsid w:val="003D61BF"/>
    <w:rsid w:val="003E04F9"/>
    <w:rsid w:val="003E0702"/>
    <w:rsid w:val="003E35D5"/>
    <w:rsid w:val="003E3FDB"/>
    <w:rsid w:val="003E6999"/>
    <w:rsid w:val="003E6D80"/>
    <w:rsid w:val="003F000D"/>
    <w:rsid w:val="003F05FA"/>
    <w:rsid w:val="003F0ABB"/>
    <w:rsid w:val="003F0F6E"/>
    <w:rsid w:val="003F244A"/>
    <w:rsid w:val="003F30B8"/>
    <w:rsid w:val="003F39FF"/>
    <w:rsid w:val="003F4C45"/>
    <w:rsid w:val="003F5F7B"/>
    <w:rsid w:val="003F7D64"/>
    <w:rsid w:val="00400C1E"/>
    <w:rsid w:val="00401317"/>
    <w:rsid w:val="00402E87"/>
    <w:rsid w:val="0040650C"/>
    <w:rsid w:val="00407B62"/>
    <w:rsid w:val="00414300"/>
    <w:rsid w:val="004151FA"/>
    <w:rsid w:val="0041775D"/>
    <w:rsid w:val="0042484B"/>
    <w:rsid w:val="00425C67"/>
    <w:rsid w:val="004269F0"/>
    <w:rsid w:val="00427761"/>
    <w:rsid w:val="00427E7A"/>
    <w:rsid w:val="00430249"/>
    <w:rsid w:val="00431E31"/>
    <w:rsid w:val="0043265F"/>
    <w:rsid w:val="00432FE6"/>
    <w:rsid w:val="0043413F"/>
    <w:rsid w:val="00436307"/>
    <w:rsid w:val="00436C49"/>
    <w:rsid w:val="00440E41"/>
    <w:rsid w:val="004441E8"/>
    <w:rsid w:val="00445366"/>
    <w:rsid w:val="00445424"/>
    <w:rsid w:val="004460B8"/>
    <w:rsid w:val="004476D1"/>
    <w:rsid w:val="0044777E"/>
    <w:rsid w:val="00447F5B"/>
    <w:rsid w:val="0045185A"/>
    <w:rsid w:val="00452FA4"/>
    <w:rsid w:val="00456B8F"/>
    <w:rsid w:val="00461DB0"/>
    <w:rsid w:val="00463926"/>
    <w:rsid w:val="00463C2F"/>
    <w:rsid w:val="004646E0"/>
    <w:rsid w:val="00464C9A"/>
    <w:rsid w:val="004700B5"/>
    <w:rsid w:val="0047099C"/>
    <w:rsid w:val="0047436C"/>
    <w:rsid w:val="00474F3D"/>
    <w:rsid w:val="00477500"/>
    <w:rsid w:val="00477E3A"/>
    <w:rsid w:val="00483E5F"/>
    <w:rsid w:val="00485FF9"/>
    <w:rsid w:val="00486F7F"/>
    <w:rsid w:val="004907F0"/>
    <w:rsid w:val="0049140B"/>
    <w:rsid w:val="00491CEF"/>
    <w:rsid w:val="004922B4"/>
    <w:rsid w:val="004923A5"/>
    <w:rsid w:val="00492B24"/>
    <w:rsid w:val="00493027"/>
    <w:rsid w:val="00496BFB"/>
    <w:rsid w:val="004A15C7"/>
    <w:rsid w:val="004A3723"/>
    <w:rsid w:val="004A4015"/>
    <w:rsid w:val="004A4551"/>
    <w:rsid w:val="004A5984"/>
    <w:rsid w:val="004B013B"/>
    <w:rsid w:val="004B0FCD"/>
    <w:rsid w:val="004B1070"/>
    <w:rsid w:val="004B112B"/>
    <w:rsid w:val="004B191D"/>
    <w:rsid w:val="004B6417"/>
    <w:rsid w:val="004B6567"/>
    <w:rsid w:val="004B79F0"/>
    <w:rsid w:val="004C01E4"/>
    <w:rsid w:val="004C086C"/>
    <w:rsid w:val="004C08A0"/>
    <w:rsid w:val="004C1D95"/>
    <w:rsid w:val="004C1F56"/>
    <w:rsid w:val="004C27BC"/>
    <w:rsid w:val="004C2B11"/>
    <w:rsid w:val="004C5032"/>
    <w:rsid w:val="004C7504"/>
    <w:rsid w:val="004D15F3"/>
    <w:rsid w:val="004D4E87"/>
    <w:rsid w:val="004D5311"/>
    <w:rsid w:val="004D5DCC"/>
    <w:rsid w:val="004D7C09"/>
    <w:rsid w:val="004E145B"/>
    <w:rsid w:val="004E2CF6"/>
    <w:rsid w:val="004E51F7"/>
    <w:rsid w:val="004E5FE0"/>
    <w:rsid w:val="004F0CA1"/>
    <w:rsid w:val="004F0F42"/>
    <w:rsid w:val="004F10AF"/>
    <w:rsid w:val="004F11A4"/>
    <w:rsid w:val="004F2389"/>
    <w:rsid w:val="004F304D"/>
    <w:rsid w:val="004F35E3"/>
    <w:rsid w:val="004F380D"/>
    <w:rsid w:val="004F5167"/>
    <w:rsid w:val="004F5BF8"/>
    <w:rsid w:val="004F61B0"/>
    <w:rsid w:val="004F61BE"/>
    <w:rsid w:val="004F66B1"/>
    <w:rsid w:val="004F7ED3"/>
    <w:rsid w:val="005025BC"/>
    <w:rsid w:val="0050654C"/>
    <w:rsid w:val="00507A7E"/>
    <w:rsid w:val="00511C07"/>
    <w:rsid w:val="0051373F"/>
    <w:rsid w:val="00514477"/>
    <w:rsid w:val="005144A4"/>
    <w:rsid w:val="00514AC4"/>
    <w:rsid w:val="005173A6"/>
    <w:rsid w:val="00520AA7"/>
    <w:rsid w:val="00520BAA"/>
    <w:rsid w:val="00522966"/>
    <w:rsid w:val="00524833"/>
    <w:rsid w:val="00524CCE"/>
    <w:rsid w:val="00525208"/>
    <w:rsid w:val="005257A5"/>
    <w:rsid w:val="005264C0"/>
    <w:rsid w:val="0052651F"/>
    <w:rsid w:val="00526A8A"/>
    <w:rsid w:val="00531DF2"/>
    <w:rsid w:val="005407BD"/>
    <w:rsid w:val="0054203D"/>
    <w:rsid w:val="005442EE"/>
    <w:rsid w:val="0054445C"/>
    <w:rsid w:val="00545D16"/>
    <w:rsid w:val="00546ABA"/>
    <w:rsid w:val="00547353"/>
    <w:rsid w:val="005474E7"/>
    <w:rsid w:val="005512A3"/>
    <w:rsid w:val="00556B29"/>
    <w:rsid w:val="005570A9"/>
    <w:rsid w:val="005576A8"/>
    <w:rsid w:val="005578CE"/>
    <w:rsid w:val="005608A2"/>
    <w:rsid w:val="00560E47"/>
    <w:rsid w:val="00560FB1"/>
    <w:rsid w:val="00562227"/>
    <w:rsid w:val="00562781"/>
    <w:rsid w:val="00563E83"/>
    <w:rsid w:val="00564AF8"/>
    <w:rsid w:val="00564D5C"/>
    <w:rsid w:val="00566601"/>
    <w:rsid w:val="0057271C"/>
    <w:rsid w:val="00572845"/>
    <w:rsid w:val="00581EEF"/>
    <w:rsid w:val="00587175"/>
    <w:rsid w:val="00592772"/>
    <w:rsid w:val="00592B16"/>
    <w:rsid w:val="005949BA"/>
    <w:rsid w:val="00594F6B"/>
    <w:rsid w:val="00594FD3"/>
    <w:rsid w:val="0059574A"/>
    <w:rsid w:val="005A02A7"/>
    <w:rsid w:val="005A1B9B"/>
    <w:rsid w:val="005A2526"/>
    <w:rsid w:val="005A54C5"/>
    <w:rsid w:val="005A6751"/>
    <w:rsid w:val="005B092E"/>
    <w:rsid w:val="005B152C"/>
    <w:rsid w:val="005B1E5E"/>
    <w:rsid w:val="005B1EE0"/>
    <w:rsid w:val="005B2B24"/>
    <w:rsid w:val="005B4425"/>
    <w:rsid w:val="005B4B94"/>
    <w:rsid w:val="005C3633"/>
    <w:rsid w:val="005C3EE8"/>
    <w:rsid w:val="005C7587"/>
    <w:rsid w:val="005D2E6A"/>
    <w:rsid w:val="005D34F9"/>
    <w:rsid w:val="005D37BD"/>
    <w:rsid w:val="005D4190"/>
    <w:rsid w:val="005D67A3"/>
    <w:rsid w:val="005D70F2"/>
    <w:rsid w:val="005E2988"/>
    <w:rsid w:val="005E2A43"/>
    <w:rsid w:val="005E3085"/>
    <w:rsid w:val="005E5991"/>
    <w:rsid w:val="005F1078"/>
    <w:rsid w:val="005F1924"/>
    <w:rsid w:val="005F51E1"/>
    <w:rsid w:val="005F7D37"/>
    <w:rsid w:val="00600711"/>
    <w:rsid w:val="006056EA"/>
    <w:rsid w:val="00611C80"/>
    <w:rsid w:val="00612AAB"/>
    <w:rsid w:val="00612E7F"/>
    <w:rsid w:val="0061325B"/>
    <w:rsid w:val="006153A6"/>
    <w:rsid w:val="006159F8"/>
    <w:rsid w:val="00620692"/>
    <w:rsid w:val="006215F6"/>
    <w:rsid w:val="006242CA"/>
    <w:rsid w:val="00624989"/>
    <w:rsid w:val="006267E1"/>
    <w:rsid w:val="00627507"/>
    <w:rsid w:val="00627958"/>
    <w:rsid w:val="00631ED6"/>
    <w:rsid w:val="00633717"/>
    <w:rsid w:val="006340A6"/>
    <w:rsid w:val="006344E1"/>
    <w:rsid w:val="006347ED"/>
    <w:rsid w:val="00635FF8"/>
    <w:rsid w:val="00636E6A"/>
    <w:rsid w:val="00637647"/>
    <w:rsid w:val="00640B80"/>
    <w:rsid w:val="006411E1"/>
    <w:rsid w:val="0064364A"/>
    <w:rsid w:val="00644ABA"/>
    <w:rsid w:val="0064500F"/>
    <w:rsid w:val="00645AB6"/>
    <w:rsid w:val="00645E96"/>
    <w:rsid w:val="006464A3"/>
    <w:rsid w:val="00650D60"/>
    <w:rsid w:val="00653175"/>
    <w:rsid w:val="0065360E"/>
    <w:rsid w:val="006545C4"/>
    <w:rsid w:val="00655158"/>
    <w:rsid w:val="00656CD4"/>
    <w:rsid w:val="00661971"/>
    <w:rsid w:val="00661CE8"/>
    <w:rsid w:val="006623D9"/>
    <w:rsid w:val="006634DE"/>
    <w:rsid w:val="00664F83"/>
    <w:rsid w:val="0066550C"/>
    <w:rsid w:val="006716F2"/>
    <w:rsid w:val="00672904"/>
    <w:rsid w:val="006739FE"/>
    <w:rsid w:val="00674330"/>
    <w:rsid w:val="006747F0"/>
    <w:rsid w:val="00676561"/>
    <w:rsid w:val="006825C1"/>
    <w:rsid w:val="00682A53"/>
    <w:rsid w:val="00682BF2"/>
    <w:rsid w:val="006859CE"/>
    <w:rsid w:val="00686F56"/>
    <w:rsid w:val="00691270"/>
    <w:rsid w:val="00694BA8"/>
    <w:rsid w:val="00694D27"/>
    <w:rsid w:val="0069612A"/>
    <w:rsid w:val="006A037C"/>
    <w:rsid w:val="006A06E8"/>
    <w:rsid w:val="006A1625"/>
    <w:rsid w:val="006A1D5E"/>
    <w:rsid w:val="006A36F4"/>
    <w:rsid w:val="006A406F"/>
    <w:rsid w:val="006A4603"/>
    <w:rsid w:val="006A5D3A"/>
    <w:rsid w:val="006A600B"/>
    <w:rsid w:val="006C2301"/>
    <w:rsid w:val="006C23D4"/>
    <w:rsid w:val="006C4377"/>
    <w:rsid w:val="006C4A85"/>
    <w:rsid w:val="006C7BB0"/>
    <w:rsid w:val="006D010C"/>
    <w:rsid w:val="006D17F4"/>
    <w:rsid w:val="006D216A"/>
    <w:rsid w:val="006D3237"/>
    <w:rsid w:val="006D5264"/>
    <w:rsid w:val="006E1073"/>
    <w:rsid w:val="006E2E37"/>
    <w:rsid w:val="006E388E"/>
    <w:rsid w:val="006E3CF1"/>
    <w:rsid w:val="006E3D88"/>
    <w:rsid w:val="006E6855"/>
    <w:rsid w:val="006E7E80"/>
    <w:rsid w:val="006F1DF9"/>
    <w:rsid w:val="006F24DB"/>
    <w:rsid w:val="006F46D3"/>
    <w:rsid w:val="006F48CA"/>
    <w:rsid w:val="006F6355"/>
    <w:rsid w:val="006F64DD"/>
    <w:rsid w:val="006F6C7D"/>
    <w:rsid w:val="006F6E55"/>
    <w:rsid w:val="00703D16"/>
    <w:rsid w:val="0070463D"/>
    <w:rsid w:val="007065DC"/>
    <w:rsid w:val="00710B41"/>
    <w:rsid w:val="00711FC7"/>
    <w:rsid w:val="00715127"/>
    <w:rsid w:val="007151D4"/>
    <w:rsid w:val="00715E8E"/>
    <w:rsid w:val="007178DA"/>
    <w:rsid w:val="00717D4B"/>
    <w:rsid w:val="00721F4F"/>
    <w:rsid w:val="0072246E"/>
    <w:rsid w:val="00723580"/>
    <w:rsid w:val="00723755"/>
    <w:rsid w:val="007276F4"/>
    <w:rsid w:val="00730080"/>
    <w:rsid w:val="007301BD"/>
    <w:rsid w:val="00730CD9"/>
    <w:rsid w:val="0073136C"/>
    <w:rsid w:val="00731F0F"/>
    <w:rsid w:val="00733250"/>
    <w:rsid w:val="00737B9D"/>
    <w:rsid w:val="00741404"/>
    <w:rsid w:val="0074358B"/>
    <w:rsid w:val="007440F7"/>
    <w:rsid w:val="007449E5"/>
    <w:rsid w:val="00745930"/>
    <w:rsid w:val="00746334"/>
    <w:rsid w:val="00746C5A"/>
    <w:rsid w:val="00747FF0"/>
    <w:rsid w:val="00754003"/>
    <w:rsid w:val="0075663B"/>
    <w:rsid w:val="0076324F"/>
    <w:rsid w:val="00764D4E"/>
    <w:rsid w:val="00765A1F"/>
    <w:rsid w:val="0076656E"/>
    <w:rsid w:val="00774553"/>
    <w:rsid w:val="00775B6D"/>
    <w:rsid w:val="00776D68"/>
    <w:rsid w:val="007850EE"/>
    <w:rsid w:val="00785B95"/>
    <w:rsid w:val="007863E4"/>
    <w:rsid w:val="007872B6"/>
    <w:rsid w:val="00787CA4"/>
    <w:rsid w:val="00790E96"/>
    <w:rsid w:val="00793366"/>
    <w:rsid w:val="00793F89"/>
    <w:rsid w:val="00795AE5"/>
    <w:rsid w:val="007965E5"/>
    <w:rsid w:val="007969D1"/>
    <w:rsid w:val="007A1A5F"/>
    <w:rsid w:val="007A5972"/>
    <w:rsid w:val="007A5CA8"/>
    <w:rsid w:val="007A716F"/>
    <w:rsid w:val="007A7D58"/>
    <w:rsid w:val="007B1A1E"/>
    <w:rsid w:val="007B1CFC"/>
    <w:rsid w:val="007B270A"/>
    <w:rsid w:val="007B44BD"/>
    <w:rsid w:val="007B6670"/>
    <w:rsid w:val="007C01F1"/>
    <w:rsid w:val="007C0695"/>
    <w:rsid w:val="007C071E"/>
    <w:rsid w:val="007C082A"/>
    <w:rsid w:val="007C419A"/>
    <w:rsid w:val="007C43B7"/>
    <w:rsid w:val="007C4CC8"/>
    <w:rsid w:val="007C4F63"/>
    <w:rsid w:val="007C5426"/>
    <w:rsid w:val="007C5519"/>
    <w:rsid w:val="007C5798"/>
    <w:rsid w:val="007C5F9A"/>
    <w:rsid w:val="007D2ECD"/>
    <w:rsid w:val="007D4832"/>
    <w:rsid w:val="007E21B2"/>
    <w:rsid w:val="007E2C4E"/>
    <w:rsid w:val="007E34E4"/>
    <w:rsid w:val="007F1905"/>
    <w:rsid w:val="007F7892"/>
    <w:rsid w:val="00801300"/>
    <w:rsid w:val="0080202E"/>
    <w:rsid w:val="008027FC"/>
    <w:rsid w:val="00802C64"/>
    <w:rsid w:val="008051BC"/>
    <w:rsid w:val="00805C3F"/>
    <w:rsid w:val="00805E52"/>
    <w:rsid w:val="008061D0"/>
    <w:rsid w:val="00810B38"/>
    <w:rsid w:val="00811920"/>
    <w:rsid w:val="008120C7"/>
    <w:rsid w:val="00817A86"/>
    <w:rsid w:val="008204C7"/>
    <w:rsid w:val="00820992"/>
    <w:rsid w:val="00821902"/>
    <w:rsid w:val="00823602"/>
    <w:rsid w:val="00823CF2"/>
    <w:rsid w:val="008255F5"/>
    <w:rsid w:val="008270B3"/>
    <w:rsid w:val="0083014E"/>
    <w:rsid w:val="008311F3"/>
    <w:rsid w:val="0083214A"/>
    <w:rsid w:val="00834220"/>
    <w:rsid w:val="00834D7C"/>
    <w:rsid w:val="008408C0"/>
    <w:rsid w:val="00841A53"/>
    <w:rsid w:val="00845723"/>
    <w:rsid w:val="008464C0"/>
    <w:rsid w:val="008466B3"/>
    <w:rsid w:val="00851EF9"/>
    <w:rsid w:val="008533F0"/>
    <w:rsid w:val="008535F9"/>
    <w:rsid w:val="00856753"/>
    <w:rsid w:val="008577FD"/>
    <w:rsid w:val="00860B03"/>
    <w:rsid w:val="00863DE8"/>
    <w:rsid w:val="0086407B"/>
    <w:rsid w:val="00864313"/>
    <w:rsid w:val="0086497A"/>
    <w:rsid w:val="00864DD0"/>
    <w:rsid w:val="008667BF"/>
    <w:rsid w:val="00871393"/>
    <w:rsid w:val="008713A1"/>
    <w:rsid w:val="00871A16"/>
    <w:rsid w:val="008724A7"/>
    <w:rsid w:val="008741D4"/>
    <w:rsid w:val="008754AB"/>
    <w:rsid w:val="00877FF1"/>
    <w:rsid w:val="0088060C"/>
    <w:rsid w:val="00886EEC"/>
    <w:rsid w:val="00890ABA"/>
    <w:rsid w:val="00890DC7"/>
    <w:rsid w:val="00891757"/>
    <w:rsid w:val="008932A7"/>
    <w:rsid w:val="00893576"/>
    <w:rsid w:val="00893E73"/>
    <w:rsid w:val="00894E19"/>
    <w:rsid w:val="0089712B"/>
    <w:rsid w:val="00897757"/>
    <w:rsid w:val="008A234F"/>
    <w:rsid w:val="008A43C4"/>
    <w:rsid w:val="008A745D"/>
    <w:rsid w:val="008B0217"/>
    <w:rsid w:val="008B02DC"/>
    <w:rsid w:val="008B1967"/>
    <w:rsid w:val="008B2896"/>
    <w:rsid w:val="008B3882"/>
    <w:rsid w:val="008B57CE"/>
    <w:rsid w:val="008B640A"/>
    <w:rsid w:val="008B659F"/>
    <w:rsid w:val="008C0773"/>
    <w:rsid w:val="008C26DE"/>
    <w:rsid w:val="008C44CA"/>
    <w:rsid w:val="008C4FB0"/>
    <w:rsid w:val="008C582C"/>
    <w:rsid w:val="008D0D4B"/>
    <w:rsid w:val="008D1A1F"/>
    <w:rsid w:val="008D2225"/>
    <w:rsid w:val="008D4752"/>
    <w:rsid w:val="008D56E8"/>
    <w:rsid w:val="008E271C"/>
    <w:rsid w:val="008E2F19"/>
    <w:rsid w:val="008E30F5"/>
    <w:rsid w:val="008E418E"/>
    <w:rsid w:val="008E4CA4"/>
    <w:rsid w:val="008E5BC6"/>
    <w:rsid w:val="008E6A25"/>
    <w:rsid w:val="008F091B"/>
    <w:rsid w:val="008F3919"/>
    <w:rsid w:val="008F513B"/>
    <w:rsid w:val="008F5193"/>
    <w:rsid w:val="008F5766"/>
    <w:rsid w:val="009002C5"/>
    <w:rsid w:val="009013A7"/>
    <w:rsid w:val="009017FB"/>
    <w:rsid w:val="009017FC"/>
    <w:rsid w:val="00901B35"/>
    <w:rsid w:val="00903B43"/>
    <w:rsid w:val="00903DFB"/>
    <w:rsid w:val="0090506B"/>
    <w:rsid w:val="009050C9"/>
    <w:rsid w:val="009066FC"/>
    <w:rsid w:val="00907DF6"/>
    <w:rsid w:val="009104CB"/>
    <w:rsid w:val="00910A99"/>
    <w:rsid w:val="00910C3A"/>
    <w:rsid w:val="009140A3"/>
    <w:rsid w:val="0091414A"/>
    <w:rsid w:val="009144A2"/>
    <w:rsid w:val="0091510C"/>
    <w:rsid w:val="00915892"/>
    <w:rsid w:val="00916544"/>
    <w:rsid w:val="00917A3D"/>
    <w:rsid w:val="00923E05"/>
    <w:rsid w:val="0092580F"/>
    <w:rsid w:val="009259AC"/>
    <w:rsid w:val="00926F38"/>
    <w:rsid w:val="00927891"/>
    <w:rsid w:val="00930C0A"/>
    <w:rsid w:val="00932205"/>
    <w:rsid w:val="00932557"/>
    <w:rsid w:val="00934301"/>
    <w:rsid w:val="009353FB"/>
    <w:rsid w:val="00936CD1"/>
    <w:rsid w:val="00937CFC"/>
    <w:rsid w:val="00941747"/>
    <w:rsid w:val="00941EFB"/>
    <w:rsid w:val="009427AD"/>
    <w:rsid w:val="00947AFB"/>
    <w:rsid w:val="00951C0E"/>
    <w:rsid w:val="00951D7D"/>
    <w:rsid w:val="00953BBE"/>
    <w:rsid w:val="00955D9B"/>
    <w:rsid w:val="00957E98"/>
    <w:rsid w:val="00957F7D"/>
    <w:rsid w:val="0096037B"/>
    <w:rsid w:val="009630C7"/>
    <w:rsid w:val="0096649F"/>
    <w:rsid w:val="00971457"/>
    <w:rsid w:val="009716A5"/>
    <w:rsid w:val="00972B55"/>
    <w:rsid w:val="009743B7"/>
    <w:rsid w:val="009765A2"/>
    <w:rsid w:val="00976BF7"/>
    <w:rsid w:val="009776E9"/>
    <w:rsid w:val="009805BC"/>
    <w:rsid w:val="0098228B"/>
    <w:rsid w:val="009824E6"/>
    <w:rsid w:val="009828DA"/>
    <w:rsid w:val="00982A90"/>
    <w:rsid w:val="0098327A"/>
    <w:rsid w:val="00985BAB"/>
    <w:rsid w:val="00986B6D"/>
    <w:rsid w:val="00992EFD"/>
    <w:rsid w:val="00997F03"/>
    <w:rsid w:val="009A46DF"/>
    <w:rsid w:val="009A52FA"/>
    <w:rsid w:val="009B0AE1"/>
    <w:rsid w:val="009B1B5F"/>
    <w:rsid w:val="009B2EC2"/>
    <w:rsid w:val="009B41BE"/>
    <w:rsid w:val="009B5F68"/>
    <w:rsid w:val="009B6673"/>
    <w:rsid w:val="009B683F"/>
    <w:rsid w:val="009B6E04"/>
    <w:rsid w:val="009C08A4"/>
    <w:rsid w:val="009C191B"/>
    <w:rsid w:val="009C2BD6"/>
    <w:rsid w:val="009C4009"/>
    <w:rsid w:val="009C4AD9"/>
    <w:rsid w:val="009D054E"/>
    <w:rsid w:val="009D0865"/>
    <w:rsid w:val="009D24ED"/>
    <w:rsid w:val="009D2C33"/>
    <w:rsid w:val="009D5511"/>
    <w:rsid w:val="009D6ECD"/>
    <w:rsid w:val="009E11E0"/>
    <w:rsid w:val="009E129D"/>
    <w:rsid w:val="009E1373"/>
    <w:rsid w:val="009E1F32"/>
    <w:rsid w:val="009E2ED2"/>
    <w:rsid w:val="009E3CB3"/>
    <w:rsid w:val="009E5829"/>
    <w:rsid w:val="009E599B"/>
    <w:rsid w:val="009E776C"/>
    <w:rsid w:val="009F326F"/>
    <w:rsid w:val="009F518B"/>
    <w:rsid w:val="009F6842"/>
    <w:rsid w:val="009F6A56"/>
    <w:rsid w:val="00A0311D"/>
    <w:rsid w:val="00A0436D"/>
    <w:rsid w:val="00A058A8"/>
    <w:rsid w:val="00A068CF"/>
    <w:rsid w:val="00A10BB5"/>
    <w:rsid w:val="00A1586A"/>
    <w:rsid w:val="00A1726E"/>
    <w:rsid w:val="00A204CF"/>
    <w:rsid w:val="00A23ACB"/>
    <w:rsid w:val="00A23D49"/>
    <w:rsid w:val="00A27004"/>
    <w:rsid w:val="00A30C29"/>
    <w:rsid w:val="00A34DD6"/>
    <w:rsid w:val="00A36819"/>
    <w:rsid w:val="00A3697F"/>
    <w:rsid w:val="00A36989"/>
    <w:rsid w:val="00A43628"/>
    <w:rsid w:val="00A43BF1"/>
    <w:rsid w:val="00A47DA8"/>
    <w:rsid w:val="00A54192"/>
    <w:rsid w:val="00A6035E"/>
    <w:rsid w:val="00A6144C"/>
    <w:rsid w:val="00A63C64"/>
    <w:rsid w:val="00A65B2A"/>
    <w:rsid w:val="00A66617"/>
    <w:rsid w:val="00A671E6"/>
    <w:rsid w:val="00A671F8"/>
    <w:rsid w:val="00A673A4"/>
    <w:rsid w:val="00A67BCC"/>
    <w:rsid w:val="00A67D47"/>
    <w:rsid w:val="00A71AAA"/>
    <w:rsid w:val="00A724AE"/>
    <w:rsid w:val="00A728E2"/>
    <w:rsid w:val="00A73329"/>
    <w:rsid w:val="00A764DB"/>
    <w:rsid w:val="00A8182B"/>
    <w:rsid w:val="00A82359"/>
    <w:rsid w:val="00A8286B"/>
    <w:rsid w:val="00A834AF"/>
    <w:rsid w:val="00A865D2"/>
    <w:rsid w:val="00A8780F"/>
    <w:rsid w:val="00A9427D"/>
    <w:rsid w:val="00A94C20"/>
    <w:rsid w:val="00A960F7"/>
    <w:rsid w:val="00A96650"/>
    <w:rsid w:val="00AA0B55"/>
    <w:rsid w:val="00AA227F"/>
    <w:rsid w:val="00AA3A7F"/>
    <w:rsid w:val="00AA3BC7"/>
    <w:rsid w:val="00AA754A"/>
    <w:rsid w:val="00AB099E"/>
    <w:rsid w:val="00AB3569"/>
    <w:rsid w:val="00AB4328"/>
    <w:rsid w:val="00AB5FA0"/>
    <w:rsid w:val="00AB73B2"/>
    <w:rsid w:val="00AB7AF1"/>
    <w:rsid w:val="00AC0500"/>
    <w:rsid w:val="00AC5524"/>
    <w:rsid w:val="00AC5C8B"/>
    <w:rsid w:val="00AC7E1B"/>
    <w:rsid w:val="00AD10AA"/>
    <w:rsid w:val="00AD3178"/>
    <w:rsid w:val="00AD5B92"/>
    <w:rsid w:val="00AD60F2"/>
    <w:rsid w:val="00AD7C54"/>
    <w:rsid w:val="00AD7E19"/>
    <w:rsid w:val="00AE0A2E"/>
    <w:rsid w:val="00AE172A"/>
    <w:rsid w:val="00AE354C"/>
    <w:rsid w:val="00AE7F69"/>
    <w:rsid w:val="00AF0EBD"/>
    <w:rsid w:val="00AF14A6"/>
    <w:rsid w:val="00AF46A2"/>
    <w:rsid w:val="00AF47F0"/>
    <w:rsid w:val="00AF4B07"/>
    <w:rsid w:val="00AF6186"/>
    <w:rsid w:val="00AF7766"/>
    <w:rsid w:val="00AF7A3A"/>
    <w:rsid w:val="00B001F4"/>
    <w:rsid w:val="00B018A7"/>
    <w:rsid w:val="00B04BE5"/>
    <w:rsid w:val="00B07133"/>
    <w:rsid w:val="00B1234B"/>
    <w:rsid w:val="00B1330F"/>
    <w:rsid w:val="00B160DB"/>
    <w:rsid w:val="00B161DD"/>
    <w:rsid w:val="00B206D7"/>
    <w:rsid w:val="00B20836"/>
    <w:rsid w:val="00B235BB"/>
    <w:rsid w:val="00B27A44"/>
    <w:rsid w:val="00B30239"/>
    <w:rsid w:val="00B30BBF"/>
    <w:rsid w:val="00B32131"/>
    <w:rsid w:val="00B32261"/>
    <w:rsid w:val="00B33A47"/>
    <w:rsid w:val="00B33C03"/>
    <w:rsid w:val="00B3443B"/>
    <w:rsid w:val="00B37238"/>
    <w:rsid w:val="00B37974"/>
    <w:rsid w:val="00B4426A"/>
    <w:rsid w:val="00B4428C"/>
    <w:rsid w:val="00B44E56"/>
    <w:rsid w:val="00B46543"/>
    <w:rsid w:val="00B470CC"/>
    <w:rsid w:val="00B47D33"/>
    <w:rsid w:val="00B524C4"/>
    <w:rsid w:val="00B52BE0"/>
    <w:rsid w:val="00B54133"/>
    <w:rsid w:val="00B6649A"/>
    <w:rsid w:val="00B701ED"/>
    <w:rsid w:val="00B804A2"/>
    <w:rsid w:val="00B8086C"/>
    <w:rsid w:val="00B81013"/>
    <w:rsid w:val="00B81579"/>
    <w:rsid w:val="00B821C5"/>
    <w:rsid w:val="00B83694"/>
    <w:rsid w:val="00B861B4"/>
    <w:rsid w:val="00B86DFE"/>
    <w:rsid w:val="00B87460"/>
    <w:rsid w:val="00B90019"/>
    <w:rsid w:val="00B90990"/>
    <w:rsid w:val="00B922FF"/>
    <w:rsid w:val="00B9281E"/>
    <w:rsid w:val="00B937C1"/>
    <w:rsid w:val="00B93925"/>
    <w:rsid w:val="00B95187"/>
    <w:rsid w:val="00BA0B57"/>
    <w:rsid w:val="00BA2D55"/>
    <w:rsid w:val="00BA51B8"/>
    <w:rsid w:val="00BA638E"/>
    <w:rsid w:val="00BA6429"/>
    <w:rsid w:val="00BA7133"/>
    <w:rsid w:val="00BA71B1"/>
    <w:rsid w:val="00BB0637"/>
    <w:rsid w:val="00BB2053"/>
    <w:rsid w:val="00BB2DC5"/>
    <w:rsid w:val="00BB345F"/>
    <w:rsid w:val="00BB573A"/>
    <w:rsid w:val="00BB5883"/>
    <w:rsid w:val="00BB68EA"/>
    <w:rsid w:val="00BB748F"/>
    <w:rsid w:val="00BB7AC1"/>
    <w:rsid w:val="00BC0BFD"/>
    <w:rsid w:val="00BC10E5"/>
    <w:rsid w:val="00BC1C27"/>
    <w:rsid w:val="00BC23C7"/>
    <w:rsid w:val="00BC38EF"/>
    <w:rsid w:val="00BC394F"/>
    <w:rsid w:val="00BC507B"/>
    <w:rsid w:val="00BC692F"/>
    <w:rsid w:val="00BC6BBF"/>
    <w:rsid w:val="00BD1572"/>
    <w:rsid w:val="00BD2BF1"/>
    <w:rsid w:val="00BD3B68"/>
    <w:rsid w:val="00BD4D08"/>
    <w:rsid w:val="00BD6D76"/>
    <w:rsid w:val="00BE14E3"/>
    <w:rsid w:val="00BE19BE"/>
    <w:rsid w:val="00BE3774"/>
    <w:rsid w:val="00BE41E5"/>
    <w:rsid w:val="00BE6396"/>
    <w:rsid w:val="00BE6CF8"/>
    <w:rsid w:val="00BE773C"/>
    <w:rsid w:val="00BE7C23"/>
    <w:rsid w:val="00BF0BBB"/>
    <w:rsid w:val="00BF24E6"/>
    <w:rsid w:val="00BF3280"/>
    <w:rsid w:val="00BF4109"/>
    <w:rsid w:val="00BF44CE"/>
    <w:rsid w:val="00BF4CC3"/>
    <w:rsid w:val="00BF5C87"/>
    <w:rsid w:val="00C03A8B"/>
    <w:rsid w:val="00C0416F"/>
    <w:rsid w:val="00C054C7"/>
    <w:rsid w:val="00C057B5"/>
    <w:rsid w:val="00C1215D"/>
    <w:rsid w:val="00C156AA"/>
    <w:rsid w:val="00C20B84"/>
    <w:rsid w:val="00C21571"/>
    <w:rsid w:val="00C21799"/>
    <w:rsid w:val="00C22018"/>
    <w:rsid w:val="00C22687"/>
    <w:rsid w:val="00C25CF3"/>
    <w:rsid w:val="00C32E4D"/>
    <w:rsid w:val="00C333A0"/>
    <w:rsid w:val="00C3347A"/>
    <w:rsid w:val="00C35888"/>
    <w:rsid w:val="00C36A81"/>
    <w:rsid w:val="00C37271"/>
    <w:rsid w:val="00C41974"/>
    <w:rsid w:val="00C41AE1"/>
    <w:rsid w:val="00C42135"/>
    <w:rsid w:val="00C43952"/>
    <w:rsid w:val="00C447AD"/>
    <w:rsid w:val="00C53013"/>
    <w:rsid w:val="00C53F4A"/>
    <w:rsid w:val="00C54125"/>
    <w:rsid w:val="00C54171"/>
    <w:rsid w:val="00C54D25"/>
    <w:rsid w:val="00C5522A"/>
    <w:rsid w:val="00C55B54"/>
    <w:rsid w:val="00C55F62"/>
    <w:rsid w:val="00C57FE9"/>
    <w:rsid w:val="00C6098E"/>
    <w:rsid w:val="00C6152C"/>
    <w:rsid w:val="00C621C2"/>
    <w:rsid w:val="00C62465"/>
    <w:rsid w:val="00C62CB6"/>
    <w:rsid w:val="00C633E3"/>
    <w:rsid w:val="00C634DF"/>
    <w:rsid w:val="00C7175B"/>
    <w:rsid w:val="00C74810"/>
    <w:rsid w:val="00C77A71"/>
    <w:rsid w:val="00C81936"/>
    <w:rsid w:val="00C824D7"/>
    <w:rsid w:val="00C834CB"/>
    <w:rsid w:val="00C8450E"/>
    <w:rsid w:val="00C90D68"/>
    <w:rsid w:val="00C90E7A"/>
    <w:rsid w:val="00C9194E"/>
    <w:rsid w:val="00C939FE"/>
    <w:rsid w:val="00C953D6"/>
    <w:rsid w:val="00C95BFB"/>
    <w:rsid w:val="00C977A2"/>
    <w:rsid w:val="00CA0C9D"/>
    <w:rsid w:val="00CA1FB9"/>
    <w:rsid w:val="00CA4BDA"/>
    <w:rsid w:val="00CA4CD6"/>
    <w:rsid w:val="00CA5DF2"/>
    <w:rsid w:val="00CB06B7"/>
    <w:rsid w:val="00CB1138"/>
    <w:rsid w:val="00CB1F66"/>
    <w:rsid w:val="00CB2951"/>
    <w:rsid w:val="00CB59A6"/>
    <w:rsid w:val="00CB68E5"/>
    <w:rsid w:val="00CB7FFB"/>
    <w:rsid w:val="00CC1104"/>
    <w:rsid w:val="00CC25AC"/>
    <w:rsid w:val="00CC332F"/>
    <w:rsid w:val="00CC4F97"/>
    <w:rsid w:val="00CC53F1"/>
    <w:rsid w:val="00CC6401"/>
    <w:rsid w:val="00CC64F2"/>
    <w:rsid w:val="00CC6646"/>
    <w:rsid w:val="00CD282B"/>
    <w:rsid w:val="00CD4C35"/>
    <w:rsid w:val="00CD7369"/>
    <w:rsid w:val="00CE0B0E"/>
    <w:rsid w:val="00CE3831"/>
    <w:rsid w:val="00CE4970"/>
    <w:rsid w:val="00CF0B41"/>
    <w:rsid w:val="00CF0EEB"/>
    <w:rsid w:val="00CF11F7"/>
    <w:rsid w:val="00CF2746"/>
    <w:rsid w:val="00CF3CAC"/>
    <w:rsid w:val="00CF5273"/>
    <w:rsid w:val="00D00ABB"/>
    <w:rsid w:val="00D00F53"/>
    <w:rsid w:val="00D02EEC"/>
    <w:rsid w:val="00D03551"/>
    <w:rsid w:val="00D03BE4"/>
    <w:rsid w:val="00D04B18"/>
    <w:rsid w:val="00D05578"/>
    <w:rsid w:val="00D06A63"/>
    <w:rsid w:val="00D07ABB"/>
    <w:rsid w:val="00D07E0E"/>
    <w:rsid w:val="00D11478"/>
    <w:rsid w:val="00D15ED0"/>
    <w:rsid w:val="00D200FA"/>
    <w:rsid w:val="00D21B3E"/>
    <w:rsid w:val="00D21FED"/>
    <w:rsid w:val="00D2273C"/>
    <w:rsid w:val="00D23BFD"/>
    <w:rsid w:val="00D23EA6"/>
    <w:rsid w:val="00D24251"/>
    <w:rsid w:val="00D246A4"/>
    <w:rsid w:val="00D26A5E"/>
    <w:rsid w:val="00D31765"/>
    <w:rsid w:val="00D317D9"/>
    <w:rsid w:val="00D323A2"/>
    <w:rsid w:val="00D341AE"/>
    <w:rsid w:val="00D343E2"/>
    <w:rsid w:val="00D3602E"/>
    <w:rsid w:val="00D361A2"/>
    <w:rsid w:val="00D3637B"/>
    <w:rsid w:val="00D36B32"/>
    <w:rsid w:val="00D36D7D"/>
    <w:rsid w:val="00D37236"/>
    <w:rsid w:val="00D41243"/>
    <w:rsid w:val="00D447EB"/>
    <w:rsid w:val="00D44C2E"/>
    <w:rsid w:val="00D45414"/>
    <w:rsid w:val="00D46C07"/>
    <w:rsid w:val="00D5325B"/>
    <w:rsid w:val="00D53C0F"/>
    <w:rsid w:val="00D5465F"/>
    <w:rsid w:val="00D55E83"/>
    <w:rsid w:val="00D566BD"/>
    <w:rsid w:val="00D57A4D"/>
    <w:rsid w:val="00D6052B"/>
    <w:rsid w:val="00D60AA7"/>
    <w:rsid w:val="00D60D87"/>
    <w:rsid w:val="00D62635"/>
    <w:rsid w:val="00D6372E"/>
    <w:rsid w:val="00D6435F"/>
    <w:rsid w:val="00D67CFD"/>
    <w:rsid w:val="00D719AA"/>
    <w:rsid w:val="00D72533"/>
    <w:rsid w:val="00D73EFF"/>
    <w:rsid w:val="00D743CF"/>
    <w:rsid w:val="00D75E28"/>
    <w:rsid w:val="00D767DC"/>
    <w:rsid w:val="00D772C2"/>
    <w:rsid w:val="00D8008E"/>
    <w:rsid w:val="00D82C45"/>
    <w:rsid w:val="00D8316E"/>
    <w:rsid w:val="00D835DC"/>
    <w:rsid w:val="00D83E04"/>
    <w:rsid w:val="00D84BEE"/>
    <w:rsid w:val="00D871CE"/>
    <w:rsid w:val="00D908A8"/>
    <w:rsid w:val="00D91853"/>
    <w:rsid w:val="00D92770"/>
    <w:rsid w:val="00D94369"/>
    <w:rsid w:val="00D96BAB"/>
    <w:rsid w:val="00D977B6"/>
    <w:rsid w:val="00DA0673"/>
    <w:rsid w:val="00DA1215"/>
    <w:rsid w:val="00DA188C"/>
    <w:rsid w:val="00DA42CD"/>
    <w:rsid w:val="00DA4A31"/>
    <w:rsid w:val="00DA646E"/>
    <w:rsid w:val="00DA7B04"/>
    <w:rsid w:val="00DB0364"/>
    <w:rsid w:val="00DB36C2"/>
    <w:rsid w:val="00DB4614"/>
    <w:rsid w:val="00DB51E0"/>
    <w:rsid w:val="00DB7196"/>
    <w:rsid w:val="00DB7366"/>
    <w:rsid w:val="00DC0556"/>
    <w:rsid w:val="00DC169B"/>
    <w:rsid w:val="00DC1CE3"/>
    <w:rsid w:val="00DC2AB9"/>
    <w:rsid w:val="00DC5242"/>
    <w:rsid w:val="00DC63F0"/>
    <w:rsid w:val="00DD0F91"/>
    <w:rsid w:val="00DD28EC"/>
    <w:rsid w:val="00DD2EB2"/>
    <w:rsid w:val="00DD4A59"/>
    <w:rsid w:val="00DD6EE5"/>
    <w:rsid w:val="00DE29BC"/>
    <w:rsid w:val="00DE386C"/>
    <w:rsid w:val="00DE4D35"/>
    <w:rsid w:val="00DF0549"/>
    <w:rsid w:val="00DF098B"/>
    <w:rsid w:val="00DF1194"/>
    <w:rsid w:val="00DF11C4"/>
    <w:rsid w:val="00DF210C"/>
    <w:rsid w:val="00DF2ACF"/>
    <w:rsid w:val="00DF4B6A"/>
    <w:rsid w:val="00DF570A"/>
    <w:rsid w:val="00DF6581"/>
    <w:rsid w:val="00E02882"/>
    <w:rsid w:val="00E02C09"/>
    <w:rsid w:val="00E04D59"/>
    <w:rsid w:val="00E05A13"/>
    <w:rsid w:val="00E07DA1"/>
    <w:rsid w:val="00E123CB"/>
    <w:rsid w:val="00E12752"/>
    <w:rsid w:val="00E14623"/>
    <w:rsid w:val="00E14FC0"/>
    <w:rsid w:val="00E1571F"/>
    <w:rsid w:val="00E20462"/>
    <w:rsid w:val="00E20E13"/>
    <w:rsid w:val="00E21DBC"/>
    <w:rsid w:val="00E22348"/>
    <w:rsid w:val="00E2258C"/>
    <w:rsid w:val="00E25B65"/>
    <w:rsid w:val="00E275D7"/>
    <w:rsid w:val="00E27DBE"/>
    <w:rsid w:val="00E30FAB"/>
    <w:rsid w:val="00E32AB1"/>
    <w:rsid w:val="00E33D57"/>
    <w:rsid w:val="00E36C71"/>
    <w:rsid w:val="00E37AFE"/>
    <w:rsid w:val="00E37D23"/>
    <w:rsid w:val="00E40404"/>
    <w:rsid w:val="00E41667"/>
    <w:rsid w:val="00E459C6"/>
    <w:rsid w:val="00E46BDB"/>
    <w:rsid w:val="00E47589"/>
    <w:rsid w:val="00E52195"/>
    <w:rsid w:val="00E53A60"/>
    <w:rsid w:val="00E60533"/>
    <w:rsid w:val="00E63810"/>
    <w:rsid w:val="00E64915"/>
    <w:rsid w:val="00E65E6E"/>
    <w:rsid w:val="00E661D4"/>
    <w:rsid w:val="00E673E3"/>
    <w:rsid w:val="00E70091"/>
    <w:rsid w:val="00E720F5"/>
    <w:rsid w:val="00E724AD"/>
    <w:rsid w:val="00E73B1E"/>
    <w:rsid w:val="00E73C13"/>
    <w:rsid w:val="00E73E16"/>
    <w:rsid w:val="00E7641A"/>
    <w:rsid w:val="00E76D47"/>
    <w:rsid w:val="00E76F91"/>
    <w:rsid w:val="00E779B6"/>
    <w:rsid w:val="00E82A4C"/>
    <w:rsid w:val="00E83C7E"/>
    <w:rsid w:val="00E83CAE"/>
    <w:rsid w:val="00E84612"/>
    <w:rsid w:val="00E849F7"/>
    <w:rsid w:val="00E84A13"/>
    <w:rsid w:val="00E868BA"/>
    <w:rsid w:val="00E90302"/>
    <w:rsid w:val="00E954DD"/>
    <w:rsid w:val="00E9597F"/>
    <w:rsid w:val="00E97396"/>
    <w:rsid w:val="00EA185E"/>
    <w:rsid w:val="00EA4C3C"/>
    <w:rsid w:val="00EA592A"/>
    <w:rsid w:val="00EB14E4"/>
    <w:rsid w:val="00EB2CEA"/>
    <w:rsid w:val="00EB32A5"/>
    <w:rsid w:val="00EB34ED"/>
    <w:rsid w:val="00EB3567"/>
    <w:rsid w:val="00EB6371"/>
    <w:rsid w:val="00EB64AC"/>
    <w:rsid w:val="00EB7799"/>
    <w:rsid w:val="00EB78EE"/>
    <w:rsid w:val="00EB7BE0"/>
    <w:rsid w:val="00EC01D8"/>
    <w:rsid w:val="00EC120E"/>
    <w:rsid w:val="00EC2B8F"/>
    <w:rsid w:val="00EC315E"/>
    <w:rsid w:val="00EC323D"/>
    <w:rsid w:val="00EC4DF5"/>
    <w:rsid w:val="00EC4E49"/>
    <w:rsid w:val="00EC5119"/>
    <w:rsid w:val="00EC6622"/>
    <w:rsid w:val="00ED077C"/>
    <w:rsid w:val="00ED1190"/>
    <w:rsid w:val="00ED1F4E"/>
    <w:rsid w:val="00ED4DA3"/>
    <w:rsid w:val="00ED6544"/>
    <w:rsid w:val="00ED74C6"/>
    <w:rsid w:val="00EE0277"/>
    <w:rsid w:val="00EE1750"/>
    <w:rsid w:val="00EE1DA9"/>
    <w:rsid w:val="00EE3E00"/>
    <w:rsid w:val="00EE451B"/>
    <w:rsid w:val="00EE5C4B"/>
    <w:rsid w:val="00EE5DD2"/>
    <w:rsid w:val="00EF20E5"/>
    <w:rsid w:val="00EF41F1"/>
    <w:rsid w:val="00EF4F08"/>
    <w:rsid w:val="00F00A79"/>
    <w:rsid w:val="00F00E86"/>
    <w:rsid w:val="00F01D31"/>
    <w:rsid w:val="00F027CD"/>
    <w:rsid w:val="00F03ED3"/>
    <w:rsid w:val="00F07C1E"/>
    <w:rsid w:val="00F105DB"/>
    <w:rsid w:val="00F10E37"/>
    <w:rsid w:val="00F132BC"/>
    <w:rsid w:val="00F13D80"/>
    <w:rsid w:val="00F16AAA"/>
    <w:rsid w:val="00F173B8"/>
    <w:rsid w:val="00F21161"/>
    <w:rsid w:val="00F21829"/>
    <w:rsid w:val="00F218EF"/>
    <w:rsid w:val="00F21962"/>
    <w:rsid w:val="00F21BC7"/>
    <w:rsid w:val="00F2300C"/>
    <w:rsid w:val="00F250EF"/>
    <w:rsid w:val="00F266A2"/>
    <w:rsid w:val="00F27091"/>
    <w:rsid w:val="00F32269"/>
    <w:rsid w:val="00F322D9"/>
    <w:rsid w:val="00F379A2"/>
    <w:rsid w:val="00F41183"/>
    <w:rsid w:val="00F41A8B"/>
    <w:rsid w:val="00F41D6B"/>
    <w:rsid w:val="00F432DE"/>
    <w:rsid w:val="00F43AF3"/>
    <w:rsid w:val="00F4526A"/>
    <w:rsid w:val="00F459F9"/>
    <w:rsid w:val="00F47505"/>
    <w:rsid w:val="00F47746"/>
    <w:rsid w:val="00F53537"/>
    <w:rsid w:val="00F55AB1"/>
    <w:rsid w:val="00F56A6F"/>
    <w:rsid w:val="00F56AE0"/>
    <w:rsid w:val="00F5709C"/>
    <w:rsid w:val="00F6129F"/>
    <w:rsid w:val="00F624E9"/>
    <w:rsid w:val="00F62DC9"/>
    <w:rsid w:val="00F62E97"/>
    <w:rsid w:val="00F632E4"/>
    <w:rsid w:val="00F63302"/>
    <w:rsid w:val="00F63B80"/>
    <w:rsid w:val="00F64EF1"/>
    <w:rsid w:val="00F657F0"/>
    <w:rsid w:val="00F661FF"/>
    <w:rsid w:val="00F71AD7"/>
    <w:rsid w:val="00F71DEA"/>
    <w:rsid w:val="00F73A58"/>
    <w:rsid w:val="00F808F0"/>
    <w:rsid w:val="00F82D13"/>
    <w:rsid w:val="00F862C2"/>
    <w:rsid w:val="00F8765F"/>
    <w:rsid w:val="00F902D2"/>
    <w:rsid w:val="00F90767"/>
    <w:rsid w:val="00F931C7"/>
    <w:rsid w:val="00F9456B"/>
    <w:rsid w:val="00F96474"/>
    <w:rsid w:val="00FA12A3"/>
    <w:rsid w:val="00FA685B"/>
    <w:rsid w:val="00FA7122"/>
    <w:rsid w:val="00FA73E2"/>
    <w:rsid w:val="00FB0C01"/>
    <w:rsid w:val="00FB742E"/>
    <w:rsid w:val="00FC07CF"/>
    <w:rsid w:val="00FC0870"/>
    <w:rsid w:val="00FC18F2"/>
    <w:rsid w:val="00FC3099"/>
    <w:rsid w:val="00FC39E5"/>
    <w:rsid w:val="00FC3A78"/>
    <w:rsid w:val="00FC502A"/>
    <w:rsid w:val="00FC5752"/>
    <w:rsid w:val="00FC5FFE"/>
    <w:rsid w:val="00FC6AB2"/>
    <w:rsid w:val="00FC79CF"/>
    <w:rsid w:val="00FD1005"/>
    <w:rsid w:val="00FD193B"/>
    <w:rsid w:val="00FD3180"/>
    <w:rsid w:val="00FD3AFC"/>
    <w:rsid w:val="00FD514A"/>
    <w:rsid w:val="00FD59DD"/>
    <w:rsid w:val="00FD6C75"/>
    <w:rsid w:val="00FE0DB9"/>
    <w:rsid w:val="00FE6050"/>
    <w:rsid w:val="00FE71B3"/>
    <w:rsid w:val="00FE77AD"/>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533F0"/>
    <w:pPr>
      <w:jc w:val="both"/>
    </w:pPr>
    <w:rPr>
      <w:rFonts w:eastAsiaTheme="minorEastAsia"/>
      <w:sz w:val="24"/>
    </w:rPr>
  </w:style>
  <w:style w:type="paragraph" w:styleId="Nagwek1">
    <w:name w:val="heading 1"/>
    <w:basedOn w:val="Normalny"/>
    <w:next w:val="Normalny"/>
    <w:link w:val="Nagwek1Znak"/>
    <w:uiPriority w:val="99"/>
    <w:semiHidden/>
    <w:rsid w:val="001A76E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A76E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A76E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A76E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A76E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A76E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A76E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A76E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A76E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A76E3"/>
    <w:rPr>
      <w:rFonts w:ascii="Tahoma" w:hAnsi="Tahoma" w:cs="Tahoma"/>
      <w:sz w:val="16"/>
      <w:szCs w:val="16"/>
    </w:rPr>
  </w:style>
  <w:style w:type="character" w:customStyle="1" w:styleId="TekstdymkaZnak">
    <w:name w:val="Tekst dymka Znak"/>
    <w:basedOn w:val="Domylnaczcionkaakapitu"/>
    <w:link w:val="Tekstdymka"/>
    <w:uiPriority w:val="99"/>
    <w:semiHidden/>
    <w:rsid w:val="001A76E3"/>
    <w:rPr>
      <w:rFonts w:ascii="Tahoma" w:eastAsiaTheme="minorEastAsia" w:hAnsi="Tahoma" w:cs="Tahoma"/>
      <w:sz w:val="16"/>
      <w:szCs w:val="16"/>
    </w:rPr>
  </w:style>
  <w:style w:type="character" w:styleId="Tytuksiki">
    <w:name w:val="Book Title"/>
    <w:uiPriority w:val="99"/>
    <w:semiHidden/>
    <w:qFormat/>
    <w:rsid w:val="001A76E3"/>
    <w:rPr>
      <w:i/>
      <w:iCs/>
      <w:smallCaps/>
      <w:spacing w:val="5"/>
    </w:rPr>
  </w:style>
  <w:style w:type="paragraph" w:customStyle="1" w:styleId="ECHRHeader">
    <w:name w:val="ECHR_Header"/>
    <w:aliases w:val="Ju_Header"/>
    <w:basedOn w:val="Nagwek"/>
    <w:uiPriority w:val="4"/>
    <w:qFormat/>
    <w:rsid w:val="001A76E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A76E3"/>
    <w:pPr>
      <w:jc w:val="left"/>
    </w:pPr>
    <w:rPr>
      <w:sz w:val="8"/>
    </w:rPr>
  </w:style>
  <w:style w:type="character" w:styleId="Pogrubienie">
    <w:name w:val="Strong"/>
    <w:uiPriority w:val="99"/>
    <w:semiHidden/>
    <w:qFormat/>
    <w:rsid w:val="001A76E3"/>
    <w:rPr>
      <w:b/>
      <w:bCs/>
    </w:rPr>
  </w:style>
  <w:style w:type="paragraph" w:styleId="Bezodstpw">
    <w:name w:val="No Spacing"/>
    <w:basedOn w:val="Normalny"/>
    <w:link w:val="BezodstpwZnak"/>
    <w:semiHidden/>
    <w:qFormat/>
    <w:rsid w:val="001A76E3"/>
  </w:style>
  <w:style w:type="character" w:customStyle="1" w:styleId="BezodstpwZnak">
    <w:name w:val="Bez odstępów Znak"/>
    <w:basedOn w:val="Domylnaczcionkaakapitu"/>
    <w:link w:val="Bezodstpw"/>
    <w:semiHidden/>
    <w:rsid w:val="001A76E3"/>
    <w:rPr>
      <w:rFonts w:eastAsiaTheme="minorEastAsia"/>
      <w:sz w:val="24"/>
    </w:rPr>
  </w:style>
  <w:style w:type="paragraph" w:customStyle="1" w:styleId="ECHRFooterLine">
    <w:name w:val="ECHR_Footer_Line"/>
    <w:aliases w:val="Footer_Line"/>
    <w:basedOn w:val="Normalny"/>
    <w:next w:val="ECHRFooter"/>
    <w:uiPriority w:val="57"/>
    <w:semiHidden/>
    <w:rsid w:val="001A76E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1A76E3"/>
    <w:pPr>
      <w:numPr>
        <w:numId w:val="14"/>
      </w:numPr>
      <w:jc w:val="left"/>
    </w:pPr>
    <w:rPr>
      <w:b/>
    </w:rPr>
  </w:style>
  <w:style w:type="paragraph" w:customStyle="1" w:styleId="OpiPara">
    <w:name w:val="Opi_Para"/>
    <w:basedOn w:val="ECHRPara"/>
    <w:uiPriority w:val="46"/>
    <w:qFormat/>
    <w:rsid w:val="001A76E3"/>
  </w:style>
  <w:style w:type="paragraph" w:customStyle="1" w:styleId="JuParaSub">
    <w:name w:val="Ju_Para_Sub"/>
    <w:basedOn w:val="ECHRPara"/>
    <w:uiPriority w:val="13"/>
    <w:qFormat/>
    <w:rsid w:val="001A76E3"/>
    <w:pPr>
      <w:ind w:left="284"/>
    </w:pPr>
  </w:style>
  <w:style w:type="paragraph" w:customStyle="1" w:styleId="ECHRTitleCentre3">
    <w:name w:val="ECHR_Title_Centre_3"/>
    <w:aliases w:val="Ju_H_Article"/>
    <w:basedOn w:val="Normalny"/>
    <w:next w:val="ECHRParaQuote"/>
    <w:uiPriority w:val="27"/>
    <w:qFormat/>
    <w:rsid w:val="001A76E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A76E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A76E3"/>
  </w:style>
  <w:style w:type="paragraph" w:customStyle="1" w:styleId="JuInitialled">
    <w:name w:val="Ju_Initialled"/>
    <w:basedOn w:val="Normalny"/>
    <w:uiPriority w:val="31"/>
    <w:qFormat/>
    <w:rsid w:val="001A76E3"/>
    <w:pPr>
      <w:tabs>
        <w:tab w:val="center" w:pos="6407"/>
      </w:tabs>
      <w:spacing w:before="720"/>
      <w:jc w:val="right"/>
    </w:pPr>
  </w:style>
  <w:style w:type="paragraph" w:customStyle="1" w:styleId="OpiQuot">
    <w:name w:val="Opi_Quot"/>
    <w:basedOn w:val="ECHRParaQuote"/>
    <w:uiPriority w:val="48"/>
    <w:semiHidden/>
    <w:qFormat/>
    <w:rsid w:val="001A76E3"/>
  </w:style>
  <w:style w:type="paragraph" w:customStyle="1" w:styleId="OpiQuotSub">
    <w:name w:val="Opi_Quot_Sub"/>
    <w:basedOn w:val="JuQuotSub"/>
    <w:uiPriority w:val="49"/>
    <w:semiHidden/>
    <w:qFormat/>
    <w:rsid w:val="001A76E3"/>
  </w:style>
  <w:style w:type="paragraph" w:customStyle="1" w:styleId="ECHRTitleCentre2">
    <w:name w:val="ECHR_Title_Centre_2"/>
    <w:aliases w:val="Dec_H_Case"/>
    <w:basedOn w:val="Normalny"/>
    <w:next w:val="ECHRPara"/>
    <w:uiPriority w:val="8"/>
    <w:qFormat/>
    <w:rsid w:val="001A76E3"/>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1A76E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A76E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A76E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A76E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A76E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A76E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A76E3"/>
    <w:pPr>
      <w:keepNext/>
      <w:keepLines/>
      <w:spacing w:before="240" w:after="120"/>
      <w:ind w:left="1236"/>
    </w:pPr>
    <w:rPr>
      <w:sz w:val="20"/>
    </w:rPr>
  </w:style>
  <w:style w:type="paragraph" w:customStyle="1" w:styleId="JuTitle">
    <w:name w:val="Ju_Title"/>
    <w:basedOn w:val="Normalny"/>
    <w:next w:val="ECHRPara"/>
    <w:uiPriority w:val="3"/>
    <w:qFormat/>
    <w:rsid w:val="001A76E3"/>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A76E3"/>
    <w:pPr>
      <w:ind w:left="567"/>
    </w:pPr>
  </w:style>
  <w:style w:type="paragraph" w:customStyle="1" w:styleId="OpiHA">
    <w:name w:val="Opi_H_A"/>
    <w:basedOn w:val="ECHRHeading1"/>
    <w:next w:val="OpiPara"/>
    <w:uiPriority w:val="41"/>
    <w:qFormat/>
    <w:rsid w:val="001A76E3"/>
    <w:pPr>
      <w:tabs>
        <w:tab w:val="clear" w:pos="357"/>
      </w:tabs>
      <w:outlineLvl w:val="1"/>
    </w:pPr>
    <w:rPr>
      <w:b/>
    </w:rPr>
  </w:style>
  <w:style w:type="paragraph" w:styleId="Nagwek">
    <w:name w:val="header"/>
    <w:basedOn w:val="Normalny"/>
    <w:link w:val="NagwekZnak"/>
    <w:uiPriority w:val="57"/>
    <w:semiHidden/>
    <w:rsid w:val="001A76E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A76E3"/>
    <w:rPr>
      <w:sz w:val="24"/>
    </w:rPr>
  </w:style>
  <w:style w:type="character" w:customStyle="1" w:styleId="Nagwek1Znak">
    <w:name w:val="Nagłówek 1 Znak"/>
    <w:basedOn w:val="Domylnaczcionkaakapitu"/>
    <w:link w:val="Nagwek1"/>
    <w:uiPriority w:val="99"/>
    <w:semiHidden/>
    <w:rsid w:val="001A76E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A76E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A76E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A76E3"/>
    <w:rPr>
      <w:rFonts w:asciiTheme="majorHAnsi" w:eastAsiaTheme="majorEastAsia" w:hAnsiTheme="majorHAnsi" w:cstheme="majorBidi"/>
      <w:b/>
      <w:bCs/>
      <w:color w:val="4D4D4D"/>
      <w:sz w:val="26"/>
      <w:szCs w:val="26"/>
    </w:rPr>
  </w:style>
  <w:style w:type="character" w:customStyle="1" w:styleId="JUNAMES">
    <w:name w:val="JU_NAMES"/>
    <w:uiPriority w:val="17"/>
    <w:qFormat/>
    <w:rsid w:val="001A76E3"/>
    <w:rPr>
      <w:caps w:val="0"/>
      <w:smallCaps/>
    </w:rPr>
  </w:style>
  <w:style w:type="paragraph" w:customStyle="1" w:styleId="JuCase">
    <w:name w:val="Ju_Case"/>
    <w:basedOn w:val="Normalny"/>
    <w:next w:val="ECHRPara"/>
    <w:uiPriority w:val="10"/>
    <w:rsid w:val="001A76E3"/>
    <w:pPr>
      <w:ind w:firstLine="284"/>
    </w:pPr>
    <w:rPr>
      <w:b/>
    </w:rPr>
  </w:style>
  <w:style w:type="character" w:customStyle="1" w:styleId="Nagwek3Znak">
    <w:name w:val="Nagłówek 3 Znak"/>
    <w:basedOn w:val="Domylnaczcionkaakapitu"/>
    <w:link w:val="Nagwek3"/>
    <w:uiPriority w:val="99"/>
    <w:semiHidden/>
    <w:rsid w:val="001A76E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A76E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A76E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A76E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A76E3"/>
    <w:pPr>
      <w:keepNext/>
      <w:keepLines/>
      <w:spacing w:before="720" w:after="240"/>
      <w:outlineLvl w:val="0"/>
    </w:pPr>
    <w:rPr>
      <w:rFonts w:asciiTheme="majorHAnsi" w:hAnsiTheme="majorHAnsi"/>
      <w:sz w:val="28"/>
    </w:rPr>
  </w:style>
  <w:style w:type="character" w:styleId="Uwydatnienie">
    <w:name w:val="Emphasis"/>
    <w:uiPriority w:val="99"/>
    <w:semiHidden/>
    <w:qFormat/>
    <w:rsid w:val="001A76E3"/>
    <w:rPr>
      <w:b/>
      <w:bCs/>
      <w:i/>
      <w:iCs/>
      <w:spacing w:val="10"/>
      <w:bdr w:val="none" w:sz="0" w:space="0" w:color="auto"/>
      <w:shd w:val="clear" w:color="auto" w:fill="auto"/>
    </w:rPr>
  </w:style>
  <w:style w:type="paragraph" w:styleId="Stopka">
    <w:name w:val="footer"/>
    <w:basedOn w:val="Normalny"/>
    <w:link w:val="StopkaZnak"/>
    <w:uiPriority w:val="57"/>
    <w:semiHidden/>
    <w:rsid w:val="001A76E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A76E3"/>
    <w:rPr>
      <w:sz w:val="24"/>
    </w:rPr>
  </w:style>
  <w:style w:type="character" w:styleId="Odwoanieprzypisudolnego">
    <w:name w:val="footnote reference"/>
    <w:basedOn w:val="Domylnaczcionkaakapitu"/>
    <w:uiPriority w:val="99"/>
    <w:semiHidden/>
    <w:rsid w:val="001A76E3"/>
    <w:rPr>
      <w:vertAlign w:val="superscript"/>
    </w:rPr>
  </w:style>
  <w:style w:type="paragraph" w:styleId="Tekstprzypisudolnego">
    <w:name w:val="footnote text"/>
    <w:basedOn w:val="Normalny"/>
    <w:link w:val="TekstprzypisudolnegoZnak"/>
    <w:uiPriority w:val="99"/>
    <w:semiHidden/>
    <w:rsid w:val="001A76E3"/>
    <w:rPr>
      <w:sz w:val="20"/>
      <w:szCs w:val="20"/>
    </w:rPr>
  </w:style>
  <w:style w:type="character" w:customStyle="1" w:styleId="TekstprzypisudolnegoZnak">
    <w:name w:val="Tekst przypisu dolnego Znak"/>
    <w:basedOn w:val="Domylnaczcionkaakapitu"/>
    <w:link w:val="Tekstprzypisudolnego"/>
    <w:uiPriority w:val="99"/>
    <w:semiHidden/>
    <w:rsid w:val="001A76E3"/>
    <w:rPr>
      <w:rFonts w:eastAsiaTheme="minorEastAsia"/>
      <w:sz w:val="20"/>
      <w:szCs w:val="20"/>
    </w:rPr>
  </w:style>
  <w:style w:type="character" w:customStyle="1" w:styleId="Nagwek6Znak">
    <w:name w:val="Nagłówek 6 Znak"/>
    <w:basedOn w:val="Domylnaczcionkaakapitu"/>
    <w:link w:val="Nagwek6"/>
    <w:uiPriority w:val="99"/>
    <w:semiHidden/>
    <w:rsid w:val="001A76E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A76E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A76E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A76E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A76E3"/>
    <w:rPr>
      <w:color w:val="0072BC" w:themeColor="hyperlink"/>
      <w:u w:val="single"/>
    </w:rPr>
  </w:style>
  <w:style w:type="character" w:styleId="Wyrnienieintensywne">
    <w:name w:val="Intense Emphasis"/>
    <w:uiPriority w:val="99"/>
    <w:semiHidden/>
    <w:qFormat/>
    <w:rsid w:val="001A76E3"/>
    <w:rPr>
      <w:b/>
      <w:bCs/>
    </w:rPr>
  </w:style>
  <w:style w:type="paragraph" w:styleId="Cytatintensywny">
    <w:name w:val="Intense Quote"/>
    <w:basedOn w:val="Normalny"/>
    <w:next w:val="Normalny"/>
    <w:link w:val="CytatintensywnyZnak"/>
    <w:uiPriority w:val="99"/>
    <w:semiHidden/>
    <w:qFormat/>
    <w:rsid w:val="001A76E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A76E3"/>
    <w:rPr>
      <w:rFonts w:eastAsiaTheme="minorEastAsia"/>
      <w:b/>
      <w:bCs/>
      <w:i/>
      <w:iCs/>
      <w:sz w:val="24"/>
      <w:lang w:bidi="en-US"/>
    </w:rPr>
  </w:style>
  <w:style w:type="character" w:styleId="Odwoanieintensywne">
    <w:name w:val="Intense Reference"/>
    <w:uiPriority w:val="99"/>
    <w:semiHidden/>
    <w:qFormat/>
    <w:rsid w:val="001A76E3"/>
    <w:rPr>
      <w:smallCaps/>
      <w:spacing w:val="5"/>
      <w:u w:val="single"/>
    </w:rPr>
  </w:style>
  <w:style w:type="paragraph" w:styleId="Akapitzlist">
    <w:name w:val="List Paragraph"/>
    <w:basedOn w:val="Normalny"/>
    <w:uiPriority w:val="99"/>
    <w:semiHidden/>
    <w:qFormat/>
    <w:rsid w:val="001A76E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A76E3"/>
    <w:pPr>
      <w:spacing w:before="200"/>
      <w:ind w:left="360" w:right="360"/>
    </w:pPr>
    <w:rPr>
      <w:i/>
      <w:iCs/>
      <w:lang w:bidi="en-US"/>
    </w:rPr>
  </w:style>
  <w:style w:type="character" w:customStyle="1" w:styleId="CytatZnak">
    <w:name w:val="Cytat Znak"/>
    <w:basedOn w:val="Domylnaczcionkaakapitu"/>
    <w:link w:val="Cytat"/>
    <w:uiPriority w:val="99"/>
    <w:semiHidden/>
    <w:rsid w:val="001A76E3"/>
    <w:rPr>
      <w:rFonts w:eastAsiaTheme="minorEastAsia"/>
      <w:i/>
      <w:iCs/>
      <w:sz w:val="24"/>
      <w:lang w:bidi="en-US"/>
    </w:rPr>
  </w:style>
  <w:style w:type="character" w:styleId="Odwoaniedelikatne">
    <w:name w:val="Subtle Reference"/>
    <w:uiPriority w:val="99"/>
    <w:semiHidden/>
    <w:qFormat/>
    <w:rsid w:val="001A76E3"/>
    <w:rPr>
      <w:smallCaps/>
    </w:rPr>
  </w:style>
  <w:style w:type="table" w:styleId="Tabela-Siatka">
    <w:name w:val="Table Grid"/>
    <w:basedOn w:val="Standardowy"/>
    <w:uiPriority w:val="59"/>
    <w:rsid w:val="001A76E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1A76E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A76E3"/>
    <w:pPr>
      <w:spacing w:after="60"/>
      <w:ind w:left="680" w:right="340" w:hanging="340"/>
    </w:pPr>
  </w:style>
  <w:style w:type="paragraph" w:styleId="Spistreci3">
    <w:name w:val="toc 3"/>
    <w:basedOn w:val="Normalny"/>
    <w:next w:val="Normalny"/>
    <w:autoRedefine/>
    <w:uiPriority w:val="99"/>
    <w:semiHidden/>
    <w:rsid w:val="001A76E3"/>
    <w:pPr>
      <w:spacing w:after="60"/>
      <w:ind w:left="1020" w:right="340" w:hanging="340"/>
    </w:pPr>
  </w:style>
  <w:style w:type="paragraph" w:styleId="Spistreci4">
    <w:name w:val="toc 4"/>
    <w:basedOn w:val="Normalny"/>
    <w:next w:val="Normalny"/>
    <w:autoRedefine/>
    <w:uiPriority w:val="99"/>
    <w:semiHidden/>
    <w:rsid w:val="001A76E3"/>
    <w:pPr>
      <w:tabs>
        <w:tab w:val="right" w:leader="dot" w:pos="9017"/>
      </w:tabs>
      <w:spacing w:after="60"/>
      <w:ind w:left="1361" w:right="340" w:hanging="340"/>
    </w:pPr>
  </w:style>
  <w:style w:type="paragraph" w:styleId="Spistreci5">
    <w:name w:val="toc 5"/>
    <w:basedOn w:val="Normalny"/>
    <w:next w:val="Normalny"/>
    <w:autoRedefine/>
    <w:uiPriority w:val="99"/>
    <w:semiHidden/>
    <w:rsid w:val="001A76E3"/>
    <w:pPr>
      <w:spacing w:after="60"/>
      <w:ind w:left="1701" w:right="340" w:hanging="340"/>
    </w:pPr>
  </w:style>
  <w:style w:type="paragraph" w:styleId="Nagwekspisutreci">
    <w:name w:val="TOC Heading"/>
    <w:basedOn w:val="Nagwek1"/>
    <w:next w:val="Normalny"/>
    <w:uiPriority w:val="99"/>
    <w:semiHidden/>
    <w:qFormat/>
    <w:rsid w:val="001A76E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A76E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1A76E3"/>
    <w:pPr>
      <w:spacing w:before="120" w:after="120"/>
      <w:ind w:left="425" w:firstLine="142"/>
    </w:pPr>
    <w:rPr>
      <w:sz w:val="20"/>
    </w:rPr>
  </w:style>
  <w:style w:type="paragraph" w:customStyle="1" w:styleId="ECHRPara">
    <w:name w:val="ECHR_Para"/>
    <w:aliases w:val="Ju_Para"/>
    <w:basedOn w:val="Normalny"/>
    <w:link w:val="ECHRParaChar"/>
    <w:uiPriority w:val="12"/>
    <w:qFormat/>
    <w:rsid w:val="001A76E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A76E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1A76E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1A76E3"/>
    <w:pPr>
      <w:ind w:left="340" w:hanging="340"/>
    </w:pPr>
  </w:style>
  <w:style w:type="paragraph" w:customStyle="1" w:styleId="JuSigned">
    <w:name w:val="Ju_Signed"/>
    <w:basedOn w:val="Normalny"/>
    <w:next w:val="JuParaLast"/>
    <w:uiPriority w:val="32"/>
    <w:qFormat/>
    <w:rsid w:val="001A76E3"/>
    <w:pPr>
      <w:tabs>
        <w:tab w:val="center" w:pos="851"/>
        <w:tab w:val="center" w:pos="6407"/>
      </w:tabs>
      <w:spacing w:before="720"/>
      <w:jc w:val="left"/>
    </w:pPr>
  </w:style>
  <w:style w:type="paragraph" w:customStyle="1" w:styleId="JuParaLast">
    <w:name w:val="Ju_Para_Last"/>
    <w:basedOn w:val="Normalny"/>
    <w:next w:val="ECHRPara"/>
    <w:uiPriority w:val="30"/>
    <w:qFormat/>
    <w:rsid w:val="001A76E3"/>
    <w:pPr>
      <w:keepNext/>
      <w:keepLines/>
      <w:spacing w:before="240"/>
      <w:ind w:firstLine="284"/>
    </w:pPr>
  </w:style>
  <w:style w:type="character" w:customStyle="1" w:styleId="JuITMark">
    <w:name w:val="Ju_ITMark"/>
    <w:basedOn w:val="Domylnaczcionkaakapitu"/>
    <w:uiPriority w:val="38"/>
    <w:qFormat/>
    <w:rsid w:val="001A76E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1A76E3"/>
    <w:pPr>
      <w:jc w:val="center"/>
      <w:outlineLvl w:val="0"/>
    </w:pPr>
    <w:rPr>
      <w:i/>
    </w:rPr>
  </w:style>
  <w:style w:type="paragraph" w:customStyle="1" w:styleId="DecHTitle">
    <w:name w:val="Dec_H_Title"/>
    <w:basedOn w:val="ECHRTitleCentre1"/>
    <w:uiPriority w:val="7"/>
    <w:qFormat/>
    <w:rsid w:val="001A76E3"/>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1A76E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1A76E3"/>
    <w:pPr>
      <w:spacing w:before="240"/>
      <w:ind w:left="284"/>
    </w:pPr>
  </w:style>
  <w:style w:type="paragraph" w:styleId="Podtytu">
    <w:name w:val="Subtitle"/>
    <w:basedOn w:val="Normalny"/>
    <w:next w:val="Normalny"/>
    <w:link w:val="PodtytuZnak"/>
    <w:uiPriority w:val="99"/>
    <w:semiHidden/>
    <w:qFormat/>
    <w:rsid w:val="001A76E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A76E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FD3AFC"/>
    <w:rPr>
      <w:rFonts w:eastAsiaTheme="minorEastAsia"/>
      <w:sz w:val="24"/>
    </w:rPr>
  </w:style>
  <w:style w:type="paragraph" w:customStyle="1" w:styleId="JuLista">
    <w:name w:val="Ju_List_a"/>
    <w:basedOn w:val="JuList"/>
    <w:uiPriority w:val="28"/>
    <w:qFormat/>
    <w:rsid w:val="001A76E3"/>
    <w:pPr>
      <w:ind w:left="346" w:firstLine="0"/>
    </w:pPr>
  </w:style>
  <w:style w:type="paragraph" w:customStyle="1" w:styleId="OpiH1">
    <w:name w:val="Opi_H_1"/>
    <w:basedOn w:val="ECHRHeading2"/>
    <w:uiPriority w:val="42"/>
    <w:semiHidden/>
    <w:qFormat/>
    <w:rsid w:val="001A76E3"/>
    <w:pPr>
      <w:ind w:left="635" w:hanging="357"/>
      <w:outlineLvl w:val="2"/>
    </w:pPr>
  </w:style>
  <w:style w:type="character" w:customStyle="1" w:styleId="JuQuotChar">
    <w:name w:val="Ju_Quot Char"/>
    <w:basedOn w:val="Domylnaczcionkaakapitu"/>
    <w:link w:val="ECHRParaQuote"/>
    <w:uiPriority w:val="14"/>
    <w:rsid w:val="008027FC"/>
    <w:rPr>
      <w:rFonts w:eastAsiaTheme="minorEastAsia"/>
      <w:sz w:val="20"/>
    </w:rPr>
  </w:style>
  <w:style w:type="paragraph" w:customStyle="1" w:styleId="JuListi">
    <w:name w:val="Ju_List_i"/>
    <w:basedOn w:val="Normalny"/>
    <w:next w:val="JuLista"/>
    <w:uiPriority w:val="28"/>
    <w:qFormat/>
    <w:rsid w:val="001A76E3"/>
    <w:pPr>
      <w:ind w:left="794"/>
    </w:pPr>
  </w:style>
  <w:style w:type="character" w:customStyle="1" w:styleId="JuListChar">
    <w:name w:val="Ju_List Char"/>
    <w:basedOn w:val="Domylnaczcionkaakapitu"/>
    <w:link w:val="JuList"/>
    <w:uiPriority w:val="28"/>
    <w:rsid w:val="001B07C5"/>
    <w:rPr>
      <w:rFonts w:eastAsiaTheme="minorEastAsia"/>
      <w:sz w:val="24"/>
    </w:rPr>
  </w:style>
  <w:style w:type="paragraph" w:customStyle="1" w:styleId="OpiHa0">
    <w:name w:val="Opi_H_a"/>
    <w:basedOn w:val="ECHRHeading3"/>
    <w:uiPriority w:val="43"/>
    <w:semiHidden/>
    <w:qFormat/>
    <w:rsid w:val="001A76E3"/>
    <w:pPr>
      <w:ind w:left="833" w:hanging="357"/>
      <w:outlineLvl w:val="3"/>
    </w:pPr>
    <w:rPr>
      <w:b/>
      <w:i w:val="0"/>
      <w:sz w:val="20"/>
    </w:rPr>
  </w:style>
  <w:style w:type="character" w:customStyle="1" w:styleId="JuJudgesChar">
    <w:name w:val="Ju_Judges Char"/>
    <w:link w:val="ECHRDecisionBody"/>
    <w:uiPriority w:val="11"/>
    <w:rsid w:val="00D05578"/>
    <w:rPr>
      <w:rFonts w:eastAsiaTheme="minorEastAsia"/>
      <w:sz w:val="24"/>
    </w:rPr>
  </w:style>
  <w:style w:type="numbering" w:customStyle="1" w:styleId="ECHRA1StyleBulletedSquare">
    <w:name w:val="ECHR_A1_Style_Bulleted_Square"/>
    <w:basedOn w:val="Bezlisty"/>
    <w:rsid w:val="00D04B18"/>
    <w:pPr>
      <w:numPr>
        <w:numId w:val="15"/>
      </w:numPr>
    </w:pPr>
  </w:style>
  <w:style w:type="paragraph" w:customStyle="1" w:styleId="ECHRBullet1">
    <w:name w:val="ECHR_Bullet_1"/>
    <w:aliases w:val="Bul_1"/>
    <w:basedOn w:val="Normalny"/>
    <w:uiPriority w:val="8"/>
    <w:rsid w:val="00D04B18"/>
    <w:pPr>
      <w:numPr>
        <w:numId w:val="15"/>
      </w:numPr>
      <w:spacing w:before="60" w:after="60"/>
    </w:pPr>
    <w:rPr>
      <w:sz w:val="22"/>
    </w:rPr>
  </w:style>
  <w:style w:type="paragraph" w:customStyle="1" w:styleId="ECHRBullet2">
    <w:name w:val="ECHR_Bullet_2"/>
    <w:aliases w:val="Bul_2"/>
    <w:basedOn w:val="ECHRBullet1"/>
    <w:uiPriority w:val="8"/>
    <w:rsid w:val="00D04B18"/>
    <w:pPr>
      <w:numPr>
        <w:ilvl w:val="1"/>
      </w:numPr>
    </w:pPr>
  </w:style>
  <w:style w:type="paragraph" w:customStyle="1" w:styleId="ECHRBullet3">
    <w:name w:val="ECHR_Bullet_3"/>
    <w:aliases w:val="Bul_3"/>
    <w:basedOn w:val="ECHRBullet2"/>
    <w:uiPriority w:val="8"/>
    <w:rsid w:val="00D04B18"/>
    <w:pPr>
      <w:numPr>
        <w:ilvl w:val="2"/>
      </w:numPr>
    </w:pPr>
  </w:style>
  <w:style w:type="paragraph" w:customStyle="1" w:styleId="ECHRBullet4">
    <w:name w:val="ECHR_Bullet_4"/>
    <w:aliases w:val="Bul_4"/>
    <w:basedOn w:val="ECHRBullet3"/>
    <w:uiPriority w:val="8"/>
    <w:rsid w:val="00D04B18"/>
    <w:pPr>
      <w:numPr>
        <w:ilvl w:val="3"/>
      </w:numPr>
    </w:pPr>
  </w:style>
  <w:style w:type="paragraph" w:customStyle="1" w:styleId="OpiHi">
    <w:name w:val="Opi_H_i"/>
    <w:basedOn w:val="ECHRHeading4"/>
    <w:uiPriority w:val="44"/>
    <w:semiHidden/>
    <w:qFormat/>
    <w:rsid w:val="001A76E3"/>
    <w:pPr>
      <w:ind w:left="1037" w:hanging="357"/>
      <w:outlineLvl w:val="4"/>
    </w:pPr>
    <w:rPr>
      <w:b w:val="0"/>
      <w:i/>
    </w:rPr>
  </w:style>
  <w:style w:type="paragraph" w:customStyle="1" w:styleId="DummyStyle">
    <w:name w:val="Dummy_Style"/>
    <w:basedOn w:val="Normalny"/>
    <w:semiHidden/>
    <w:qFormat/>
    <w:rsid w:val="001A76E3"/>
    <w:rPr>
      <w:color w:val="00B050"/>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533F0"/>
    <w:pPr>
      <w:jc w:val="both"/>
    </w:pPr>
    <w:rPr>
      <w:rFonts w:eastAsiaTheme="minorEastAsia"/>
      <w:sz w:val="24"/>
    </w:rPr>
  </w:style>
  <w:style w:type="paragraph" w:styleId="Nagwek1">
    <w:name w:val="heading 1"/>
    <w:basedOn w:val="Normalny"/>
    <w:next w:val="Normalny"/>
    <w:link w:val="Nagwek1Znak"/>
    <w:uiPriority w:val="99"/>
    <w:semiHidden/>
    <w:rsid w:val="001A76E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1A76E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1A76E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1A76E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1A76E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1A76E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1A76E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1A76E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1A76E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1A76E3"/>
    <w:rPr>
      <w:rFonts w:ascii="Tahoma" w:hAnsi="Tahoma" w:cs="Tahoma"/>
      <w:sz w:val="16"/>
      <w:szCs w:val="16"/>
    </w:rPr>
  </w:style>
  <w:style w:type="character" w:customStyle="1" w:styleId="TekstdymkaZnak">
    <w:name w:val="Tekst dymka Znak"/>
    <w:basedOn w:val="Domylnaczcionkaakapitu"/>
    <w:link w:val="Tekstdymka"/>
    <w:uiPriority w:val="99"/>
    <w:semiHidden/>
    <w:rsid w:val="001A76E3"/>
    <w:rPr>
      <w:rFonts w:ascii="Tahoma" w:eastAsiaTheme="minorEastAsia" w:hAnsi="Tahoma" w:cs="Tahoma"/>
      <w:sz w:val="16"/>
      <w:szCs w:val="16"/>
    </w:rPr>
  </w:style>
  <w:style w:type="character" w:styleId="Tytuksiki">
    <w:name w:val="Book Title"/>
    <w:uiPriority w:val="99"/>
    <w:semiHidden/>
    <w:qFormat/>
    <w:rsid w:val="001A76E3"/>
    <w:rPr>
      <w:i/>
      <w:iCs/>
      <w:smallCaps/>
      <w:spacing w:val="5"/>
    </w:rPr>
  </w:style>
  <w:style w:type="paragraph" w:customStyle="1" w:styleId="ECHRHeader">
    <w:name w:val="ECHR_Header"/>
    <w:aliases w:val="Ju_Header"/>
    <w:basedOn w:val="Nagwek"/>
    <w:uiPriority w:val="4"/>
    <w:qFormat/>
    <w:rsid w:val="001A76E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1A76E3"/>
    <w:pPr>
      <w:jc w:val="left"/>
    </w:pPr>
    <w:rPr>
      <w:sz w:val="8"/>
    </w:rPr>
  </w:style>
  <w:style w:type="character" w:styleId="Pogrubienie">
    <w:name w:val="Strong"/>
    <w:uiPriority w:val="99"/>
    <w:semiHidden/>
    <w:qFormat/>
    <w:rsid w:val="001A76E3"/>
    <w:rPr>
      <w:b/>
      <w:bCs/>
    </w:rPr>
  </w:style>
  <w:style w:type="paragraph" w:styleId="Bezodstpw">
    <w:name w:val="No Spacing"/>
    <w:basedOn w:val="Normalny"/>
    <w:link w:val="BezodstpwZnak"/>
    <w:semiHidden/>
    <w:qFormat/>
    <w:rsid w:val="001A76E3"/>
  </w:style>
  <w:style w:type="character" w:customStyle="1" w:styleId="BezodstpwZnak">
    <w:name w:val="Bez odstępów Znak"/>
    <w:basedOn w:val="Domylnaczcionkaakapitu"/>
    <w:link w:val="Bezodstpw"/>
    <w:semiHidden/>
    <w:rsid w:val="001A76E3"/>
    <w:rPr>
      <w:rFonts w:eastAsiaTheme="minorEastAsia"/>
      <w:sz w:val="24"/>
    </w:rPr>
  </w:style>
  <w:style w:type="paragraph" w:customStyle="1" w:styleId="ECHRFooterLine">
    <w:name w:val="ECHR_Footer_Line"/>
    <w:aliases w:val="Footer_Line"/>
    <w:basedOn w:val="Normalny"/>
    <w:next w:val="ECHRFooter"/>
    <w:uiPriority w:val="57"/>
    <w:semiHidden/>
    <w:rsid w:val="001A76E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1A76E3"/>
    <w:pPr>
      <w:numPr>
        <w:numId w:val="14"/>
      </w:numPr>
      <w:jc w:val="left"/>
    </w:pPr>
    <w:rPr>
      <w:b/>
    </w:rPr>
  </w:style>
  <w:style w:type="paragraph" w:customStyle="1" w:styleId="OpiPara">
    <w:name w:val="Opi_Para"/>
    <w:basedOn w:val="ECHRPara"/>
    <w:uiPriority w:val="46"/>
    <w:qFormat/>
    <w:rsid w:val="001A76E3"/>
  </w:style>
  <w:style w:type="paragraph" w:customStyle="1" w:styleId="JuParaSub">
    <w:name w:val="Ju_Para_Sub"/>
    <w:basedOn w:val="ECHRPara"/>
    <w:uiPriority w:val="13"/>
    <w:qFormat/>
    <w:rsid w:val="001A76E3"/>
    <w:pPr>
      <w:ind w:left="284"/>
    </w:pPr>
  </w:style>
  <w:style w:type="paragraph" w:customStyle="1" w:styleId="ECHRTitleCentre3">
    <w:name w:val="ECHR_Title_Centre_3"/>
    <w:aliases w:val="Ju_H_Article"/>
    <w:basedOn w:val="Normalny"/>
    <w:next w:val="ECHRParaQuote"/>
    <w:uiPriority w:val="27"/>
    <w:qFormat/>
    <w:rsid w:val="001A76E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1A76E3"/>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1A76E3"/>
  </w:style>
  <w:style w:type="paragraph" w:customStyle="1" w:styleId="JuInitialled">
    <w:name w:val="Ju_Initialled"/>
    <w:basedOn w:val="Normalny"/>
    <w:uiPriority w:val="31"/>
    <w:qFormat/>
    <w:rsid w:val="001A76E3"/>
    <w:pPr>
      <w:tabs>
        <w:tab w:val="center" w:pos="6407"/>
      </w:tabs>
      <w:spacing w:before="720"/>
      <w:jc w:val="right"/>
    </w:pPr>
  </w:style>
  <w:style w:type="paragraph" w:customStyle="1" w:styleId="OpiQuot">
    <w:name w:val="Opi_Quot"/>
    <w:basedOn w:val="ECHRParaQuote"/>
    <w:uiPriority w:val="48"/>
    <w:semiHidden/>
    <w:qFormat/>
    <w:rsid w:val="001A76E3"/>
  </w:style>
  <w:style w:type="paragraph" w:customStyle="1" w:styleId="OpiQuotSub">
    <w:name w:val="Opi_Quot_Sub"/>
    <w:basedOn w:val="JuQuotSub"/>
    <w:uiPriority w:val="49"/>
    <w:semiHidden/>
    <w:qFormat/>
    <w:rsid w:val="001A76E3"/>
  </w:style>
  <w:style w:type="paragraph" w:customStyle="1" w:styleId="ECHRTitleCentre2">
    <w:name w:val="ECHR_Title_Centre_2"/>
    <w:aliases w:val="Dec_H_Case"/>
    <w:basedOn w:val="Normalny"/>
    <w:next w:val="ECHRPara"/>
    <w:uiPriority w:val="8"/>
    <w:qFormat/>
    <w:rsid w:val="001A76E3"/>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1A76E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1A76E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1A76E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1A76E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1A76E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1A76E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1A76E3"/>
    <w:pPr>
      <w:keepNext/>
      <w:keepLines/>
      <w:spacing w:before="240" w:after="120"/>
      <w:ind w:left="1236"/>
    </w:pPr>
    <w:rPr>
      <w:sz w:val="20"/>
    </w:rPr>
  </w:style>
  <w:style w:type="paragraph" w:customStyle="1" w:styleId="JuTitle">
    <w:name w:val="Ju_Title"/>
    <w:basedOn w:val="Normalny"/>
    <w:next w:val="ECHRPara"/>
    <w:uiPriority w:val="3"/>
    <w:qFormat/>
    <w:rsid w:val="001A76E3"/>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1A76E3"/>
    <w:pPr>
      <w:ind w:left="567"/>
    </w:pPr>
  </w:style>
  <w:style w:type="paragraph" w:customStyle="1" w:styleId="OpiHA">
    <w:name w:val="Opi_H_A"/>
    <w:basedOn w:val="ECHRHeading1"/>
    <w:next w:val="OpiPara"/>
    <w:uiPriority w:val="41"/>
    <w:qFormat/>
    <w:rsid w:val="001A76E3"/>
    <w:pPr>
      <w:tabs>
        <w:tab w:val="clear" w:pos="357"/>
      </w:tabs>
      <w:outlineLvl w:val="1"/>
    </w:pPr>
    <w:rPr>
      <w:b/>
    </w:rPr>
  </w:style>
  <w:style w:type="paragraph" w:styleId="Nagwek">
    <w:name w:val="header"/>
    <w:basedOn w:val="Normalny"/>
    <w:link w:val="NagwekZnak"/>
    <w:uiPriority w:val="57"/>
    <w:semiHidden/>
    <w:rsid w:val="001A76E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1A76E3"/>
    <w:rPr>
      <w:sz w:val="24"/>
    </w:rPr>
  </w:style>
  <w:style w:type="character" w:customStyle="1" w:styleId="Nagwek1Znak">
    <w:name w:val="Nagłówek 1 Znak"/>
    <w:basedOn w:val="Domylnaczcionkaakapitu"/>
    <w:link w:val="Nagwek1"/>
    <w:uiPriority w:val="99"/>
    <w:semiHidden/>
    <w:rsid w:val="001A76E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1A76E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1A76E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1A76E3"/>
    <w:rPr>
      <w:rFonts w:asciiTheme="majorHAnsi" w:eastAsiaTheme="majorEastAsia" w:hAnsiTheme="majorHAnsi" w:cstheme="majorBidi"/>
      <w:b/>
      <w:bCs/>
      <w:color w:val="4D4D4D"/>
      <w:sz w:val="26"/>
      <w:szCs w:val="26"/>
    </w:rPr>
  </w:style>
  <w:style w:type="character" w:customStyle="1" w:styleId="JUNAMES">
    <w:name w:val="JU_NAMES"/>
    <w:uiPriority w:val="17"/>
    <w:qFormat/>
    <w:rsid w:val="001A76E3"/>
    <w:rPr>
      <w:caps w:val="0"/>
      <w:smallCaps/>
    </w:rPr>
  </w:style>
  <w:style w:type="paragraph" w:customStyle="1" w:styleId="JuCase">
    <w:name w:val="Ju_Case"/>
    <w:basedOn w:val="Normalny"/>
    <w:next w:val="ECHRPara"/>
    <w:uiPriority w:val="10"/>
    <w:rsid w:val="001A76E3"/>
    <w:pPr>
      <w:ind w:firstLine="284"/>
    </w:pPr>
    <w:rPr>
      <w:b/>
    </w:rPr>
  </w:style>
  <w:style w:type="character" w:customStyle="1" w:styleId="Nagwek3Znak">
    <w:name w:val="Nagłówek 3 Znak"/>
    <w:basedOn w:val="Domylnaczcionkaakapitu"/>
    <w:link w:val="Nagwek3"/>
    <w:uiPriority w:val="99"/>
    <w:semiHidden/>
    <w:rsid w:val="001A76E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1A76E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1A76E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1A76E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1A76E3"/>
    <w:pPr>
      <w:keepNext/>
      <w:keepLines/>
      <w:spacing w:before="720" w:after="240"/>
      <w:outlineLvl w:val="0"/>
    </w:pPr>
    <w:rPr>
      <w:rFonts w:asciiTheme="majorHAnsi" w:hAnsiTheme="majorHAnsi"/>
      <w:sz w:val="28"/>
    </w:rPr>
  </w:style>
  <w:style w:type="character" w:styleId="Uwydatnienie">
    <w:name w:val="Emphasis"/>
    <w:uiPriority w:val="99"/>
    <w:semiHidden/>
    <w:qFormat/>
    <w:rsid w:val="001A76E3"/>
    <w:rPr>
      <w:b/>
      <w:bCs/>
      <w:i/>
      <w:iCs/>
      <w:spacing w:val="10"/>
      <w:bdr w:val="none" w:sz="0" w:space="0" w:color="auto"/>
      <w:shd w:val="clear" w:color="auto" w:fill="auto"/>
    </w:rPr>
  </w:style>
  <w:style w:type="paragraph" w:styleId="Stopka">
    <w:name w:val="footer"/>
    <w:basedOn w:val="Normalny"/>
    <w:link w:val="StopkaZnak"/>
    <w:uiPriority w:val="57"/>
    <w:semiHidden/>
    <w:rsid w:val="001A76E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1A76E3"/>
    <w:rPr>
      <w:sz w:val="24"/>
    </w:rPr>
  </w:style>
  <w:style w:type="character" w:styleId="Odwoanieprzypisudolnego">
    <w:name w:val="footnote reference"/>
    <w:basedOn w:val="Domylnaczcionkaakapitu"/>
    <w:uiPriority w:val="99"/>
    <w:semiHidden/>
    <w:rsid w:val="001A76E3"/>
    <w:rPr>
      <w:vertAlign w:val="superscript"/>
    </w:rPr>
  </w:style>
  <w:style w:type="paragraph" w:styleId="Tekstprzypisudolnego">
    <w:name w:val="footnote text"/>
    <w:basedOn w:val="Normalny"/>
    <w:link w:val="TekstprzypisudolnegoZnak"/>
    <w:uiPriority w:val="99"/>
    <w:semiHidden/>
    <w:rsid w:val="001A76E3"/>
    <w:rPr>
      <w:sz w:val="20"/>
      <w:szCs w:val="20"/>
    </w:rPr>
  </w:style>
  <w:style w:type="character" w:customStyle="1" w:styleId="TekstprzypisudolnegoZnak">
    <w:name w:val="Tekst przypisu dolnego Znak"/>
    <w:basedOn w:val="Domylnaczcionkaakapitu"/>
    <w:link w:val="Tekstprzypisudolnego"/>
    <w:uiPriority w:val="99"/>
    <w:semiHidden/>
    <w:rsid w:val="001A76E3"/>
    <w:rPr>
      <w:rFonts w:eastAsiaTheme="minorEastAsia"/>
      <w:sz w:val="20"/>
      <w:szCs w:val="20"/>
    </w:rPr>
  </w:style>
  <w:style w:type="character" w:customStyle="1" w:styleId="Nagwek6Znak">
    <w:name w:val="Nagłówek 6 Znak"/>
    <w:basedOn w:val="Domylnaczcionkaakapitu"/>
    <w:link w:val="Nagwek6"/>
    <w:uiPriority w:val="99"/>
    <w:semiHidden/>
    <w:rsid w:val="001A76E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1A76E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1A76E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1A76E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1A76E3"/>
    <w:rPr>
      <w:color w:val="0072BC" w:themeColor="hyperlink"/>
      <w:u w:val="single"/>
    </w:rPr>
  </w:style>
  <w:style w:type="character" w:styleId="Wyrnienieintensywne">
    <w:name w:val="Intense Emphasis"/>
    <w:uiPriority w:val="99"/>
    <w:semiHidden/>
    <w:qFormat/>
    <w:rsid w:val="001A76E3"/>
    <w:rPr>
      <w:b/>
      <w:bCs/>
    </w:rPr>
  </w:style>
  <w:style w:type="paragraph" w:styleId="Cytatintensywny">
    <w:name w:val="Intense Quote"/>
    <w:basedOn w:val="Normalny"/>
    <w:next w:val="Normalny"/>
    <w:link w:val="CytatintensywnyZnak"/>
    <w:uiPriority w:val="99"/>
    <w:semiHidden/>
    <w:qFormat/>
    <w:rsid w:val="001A76E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1A76E3"/>
    <w:rPr>
      <w:rFonts w:eastAsiaTheme="minorEastAsia"/>
      <w:b/>
      <w:bCs/>
      <w:i/>
      <w:iCs/>
      <w:sz w:val="24"/>
      <w:lang w:bidi="en-US"/>
    </w:rPr>
  </w:style>
  <w:style w:type="character" w:styleId="Odwoanieintensywne">
    <w:name w:val="Intense Reference"/>
    <w:uiPriority w:val="99"/>
    <w:semiHidden/>
    <w:qFormat/>
    <w:rsid w:val="001A76E3"/>
    <w:rPr>
      <w:smallCaps/>
      <w:spacing w:val="5"/>
      <w:u w:val="single"/>
    </w:rPr>
  </w:style>
  <w:style w:type="paragraph" w:styleId="Akapitzlist">
    <w:name w:val="List Paragraph"/>
    <w:basedOn w:val="Normalny"/>
    <w:uiPriority w:val="99"/>
    <w:semiHidden/>
    <w:qFormat/>
    <w:rsid w:val="001A76E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1A76E3"/>
    <w:pPr>
      <w:spacing w:before="200"/>
      <w:ind w:left="360" w:right="360"/>
    </w:pPr>
    <w:rPr>
      <w:i/>
      <w:iCs/>
      <w:lang w:bidi="en-US"/>
    </w:rPr>
  </w:style>
  <w:style w:type="character" w:customStyle="1" w:styleId="CytatZnak">
    <w:name w:val="Cytat Znak"/>
    <w:basedOn w:val="Domylnaczcionkaakapitu"/>
    <w:link w:val="Cytat"/>
    <w:uiPriority w:val="99"/>
    <w:semiHidden/>
    <w:rsid w:val="001A76E3"/>
    <w:rPr>
      <w:rFonts w:eastAsiaTheme="minorEastAsia"/>
      <w:i/>
      <w:iCs/>
      <w:sz w:val="24"/>
      <w:lang w:bidi="en-US"/>
    </w:rPr>
  </w:style>
  <w:style w:type="character" w:styleId="Odwoaniedelikatne">
    <w:name w:val="Subtle Reference"/>
    <w:uiPriority w:val="99"/>
    <w:semiHidden/>
    <w:qFormat/>
    <w:rsid w:val="001A76E3"/>
    <w:rPr>
      <w:smallCaps/>
    </w:rPr>
  </w:style>
  <w:style w:type="table" w:styleId="Tabela-Siatka">
    <w:name w:val="Table Grid"/>
    <w:basedOn w:val="Standardowy"/>
    <w:uiPriority w:val="59"/>
    <w:rsid w:val="001A76E3"/>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1A76E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1A76E3"/>
    <w:pPr>
      <w:spacing w:after="60"/>
      <w:ind w:left="680" w:right="340" w:hanging="340"/>
    </w:pPr>
  </w:style>
  <w:style w:type="paragraph" w:styleId="Spistreci3">
    <w:name w:val="toc 3"/>
    <w:basedOn w:val="Normalny"/>
    <w:next w:val="Normalny"/>
    <w:autoRedefine/>
    <w:uiPriority w:val="99"/>
    <w:semiHidden/>
    <w:rsid w:val="001A76E3"/>
    <w:pPr>
      <w:spacing w:after="60"/>
      <w:ind w:left="1020" w:right="340" w:hanging="340"/>
    </w:pPr>
  </w:style>
  <w:style w:type="paragraph" w:styleId="Spistreci4">
    <w:name w:val="toc 4"/>
    <w:basedOn w:val="Normalny"/>
    <w:next w:val="Normalny"/>
    <w:autoRedefine/>
    <w:uiPriority w:val="99"/>
    <w:semiHidden/>
    <w:rsid w:val="001A76E3"/>
    <w:pPr>
      <w:tabs>
        <w:tab w:val="right" w:leader="dot" w:pos="9017"/>
      </w:tabs>
      <w:spacing w:after="60"/>
      <w:ind w:left="1361" w:right="340" w:hanging="340"/>
    </w:pPr>
  </w:style>
  <w:style w:type="paragraph" w:styleId="Spistreci5">
    <w:name w:val="toc 5"/>
    <w:basedOn w:val="Normalny"/>
    <w:next w:val="Normalny"/>
    <w:autoRedefine/>
    <w:uiPriority w:val="99"/>
    <w:semiHidden/>
    <w:rsid w:val="001A76E3"/>
    <w:pPr>
      <w:spacing w:after="60"/>
      <w:ind w:left="1701" w:right="340" w:hanging="340"/>
    </w:pPr>
  </w:style>
  <w:style w:type="paragraph" w:styleId="Nagwekspisutreci">
    <w:name w:val="TOC Heading"/>
    <w:basedOn w:val="Nagwek1"/>
    <w:next w:val="Normalny"/>
    <w:uiPriority w:val="99"/>
    <w:semiHidden/>
    <w:qFormat/>
    <w:rsid w:val="001A76E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1A76E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1A76E3"/>
    <w:pPr>
      <w:spacing w:before="120" w:after="120"/>
      <w:ind w:left="425" w:firstLine="142"/>
    </w:pPr>
    <w:rPr>
      <w:sz w:val="20"/>
    </w:rPr>
  </w:style>
  <w:style w:type="paragraph" w:customStyle="1" w:styleId="ECHRPara">
    <w:name w:val="ECHR_Para"/>
    <w:aliases w:val="Ju_Para"/>
    <w:basedOn w:val="Normalny"/>
    <w:link w:val="ECHRParaChar"/>
    <w:uiPriority w:val="12"/>
    <w:qFormat/>
    <w:rsid w:val="001A76E3"/>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A76E3"/>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1A76E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1A76E3"/>
    <w:pPr>
      <w:ind w:left="340" w:hanging="340"/>
    </w:pPr>
  </w:style>
  <w:style w:type="paragraph" w:customStyle="1" w:styleId="JuSigned">
    <w:name w:val="Ju_Signed"/>
    <w:basedOn w:val="Normalny"/>
    <w:next w:val="JuParaLast"/>
    <w:uiPriority w:val="32"/>
    <w:qFormat/>
    <w:rsid w:val="001A76E3"/>
    <w:pPr>
      <w:tabs>
        <w:tab w:val="center" w:pos="851"/>
        <w:tab w:val="center" w:pos="6407"/>
      </w:tabs>
      <w:spacing w:before="720"/>
      <w:jc w:val="left"/>
    </w:pPr>
  </w:style>
  <w:style w:type="paragraph" w:customStyle="1" w:styleId="JuParaLast">
    <w:name w:val="Ju_Para_Last"/>
    <w:basedOn w:val="Normalny"/>
    <w:next w:val="ECHRPara"/>
    <w:uiPriority w:val="30"/>
    <w:qFormat/>
    <w:rsid w:val="001A76E3"/>
    <w:pPr>
      <w:keepNext/>
      <w:keepLines/>
      <w:spacing w:before="240"/>
      <w:ind w:firstLine="284"/>
    </w:pPr>
  </w:style>
  <w:style w:type="character" w:customStyle="1" w:styleId="JuITMark">
    <w:name w:val="Ju_ITMark"/>
    <w:basedOn w:val="Domylnaczcionkaakapitu"/>
    <w:uiPriority w:val="38"/>
    <w:qFormat/>
    <w:rsid w:val="001A76E3"/>
    <w:rPr>
      <w:vanish w:val="0"/>
      <w:color w:val="auto"/>
      <w:sz w:val="14"/>
    </w:rPr>
  </w:style>
  <w:style w:type="character" w:styleId="Numerstrony">
    <w:name w:val="page number"/>
    <w:uiPriority w:val="99"/>
    <w:semiHidden/>
    <w:rsid w:val="00014566"/>
    <w:rPr>
      <w:sz w:val="18"/>
    </w:rPr>
  </w:style>
  <w:style w:type="paragraph" w:customStyle="1" w:styleId="OpiTranslation">
    <w:name w:val="Opi_Translation"/>
    <w:basedOn w:val="Normalny"/>
    <w:next w:val="OpiPara"/>
    <w:uiPriority w:val="40"/>
    <w:semiHidden/>
    <w:qFormat/>
    <w:rsid w:val="001A76E3"/>
    <w:pPr>
      <w:jc w:val="center"/>
      <w:outlineLvl w:val="0"/>
    </w:pPr>
    <w:rPr>
      <w:i/>
    </w:rPr>
  </w:style>
  <w:style w:type="paragraph" w:customStyle="1" w:styleId="DecHTitle">
    <w:name w:val="Dec_H_Title"/>
    <w:basedOn w:val="ECHRTitleCentre1"/>
    <w:uiPriority w:val="7"/>
    <w:qFormat/>
    <w:rsid w:val="001A76E3"/>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1A76E3"/>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qFormat/>
    <w:rsid w:val="001A76E3"/>
    <w:pPr>
      <w:spacing w:before="240"/>
      <w:ind w:left="284"/>
    </w:pPr>
  </w:style>
  <w:style w:type="paragraph" w:styleId="Podtytu">
    <w:name w:val="Subtitle"/>
    <w:basedOn w:val="Normalny"/>
    <w:next w:val="Normalny"/>
    <w:link w:val="PodtytuZnak"/>
    <w:uiPriority w:val="99"/>
    <w:semiHidden/>
    <w:qFormat/>
    <w:rsid w:val="001A76E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1A76E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FD3AFC"/>
    <w:rPr>
      <w:rFonts w:eastAsiaTheme="minorEastAsia"/>
      <w:sz w:val="24"/>
    </w:rPr>
  </w:style>
  <w:style w:type="paragraph" w:customStyle="1" w:styleId="JuLista">
    <w:name w:val="Ju_List_a"/>
    <w:basedOn w:val="JuList"/>
    <w:uiPriority w:val="28"/>
    <w:qFormat/>
    <w:rsid w:val="001A76E3"/>
    <w:pPr>
      <w:ind w:left="346" w:firstLine="0"/>
    </w:pPr>
  </w:style>
  <w:style w:type="paragraph" w:customStyle="1" w:styleId="OpiH1">
    <w:name w:val="Opi_H_1"/>
    <w:basedOn w:val="ECHRHeading2"/>
    <w:uiPriority w:val="42"/>
    <w:semiHidden/>
    <w:qFormat/>
    <w:rsid w:val="001A76E3"/>
    <w:pPr>
      <w:ind w:left="635" w:hanging="357"/>
      <w:outlineLvl w:val="2"/>
    </w:pPr>
  </w:style>
  <w:style w:type="character" w:customStyle="1" w:styleId="JuQuotChar">
    <w:name w:val="Ju_Quot Char"/>
    <w:basedOn w:val="Domylnaczcionkaakapitu"/>
    <w:link w:val="ECHRParaQuote"/>
    <w:uiPriority w:val="14"/>
    <w:rsid w:val="008027FC"/>
    <w:rPr>
      <w:rFonts w:eastAsiaTheme="minorEastAsia"/>
      <w:sz w:val="20"/>
    </w:rPr>
  </w:style>
  <w:style w:type="paragraph" w:customStyle="1" w:styleId="JuListi">
    <w:name w:val="Ju_List_i"/>
    <w:basedOn w:val="Normalny"/>
    <w:next w:val="JuLista"/>
    <w:uiPriority w:val="28"/>
    <w:qFormat/>
    <w:rsid w:val="001A76E3"/>
    <w:pPr>
      <w:ind w:left="794"/>
    </w:pPr>
  </w:style>
  <w:style w:type="character" w:customStyle="1" w:styleId="JuListChar">
    <w:name w:val="Ju_List Char"/>
    <w:basedOn w:val="Domylnaczcionkaakapitu"/>
    <w:link w:val="JuList"/>
    <w:uiPriority w:val="28"/>
    <w:rsid w:val="001B07C5"/>
    <w:rPr>
      <w:rFonts w:eastAsiaTheme="minorEastAsia"/>
      <w:sz w:val="24"/>
    </w:rPr>
  </w:style>
  <w:style w:type="paragraph" w:customStyle="1" w:styleId="OpiHa0">
    <w:name w:val="Opi_H_a"/>
    <w:basedOn w:val="ECHRHeading3"/>
    <w:uiPriority w:val="43"/>
    <w:semiHidden/>
    <w:qFormat/>
    <w:rsid w:val="001A76E3"/>
    <w:pPr>
      <w:ind w:left="833" w:hanging="357"/>
      <w:outlineLvl w:val="3"/>
    </w:pPr>
    <w:rPr>
      <w:b/>
      <w:i w:val="0"/>
      <w:sz w:val="20"/>
    </w:rPr>
  </w:style>
  <w:style w:type="character" w:customStyle="1" w:styleId="JuJudgesChar">
    <w:name w:val="Ju_Judges Char"/>
    <w:link w:val="ECHRDecisionBody"/>
    <w:uiPriority w:val="11"/>
    <w:rsid w:val="00D05578"/>
    <w:rPr>
      <w:rFonts w:eastAsiaTheme="minorEastAsia"/>
      <w:sz w:val="24"/>
    </w:rPr>
  </w:style>
  <w:style w:type="numbering" w:customStyle="1" w:styleId="ECHRA1StyleBulletedSquare">
    <w:name w:val="ECHR_A1_Style_Bulleted_Square"/>
    <w:basedOn w:val="Bezlisty"/>
    <w:rsid w:val="00D04B18"/>
    <w:pPr>
      <w:numPr>
        <w:numId w:val="15"/>
      </w:numPr>
    </w:pPr>
  </w:style>
  <w:style w:type="paragraph" w:customStyle="1" w:styleId="ECHRBullet1">
    <w:name w:val="ECHR_Bullet_1"/>
    <w:aliases w:val="Bul_1"/>
    <w:basedOn w:val="Normalny"/>
    <w:uiPriority w:val="8"/>
    <w:rsid w:val="00D04B18"/>
    <w:pPr>
      <w:numPr>
        <w:numId w:val="15"/>
      </w:numPr>
      <w:spacing w:before="60" w:after="60"/>
    </w:pPr>
    <w:rPr>
      <w:sz w:val="22"/>
    </w:rPr>
  </w:style>
  <w:style w:type="paragraph" w:customStyle="1" w:styleId="ECHRBullet2">
    <w:name w:val="ECHR_Bullet_2"/>
    <w:aliases w:val="Bul_2"/>
    <w:basedOn w:val="ECHRBullet1"/>
    <w:uiPriority w:val="8"/>
    <w:rsid w:val="00D04B18"/>
    <w:pPr>
      <w:numPr>
        <w:ilvl w:val="1"/>
      </w:numPr>
    </w:pPr>
  </w:style>
  <w:style w:type="paragraph" w:customStyle="1" w:styleId="ECHRBullet3">
    <w:name w:val="ECHR_Bullet_3"/>
    <w:aliases w:val="Bul_3"/>
    <w:basedOn w:val="ECHRBullet2"/>
    <w:uiPriority w:val="8"/>
    <w:rsid w:val="00D04B18"/>
    <w:pPr>
      <w:numPr>
        <w:ilvl w:val="2"/>
      </w:numPr>
    </w:pPr>
  </w:style>
  <w:style w:type="paragraph" w:customStyle="1" w:styleId="ECHRBullet4">
    <w:name w:val="ECHR_Bullet_4"/>
    <w:aliases w:val="Bul_4"/>
    <w:basedOn w:val="ECHRBullet3"/>
    <w:uiPriority w:val="8"/>
    <w:rsid w:val="00D04B18"/>
    <w:pPr>
      <w:numPr>
        <w:ilvl w:val="3"/>
      </w:numPr>
    </w:pPr>
  </w:style>
  <w:style w:type="paragraph" w:customStyle="1" w:styleId="OpiHi">
    <w:name w:val="Opi_H_i"/>
    <w:basedOn w:val="ECHRHeading4"/>
    <w:uiPriority w:val="44"/>
    <w:semiHidden/>
    <w:qFormat/>
    <w:rsid w:val="001A76E3"/>
    <w:pPr>
      <w:ind w:left="1037" w:hanging="357"/>
      <w:outlineLvl w:val="4"/>
    </w:pPr>
    <w:rPr>
      <w:b w:val="0"/>
      <w:i/>
    </w:rPr>
  </w:style>
  <w:style w:type="paragraph" w:customStyle="1" w:styleId="DummyStyle">
    <w:name w:val="Dummy_Style"/>
    <w:basedOn w:val="Normalny"/>
    <w:semiHidden/>
    <w:qFormat/>
    <w:rsid w:val="001A76E3"/>
    <w:rPr>
      <w:color w:val="00B05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20809">
      <w:bodyDiv w:val="1"/>
      <w:marLeft w:val="0"/>
      <w:marRight w:val="0"/>
      <w:marTop w:val="0"/>
      <w:marBottom w:val="0"/>
      <w:divBdr>
        <w:top w:val="none" w:sz="0" w:space="0" w:color="auto"/>
        <w:left w:val="none" w:sz="0" w:space="0" w:color="auto"/>
        <w:bottom w:val="none" w:sz="0" w:space="0" w:color="auto"/>
        <w:right w:val="none" w:sz="0" w:space="0" w:color="auto"/>
      </w:divBdr>
    </w:div>
    <w:div w:id="75444638">
      <w:bodyDiv w:val="1"/>
      <w:marLeft w:val="0"/>
      <w:marRight w:val="0"/>
      <w:marTop w:val="0"/>
      <w:marBottom w:val="0"/>
      <w:divBdr>
        <w:top w:val="none" w:sz="0" w:space="0" w:color="auto"/>
        <w:left w:val="none" w:sz="0" w:space="0" w:color="auto"/>
        <w:bottom w:val="none" w:sz="0" w:space="0" w:color="auto"/>
        <w:right w:val="none" w:sz="0" w:space="0" w:color="auto"/>
      </w:divBdr>
    </w:div>
    <w:div w:id="345447288">
      <w:bodyDiv w:val="1"/>
      <w:marLeft w:val="0"/>
      <w:marRight w:val="0"/>
      <w:marTop w:val="0"/>
      <w:marBottom w:val="0"/>
      <w:divBdr>
        <w:top w:val="none" w:sz="0" w:space="0" w:color="auto"/>
        <w:left w:val="none" w:sz="0" w:space="0" w:color="auto"/>
        <w:bottom w:val="none" w:sz="0" w:space="0" w:color="auto"/>
        <w:right w:val="none" w:sz="0" w:space="0" w:color="auto"/>
      </w:divBdr>
    </w:div>
    <w:div w:id="395858487">
      <w:bodyDiv w:val="1"/>
      <w:marLeft w:val="0"/>
      <w:marRight w:val="0"/>
      <w:marTop w:val="0"/>
      <w:marBottom w:val="0"/>
      <w:divBdr>
        <w:top w:val="none" w:sz="0" w:space="0" w:color="auto"/>
        <w:left w:val="none" w:sz="0" w:space="0" w:color="auto"/>
        <w:bottom w:val="none" w:sz="0" w:space="0" w:color="auto"/>
        <w:right w:val="none" w:sz="0" w:space="0" w:color="auto"/>
      </w:divBdr>
      <w:divsChild>
        <w:div w:id="192427199">
          <w:marLeft w:val="0"/>
          <w:marRight w:val="0"/>
          <w:marTop w:val="0"/>
          <w:marBottom w:val="0"/>
          <w:divBdr>
            <w:top w:val="none" w:sz="0" w:space="0" w:color="auto"/>
            <w:left w:val="none" w:sz="0" w:space="0" w:color="auto"/>
            <w:bottom w:val="none" w:sz="0" w:space="0" w:color="auto"/>
            <w:right w:val="none" w:sz="0" w:space="0" w:color="auto"/>
          </w:divBdr>
          <w:divsChild>
            <w:div w:id="412317328">
              <w:marLeft w:val="0"/>
              <w:marRight w:val="0"/>
              <w:marTop w:val="0"/>
              <w:marBottom w:val="0"/>
              <w:divBdr>
                <w:top w:val="none" w:sz="0" w:space="0" w:color="auto"/>
                <w:left w:val="none" w:sz="0" w:space="0" w:color="auto"/>
                <w:bottom w:val="none" w:sz="0" w:space="0" w:color="auto"/>
                <w:right w:val="none" w:sz="0" w:space="0" w:color="auto"/>
              </w:divBdr>
              <w:divsChild>
                <w:div w:id="557863395">
                  <w:marLeft w:val="0"/>
                  <w:marRight w:val="0"/>
                  <w:marTop w:val="0"/>
                  <w:marBottom w:val="0"/>
                  <w:divBdr>
                    <w:top w:val="none" w:sz="0" w:space="0" w:color="auto"/>
                    <w:left w:val="none" w:sz="0" w:space="0" w:color="auto"/>
                    <w:bottom w:val="none" w:sz="0" w:space="0" w:color="auto"/>
                    <w:right w:val="none" w:sz="0" w:space="0" w:color="auto"/>
                  </w:divBdr>
                  <w:divsChild>
                    <w:div w:id="1094013034">
                      <w:marLeft w:val="0"/>
                      <w:marRight w:val="0"/>
                      <w:marTop w:val="0"/>
                      <w:marBottom w:val="0"/>
                      <w:divBdr>
                        <w:top w:val="none" w:sz="0" w:space="0" w:color="auto"/>
                        <w:left w:val="none" w:sz="0" w:space="0" w:color="auto"/>
                        <w:bottom w:val="none" w:sz="0" w:space="0" w:color="auto"/>
                        <w:right w:val="none" w:sz="0" w:space="0" w:color="auto"/>
                      </w:divBdr>
                      <w:divsChild>
                        <w:div w:id="1455948385">
                          <w:marLeft w:val="0"/>
                          <w:marRight w:val="0"/>
                          <w:marTop w:val="0"/>
                          <w:marBottom w:val="0"/>
                          <w:divBdr>
                            <w:top w:val="none" w:sz="0" w:space="0" w:color="auto"/>
                            <w:left w:val="none" w:sz="0" w:space="0" w:color="auto"/>
                            <w:bottom w:val="none" w:sz="0" w:space="0" w:color="auto"/>
                            <w:right w:val="none" w:sz="0" w:space="0" w:color="auto"/>
                          </w:divBdr>
                          <w:divsChild>
                            <w:div w:id="51357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2324477">
      <w:bodyDiv w:val="1"/>
      <w:marLeft w:val="0"/>
      <w:marRight w:val="0"/>
      <w:marTop w:val="0"/>
      <w:marBottom w:val="0"/>
      <w:divBdr>
        <w:top w:val="none" w:sz="0" w:space="0" w:color="auto"/>
        <w:left w:val="none" w:sz="0" w:space="0" w:color="auto"/>
        <w:bottom w:val="none" w:sz="0" w:space="0" w:color="auto"/>
        <w:right w:val="none" w:sz="0" w:space="0" w:color="auto"/>
      </w:divBdr>
    </w:div>
    <w:div w:id="1163358321">
      <w:bodyDiv w:val="1"/>
      <w:marLeft w:val="0"/>
      <w:marRight w:val="0"/>
      <w:marTop w:val="0"/>
      <w:marBottom w:val="0"/>
      <w:divBdr>
        <w:top w:val="none" w:sz="0" w:space="0" w:color="auto"/>
        <w:left w:val="none" w:sz="0" w:space="0" w:color="auto"/>
        <w:bottom w:val="none" w:sz="0" w:space="0" w:color="auto"/>
        <w:right w:val="none" w:sz="0" w:space="0" w:color="auto"/>
      </w:divBdr>
      <w:divsChild>
        <w:div w:id="913662804">
          <w:marLeft w:val="0"/>
          <w:marRight w:val="0"/>
          <w:marTop w:val="0"/>
          <w:marBottom w:val="0"/>
          <w:divBdr>
            <w:top w:val="none" w:sz="0" w:space="0" w:color="auto"/>
            <w:left w:val="none" w:sz="0" w:space="0" w:color="auto"/>
            <w:bottom w:val="none" w:sz="0" w:space="0" w:color="auto"/>
            <w:right w:val="none" w:sz="0" w:space="0" w:color="auto"/>
          </w:divBdr>
          <w:divsChild>
            <w:div w:id="1825046773">
              <w:marLeft w:val="0"/>
              <w:marRight w:val="0"/>
              <w:marTop w:val="0"/>
              <w:marBottom w:val="0"/>
              <w:divBdr>
                <w:top w:val="none" w:sz="0" w:space="0" w:color="auto"/>
                <w:left w:val="none" w:sz="0" w:space="0" w:color="auto"/>
                <w:bottom w:val="none" w:sz="0" w:space="0" w:color="auto"/>
                <w:right w:val="none" w:sz="0" w:space="0" w:color="auto"/>
              </w:divBdr>
              <w:divsChild>
                <w:div w:id="242682997">
                  <w:marLeft w:val="0"/>
                  <w:marRight w:val="0"/>
                  <w:marTop w:val="0"/>
                  <w:marBottom w:val="0"/>
                  <w:divBdr>
                    <w:top w:val="none" w:sz="0" w:space="0" w:color="auto"/>
                    <w:left w:val="none" w:sz="0" w:space="0" w:color="auto"/>
                    <w:bottom w:val="none" w:sz="0" w:space="0" w:color="auto"/>
                    <w:right w:val="none" w:sz="0" w:space="0" w:color="auto"/>
                  </w:divBdr>
                  <w:divsChild>
                    <w:div w:id="37366354">
                      <w:marLeft w:val="0"/>
                      <w:marRight w:val="0"/>
                      <w:marTop w:val="0"/>
                      <w:marBottom w:val="0"/>
                      <w:divBdr>
                        <w:top w:val="none" w:sz="0" w:space="0" w:color="auto"/>
                        <w:left w:val="none" w:sz="0" w:space="0" w:color="auto"/>
                        <w:bottom w:val="none" w:sz="0" w:space="0" w:color="auto"/>
                        <w:right w:val="none" w:sz="0" w:space="0" w:color="auto"/>
                      </w:divBdr>
                      <w:divsChild>
                        <w:div w:id="207884292">
                          <w:marLeft w:val="0"/>
                          <w:marRight w:val="0"/>
                          <w:marTop w:val="0"/>
                          <w:marBottom w:val="0"/>
                          <w:divBdr>
                            <w:top w:val="none" w:sz="0" w:space="0" w:color="auto"/>
                            <w:left w:val="none" w:sz="0" w:space="0" w:color="auto"/>
                            <w:bottom w:val="none" w:sz="0" w:space="0" w:color="auto"/>
                            <w:right w:val="none" w:sz="0" w:space="0" w:color="auto"/>
                          </w:divBdr>
                          <w:divsChild>
                            <w:div w:id="127443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908359">
      <w:bodyDiv w:val="1"/>
      <w:marLeft w:val="0"/>
      <w:marRight w:val="0"/>
      <w:marTop w:val="0"/>
      <w:marBottom w:val="0"/>
      <w:divBdr>
        <w:top w:val="none" w:sz="0" w:space="0" w:color="auto"/>
        <w:left w:val="none" w:sz="0" w:space="0" w:color="auto"/>
        <w:bottom w:val="none" w:sz="0" w:space="0" w:color="auto"/>
        <w:right w:val="none" w:sz="0" w:space="0" w:color="auto"/>
      </w:divBdr>
      <w:divsChild>
        <w:div w:id="1745564951">
          <w:marLeft w:val="0"/>
          <w:marRight w:val="0"/>
          <w:marTop w:val="0"/>
          <w:marBottom w:val="0"/>
          <w:divBdr>
            <w:top w:val="none" w:sz="0" w:space="0" w:color="auto"/>
            <w:left w:val="none" w:sz="0" w:space="0" w:color="auto"/>
            <w:bottom w:val="none" w:sz="0" w:space="0" w:color="auto"/>
            <w:right w:val="none" w:sz="0" w:space="0" w:color="auto"/>
          </w:divBdr>
          <w:divsChild>
            <w:div w:id="559174267">
              <w:marLeft w:val="0"/>
              <w:marRight w:val="0"/>
              <w:marTop w:val="0"/>
              <w:marBottom w:val="0"/>
              <w:divBdr>
                <w:top w:val="none" w:sz="0" w:space="0" w:color="auto"/>
                <w:left w:val="none" w:sz="0" w:space="0" w:color="auto"/>
                <w:bottom w:val="none" w:sz="0" w:space="0" w:color="auto"/>
                <w:right w:val="none" w:sz="0" w:space="0" w:color="auto"/>
              </w:divBdr>
              <w:divsChild>
                <w:div w:id="616565795">
                  <w:marLeft w:val="0"/>
                  <w:marRight w:val="0"/>
                  <w:marTop w:val="0"/>
                  <w:marBottom w:val="0"/>
                  <w:divBdr>
                    <w:top w:val="none" w:sz="0" w:space="0" w:color="auto"/>
                    <w:left w:val="none" w:sz="0" w:space="0" w:color="auto"/>
                    <w:bottom w:val="none" w:sz="0" w:space="0" w:color="auto"/>
                    <w:right w:val="none" w:sz="0" w:space="0" w:color="auto"/>
                  </w:divBdr>
                  <w:divsChild>
                    <w:div w:id="408817986">
                      <w:marLeft w:val="0"/>
                      <w:marRight w:val="0"/>
                      <w:marTop w:val="0"/>
                      <w:marBottom w:val="0"/>
                      <w:divBdr>
                        <w:top w:val="none" w:sz="0" w:space="0" w:color="auto"/>
                        <w:left w:val="none" w:sz="0" w:space="0" w:color="auto"/>
                        <w:bottom w:val="none" w:sz="0" w:space="0" w:color="auto"/>
                        <w:right w:val="none" w:sz="0" w:space="0" w:color="auto"/>
                      </w:divBdr>
                      <w:divsChild>
                        <w:div w:id="439960444">
                          <w:marLeft w:val="0"/>
                          <w:marRight w:val="0"/>
                          <w:marTop w:val="0"/>
                          <w:marBottom w:val="0"/>
                          <w:divBdr>
                            <w:top w:val="none" w:sz="0" w:space="0" w:color="auto"/>
                            <w:left w:val="none" w:sz="0" w:space="0" w:color="auto"/>
                            <w:bottom w:val="none" w:sz="0" w:space="0" w:color="auto"/>
                            <w:right w:val="none" w:sz="0" w:space="0" w:color="auto"/>
                          </w:divBdr>
                          <w:divsChild>
                            <w:div w:id="67557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66374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4386362">
      <w:bodyDiv w:val="1"/>
      <w:marLeft w:val="0"/>
      <w:marRight w:val="0"/>
      <w:marTop w:val="0"/>
      <w:marBottom w:val="0"/>
      <w:divBdr>
        <w:top w:val="none" w:sz="0" w:space="0" w:color="auto"/>
        <w:left w:val="none" w:sz="0" w:space="0" w:color="auto"/>
        <w:bottom w:val="none" w:sz="0" w:space="0" w:color="auto"/>
        <w:right w:val="none" w:sz="0" w:space="0" w:color="auto"/>
      </w:divBdr>
    </w:div>
    <w:div w:id="1720207484">
      <w:bodyDiv w:val="1"/>
      <w:marLeft w:val="0"/>
      <w:marRight w:val="0"/>
      <w:marTop w:val="0"/>
      <w:marBottom w:val="0"/>
      <w:divBdr>
        <w:top w:val="none" w:sz="0" w:space="0" w:color="auto"/>
        <w:left w:val="none" w:sz="0" w:space="0" w:color="auto"/>
        <w:bottom w:val="none" w:sz="0" w:space="0" w:color="auto"/>
        <w:right w:val="none" w:sz="0" w:space="0" w:color="auto"/>
      </w:divBdr>
      <w:divsChild>
        <w:div w:id="695885019">
          <w:marLeft w:val="0"/>
          <w:marRight w:val="0"/>
          <w:marTop w:val="0"/>
          <w:marBottom w:val="0"/>
          <w:divBdr>
            <w:top w:val="none" w:sz="0" w:space="0" w:color="auto"/>
            <w:left w:val="none" w:sz="0" w:space="0" w:color="auto"/>
            <w:bottom w:val="none" w:sz="0" w:space="0" w:color="auto"/>
            <w:right w:val="none" w:sz="0" w:space="0" w:color="auto"/>
          </w:divBdr>
          <w:divsChild>
            <w:div w:id="275259071">
              <w:marLeft w:val="0"/>
              <w:marRight w:val="0"/>
              <w:marTop w:val="0"/>
              <w:marBottom w:val="0"/>
              <w:divBdr>
                <w:top w:val="none" w:sz="0" w:space="0" w:color="auto"/>
                <w:left w:val="none" w:sz="0" w:space="0" w:color="auto"/>
                <w:bottom w:val="none" w:sz="0" w:space="0" w:color="auto"/>
                <w:right w:val="none" w:sz="0" w:space="0" w:color="auto"/>
              </w:divBdr>
              <w:divsChild>
                <w:div w:id="711927551">
                  <w:marLeft w:val="0"/>
                  <w:marRight w:val="0"/>
                  <w:marTop w:val="0"/>
                  <w:marBottom w:val="0"/>
                  <w:divBdr>
                    <w:top w:val="none" w:sz="0" w:space="0" w:color="auto"/>
                    <w:left w:val="none" w:sz="0" w:space="0" w:color="auto"/>
                    <w:bottom w:val="none" w:sz="0" w:space="0" w:color="auto"/>
                    <w:right w:val="none" w:sz="0" w:space="0" w:color="auto"/>
                  </w:divBdr>
                  <w:divsChild>
                    <w:div w:id="1402486252">
                      <w:marLeft w:val="0"/>
                      <w:marRight w:val="0"/>
                      <w:marTop w:val="0"/>
                      <w:marBottom w:val="0"/>
                      <w:divBdr>
                        <w:top w:val="none" w:sz="0" w:space="0" w:color="auto"/>
                        <w:left w:val="none" w:sz="0" w:space="0" w:color="auto"/>
                        <w:bottom w:val="none" w:sz="0" w:space="0" w:color="auto"/>
                        <w:right w:val="none" w:sz="0" w:space="0" w:color="auto"/>
                      </w:divBdr>
                      <w:divsChild>
                        <w:div w:id="839587353">
                          <w:marLeft w:val="0"/>
                          <w:marRight w:val="0"/>
                          <w:marTop w:val="0"/>
                          <w:marBottom w:val="0"/>
                          <w:divBdr>
                            <w:top w:val="none" w:sz="0" w:space="0" w:color="auto"/>
                            <w:left w:val="none" w:sz="0" w:space="0" w:color="auto"/>
                            <w:bottom w:val="none" w:sz="0" w:space="0" w:color="auto"/>
                            <w:right w:val="none" w:sz="0" w:space="0" w:color="auto"/>
                          </w:divBdr>
                          <w:divsChild>
                            <w:div w:id="55111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1644026">
      <w:bodyDiv w:val="1"/>
      <w:marLeft w:val="0"/>
      <w:marRight w:val="0"/>
      <w:marTop w:val="0"/>
      <w:marBottom w:val="0"/>
      <w:divBdr>
        <w:top w:val="none" w:sz="0" w:space="0" w:color="auto"/>
        <w:left w:val="none" w:sz="0" w:space="0" w:color="auto"/>
        <w:bottom w:val="none" w:sz="0" w:space="0" w:color="auto"/>
        <w:right w:val="none" w:sz="0" w:space="0" w:color="auto"/>
      </w:divBdr>
    </w:div>
    <w:div w:id="1908032997">
      <w:bodyDiv w:val="1"/>
      <w:marLeft w:val="0"/>
      <w:marRight w:val="0"/>
      <w:marTop w:val="0"/>
      <w:marBottom w:val="0"/>
      <w:divBdr>
        <w:top w:val="none" w:sz="0" w:space="0" w:color="auto"/>
        <w:left w:val="none" w:sz="0" w:space="0" w:color="auto"/>
        <w:bottom w:val="none" w:sz="0" w:space="0" w:color="auto"/>
        <w:right w:val="none" w:sz="0" w:space="0" w:color="auto"/>
      </w:divBdr>
    </w:div>
    <w:div w:id="206282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CE18-0613-4954-A1CA-D649B0F80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A52011A-7EAB-43D9-B4FB-FB68F6D80E62}">
  <ds:schemaRefs>
    <ds:schemaRef ds:uri="http://schemas.microsoft.com/sharepoint/v3/contenttype/forms"/>
  </ds:schemaRefs>
</ds:datastoreItem>
</file>

<file path=customXml/itemProps3.xml><?xml version="1.0" encoding="utf-8"?>
<ds:datastoreItem xmlns:ds="http://schemas.openxmlformats.org/officeDocument/2006/customXml" ds:itemID="{D31D025A-CB89-436F-B501-B062097A56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F43D59-6C4F-4AFF-80D8-23B6F5D0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10364</Words>
  <Characters>62190</Characters>
  <Application>Microsoft Office Word</Application>
  <DocSecurity>0</DocSecurity>
  <Lines>518</Lines>
  <Paragraphs>144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2016-05-19T16:20:00Z</cp:lastPrinted>
  <dcterms:created xsi:type="dcterms:W3CDTF">2016-08-04T07:37:00Z</dcterms:created>
  <dcterms:modified xsi:type="dcterms:W3CDTF">2016-08-08T08:44:00Z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