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88AF06" w14:textId="77777777" w:rsidR="00314312" w:rsidRDefault="00314312" w:rsidP="00314312">
      <w:pPr>
        <w:spacing w:before="100" w:beforeAutospacing="1" w:after="100" w:afterAutospacing="1"/>
        <w:jc w:val="center"/>
        <w:rPr>
          <w:color w:val="000000"/>
          <w:szCs w:val="24"/>
          <w:lang w:eastAsia="pl-PL"/>
        </w:rPr>
      </w:pPr>
      <w:bookmarkStart w:id="0" w:name="_GoBack"/>
      <w:bookmarkEnd w:id="0"/>
      <w:r>
        <w:rPr>
          <w:noProof/>
          <w:lang w:val="pl-PL" w:eastAsia="pl-PL"/>
        </w:rPr>
        <w:drawing>
          <wp:inline distT="0" distB="0" distL="0" distR="0" wp14:anchorId="02E70F54" wp14:editId="7543BAF7">
            <wp:extent cx="2962275" cy="1219200"/>
            <wp:effectExtent l="0" t="0" r="9525" b="0"/>
            <wp:docPr id="11" name="Picture 11" descr="R:\1_Graphics&amp;Web\Court_Graphic_Charter\2013\ECHR_Stationery\Documents_and_Letters\Cover_Pages_And_Docs\White_600_dpi\ECHR_CoverpageCS61_ECHR_Coverpage_Header_Black.png"/>
            <wp:cNvGraphicFramePr/>
            <a:graphic xmlns:a="http://schemas.openxmlformats.org/drawingml/2006/main">
              <a:graphicData uri="http://schemas.openxmlformats.org/drawingml/2006/picture">
                <pic:pic xmlns:pic="http://schemas.openxmlformats.org/drawingml/2006/picture">
                  <pic:nvPicPr>
                    <pic:cNvPr id="11" name="Picture 11" descr="R:\1_Graphics&amp;Web\Court_Graphic_Charter\2013\ECHR_Stationery\Documents_and_Letters\Cover_Pages_And_Docs\White_600_dpi\ECHR_CoverpageCS61_ECHR_Coverpage_Header_Black.png"/>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5C047A20" w14:textId="77777777" w:rsidR="006F0352" w:rsidRPr="00483FAE" w:rsidRDefault="006F0352" w:rsidP="006F0352">
      <w:pPr>
        <w:pStyle w:val="sc8420256"/>
        <w:jc w:val="center"/>
        <w:rPr>
          <w:rStyle w:val="s4f807e54"/>
          <w:rFonts w:ascii="Arial" w:eastAsia="MS Mincho" w:hAnsi="Arial" w:cs="Arial"/>
          <w:sz w:val="20"/>
          <w:szCs w:val="20"/>
          <w:lang w:val="en-GB"/>
        </w:rPr>
      </w:pPr>
      <w:r w:rsidRPr="00483FAE">
        <w:rPr>
          <w:rStyle w:val="s4f807e54"/>
          <w:rFonts w:ascii="Arial" w:eastAsia="MS Mincho" w:hAnsi="Arial" w:cs="Arial"/>
          <w:sz w:val="20"/>
          <w:szCs w:val="20"/>
          <w:lang w:val="en-GB"/>
        </w:rPr>
        <w:t xml:space="preserve">© </w:t>
      </w:r>
      <w:proofErr w:type="spellStart"/>
      <w:r w:rsidRPr="00483FAE">
        <w:rPr>
          <w:rStyle w:val="s4f807e54"/>
          <w:rFonts w:ascii="Arial" w:eastAsia="MS Mincho" w:hAnsi="Arial" w:cs="Arial"/>
          <w:sz w:val="20"/>
          <w:szCs w:val="20"/>
          <w:lang w:val="en-GB"/>
        </w:rPr>
        <w:t>Trybunał</w:t>
      </w:r>
      <w:proofErr w:type="spellEnd"/>
      <w:r w:rsidRPr="00483FAE">
        <w:rPr>
          <w:rStyle w:val="s4f807e54"/>
          <w:rFonts w:ascii="Arial" w:eastAsia="MS Mincho" w:hAnsi="Arial" w:cs="Arial"/>
          <w:sz w:val="20"/>
          <w:szCs w:val="20"/>
          <w:lang w:val="en-GB"/>
        </w:rPr>
        <w:t xml:space="preserve"> </w:t>
      </w:r>
      <w:proofErr w:type="spellStart"/>
      <w:r w:rsidRPr="00483FAE">
        <w:rPr>
          <w:rStyle w:val="s4f807e54"/>
          <w:rFonts w:ascii="Arial" w:eastAsia="MS Mincho" w:hAnsi="Arial" w:cs="Arial"/>
          <w:sz w:val="20"/>
          <w:szCs w:val="20"/>
          <w:lang w:val="en-GB"/>
        </w:rPr>
        <w:t>Konstytucyjny</w:t>
      </w:r>
      <w:proofErr w:type="spellEnd"/>
    </w:p>
    <w:p w14:paraId="32CDF5E4" w14:textId="77777777" w:rsidR="006F0352" w:rsidRPr="00483FAE" w:rsidRDefault="006F0352" w:rsidP="006F0352">
      <w:pPr>
        <w:pStyle w:val="sc8420256"/>
        <w:jc w:val="center"/>
        <w:rPr>
          <w:rStyle w:val="s4f807e54"/>
          <w:rFonts w:ascii="Arial" w:eastAsia="MS Mincho" w:hAnsi="Arial" w:cs="Arial"/>
          <w:sz w:val="20"/>
          <w:szCs w:val="20"/>
          <w:lang w:val="en-GB"/>
        </w:rPr>
      </w:pPr>
      <w:r w:rsidRPr="00483FAE">
        <w:rPr>
          <w:rStyle w:val="s4f807e54"/>
          <w:rFonts w:ascii="Arial" w:eastAsia="MS Mincho" w:hAnsi="Arial" w:cs="Arial"/>
          <w:sz w:val="20"/>
          <w:szCs w:val="20"/>
          <w:lang w:val="en-GB"/>
        </w:rPr>
        <w:t>© Copyright for the Polish translation by the Polish Constitutional Tribunal</w:t>
      </w:r>
    </w:p>
    <w:p w14:paraId="225F049F" w14:textId="77777777" w:rsidR="006F0352" w:rsidRDefault="006F0352" w:rsidP="006F0352">
      <w:pPr>
        <w:pStyle w:val="sc8420256"/>
        <w:jc w:val="center"/>
        <w:rPr>
          <w:rStyle w:val="s4f807e54"/>
          <w:rFonts w:ascii="Arial" w:eastAsia="MS Mincho" w:hAnsi="Arial" w:cs="Arial"/>
          <w:sz w:val="20"/>
        </w:rPr>
      </w:pPr>
      <w:r w:rsidRPr="00483FAE">
        <w:rPr>
          <w:rStyle w:val="s4f807e54"/>
          <w:rFonts w:ascii="Arial" w:eastAsia="MS Mincho" w:hAnsi="Arial" w:cs="Arial"/>
          <w:sz w:val="20"/>
          <w:szCs w:val="20"/>
        </w:rPr>
        <w:t>Warszawa 2015</w:t>
      </w:r>
    </w:p>
    <w:p w14:paraId="3241049B" w14:textId="77777777" w:rsidR="006F0352" w:rsidRDefault="006F0352" w:rsidP="006F0352">
      <w:pPr>
        <w:pStyle w:val="sc8420256"/>
        <w:jc w:val="center"/>
        <w:rPr>
          <w:rStyle w:val="s4f807e54"/>
          <w:rFonts w:ascii="Arial" w:eastAsia="MS Mincho" w:hAnsi="Arial" w:cs="Arial"/>
          <w:sz w:val="20"/>
        </w:rPr>
      </w:pPr>
    </w:p>
    <w:p w14:paraId="035A74AC" w14:textId="77777777" w:rsidR="006F0352" w:rsidRPr="00483FAE" w:rsidRDefault="006F0352" w:rsidP="006F0352">
      <w:pPr>
        <w:pStyle w:val="sc8420256"/>
        <w:jc w:val="center"/>
        <w:rPr>
          <w:rStyle w:val="s32a37344"/>
          <w:sz w:val="28"/>
          <w:szCs w:val="28"/>
        </w:rPr>
      </w:pPr>
    </w:p>
    <w:p w14:paraId="01E534E2" w14:textId="77777777" w:rsidR="00314312" w:rsidRDefault="00314312" w:rsidP="00F767C0">
      <w:pPr>
        <w:jc w:val="center"/>
        <w:rPr>
          <w:szCs w:val="24"/>
          <w:lang w:val="pl-PL"/>
        </w:rPr>
      </w:pPr>
    </w:p>
    <w:p w14:paraId="512A6AC9" w14:textId="77777777" w:rsidR="00F767C0" w:rsidRPr="00212AD6" w:rsidRDefault="00314312" w:rsidP="00F767C0">
      <w:pPr>
        <w:jc w:val="center"/>
        <w:rPr>
          <w:szCs w:val="24"/>
          <w:lang w:val="pl-PL"/>
        </w:rPr>
      </w:pPr>
      <w:r>
        <w:rPr>
          <w:szCs w:val="24"/>
          <w:lang w:val="pl-PL"/>
        </w:rPr>
        <w:t>EUROPEJSKI TRYBUNAŁ PRAW CZŁOWIEKA</w:t>
      </w:r>
    </w:p>
    <w:p w14:paraId="634F9310" w14:textId="77777777" w:rsidR="00F767C0" w:rsidRPr="00212AD6" w:rsidRDefault="00F767C0" w:rsidP="00F767C0">
      <w:pPr>
        <w:jc w:val="center"/>
        <w:rPr>
          <w:lang w:val="pl-PL"/>
        </w:rPr>
      </w:pPr>
    </w:p>
    <w:p w14:paraId="7EC9A8D2" w14:textId="77777777" w:rsidR="00F767C0" w:rsidRPr="00212AD6" w:rsidRDefault="00F767C0" w:rsidP="00F767C0">
      <w:pPr>
        <w:jc w:val="center"/>
        <w:rPr>
          <w:lang w:val="pl-PL"/>
        </w:rPr>
      </w:pPr>
      <w:r w:rsidRPr="00212AD6">
        <w:rPr>
          <w:lang w:val="pl-PL"/>
        </w:rPr>
        <w:t>PIERWSZA SEKCJA</w:t>
      </w:r>
    </w:p>
    <w:p w14:paraId="195E8298" w14:textId="77777777" w:rsidR="00F767C0" w:rsidRPr="00212AD6" w:rsidRDefault="00F767C0" w:rsidP="00F767C0">
      <w:pPr>
        <w:jc w:val="center"/>
        <w:rPr>
          <w:lang w:val="pl-PL"/>
        </w:rPr>
      </w:pPr>
    </w:p>
    <w:p w14:paraId="59C4AFE6" w14:textId="77777777" w:rsidR="00F767C0" w:rsidRPr="00212AD6" w:rsidRDefault="00F767C0" w:rsidP="00F767C0">
      <w:pPr>
        <w:jc w:val="center"/>
        <w:rPr>
          <w:lang w:val="pl-PL"/>
        </w:rPr>
      </w:pPr>
    </w:p>
    <w:p w14:paraId="699CEA9C" w14:textId="77777777" w:rsidR="00F767C0" w:rsidRPr="00212AD6" w:rsidRDefault="00F767C0" w:rsidP="00F767C0">
      <w:pPr>
        <w:jc w:val="center"/>
        <w:rPr>
          <w:lang w:val="pl-PL"/>
        </w:rPr>
      </w:pPr>
    </w:p>
    <w:p w14:paraId="43E15DA1" w14:textId="77777777" w:rsidR="00F767C0" w:rsidRPr="00212AD6" w:rsidRDefault="00F767C0" w:rsidP="00F767C0">
      <w:pPr>
        <w:jc w:val="center"/>
        <w:rPr>
          <w:b/>
          <w:lang w:val="pl-PL"/>
        </w:rPr>
      </w:pPr>
      <w:r w:rsidRPr="00212AD6">
        <w:rPr>
          <w:b/>
          <w:lang w:val="pl-PL"/>
        </w:rPr>
        <w:t>SPRAWA JURIČIĆ przeciwko CHORWACJI</w:t>
      </w:r>
    </w:p>
    <w:p w14:paraId="37D1C61A" w14:textId="77777777" w:rsidR="00F767C0" w:rsidRPr="00212AD6" w:rsidRDefault="00F767C0" w:rsidP="00F767C0">
      <w:pPr>
        <w:jc w:val="center"/>
        <w:rPr>
          <w:lang w:val="pl-PL"/>
        </w:rPr>
      </w:pPr>
    </w:p>
    <w:p w14:paraId="05A99A68" w14:textId="77777777" w:rsidR="00F767C0" w:rsidRPr="00212AD6" w:rsidRDefault="00F767C0" w:rsidP="00F767C0">
      <w:pPr>
        <w:jc w:val="center"/>
        <w:rPr>
          <w:i/>
          <w:lang w:val="pl-PL"/>
        </w:rPr>
      </w:pPr>
      <w:r w:rsidRPr="00212AD6">
        <w:rPr>
          <w:i/>
          <w:lang w:val="pl-PL"/>
        </w:rPr>
        <w:t>(Skarga nr 58222/09)</w:t>
      </w:r>
    </w:p>
    <w:p w14:paraId="56953BC8" w14:textId="77777777" w:rsidR="00F767C0" w:rsidRPr="00212AD6" w:rsidRDefault="00F767C0" w:rsidP="00F767C0">
      <w:pPr>
        <w:pStyle w:val="JuPara"/>
        <w:ind w:firstLine="0"/>
        <w:jc w:val="center"/>
        <w:rPr>
          <w:sz w:val="22"/>
          <w:szCs w:val="22"/>
          <w:lang w:val="pl-PL"/>
        </w:rPr>
      </w:pPr>
    </w:p>
    <w:p w14:paraId="362343BE" w14:textId="77777777" w:rsidR="00F767C0" w:rsidRPr="00212AD6" w:rsidRDefault="00F767C0" w:rsidP="00F767C0">
      <w:pPr>
        <w:pStyle w:val="JuPara"/>
        <w:ind w:firstLine="0"/>
        <w:jc w:val="center"/>
        <w:rPr>
          <w:sz w:val="22"/>
          <w:szCs w:val="22"/>
          <w:lang w:val="pl-PL"/>
        </w:rPr>
      </w:pPr>
    </w:p>
    <w:p w14:paraId="01EAB2EF" w14:textId="77777777" w:rsidR="00F767C0" w:rsidRPr="00212AD6" w:rsidRDefault="00F767C0" w:rsidP="00F767C0">
      <w:pPr>
        <w:pStyle w:val="JuPara"/>
        <w:ind w:firstLine="0"/>
        <w:jc w:val="center"/>
        <w:rPr>
          <w:sz w:val="22"/>
          <w:szCs w:val="22"/>
          <w:lang w:val="pl-PL"/>
        </w:rPr>
      </w:pPr>
    </w:p>
    <w:p w14:paraId="23DF2550" w14:textId="77777777" w:rsidR="00F767C0" w:rsidRPr="00212AD6" w:rsidRDefault="00F767C0" w:rsidP="00F767C0">
      <w:pPr>
        <w:pStyle w:val="JuPara"/>
        <w:ind w:firstLine="0"/>
        <w:jc w:val="center"/>
        <w:rPr>
          <w:sz w:val="22"/>
          <w:szCs w:val="22"/>
          <w:lang w:val="pl-PL"/>
        </w:rPr>
      </w:pPr>
    </w:p>
    <w:p w14:paraId="42A7212B" w14:textId="77777777" w:rsidR="00F767C0" w:rsidRPr="00212AD6" w:rsidRDefault="00F767C0" w:rsidP="00F767C0">
      <w:pPr>
        <w:pStyle w:val="JuPara"/>
        <w:ind w:firstLine="0"/>
        <w:jc w:val="center"/>
        <w:rPr>
          <w:szCs w:val="24"/>
          <w:lang w:val="pl-PL"/>
        </w:rPr>
      </w:pPr>
      <w:r w:rsidRPr="00212AD6">
        <w:rPr>
          <w:szCs w:val="24"/>
          <w:lang w:val="pl-PL"/>
        </w:rPr>
        <w:t>WYROK</w:t>
      </w:r>
    </w:p>
    <w:p w14:paraId="20B03475" w14:textId="77777777" w:rsidR="00F767C0" w:rsidRPr="00212AD6" w:rsidRDefault="00F767C0" w:rsidP="00F767C0">
      <w:pPr>
        <w:pStyle w:val="JuPara"/>
        <w:ind w:firstLine="0"/>
        <w:jc w:val="center"/>
        <w:rPr>
          <w:szCs w:val="24"/>
          <w:lang w:val="pl-PL"/>
        </w:rPr>
      </w:pPr>
    </w:p>
    <w:p w14:paraId="22D92B12" w14:textId="77777777" w:rsidR="00F767C0" w:rsidRPr="00212AD6" w:rsidRDefault="00F767C0" w:rsidP="00F767C0">
      <w:pPr>
        <w:pStyle w:val="JuPara"/>
        <w:ind w:firstLine="0"/>
        <w:jc w:val="center"/>
        <w:rPr>
          <w:szCs w:val="24"/>
          <w:lang w:val="pl-PL"/>
        </w:rPr>
      </w:pPr>
    </w:p>
    <w:p w14:paraId="00561EB8" w14:textId="77777777" w:rsidR="00F767C0" w:rsidRPr="00212AD6" w:rsidRDefault="00F767C0" w:rsidP="00F767C0">
      <w:pPr>
        <w:pStyle w:val="JuPara"/>
        <w:ind w:firstLine="0"/>
        <w:jc w:val="center"/>
        <w:rPr>
          <w:szCs w:val="24"/>
          <w:lang w:val="pl-PL"/>
        </w:rPr>
      </w:pPr>
      <w:r w:rsidRPr="00212AD6">
        <w:rPr>
          <w:szCs w:val="24"/>
          <w:lang w:val="pl-PL"/>
        </w:rPr>
        <w:t>STRASBOURG</w:t>
      </w:r>
    </w:p>
    <w:p w14:paraId="02E52FC5" w14:textId="77777777" w:rsidR="00F767C0" w:rsidRPr="00212AD6" w:rsidRDefault="00F767C0" w:rsidP="00F767C0">
      <w:pPr>
        <w:pStyle w:val="JuPara"/>
        <w:ind w:firstLine="0"/>
        <w:jc w:val="center"/>
        <w:rPr>
          <w:szCs w:val="24"/>
          <w:lang w:val="pl-PL"/>
        </w:rPr>
      </w:pPr>
    </w:p>
    <w:p w14:paraId="2D665184" w14:textId="77777777" w:rsidR="00F767C0" w:rsidRPr="00212AD6" w:rsidRDefault="00F767C0" w:rsidP="00F767C0">
      <w:pPr>
        <w:pStyle w:val="JuPara"/>
        <w:ind w:firstLine="0"/>
        <w:jc w:val="center"/>
        <w:rPr>
          <w:szCs w:val="24"/>
          <w:lang w:val="pl-PL"/>
        </w:rPr>
      </w:pPr>
      <w:r w:rsidRPr="00212AD6">
        <w:rPr>
          <w:szCs w:val="24"/>
          <w:lang w:val="pl-PL"/>
        </w:rPr>
        <w:t>26 lipca 2011 r.</w:t>
      </w:r>
    </w:p>
    <w:p w14:paraId="4951F89A" w14:textId="77777777" w:rsidR="00F767C0" w:rsidRPr="00212AD6" w:rsidRDefault="00F767C0" w:rsidP="00F767C0">
      <w:pPr>
        <w:pStyle w:val="JuPara"/>
        <w:ind w:firstLine="0"/>
        <w:jc w:val="center"/>
        <w:rPr>
          <w:sz w:val="22"/>
          <w:szCs w:val="22"/>
          <w:lang w:val="pl-PL"/>
        </w:rPr>
      </w:pPr>
    </w:p>
    <w:p w14:paraId="68BB06B8" w14:textId="77777777" w:rsidR="00F767C0" w:rsidRPr="00212AD6" w:rsidRDefault="00F767C0" w:rsidP="00F767C0">
      <w:pPr>
        <w:pStyle w:val="JuPara"/>
        <w:ind w:firstLine="0"/>
        <w:jc w:val="center"/>
        <w:rPr>
          <w:sz w:val="22"/>
          <w:szCs w:val="22"/>
          <w:lang w:val="pl-PL"/>
        </w:rPr>
      </w:pPr>
    </w:p>
    <w:p w14:paraId="69FDB009" w14:textId="77777777" w:rsidR="00F767C0" w:rsidRPr="00212AD6" w:rsidRDefault="00F767C0" w:rsidP="00F767C0">
      <w:pPr>
        <w:jc w:val="center"/>
        <w:rPr>
          <w:b/>
          <w:color w:val="FF0000"/>
          <w:sz w:val="28"/>
          <w:szCs w:val="28"/>
          <w:u w:val="single"/>
          <w:lang w:val="pl-PL"/>
        </w:rPr>
      </w:pPr>
      <w:bookmarkStart w:id="1" w:name="OLE_LINK1"/>
      <w:bookmarkStart w:id="2" w:name="OLE_LINK2"/>
      <w:bookmarkStart w:id="3" w:name="OLE_LINK14"/>
      <w:bookmarkStart w:id="4" w:name="OLE_LINK15"/>
      <w:bookmarkStart w:id="5" w:name="OLE_LINK34"/>
      <w:bookmarkStart w:id="6" w:name="OLE_LINK36"/>
      <w:r w:rsidRPr="00212AD6">
        <w:rPr>
          <w:b/>
          <w:color w:val="FF0000"/>
          <w:sz w:val="28"/>
          <w:szCs w:val="28"/>
          <w:u w:val="single"/>
          <w:lang w:val="pl-PL"/>
        </w:rPr>
        <w:t>OSTATECZNY</w:t>
      </w:r>
    </w:p>
    <w:p w14:paraId="44573863" w14:textId="77777777" w:rsidR="00F767C0" w:rsidRPr="00212AD6" w:rsidRDefault="00F767C0" w:rsidP="00F767C0">
      <w:pPr>
        <w:jc w:val="center"/>
        <w:rPr>
          <w:b/>
          <w:color w:val="FF0000"/>
          <w:szCs w:val="24"/>
          <w:u w:val="single"/>
          <w:lang w:val="pl-PL"/>
        </w:rPr>
      </w:pPr>
    </w:p>
    <w:p w14:paraId="611B161D" w14:textId="77777777" w:rsidR="00F767C0" w:rsidRPr="00212AD6" w:rsidRDefault="00F767C0" w:rsidP="00F767C0">
      <w:pPr>
        <w:jc w:val="center"/>
        <w:rPr>
          <w:i/>
          <w:color w:val="FF0000"/>
          <w:sz w:val="28"/>
          <w:szCs w:val="28"/>
          <w:lang w:val="pl-PL"/>
        </w:rPr>
      </w:pPr>
      <w:r w:rsidRPr="00212AD6">
        <w:rPr>
          <w:i/>
          <w:color w:val="FF0000"/>
          <w:sz w:val="28"/>
          <w:szCs w:val="28"/>
          <w:lang w:val="pl-PL"/>
        </w:rPr>
        <w:t>26/10/2011 r.</w:t>
      </w:r>
    </w:p>
    <w:p w14:paraId="672C42CE" w14:textId="77777777" w:rsidR="00F767C0" w:rsidRPr="00212AD6" w:rsidRDefault="00F767C0" w:rsidP="00F767C0">
      <w:pPr>
        <w:jc w:val="center"/>
        <w:rPr>
          <w:i/>
          <w:szCs w:val="24"/>
          <w:lang w:val="pl-PL"/>
        </w:rPr>
      </w:pPr>
    </w:p>
    <w:p w14:paraId="280BC4BC" w14:textId="77777777" w:rsidR="00F767C0" w:rsidRPr="00212AD6" w:rsidRDefault="00F767C0" w:rsidP="00F767C0">
      <w:pPr>
        <w:jc w:val="center"/>
        <w:rPr>
          <w:i/>
          <w:szCs w:val="24"/>
          <w:lang w:val="pl-PL"/>
        </w:rPr>
      </w:pPr>
    </w:p>
    <w:bookmarkEnd w:id="1"/>
    <w:bookmarkEnd w:id="2"/>
    <w:bookmarkEnd w:id="3"/>
    <w:bookmarkEnd w:id="4"/>
    <w:bookmarkEnd w:id="5"/>
    <w:bookmarkEnd w:id="6"/>
    <w:p w14:paraId="6687295A" w14:textId="7028FE89" w:rsidR="00F767C0" w:rsidRPr="00212AD6" w:rsidRDefault="00F767C0" w:rsidP="00F767C0">
      <w:pPr>
        <w:rPr>
          <w:lang w:val="pl-PL"/>
        </w:rPr>
        <w:sectPr w:rsidR="00F767C0" w:rsidRPr="00212AD6" w:rsidSect="00527D48">
          <w:headerReference w:type="default" r:id="rId10"/>
          <w:headerReference w:type="first" r:id="rId11"/>
          <w:footerReference w:type="first" r:id="rId12"/>
          <w:footnotePr>
            <w:numRestart w:val="eachPage"/>
          </w:footnotePr>
          <w:pgSz w:w="11906" w:h="16838" w:code="9"/>
          <w:pgMar w:top="1701" w:right="2268" w:bottom="1418" w:left="2268" w:header="1701" w:footer="708" w:gutter="0"/>
          <w:pgNumType w:start="1"/>
          <w:cols w:space="708"/>
          <w:titlePg/>
          <w:docGrid w:linePitch="326"/>
        </w:sectPr>
      </w:pPr>
      <w:r w:rsidRPr="00212AD6">
        <w:rPr>
          <w:i/>
          <w:sz w:val="22"/>
          <w:lang w:val="pl-PL"/>
        </w:rPr>
        <w:t xml:space="preserve">Wyrok ten stał się ostateczny zgodnie z warunkami określonymi w </w:t>
      </w:r>
      <w:r w:rsidR="007632AA">
        <w:rPr>
          <w:i/>
          <w:sz w:val="22"/>
          <w:lang w:val="pl-PL"/>
        </w:rPr>
        <w:t>art</w:t>
      </w:r>
      <w:r w:rsidR="00B569A1">
        <w:rPr>
          <w:i/>
          <w:sz w:val="22"/>
          <w:lang w:val="pl-PL"/>
        </w:rPr>
        <w:t>.</w:t>
      </w:r>
      <w:r w:rsidRPr="00212AD6">
        <w:rPr>
          <w:i/>
          <w:sz w:val="22"/>
          <w:lang w:val="pl-PL"/>
        </w:rPr>
        <w:t xml:space="preserve"> 44 ust. 2 Konwencji. Wyrok może podlegać korekcie edycyjnej.</w:t>
      </w:r>
    </w:p>
    <w:p w14:paraId="6A4A3F5A" w14:textId="77777777" w:rsidR="00F767C0" w:rsidRPr="00792CD6" w:rsidRDefault="00F767C0" w:rsidP="00F767C0">
      <w:pPr>
        <w:pStyle w:val="JuCase"/>
        <w:rPr>
          <w:b w:val="0"/>
          <w:sz w:val="22"/>
          <w:szCs w:val="22"/>
          <w:lang w:val="pl-PL"/>
        </w:rPr>
      </w:pPr>
      <w:r w:rsidRPr="00792CD6">
        <w:rPr>
          <w:lang w:val="pl-PL"/>
        </w:rPr>
        <w:lastRenderedPageBreak/>
        <w:t>W sprawie</w:t>
      </w:r>
      <w:r w:rsidRPr="00792CD6">
        <w:rPr>
          <w:b w:val="0"/>
          <w:lang w:val="pl-PL"/>
        </w:rPr>
        <w:t xml:space="preserve"> </w:t>
      </w:r>
      <w:proofErr w:type="spellStart"/>
      <w:r w:rsidRPr="00792CD6">
        <w:rPr>
          <w:rStyle w:val="JuCaseChar"/>
          <w:b/>
          <w:lang w:val="pl-PL"/>
        </w:rPr>
        <w:t>Juričić</w:t>
      </w:r>
      <w:proofErr w:type="spellEnd"/>
      <w:r w:rsidRPr="00792CD6">
        <w:rPr>
          <w:rStyle w:val="JuCaseChar"/>
          <w:b/>
          <w:lang w:val="pl-PL"/>
        </w:rPr>
        <w:t xml:space="preserve"> przeciwko Chorwacji</w:t>
      </w:r>
      <w:r w:rsidRPr="00792CD6">
        <w:rPr>
          <w:b w:val="0"/>
          <w:lang w:val="pl-PL"/>
        </w:rPr>
        <w:t>,</w:t>
      </w:r>
    </w:p>
    <w:p w14:paraId="3D6D61D9" w14:textId="77777777" w:rsidR="00F767C0" w:rsidRPr="00212AD6" w:rsidRDefault="00F767C0" w:rsidP="00F767C0">
      <w:pPr>
        <w:pStyle w:val="JuPara"/>
        <w:rPr>
          <w:lang w:val="pl-PL"/>
        </w:rPr>
      </w:pPr>
      <w:r w:rsidRPr="00212AD6">
        <w:rPr>
          <w:lang w:val="pl-PL"/>
        </w:rPr>
        <w:t>Europejski Trybunał Praw Człowieka (Pierwsza Sekcja), zasiadając jako Izba w składzie:</w:t>
      </w:r>
    </w:p>
    <w:p w14:paraId="284F88DE" w14:textId="77777777" w:rsidR="00F767C0" w:rsidRPr="00212AD6" w:rsidRDefault="00F767C0" w:rsidP="00F767C0">
      <w:pPr>
        <w:pStyle w:val="JuJudges"/>
        <w:rPr>
          <w:lang w:val="pl-PL"/>
        </w:rPr>
      </w:pPr>
      <w:r w:rsidRPr="00212AD6">
        <w:rPr>
          <w:lang w:val="pl-PL"/>
        </w:rPr>
        <w:tab/>
      </w:r>
      <w:proofErr w:type="spellStart"/>
      <w:r w:rsidRPr="00212AD6">
        <w:rPr>
          <w:lang w:val="pl-PL"/>
        </w:rPr>
        <w:t>Anatoly</w:t>
      </w:r>
      <w:proofErr w:type="spellEnd"/>
      <w:r w:rsidRPr="00212AD6">
        <w:rPr>
          <w:lang w:val="pl-PL"/>
        </w:rPr>
        <w:t xml:space="preserve"> </w:t>
      </w:r>
      <w:proofErr w:type="spellStart"/>
      <w:r w:rsidRPr="00212AD6">
        <w:rPr>
          <w:lang w:val="pl-PL"/>
        </w:rPr>
        <w:t>Kovler</w:t>
      </w:r>
      <w:proofErr w:type="spellEnd"/>
      <w:r w:rsidRPr="00212AD6">
        <w:rPr>
          <w:lang w:val="pl-PL"/>
        </w:rPr>
        <w:t>,</w:t>
      </w:r>
      <w:r w:rsidRPr="00212AD6">
        <w:rPr>
          <w:i/>
          <w:lang w:val="pl-PL"/>
        </w:rPr>
        <w:t xml:space="preserve"> Przewodniczący,</w:t>
      </w:r>
      <w:r w:rsidRPr="00212AD6">
        <w:rPr>
          <w:i/>
          <w:lang w:val="pl-PL"/>
        </w:rPr>
        <w:br/>
      </w:r>
      <w:r w:rsidRPr="00212AD6">
        <w:rPr>
          <w:lang w:val="pl-PL"/>
        </w:rPr>
        <w:tab/>
        <w:t xml:space="preserve">Nina </w:t>
      </w:r>
      <w:proofErr w:type="spellStart"/>
      <w:r w:rsidRPr="00212AD6">
        <w:rPr>
          <w:lang w:val="pl-PL"/>
        </w:rPr>
        <w:t>Vajić</w:t>
      </w:r>
      <w:proofErr w:type="spellEnd"/>
      <w:r w:rsidRPr="00212AD6">
        <w:rPr>
          <w:lang w:val="pl-PL"/>
        </w:rPr>
        <w:t>,</w:t>
      </w:r>
      <w:r w:rsidRPr="00212AD6">
        <w:rPr>
          <w:i/>
          <w:lang w:val="pl-PL"/>
        </w:rPr>
        <w:br/>
      </w:r>
      <w:r w:rsidRPr="00212AD6">
        <w:rPr>
          <w:lang w:val="pl-PL"/>
        </w:rPr>
        <w:tab/>
      </w:r>
      <w:proofErr w:type="spellStart"/>
      <w:r w:rsidRPr="00212AD6">
        <w:rPr>
          <w:lang w:val="pl-PL"/>
        </w:rPr>
        <w:t>Elisabeth</w:t>
      </w:r>
      <w:proofErr w:type="spellEnd"/>
      <w:r w:rsidRPr="00212AD6">
        <w:rPr>
          <w:lang w:val="pl-PL"/>
        </w:rPr>
        <w:t xml:space="preserve"> Steiner,</w:t>
      </w:r>
      <w:r w:rsidRPr="00212AD6">
        <w:rPr>
          <w:i/>
          <w:lang w:val="pl-PL"/>
        </w:rPr>
        <w:br/>
      </w:r>
      <w:r w:rsidRPr="00212AD6">
        <w:rPr>
          <w:lang w:val="pl-PL"/>
        </w:rPr>
        <w:tab/>
      </w:r>
      <w:proofErr w:type="spellStart"/>
      <w:r w:rsidRPr="00212AD6">
        <w:rPr>
          <w:lang w:val="pl-PL"/>
        </w:rPr>
        <w:t>Khanlar</w:t>
      </w:r>
      <w:proofErr w:type="spellEnd"/>
      <w:r w:rsidRPr="00212AD6">
        <w:rPr>
          <w:lang w:val="pl-PL"/>
        </w:rPr>
        <w:t xml:space="preserve"> </w:t>
      </w:r>
      <w:proofErr w:type="spellStart"/>
      <w:r w:rsidRPr="00212AD6">
        <w:rPr>
          <w:lang w:val="pl-PL"/>
        </w:rPr>
        <w:t>Hajiyev</w:t>
      </w:r>
      <w:proofErr w:type="spellEnd"/>
      <w:r w:rsidRPr="00212AD6">
        <w:rPr>
          <w:lang w:val="pl-PL"/>
        </w:rPr>
        <w:t>,</w:t>
      </w:r>
      <w:r w:rsidRPr="00212AD6">
        <w:rPr>
          <w:i/>
          <w:lang w:val="pl-PL"/>
        </w:rPr>
        <w:br/>
      </w:r>
      <w:r w:rsidRPr="00212AD6">
        <w:rPr>
          <w:lang w:val="pl-PL"/>
        </w:rPr>
        <w:tab/>
        <w:t xml:space="preserve">George </w:t>
      </w:r>
      <w:proofErr w:type="spellStart"/>
      <w:r w:rsidRPr="00212AD6">
        <w:rPr>
          <w:lang w:val="pl-PL"/>
        </w:rPr>
        <w:t>Nicolaou</w:t>
      </w:r>
      <w:proofErr w:type="spellEnd"/>
      <w:r w:rsidRPr="00212AD6">
        <w:rPr>
          <w:lang w:val="pl-PL"/>
        </w:rPr>
        <w:t>,</w:t>
      </w:r>
      <w:r w:rsidRPr="00212AD6">
        <w:rPr>
          <w:i/>
          <w:lang w:val="pl-PL"/>
        </w:rPr>
        <w:br/>
      </w:r>
      <w:r w:rsidRPr="00212AD6">
        <w:rPr>
          <w:lang w:val="pl-PL"/>
        </w:rPr>
        <w:tab/>
      </w:r>
      <w:proofErr w:type="spellStart"/>
      <w:r w:rsidRPr="00212AD6">
        <w:rPr>
          <w:lang w:val="pl-PL"/>
        </w:rPr>
        <w:t>Mirjana</w:t>
      </w:r>
      <w:proofErr w:type="spellEnd"/>
      <w:r w:rsidRPr="00212AD6">
        <w:rPr>
          <w:lang w:val="pl-PL"/>
        </w:rPr>
        <w:t xml:space="preserve"> </w:t>
      </w:r>
      <w:proofErr w:type="spellStart"/>
      <w:r w:rsidRPr="00212AD6">
        <w:rPr>
          <w:lang w:val="pl-PL"/>
        </w:rPr>
        <w:t>Lazarova</w:t>
      </w:r>
      <w:proofErr w:type="spellEnd"/>
      <w:r w:rsidRPr="00212AD6">
        <w:rPr>
          <w:lang w:val="pl-PL"/>
        </w:rPr>
        <w:t xml:space="preserve"> </w:t>
      </w:r>
      <w:proofErr w:type="spellStart"/>
      <w:r w:rsidRPr="00212AD6">
        <w:rPr>
          <w:lang w:val="pl-PL"/>
        </w:rPr>
        <w:t>Trajkovska</w:t>
      </w:r>
      <w:proofErr w:type="spellEnd"/>
      <w:r w:rsidRPr="00212AD6">
        <w:rPr>
          <w:lang w:val="pl-PL"/>
        </w:rPr>
        <w:t>,</w:t>
      </w:r>
      <w:r w:rsidRPr="00212AD6">
        <w:rPr>
          <w:i/>
          <w:lang w:val="pl-PL"/>
        </w:rPr>
        <w:br/>
      </w:r>
      <w:r w:rsidRPr="00212AD6">
        <w:rPr>
          <w:lang w:val="pl-PL"/>
        </w:rPr>
        <w:tab/>
        <w:t xml:space="preserve">Julia </w:t>
      </w:r>
      <w:proofErr w:type="spellStart"/>
      <w:r w:rsidRPr="00212AD6">
        <w:rPr>
          <w:lang w:val="pl-PL"/>
        </w:rPr>
        <w:t>Laffranque</w:t>
      </w:r>
      <w:proofErr w:type="spellEnd"/>
      <w:r w:rsidRPr="00212AD6">
        <w:rPr>
          <w:lang w:val="pl-PL"/>
        </w:rPr>
        <w:t>,</w:t>
      </w:r>
      <w:r w:rsidRPr="00212AD6">
        <w:rPr>
          <w:i/>
          <w:lang w:val="pl-PL"/>
        </w:rPr>
        <w:t xml:space="preserve"> Sędziowie,</w:t>
      </w:r>
    </w:p>
    <w:p w14:paraId="0E42679F" w14:textId="77777777" w:rsidR="00F767C0" w:rsidRPr="001326C1" w:rsidRDefault="00F767C0" w:rsidP="00F767C0">
      <w:pPr>
        <w:pStyle w:val="JuJudges"/>
        <w:rPr>
          <w:lang w:val="pl-PL"/>
        </w:rPr>
      </w:pPr>
      <w:r w:rsidRPr="00212AD6">
        <w:rPr>
          <w:lang w:val="pl-PL"/>
        </w:rPr>
        <w:t xml:space="preserve">oraz </w:t>
      </w:r>
      <w:proofErr w:type="spellStart"/>
      <w:r w:rsidRPr="00212AD6">
        <w:rPr>
          <w:lang w:val="pl-PL"/>
        </w:rPr>
        <w:t>Søren</w:t>
      </w:r>
      <w:proofErr w:type="spellEnd"/>
      <w:r w:rsidRPr="00212AD6">
        <w:rPr>
          <w:lang w:val="pl-PL"/>
        </w:rPr>
        <w:t xml:space="preserve"> Nielsen</w:t>
      </w:r>
      <w:r w:rsidRPr="00212AD6">
        <w:rPr>
          <w:rStyle w:val="JuJudgesChar"/>
          <w:lang w:val="pl-PL"/>
        </w:rPr>
        <w:t xml:space="preserve">, </w:t>
      </w:r>
      <w:r w:rsidRPr="00212AD6">
        <w:rPr>
          <w:rStyle w:val="JuJudgesChar"/>
          <w:i/>
          <w:lang w:val="pl-PL"/>
        </w:rPr>
        <w:t>Kanclerz Sekcji</w:t>
      </w:r>
      <w:r w:rsidRPr="001326C1">
        <w:rPr>
          <w:i/>
          <w:lang w:val="pl-PL"/>
        </w:rPr>
        <w:t>,</w:t>
      </w:r>
    </w:p>
    <w:p w14:paraId="248DF05E" w14:textId="77777777" w:rsidR="00F767C0" w:rsidRPr="001326C1" w:rsidRDefault="00F767C0" w:rsidP="00F767C0">
      <w:pPr>
        <w:pStyle w:val="JuPara"/>
        <w:rPr>
          <w:lang w:val="pl-PL"/>
        </w:rPr>
      </w:pPr>
      <w:r w:rsidRPr="001326C1">
        <w:rPr>
          <w:lang w:val="pl-PL"/>
        </w:rPr>
        <w:t>obradując na posiedzeniu zamkniętym w dniu 5 lipca 2011 r.,</w:t>
      </w:r>
    </w:p>
    <w:p w14:paraId="744B0310" w14:textId="77777777" w:rsidR="00F767C0" w:rsidRPr="001326C1" w:rsidRDefault="00F767C0" w:rsidP="00F767C0">
      <w:pPr>
        <w:pStyle w:val="JuPara"/>
        <w:rPr>
          <w:lang w:val="pl-PL"/>
        </w:rPr>
      </w:pPr>
      <w:r w:rsidRPr="001326C1">
        <w:rPr>
          <w:lang w:val="pl-PL"/>
        </w:rPr>
        <w:t>wydaje następujący wyrok, który został przyjęty w tym dniu:</w:t>
      </w:r>
    </w:p>
    <w:p w14:paraId="7CC17080" w14:textId="77777777" w:rsidR="00F767C0" w:rsidRPr="001326C1" w:rsidRDefault="00F767C0" w:rsidP="00F767C0">
      <w:pPr>
        <w:pStyle w:val="JuHHead"/>
        <w:rPr>
          <w:lang w:val="pl-PL"/>
        </w:rPr>
      </w:pPr>
      <w:r w:rsidRPr="001326C1">
        <w:rPr>
          <w:lang w:val="pl-PL"/>
        </w:rPr>
        <w:t>POSTĘPOWANIE</w:t>
      </w:r>
    </w:p>
    <w:p w14:paraId="2405C9B9" w14:textId="2ECAABAD" w:rsidR="00F767C0" w:rsidRPr="001326C1" w:rsidRDefault="00F767C0" w:rsidP="00F767C0">
      <w:pPr>
        <w:pStyle w:val="JuPara"/>
        <w:rPr>
          <w:lang w:val="pl-PL"/>
        </w:rPr>
      </w:pPr>
      <w:r w:rsidRPr="001326C1">
        <w:rPr>
          <w:lang w:val="pl-PL"/>
        </w:rPr>
        <w:fldChar w:fldCharType="begin"/>
      </w:r>
      <w:r w:rsidRPr="001326C1">
        <w:rPr>
          <w:lang w:val="pl-PL"/>
        </w:rPr>
        <w:instrText xml:space="preserve"> SEQ level0 \*arabic </w:instrText>
      </w:r>
      <w:r w:rsidRPr="001326C1">
        <w:rPr>
          <w:lang w:val="pl-PL"/>
        </w:rPr>
        <w:fldChar w:fldCharType="separate"/>
      </w:r>
      <w:r w:rsidRPr="001326C1">
        <w:rPr>
          <w:noProof/>
          <w:lang w:val="pl-PL"/>
        </w:rPr>
        <w:t>1</w:t>
      </w:r>
      <w:r w:rsidRPr="001326C1">
        <w:rPr>
          <w:lang w:val="pl-PL"/>
        </w:rPr>
        <w:fldChar w:fldCharType="end"/>
      </w:r>
      <w:r w:rsidRPr="001326C1">
        <w:rPr>
          <w:lang w:val="pl-PL"/>
        </w:rPr>
        <w:t xml:space="preserve">.  Sprawa wywodzi się ze skargi (nr 58222/09) przeciwko Republice Chorwacji wniesionej do Trybunału na podstawie </w:t>
      </w:r>
      <w:r w:rsidR="00B569A1">
        <w:rPr>
          <w:lang w:val="pl-PL"/>
        </w:rPr>
        <w:t>art.</w:t>
      </w:r>
      <w:r w:rsidRPr="001326C1">
        <w:rPr>
          <w:lang w:val="pl-PL"/>
        </w:rPr>
        <w:t xml:space="preserve"> 34 Konwencji o </w:t>
      </w:r>
      <w:r w:rsidR="00792CD6" w:rsidRPr="001326C1">
        <w:rPr>
          <w:lang w:val="pl-PL"/>
        </w:rPr>
        <w:t xml:space="preserve">ochronie praw człowieka i podstawowych wolności </w:t>
      </w:r>
      <w:r w:rsidRPr="001326C1">
        <w:rPr>
          <w:lang w:val="pl-PL"/>
        </w:rPr>
        <w:t xml:space="preserve">(„Konwencja”) przez obywatelkę chorwacką, panią </w:t>
      </w:r>
      <w:proofErr w:type="spellStart"/>
      <w:r w:rsidRPr="001326C1">
        <w:rPr>
          <w:lang w:val="pl-PL"/>
        </w:rPr>
        <w:t>Mirjanę</w:t>
      </w:r>
      <w:proofErr w:type="spellEnd"/>
      <w:r w:rsidRPr="001326C1">
        <w:rPr>
          <w:lang w:val="pl-PL"/>
        </w:rPr>
        <w:t xml:space="preserve"> </w:t>
      </w:r>
      <w:proofErr w:type="spellStart"/>
      <w:r w:rsidRPr="001326C1">
        <w:rPr>
          <w:lang w:val="pl-PL"/>
        </w:rPr>
        <w:t>Juričić</w:t>
      </w:r>
      <w:proofErr w:type="spellEnd"/>
      <w:r w:rsidRPr="001326C1">
        <w:rPr>
          <w:lang w:val="pl-PL"/>
        </w:rPr>
        <w:t xml:space="preserve"> („skarżąca”), w dniu 18 października 2009 r.</w:t>
      </w:r>
    </w:p>
    <w:p w14:paraId="0D18955A" w14:textId="77777777" w:rsidR="00F767C0" w:rsidRPr="001326C1" w:rsidRDefault="00F767C0" w:rsidP="00F767C0">
      <w:pPr>
        <w:pStyle w:val="JuPara"/>
        <w:rPr>
          <w:lang w:val="pl-PL"/>
        </w:rPr>
      </w:pPr>
      <w:r w:rsidRPr="001326C1">
        <w:rPr>
          <w:lang w:val="pl-PL"/>
        </w:rPr>
        <w:fldChar w:fldCharType="begin"/>
      </w:r>
      <w:r w:rsidRPr="001326C1">
        <w:rPr>
          <w:lang w:val="pl-PL"/>
        </w:rPr>
        <w:instrText xml:space="preserve"> SEQ level0 \*arabic </w:instrText>
      </w:r>
      <w:r w:rsidRPr="001326C1">
        <w:rPr>
          <w:lang w:val="pl-PL"/>
        </w:rPr>
        <w:fldChar w:fldCharType="separate"/>
      </w:r>
      <w:r w:rsidRPr="001326C1">
        <w:rPr>
          <w:noProof/>
          <w:lang w:val="pl-PL"/>
        </w:rPr>
        <w:t>2</w:t>
      </w:r>
      <w:r w:rsidRPr="001326C1">
        <w:rPr>
          <w:lang w:val="pl-PL"/>
        </w:rPr>
        <w:fldChar w:fldCharType="end"/>
      </w:r>
      <w:r w:rsidRPr="001326C1">
        <w:rPr>
          <w:lang w:val="pl-PL"/>
        </w:rPr>
        <w:t xml:space="preserve">.  Skarżąca reprezentowana była przez pana V. </w:t>
      </w:r>
      <w:proofErr w:type="spellStart"/>
      <w:r w:rsidRPr="001326C1">
        <w:rPr>
          <w:lang w:val="pl-PL"/>
        </w:rPr>
        <w:t>Miljevića</w:t>
      </w:r>
      <w:proofErr w:type="spellEnd"/>
      <w:r w:rsidRPr="001326C1">
        <w:rPr>
          <w:lang w:val="pl-PL"/>
        </w:rPr>
        <w:t xml:space="preserve">, adwokata praktykującego w Zagrzebiu. Rząd chorwacki („Rząd”) reprezentowany był przez swojego pełnomocnika, panią Š. </w:t>
      </w:r>
      <w:proofErr w:type="spellStart"/>
      <w:r w:rsidRPr="001326C1">
        <w:rPr>
          <w:lang w:val="pl-PL"/>
        </w:rPr>
        <w:t>Stažnik</w:t>
      </w:r>
      <w:proofErr w:type="spellEnd"/>
      <w:r w:rsidRPr="001326C1">
        <w:rPr>
          <w:lang w:val="pl-PL"/>
        </w:rPr>
        <w:t>.</w:t>
      </w:r>
    </w:p>
    <w:p w14:paraId="03265AB1" w14:textId="77777777" w:rsidR="00F767C0" w:rsidRPr="00212AD6" w:rsidRDefault="00F767C0" w:rsidP="00F767C0">
      <w:pPr>
        <w:pStyle w:val="JuPara"/>
        <w:rPr>
          <w:lang w:val="pl-PL"/>
        </w:rPr>
      </w:pPr>
      <w:r w:rsidRPr="001326C1">
        <w:rPr>
          <w:lang w:val="pl-PL"/>
        </w:rPr>
        <w:fldChar w:fldCharType="begin"/>
      </w:r>
      <w:r w:rsidRPr="001326C1">
        <w:rPr>
          <w:lang w:val="pl-PL"/>
        </w:rPr>
        <w:instrText xml:space="preserve"> SEQ level0 \*arabic </w:instrText>
      </w:r>
      <w:r w:rsidRPr="001326C1">
        <w:rPr>
          <w:lang w:val="pl-PL"/>
        </w:rPr>
        <w:fldChar w:fldCharType="separate"/>
      </w:r>
      <w:r w:rsidRPr="001326C1">
        <w:rPr>
          <w:noProof/>
          <w:lang w:val="pl-PL"/>
        </w:rPr>
        <w:t>3</w:t>
      </w:r>
      <w:r w:rsidRPr="001326C1">
        <w:rPr>
          <w:lang w:val="pl-PL"/>
        </w:rPr>
        <w:fldChar w:fldCharType="end"/>
      </w:r>
      <w:r w:rsidRPr="001326C1">
        <w:rPr>
          <w:lang w:val="pl-PL"/>
        </w:rPr>
        <w:t>.  Skarżąca zarzuciła w szczególności, że doszło do naruszenia jej prawa do rzetelnego procesu sądowego.</w:t>
      </w:r>
    </w:p>
    <w:p w14:paraId="7171E63B" w14:textId="0A080DEF" w:rsidR="00F767C0" w:rsidRPr="00212AD6" w:rsidRDefault="00F767C0" w:rsidP="00F767C0">
      <w:pPr>
        <w:pStyle w:val="JuPara"/>
        <w:rPr>
          <w:lang w:val="pl-PL"/>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4</w:t>
      </w:r>
      <w:r w:rsidRPr="00212AD6">
        <w:rPr>
          <w:lang w:val="pl-PL"/>
        </w:rPr>
        <w:fldChar w:fldCharType="end"/>
      </w:r>
      <w:r w:rsidRPr="00212AD6">
        <w:rPr>
          <w:lang w:val="pl-PL"/>
        </w:rPr>
        <w:t xml:space="preserve">.  W dniu </w:t>
      </w:r>
      <w:r w:rsidRPr="00212AD6">
        <w:rPr>
          <w:szCs w:val="24"/>
          <w:lang w:val="pl-PL"/>
        </w:rPr>
        <w:t>10 listopada 2010</w:t>
      </w:r>
      <w:r w:rsidRPr="00212AD6">
        <w:rPr>
          <w:lang w:val="pl-PL"/>
        </w:rPr>
        <w:t xml:space="preserve"> r. Przewodniczący Pierwszej Sekcji zadecydował o powiadomieniu Rządu o zarzutach dotyczących równości broni, braku bez</w:t>
      </w:r>
      <w:r w:rsidRPr="00E84EB6">
        <w:rPr>
          <w:lang w:val="pl-PL"/>
        </w:rPr>
        <w:t xml:space="preserve">stronności oraz braku </w:t>
      </w:r>
      <w:r w:rsidR="00DB5CE6" w:rsidRPr="00E84EB6">
        <w:rPr>
          <w:lang w:val="pl-PL"/>
        </w:rPr>
        <w:t>ustnego</w:t>
      </w:r>
      <w:r w:rsidR="00C55FC0">
        <w:rPr>
          <w:lang w:val="pl-PL"/>
        </w:rPr>
        <w:t xml:space="preserve">, publicznego </w:t>
      </w:r>
      <w:r w:rsidR="00E23343" w:rsidRPr="00E84EB6">
        <w:rPr>
          <w:lang w:val="pl-PL"/>
        </w:rPr>
        <w:t xml:space="preserve">i kontradyktoryjnego </w:t>
      </w:r>
      <w:r w:rsidR="00A14894">
        <w:rPr>
          <w:lang w:val="pl-PL"/>
        </w:rPr>
        <w:t>rozpatrzenia sprawy</w:t>
      </w:r>
      <w:r w:rsidRPr="00212AD6">
        <w:rPr>
          <w:lang w:val="pl-PL"/>
        </w:rPr>
        <w:t xml:space="preserve">. </w:t>
      </w:r>
      <w:r w:rsidR="007F6BC6" w:rsidRPr="00212AD6">
        <w:rPr>
          <w:lang w:val="pl-PL"/>
        </w:rPr>
        <w:t>Zdecydowano także</w:t>
      </w:r>
      <w:r w:rsidR="007632AA">
        <w:rPr>
          <w:lang w:val="pl-PL"/>
        </w:rPr>
        <w:t xml:space="preserve">, że </w:t>
      </w:r>
      <w:r w:rsidR="007F6BC6" w:rsidRPr="00212AD6">
        <w:rPr>
          <w:lang w:val="pl-PL"/>
        </w:rPr>
        <w:t>kwe</w:t>
      </w:r>
      <w:r w:rsidR="007632AA">
        <w:rPr>
          <w:lang w:val="pl-PL"/>
        </w:rPr>
        <w:t>stia</w:t>
      </w:r>
      <w:r w:rsidR="007F6BC6" w:rsidRPr="00212AD6">
        <w:rPr>
          <w:lang w:val="pl-PL"/>
        </w:rPr>
        <w:t xml:space="preserve"> dopuszczalności i </w:t>
      </w:r>
      <w:r w:rsidR="009E17ED">
        <w:rPr>
          <w:lang w:val="pl-PL"/>
        </w:rPr>
        <w:t>przedmiotu</w:t>
      </w:r>
      <w:r w:rsidR="007F6BC6" w:rsidRPr="00212AD6">
        <w:rPr>
          <w:lang w:val="pl-PL"/>
        </w:rPr>
        <w:t xml:space="preserve"> skargi </w:t>
      </w:r>
      <w:r w:rsidR="007632AA">
        <w:rPr>
          <w:lang w:val="pl-PL"/>
        </w:rPr>
        <w:t xml:space="preserve">zostanie rozstrzygnięta równocześnie </w:t>
      </w:r>
      <w:r w:rsidR="007F6BC6" w:rsidRPr="00212AD6">
        <w:rPr>
          <w:lang w:val="pl-PL"/>
        </w:rPr>
        <w:t>(</w:t>
      </w:r>
      <w:r w:rsidR="00B569A1">
        <w:rPr>
          <w:lang w:val="pl-PL"/>
        </w:rPr>
        <w:t>art.</w:t>
      </w:r>
      <w:r w:rsidR="007F6BC6" w:rsidRPr="00212AD6">
        <w:rPr>
          <w:lang w:val="pl-PL"/>
        </w:rPr>
        <w:t xml:space="preserve"> 29 ust. 1).</w:t>
      </w:r>
    </w:p>
    <w:p w14:paraId="399A4C8A" w14:textId="77777777" w:rsidR="00212AD6" w:rsidRPr="00314312" w:rsidRDefault="00212AD6" w:rsidP="00212AD6">
      <w:pPr>
        <w:pStyle w:val="JuHHead"/>
        <w:rPr>
          <w:lang w:val="pl-PL"/>
        </w:rPr>
      </w:pPr>
      <w:r w:rsidRPr="00314312">
        <w:rPr>
          <w:lang w:val="pl-PL"/>
        </w:rPr>
        <w:t>FAKTY</w:t>
      </w:r>
    </w:p>
    <w:p w14:paraId="6F771249" w14:textId="77777777" w:rsidR="00212AD6" w:rsidRPr="00E27FA1" w:rsidRDefault="00212AD6" w:rsidP="00212AD6">
      <w:pPr>
        <w:pStyle w:val="JuHIRoman"/>
        <w:rPr>
          <w:lang w:val="pl-PL"/>
        </w:rPr>
      </w:pPr>
      <w:r w:rsidRPr="00E27FA1">
        <w:rPr>
          <w:lang w:val="pl-PL"/>
        </w:rPr>
        <w:t>I.  </w:t>
      </w:r>
      <w:r w:rsidRPr="00314312">
        <w:rPr>
          <w:lang w:val="pl-PL"/>
        </w:rPr>
        <w:t>OKOLICZNOŚCI SPRAWY</w:t>
      </w:r>
    </w:p>
    <w:p w14:paraId="460577A6" w14:textId="77777777" w:rsidR="00F767C0" w:rsidRPr="00212AD6" w:rsidRDefault="00F767C0" w:rsidP="00F767C0">
      <w:pPr>
        <w:pStyle w:val="JuPara"/>
        <w:rPr>
          <w:lang w:val="pl-PL"/>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5</w:t>
      </w:r>
      <w:r w:rsidRPr="00212AD6">
        <w:rPr>
          <w:lang w:val="pl-PL"/>
        </w:rPr>
        <w:fldChar w:fldCharType="end"/>
      </w:r>
      <w:r w:rsidRPr="00212AD6">
        <w:rPr>
          <w:lang w:val="pl-PL"/>
        </w:rPr>
        <w:t>.  Skarżąca urodziła się w 1954 r. i mieszka w Zagrzebiu.</w:t>
      </w:r>
    </w:p>
    <w:p w14:paraId="5ACC0254" w14:textId="77777777" w:rsidR="00F767C0" w:rsidRPr="00212AD6" w:rsidRDefault="00F767C0" w:rsidP="00F767C0">
      <w:pPr>
        <w:pStyle w:val="JuPara"/>
        <w:rPr>
          <w:lang w:val="pl-PL"/>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6</w:t>
      </w:r>
      <w:r w:rsidRPr="00212AD6">
        <w:rPr>
          <w:lang w:val="pl-PL"/>
        </w:rPr>
        <w:fldChar w:fldCharType="end"/>
      </w:r>
      <w:r w:rsidRPr="00212AD6">
        <w:rPr>
          <w:lang w:val="pl-PL"/>
        </w:rPr>
        <w:t xml:space="preserve">.  W dniu 26 lutego </w:t>
      </w:r>
      <w:r w:rsidRPr="001326C1">
        <w:rPr>
          <w:lang w:val="pl-PL"/>
        </w:rPr>
        <w:t>2008 r. Komisja Parlamentu Chorwacji ds. Konstytucji, Regulaminu i Systemu Politycznego (</w:t>
      </w:r>
      <w:proofErr w:type="spellStart"/>
      <w:r w:rsidRPr="001326C1">
        <w:rPr>
          <w:i/>
          <w:lang w:val="pl-PL"/>
        </w:rPr>
        <w:t>Hrvatski</w:t>
      </w:r>
      <w:proofErr w:type="spellEnd"/>
      <w:r w:rsidRPr="001326C1">
        <w:rPr>
          <w:i/>
          <w:lang w:val="pl-PL"/>
        </w:rPr>
        <w:t xml:space="preserve"> </w:t>
      </w:r>
      <w:proofErr w:type="spellStart"/>
      <w:r w:rsidRPr="001326C1">
        <w:rPr>
          <w:i/>
          <w:lang w:val="pl-PL"/>
        </w:rPr>
        <w:t>Sabor</w:t>
      </w:r>
      <w:proofErr w:type="spellEnd"/>
      <w:r w:rsidRPr="001326C1">
        <w:rPr>
          <w:i/>
          <w:lang w:val="pl-PL"/>
        </w:rPr>
        <w:t xml:space="preserve"> – </w:t>
      </w:r>
      <w:proofErr w:type="spellStart"/>
      <w:r w:rsidRPr="001326C1">
        <w:rPr>
          <w:i/>
          <w:lang w:val="pl-PL"/>
        </w:rPr>
        <w:t>Odbor</w:t>
      </w:r>
      <w:proofErr w:type="spellEnd"/>
      <w:r w:rsidRPr="001326C1">
        <w:rPr>
          <w:i/>
          <w:lang w:val="pl-PL"/>
        </w:rPr>
        <w:t xml:space="preserve"> za </w:t>
      </w:r>
      <w:proofErr w:type="spellStart"/>
      <w:r w:rsidRPr="001326C1">
        <w:rPr>
          <w:i/>
          <w:lang w:val="pl-PL"/>
        </w:rPr>
        <w:t>Ustav</w:t>
      </w:r>
      <w:proofErr w:type="spellEnd"/>
      <w:r w:rsidRPr="001326C1">
        <w:rPr>
          <w:i/>
          <w:lang w:val="pl-PL"/>
        </w:rPr>
        <w:t xml:space="preserve">, </w:t>
      </w:r>
      <w:proofErr w:type="spellStart"/>
      <w:r w:rsidRPr="001326C1">
        <w:rPr>
          <w:i/>
          <w:lang w:val="pl-PL"/>
        </w:rPr>
        <w:t>Poslovnik</w:t>
      </w:r>
      <w:proofErr w:type="spellEnd"/>
      <w:r w:rsidRPr="001326C1">
        <w:rPr>
          <w:i/>
          <w:lang w:val="pl-PL"/>
        </w:rPr>
        <w:t xml:space="preserve"> i </w:t>
      </w:r>
      <w:proofErr w:type="spellStart"/>
      <w:r w:rsidRPr="001326C1">
        <w:rPr>
          <w:i/>
          <w:lang w:val="pl-PL"/>
        </w:rPr>
        <w:t>politički</w:t>
      </w:r>
      <w:proofErr w:type="spellEnd"/>
      <w:r w:rsidRPr="001326C1">
        <w:rPr>
          <w:i/>
          <w:lang w:val="pl-PL"/>
        </w:rPr>
        <w:t xml:space="preserve"> </w:t>
      </w:r>
      <w:proofErr w:type="spellStart"/>
      <w:r w:rsidRPr="001326C1">
        <w:rPr>
          <w:i/>
          <w:lang w:val="pl-PL"/>
        </w:rPr>
        <w:t>sustav</w:t>
      </w:r>
      <w:proofErr w:type="spellEnd"/>
      <w:r w:rsidRPr="001326C1">
        <w:rPr>
          <w:lang w:val="pl-PL"/>
        </w:rPr>
        <w:t xml:space="preserve"> – „Komisja Parlamentarna”) opublikowała w Dzienniku Urzędowym</w:t>
      </w:r>
      <w:r w:rsidRPr="00212AD6">
        <w:rPr>
          <w:lang w:val="pl-PL"/>
        </w:rPr>
        <w:t xml:space="preserve"> (nr 26/2008 r. z dnia 29 lutego 2008 r.) Zaproszenie do Składania Kandydatur na Stanowiska Trzech </w:t>
      </w:r>
      <w:r w:rsidRPr="00212AD6">
        <w:rPr>
          <w:lang w:val="pl-PL"/>
        </w:rPr>
        <w:lastRenderedPageBreak/>
        <w:t>Sędziów Trybunału Konstytucyjnego, zwracając się do potencjalnych kandydatów z zaproszeniem do składania kandydatur.</w:t>
      </w:r>
    </w:p>
    <w:p w14:paraId="5F82475A" w14:textId="77777777" w:rsidR="00F767C0" w:rsidRPr="00212AD6" w:rsidRDefault="00F767C0" w:rsidP="00F767C0">
      <w:pPr>
        <w:pStyle w:val="JuPara"/>
        <w:rPr>
          <w:lang w:val="pl-PL"/>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7</w:t>
      </w:r>
      <w:r w:rsidRPr="00212AD6">
        <w:rPr>
          <w:lang w:val="pl-PL"/>
        </w:rPr>
        <w:fldChar w:fldCharType="end"/>
      </w:r>
      <w:r w:rsidRPr="00212AD6">
        <w:rPr>
          <w:lang w:val="pl-PL"/>
        </w:rPr>
        <w:t>.  W dniu 28 kwietnia 2008 r. skarżąca, sędzia Sądu Administracyjnego, złożyła swoją kandydaturę na stanowisko sędziego Trybunału Konstytucyjnego. Kandydatury złożyło także osiemnaście innych osób.</w:t>
      </w:r>
    </w:p>
    <w:p w14:paraId="23F824AF" w14:textId="77777777" w:rsidR="00F767C0" w:rsidRPr="00212AD6" w:rsidRDefault="00F767C0" w:rsidP="00F767C0">
      <w:pPr>
        <w:pStyle w:val="JuPara"/>
        <w:rPr>
          <w:lang w:val="pl-PL"/>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8</w:t>
      </w:r>
      <w:r w:rsidRPr="00212AD6">
        <w:rPr>
          <w:lang w:val="pl-PL"/>
        </w:rPr>
        <w:fldChar w:fldCharType="end"/>
      </w:r>
      <w:r w:rsidRPr="00212AD6">
        <w:rPr>
          <w:lang w:val="pl-PL"/>
        </w:rPr>
        <w:t>.  Komisja Parlamentarna przygotowała ostatecznie listę czterech kandydatów, mianowicie: pan M.J., pani D.Š., pani S.B. i skarżąca, która została przedstawiona do głosowania przez Parlament.</w:t>
      </w:r>
    </w:p>
    <w:p w14:paraId="01A41104" w14:textId="77777777" w:rsidR="00F767C0" w:rsidRPr="00212AD6" w:rsidRDefault="00F767C0" w:rsidP="00F767C0">
      <w:pPr>
        <w:pStyle w:val="JuPara"/>
        <w:rPr>
          <w:lang w:val="pl-PL"/>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9</w:t>
      </w:r>
      <w:r w:rsidRPr="00212AD6">
        <w:rPr>
          <w:lang w:val="pl-PL"/>
        </w:rPr>
        <w:fldChar w:fldCharType="end"/>
      </w:r>
      <w:r w:rsidRPr="00212AD6">
        <w:rPr>
          <w:lang w:val="pl-PL"/>
        </w:rPr>
        <w:t>.  Po tajnym głosowaniu, w którym skarżąca otrzymała cztery z wymaganych 77 głosów, w dniu 9 maja 2008 r. Parlament przyjął decyzję o wyborze pana M.J., pani D</w:t>
      </w:r>
      <w:r w:rsidR="006D1B9A">
        <w:rPr>
          <w:lang w:val="pl-PL"/>
        </w:rPr>
        <w:t>.Š. i pani S.B., z których każdy</w:t>
      </w:r>
      <w:r w:rsidRPr="00212AD6">
        <w:rPr>
          <w:lang w:val="pl-PL"/>
        </w:rPr>
        <w:t xml:space="preserve"> otrzymał po 78 głosów, na sędziów Trybunału Konstytucyjnego.</w:t>
      </w:r>
    </w:p>
    <w:p w14:paraId="0E2D65DA" w14:textId="3028D98D" w:rsidR="00F767C0" w:rsidRPr="00212AD6" w:rsidRDefault="00F767C0" w:rsidP="00F767C0">
      <w:pPr>
        <w:pStyle w:val="JuPara"/>
        <w:rPr>
          <w:lang w:val="pl-PL"/>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10</w:t>
      </w:r>
      <w:r w:rsidRPr="00212AD6">
        <w:rPr>
          <w:lang w:val="pl-PL"/>
        </w:rPr>
        <w:fldChar w:fldCharType="end"/>
      </w:r>
      <w:r w:rsidRPr="00212AD6">
        <w:rPr>
          <w:lang w:val="pl-PL"/>
        </w:rPr>
        <w:t>.  W dniu 26 maja 2008 r. skarżąc</w:t>
      </w:r>
      <w:r w:rsidR="001E4BA5">
        <w:rPr>
          <w:lang w:val="pl-PL"/>
        </w:rPr>
        <w:t xml:space="preserve">a, powołując się na przepis </w:t>
      </w:r>
      <w:r w:rsidR="00B569A1">
        <w:rPr>
          <w:lang w:val="pl-PL"/>
        </w:rPr>
        <w:t>art.</w:t>
      </w:r>
      <w:r w:rsidRPr="00212AD6">
        <w:rPr>
          <w:lang w:val="pl-PL"/>
        </w:rPr>
        <w:t xml:space="preserve"> 66 ustawy o sporach administracyjnych (zob. paragraf 32 poniżej), złożyła </w:t>
      </w:r>
      <w:r w:rsidR="006D1B9A" w:rsidRPr="00212AD6">
        <w:rPr>
          <w:lang w:val="pl-PL"/>
        </w:rPr>
        <w:t>do Sądu Administracyjnego (</w:t>
      </w:r>
      <w:proofErr w:type="spellStart"/>
      <w:r w:rsidR="006D1B9A" w:rsidRPr="00212AD6">
        <w:rPr>
          <w:i/>
          <w:lang w:val="pl-PL"/>
        </w:rPr>
        <w:t>Upravni</w:t>
      </w:r>
      <w:proofErr w:type="spellEnd"/>
      <w:r w:rsidR="006D1B9A" w:rsidRPr="00212AD6">
        <w:rPr>
          <w:i/>
          <w:lang w:val="pl-PL"/>
        </w:rPr>
        <w:t xml:space="preserve"> </w:t>
      </w:r>
      <w:proofErr w:type="spellStart"/>
      <w:r w:rsidR="006D1B9A" w:rsidRPr="00212AD6">
        <w:rPr>
          <w:i/>
          <w:lang w:val="pl-PL"/>
        </w:rPr>
        <w:t>sud</w:t>
      </w:r>
      <w:proofErr w:type="spellEnd"/>
      <w:r w:rsidR="006D1B9A" w:rsidRPr="00212AD6">
        <w:rPr>
          <w:i/>
          <w:lang w:val="pl-PL"/>
        </w:rPr>
        <w:t xml:space="preserve"> </w:t>
      </w:r>
      <w:proofErr w:type="spellStart"/>
      <w:r w:rsidR="006D1B9A" w:rsidRPr="00212AD6">
        <w:rPr>
          <w:i/>
          <w:lang w:val="pl-PL"/>
        </w:rPr>
        <w:t>Republike</w:t>
      </w:r>
      <w:proofErr w:type="spellEnd"/>
      <w:r w:rsidR="006D1B9A" w:rsidRPr="00212AD6">
        <w:rPr>
          <w:i/>
          <w:lang w:val="pl-PL"/>
        </w:rPr>
        <w:t xml:space="preserve"> </w:t>
      </w:r>
      <w:proofErr w:type="spellStart"/>
      <w:r w:rsidR="006D1B9A" w:rsidRPr="00212AD6">
        <w:rPr>
          <w:i/>
          <w:lang w:val="pl-PL"/>
        </w:rPr>
        <w:t>Hrvatske</w:t>
      </w:r>
      <w:proofErr w:type="spellEnd"/>
      <w:r w:rsidR="006D1B9A" w:rsidRPr="00212AD6">
        <w:rPr>
          <w:lang w:val="pl-PL"/>
        </w:rPr>
        <w:t>)</w:t>
      </w:r>
      <w:r w:rsidR="006D1B9A">
        <w:rPr>
          <w:lang w:val="pl-PL"/>
        </w:rPr>
        <w:t xml:space="preserve"> </w:t>
      </w:r>
      <w:r w:rsidRPr="00212AD6">
        <w:rPr>
          <w:lang w:val="pl-PL"/>
        </w:rPr>
        <w:t xml:space="preserve">wniosek o ochronę prawa gwarantowanego przez </w:t>
      </w:r>
      <w:r w:rsidR="00DB5CE6" w:rsidRPr="00212AD6">
        <w:rPr>
          <w:lang w:val="pl-PL"/>
        </w:rPr>
        <w:t xml:space="preserve">Konstytucję </w:t>
      </w:r>
      <w:r w:rsidRPr="00212AD6">
        <w:rPr>
          <w:lang w:val="pl-PL"/>
        </w:rPr>
        <w:t>(</w:t>
      </w:r>
      <w:proofErr w:type="spellStart"/>
      <w:r w:rsidRPr="00212AD6">
        <w:rPr>
          <w:i/>
          <w:lang w:val="pl-PL"/>
        </w:rPr>
        <w:t>zahtjev</w:t>
      </w:r>
      <w:proofErr w:type="spellEnd"/>
      <w:r w:rsidRPr="00212AD6">
        <w:rPr>
          <w:i/>
          <w:lang w:val="pl-PL"/>
        </w:rPr>
        <w:t xml:space="preserve"> za </w:t>
      </w:r>
      <w:proofErr w:type="spellStart"/>
      <w:r w:rsidRPr="00212AD6">
        <w:rPr>
          <w:i/>
          <w:lang w:val="pl-PL"/>
        </w:rPr>
        <w:t>zaštitu</w:t>
      </w:r>
      <w:proofErr w:type="spellEnd"/>
      <w:r w:rsidRPr="00212AD6">
        <w:rPr>
          <w:i/>
          <w:lang w:val="pl-PL"/>
        </w:rPr>
        <w:t xml:space="preserve"> </w:t>
      </w:r>
      <w:proofErr w:type="spellStart"/>
      <w:r w:rsidRPr="00212AD6">
        <w:rPr>
          <w:i/>
          <w:lang w:val="pl-PL"/>
        </w:rPr>
        <w:t>ustavom</w:t>
      </w:r>
      <w:proofErr w:type="spellEnd"/>
      <w:r w:rsidRPr="00212AD6">
        <w:rPr>
          <w:i/>
          <w:lang w:val="pl-PL"/>
        </w:rPr>
        <w:t xml:space="preserve"> </w:t>
      </w:r>
      <w:proofErr w:type="spellStart"/>
      <w:r w:rsidRPr="00212AD6">
        <w:rPr>
          <w:i/>
          <w:lang w:val="pl-PL"/>
        </w:rPr>
        <w:t>zajamčenog</w:t>
      </w:r>
      <w:proofErr w:type="spellEnd"/>
      <w:r w:rsidRPr="00212AD6">
        <w:rPr>
          <w:i/>
          <w:lang w:val="pl-PL"/>
        </w:rPr>
        <w:t xml:space="preserve"> </w:t>
      </w:r>
      <w:proofErr w:type="spellStart"/>
      <w:r w:rsidRPr="00212AD6">
        <w:rPr>
          <w:i/>
          <w:lang w:val="pl-PL"/>
        </w:rPr>
        <w:t>prava</w:t>
      </w:r>
      <w:proofErr w:type="spellEnd"/>
      <w:r w:rsidRPr="00212AD6">
        <w:rPr>
          <w:lang w:val="pl-PL"/>
        </w:rPr>
        <w:t xml:space="preserve">), kwestionując decyzję Parlamentu z dnia 9 maja 2008 r. Twierdziła, że S.B. nie udowodniła, iż posiada co najmniej piętnaście lat doświadczenia zawodowego, a zatem nie wykazała spełnienia wszystkich ustawowych kryteriów wyboru na sędziego Trybunału Konstytucyjnego określonych w </w:t>
      </w:r>
      <w:r w:rsidR="00B569A1">
        <w:rPr>
          <w:lang w:val="pl-PL"/>
        </w:rPr>
        <w:t>art.</w:t>
      </w:r>
      <w:r w:rsidR="001E4BA5">
        <w:rPr>
          <w:lang w:val="pl-PL"/>
        </w:rPr>
        <w:t xml:space="preserve"> </w:t>
      </w:r>
      <w:r w:rsidRPr="00212AD6">
        <w:rPr>
          <w:lang w:val="pl-PL"/>
        </w:rPr>
        <w:t>5(1) ustawy o Trybunale Konstytucyjnym (zob. paragraf 25 poniżej). Z tego względu, w opinii skarżącej, wybierając w jej miejsce S.B.</w:t>
      </w:r>
      <w:r w:rsidR="009E17ED">
        <w:rPr>
          <w:lang w:val="pl-PL"/>
        </w:rPr>
        <w:t>,</w:t>
      </w:r>
      <w:r w:rsidRPr="00212AD6">
        <w:rPr>
          <w:lang w:val="pl-PL"/>
        </w:rPr>
        <w:t xml:space="preserve"> Parlament naruszył </w:t>
      </w:r>
      <w:r w:rsidR="006D1B9A">
        <w:rPr>
          <w:lang w:val="pl-PL"/>
        </w:rPr>
        <w:t xml:space="preserve">zasadę </w:t>
      </w:r>
      <w:r w:rsidRPr="00212AD6">
        <w:rPr>
          <w:lang w:val="pl-PL"/>
        </w:rPr>
        <w:t xml:space="preserve">równości wobec prawa, prawo do równości wobec państwa i pozostałych władz publicznych, prawo </w:t>
      </w:r>
      <w:r w:rsidR="006D1B9A">
        <w:rPr>
          <w:lang w:val="pl-PL"/>
        </w:rPr>
        <w:t xml:space="preserve">do </w:t>
      </w:r>
      <w:r w:rsidRPr="00212AD6">
        <w:rPr>
          <w:lang w:val="pl-PL"/>
        </w:rPr>
        <w:t xml:space="preserve">równego dostępu do służby publicznej oraz prawo </w:t>
      </w:r>
      <w:r w:rsidR="006D1B9A">
        <w:rPr>
          <w:lang w:val="pl-PL"/>
        </w:rPr>
        <w:t xml:space="preserve">do </w:t>
      </w:r>
      <w:r w:rsidRPr="00212AD6">
        <w:rPr>
          <w:lang w:val="pl-PL"/>
        </w:rPr>
        <w:t xml:space="preserve">równego dostępu do zatrudnienia gwarantowane przepisami, odpowiednio, </w:t>
      </w:r>
      <w:r w:rsidR="00B569A1">
        <w:rPr>
          <w:lang w:val="pl-PL"/>
        </w:rPr>
        <w:t>art.</w:t>
      </w:r>
      <w:r w:rsidR="001E4BA5">
        <w:rPr>
          <w:lang w:val="pl-PL"/>
        </w:rPr>
        <w:t xml:space="preserve"> </w:t>
      </w:r>
      <w:r w:rsidRPr="00212AD6">
        <w:rPr>
          <w:lang w:val="pl-PL"/>
        </w:rPr>
        <w:t>14(2), 26, 44 i 54(2) Konstytucji (zob. paragraf 23 poniżej).</w:t>
      </w:r>
    </w:p>
    <w:p w14:paraId="7EA913CA" w14:textId="5D44D1C6" w:rsidR="00F767C0" w:rsidRPr="00212AD6" w:rsidRDefault="00F767C0" w:rsidP="00F767C0">
      <w:pPr>
        <w:pStyle w:val="JuPara"/>
        <w:rPr>
          <w:lang w:val="pl-PL"/>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11</w:t>
      </w:r>
      <w:r w:rsidRPr="00212AD6">
        <w:rPr>
          <w:lang w:val="pl-PL"/>
        </w:rPr>
        <w:fldChar w:fldCharType="end"/>
      </w:r>
      <w:r w:rsidRPr="00212AD6">
        <w:rPr>
          <w:lang w:val="pl-PL"/>
        </w:rPr>
        <w:t>.  W dniu 26 czerwca 2008 r. Sąd Administracyjny zwrócił się do M.J. i D.Š. z prośbą o przedstawienie ich uwag jako (zainteresowanych) osób trzecich (</w:t>
      </w:r>
      <w:proofErr w:type="spellStart"/>
      <w:r w:rsidRPr="00212AD6">
        <w:rPr>
          <w:i/>
          <w:lang w:val="pl-PL"/>
        </w:rPr>
        <w:t>zainteresirane</w:t>
      </w:r>
      <w:proofErr w:type="spellEnd"/>
      <w:r w:rsidRPr="00212AD6">
        <w:rPr>
          <w:i/>
          <w:lang w:val="pl-PL"/>
        </w:rPr>
        <w:t xml:space="preserve"> </w:t>
      </w:r>
      <w:proofErr w:type="spellStart"/>
      <w:r w:rsidRPr="00212AD6">
        <w:rPr>
          <w:i/>
          <w:lang w:val="pl-PL"/>
        </w:rPr>
        <w:t>osobe</w:t>
      </w:r>
      <w:proofErr w:type="spellEnd"/>
      <w:r w:rsidRPr="00212AD6">
        <w:rPr>
          <w:lang w:val="pl-PL"/>
        </w:rPr>
        <w:t>). W dniach 7 i 8 czerwca 2008 r., odpowiednio, odpowiedzi</w:t>
      </w:r>
      <w:r w:rsidR="009E17ED">
        <w:rPr>
          <w:lang w:val="pl-PL"/>
        </w:rPr>
        <w:t>eli oni</w:t>
      </w:r>
      <w:r w:rsidRPr="00212AD6">
        <w:rPr>
          <w:lang w:val="pl-PL"/>
        </w:rPr>
        <w:t>, że ich zdaniem wniosek skarżącej jest bezpodstawny i że wybór sędziów Trybunału Konstytucyjnego odbył się zgodnie z prawem. Stwierdzi</w:t>
      </w:r>
      <w:r w:rsidR="009E17ED">
        <w:rPr>
          <w:lang w:val="pl-PL"/>
        </w:rPr>
        <w:t>li</w:t>
      </w:r>
      <w:r w:rsidRPr="00212AD6">
        <w:rPr>
          <w:lang w:val="pl-PL"/>
        </w:rPr>
        <w:t xml:space="preserve"> także, iż nie uważają się za (zainteresowane) osoby trzecie postępowania, ponieważ </w:t>
      </w:r>
      <w:r w:rsidR="006D1B9A" w:rsidRPr="00212AD6">
        <w:rPr>
          <w:lang w:val="pl-PL"/>
        </w:rPr>
        <w:t xml:space="preserve">ich wyboru </w:t>
      </w:r>
      <w:r w:rsidRPr="00212AD6">
        <w:rPr>
          <w:lang w:val="pl-PL"/>
        </w:rPr>
        <w:t>skarżąca nie zakwestionowała.</w:t>
      </w:r>
    </w:p>
    <w:p w14:paraId="37692F8C" w14:textId="77777777" w:rsidR="00F767C0" w:rsidRPr="00212AD6" w:rsidRDefault="00F767C0" w:rsidP="00F767C0">
      <w:pPr>
        <w:pStyle w:val="JuPara"/>
        <w:rPr>
          <w:lang w:val="pl-PL"/>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12</w:t>
      </w:r>
      <w:r w:rsidRPr="00212AD6">
        <w:rPr>
          <w:lang w:val="pl-PL"/>
        </w:rPr>
        <w:fldChar w:fldCharType="end"/>
      </w:r>
      <w:r w:rsidRPr="00212AD6">
        <w:rPr>
          <w:lang w:val="pl-PL"/>
        </w:rPr>
        <w:t>.  W dniu 15 października 2008 r. Sąd Administracyjny wydał wyrok, w którym przyjął wniosek skarżącej i uchylił decyzję Parlamentu z dnia 9 maja 2008 r. w części dotyczącej S.B. Sąd uznał, że skarżąca miała prawo złożenia wniosku, mimo że wyrok tego sądu nie zmienił jej statusu kandydatki</w:t>
      </w:r>
      <w:r w:rsidR="00A35F61" w:rsidRPr="00A35F61">
        <w:rPr>
          <w:lang w:val="pl-PL"/>
        </w:rPr>
        <w:t xml:space="preserve"> </w:t>
      </w:r>
      <w:r w:rsidR="00A35F61" w:rsidRPr="00212AD6">
        <w:rPr>
          <w:lang w:val="pl-PL"/>
        </w:rPr>
        <w:t>niewybranej</w:t>
      </w:r>
      <w:r w:rsidRPr="00212AD6">
        <w:rPr>
          <w:lang w:val="pl-PL"/>
        </w:rPr>
        <w:t xml:space="preserve">. Sąd uznał także, że na podstawie dowodów przedstawionych Komisji Parlamentarnej przez S.B. nie można było stwierdzić, czy posiadała wymagane doświadczenie zawodowe, a zatem wskutek wydania zakwestionowanej decyzji prawo skarżącej do równego dostępu do służby publicznej oraz jej prawo równego dostępu do zatrudnienia, zagwarantowane przepisami </w:t>
      </w:r>
      <w:r w:rsidR="00B569A1">
        <w:rPr>
          <w:lang w:val="pl-PL"/>
        </w:rPr>
        <w:t>art.</w:t>
      </w:r>
      <w:r w:rsidRPr="00212AD6">
        <w:rPr>
          <w:lang w:val="pl-PL"/>
        </w:rPr>
        <w:t xml:space="preserve"> 44 i 54(2) Konstytucji, został</w:t>
      </w:r>
      <w:r w:rsidR="00AA7C84">
        <w:rPr>
          <w:lang w:val="pl-PL"/>
        </w:rPr>
        <w:t>y</w:t>
      </w:r>
      <w:r w:rsidRPr="00212AD6">
        <w:rPr>
          <w:lang w:val="pl-PL"/>
        </w:rPr>
        <w:t xml:space="preserve"> naruszone.</w:t>
      </w:r>
    </w:p>
    <w:p w14:paraId="5951D32B" w14:textId="481AA02F" w:rsidR="00F767C0" w:rsidRPr="00212AD6" w:rsidRDefault="00F767C0" w:rsidP="00F767C0">
      <w:pPr>
        <w:pStyle w:val="JuPara"/>
        <w:rPr>
          <w:lang w:val="pl-PL"/>
        </w:rPr>
      </w:pPr>
      <w:r w:rsidRPr="00212AD6">
        <w:rPr>
          <w:lang w:val="pl-PL"/>
        </w:rPr>
        <w:lastRenderedPageBreak/>
        <w:fldChar w:fldCharType="begin"/>
      </w:r>
      <w:r w:rsidRPr="00212AD6">
        <w:rPr>
          <w:lang w:val="pl-PL"/>
        </w:rPr>
        <w:instrText xml:space="preserve"> SEQ level0 \*arabic </w:instrText>
      </w:r>
      <w:r w:rsidRPr="00212AD6">
        <w:rPr>
          <w:lang w:val="pl-PL"/>
        </w:rPr>
        <w:fldChar w:fldCharType="separate"/>
      </w:r>
      <w:r w:rsidRPr="00212AD6">
        <w:rPr>
          <w:noProof/>
          <w:lang w:val="pl-PL"/>
        </w:rPr>
        <w:t>13</w:t>
      </w:r>
      <w:r w:rsidRPr="00212AD6">
        <w:rPr>
          <w:lang w:val="pl-PL"/>
        </w:rPr>
        <w:fldChar w:fldCharType="end"/>
      </w:r>
      <w:r w:rsidRPr="00212AD6">
        <w:rPr>
          <w:lang w:val="pl-PL"/>
        </w:rPr>
        <w:t>.  W dniu 4 lutego 2009 r. S.B. złożyła skargę konstytucyjną do Trybunału Konstytucyjnego (</w:t>
      </w:r>
      <w:proofErr w:type="spellStart"/>
      <w:r w:rsidRPr="00212AD6">
        <w:rPr>
          <w:i/>
          <w:lang w:val="pl-PL"/>
        </w:rPr>
        <w:t>Ustavni</w:t>
      </w:r>
      <w:proofErr w:type="spellEnd"/>
      <w:r w:rsidRPr="00212AD6">
        <w:rPr>
          <w:i/>
          <w:lang w:val="pl-PL"/>
        </w:rPr>
        <w:t xml:space="preserve"> </w:t>
      </w:r>
      <w:proofErr w:type="spellStart"/>
      <w:r w:rsidRPr="00212AD6">
        <w:rPr>
          <w:i/>
          <w:lang w:val="pl-PL"/>
        </w:rPr>
        <w:t>sud</w:t>
      </w:r>
      <w:proofErr w:type="spellEnd"/>
      <w:r w:rsidRPr="00212AD6">
        <w:rPr>
          <w:i/>
          <w:lang w:val="pl-PL"/>
        </w:rPr>
        <w:t xml:space="preserve"> </w:t>
      </w:r>
      <w:proofErr w:type="spellStart"/>
      <w:r w:rsidRPr="00212AD6">
        <w:rPr>
          <w:i/>
          <w:lang w:val="pl-PL"/>
        </w:rPr>
        <w:t>Republike</w:t>
      </w:r>
      <w:proofErr w:type="spellEnd"/>
      <w:r w:rsidRPr="00212AD6">
        <w:rPr>
          <w:i/>
          <w:lang w:val="pl-PL"/>
        </w:rPr>
        <w:t xml:space="preserve"> </w:t>
      </w:r>
      <w:proofErr w:type="spellStart"/>
      <w:r w:rsidRPr="00212AD6">
        <w:rPr>
          <w:i/>
          <w:lang w:val="pl-PL"/>
        </w:rPr>
        <w:t>Hrvatske</w:t>
      </w:r>
      <w:proofErr w:type="spellEnd"/>
      <w:r w:rsidRPr="00212AD6">
        <w:rPr>
          <w:lang w:val="pl-PL"/>
        </w:rPr>
        <w:t xml:space="preserve">) dotyczącą wyroku Sądu Administracyjnego. Jednocześnie wniosła do Trybunału Konstytucyjnego </w:t>
      </w:r>
      <w:r w:rsidR="009E17ED">
        <w:rPr>
          <w:lang w:val="pl-PL"/>
        </w:rPr>
        <w:t xml:space="preserve">o </w:t>
      </w:r>
      <w:r w:rsidR="00FD3F8F">
        <w:rPr>
          <w:lang w:val="pl-PL"/>
        </w:rPr>
        <w:t xml:space="preserve">wydanie </w:t>
      </w:r>
      <w:r w:rsidR="00FD3F8F" w:rsidRPr="00212AD6">
        <w:rPr>
          <w:lang w:val="pl-PL"/>
        </w:rPr>
        <w:t>tymczasowego</w:t>
      </w:r>
      <w:r w:rsidRPr="00212AD6">
        <w:rPr>
          <w:lang w:val="pl-PL"/>
        </w:rPr>
        <w:t xml:space="preserve"> </w:t>
      </w:r>
      <w:r w:rsidR="00AA7C84">
        <w:rPr>
          <w:lang w:val="pl-PL"/>
        </w:rPr>
        <w:t xml:space="preserve">postanowienia o wstrzymaniu </w:t>
      </w:r>
      <w:r w:rsidR="007F7758">
        <w:rPr>
          <w:lang w:val="pl-PL"/>
        </w:rPr>
        <w:t>skuteczności</w:t>
      </w:r>
      <w:r w:rsidR="00AA7C84">
        <w:rPr>
          <w:lang w:val="pl-PL"/>
        </w:rPr>
        <w:t xml:space="preserve"> </w:t>
      </w:r>
      <w:r w:rsidRPr="00212AD6">
        <w:rPr>
          <w:lang w:val="pl-PL"/>
        </w:rPr>
        <w:t>zaskarżonego wyrok</w:t>
      </w:r>
      <w:r w:rsidR="00AA7C84">
        <w:rPr>
          <w:lang w:val="pl-PL"/>
        </w:rPr>
        <w:t>u</w:t>
      </w:r>
      <w:r w:rsidRPr="00212AD6">
        <w:rPr>
          <w:lang w:val="pl-PL"/>
        </w:rPr>
        <w:t xml:space="preserve"> do czasu wydania przez Trybunał Konstytucyjny </w:t>
      </w:r>
      <w:r w:rsidR="00AA7C84">
        <w:rPr>
          <w:lang w:val="pl-PL"/>
        </w:rPr>
        <w:t xml:space="preserve">orzeczenia </w:t>
      </w:r>
      <w:r w:rsidRPr="00212AD6">
        <w:rPr>
          <w:lang w:val="pl-PL"/>
        </w:rPr>
        <w:t>w sprawie złożonej przez nią skargi konstytucyjnej. W skardze konstytucyjnej S.B. zauważyła, że zaskarżony wyrok Sądu Administracyjnego naruszył jej prawo</w:t>
      </w:r>
      <w:r w:rsidR="007632AA">
        <w:rPr>
          <w:lang w:val="pl-PL"/>
        </w:rPr>
        <w:t xml:space="preserve"> do</w:t>
      </w:r>
      <w:r w:rsidRPr="00212AD6">
        <w:rPr>
          <w:lang w:val="pl-PL"/>
        </w:rPr>
        <w:t xml:space="preserve"> równości wobec prawa, prawo do pracy oraz prawo do równego dostępu do zatrudnienia zagwarantowane przepisami, odpowiednio, </w:t>
      </w:r>
      <w:r w:rsidR="00B569A1">
        <w:rPr>
          <w:lang w:val="pl-PL"/>
        </w:rPr>
        <w:t>art.</w:t>
      </w:r>
      <w:r w:rsidRPr="00212AD6">
        <w:rPr>
          <w:lang w:val="pl-PL"/>
        </w:rPr>
        <w:t xml:space="preserve"> 14(2) i 54(1) i (2) Konstytucji (zob. paragraf 23 poniżej). Stwierdziła również, że wybór sędz</w:t>
      </w:r>
      <w:r w:rsidR="00AA7C84">
        <w:rPr>
          <w:lang w:val="pl-PL"/>
        </w:rPr>
        <w:t>iów Trybunału Konstytucyjnego m</w:t>
      </w:r>
      <w:r w:rsidRPr="00212AD6">
        <w:rPr>
          <w:lang w:val="pl-PL"/>
        </w:rPr>
        <w:t>a charakter raczej polityczny niż prawny. Z tego względu decyzja Parlamentu z dnia 9 maja 2008 r. stanowiła tak zwany akt władzy państwowej (</w:t>
      </w:r>
      <w:r w:rsidRPr="00212AD6">
        <w:rPr>
          <w:i/>
          <w:lang w:val="pl-PL"/>
        </w:rPr>
        <w:t xml:space="preserve">akt </w:t>
      </w:r>
      <w:proofErr w:type="spellStart"/>
      <w:r w:rsidRPr="00212AD6">
        <w:rPr>
          <w:i/>
          <w:lang w:val="pl-PL"/>
        </w:rPr>
        <w:t>vladanja</w:t>
      </w:r>
      <w:proofErr w:type="spellEnd"/>
      <w:r w:rsidRPr="00212AD6">
        <w:rPr>
          <w:lang w:val="pl-PL"/>
        </w:rPr>
        <w:t xml:space="preserve">), w odniesieniu do którego zakres kontroli konstytucyjności ograniczony jest </w:t>
      </w:r>
      <w:r w:rsidR="00AA7C84">
        <w:rPr>
          <w:lang w:val="pl-PL"/>
        </w:rPr>
        <w:t>d</w:t>
      </w:r>
      <w:r w:rsidRPr="00212AD6">
        <w:rPr>
          <w:lang w:val="pl-PL"/>
        </w:rPr>
        <w:t>o zgodności z zasadami proceduralnymi (to jest dotyczy konstytucjonalności formalnej), a zatem jes</w:t>
      </w:r>
      <w:r w:rsidR="00AA7C84">
        <w:rPr>
          <w:lang w:val="pl-PL"/>
        </w:rPr>
        <w:t>t bardzo wąski. W szczególności</w:t>
      </w:r>
      <w:r w:rsidRPr="00212AD6">
        <w:rPr>
          <w:lang w:val="pl-PL"/>
        </w:rPr>
        <w:t xml:space="preserve"> [S.B.] twierdziła, że Sąd Administracyjny nie był uprawniony do oceny, czy przedstawione przez nią dowody były wystarczające, by potwierdzić wymagane doświadczenie zawodowe i do kwestionowania ustaleń dokonanych w tym zakresie przez Komisję Parlamentarną.</w:t>
      </w:r>
    </w:p>
    <w:p w14:paraId="331EF323" w14:textId="77777777" w:rsidR="00F767C0" w:rsidRPr="00212AD6" w:rsidRDefault="00F767C0" w:rsidP="00F767C0">
      <w:pPr>
        <w:pStyle w:val="JuPara"/>
        <w:rPr>
          <w:lang w:val="pl-PL"/>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14</w:t>
      </w:r>
      <w:r w:rsidRPr="00212AD6">
        <w:rPr>
          <w:lang w:val="pl-PL"/>
        </w:rPr>
        <w:fldChar w:fldCharType="end"/>
      </w:r>
      <w:r w:rsidRPr="00212AD6">
        <w:rPr>
          <w:lang w:val="pl-PL"/>
        </w:rPr>
        <w:t xml:space="preserve">.  W tym samym dniu Trybunał Konstytucyjny, obradując w pełnym składzie dziesięciu sędziów (w tym sędziowie M.J. i D.Š.), </w:t>
      </w:r>
      <w:r w:rsidR="00AA7C84">
        <w:rPr>
          <w:lang w:val="pl-PL"/>
        </w:rPr>
        <w:t xml:space="preserve">wydał postanowienie </w:t>
      </w:r>
      <w:r w:rsidRPr="00212AD6">
        <w:rPr>
          <w:lang w:val="pl-PL"/>
        </w:rPr>
        <w:t>tymczasowe</w:t>
      </w:r>
      <w:r w:rsidR="00AA7C84">
        <w:rPr>
          <w:lang w:val="pl-PL"/>
        </w:rPr>
        <w:t xml:space="preserve"> </w:t>
      </w:r>
      <w:r w:rsidRPr="00212AD6">
        <w:rPr>
          <w:lang w:val="pl-PL"/>
        </w:rPr>
        <w:t xml:space="preserve">o </w:t>
      </w:r>
      <w:r w:rsidR="00AA7C84">
        <w:rPr>
          <w:lang w:val="pl-PL"/>
        </w:rPr>
        <w:t xml:space="preserve">wstrzymaniu </w:t>
      </w:r>
      <w:r w:rsidR="007F7758">
        <w:rPr>
          <w:lang w:val="pl-PL"/>
        </w:rPr>
        <w:t>skuteczności</w:t>
      </w:r>
      <w:r w:rsidRPr="00212AD6">
        <w:rPr>
          <w:lang w:val="pl-PL"/>
        </w:rPr>
        <w:t xml:space="preserve"> wyroku Sądu Administracyjnego z dnia 15 października 2008 r. [Trybunał </w:t>
      </w:r>
      <w:r w:rsidR="00954361" w:rsidRPr="00212AD6">
        <w:rPr>
          <w:lang w:val="pl-PL"/>
        </w:rPr>
        <w:t>Konstytucyjny</w:t>
      </w:r>
      <w:r w:rsidRPr="00212AD6">
        <w:rPr>
          <w:lang w:val="pl-PL"/>
        </w:rPr>
        <w:t>] stwierdził między innymi, że:</w:t>
      </w:r>
    </w:p>
    <w:p w14:paraId="45624960" w14:textId="77777777" w:rsidR="00F767C0" w:rsidRPr="00212AD6" w:rsidRDefault="00F767C0" w:rsidP="00F767C0">
      <w:pPr>
        <w:pStyle w:val="JuQuot"/>
        <w:rPr>
          <w:lang w:val="pl-PL"/>
        </w:rPr>
      </w:pPr>
      <w:r w:rsidRPr="00212AD6">
        <w:rPr>
          <w:lang w:val="pl-PL"/>
        </w:rPr>
        <w:t xml:space="preserve">„...zaskarżony wyrok [Sądu Administracyjnego] wymaga szczegółowego zbadania ograniczeń i zakresu </w:t>
      </w:r>
      <w:r w:rsidR="00212AD6">
        <w:rPr>
          <w:lang w:val="pl-PL"/>
        </w:rPr>
        <w:t>kontroli sądowej d</w:t>
      </w:r>
      <w:r w:rsidRPr="00212AD6">
        <w:rPr>
          <w:lang w:val="pl-PL"/>
        </w:rPr>
        <w:t>ecyzji dotyczących mianowania urzędników państwowych, ..., i w tym sensie, ma szersze znaczenie, które wykracza poza granice sprawy indywidualnej.”</w:t>
      </w:r>
    </w:p>
    <w:p w14:paraId="66A5C289" w14:textId="34307731" w:rsidR="00F767C0" w:rsidRPr="00212AD6" w:rsidRDefault="007F7758" w:rsidP="00F767C0">
      <w:pPr>
        <w:pStyle w:val="JuPara"/>
        <w:rPr>
          <w:lang w:val="pl-PL"/>
        </w:rPr>
      </w:pPr>
      <w:r>
        <w:rPr>
          <w:lang w:val="pl-PL"/>
        </w:rPr>
        <w:t xml:space="preserve">Postanowienie </w:t>
      </w:r>
      <w:r w:rsidR="00F767C0" w:rsidRPr="00212AD6">
        <w:rPr>
          <w:lang w:val="pl-PL"/>
        </w:rPr>
        <w:t>tymczasowe został</w:t>
      </w:r>
      <w:r>
        <w:rPr>
          <w:lang w:val="pl-PL"/>
        </w:rPr>
        <w:t>o</w:t>
      </w:r>
      <w:r w:rsidR="00F767C0" w:rsidRPr="00212AD6">
        <w:rPr>
          <w:lang w:val="pl-PL"/>
        </w:rPr>
        <w:t xml:space="preserve"> opublikowan</w:t>
      </w:r>
      <w:r>
        <w:rPr>
          <w:lang w:val="pl-PL"/>
        </w:rPr>
        <w:t>e</w:t>
      </w:r>
      <w:r w:rsidR="00F767C0" w:rsidRPr="00212AD6">
        <w:rPr>
          <w:lang w:val="pl-PL"/>
        </w:rPr>
        <w:t xml:space="preserve"> w Dzienniku Urzędowym nr 16/2009 r. z dnia 5 lutego 2009 </w:t>
      </w:r>
      <w:r w:rsidR="00AA7C84">
        <w:rPr>
          <w:lang w:val="pl-PL"/>
        </w:rPr>
        <w:t>r.</w:t>
      </w:r>
      <w:r w:rsidR="00F767C0" w:rsidRPr="00212AD6">
        <w:rPr>
          <w:lang w:val="pl-PL"/>
        </w:rPr>
        <w:t xml:space="preserve">, przy </w:t>
      </w:r>
      <w:r>
        <w:rPr>
          <w:lang w:val="pl-PL"/>
        </w:rPr>
        <w:t>czym nie został</w:t>
      </w:r>
      <w:r w:rsidR="009E17ED">
        <w:rPr>
          <w:lang w:val="pl-PL"/>
        </w:rPr>
        <w:t>o</w:t>
      </w:r>
      <w:r>
        <w:rPr>
          <w:lang w:val="pl-PL"/>
        </w:rPr>
        <w:t xml:space="preserve"> nigdy doręczone</w:t>
      </w:r>
      <w:r w:rsidR="00F767C0" w:rsidRPr="00212AD6">
        <w:rPr>
          <w:lang w:val="pl-PL"/>
        </w:rPr>
        <w:t xml:space="preserve"> skarżącej.</w:t>
      </w:r>
    </w:p>
    <w:p w14:paraId="0024F9BC" w14:textId="77777777" w:rsidR="00F767C0" w:rsidRPr="00212AD6" w:rsidRDefault="00F767C0" w:rsidP="00F767C0">
      <w:pPr>
        <w:pStyle w:val="JuPara"/>
        <w:rPr>
          <w:lang w:val="pl-PL"/>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15</w:t>
      </w:r>
      <w:r w:rsidRPr="00212AD6">
        <w:rPr>
          <w:lang w:val="pl-PL"/>
        </w:rPr>
        <w:fldChar w:fldCharType="end"/>
      </w:r>
      <w:r w:rsidRPr="00212AD6">
        <w:rPr>
          <w:lang w:val="pl-PL"/>
        </w:rPr>
        <w:t xml:space="preserve">.  W dniu 13 lutego 2009 </w:t>
      </w:r>
      <w:r w:rsidR="00AA7C84">
        <w:rPr>
          <w:lang w:val="pl-PL"/>
        </w:rPr>
        <w:t>r.</w:t>
      </w:r>
      <w:r w:rsidRPr="00212AD6">
        <w:rPr>
          <w:lang w:val="pl-PL"/>
        </w:rPr>
        <w:t xml:space="preserve"> Trybunał Konstytucyjny doręczył skarżącej skargę konstytucyjną wraz z wnioskiem o </w:t>
      </w:r>
      <w:r w:rsidR="007F7758">
        <w:rPr>
          <w:lang w:val="pl-PL"/>
        </w:rPr>
        <w:t xml:space="preserve">wydanie postanowienia </w:t>
      </w:r>
      <w:r w:rsidRPr="00212AD6">
        <w:rPr>
          <w:lang w:val="pl-PL"/>
        </w:rPr>
        <w:t>tymczasowego.</w:t>
      </w:r>
    </w:p>
    <w:p w14:paraId="258D4D5B" w14:textId="77777777" w:rsidR="00F767C0" w:rsidRPr="00212AD6" w:rsidRDefault="00F767C0" w:rsidP="00F767C0">
      <w:pPr>
        <w:pStyle w:val="JuPara"/>
        <w:rPr>
          <w:lang w:val="pl-PL"/>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16</w:t>
      </w:r>
      <w:r w:rsidRPr="00212AD6">
        <w:rPr>
          <w:lang w:val="pl-PL"/>
        </w:rPr>
        <w:fldChar w:fldCharType="end"/>
      </w:r>
      <w:r w:rsidRPr="00212AD6">
        <w:rPr>
          <w:lang w:val="pl-PL"/>
        </w:rPr>
        <w:t xml:space="preserve">.  W dniu 18 lutego i 3 marca 2009 </w:t>
      </w:r>
      <w:r w:rsidR="00AA7C84">
        <w:rPr>
          <w:lang w:val="pl-PL"/>
        </w:rPr>
        <w:t>r.</w:t>
      </w:r>
      <w:r w:rsidRPr="00212AD6">
        <w:rPr>
          <w:lang w:val="pl-PL"/>
        </w:rPr>
        <w:t xml:space="preserve"> S.B. uzupełniła skargę konstytucyjną, podnosząc zarzut naruszenia jej prawa do rzetelnego procesu zagwarantowane</w:t>
      </w:r>
      <w:r w:rsidR="00AA7C84">
        <w:rPr>
          <w:lang w:val="pl-PL"/>
        </w:rPr>
        <w:t>go</w:t>
      </w:r>
      <w:r w:rsidRPr="00212AD6">
        <w:rPr>
          <w:lang w:val="pl-PL"/>
        </w:rPr>
        <w:t xml:space="preserve"> przepisem </w:t>
      </w:r>
      <w:r w:rsidR="00B569A1">
        <w:rPr>
          <w:lang w:val="pl-PL"/>
        </w:rPr>
        <w:t>art.</w:t>
      </w:r>
      <w:r w:rsidRPr="00212AD6">
        <w:rPr>
          <w:lang w:val="pl-PL"/>
        </w:rPr>
        <w:t xml:space="preserve"> 29(1) Konstytucji. W dniach, odpowiednio, 20 lutego i 5 marca 2006 r., Trybunał Konstytucyjny doręczył skarżącej </w:t>
      </w:r>
      <w:r w:rsidR="004164AE">
        <w:rPr>
          <w:lang w:val="pl-PL"/>
        </w:rPr>
        <w:t>oba uzupełnienia</w:t>
      </w:r>
      <w:r w:rsidRPr="00212AD6">
        <w:rPr>
          <w:lang w:val="pl-PL"/>
        </w:rPr>
        <w:t>.</w:t>
      </w:r>
    </w:p>
    <w:p w14:paraId="38DD6E68" w14:textId="0CC12CE8" w:rsidR="00F767C0" w:rsidRPr="00212AD6" w:rsidRDefault="00F767C0" w:rsidP="001E4BA5">
      <w:pPr>
        <w:pStyle w:val="JuPara"/>
        <w:rPr>
          <w:lang w:val="pl-PL"/>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17</w:t>
      </w:r>
      <w:r w:rsidRPr="00212AD6">
        <w:rPr>
          <w:lang w:val="pl-PL"/>
        </w:rPr>
        <w:fldChar w:fldCharType="end"/>
      </w:r>
      <w:r w:rsidRPr="00212AD6">
        <w:rPr>
          <w:lang w:val="pl-PL"/>
        </w:rPr>
        <w:t xml:space="preserve">.  W dniu 7 marca 2009 </w:t>
      </w:r>
      <w:r w:rsidR="00AA7C84">
        <w:rPr>
          <w:lang w:val="pl-PL"/>
        </w:rPr>
        <w:t>r.</w:t>
      </w:r>
      <w:r w:rsidRPr="00212AD6">
        <w:rPr>
          <w:lang w:val="pl-PL"/>
        </w:rPr>
        <w:t xml:space="preserve"> skarżąca przedstawiła odpowiedź na skargę konstytucyjną S.B., a dwa dni później </w:t>
      </w:r>
      <w:r w:rsidR="004164AE">
        <w:rPr>
          <w:lang w:val="pl-PL"/>
        </w:rPr>
        <w:t>na uzupełnienia</w:t>
      </w:r>
      <w:r w:rsidRPr="00212AD6">
        <w:rPr>
          <w:lang w:val="pl-PL"/>
        </w:rPr>
        <w:t xml:space="preserve"> z dnia 18 lutego i 3 marca 2009 </w:t>
      </w:r>
      <w:r w:rsidR="00AA7C84">
        <w:rPr>
          <w:lang w:val="pl-PL"/>
        </w:rPr>
        <w:t>r.</w:t>
      </w:r>
      <w:r w:rsidRPr="00212AD6">
        <w:rPr>
          <w:lang w:val="pl-PL"/>
        </w:rPr>
        <w:t xml:space="preserve"> Twierdziła, że ze względu na fakt, że wybór sędziów Trybunału Konstytucyjnego regulowały przepisy prawa, nie była to sprawa polityczna, lecz przede wszystkim pr</w:t>
      </w:r>
      <w:r w:rsidR="004164AE">
        <w:rPr>
          <w:lang w:val="pl-PL"/>
        </w:rPr>
        <w:t>awna. W rezultacie decyzja Parl</w:t>
      </w:r>
      <w:r w:rsidRPr="00212AD6">
        <w:rPr>
          <w:lang w:val="pl-PL"/>
        </w:rPr>
        <w:t>ament</w:t>
      </w:r>
      <w:r w:rsidR="004164AE">
        <w:rPr>
          <w:lang w:val="pl-PL"/>
        </w:rPr>
        <w:t>u</w:t>
      </w:r>
      <w:r w:rsidRPr="00212AD6">
        <w:rPr>
          <w:lang w:val="pl-PL"/>
        </w:rPr>
        <w:t xml:space="preserve"> z dnia 9 maja 2008 r. nie stanowiła „akt</w:t>
      </w:r>
      <w:r w:rsidR="00081F75">
        <w:rPr>
          <w:lang w:val="pl-PL"/>
        </w:rPr>
        <w:t>u</w:t>
      </w:r>
      <w:r w:rsidRPr="00212AD6">
        <w:rPr>
          <w:lang w:val="pl-PL"/>
        </w:rPr>
        <w:t xml:space="preserve"> władzy państwowej”, a zatem </w:t>
      </w:r>
      <w:r w:rsidR="00212AD6" w:rsidRPr="00212AD6">
        <w:rPr>
          <w:lang w:val="pl-PL"/>
        </w:rPr>
        <w:lastRenderedPageBreak/>
        <w:t>istniała</w:t>
      </w:r>
      <w:r w:rsidRPr="00212AD6">
        <w:rPr>
          <w:lang w:val="pl-PL"/>
        </w:rPr>
        <w:t xml:space="preserve"> możliwość jej zakwestionowania w ramach postęp</w:t>
      </w:r>
      <w:r w:rsidR="0061674F">
        <w:rPr>
          <w:lang w:val="pl-PL"/>
        </w:rPr>
        <w:t>owania prawnego. W każdym razie</w:t>
      </w:r>
      <w:r w:rsidRPr="00212AD6">
        <w:rPr>
          <w:lang w:val="pl-PL"/>
        </w:rPr>
        <w:t xml:space="preserve"> przepis </w:t>
      </w:r>
      <w:r w:rsidR="00B569A1">
        <w:rPr>
          <w:lang w:val="pl-PL"/>
        </w:rPr>
        <w:t>art.</w:t>
      </w:r>
      <w:r w:rsidRPr="00212AD6">
        <w:rPr>
          <w:lang w:val="pl-PL"/>
        </w:rPr>
        <w:t xml:space="preserve"> 66 </w:t>
      </w:r>
      <w:r w:rsidR="00AA7C84">
        <w:rPr>
          <w:lang w:val="pl-PL"/>
        </w:rPr>
        <w:t>u</w:t>
      </w:r>
      <w:r w:rsidRPr="00212AD6">
        <w:rPr>
          <w:lang w:val="pl-PL"/>
        </w:rPr>
        <w:t>staw</w:t>
      </w:r>
      <w:r w:rsidR="00AA7C84">
        <w:rPr>
          <w:lang w:val="pl-PL"/>
        </w:rPr>
        <w:t>y</w:t>
      </w:r>
      <w:r w:rsidRPr="00212AD6">
        <w:rPr>
          <w:lang w:val="pl-PL"/>
        </w:rPr>
        <w:t xml:space="preserve"> o sporach administracyjnych upoważniał Sąd </w:t>
      </w:r>
      <w:r w:rsidRPr="001326C1">
        <w:rPr>
          <w:lang w:val="pl-PL"/>
        </w:rPr>
        <w:t xml:space="preserve">Administracyjny do kontroli każdej indywidualnej decyzji, która mogłaby naruszać prawa konstytucyjne, niezależnie od jej charakteru oraz od tego, czy została wydana przez władze ustawodawcze czy wykonawcze. W odniesieniu do wniosku S.B. </w:t>
      </w:r>
      <w:r w:rsidR="001326C1" w:rsidRPr="001326C1">
        <w:rPr>
          <w:lang w:val="pl-PL"/>
        </w:rPr>
        <w:t xml:space="preserve">o wydanie postanowienia </w:t>
      </w:r>
      <w:r w:rsidRPr="001326C1">
        <w:rPr>
          <w:lang w:val="pl-PL"/>
        </w:rPr>
        <w:t>tymczasow</w:t>
      </w:r>
      <w:r w:rsidR="001326C1" w:rsidRPr="001326C1">
        <w:rPr>
          <w:lang w:val="pl-PL"/>
        </w:rPr>
        <w:t>ego</w:t>
      </w:r>
      <w:r w:rsidRPr="001326C1">
        <w:rPr>
          <w:lang w:val="pl-PL"/>
        </w:rPr>
        <w:t xml:space="preserve"> skarżąca, zauważywszy, że Trybunał Konstytucyjny </w:t>
      </w:r>
      <w:r w:rsidR="007F7758">
        <w:rPr>
          <w:lang w:val="pl-PL"/>
        </w:rPr>
        <w:t xml:space="preserve">wydał takie postanowienie </w:t>
      </w:r>
      <w:r w:rsidRPr="001326C1">
        <w:rPr>
          <w:lang w:val="pl-PL"/>
        </w:rPr>
        <w:t xml:space="preserve">w tym samym dniu, w który wniosek został złożony, argumentowała, iż zgodnie z </w:t>
      </w:r>
      <w:r w:rsidR="00B569A1">
        <w:rPr>
          <w:lang w:val="pl-PL"/>
        </w:rPr>
        <w:t>art.</w:t>
      </w:r>
      <w:r w:rsidR="001E4BA5">
        <w:rPr>
          <w:lang w:val="pl-PL"/>
        </w:rPr>
        <w:t xml:space="preserve"> </w:t>
      </w:r>
      <w:r w:rsidRPr="001326C1">
        <w:rPr>
          <w:lang w:val="pl-PL"/>
        </w:rPr>
        <w:t xml:space="preserve">67(2) ustawy o Trybunale Konstytucyjnym </w:t>
      </w:r>
      <w:r w:rsidR="007F7758">
        <w:rPr>
          <w:lang w:val="pl-PL"/>
        </w:rPr>
        <w:t xml:space="preserve">takie postanowienie tymczasowe </w:t>
      </w:r>
      <w:r w:rsidRPr="001326C1">
        <w:rPr>
          <w:lang w:val="pl-PL"/>
        </w:rPr>
        <w:t xml:space="preserve">nie może </w:t>
      </w:r>
      <w:r w:rsidR="007F7758">
        <w:rPr>
          <w:lang w:val="pl-PL"/>
        </w:rPr>
        <w:t>wstrzymywać</w:t>
      </w:r>
      <w:r w:rsidRPr="001326C1">
        <w:rPr>
          <w:lang w:val="pl-PL"/>
        </w:rPr>
        <w:t xml:space="preserve"> „</w:t>
      </w:r>
      <w:r w:rsidR="007F7758">
        <w:rPr>
          <w:lang w:val="pl-PL"/>
        </w:rPr>
        <w:t>skuteczności zaskarżonej decyzji</w:t>
      </w:r>
      <w:r w:rsidRPr="00212AD6">
        <w:rPr>
          <w:lang w:val="pl-PL"/>
        </w:rPr>
        <w:t>”, lecz jedynie jej „</w:t>
      </w:r>
      <w:r w:rsidR="003836E3" w:rsidRPr="00212AD6">
        <w:rPr>
          <w:lang w:val="pl-PL"/>
        </w:rPr>
        <w:t>wykonan</w:t>
      </w:r>
      <w:r w:rsidR="00212AD6">
        <w:rPr>
          <w:lang w:val="pl-PL"/>
        </w:rPr>
        <w:t>ie</w:t>
      </w:r>
      <w:r w:rsidRPr="00212AD6">
        <w:rPr>
          <w:lang w:val="pl-PL"/>
        </w:rPr>
        <w:t xml:space="preserve">” (zob. paragraf 25 poniżej). Wreszcie skarżąca zwróciła się do Trybunału Konstytucyjnego z prośbą o „przeprowadzenie </w:t>
      </w:r>
      <w:r w:rsidR="004979CB">
        <w:rPr>
          <w:lang w:val="pl-PL"/>
        </w:rPr>
        <w:t xml:space="preserve">posiedzenia jawnego </w:t>
      </w:r>
      <w:r w:rsidR="004979CB" w:rsidRPr="00212AD6">
        <w:rPr>
          <w:lang w:val="pl-PL"/>
        </w:rPr>
        <w:t>(rozprawy)</w:t>
      </w:r>
      <w:r w:rsidRPr="00212AD6">
        <w:rPr>
          <w:lang w:val="pl-PL"/>
        </w:rPr>
        <w:t>” i zaproszenie jej do udziału („</w:t>
      </w:r>
      <w:proofErr w:type="spellStart"/>
      <w:r w:rsidRPr="00212AD6">
        <w:rPr>
          <w:i/>
          <w:lang w:val="pl-PL"/>
        </w:rPr>
        <w:t>održi</w:t>
      </w:r>
      <w:proofErr w:type="spellEnd"/>
      <w:r w:rsidRPr="00212AD6">
        <w:rPr>
          <w:i/>
          <w:lang w:val="pl-PL"/>
        </w:rPr>
        <w:t xml:space="preserve"> </w:t>
      </w:r>
      <w:proofErr w:type="spellStart"/>
      <w:r w:rsidRPr="00212AD6">
        <w:rPr>
          <w:i/>
          <w:lang w:val="pl-PL"/>
        </w:rPr>
        <w:t>javnu</w:t>
      </w:r>
      <w:proofErr w:type="spellEnd"/>
      <w:r w:rsidRPr="00212AD6">
        <w:rPr>
          <w:i/>
          <w:lang w:val="pl-PL"/>
        </w:rPr>
        <w:t xml:space="preserve"> </w:t>
      </w:r>
      <w:proofErr w:type="spellStart"/>
      <w:r w:rsidRPr="00212AD6">
        <w:rPr>
          <w:i/>
          <w:lang w:val="pl-PL"/>
        </w:rPr>
        <w:t>sjednicu</w:t>
      </w:r>
      <w:proofErr w:type="spellEnd"/>
      <w:r w:rsidRPr="00212AD6">
        <w:rPr>
          <w:i/>
          <w:lang w:val="pl-PL"/>
        </w:rPr>
        <w:t xml:space="preserve"> (</w:t>
      </w:r>
      <w:proofErr w:type="spellStart"/>
      <w:r w:rsidRPr="00212AD6">
        <w:rPr>
          <w:i/>
          <w:lang w:val="pl-PL"/>
        </w:rPr>
        <w:t>raspravu</w:t>
      </w:r>
      <w:proofErr w:type="spellEnd"/>
      <w:r w:rsidRPr="00212AD6">
        <w:rPr>
          <w:i/>
          <w:lang w:val="pl-PL"/>
        </w:rPr>
        <w:t xml:space="preserve">) na </w:t>
      </w:r>
      <w:proofErr w:type="spellStart"/>
      <w:r w:rsidRPr="00212AD6">
        <w:rPr>
          <w:i/>
          <w:lang w:val="pl-PL"/>
        </w:rPr>
        <w:t>koju</w:t>
      </w:r>
      <w:proofErr w:type="spellEnd"/>
      <w:r w:rsidRPr="00212AD6">
        <w:rPr>
          <w:i/>
          <w:lang w:val="pl-PL"/>
        </w:rPr>
        <w:t xml:space="preserve"> </w:t>
      </w:r>
      <w:proofErr w:type="spellStart"/>
      <w:r w:rsidRPr="00212AD6">
        <w:rPr>
          <w:i/>
          <w:lang w:val="pl-PL"/>
        </w:rPr>
        <w:t>molim</w:t>
      </w:r>
      <w:proofErr w:type="spellEnd"/>
      <w:r w:rsidRPr="00212AD6">
        <w:rPr>
          <w:i/>
          <w:lang w:val="pl-PL"/>
        </w:rPr>
        <w:t xml:space="preserve"> da me </w:t>
      </w:r>
      <w:proofErr w:type="spellStart"/>
      <w:r w:rsidRPr="00212AD6">
        <w:rPr>
          <w:i/>
          <w:lang w:val="pl-PL"/>
        </w:rPr>
        <w:t>se</w:t>
      </w:r>
      <w:proofErr w:type="spellEnd"/>
      <w:r w:rsidRPr="00212AD6">
        <w:rPr>
          <w:i/>
          <w:lang w:val="pl-PL"/>
        </w:rPr>
        <w:t xml:space="preserve"> </w:t>
      </w:r>
      <w:proofErr w:type="spellStart"/>
      <w:r w:rsidRPr="00212AD6">
        <w:rPr>
          <w:i/>
          <w:lang w:val="pl-PL"/>
        </w:rPr>
        <w:t>pozove</w:t>
      </w:r>
      <w:proofErr w:type="spellEnd"/>
      <w:r w:rsidRPr="00212AD6">
        <w:rPr>
          <w:lang w:val="pl-PL"/>
        </w:rPr>
        <w:t>”).</w:t>
      </w:r>
    </w:p>
    <w:p w14:paraId="21E1658C" w14:textId="77777777" w:rsidR="00F767C0" w:rsidRPr="00212AD6" w:rsidRDefault="00F767C0" w:rsidP="00F767C0">
      <w:pPr>
        <w:pStyle w:val="JuPara"/>
        <w:rPr>
          <w:lang w:val="pl-PL"/>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18</w:t>
      </w:r>
      <w:r w:rsidRPr="00212AD6">
        <w:rPr>
          <w:lang w:val="pl-PL"/>
        </w:rPr>
        <w:fldChar w:fldCharType="end"/>
      </w:r>
      <w:r w:rsidRPr="00212AD6">
        <w:rPr>
          <w:lang w:val="pl-PL"/>
        </w:rPr>
        <w:t>.  W toku postępowania Trybunał Konstytucyjny zwrócił się z prośbą o i otrzymał uwagi Komisji Parlamentarnej, opinie sześciu profesorów wydziałów prawa i dwóch były</w:t>
      </w:r>
      <w:r w:rsidR="0061674F">
        <w:rPr>
          <w:lang w:val="pl-PL"/>
        </w:rPr>
        <w:t>ch</w:t>
      </w:r>
      <w:r w:rsidRPr="00212AD6">
        <w:rPr>
          <w:lang w:val="pl-PL"/>
        </w:rPr>
        <w:t xml:space="preserve"> sędziów tego sądu, a także opinie i informacje od Narodowego Banku Chorwackiego, Centralnego Urzędu ds. Administracji, Chorwackiej Rady Adwokackiej, Ministerstwa Sprawiedliwości, Państwowego Urzędu Statystycznego oraz banku prywatnego </w:t>
      </w:r>
      <w:proofErr w:type="spellStart"/>
      <w:r w:rsidRPr="00212AD6">
        <w:rPr>
          <w:lang w:val="pl-PL"/>
        </w:rPr>
        <w:t>Zagrebačka</w:t>
      </w:r>
      <w:proofErr w:type="spellEnd"/>
      <w:r w:rsidRPr="00212AD6">
        <w:rPr>
          <w:lang w:val="pl-PL"/>
        </w:rPr>
        <w:t xml:space="preserve"> </w:t>
      </w:r>
      <w:proofErr w:type="spellStart"/>
      <w:r w:rsidRPr="00212AD6">
        <w:rPr>
          <w:lang w:val="pl-PL"/>
        </w:rPr>
        <w:t>banka</w:t>
      </w:r>
      <w:proofErr w:type="spellEnd"/>
      <w:r w:rsidRPr="00212AD6">
        <w:rPr>
          <w:lang w:val="pl-PL"/>
        </w:rPr>
        <w:t xml:space="preserve"> </w:t>
      </w:r>
      <w:proofErr w:type="spellStart"/>
      <w:r w:rsidRPr="00212AD6">
        <w:rPr>
          <w:lang w:val="pl-PL"/>
        </w:rPr>
        <w:t>d.d</w:t>
      </w:r>
      <w:proofErr w:type="spellEnd"/>
      <w:r w:rsidRPr="00212AD6">
        <w:rPr>
          <w:lang w:val="pl-PL"/>
        </w:rPr>
        <w:t>. Pozostałych dziewięciu profesorów wydziałów prawa, do których Trybunał Konstytucyjny również zwrócił się z prośbą o przedstawienie opinii ekspertów, nie przekazało takich opinii. Próba uzyskania informacji ze strony Duńskiego Czerwonego Krzyża zakończyła się niepowodzeniem ze względu na brak możliwości zlokalizowania tej organizacji pozarządowej pod adresem wskazanym we właściwym rejestrze.</w:t>
      </w:r>
    </w:p>
    <w:p w14:paraId="5F017690" w14:textId="77777777" w:rsidR="00F767C0" w:rsidRPr="00212AD6" w:rsidRDefault="00F767C0" w:rsidP="00F767C0">
      <w:pPr>
        <w:pStyle w:val="JuPara"/>
        <w:rPr>
          <w:lang w:val="pl-PL"/>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19</w:t>
      </w:r>
      <w:r w:rsidRPr="00212AD6">
        <w:rPr>
          <w:lang w:val="pl-PL"/>
        </w:rPr>
        <w:fldChar w:fldCharType="end"/>
      </w:r>
      <w:r w:rsidRPr="00212AD6">
        <w:rPr>
          <w:lang w:val="pl-PL"/>
        </w:rPr>
        <w:t xml:space="preserve">.  W dniu 31 marca 2009 </w:t>
      </w:r>
      <w:r w:rsidR="00AA7C84">
        <w:rPr>
          <w:lang w:val="pl-PL"/>
        </w:rPr>
        <w:t>r.</w:t>
      </w:r>
      <w:r w:rsidRPr="00212AD6">
        <w:rPr>
          <w:lang w:val="pl-PL"/>
        </w:rPr>
        <w:t xml:space="preserve"> skarżąca</w:t>
      </w:r>
      <w:r w:rsidR="0061674F">
        <w:rPr>
          <w:lang w:val="pl-PL"/>
        </w:rPr>
        <w:t xml:space="preserve"> zwróciła się </w:t>
      </w:r>
      <w:r w:rsidRPr="00212AD6">
        <w:rPr>
          <w:lang w:val="pl-PL"/>
        </w:rPr>
        <w:t>do Trybunału Konstytucyjnego</w:t>
      </w:r>
      <w:r w:rsidR="0061674F">
        <w:rPr>
          <w:lang w:val="pl-PL"/>
        </w:rPr>
        <w:t xml:space="preserve"> na piśmie z prośbą </w:t>
      </w:r>
      <w:r w:rsidRPr="00212AD6">
        <w:rPr>
          <w:lang w:val="pl-PL"/>
        </w:rPr>
        <w:t>o doręczenie „</w:t>
      </w:r>
      <w:r w:rsidR="00212AD6">
        <w:rPr>
          <w:lang w:val="pl-PL"/>
        </w:rPr>
        <w:t xml:space="preserve">opinii ekspertów </w:t>
      </w:r>
      <w:r w:rsidRPr="00212AD6">
        <w:rPr>
          <w:lang w:val="pl-PL"/>
        </w:rPr>
        <w:t>(osób indywidualnych i instytucji)”, o których dowiedziała się z mediów.</w:t>
      </w:r>
    </w:p>
    <w:p w14:paraId="562E4FD2" w14:textId="77777777" w:rsidR="00F767C0" w:rsidRPr="00212AD6" w:rsidRDefault="00F767C0" w:rsidP="00F767C0">
      <w:pPr>
        <w:pStyle w:val="JuPara"/>
        <w:rPr>
          <w:lang w:val="pl-PL"/>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20</w:t>
      </w:r>
      <w:r w:rsidRPr="00212AD6">
        <w:rPr>
          <w:lang w:val="pl-PL"/>
        </w:rPr>
        <w:fldChar w:fldCharType="end"/>
      </w:r>
      <w:r w:rsidRPr="00212AD6">
        <w:rPr>
          <w:lang w:val="pl-PL"/>
        </w:rPr>
        <w:t xml:space="preserve">.  W dniu 30 kwietnia 2009 </w:t>
      </w:r>
      <w:r w:rsidR="00AA7C84">
        <w:rPr>
          <w:lang w:val="pl-PL"/>
        </w:rPr>
        <w:t>r.</w:t>
      </w:r>
      <w:r w:rsidRPr="00212AD6">
        <w:rPr>
          <w:lang w:val="pl-PL"/>
        </w:rPr>
        <w:t xml:space="preserve"> Trybunał Konstytucyjny, obradując w pełnym składzie dziesięciu sędziów (w tym sędziowie M.J. i D.Š.), przeprowadził rozprawę, na którą skarżąca nie została zaproszona</w:t>
      </w:r>
      <w:r w:rsidR="00D948CE">
        <w:rPr>
          <w:lang w:val="pl-PL"/>
        </w:rPr>
        <w:t>,</w:t>
      </w:r>
      <w:r w:rsidRPr="00212AD6">
        <w:rPr>
          <w:lang w:val="pl-PL"/>
        </w:rPr>
        <w:t xml:space="preserve"> i </w:t>
      </w:r>
      <w:r w:rsidRPr="001326C1">
        <w:rPr>
          <w:lang w:val="pl-PL"/>
        </w:rPr>
        <w:t xml:space="preserve">przyjął decyzję uchylającą wyrok Sądu Administracyjnego z dnia 15 października 2008 r. Uznał, że wybór sędziów Trybunału Konstytucyjnego miał charakter hybrydowy (polityczny i prawny) i że, nawet jeżeli decyzja Parlamentu z dnia 9 maja 2008 r. stanowiła „akt władzy państwowej”, Sąd Administracyjny mógł dokonać jej kontroli nie tylko z punktu widzenia przestrzegania obowiązującej procedury, lecz także </w:t>
      </w:r>
      <w:r w:rsidR="001326C1">
        <w:rPr>
          <w:lang w:val="pl-PL"/>
        </w:rPr>
        <w:t xml:space="preserve">po tym względem, </w:t>
      </w:r>
      <w:r w:rsidRPr="001326C1">
        <w:rPr>
          <w:lang w:val="pl-PL"/>
        </w:rPr>
        <w:t>czy kandydaci spełnili wymagane warunki ustawowe. Niemniej jednak Sąd Administracyjny przekroczył swoje kompetencje, dokonując (ponownej) oceny wartości dowodowej dokumentów przedłożonych przez S.B. jako potwierdzenie wymaganego doświadczenia zawodowego. W ten sposób Sąd Administracyjny nie tylko wkroczył w wyłączne kompetencje Parlamentu, lecz także naruszył prawo S.B. do pracy oraz</w:t>
      </w:r>
      <w:r w:rsidRPr="00212AD6">
        <w:rPr>
          <w:lang w:val="pl-PL"/>
        </w:rPr>
        <w:t xml:space="preserve"> jej prawo równego dostępu do </w:t>
      </w:r>
      <w:r w:rsidRPr="00212AD6">
        <w:rPr>
          <w:lang w:val="pl-PL"/>
        </w:rPr>
        <w:lastRenderedPageBreak/>
        <w:t xml:space="preserve">zatrudnienia zagwarantowane </w:t>
      </w:r>
      <w:r w:rsidR="00B569A1">
        <w:rPr>
          <w:lang w:val="pl-PL"/>
        </w:rPr>
        <w:t>art.</w:t>
      </w:r>
      <w:r w:rsidRPr="00212AD6">
        <w:rPr>
          <w:lang w:val="pl-PL"/>
        </w:rPr>
        <w:t xml:space="preserve"> 54(1) i (2) Konstytucji, a także jej prawo</w:t>
      </w:r>
      <w:r w:rsidR="00D948CE">
        <w:rPr>
          <w:lang w:val="pl-PL"/>
        </w:rPr>
        <w:t xml:space="preserve"> do</w:t>
      </w:r>
      <w:r w:rsidRPr="00212AD6">
        <w:rPr>
          <w:lang w:val="pl-PL"/>
        </w:rPr>
        <w:t xml:space="preserve"> równości wobec prawa zagwarantowane </w:t>
      </w:r>
      <w:r w:rsidR="00B569A1">
        <w:rPr>
          <w:lang w:val="pl-PL"/>
        </w:rPr>
        <w:t>art.</w:t>
      </w:r>
      <w:r w:rsidRPr="00212AD6">
        <w:rPr>
          <w:lang w:val="pl-PL"/>
        </w:rPr>
        <w:t xml:space="preserve"> 14(2) Konstytucji.</w:t>
      </w:r>
    </w:p>
    <w:p w14:paraId="49B91F81" w14:textId="77777777" w:rsidR="00F767C0" w:rsidRPr="00212AD6" w:rsidRDefault="00F767C0" w:rsidP="00F767C0">
      <w:pPr>
        <w:pStyle w:val="JuPara"/>
        <w:rPr>
          <w:lang w:val="pl-PL"/>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21</w:t>
      </w:r>
      <w:r w:rsidRPr="00212AD6">
        <w:rPr>
          <w:lang w:val="pl-PL"/>
        </w:rPr>
        <w:fldChar w:fldCharType="end"/>
      </w:r>
      <w:r w:rsidRPr="00212AD6">
        <w:rPr>
          <w:lang w:val="pl-PL"/>
        </w:rPr>
        <w:t>.  W tym samym dniu podczas konferencji prasowej Prezes Trybunału Konstytucyjnego i jej Zastępca poinformowali, że wyrok Sądu Administracyjnego z dnia 15 października 2008 r. został uchylony, że S.B. pozostaje sędzią Trybunału Konstytucyjnego i że sprawa nie zostanie przekazana do ponownego rozpoznania przez Sąd Administracyjny, by „zakończyć te męczarnie”.</w:t>
      </w:r>
    </w:p>
    <w:p w14:paraId="5DFA6723" w14:textId="77777777" w:rsidR="00F767C0" w:rsidRPr="00212AD6" w:rsidRDefault="00F767C0" w:rsidP="00F767C0">
      <w:pPr>
        <w:pStyle w:val="JuPara"/>
        <w:rPr>
          <w:lang w:val="pl-PL"/>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22</w:t>
      </w:r>
      <w:r w:rsidRPr="00212AD6">
        <w:rPr>
          <w:lang w:val="pl-PL"/>
        </w:rPr>
        <w:fldChar w:fldCharType="end"/>
      </w:r>
      <w:r w:rsidRPr="00212AD6">
        <w:rPr>
          <w:lang w:val="pl-PL"/>
        </w:rPr>
        <w:t xml:space="preserve">.  W dniu 4 maja 2009 </w:t>
      </w:r>
      <w:r w:rsidR="00AA7C84">
        <w:rPr>
          <w:lang w:val="pl-PL"/>
        </w:rPr>
        <w:t>r.</w:t>
      </w:r>
      <w:r w:rsidRPr="00212AD6">
        <w:rPr>
          <w:lang w:val="pl-PL"/>
        </w:rPr>
        <w:t xml:space="preserve"> Trybunał Konstytucyjny doręczył skarżącej swoją decyzję, wraz z opiniami i informacjami uzyskanymi w toku postępowania. W dniu 5 czerwca 2009 </w:t>
      </w:r>
      <w:r w:rsidR="00AA7C84">
        <w:rPr>
          <w:lang w:val="pl-PL"/>
        </w:rPr>
        <w:t>r.</w:t>
      </w:r>
      <w:r w:rsidRPr="00212AD6">
        <w:rPr>
          <w:lang w:val="pl-PL"/>
        </w:rPr>
        <w:t xml:space="preserve"> decyzję Trybunału Konstytucyjnego opublikowano w Dzienniku Urzędowym (nr 65/2009 r.).</w:t>
      </w:r>
    </w:p>
    <w:p w14:paraId="6A538A4C" w14:textId="77777777" w:rsidR="00F767C0" w:rsidRPr="00212AD6" w:rsidRDefault="00F767C0" w:rsidP="00F767C0">
      <w:pPr>
        <w:pStyle w:val="JuHIRoman"/>
        <w:outlineLvl w:val="0"/>
        <w:rPr>
          <w:lang w:val="pl-PL"/>
        </w:rPr>
      </w:pPr>
      <w:r w:rsidRPr="00212AD6">
        <w:rPr>
          <w:lang w:val="pl-PL"/>
        </w:rPr>
        <w:t>II.  WŁAŚCIWE PRAWO KRAJOWE I PRAKTYKA</w:t>
      </w:r>
    </w:p>
    <w:p w14:paraId="21ED649F" w14:textId="77777777" w:rsidR="00F767C0" w:rsidRPr="00212AD6" w:rsidRDefault="00F767C0" w:rsidP="00F767C0">
      <w:pPr>
        <w:pStyle w:val="JuHA"/>
        <w:rPr>
          <w:lang w:val="pl-PL"/>
        </w:rPr>
      </w:pPr>
      <w:r w:rsidRPr="00212AD6">
        <w:rPr>
          <w:lang w:val="pl-PL"/>
        </w:rPr>
        <w:t>A.  Konstytucja</w:t>
      </w:r>
    </w:p>
    <w:p w14:paraId="2B39E787" w14:textId="77777777" w:rsidR="00F767C0" w:rsidRPr="00212AD6" w:rsidRDefault="00F767C0" w:rsidP="00F767C0">
      <w:pPr>
        <w:pStyle w:val="JuH1"/>
        <w:rPr>
          <w:lang w:val="pl-PL"/>
        </w:rPr>
      </w:pPr>
      <w:r w:rsidRPr="00212AD6">
        <w:rPr>
          <w:lang w:val="pl-PL"/>
        </w:rPr>
        <w:t>1.  Właściwe przepisy</w:t>
      </w:r>
    </w:p>
    <w:p w14:paraId="6773EF9F" w14:textId="77777777" w:rsidR="00F767C0" w:rsidRPr="00212AD6" w:rsidRDefault="00F767C0" w:rsidP="00F767C0">
      <w:pPr>
        <w:pStyle w:val="JuPara"/>
        <w:rPr>
          <w:lang w:val="pl-PL"/>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23</w:t>
      </w:r>
      <w:r w:rsidRPr="00212AD6">
        <w:rPr>
          <w:lang w:val="pl-PL"/>
        </w:rPr>
        <w:fldChar w:fldCharType="end"/>
      </w:r>
      <w:r w:rsidRPr="00212AD6">
        <w:rPr>
          <w:lang w:val="pl-PL"/>
        </w:rPr>
        <w:t>.  Właściwe przepisy Konstytucji Republiki Chorwacji (</w:t>
      </w:r>
      <w:proofErr w:type="spellStart"/>
      <w:r w:rsidRPr="00212AD6">
        <w:rPr>
          <w:i/>
          <w:lang w:val="pl-PL"/>
        </w:rPr>
        <w:t>Ustav</w:t>
      </w:r>
      <w:proofErr w:type="spellEnd"/>
      <w:r w:rsidRPr="00212AD6">
        <w:rPr>
          <w:i/>
          <w:lang w:val="pl-PL"/>
        </w:rPr>
        <w:t xml:space="preserve"> </w:t>
      </w:r>
      <w:proofErr w:type="spellStart"/>
      <w:r w:rsidRPr="00212AD6">
        <w:rPr>
          <w:i/>
          <w:lang w:val="pl-PL"/>
        </w:rPr>
        <w:t>Republike</w:t>
      </w:r>
      <w:proofErr w:type="spellEnd"/>
      <w:r w:rsidRPr="00212AD6">
        <w:rPr>
          <w:i/>
          <w:lang w:val="pl-PL"/>
        </w:rPr>
        <w:t xml:space="preserve"> </w:t>
      </w:r>
      <w:proofErr w:type="spellStart"/>
      <w:r w:rsidRPr="00212AD6">
        <w:rPr>
          <w:i/>
          <w:lang w:val="pl-PL"/>
        </w:rPr>
        <w:t>Hrvatske</w:t>
      </w:r>
      <w:proofErr w:type="spellEnd"/>
      <w:r w:rsidRPr="00212AD6">
        <w:rPr>
          <w:lang w:val="pl-PL"/>
        </w:rPr>
        <w:t>, Dziennik Urzędowy Republiki Chorwacji nr 56/1990, 135/1997, 8/1998 (tekst jednolity), 113/2000 r., 124/2000 r. (tekst jednolity), 28/2001 i 41/2001 (tekst jednolity), 55/2001 (</w:t>
      </w:r>
      <w:r w:rsidR="005A44DC" w:rsidRPr="00212AD6">
        <w:rPr>
          <w:lang w:val="pl-PL"/>
        </w:rPr>
        <w:t>zmiana</w:t>
      </w:r>
      <w:r w:rsidRPr="00212AD6">
        <w:rPr>
          <w:lang w:val="pl-PL"/>
        </w:rPr>
        <w:t>) oraz 76/2010) stanowią, co następuje:</w:t>
      </w:r>
    </w:p>
    <w:p w14:paraId="65BC8ED6" w14:textId="4259599C" w:rsidR="00F767C0" w:rsidRPr="00212AD6" w:rsidRDefault="00B569A1" w:rsidP="00F767C0">
      <w:pPr>
        <w:pStyle w:val="JuHArticle"/>
        <w:rPr>
          <w:lang w:val="pl-PL"/>
        </w:rPr>
      </w:pPr>
      <w:r>
        <w:rPr>
          <w:lang w:val="pl-PL"/>
        </w:rPr>
        <w:t>Art.</w:t>
      </w:r>
      <w:r w:rsidR="00F767C0" w:rsidRPr="00212AD6">
        <w:rPr>
          <w:lang w:val="pl-PL"/>
        </w:rPr>
        <w:t xml:space="preserve"> 14</w:t>
      </w:r>
    </w:p>
    <w:p w14:paraId="0DC08D0C" w14:textId="77777777" w:rsidR="00F767C0" w:rsidRPr="00212AD6" w:rsidRDefault="00F767C0" w:rsidP="00F767C0">
      <w:pPr>
        <w:spacing w:after="120"/>
        <w:ind w:left="567" w:right="567" w:firstLine="139"/>
        <w:jc w:val="both"/>
        <w:rPr>
          <w:color w:val="000000"/>
          <w:sz w:val="20"/>
          <w:lang w:val="pl-PL" w:eastAsia="pl-PL"/>
        </w:rPr>
      </w:pPr>
      <w:r w:rsidRPr="00212AD6">
        <w:rPr>
          <w:sz w:val="20"/>
          <w:lang w:val="pl-PL"/>
        </w:rPr>
        <w:t>„</w:t>
      </w:r>
      <w:r w:rsidRPr="00212AD6">
        <w:rPr>
          <w:color w:val="000000"/>
          <w:sz w:val="20"/>
          <w:lang w:val="pl-PL" w:eastAsia="pl-PL"/>
        </w:rPr>
        <w:t>Każdemu w Republice Chorwacji przysługują wszystkie prawa i wolności, niezależnie od rasy, koloru skóry, płci, języka, wyznania, przekonań politycznych lub innych, pochodzenia narodowego lub społecznego, stanu majątkowego, urodzenia, wykształcenia, pozycji społecznej i innych właściwości.</w:t>
      </w:r>
    </w:p>
    <w:p w14:paraId="2EEFCF04" w14:textId="77777777" w:rsidR="00F767C0" w:rsidRPr="00212AD6" w:rsidRDefault="00F767C0" w:rsidP="00F767C0">
      <w:pPr>
        <w:spacing w:after="120"/>
        <w:ind w:left="567" w:right="567" w:firstLine="139"/>
        <w:jc w:val="both"/>
        <w:rPr>
          <w:color w:val="000000"/>
          <w:sz w:val="20"/>
          <w:lang w:val="pl-PL" w:eastAsia="pl-PL"/>
        </w:rPr>
      </w:pPr>
      <w:r w:rsidRPr="00212AD6">
        <w:rPr>
          <w:color w:val="000000"/>
          <w:sz w:val="20"/>
          <w:lang w:val="pl-PL" w:eastAsia="pl-PL"/>
        </w:rPr>
        <w:t>Wszyscy są równi wobec prawa</w:t>
      </w:r>
      <w:r w:rsidRPr="00212AD6">
        <w:rPr>
          <w:lang w:val="pl-PL"/>
        </w:rPr>
        <w:t>.”</w:t>
      </w:r>
    </w:p>
    <w:p w14:paraId="40E59522" w14:textId="78CF8218" w:rsidR="00F767C0" w:rsidRPr="00212AD6" w:rsidRDefault="00B569A1" w:rsidP="00F767C0">
      <w:pPr>
        <w:pStyle w:val="JuHArticle"/>
        <w:rPr>
          <w:lang w:val="pl-PL"/>
        </w:rPr>
      </w:pPr>
      <w:r>
        <w:rPr>
          <w:lang w:val="pl-PL"/>
        </w:rPr>
        <w:t>Art.</w:t>
      </w:r>
      <w:r w:rsidR="00F767C0" w:rsidRPr="00212AD6">
        <w:rPr>
          <w:lang w:val="pl-PL"/>
        </w:rPr>
        <w:t xml:space="preserve"> 26</w:t>
      </w:r>
    </w:p>
    <w:p w14:paraId="42971A89" w14:textId="77777777" w:rsidR="00F767C0" w:rsidRPr="00212AD6" w:rsidRDefault="00F767C0" w:rsidP="00F767C0">
      <w:pPr>
        <w:pStyle w:val="JuQuot"/>
        <w:rPr>
          <w:lang w:val="pl-PL"/>
        </w:rPr>
      </w:pPr>
      <w:r w:rsidRPr="00212AD6">
        <w:rPr>
          <w:lang w:val="pl-PL"/>
        </w:rPr>
        <w:t>„</w:t>
      </w:r>
      <w:r w:rsidRPr="00212AD6">
        <w:rPr>
          <w:color w:val="000000"/>
          <w:lang w:val="pl-PL"/>
        </w:rPr>
        <w:t>Wszyscy obywatele Republiki Chorwacji i cudzoziemcy są równi przed sądami oraz </w:t>
      </w:r>
      <w:r w:rsidRPr="00212AD6">
        <w:rPr>
          <w:rStyle w:val="apple-converted-space"/>
          <w:color w:val="000000"/>
          <w:lang w:val="pl-PL"/>
        </w:rPr>
        <w:t> </w:t>
      </w:r>
      <w:r w:rsidRPr="00212AD6">
        <w:rPr>
          <w:color w:val="000000"/>
          <w:lang w:val="pl-PL"/>
        </w:rPr>
        <w:t>organami państwowymi i innymi organami sprawującymi władzę publiczną</w:t>
      </w:r>
      <w:r w:rsidRPr="00212AD6">
        <w:rPr>
          <w:lang w:val="pl-PL"/>
        </w:rPr>
        <w:t>.”</w:t>
      </w:r>
    </w:p>
    <w:p w14:paraId="39E1C3CD" w14:textId="4BBEDD69" w:rsidR="00F767C0" w:rsidRPr="00212AD6" w:rsidRDefault="00B569A1" w:rsidP="00F767C0">
      <w:pPr>
        <w:pStyle w:val="JuHArticle"/>
        <w:rPr>
          <w:lang w:val="pl-PL"/>
        </w:rPr>
      </w:pPr>
      <w:r>
        <w:rPr>
          <w:lang w:val="pl-PL"/>
        </w:rPr>
        <w:t>Art.</w:t>
      </w:r>
      <w:r w:rsidR="00F767C0" w:rsidRPr="00212AD6">
        <w:rPr>
          <w:lang w:val="pl-PL"/>
        </w:rPr>
        <w:t xml:space="preserve"> 29(1)</w:t>
      </w:r>
    </w:p>
    <w:p w14:paraId="252154A2" w14:textId="77777777" w:rsidR="00F767C0" w:rsidRPr="00212AD6" w:rsidRDefault="00101814" w:rsidP="00F767C0">
      <w:pPr>
        <w:pStyle w:val="JuQuot"/>
        <w:rPr>
          <w:lang w:val="pl-PL"/>
        </w:rPr>
      </w:pPr>
      <w:r>
        <w:rPr>
          <w:lang w:val="pl-PL"/>
        </w:rPr>
        <w:t>„</w:t>
      </w:r>
      <w:r w:rsidR="00F767C0" w:rsidRPr="00212AD6">
        <w:rPr>
          <w:color w:val="000000"/>
          <w:lang w:val="pl-PL"/>
        </w:rPr>
        <w:t>Każdy ma prawo do tego, aby ustanowiony ustawą niezawisły i bezstronny sąd rzetelnie i w rozsądnym terminie wydał orzeczenie o jego prawach i obowiązkach albo </w:t>
      </w:r>
      <w:r w:rsidR="00F767C0" w:rsidRPr="00212AD6">
        <w:rPr>
          <w:rStyle w:val="apple-converted-space"/>
          <w:color w:val="000000"/>
          <w:lang w:val="pl-PL"/>
        </w:rPr>
        <w:t> </w:t>
      </w:r>
      <w:r w:rsidR="00F767C0" w:rsidRPr="00212AD6">
        <w:rPr>
          <w:color w:val="000000"/>
          <w:lang w:val="pl-PL"/>
        </w:rPr>
        <w:t>o podejrzeniu lub oskarżeniu o przestępstwo</w:t>
      </w:r>
      <w:r w:rsidR="00F767C0" w:rsidRPr="00212AD6">
        <w:rPr>
          <w:lang w:val="pl-PL"/>
        </w:rPr>
        <w:t>.”</w:t>
      </w:r>
    </w:p>
    <w:p w14:paraId="0AB8976F" w14:textId="7440E75F" w:rsidR="00F767C0" w:rsidRPr="00212AD6" w:rsidRDefault="00B569A1" w:rsidP="00F767C0">
      <w:pPr>
        <w:pStyle w:val="JuHArticle"/>
        <w:rPr>
          <w:lang w:val="pl-PL"/>
        </w:rPr>
      </w:pPr>
      <w:r>
        <w:rPr>
          <w:lang w:val="pl-PL"/>
        </w:rPr>
        <w:t>Art.</w:t>
      </w:r>
      <w:r w:rsidR="00F767C0" w:rsidRPr="00212AD6">
        <w:rPr>
          <w:lang w:val="pl-PL"/>
        </w:rPr>
        <w:t xml:space="preserve"> 44</w:t>
      </w:r>
    </w:p>
    <w:p w14:paraId="669622DC" w14:textId="77777777" w:rsidR="00F767C0" w:rsidRPr="00212AD6" w:rsidRDefault="00F767C0" w:rsidP="00F767C0">
      <w:pPr>
        <w:pStyle w:val="JuQuot"/>
        <w:rPr>
          <w:lang w:val="pl-PL"/>
        </w:rPr>
      </w:pPr>
      <w:r w:rsidRPr="00212AD6">
        <w:rPr>
          <w:lang w:val="pl-PL"/>
        </w:rPr>
        <w:t xml:space="preserve"> „</w:t>
      </w:r>
      <w:r w:rsidRPr="00212AD6">
        <w:rPr>
          <w:color w:val="000000"/>
          <w:lang w:val="pl-PL"/>
        </w:rPr>
        <w:t>Każdemu obywatelowi Republiki Chorwacji przysługuje, na takich samych warunkach, prawo uczestniczenia w życiu publicznym oraz prawo dostępu do służby publiczne</w:t>
      </w:r>
      <w:r w:rsidR="00101814">
        <w:rPr>
          <w:color w:val="000000"/>
          <w:lang w:val="pl-PL"/>
        </w:rPr>
        <w:t>j</w:t>
      </w:r>
      <w:r w:rsidRPr="00212AD6">
        <w:rPr>
          <w:lang w:val="pl-PL"/>
        </w:rPr>
        <w:t>.”</w:t>
      </w:r>
    </w:p>
    <w:p w14:paraId="28C45233" w14:textId="78F92CBB" w:rsidR="00F767C0" w:rsidRPr="00212AD6" w:rsidRDefault="00B569A1" w:rsidP="00F767C0">
      <w:pPr>
        <w:pStyle w:val="JuHArticle"/>
        <w:rPr>
          <w:lang w:val="pl-PL"/>
        </w:rPr>
      </w:pPr>
      <w:r>
        <w:rPr>
          <w:lang w:val="pl-PL"/>
        </w:rPr>
        <w:lastRenderedPageBreak/>
        <w:t>Art.</w:t>
      </w:r>
      <w:r w:rsidR="00F767C0" w:rsidRPr="00212AD6">
        <w:rPr>
          <w:lang w:val="pl-PL"/>
        </w:rPr>
        <w:t xml:space="preserve"> 54</w:t>
      </w:r>
    </w:p>
    <w:p w14:paraId="0E92472C" w14:textId="77777777" w:rsidR="00F767C0" w:rsidRPr="00212AD6" w:rsidRDefault="00F767C0" w:rsidP="00F767C0">
      <w:pPr>
        <w:spacing w:after="120"/>
        <w:ind w:right="567"/>
        <w:jc w:val="both"/>
        <w:rPr>
          <w:color w:val="000000"/>
          <w:sz w:val="20"/>
          <w:lang w:val="pl-PL" w:eastAsia="pl-PL"/>
        </w:rPr>
      </w:pPr>
      <w:r w:rsidRPr="00212AD6">
        <w:rPr>
          <w:lang w:val="pl-PL"/>
        </w:rPr>
        <w:t xml:space="preserve">        </w:t>
      </w:r>
      <w:r w:rsidRPr="00212AD6">
        <w:rPr>
          <w:lang w:val="pl-PL"/>
        </w:rPr>
        <w:tab/>
        <w:t>„</w:t>
      </w:r>
      <w:r w:rsidRPr="00212AD6">
        <w:rPr>
          <w:color w:val="000000"/>
          <w:sz w:val="20"/>
          <w:lang w:val="pl-PL" w:eastAsia="pl-PL"/>
        </w:rPr>
        <w:t>Każdy ma prawo do pracy i wolność pracy.</w:t>
      </w:r>
    </w:p>
    <w:p w14:paraId="1CC111E4" w14:textId="77777777" w:rsidR="00F767C0" w:rsidRPr="009C7BF1" w:rsidRDefault="00F767C0" w:rsidP="00D948CE">
      <w:pPr>
        <w:pStyle w:val="JuQuot"/>
        <w:rPr>
          <w:lang w:val="pl-PL"/>
        </w:rPr>
      </w:pPr>
      <w:r w:rsidRPr="009C7BF1">
        <w:rPr>
          <w:lang w:val="pl-PL"/>
        </w:rPr>
        <w:t>Każdy swobodnie wybiera  sobie zawód oraz zatrudnienie; dla każdego na jednakowych warunkach dostępne jest każde miejsce pracy i stanowisko.”</w:t>
      </w:r>
      <w:bookmarkStart w:id="7" w:name="125"/>
    </w:p>
    <w:p w14:paraId="35D8266E" w14:textId="0A36007E" w:rsidR="00F767C0" w:rsidRPr="00212AD6" w:rsidRDefault="00B569A1" w:rsidP="00F767C0">
      <w:pPr>
        <w:pStyle w:val="JuHArticle"/>
        <w:rPr>
          <w:lang w:val="pl-PL"/>
        </w:rPr>
      </w:pPr>
      <w:r>
        <w:rPr>
          <w:lang w:val="pl-PL"/>
        </w:rPr>
        <w:t>Art.</w:t>
      </w:r>
      <w:r w:rsidR="00F767C0" w:rsidRPr="00212AD6">
        <w:rPr>
          <w:lang w:val="pl-PL"/>
        </w:rPr>
        <w:t xml:space="preserve"> 125</w:t>
      </w:r>
      <w:bookmarkEnd w:id="7"/>
    </w:p>
    <w:p w14:paraId="40471231" w14:textId="54BD8D4E" w:rsidR="00F767C0" w:rsidRPr="001F30BE" w:rsidRDefault="00F767C0" w:rsidP="00D948CE">
      <w:pPr>
        <w:pStyle w:val="JuQuot"/>
        <w:rPr>
          <w:lang w:val="pl-PL"/>
        </w:rPr>
      </w:pPr>
      <w:r w:rsidRPr="001F30BE">
        <w:rPr>
          <w:lang w:val="pl-PL"/>
        </w:rPr>
        <w:t xml:space="preserve">„Trybunał Konstytucyjny Republiki Chorwacji składa się z 13 sędziów, wybieranych przez </w:t>
      </w:r>
      <w:r w:rsidR="001F30BE">
        <w:rPr>
          <w:lang w:val="pl-PL"/>
        </w:rPr>
        <w:t>Parlament</w:t>
      </w:r>
      <w:r w:rsidR="001F30BE" w:rsidRPr="001326C1">
        <w:rPr>
          <w:lang w:val="pl-PL"/>
        </w:rPr>
        <w:t xml:space="preserve"> Chorwacji </w:t>
      </w:r>
      <w:r w:rsidRPr="001F30BE">
        <w:rPr>
          <w:lang w:val="pl-PL"/>
        </w:rPr>
        <w:t>na ośmioletnią kadencję spośród wybitnych prawników, zwłaszcza sędziów, prokuratorów, adwokatów i uniwersyteckich profesorów nauk prawnych.</w:t>
      </w:r>
    </w:p>
    <w:p w14:paraId="0191BF8A" w14:textId="7605426B" w:rsidR="00F767C0" w:rsidRPr="001F30BE" w:rsidRDefault="00F767C0" w:rsidP="00D948CE">
      <w:pPr>
        <w:pStyle w:val="JuQuot"/>
        <w:rPr>
          <w:lang w:val="pl-PL"/>
        </w:rPr>
      </w:pPr>
      <w:r w:rsidRPr="001F30BE">
        <w:rPr>
          <w:lang w:val="pl-PL"/>
        </w:rPr>
        <w:t xml:space="preserve">Komisja </w:t>
      </w:r>
      <w:r w:rsidR="001F30BE">
        <w:rPr>
          <w:lang w:val="pl-PL"/>
        </w:rPr>
        <w:t>Parlamentu</w:t>
      </w:r>
      <w:r w:rsidRPr="001F30BE">
        <w:rPr>
          <w:lang w:val="pl-PL"/>
        </w:rPr>
        <w:t xml:space="preserve"> </w:t>
      </w:r>
      <w:r w:rsidR="00165703">
        <w:rPr>
          <w:lang w:val="pl-PL"/>
        </w:rPr>
        <w:t xml:space="preserve">Chorwacji </w:t>
      </w:r>
      <w:r w:rsidRPr="001F30BE">
        <w:rPr>
          <w:lang w:val="pl-PL"/>
        </w:rPr>
        <w:t>do spraw Konstytucji</w:t>
      </w:r>
      <w:r w:rsidR="001F30BE" w:rsidRPr="001F30BE">
        <w:rPr>
          <w:lang w:val="pl-PL"/>
        </w:rPr>
        <w:t xml:space="preserve"> </w:t>
      </w:r>
      <w:r w:rsidR="001F30BE">
        <w:rPr>
          <w:lang w:val="pl-PL"/>
        </w:rPr>
        <w:t>prowadzi p</w:t>
      </w:r>
      <w:r w:rsidR="001F30BE" w:rsidRPr="001F30BE">
        <w:rPr>
          <w:lang w:val="pl-PL"/>
        </w:rPr>
        <w:t xml:space="preserve">ostępowanie dotyczące kandydatów </w:t>
      </w:r>
      <w:r w:rsidR="001F30BE">
        <w:rPr>
          <w:lang w:val="pl-PL"/>
        </w:rPr>
        <w:t xml:space="preserve">w wyborach do Trybunału Konstytucyjnego Republiki Chorwacji </w:t>
      </w:r>
      <w:r w:rsidR="001F30BE" w:rsidRPr="001F30BE">
        <w:rPr>
          <w:lang w:val="pl-PL"/>
        </w:rPr>
        <w:t xml:space="preserve"> </w:t>
      </w:r>
      <w:r w:rsidR="001F30BE">
        <w:rPr>
          <w:lang w:val="pl-PL"/>
        </w:rPr>
        <w:t xml:space="preserve">i przedstawia kandydatów </w:t>
      </w:r>
      <w:r w:rsidR="00DB5CE6">
        <w:rPr>
          <w:lang w:val="pl-PL"/>
        </w:rPr>
        <w:t xml:space="preserve">Parlamentowi </w:t>
      </w:r>
      <w:r w:rsidR="001F30BE" w:rsidRPr="001F30BE">
        <w:rPr>
          <w:lang w:val="pl-PL"/>
        </w:rPr>
        <w:t>Chorwac</w:t>
      </w:r>
      <w:r w:rsidR="00DB5CE6">
        <w:rPr>
          <w:lang w:val="pl-PL"/>
        </w:rPr>
        <w:t xml:space="preserve">ji </w:t>
      </w:r>
      <w:r w:rsidRPr="001F30BE">
        <w:rPr>
          <w:lang w:val="pl-PL"/>
        </w:rPr>
        <w:t>.</w:t>
      </w:r>
    </w:p>
    <w:p w14:paraId="4F6DCD86" w14:textId="77777777" w:rsidR="00F767C0" w:rsidRPr="009C7BF1" w:rsidRDefault="00F767C0" w:rsidP="00D948CE">
      <w:pPr>
        <w:pStyle w:val="JuQuot"/>
        <w:rPr>
          <w:lang w:val="pl-PL"/>
        </w:rPr>
      </w:pPr>
      <w:r w:rsidRPr="009C7BF1">
        <w:rPr>
          <w:lang w:val="pl-PL"/>
        </w:rPr>
        <w:t>Trybunał Konstytucyjny Republiki Chorwacji wybiera swojego Prezesa na czteroletnią kadencję.”</w:t>
      </w:r>
    </w:p>
    <w:p w14:paraId="427276F5" w14:textId="77777777" w:rsidR="00F767C0" w:rsidRPr="00212AD6" w:rsidRDefault="00F767C0" w:rsidP="00F767C0">
      <w:pPr>
        <w:pStyle w:val="JuH1"/>
        <w:rPr>
          <w:lang w:val="pl-PL"/>
        </w:rPr>
      </w:pPr>
      <w:r w:rsidRPr="00212AD6">
        <w:rPr>
          <w:lang w:val="pl-PL"/>
        </w:rPr>
        <w:t>2.  Orzecznictwo Sądu Administracyjnego</w:t>
      </w:r>
    </w:p>
    <w:p w14:paraId="3C4A5BD0" w14:textId="1A0E91CF" w:rsidR="00F767C0" w:rsidRPr="00212AD6" w:rsidRDefault="00F767C0" w:rsidP="00F767C0">
      <w:pPr>
        <w:pStyle w:val="JuParaChar1"/>
        <w:rPr>
          <w:lang w:val="pl-PL"/>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24</w:t>
      </w:r>
      <w:r w:rsidRPr="00212AD6">
        <w:rPr>
          <w:lang w:val="pl-PL"/>
        </w:rPr>
        <w:fldChar w:fldCharType="end"/>
      </w:r>
      <w:r w:rsidRPr="00212AD6">
        <w:rPr>
          <w:rFonts w:ascii="Times New Roman" w:hAnsi="Times New Roman" w:cs="Times New Roman"/>
          <w:lang w:val="pl-PL"/>
        </w:rPr>
        <w:t>.  Wyrokiem nr Zpa-5/</w:t>
      </w:r>
      <w:r w:rsidR="003A661B">
        <w:rPr>
          <w:rFonts w:ascii="Times New Roman" w:hAnsi="Times New Roman" w:cs="Times New Roman"/>
          <w:lang w:val="pl-PL"/>
        </w:rPr>
        <w:t>2004-5 z dnia 2 grudnia 2004 r.</w:t>
      </w:r>
      <w:r w:rsidR="001F30BE">
        <w:rPr>
          <w:rFonts w:ascii="Times New Roman" w:hAnsi="Times New Roman" w:cs="Times New Roman"/>
          <w:lang w:val="pl-PL"/>
        </w:rPr>
        <w:t>,</w:t>
      </w:r>
      <w:r w:rsidRPr="00212AD6">
        <w:rPr>
          <w:rFonts w:ascii="Times New Roman" w:hAnsi="Times New Roman" w:cs="Times New Roman"/>
          <w:lang w:val="pl-PL"/>
        </w:rPr>
        <w:t xml:space="preserve"> wydanym w związku z wnioskiem o ochronę prawa zagwarantowanego w </w:t>
      </w:r>
      <w:r w:rsidR="001F30BE" w:rsidRPr="00212AD6">
        <w:rPr>
          <w:rFonts w:ascii="Times New Roman" w:hAnsi="Times New Roman" w:cs="Times New Roman"/>
          <w:lang w:val="pl-PL"/>
        </w:rPr>
        <w:t xml:space="preserve">Konstytucji </w:t>
      </w:r>
      <w:r w:rsidRPr="00212AD6">
        <w:rPr>
          <w:rFonts w:ascii="Times New Roman" w:hAnsi="Times New Roman" w:cs="Times New Roman"/>
          <w:lang w:val="pl-PL"/>
        </w:rPr>
        <w:t>(zob. paragraf 32 poniżej)</w:t>
      </w:r>
      <w:r w:rsidR="001F30BE">
        <w:rPr>
          <w:rFonts w:ascii="Times New Roman" w:hAnsi="Times New Roman" w:cs="Times New Roman"/>
          <w:lang w:val="pl-PL"/>
        </w:rPr>
        <w:t>,</w:t>
      </w:r>
      <w:r w:rsidRPr="00212AD6">
        <w:rPr>
          <w:rFonts w:ascii="Times New Roman" w:hAnsi="Times New Roman" w:cs="Times New Roman"/>
          <w:lang w:val="pl-PL"/>
        </w:rPr>
        <w:t xml:space="preserve"> Sąd Administracyjny uchylił decyzję Krajowej Ra</w:t>
      </w:r>
      <w:r w:rsidR="003A661B">
        <w:rPr>
          <w:rFonts w:ascii="Times New Roman" w:hAnsi="Times New Roman" w:cs="Times New Roman"/>
          <w:lang w:val="pl-PL"/>
        </w:rPr>
        <w:t>d</w:t>
      </w:r>
      <w:r w:rsidRPr="00212AD6">
        <w:rPr>
          <w:rFonts w:ascii="Times New Roman" w:hAnsi="Times New Roman" w:cs="Times New Roman"/>
          <w:lang w:val="pl-PL"/>
        </w:rPr>
        <w:t xml:space="preserve">y Sądownictwa dotyczącą mianowania sędziego Sądu Miejskiego. Sąd uznał, że każdy kandydat spełniający wymogi ustawowe ma prawo do równego udziału w konkursie na objęcie urzędu publicznego. Oznacza to, że mianując kandydata, który nie spełniał wymogów ustawowych na stanowisko sędziego Sądu Miejskiego, Krajowa Rada Sądownictwa naruszyła zagwarantowane w konstytucji prawo innego kandydata do równego dostępu do służby publicznej określone w </w:t>
      </w:r>
      <w:r w:rsidR="00B569A1">
        <w:rPr>
          <w:lang w:val="pl-PL"/>
        </w:rPr>
        <w:t>art.</w:t>
      </w:r>
      <w:r w:rsidR="001E4BA5">
        <w:rPr>
          <w:lang w:val="pl-PL"/>
        </w:rPr>
        <w:t xml:space="preserve"> </w:t>
      </w:r>
      <w:r w:rsidRPr="00212AD6">
        <w:rPr>
          <w:rFonts w:ascii="Times New Roman" w:hAnsi="Times New Roman" w:cs="Times New Roman"/>
          <w:lang w:val="pl-PL"/>
        </w:rPr>
        <w:t>44 Konstytucji (zob. poprzedni paragraf).</w:t>
      </w:r>
    </w:p>
    <w:p w14:paraId="0BB106FE" w14:textId="77777777" w:rsidR="00F767C0" w:rsidRPr="00212AD6" w:rsidRDefault="00F767C0" w:rsidP="00F767C0">
      <w:pPr>
        <w:pStyle w:val="JuHA"/>
        <w:rPr>
          <w:lang w:val="pl-PL"/>
        </w:rPr>
      </w:pPr>
      <w:r w:rsidRPr="00212AD6">
        <w:rPr>
          <w:lang w:val="pl-PL"/>
        </w:rPr>
        <w:t xml:space="preserve">B.  Ustawa o Trybunale Konstytucyjnym i </w:t>
      </w:r>
      <w:r w:rsidR="008F34F5">
        <w:rPr>
          <w:lang w:val="pl-PL"/>
        </w:rPr>
        <w:t>powiązane</w:t>
      </w:r>
      <w:r w:rsidR="00FD3F8F">
        <w:rPr>
          <w:lang w:val="pl-PL"/>
        </w:rPr>
        <w:t xml:space="preserve"> ustawodawstwo niższego rządu</w:t>
      </w:r>
    </w:p>
    <w:p w14:paraId="2165FC3E" w14:textId="77777777" w:rsidR="00F767C0" w:rsidRPr="00212AD6" w:rsidRDefault="00F767C0" w:rsidP="00F767C0">
      <w:pPr>
        <w:pStyle w:val="JuH1"/>
        <w:rPr>
          <w:lang w:val="pl-PL"/>
        </w:rPr>
      </w:pPr>
      <w:r w:rsidRPr="00212AD6">
        <w:rPr>
          <w:lang w:val="pl-PL"/>
        </w:rPr>
        <w:t>1.  Ustawa o Trybunale Konstytucyjnym</w:t>
      </w:r>
    </w:p>
    <w:p w14:paraId="608A9251" w14:textId="77777777" w:rsidR="00F767C0" w:rsidRPr="00212AD6" w:rsidRDefault="00F767C0" w:rsidP="00F767C0">
      <w:pPr>
        <w:pStyle w:val="JuHa0"/>
        <w:rPr>
          <w:lang w:val="pl-PL"/>
        </w:rPr>
      </w:pPr>
      <w:r w:rsidRPr="00212AD6">
        <w:rPr>
          <w:lang w:val="pl-PL"/>
        </w:rPr>
        <w:t>(a)  </w:t>
      </w:r>
      <w:r w:rsidR="00954361" w:rsidRPr="00212AD6">
        <w:rPr>
          <w:lang w:val="pl-PL"/>
        </w:rPr>
        <w:t>Właściwe przepisy</w:t>
      </w:r>
    </w:p>
    <w:p w14:paraId="3F1C0551" w14:textId="77777777" w:rsidR="00F767C0" w:rsidRPr="00212AD6" w:rsidRDefault="00F767C0" w:rsidP="00F767C0">
      <w:pPr>
        <w:pStyle w:val="JuPara"/>
        <w:rPr>
          <w:lang w:val="pl-PL"/>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25</w:t>
      </w:r>
      <w:r w:rsidRPr="00212AD6">
        <w:rPr>
          <w:lang w:val="pl-PL"/>
        </w:rPr>
        <w:fldChar w:fldCharType="end"/>
      </w:r>
      <w:r w:rsidRPr="00212AD6">
        <w:rPr>
          <w:lang w:val="pl-PL"/>
        </w:rPr>
        <w:t>.  </w:t>
      </w:r>
      <w:r w:rsidR="00954361" w:rsidRPr="00212AD6">
        <w:rPr>
          <w:lang w:val="pl-PL"/>
        </w:rPr>
        <w:t xml:space="preserve">Właściwa część </w:t>
      </w:r>
      <w:r w:rsidR="008F34F5">
        <w:rPr>
          <w:lang w:val="pl-PL"/>
        </w:rPr>
        <w:t xml:space="preserve">ustawy konstytucyjnej </w:t>
      </w:r>
      <w:r w:rsidRPr="00212AD6">
        <w:rPr>
          <w:lang w:val="pl-PL"/>
        </w:rPr>
        <w:t xml:space="preserve">o Trybunale Konstytucyjnym Republiki Chorwacji </w:t>
      </w:r>
      <w:r w:rsidR="008F34F5">
        <w:rPr>
          <w:lang w:val="pl-PL"/>
        </w:rPr>
        <w:t xml:space="preserve">z </w:t>
      </w:r>
      <w:r w:rsidR="008F34F5" w:rsidRPr="00212AD6">
        <w:rPr>
          <w:lang w:val="pl-PL"/>
        </w:rPr>
        <w:t xml:space="preserve">1999 </w:t>
      </w:r>
      <w:r w:rsidR="008F34F5">
        <w:rPr>
          <w:lang w:val="pl-PL"/>
        </w:rPr>
        <w:t xml:space="preserve"> r. </w:t>
      </w:r>
      <w:r w:rsidRPr="00212AD6">
        <w:rPr>
          <w:lang w:val="pl-PL"/>
        </w:rPr>
        <w:t>(</w:t>
      </w:r>
      <w:proofErr w:type="spellStart"/>
      <w:r w:rsidRPr="00212AD6">
        <w:rPr>
          <w:i/>
          <w:lang w:val="pl-PL"/>
        </w:rPr>
        <w:t>Ustavni</w:t>
      </w:r>
      <w:proofErr w:type="spellEnd"/>
      <w:r w:rsidRPr="00212AD6">
        <w:rPr>
          <w:i/>
          <w:lang w:val="pl-PL"/>
        </w:rPr>
        <w:t xml:space="preserve"> zakon o </w:t>
      </w:r>
      <w:proofErr w:type="spellStart"/>
      <w:r w:rsidRPr="00212AD6">
        <w:rPr>
          <w:i/>
          <w:lang w:val="pl-PL"/>
        </w:rPr>
        <w:t>Ustavnom</w:t>
      </w:r>
      <w:proofErr w:type="spellEnd"/>
      <w:r w:rsidRPr="00212AD6">
        <w:rPr>
          <w:i/>
          <w:lang w:val="pl-PL"/>
        </w:rPr>
        <w:t xml:space="preserve"> </w:t>
      </w:r>
      <w:proofErr w:type="spellStart"/>
      <w:r w:rsidRPr="00212AD6">
        <w:rPr>
          <w:i/>
          <w:lang w:val="pl-PL"/>
        </w:rPr>
        <w:t>sudu</w:t>
      </w:r>
      <w:proofErr w:type="spellEnd"/>
      <w:r w:rsidRPr="00212AD6">
        <w:rPr>
          <w:i/>
          <w:lang w:val="pl-PL"/>
        </w:rPr>
        <w:t xml:space="preserve"> </w:t>
      </w:r>
      <w:proofErr w:type="spellStart"/>
      <w:r w:rsidRPr="00212AD6">
        <w:rPr>
          <w:i/>
          <w:lang w:val="pl-PL"/>
        </w:rPr>
        <w:t>Republike</w:t>
      </w:r>
      <w:proofErr w:type="spellEnd"/>
      <w:r w:rsidRPr="00212AD6">
        <w:rPr>
          <w:i/>
          <w:lang w:val="pl-PL"/>
        </w:rPr>
        <w:t xml:space="preserve"> </w:t>
      </w:r>
      <w:proofErr w:type="spellStart"/>
      <w:r w:rsidRPr="00212AD6">
        <w:rPr>
          <w:i/>
          <w:lang w:val="pl-PL"/>
        </w:rPr>
        <w:t>Hrvatske</w:t>
      </w:r>
      <w:proofErr w:type="spellEnd"/>
      <w:r w:rsidRPr="00212AD6">
        <w:rPr>
          <w:lang w:val="pl-PL"/>
        </w:rPr>
        <w:t>, Dziennik Urzędowy Republiki Chorwacji nr 99/1999 z dnia 29 września 1999 r. – „ustawa o Trybunale Konstytucyjnym”), ze zmianami z 2002 r. (</w:t>
      </w:r>
      <w:proofErr w:type="spellStart"/>
      <w:r w:rsidRPr="00212AD6">
        <w:rPr>
          <w:i/>
          <w:lang w:val="pl-PL"/>
        </w:rPr>
        <w:t>Ustavni</w:t>
      </w:r>
      <w:proofErr w:type="spellEnd"/>
      <w:r w:rsidRPr="00212AD6">
        <w:rPr>
          <w:i/>
          <w:lang w:val="pl-PL"/>
        </w:rPr>
        <w:t xml:space="preserve"> zakon o </w:t>
      </w:r>
      <w:proofErr w:type="spellStart"/>
      <w:r w:rsidRPr="00212AD6">
        <w:rPr>
          <w:i/>
          <w:lang w:val="pl-PL"/>
        </w:rPr>
        <w:t>izmjenama</w:t>
      </w:r>
      <w:proofErr w:type="spellEnd"/>
      <w:r w:rsidRPr="00212AD6">
        <w:rPr>
          <w:i/>
          <w:lang w:val="pl-PL"/>
        </w:rPr>
        <w:t xml:space="preserve"> i </w:t>
      </w:r>
      <w:proofErr w:type="spellStart"/>
      <w:r w:rsidRPr="00212AD6">
        <w:rPr>
          <w:i/>
          <w:lang w:val="pl-PL"/>
        </w:rPr>
        <w:t>dopunama</w:t>
      </w:r>
      <w:proofErr w:type="spellEnd"/>
      <w:r w:rsidRPr="00212AD6">
        <w:rPr>
          <w:i/>
          <w:lang w:val="pl-PL"/>
        </w:rPr>
        <w:t xml:space="preserve"> </w:t>
      </w:r>
      <w:proofErr w:type="spellStart"/>
      <w:r w:rsidRPr="00212AD6">
        <w:rPr>
          <w:i/>
          <w:lang w:val="pl-PL"/>
        </w:rPr>
        <w:t>Ustavnog</w:t>
      </w:r>
      <w:proofErr w:type="spellEnd"/>
      <w:r w:rsidRPr="00212AD6">
        <w:rPr>
          <w:i/>
          <w:lang w:val="pl-PL"/>
        </w:rPr>
        <w:t xml:space="preserve"> </w:t>
      </w:r>
      <w:proofErr w:type="spellStart"/>
      <w:r w:rsidRPr="00212AD6">
        <w:rPr>
          <w:i/>
          <w:lang w:val="pl-PL"/>
        </w:rPr>
        <w:t>zakona</w:t>
      </w:r>
      <w:proofErr w:type="spellEnd"/>
      <w:r w:rsidRPr="00212AD6">
        <w:rPr>
          <w:i/>
          <w:lang w:val="pl-PL"/>
        </w:rPr>
        <w:t xml:space="preserve"> o </w:t>
      </w:r>
      <w:proofErr w:type="spellStart"/>
      <w:r w:rsidRPr="00212AD6">
        <w:rPr>
          <w:i/>
          <w:lang w:val="pl-PL"/>
        </w:rPr>
        <w:t>Ustavnom</w:t>
      </w:r>
      <w:proofErr w:type="spellEnd"/>
      <w:r w:rsidRPr="00212AD6">
        <w:rPr>
          <w:i/>
          <w:lang w:val="pl-PL"/>
        </w:rPr>
        <w:t xml:space="preserve"> </w:t>
      </w:r>
      <w:proofErr w:type="spellStart"/>
      <w:r w:rsidRPr="00212AD6">
        <w:rPr>
          <w:i/>
          <w:lang w:val="pl-PL"/>
        </w:rPr>
        <w:t>sudu</w:t>
      </w:r>
      <w:proofErr w:type="spellEnd"/>
      <w:r w:rsidRPr="00212AD6">
        <w:rPr>
          <w:i/>
          <w:lang w:val="pl-PL"/>
        </w:rPr>
        <w:t xml:space="preserve"> </w:t>
      </w:r>
      <w:proofErr w:type="spellStart"/>
      <w:r w:rsidRPr="00212AD6">
        <w:rPr>
          <w:i/>
          <w:lang w:val="pl-PL"/>
        </w:rPr>
        <w:t>Republike</w:t>
      </w:r>
      <w:proofErr w:type="spellEnd"/>
      <w:r w:rsidRPr="00212AD6">
        <w:rPr>
          <w:i/>
          <w:lang w:val="pl-PL"/>
        </w:rPr>
        <w:t xml:space="preserve"> </w:t>
      </w:r>
      <w:proofErr w:type="spellStart"/>
      <w:r w:rsidRPr="00212AD6">
        <w:rPr>
          <w:i/>
          <w:lang w:val="pl-PL"/>
        </w:rPr>
        <w:t>Hrvatske</w:t>
      </w:r>
      <w:proofErr w:type="spellEnd"/>
      <w:r w:rsidRPr="00212AD6">
        <w:rPr>
          <w:lang w:val="pl-PL"/>
        </w:rPr>
        <w:t>, Dziennik Urzędowy Republiki Chorwacji nr 29/2002 r. z dnia 22 marca 2002 r.), które weszły w życie z dniem 15 marca 2002 r., brzmi, jak następuje:</w:t>
      </w:r>
    </w:p>
    <w:p w14:paraId="3104D0BD" w14:textId="77777777" w:rsidR="00F767C0" w:rsidRPr="00212AD6" w:rsidRDefault="00F767C0" w:rsidP="00F767C0">
      <w:pPr>
        <w:pStyle w:val="JuHeader"/>
        <w:jc w:val="center"/>
        <w:rPr>
          <w:lang w:val="pl-PL"/>
        </w:rPr>
      </w:pPr>
    </w:p>
    <w:p w14:paraId="20C8B41C" w14:textId="77777777" w:rsidR="00F767C0" w:rsidRPr="00212AD6" w:rsidRDefault="00F767C0" w:rsidP="00F767C0">
      <w:pPr>
        <w:pStyle w:val="JuHeader"/>
        <w:jc w:val="center"/>
        <w:rPr>
          <w:lang w:val="pl-PL"/>
        </w:rPr>
      </w:pPr>
      <w:r w:rsidRPr="003B0520">
        <w:rPr>
          <w:lang w:val="pl-PL"/>
        </w:rPr>
        <w:t xml:space="preserve">II.  WARUNKI </w:t>
      </w:r>
      <w:r w:rsidR="003B0520" w:rsidRPr="003B0520">
        <w:rPr>
          <w:lang w:val="pl-PL"/>
        </w:rPr>
        <w:t>POWOŁANIA</w:t>
      </w:r>
      <w:r w:rsidR="003B0520">
        <w:rPr>
          <w:lang w:val="pl-PL"/>
        </w:rPr>
        <w:t xml:space="preserve"> SĘDZIÓW </w:t>
      </w:r>
      <w:r w:rsidRPr="00212AD6">
        <w:rPr>
          <w:lang w:val="pl-PL"/>
        </w:rPr>
        <w:t>TRYBUNAŁU KONSTYTUCYJNEGO, [</w:t>
      </w:r>
      <w:r w:rsidR="003B0520">
        <w:rPr>
          <w:lang w:val="pl-PL"/>
        </w:rPr>
        <w:t>ICH</w:t>
      </w:r>
      <w:r w:rsidRPr="00212AD6">
        <w:rPr>
          <w:lang w:val="pl-PL"/>
        </w:rPr>
        <w:t xml:space="preserve">] </w:t>
      </w:r>
      <w:r w:rsidR="003B0520">
        <w:rPr>
          <w:lang w:val="pl-PL"/>
        </w:rPr>
        <w:t>POWOŁYWANIE I ZAKOŃCZENIE KADENCJI</w:t>
      </w:r>
    </w:p>
    <w:p w14:paraId="4EB25AA8" w14:textId="3BFC7B1B" w:rsidR="00F767C0" w:rsidRPr="00212AD6" w:rsidRDefault="00B569A1" w:rsidP="00F767C0">
      <w:pPr>
        <w:pStyle w:val="JuQuot"/>
        <w:jc w:val="center"/>
        <w:rPr>
          <w:b/>
          <w:color w:val="000000"/>
          <w:lang w:val="pl-PL"/>
        </w:rPr>
      </w:pPr>
      <w:r>
        <w:rPr>
          <w:b/>
          <w:lang w:val="pl-PL"/>
        </w:rPr>
        <w:t>Art.</w:t>
      </w:r>
      <w:r w:rsidR="00F767C0" w:rsidRPr="00212AD6">
        <w:rPr>
          <w:b/>
          <w:lang w:val="pl-PL"/>
        </w:rPr>
        <w:t xml:space="preserve"> 5</w:t>
      </w:r>
    </w:p>
    <w:p w14:paraId="2B4CB99F" w14:textId="77777777" w:rsidR="00F767C0" w:rsidRPr="00212AD6" w:rsidRDefault="00F767C0" w:rsidP="00F767C0">
      <w:pPr>
        <w:pStyle w:val="JuQuot"/>
        <w:rPr>
          <w:color w:val="000000"/>
          <w:lang w:val="pl-PL"/>
        </w:rPr>
      </w:pPr>
      <w:r w:rsidRPr="00212AD6">
        <w:rPr>
          <w:color w:val="000000"/>
          <w:lang w:val="pl-PL"/>
        </w:rPr>
        <w:lastRenderedPageBreak/>
        <w:t xml:space="preserve">„(1) Obywatel chorwacki posiadający tytułu magistra prawa i co najmniej piętnaście lat doświadczenia w zawodzie prawniczym oraz który wyróżnia się w tym zawodzie ze względu na swą pracę akademicką lub zawodową lub </w:t>
      </w:r>
      <w:r w:rsidR="008F34F5">
        <w:rPr>
          <w:color w:val="000000"/>
          <w:lang w:val="pl-PL"/>
        </w:rPr>
        <w:t>działalność publiczną</w:t>
      </w:r>
      <w:r w:rsidR="003A661B">
        <w:rPr>
          <w:color w:val="000000"/>
          <w:lang w:val="pl-PL"/>
        </w:rPr>
        <w:t>, może zostać powołan</w:t>
      </w:r>
      <w:r w:rsidRPr="00212AD6">
        <w:rPr>
          <w:color w:val="000000"/>
          <w:lang w:val="pl-PL"/>
        </w:rPr>
        <w:t>y</w:t>
      </w:r>
      <w:r w:rsidR="003A661B">
        <w:rPr>
          <w:color w:val="000000"/>
          <w:lang w:val="pl-PL"/>
        </w:rPr>
        <w:t xml:space="preserve"> na stanowisko sę</w:t>
      </w:r>
      <w:r w:rsidRPr="00212AD6">
        <w:rPr>
          <w:color w:val="000000"/>
          <w:lang w:val="pl-PL"/>
        </w:rPr>
        <w:t>dzi</w:t>
      </w:r>
      <w:r w:rsidR="003A661B">
        <w:rPr>
          <w:color w:val="000000"/>
          <w:lang w:val="pl-PL"/>
        </w:rPr>
        <w:t>ego</w:t>
      </w:r>
      <w:r w:rsidRPr="00212AD6">
        <w:rPr>
          <w:color w:val="000000"/>
          <w:lang w:val="pl-PL"/>
        </w:rPr>
        <w:t xml:space="preserve"> Trybunału Konstytucyjnego.</w:t>
      </w:r>
    </w:p>
    <w:p w14:paraId="3979D364" w14:textId="600B8A88" w:rsidR="00F767C0" w:rsidRPr="00212AD6" w:rsidRDefault="00F767C0" w:rsidP="00F767C0">
      <w:pPr>
        <w:pStyle w:val="JuQuot"/>
        <w:rPr>
          <w:color w:val="000000"/>
          <w:lang w:val="pl-PL"/>
        </w:rPr>
      </w:pPr>
      <w:r w:rsidRPr="00212AD6">
        <w:rPr>
          <w:color w:val="000000"/>
          <w:lang w:val="pl-PL"/>
        </w:rPr>
        <w:t xml:space="preserve">(2) </w:t>
      </w:r>
      <w:r w:rsidR="001F30BE" w:rsidRPr="00212AD6">
        <w:rPr>
          <w:color w:val="000000"/>
          <w:lang w:val="pl-PL"/>
        </w:rPr>
        <w:t>Osoba</w:t>
      </w:r>
      <w:r w:rsidRPr="00212AD6">
        <w:rPr>
          <w:color w:val="000000"/>
          <w:lang w:val="pl-PL"/>
        </w:rPr>
        <w:t>, która uzyskała tytułu doktora nauk prawnych i spełnia pozostał</w:t>
      </w:r>
      <w:r w:rsidR="000569B7">
        <w:rPr>
          <w:color w:val="000000"/>
          <w:lang w:val="pl-PL"/>
        </w:rPr>
        <w:t>e warunki, o których mowa w ust</w:t>
      </w:r>
      <w:r w:rsidRPr="00212AD6">
        <w:rPr>
          <w:color w:val="000000"/>
          <w:lang w:val="pl-PL"/>
        </w:rPr>
        <w:t xml:space="preserve">. 1 niniejszego artykułu, może zostać </w:t>
      </w:r>
      <w:r w:rsidR="003A661B">
        <w:rPr>
          <w:color w:val="000000"/>
          <w:lang w:val="pl-PL"/>
        </w:rPr>
        <w:t>powołana na stanowisko sę</w:t>
      </w:r>
      <w:r w:rsidR="003A661B" w:rsidRPr="00212AD6">
        <w:rPr>
          <w:color w:val="000000"/>
          <w:lang w:val="pl-PL"/>
        </w:rPr>
        <w:t>dzi</w:t>
      </w:r>
      <w:r w:rsidR="003A661B">
        <w:rPr>
          <w:color w:val="000000"/>
          <w:lang w:val="pl-PL"/>
        </w:rPr>
        <w:t>ego</w:t>
      </w:r>
      <w:r w:rsidR="003A661B" w:rsidRPr="00212AD6">
        <w:rPr>
          <w:color w:val="000000"/>
          <w:lang w:val="pl-PL"/>
        </w:rPr>
        <w:t xml:space="preserve"> </w:t>
      </w:r>
      <w:r w:rsidRPr="00212AD6">
        <w:rPr>
          <w:color w:val="000000"/>
          <w:lang w:val="pl-PL"/>
        </w:rPr>
        <w:t>Trybunału Konstytucyjnego, jeżeli posiada co najmniej dwanaście lat doświadczenia w zawodzie prawniczym.”</w:t>
      </w:r>
    </w:p>
    <w:p w14:paraId="11AF79E0" w14:textId="35CE6770" w:rsidR="00F767C0" w:rsidRPr="00212AD6" w:rsidRDefault="00B569A1" w:rsidP="00F767C0">
      <w:pPr>
        <w:pStyle w:val="JuHArticle"/>
        <w:rPr>
          <w:color w:val="000000"/>
          <w:lang w:val="pl-PL"/>
        </w:rPr>
      </w:pPr>
      <w:r>
        <w:rPr>
          <w:lang w:val="pl-PL"/>
        </w:rPr>
        <w:t>Art.</w:t>
      </w:r>
      <w:r w:rsidR="00F767C0" w:rsidRPr="00212AD6">
        <w:rPr>
          <w:lang w:val="pl-PL"/>
        </w:rPr>
        <w:t xml:space="preserve"> 6</w:t>
      </w:r>
    </w:p>
    <w:p w14:paraId="13E331FC" w14:textId="77777777" w:rsidR="00F767C0" w:rsidRPr="00212AD6" w:rsidRDefault="00F767C0" w:rsidP="00F767C0">
      <w:pPr>
        <w:pStyle w:val="JuQuot"/>
        <w:rPr>
          <w:lang w:val="pl-PL"/>
        </w:rPr>
      </w:pPr>
      <w:r w:rsidRPr="001326C1">
        <w:rPr>
          <w:lang w:val="pl-PL"/>
        </w:rPr>
        <w:t xml:space="preserve">„(1) Komisja </w:t>
      </w:r>
      <w:r w:rsidR="003A661B" w:rsidRPr="001326C1">
        <w:rPr>
          <w:lang w:val="pl-PL"/>
        </w:rPr>
        <w:t xml:space="preserve">ds. </w:t>
      </w:r>
      <w:r w:rsidRPr="001326C1">
        <w:rPr>
          <w:lang w:val="pl-PL"/>
        </w:rPr>
        <w:t>Konstytuc</w:t>
      </w:r>
      <w:r w:rsidR="003A661B" w:rsidRPr="001326C1">
        <w:rPr>
          <w:lang w:val="pl-PL"/>
        </w:rPr>
        <w:t xml:space="preserve">ji </w:t>
      </w:r>
      <w:r w:rsidRPr="001326C1">
        <w:rPr>
          <w:lang w:val="pl-PL"/>
        </w:rPr>
        <w:t>Parlamentu Chorwacji (w dalszej części: „właściwa komisja’) określi</w:t>
      </w:r>
      <w:r w:rsidRPr="00212AD6">
        <w:rPr>
          <w:lang w:val="pl-PL"/>
        </w:rPr>
        <w:t xml:space="preserve">  procedurę wyboru sędziów Trybunału Konstytucyjnego, publikując w Dzienniku Urzędowym zaproszenie dla instytucji sądowych, wydziałów prawa, Rady Adwokackiej, stowarzyszeń prawników, partii politycznych i innych osób prawnych i </w:t>
      </w:r>
      <w:r w:rsidRPr="001326C1">
        <w:rPr>
          <w:lang w:val="pl-PL"/>
        </w:rPr>
        <w:t>fizycznych do nominowania kandydatów</w:t>
      </w:r>
      <w:r w:rsidR="003A661B" w:rsidRPr="001326C1">
        <w:rPr>
          <w:lang w:val="pl-PL"/>
        </w:rPr>
        <w:t xml:space="preserve"> na jedno lub więcej </w:t>
      </w:r>
      <w:r w:rsidR="001326C1">
        <w:rPr>
          <w:lang w:val="pl-PL"/>
        </w:rPr>
        <w:t>s</w:t>
      </w:r>
      <w:r w:rsidR="003A661B" w:rsidRPr="001326C1">
        <w:rPr>
          <w:lang w:val="pl-PL"/>
        </w:rPr>
        <w:t>tanow</w:t>
      </w:r>
      <w:r w:rsidR="001326C1">
        <w:rPr>
          <w:lang w:val="pl-PL"/>
        </w:rPr>
        <w:t>is</w:t>
      </w:r>
      <w:r w:rsidR="003A661B" w:rsidRPr="001326C1">
        <w:rPr>
          <w:lang w:val="pl-PL"/>
        </w:rPr>
        <w:t xml:space="preserve">k sędziego </w:t>
      </w:r>
      <w:r w:rsidRPr="001326C1">
        <w:rPr>
          <w:lang w:val="pl-PL"/>
        </w:rPr>
        <w:t>Trybunału Konstytucyjnego (w dalszej części: „zaproszenie”). Osoba indywidualna ma prawo samodzielnego zgłoszenia swojej kandydatury</w:t>
      </w:r>
      <w:r w:rsidRPr="00212AD6">
        <w:rPr>
          <w:lang w:val="pl-PL"/>
        </w:rPr>
        <w:t>.</w:t>
      </w:r>
    </w:p>
    <w:p w14:paraId="0E015F73" w14:textId="77777777" w:rsidR="00F767C0" w:rsidRPr="00212AD6" w:rsidRDefault="00F767C0" w:rsidP="00F767C0">
      <w:pPr>
        <w:pStyle w:val="JuQuot"/>
        <w:rPr>
          <w:lang w:val="pl-PL"/>
        </w:rPr>
      </w:pPr>
      <w:r w:rsidRPr="00212AD6">
        <w:rPr>
          <w:lang w:val="pl-PL"/>
        </w:rPr>
        <w:t xml:space="preserve">(2) W zaproszeniu podane zostaną warunki wyboru na sędziego Trybunału Konstytucyjnego określone w Konstytucji i niniejszej ustawie </w:t>
      </w:r>
      <w:r w:rsidR="008F34F5">
        <w:rPr>
          <w:lang w:val="pl-PL"/>
        </w:rPr>
        <w:t>konstytucyjnej</w:t>
      </w:r>
      <w:r w:rsidRPr="00212AD6">
        <w:rPr>
          <w:lang w:val="pl-PL"/>
        </w:rPr>
        <w:t>, termin składania nominacji do właściwej komisji oraz załączniki, jakie należy załączyć do nominacji.</w:t>
      </w:r>
    </w:p>
    <w:p w14:paraId="65B77C84" w14:textId="4A62F9F8" w:rsidR="00F767C0" w:rsidRPr="00212AD6" w:rsidRDefault="00F767C0" w:rsidP="00F767C0">
      <w:pPr>
        <w:pStyle w:val="JuQuot"/>
        <w:rPr>
          <w:lang w:val="pl-PL"/>
        </w:rPr>
      </w:pPr>
      <w:r w:rsidRPr="00212AD6">
        <w:rPr>
          <w:lang w:val="pl-PL"/>
        </w:rPr>
        <w:t xml:space="preserve">(3) Po upływie </w:t>
      </w:r>
      <w:r w:rsidR="001F30BE">
        <w:rPr>
          <w:lang w:val="pl-PL"/>
        </w:rPr>
        <w:t>terminu</w:t>
      </w:r>
      <w:r w:rsidRPr="00212AD6">
        <w:rPr>
          <w:lang w:val="pl-PL"/>
        </w:rPr>
        <w:t>, o którym mowa w ust. 2 niniejszego artykułu</w:t>
      </w:r>
      <w:r w:rsidR="003A661B">
        <w:rPr>
          <w:lang w:val="pl-PL"/>
        </w:rPr>
        <w:t>,</w:t>
      </w:r>
      <w:r w:rsidRPr="00212AD6">
        <w:rPr>
          <w:lang w:val="pl-PL"/>
        </w:rPr>
        <w:t xml:space="preserve"> właściwa komisja zbada, czy kandydaci spełniają warunki wyboru na sędziów Trybunału Konstytucyjnego określone w Konstytucji i ninie</w:t>
      </w:r>
      <w:r w:rsidR="008F34F5">
        <w:rPr>
          <w:lang w:val="pl-PL"/>
        </w:rPr>
        <w:t>jszej ustawie konstytucyjnej</w:t>
      </w:r>
      <w:r w:rsidR="003A661B">
        <w:rPr>
          <w:lang w:val="pl-PL"/>
        </w:rPr>
        <w:t>, i odrzuci</w:t>
      </w:r>
      <w:r w:rsidRPr="00212AD6">
        <w:rPr>
          <w:lang w:val="pl-PL"/>
        </w:rPr>
        <w:t xml:space="preserve"> kandydatury nieważne.</w:t>
      </w:r>
    </w:p>
    <w:p w14:paraId="4B30C791" w14:textId="77777777" w:rsidR="00F767C0" w:rsidRPr="00683442" w:rsidRDefault="00F767C0" w:rsidP="00F767C0">
      <w:pPr>
        <w:pStyle w:val="JuQuot"/>
        <w:rPr>
          <w:lang w:val="pl-PL"/>
        </w:rPr>
      </w:pPr>
      <w:r w:rsidRPr="00212AD6">
        <w:rPr>
          <w:lang w:val="pl-PL"/>
        </w:rPr>
        <w:t xml:space="preserve"> </w:t>
      </w:r>
      <w:r w:rsidRPr="00683442">
        <w:rPr>
          <w:lang w:val="pl-PL"/>
        </w:rPr>
        <w:t>(4) Właściwa komisja przeprowadzi jawną rozmowę z każdym kandydatem, który spełnia warunki wyboru na sędziego Trybunału Konstytucyjnego oraz, na podstawie zgromadzonych informacji i wyników rozmów, przygotuje ostateczną listę kandydatów na sędziów Trybunału Konstytucyjnego. Co do zasady na ostatecznej liście znajdzie się większa liczba kandydatów niż liczba sędziów, … których należy wybrać.</w:t>
      </w:r>
    </w:p>
    <w:p w14:paraId="2964E9EE" w14:textId="77777777" w:rsidR="00F767C0" w:rsidRPr="00683442" w:rsidRDefault="00F767C0" w:rsidP="00F767C0">
      <w:pPr>
        <w:pStyle w:val="JuQuot"/>
        <w:rPr>
          <w:lang w:val="pl-PL"/>
        </w:rPr>
      </w:pPr>
      <w:r w:rsidRPr="00683442">
        <w:rPr>
          <w:lang w:val="pl-PL"/>
        </w:rPr>
        <w:t xml:space="preserve"> (5) Właściwa komisja przedłoży Parlamentowi Chorwacji, wraz ze swoją propozycją, listę kandydatów, którzy spełniają warunki wyboru na sędziów Trybunału Konstytucyjnego. Propozycja właściwej komi</w:t>
      </w:r>
      <w:r w:rsidR="00FD79D0" w:rsidRPr="00683442">
        <w:rPr>
          <w:lang w:val="pl-PL"/>
        </w:rPr>
        <w:t>sji</w:t>
      </w:r>
      <w:r w:rsidR="00CB0D00" w:rsidRPr="00683442">
        <w:rPr>
          <w:lang w:val="pl-PL"/>
        </w:rPr>
        <w:t xml:space="preserve"> będzie zawierać</w:t>
      </w:r>
      <w:r w:rsidR="00683442" w:rsidRPr="00683442">
        <w:rPr>
          <w:lang w:val="pl-PL"/>
        </w:rPr>
        <w:t xml:space="preserve"> uzasadnienie wyboru kandydata preferowanego przez komisję</w:t>
      </w:r>
      <w:r w:rsidRPr="00683442">
        <w:rPr>
          <w:lang w:val="pl-PL"/>
        </w:rPr>
        <w:t>.</w:t>
      </w:r>
    </w:p>
    <w:p w14:paraId="1F6F2AA7" w14:textId="77777777" w:rsidR="00F767C0" w:rsidRPr="00683442" w:rsidRDefault="00F767C0" w:rsidP="00F767C0">
      <w:pPr>
        <w:pStyle w:val="JuQuot"/>
        <w:rPr>
          <w:lang w:val="pl-PL"/>
        </w:rPr>
      </w:pPr>
      <w:r w:rsidRPr="00683442">
        <w:rPr>
          <w:lang w:val="pl-PL"/>
        </w:rPr>
        <w:t xml:space="preserve"> (6) Przedstawiciele w Parlamencie Chorwacji będą oddawać głosy indywidualnie na każdego zaproponowanego kandydata.</w:t>
      </w:r>
    </w:p>
    <w:p w14:paraId="06C3FE52" w14:textId="77777777" w:rsidR="00F767C0" w:rsidRPr="00683442" w:rsidRDefault="00F767C0" w:rsidP="00F767C0">
      <w:pPr>
        <w:pStyle w:val="JuQuot"/>
        <w:rPr>
          <w:lang w:val="pl-PL"/>
        </w:rPr>
      </w:pPr>
      <w:r w:rsidRPr="00683442">
        <w:rPr>
          <w:lang w:val="pl-PL"/>
        </w:rPr>
        <w:t>(7) Kandydat na sędziego Trybunału Konstytucyjnego będzie uważany za wybranego na stanowisko sędziego Trybunału Konstytucyjnego, jeżeli uzyska większość głosów ogólnej liczby przedstawicieli w Parlamencie Chorwacji.”</w:t>
      </w:r>
      <w:bookmarkStart w:id="8" w:name="6"/>
      <w:bookmarkEnd w:id="8"/>
    </w:p>
    <w:p w14:paraId="2800455D" w14:textId="77777777" w:rsidR="00F767C0" w:rsidRPr="00683442" w:rsidRDefault="00F767C0" w:rsidP="00F767C0">
      <w:pPr>
        <w:pStyle w:val="JuHeader"/>
        <w:jc w:val="center"/>
        <w:rPr>
          <w:lang w:val="pl-PL"/>
        </w:rPr>
      </w:pPr>
    </w:p>
    <w:p w14:paraId="2D71D5C1" w14:textId="77777777" w:rsidR="00F767C0" w:rsidRPr="00212AD6" w:rsidRDefault="00F767C0" w:rsidP="00F767C0">
      <w:pPr>
        <w:pStyle w:val="JuHeader"/>
        <w:jc w:val="center"/>
        <w:rPr>
          <w:lang w:val="pl-PL"/>
        </w:rPr>
      </w:pPr>
      <w:r w:rsidRPr="00683442">
        <w:rPr>
          <w:lang w:val="pl-PL"/>
        </w:rPr>
        <w:t>III.  POSTĘPOWANIE PRZED TRYBUNAŁEM KONSTYTUCYJNYM – POSTANOWIENIA OGÓLNE</w:t>
      </w:r>
    </w:p>
    <w:p w14:paraId="03222635" w14:textId="521C8778" w:rsidR="00F767C0" w:rsidRPr="00212AD6" w:rsidRDefault="00B569A1" w:rsidP="00F767C0">
      <w:pPr>
        <w:pStyle w:val="JuHArticle"/>
        <w:rPr>
          <w:lang w:val="pl-PL"/>
        </w:rPr>
      </w:pPr>
      <w:r>
        <w:rPr>
          <w:lang w:val="pl-PL"/>
        </w:rPr>
        <w:t>Art.</w:t>
      </w:r>
      <w:r w:rsidR="00F767C0" w:rsidRPr="00212AD6">
        <w:rPr>
          <w:lang w:val="pl-PL"/>
        </w:rPr>
        <w:t xml:space="preserve"> 27(6)</w:t>
      </w:r>
    </w:p>
    <w:p w14:paraId="5020719B" w14:textId="77777777" w:rsidR="00F767C0" w:rsidRPr="00212AD6" w:rsidRDefault="00F767C0" w:rsidP="00F767C0">
      <w:pPr>
        <w:pStyle w:val="JuQuot"/>
        <w:rPr>
          <w:lang w:val="pl-PL"/>
        </w:rPr>
      </w:pPr>
      <w:r w:rsidRPr="00212AD6">
        <w:rPr>
          <w:lang w:val="pl-PL"/>
        </w:rPr>
        <w:t xml:space="preserve">„Sędzia </w:t>
      </w:r>
      <w:r w:rsidRPr="00212AD6">
        <w:rPr>
          <w:snapToGrid w:val="0"/>
          <w:lang w:val="pl-PL" w:eastAsia="en-US"/>
        </w:rPr>
        <w:t xml:space="preserve">Trybunału Konstytucyjnego nie może wstrzymać się od głosu, chyba że uczestniczył w </w:t>
      </w:r>
      <w:r w:rsidR="00CB0D00" w:rsidRPr="00212AD6">
        <w:rPr>
          <w:snapToGrid w:val="0"/>
          <w:lang w:val="pl-PL" w:eastAsia="en-US"/>
        </w:rPr>
        <w:t>wydaniu ustawy lub</w:t>
      </w:r>
      <w:r w:rsidR="00FD3F8F">
        <w:rPr>
          <w:snapToGrid w:val="0"/>
          <w:lang w:val="pl-PL" w:eastAsia="en-US"/>
        </w:rPr>
        <w:t xml:space="preserve"> ustawodawstwa niższego rzędu</w:t>
      </w:r>
      <w:r w:rsidRPr="00212AD6">
        <w:rPr>
          <w:snapToGrid w:val="0"/>
          <w:lang w:val="pl-PL" w:eastAsia="en-US"/>
        </w:rPr>
        <w:t xml:space="preserve"> </w:t>
      </w:r>
      <w:r w:rsidR="005C6794">
        <w:rPr>
          <w:snapToGrid w:val="0"/>
          <w:lang w:val="pl-PL" w:eastAsia="en-US"/>
        </w:rPr>
        <w:t xml:space="preserve">lub wydaniu decyzji, w sprawie których </w:t>
      </w:r>
      <w:r w:rsidRPr="00212AD6">
        <w:rPr>
          <w:snapToGrid w:val="0"/>
          <w:lang w:val="pl-PL" w:eastAsia="en-US"/>
        </w:rPr>
        <w:t>Trybunał Konstytucyjn</w:t>
      </w:r>
      <w:r w:rsidR="005C6794">
        <w:rPr>
          <w:snapToGrid w:val="0"/>
          <w:lang w:val="pl-PL" w:eastAsia="en-US"/>
        </w:rPr>
        <w:t>y ma orzekać</w:t>
      </w:r>
      <w:r w:rsidRPr="00212AD6">
        <w:rPr>
          <w:snapToGrid w:val="0"/>
          <w:lang w:val="pl-PL" w:eastAsia="en-US"/>
        </w:rPr>
        <w:t>.</w:t>
      </w:r>
      <w:r w:rsidRPr="00212AD6">
        <w:rPr>
          <w:lang w:val="pl-PL"/>
        </w:rPr>
        <w:t>”</w:t>
      </w:r>
    </w:p>
    <w:p w14:paraId="07B3238D" w14:textId="2B85E169" w:rsidR="00F767C0" w:rsidRPr="00212AD6" w:rsidRDefault="00B569A1" w:rsidP="00F767C0">
      <w:pPr>
        <w:pStyle w:val="JuHArticle"/>
        <w:rPr>
          <w:lang w:val="pl-PL"/>
        </w:rPr>
      </w:pPr>
      <w:r>
        <w:rPr>
          <w:lang w:val="pl-PL"/>
        </w:rPr>
        <w:lastRenderedPageBreak/>
        <w:t>Art.</w:t>
      </w:r>
      <w:r w:rsidR="00F767C0" w:rsidRPr="00212AD6">
        <w:rPr>
          <w:lang w:val="pl-PL"/>
        </w:rPr>
        <w:t xml:space="preserve"> 34</w:t>
      </w:r>
    </w:p>
    <w:p w14:paraId="7E679356" w14:textId="77777777" w:rsidR="00F767C0" w:rsidRPr="00212AD6" w:rsidRDefault="00F767C0" w:rsidP="00F767C0">
      <w:pPr>
        <w:pStyle w:val="JuQuot"/>
        <w:rPr>
          <w:lang w:val="pl-PL"/>
        </w:rPr>
      </w:pPr>
      <w:r w:rsidRPr="00212AD6">
        <w:rPr>
          <w:lang w:val="pl-PL"/>
        </w:rPr>
        <w:t xml:space="preserve">„O ile niniejsza </w:t>
      </w:r>
      <w:r w:rsidR="00F52914">
        <w:rPr>
          <w:lang w:val="pl-PL"/>
        </w:rPr>
        <w:t xml:space="preserve">ustawa konstytucyjna </w:t>
      </w:r>
      <w:r w:rsidRPr="00212AD6">
        <w:rPr>
          <w:lang w:val="pl-PL"/>
        </w:rPr>
        <w:t xml:space="preserve">nie stanowi inaczej, w postępowaniu przed Trybunałem Konstytucyjnym zastosowanie mieć będą, </w:t>
      </w:r>
      <w:r w:rsidRPr="00212AD6">
        <w:rPr>
          <w:i/>
          <w:lang w:val="pl-PL"/>
        </w:rPr>
        <w:t>mutatis mutandis,</w:t>
      </w:r>
      <w:r w:rsidRPr="00212AD6">
        <w:rPr>
          <w:lang w:val="pl-PL"/>
        </w:rPr>
        <w:t xml:space="preserve"> </w:t>
      </w:r>
      <w:r w:rsidR="00FD79D0" w:rsidRPr="00212AD6">
        <w:rPr>
          <w:lang w:val="pl-PL"/>
        </w:rPr>
        <w:t>w</w:t>
      </w:r>
      <w:r w:rsidRPr="00212AD6">
        <w:rPr>
          <w:lang w:val="pl-PL"/>
        </w:rPr>
        <w:t>łaściw</w:t>
      </w:r>
      <w:r w:rsidR="00FD79D0" w:rsidRPr="00212AD6">
        <w:rPr>
          <w:lang w:val="pl-PL"/>
        </w:rPr>
        <w:t xml:space="preserve">e przepisy </w:t>
      </w:r>
      <w:r w:rsidRPr="00212AD6">
        <w:rPr>
          <w:lang w:val="pl-PL"/>
        </w:rPr>
        <w:t>procedural</w:t>
      </w:r>
      <w:r w:rsidR="00FD79D0" w:rsidRPr="00212AD6">
        <w:rPr>
          <w:lang w:val="pl-PL"/>
        </w:rPr>
        <w:t>ne</w:t>
      </w:r>
      <w:r w:rsidRPr="00212AD6">
        <w:rPr>
          <w:lang w:val="pl-PL"/>
        </w:rPr>
        <w:t xml:space="preserve"> Republiki Chorwacji </w:t>
      </w:r>
      <w:r w:rsidR="00FD79D0" w:rsidRPr="00212AD6">
        <w:rPr>
          <w:lang w:val="pl-PL"/>
        </w:rPr>
        <w:t>jako przepisy pomocnicze</w:t>
      </w:r>
      <w:r w:rsidRPr="00212AD6">
        <w:rPr>
          <w:lang w:val="pl-PL"/>
        </w:rPr>
        <w:t>.”</w:t>
      </w:r>
    </w:p>
    <w:p w14:paraId="668C5682" w14:textId="77777777" w:rsidR="00F767C0" w:rsidRPr="00212AD6" w:rsidRDefault="00F767C0" w:rsidP="00F767C0">
      <w:pPr>
        <w:pStyle w:val="JuHeader"/>
        <w:jc w:val="center"/>
        <w:rPr>
          <w:lang w:val="pl-PL"/>
        </w:rPr>
      </w:pPr>
    </w:p>
    <w:p w14:paraId="30DF9444" w14:textId="77777777" w:rsidR="00F767C0" w:rsidRPr="00212AD6" w:rsidRDefault="00F767C0" w:rsidP="00F767C0">
      <w:pPr>
        <w:pStyle w:val="JuHeader"/>
        <w:jc w:val="center"/>
        <w:rPr>
          <w:lang w:val="pl-PL"/>
        </w:rPr>
      </w:pPr>
      <w:r w:rsidRPr="00212AD6">
        <w:rPr>
          <w:lang w:val="pl-PL"/>
        </w:rPr>
        <w:t>I</w:t>
      </w:r>
      <w:r w:rsidR="00CB0D00" w:rsidRPr="00212AD6">
        <w:rPr>
          <w:lang w:val="pl-PL"/>
        </w:rPr>
        <w:t xml:space="preserve">V.  KONTROLA KONSTYTUCYJNOŚCI USTAW ORAZ </w:t>
      </w:r>
      <w:r w:rsidRPr="00212AD6">
        <w:rPr>
          <w:lang w:val="pl-PL"/>
        </w:rPr>
        <w:t> </w:t>
      </w:r>
      <w:r w:rsidR="00CB0D00" w:rsidRPr="00212AD6">
        <w:rPr>
          <w:lang w:val="pl-PL"/>
        </w:rPr>
        <w:t>KONSTYTUCYJNOŚCI I ZGODNOŚCI Z PRAWEM</w:t>
      </w:r>
      <w:r w:rsidRPr="00212AD6">
        <w:rPr>
          <w:lang w:val="pl-PL"/>
        </w:rPr>
        <w:t xml:space="preserve"> </w:t>
      </w:r>
      <w:r w:rsidR="00FD3F8F">
        <w:rPr>
          <w:lang w:val="pl-PL"/>
        </w:rPr>
        <w:t>USTAWODAWSTWA NIŻSZEGO RZĘDU</w:t>
      </w:r>
    </w:p>
    <w:p w14:paraId="0C47C2C8" w14:textId="4A253251" w:rsidR="00F767C0" w:rsidRPr="00212AD6" w:rsidRDefault="00B569A1" w:rsidP="00F767C0">
      <w:pPr>
        <w:pStyle w:val="JuHArticle"/>
        <w:rPr>
          <w:lang w:val="pl-PL"/>
        </w:rPr>
      </w:pPr>
      <w:r>
        <w:rPr>
          <w:lang w:val="pl-PL"/>
        </w:rPr>
        <w:t>Art.</w:t>
      </w:r>
      <w:r w:rsidR="00F767C0" w:rsidRPr="00212AD6">
        <w:rPr>
          <w:lang w:val="pl-PL"/>
        </w:rPr>
        <w:t xml:space="preserve"> 50</w:t>
      </w:r>
    </w:p>
    <w:p w14:paraId="38083079" w14:textId="72B8687D" w:rsidR="00F767C0" w:rsidRPr="00212AD6" w:rsidRDefault="00F767C0" w:rsidP="00F767C0">
      <w:pPr>
        <w:pStyle w:val="JuQuot"/>
        <w:rPr>
          <w:lang w:val="pl-PL"/>
        </w:rPr>
      </w:pPr>
      <w:r w:rsidRPr="00212AD6">
        <w:rPr>
          <w:lang w:val="pl-PL"/>
        </w:rPr>
        <w:t xml:space="preserve"> „(1)  Trybunał Konstytucyjny może, podczas posiedzenia [plenarnego], </w:t>
      </w:r>
      <w:r w:rsidR="000E1803">
        <w:rPr>
          <w:lang w:val="pl-PL"/>
        </w:rPr>
        <w:t>podjąć decyzję o orzekaniu o meritum</w:t>
      </w:r>
      <w:r w:rsidRPr="00212AD6">
        <w:rPr>
          <w:lang w:val="pl-PL"/>
        </w:rPr>
        <w:t xml:space="preserve"> [</w:t>
      </w:r>
      <w:r w:rsidR="000E1803">
        <w:rPr>
          <w:lang w:val="pl-PL"/>
        </w:rPr>
        <w:t>sprawy</w:t>
      </w:r>
      <w:r w:rsidRPr="00212AD6">
        <w:rPr>
          <w:lang w:val="pl-PL"/>
        </w:rPr>
        <w:t xml:space="preserve">] </w:t>
      </w:r>
      <w:r w:rsidR="004979CB">
        <w:rPr>
          <w:lang w:val="pl-PL"/>
        </w:rPr>
        <w:t>na</w:t>
      </w:r>
      <w:r w:rsidR="000E1803">
        <w:rPr>
          <w:lang w:val="pl-PL"/>
        </w:rPr>
        <w:t xml:space="preserve"> rozprawie </w:t>
      </w:r>
      <w:r w:rsidRPr="00212AD6">
        <w:rPr>
          <w:lang w:val="pl-PL"/>
        </w:rPr>
        <w:t>publiczn</w:t>
      </w:r>
      <w:r w:rsidR="000E1803">
        <w:rPr>
          <w:lang w:val="pl-PL"/>
        </w:rPr>
        <w:t>ej</w:t>
      </w:r>
      <w:r w:rsidRPr="00212AD6">
        <w:rPr>
          <w:lang w:val="pl-PL"/>
        </w:rPr>
        <w:t>.</w:t>
      </w:r>
    </w:p>
    <w:p w14:paraId="2D38662E" w14:textId="77777777" w:rsidR="00F767C0" w:rsidRPr="00212AD6" w:rsidRDefault="00F767C0" w:rsidP="00F767C0">
      <w:pPr>
        <w:pStyle w:val="JuQuot"/>
        <w:rPr>
          <w:lang w:val="pl-PL"/>
        </w:rPr>
      </w:pPr>
      <w:r w:rsidRPr="00212AD6">
        <w:rPr>
          <w:lang w:val="pl-PL"/>
        </w:rPr>
        <w:t xml:space="preserve"> (2)  Prezes Trybunału Konstytucyjnego</w:t>
      </w:r>
      <w:r w:rsidR="000E1803">
        <w:rPr>
          <w:lang w:val="pl-PL"/>
        </w:rPr>
        <w:t xml:space="preserve"> wskaże termin rozprawy publicznej</w:t>
      </w:r>
      <w:r w:rsidRPr="00212AD6">
        <w:rPr>
          <w:lang w:val="pl-PL"/>
        </w:rPr>
        <w:t>.</w:t>
      </w:r>
    </w:p>
    <w:p w14:paraId="67B4AC7B" w14:textId="77777777" w:rsidR="00F767C0" w:rsidRPr="00212AD6" w:rsidRDefault="00F767C0" w:rsidP="00F767C0">
      <w:pPr>
        <w:pStyle w:val="JuQuot"/>
        <w:rPr>
          <w:lang w:val="pl-PL"/>
        </w:rPr>
      </w:pPr>
      <w:r w:rsidRPr="00212AD6">
        <w:rPr>
          <w:lang w:val="pl-PL"/>
        </w:rPr>
        <w:t xml:space="preserve">(3)  Uczestnicy postępowania i </w:t>
      </w:r>
      <w:r w:rsidR="00954361" w:rsidRPr="00212AD6">
        <w:rPr>
          <w:lang w:val="pl-PL"/>
        </w:rPr>
        <w:t>przedstawiciele</w:t>
      </w:r>
      <w:r w:rsidRPr="00212AD6">
        <w:rPr>
          <w:lang w:val="pl-PL"/>
        </w:rPr>
        <w:t xml:space="preserve"> władz państwowych, samorządów lokalnych i stowarzyszeń, a także [pozostałe] osoby, których obecność jest wymagana podczas rozprawy publicznej, zostaną wezwani do </w:t>
      </w:r>
      <w:r w:rsidR="00954361" w:rsidRPr="00212AD6">
        <w:rPr>
          <w:lang w:val="pl-PL"/>
        </w:rPr>
        <w:t>stawienia</w:t>
      </w:r>
      <w:r w:rsidRPr="00212AD6">
        <w:rPr>
          <w:lang w:val="pl-PL"/>
        </w:rPr>
        <w:t xml:space="preserve"> </w:t>
      </w:r>
      <w:r w:rsidR="00CB0D00" w:rsidRPr="00212AD6">
        <w:rPr>
          <w:lang w:val="pl-PL"/>
        </w:rPr>
        <w:t>się</w:t>
      </w:r>
      <w:r w:rsidRPr="00212AD6">
        <w:rPr>
          <w:lang w:val="pl-PL"/>
        </w:rPr>
        <w:t xml:space="preserve"> na rozprawie publicznej.</w:t>
      </w:r>
    </w:p>
    <w:p w14:paraId="1949C640" w14:textId="1008179C" w:rsidR="00F767C0" w:rsidRPr="00212AD6" w:rsidRDefault="00F767C0" w:rsidP="00F767C0">
      <w:pPr>
        <w:pStyle w:val="JuQuot"/>
        <w:rPr>
          <w:lang w:val="pl-PL"/>
        </w:rPr>
      </w:pPr>
      <w:r w:rsidRPr="00212AD6">
        <w:rPr>
          <w:lang w:val="pl-PL"/>
        </w:rPr>
        <w:t>(4)  </w:t>
      </w:r>
      <w:r w:rsidR="00CB0D00" w:rsidRPr="00212AD6">
        <w:rPr>
          <w:lang w:val="pl-PL"/>
        </w:rPr>
        <w:t xml:space="preserve">Niestawienie się wezwanych uczestników </w:t>
      </w:r>
      <w:r w:rsidRPr="00212AD6">
        <w:rPr>
          <w:lang w:val="pl-PL"/>
        </w:rPr>
        <w:t>...</w:t>
      </w:r>
      <w:r w:rsidR="00CB0D00" w:rsidRPr="00212AD6">
        <w:rPr>
          <w:lang w:val="pl-PL"/>
        </w:rPr>
        <w:t xml:space="preserve"> i pozostałych wezwanych osób [na </w:t>
      </w:r>
      <w:r w:rsidRPr="00212AD6">
        <w:rPr>
          <w:lang w:val="pl-PL"/>
        </w:rPr>
        <w:t>rozpraw</w:t>
      </w:r>
      <w:r w:rsidR="00CB0D00" w:rsidRPr="00212AD6">
        <w:rPr>
          <w:lang w:val="pl-PL"/>
        </w:rPr>
        <w:t>ie</w:t>
      </w:r>
      <w:r w:rsidRPr="00212AD6">
        <w:rPr>
          <w:lang w:val="pl-PL"/>
        </w:rPr>
        <w:t xml:space="preserve">] </w:t>
      </w:r>
      <w:r w:rsidR="00CB0D00" w:rsidRPr="00212AD6">
        <w:rPr>
          <w:lang w:val="pl-PL"/>
        </w:rPr>
        <w:t xml:space="preserve">nie uniemożliwi kontynuacji postępowania i </w:t>
      </w:r>
      <w:r w:rsidR="000E1803">
        <w:rPr>
          <w:lang w:val="pl-PL"/>
        </w:rPr>
        <w:t>wydani</w:t>
      </w:r>
      <w:r w:rsidR="00D5558C">
        <w:rPr>
          <w:lang w:val="pl-PL"/>
        </w:rPr>
        <w:t>a</w:t>
      </w:r>
      <w:r w:rsidR="000E1803">
        <w:rPr>
          <w:lang w:val="pl-PL"/>
        </w:rPr>
        <w:t xml:space="preserve"> orzeczenia</w:t>
      </w:r>
      <w:r w:rsidR="00CB0D00" w:rsidRPr="00212AD6">
        <w:rPr>
          <w:lang w:val="pl-PL"/>
        </w:rPr>
        <w:t xml:space="preserve"> przez </w:t>
      </w:r>
      <w:r w:rsidRPr="00212AD6">
        <w:rPr>
          <w:lang w:val="pl-PL"/>
        </w:rPr>
        <w:t>Trybunał Konstytucyjn</w:t>
      </w:r>
      <w:r w:rsidR="00CB0D00" w:rsidRPr="00212AD6">
        <w:rPr>
          <w:lang w:val="pl-PL"/>
        </w:rPr>
        <w:t>y, jeżeli uzna on, iż istnieją ku temu warunki</w:t>
      </w:r>
      <w:r w:rsidRPr="00212AD6">
        <w:rPr>
          <w:lang w:val="pl-PL"/>
        </w:rPr>
        <w:t>.</w:t>
      </w:r>
    </w:p>
    <w:p w14:paraId="3E473761" w14:textId="77777777" w:rsidR="00F767C0" w:rsidRPr="00212AD6" w:rsidRDefault="00F767C0" w:rsidP="00F767C0">
      <w:pPr>
        <w:pStyle w:val="JuQuot"/>
        <w:rPr>
          <w:lang w:val="pl-PL"/>
        </w:rPr>
      </w:pPr>
      <w:r w:rsidRPr="00212AD6">
        <w:rPr>
          <w:lang w:val="pl-PL"/>
        </w:rPr>
        <w:t xml:space="preserve">(5)  W </w:t>
      </w:r>
      <w:r w:rsidR="00954361" w:rsidRPr="00212AD6">
        <w:rPr>
          <w:lang w:val="pl-PL"/>
        </w:rPr>
        <w:t>uzasadnionych</w:t>
      </w:r>
      <w:r w:rsidRPr="00212AD6">
        <w:rPr>
          <w:lang w:val="pl-PL"/>
        </w:rPr>
        <w:t xml:space="preserve"> przypadkach Trybunał Konstytucyjny może przesunąć termin rozpraw</w:t>
      </w:r>
      <w:r w:rsidR="00954361" w:rsidRPr="00212AD6">
        <w:rPr>
          <w:lang w:val="pl-PL"/>
        </w:rPr>
        <w:t>y</w:t>
      </w:r>
      <w:r w:rsidRPr="00212AD6">
        <w:rPr>
          <w:lang w:val="pl-PL"/>
        </w:rPr>
        <w:t xml:space="preserve"> publiczn</w:t>
      </w:r>
      <w:r w:rsidR="00954361" w:rsidRPr="00212AD6">
        <w:rPr>
          <w:lang w:val="pl-PL"/>
        </w:rPr>
        <w:t>ej</w:t>
      </w:r>
      <w:r w:rsidRPr="00212AD6">
        <w:rPr>
          <w:lang w:val="pl-PL"/>
        </w:rPr>
        <w:t xml:space="preserve"> i określić nowy termin.”</w:t>
      </w:r>
    </w:p>
    <w:p w14:paraId="4D244B92" w14:textId="77777777" w:rsidR="00F767C0" w:rsidRPr="00212AD6" w:rsidRDefault="00F767C0" w:rsidP="00F767C0">
      <w:pPr>
        <w:pStyle w:val="JuHeader"/>
        <w:jc w:val="center"/>
        <w:rPr>
          <w:lang w:val="pl-PL"/>
        </w:rPr>
      </w:pPr>
    </w:p>
    <w:p w14:paraId="0473F6E3" w14:textId="77777777" w:rsidR="00F767C0" w:rsidRPr="00212AD6" w:rsidRDefault="005D13EF" w:rsidP="00F767C0">
      <w:pPr>
        <w:pStyle w:val="JuHeader"/>
        <w:keepNext/>
        <w:keepLines/>
        <w:jc w:val="center"/>
        <w:rPr>
          <w:lang w:val="pl-PL"/>
        </w:rPr>
      </w:pPr>
      <w:r w:rsidRPr="009A4A8F">
        <w:rPr>
          <w:lang w:val="pl-PL"/>
        </w:rPr>
        <w:t>V.</w:t>
      </w:r>
      <w:r w:rsidR="00F767C0" w:rsidRPr="009A4A8F">
        <w:rPr>
          <w:lang w:val="pl-PL"/>
        </w:rPr>
        <w:t> OCHRONA PRAW CZŁOWIEKA</w:t>
      </w:r>
      <w:r w:rsidR="00F767C0" w:rsidRPr="00212AD6">
        <w:rPr>
          <w:lang w:val="pl-PL"/>
        </w:rPr>
        <w:t xml:space="preserve"> I PODSTAWOWYCH WOLNOŚCI</w:t>
      </w:r>
    </w:p>
    <w:p w14:paraId="6FD30395" w14:textId="217E6868" w:rsidR="00F767C0" w:rsidRPr="00212AD6" w:rsidRDefault="00B569A1" w:rsidP="00F767C0">
      <w:pPr>
        <w:pStyle w:val="JuHArticle"/>
        <w:rPr>
          <w:lang w:val="pl-PL"/>
        </w:rPr>
      </w:pPr>
      <w:r>
        <w:rPr>
          <w:lang w:val="pl-PL"/>
        </w:rPr>
        <w:t>Art.</w:t>
      </w:r>
      <w:r w:rsidR="00F767C0" w:rsidRPr="00212AD6">
        <w:rPr>
          <w:lang w:val="pl-PL"/>
        </w:rPr>
        <w:t xml:space="preserve"> 62</w:t>
      </w:r>
    </w:p>
    <w:p w14:paraId="0D3D4FE9" w14:textId="77777777" w:rsidR="00F767C0" w:rsidRPr="00212AD6" w:rsidRDefault="00F767C0" w:rsidP="00F767C0">
      <w:pPr>
        <w:pStyle w:val="JuQuot"/>
        <w:rPr>
          <w:lang w:val="pl-PL"/>
        </w:rPr>
      </w:pPr>
      <w:r w:rsidRPr="00212AD6">
        <w:rPr>
          <w:lang w:val="pl-PL"/>
        </w:rPr>
        <w:t>„(1) Każdy ma prawo złożenia skargi konstytucyjnej do Trybunału Konstytucyjnego, jeżeli uzna, że decyzja organu władz państwowych, lokalnych lub regionalnych lub osoby prawnej</w:t>
      </w:r>
      <w:r w:rsidR="00613B6B" w:rsidRPr="00212AD6">
        <w:rPr>
          <w:lang w:val="pl-PL"/>
        </w:rPr>
        <w:t xml:space="preserve"> posiadającej władzę publiczną dotycząca jego praw lub obowiązków lub </w:t>
      </w:r>
      <w:r w:rsidR="001326C1">
        <w:rPr>
          <w:lang w:val="pl-PL"/>
        </w:rPr>
        <w:t>też odnośnie do podejrzenia lub oskarżenia o popełnienie przestępstwa karnego</w:t>
      </w:r>
      <w:r w:rsidRPr="00212AD6">
        <w:rPr>
          <w:lang w:val="pl-PL"/>
        </w:rPr>
        <w:t xml:space="preserve">, naruszyła jego prawa człowieka lub podstawowe </w:t>
      </w:r>
      <w:r w:rsidR="00613B6B" w:rsidRPr="00212AD6">
        <w:rPr>
          <w:lang w:val="pl-PL"/>
        </w:rPr>
        <w:t>wolności</w:t>
      </w:r>
      <w:r w:rsidRPr="00212AD6">
        <w:rPr>
          <w:lang w:val="pl-PL"/>
        </w:rPr>
        <w:t xml:space="preserve"> </w:t>
      </w:r>
      <w:r w:rsidR="00613B6B" w:rsidRPr="00212AD6">
        <w:rPr>
          <w:lang w:val="pl-PL"/>
        </w:rPr>
        <w:t>lub prawo do władz lokalnych lub regionalnych</w:t>
      </w:r>
      <w:r w:rsidRPr="00212AD6">
        <w:rPr>
          <w:lang w:val="pl-PL"/>
        </w:rPr>
        <w:t>, zagwarantowan</w:t>
      </w:r>
      <w:r w:rsidR="00613B6B" w:rsidRPr="00212AD6">
        <w:rPr>
          <w:lang w:val="pl-PL"/>
        </w:rPr>
        <w:t>e przez Konstytucję („prawa konstytucyjne”</w:t>
      </w:r>
      <w:r w:rsidRPr="00212AD6">
        <w:rPr>
          <w:lang w:val="pl-PL"/>
        </w:rPr>
        <w:t>)...</w:t>
      </w:r>
    </w:p>
    <w:p w14:paraId="042F5CF7" w14:textId="77777777" w:rsidR="00F767C0" w:rsidRPr="00212AD6" w:rsidRDefault="00F767C0" w:rsidP="00F767C0">
      <w:pPr>
        <w:pStyle w:val="JuQuot"/>
        <w:rPr>
          <w:lang w:val="pl-PL"/>
        </w:rPr>
      </w:pPr>
      <w:r w:rsidRPr="00212AD6">
        <w:rPr>
          <w:lang w:val="pl-PL"/>
        </w:rPr>
        <w:t xml:space="preserve">(2) W przypadku, gdy z tytułu naruszenia </w:t>
      </w:r>
      <w:r w:rsidR="00613B6B" w:rsidRPr="00212AD6">
        <w:rPr>
          <w:lang w:val="pl-PL"/>
        </w:rPr>
        <w:t xml:space="preserve">praw konstytucyjnych </w:t>
      </w:r>
      <w:r w:rsidRPr="00212AD6">
        <w:rPr>
          <w:lang w:val="pl-PL"/>
        </w:rPr>
        <w:t>[</w:t>
      </w:r>
      <w:r w:rsidR="00613B6B" w:rsidRPr="00212AD6">
        <w:rPr>
          <w:lang w:val="pl-PL"/>
        </w:rPr>
        <w:t>będących przedmiotem skargi</w:t>
      </w:r>
      <w:r w:rsidRPr="00212AD6">
        <w:rPr>
          <w:lang w:val="pl-PL"/>
        </w:rPr>
        <w:t>] dostępny jest inny środek odwoławczy, skarga konstytucyjna może zostać wniesiona dopiero po wyczerpaniu takiego środka odwoławczego.</w:t>
      </w:r>
    </w:p>
    <w:p w14:paraId="280E0F80" w14:textId="77777777" w:rsidR="00F767C0" w:rsidRPr="00212AD6" w:rsidRDefault="00F767C0" w:rsidP="00F767C0">
      <w:pPr>
        <w:pStyle w:val="JuQuot"/>
        <w:rPr>
          <w:lang w:val="pl-PL"/>
        </w:rPr>
      </w:pPr>
      <w:r w:rsidRPr="00212AD6">
        <w:rPr>
          <w:lang w:val="pl-PL"/>
        </w:rPr>
        <w:t xml:space="preserve">(3) </w:t>
      </w:r>
      <w:r w:rsidR="003836E3" w:rsidRPr="00212AD6">
        <w:rPr>
          <w:lang w:val="pl-PL"/>
        </w:rPr>
        <w:t>W sprawach, w których przysługuje czynność administracyjna</w:t>
      </w:r>
      <w:r w:rsidR="0068687A">
        <w:rPr>
          <w:lang w:val="pl-PL"/>
        </w:rPr>
        <w:t>,</w:t>
      </w:r>
      <w:r w:rsidR="003836E3" w:rsidRPr="00212AD6">
        <w:rPr>
          <w:lang w:val="pl-PL"/>
        </w:rPr>
        <w:t xml:space="preserve"> lub w przypadku </w:t>
      </w:r>
      <w:r w:rsidR="00B054CB">
        <w:rPr>
          <w:lang w:val="pl-PL"/>
        </w:rPr>
        <w:t>postępow</w:t>
      </w:r>
      <w:r w:rsidR="003836E3" w:rsidRPr="00212AD6">
        <w:rPr>
          <w:lang w:val="pl-PL"/>
        </w:rPr>
        <w:t xml:space="preserve">ania cywilnego i nieprocesowego </w:t>
      </w:r>
      <w:r w:rsidR="00931477">
        <w:rPr>
          <w:lang w:val="pl-PL"/>
        </w:rPr>
        <w:t xml:space="preserve">- </w:t>
      </w:r>
      <w:r w:rsidR="003836E3" w:rsidRPr="00212AD6">
        <w:rPr>
          <w:lang w:val="pl-PL"/>
        </w:rPr>
        <w:t xml:space="preserve">apelacja w kwestiach dotyczących prawa </w:t>
      </w:r>
      <w:r w:rsidRPr="00212AD6">
        <w:rPr>
          <w:lang w:val="pl-PL"/>
        </w:rPr>
        <w:t>[</w:t>
      </w:r>
      <w:proofErr w:type="spellStart"/>
      <w:r w:rsidRPr="00212AD6">
        <w:rPr>
          <w:i/>
          <w:lang w:val="pl-PL"/>
        </w:rPr>
        <w:t>revizija</w:t>
      </w:r>
      <w:proofErr w:type="spellEnd"/>
      <w:r w:rsidRPr="00212AD6">
        <w:rPr>
          <w:lang w:val="pl-PL"/>
        </w:rPr>
        <w:t>]</w:t>
      </w:r>
      <w:r w:rsidR="003836E3" w:rsidRPr="00212AD6">
        <w:rPr>
          <w:lang w:val="pl-PL"/>
        </w:rPr>
        <w:t>, środki odwoławcze uważa się za wyczerpane dopiero po wydaniu decyzji dotyczącej takich prawnych środków odwoławczych</w:t>
      </w:r>
      <w:r w:rsidRPr="00212AD6">
        <w:rPr>
          <w:lang w:val="pl-PL"/>
        </w:rPr>
        <w:t>.”</w:t>
      </w:r>
      <w:bookmarkStart w:id="9" w:name="cl68"/>
      <w:bookmarkEnd w:id="9"/>
    </w:p>
    <w:p w14:paraId="3E757BF0" w14:textId="0978221F" w:rsidR="00F767C0" w:rsidRPr="00212AD6" w:rsidRDefault="00B569A1" w:rsidP="00F767C0">
      <w:pPr>
        <w:pStyle w:val="JuHArticle"/>
        <w:rPr>
          <w:lang w:val="pl-PL"/>
        </w:rPr>
      </w:pPr>
      <w:r>
        <w:rPr>
          <w:lang w:val="pl-PL"/>
        </w:rPr>
        <w:t>Art.</w:t>
      </w:r>
      <w:r w:rsidR="00F767C0" w:rsidRPr="00212AD6">
        <w:rPr>
          <w:lang w:val="pl-PL"/>
        </w:rPr>
        <w:t xml:space="preserve"> 67</w:t>
      </w:r>
    </w:p>
    <w:p w14:paraId="3C20893E" w14:textId="77777777" w:rsidR="00F767C0" w:rsidRPr="00212AD6" w:rsidRDefault="00F767C0" w:rsidP="00F767C0">
      <w:pPr>
        <w:pStyle w:val="JuQuot"/>
        <w:rPr>
          <w:lang w:val="pl-PL"/>
        </w:rPr>
      </w:pPr>
      <w:r w:rsidRPr="00212AD6">
        <w:rPr>
          <w:lang w:val="pl-PL"/>
        </w:rPr>
        <w:t xml:space="preserve"> </w:t>
      </w:r>
      <w:r w:rsidR="00CB0D00" w:rsidRPr="00212AD6">
        <w:rPr>
          <w:lang w:val="pl-PL"/>
        </w:rPr>
        <w:t>„</w:t>
      </w:r>
      <w:r w:rsidRPr="00212AD6">
        <w:rPr>
          <w:lang w:val="pl-PL"/>
        </w:rPr>
        <w:t xml:space="preserve">(1) </w:t>
      </w:r>
      <w:r w:rsidR="003836E3" w:rsidRPr="00212AD6">
        <w:rPr>
          <w:lang w:val="pl-PL"/>
        </w:rPr>
        <w:t>Co do zasady s</w:t>
      </w:r>
      <w:r w:rsidRPr="00212AD6">
        <w:rPr>
          <w:lang w:val="pl-PL"/>
        </w:rPr>
        <w:t>karg</w:t>
      </w:r>
      <w:r w:rsidR="00CB0D00" w:rsidRPr="00212AD6">
        <w:rPr>
          <w:lang w:val="pl-PL"/>
        </w:rPr>
        <w:t>a</w:t>
      </w:r>
      <w:r w:rsidRPr="00212AD6">
        <w:rPr>
          <w:lang w:val="pl-PL"/>
        </w:rPr>
        <w:t xml:space="preserve"> konstytucyjn</w:t>
      </w:r>
      <w:r w:rsidR="00CB0D00" w:rsidRPr="00212AD6">
        <w:rPr>
          <w:lang w:val="pl-PL"/>
        </w:rPr>
        <w:t>a</w:t>
      </w:r>
      <w:r w:rsidR="003836E3" w:rsidRPr="00212AD6">
        <w:rPr>
          <w:lang w:val="pl-PL"/>
        </w:rPr>
        <w:t xml:space="preserve"> nie uniemożliwia wykonania zaskarżonej decyzji</w:t>
      </w:r>
      <w:r w:rsidRPr="00212AD6">
        <w:rPr>
          <w:lang w:val="pl-PL"/>
        </w:rPr>
        <w:t>.</w:t>
      </w:r>
    </w:p>
    <w:p w14:paraId="473DEE4F" w14:textId="77777777" w:rsidR="00F767C0" w:rsidRPr="00212AD6" w:rsidRDefault="003836E3" w:rsidP="003836E3">
      <w:pPr>
        <w:pStyle w:val="JuQuot"/>
        <w:rPr>
          <w:lang w:val="pl-PL"/>
        </w:rPr>
      </w:pPr>
      <w:r w:rsidRPr="00212AD6">
        <w:rPr>
          <w:lang w:val="pl-PL"/>
        </w:rPr>
        <w:t xml:space="preserve">(2) </w:t>
      </w:r>
      <w:r w:rsidR="00F767C0" w:rsidRPr="00212AD6">
        <w:rPr>
          <w:lang w:val="pl-PL"/>
        </w:rPr>
        <w:t>Trybunał Konstytucyjny</w:t>
      </w:r>
      <w:r w:rsidRPr="00212AD6">
        <w:rPr>
          <w:lang w:val="pl-PL"/>
        </w:rPr>
        <w:t xml:space="preserve"> może</w:t>
      </w:r>
      <w:r w:rsidR="00F767C0" w:rsidRPr="00212AD6">
        <w:rPr>
          <w:lang w:val="pl-PL"/>
        </w:rPr>
        <w:t xml:space="preserve">, </w:t>
      </w:r>
      <w:r w:rsidRPr="00212AD6">
        <w:rPr>
          <w:lang w:val="pl-PL"/>
        </w:rPr>
        <w:t>na prośbę skarżącego, wstrzymać wykonanie [zaskarżonej decyzji</w:t>
      </w:r>
      <w:r w:rsidR="00F767C0" w:rsidRPr="00212AD6">
        <w:rPr>
          <w:lang w:val="pl-PL"/>
        </w:rPr>
        <w:t xml:space="preserve">] </w:t>
      </w:r>
      <w:r w:rsidRPr="00212AD6">
        <w:rPr>
          <w:lang w:val="pl-PL"/>
        </w:rPr>
        <w:t xml:space="preserve">do czasu podjęcia decyzji w sprawie </w:t>
      </w:r>
      <w:r w:rsidR="00F767C0" w:rsidRPr="00212AD6">
        <w:rPr>
          <w:lang w:val="pl-PL"/>
        </w:rPr>
        <w:t>skarg</w:t>
      </w:r>
      <w:r w:rsidRPr="00212AD6">
        <w:rPr>
          <w:lang w:val="pl-PL"/>
        </w:rPr>
        <w:t>i</w:t>
      </w:r>
      <w:r w:rsidR="00F767C0" w:rsidRPr="00212AD6">
        <w:rPr>
          <w:lang w:val="pl-PL"/>
        </w:rPr>
        <w:t xml:space="preserve"> konstytucyjn</w:t>
      </w:r>
      <w:r w:rsidRPr="00212AD6">
        <w:rPr>
          <w:lang w:val="pl-PL"/>
        </w:rPr>
        <w:t>ej</w:t>
      </w:r>
      <w:r w:rsidR="00F767C0" w:rsidRPr="00212AD6">
        <w:rPr>
          <w:lang w:val="pl-PL"/>
        </w:rPr>
        <w:t xml:space="preserve">, </w:t>
      </w:r>
      <w:r w:rsidRPr="00212AD6">
        <w:rPr>
          <w:lang w:val="pl-PL"/>
        </w:rPr>
        <w:t>jeżeli wykonanie decyzji mogłoby spowodować dla skarżącego trudne do naprawy szkody, a wstrzymanie nie jest niezgodne z interesem publicznym i nie spowoduje poważniejszych szkód innych osób</w:t>
      </w:r>
      <w:r w:rsidR="00F767C0" w:rsidRPr="00212AD6">
        <w:rPr>
          <w:lang w:val="pl-PL"/>
        </w:rPr>
        <w:t>.”</w:t>
      </w:r>
    </w:p>
    <w:p w14:paraId="2DEC1DEC" w14:textId="60C1A58C" w:rsidR="00F767C0" w:rsidRPr="00212AD6" w:rsidRDefault="00B569A1" w:rsidP="00F767C0">
      <w:pPr>
        <w:pStyle w:val="JuHArticle"/>
        <w:rPr>
          <w:lang w:val="pl-PL"/>
        </w:rPr>
      </w:pPr>
      <w:r>
        <w:rPr>
          <w:lang w:val="pl-PL"/>
        </w:rPr>
        <w:lastRenderedPageBreak/>
        <w:t>Art.</w:t>
      </w:r>
      <w:r w:rsidR="00F767C0" w:rsidRPr="00212AD6">
        <w:rPr>
          <w:lang w:val="pl-PL"/>
        </w:rPr>
        <w:t xml:space="preserve"> 68</w:t>
      </w:r>
    </w:p>
    <w:p w14:paraId="5644BCAD" w14:textId="77777777" w:rsidR="00F767C0" w:rsidRPr="00212AD6" w:rsidRDefault="00F767C0" w:rsidP="00F767C0">
      <w:pPr>
        <w:pStyle w:val="JuQuot"/>
        <w:rPr>
          <w:lang w:val="pl-PL"/>
        </w:rPr>
      </w:pPr>
      <w:r w:rsidRPr="00212AD6">
        <w:rPr>
          <w:lang w:val="pl-PL"/>
        </w:rPr>
        <w:t>„(1)  </w:t>
      </w:r>
      <w:r w:rsidR="003836E3" w:rsidRPr="00212AD6">
        <w:rPr>
          <w:lang w:val="pl-PL"/>
        </w:rPr>
        <w:t xml:space="preserve">W sprawie skargi konstytucyjnej </w:t>
      </w:r>
      <w:r w:rsidR="00067E78" w:rsidRPr="00212AD6">
        <w:rPr>
          <w:lang w:val="pl-PL"/>
        </w:rPr>
        <w:t>orzeka skład</w:t>
      </w:r>
      <w:r w:rsidR="003836E3" w:rsidRPr="00212AD6">
        <w:rPr>
          <w:lang w:val="pl-PL"/>
        </w:rPr>
        <w:t xml:space="preserve"> sześciu sędziów</w:t>
      </w:r>
      <w:r w:rsidRPr="00212AD6">
        <w:rPr>
          <w:lang w:val="pl-PL"/>
        </w:rPr>
        <w:t>.</w:t>
      </w:r>
    </w:p>
    <w:p w14:paraId="26071FCD" w14:textId="77777777" w:rsidR="00F767C0" w:rsidRPr="00212AD6" w:rsidRDefault="00F767C0" w:rsidP="00F767C0">
      <w:pPr>
        <w:pStyle w:val="JuQuot"/>
        <w:jc w:val="left"/>
        <w:rPr>
          <w:lang w:val="pl-PL"/>
        </w:rPr>
      </w:pPr>
      <w:r w:rsidRPr="00212AD6">
        <w:rPr>
          <w:lang w:val="pl-PL"/>
        </w:rPr>
        <w:t>(2)  ...</w:t>
      </w:r>
    </w:p>
    <w:p w14:paraId="7A5BC4F9" w14:textId="77777777" w:rsidR="00F767C0" w:rsidRPr="00212AD6" w:rsidRDefault="00F767C0" w:rsidP="00F767C0">
      <w:pPr>
        <w:pStyle w:val="JuQuot"/>
        <w:rPr>
          <w:lang w:val="pl-PL"/>
        </w:rPr>
      </w:pPr>
      <w:r w:rsidRPr="00212AD6">
        <w:rPr>
          <w:lang w:val="pl-PL"/>
        </w:rPr>
        <w:t>(3)  </w:t>
      </w:r>
      <w:r w:rsidR="00067E78" w:rsidRPr="00212AD6">
        <w:rPr>
          <w:lang w:val="pl-PL"/>
        </w:rPr>
        <w:t xml:space="preserve">Skład orzekający </w:t>
      </w:r>
      <w:r w:rsidRPr="00212AD6">
        <w:rPr>
          <w:lang w:val="pl-PL"/>
        </w:rPr>
        <w:t>m</w:t>
      </w:r>
      <w:r w:rsidR="003836E3" w:rsidRPr="00212AD6">
        <w:rPr>
          <w:lang w:val="pl-PL"/>
        </w:rPr>
        <w:t xml:space="preserve">oże </w:t>
      </w:r>
      <w:r w:rsidR="00067E78" w:rsidRPr="00212AD6">
        <w:rPr>
          <w:lang w:val="pl-PL"/>
        </w:rPr>
        <w:t xml:space="preserve">orzekać </w:t>
      </w:r>
      <w:r w:rsidR="003836E3" w:rsidRPr="00212AD6">
        <w:rPr>
          <w:lang w:val="pl-PL"/>
        </w:rPr>
        <w:t>wyłącznie jednogłośnie i w obecności wszystkich członków</w:t>
      </w:r>
      <w:r w:rsidRPr="00212AD6">
        <w:rPr>
          <w:lang w:val="pl-PL"/>
        </w:rPr>
        <w:t>.</w:t>
      </w:r>
    </w:p>
    <w:p w14:paraId="2DA08BEE" w14:textId="77777777" w:rsidR="00F767C0" w:rsidRPr="00212AD6" w:rsidRDefault="00F767C0" w:rsidP="00F767C0">
      <w:pPr>
        <w:pStyle w:val="JuQuot"/>
        <w:rPr>
          <w:lang w:val="pl-PL"/>
        </w:rPr>
      </w:pPr>
      <w:r w:rsidRPr="00212AD6">
        <w:rPr>
          <w:lang w:val="pl-PL"/>
        </w:rPr>
        <w:t>(4)  </w:t>
      </w:r>
      <w:r w:rsidR="003836E3" w:rsidRPr="00212AD6">
        <w:rPr>
          <w:lang w:val="pl-PL"/>
        </w:rPr>
        <w:t xml:space="preserve">Jeżeli </w:t>
      </w:r>
      <w:r w:rsidR="00067E78" w:rsidRPr="00212AD6">
        <w:rPr>
          <w:lang w:val="pl-PL"/>
        </w:rPr>
        <w:t>skład orzekający</w:t>
      </w:r>
      <w:r w:rsidRPr="00212AD6">
        <w:rPr>
          <w:lang w:val="pl-PL"/>
        </w:rPr>
        <w:t xml:space="preserve"> </w:t>
      </w:r>
      <w:r w:rsidR="00067E78" w:rsidRPr="00212AD6">
        <w:rPr>
          <w:lang w:val="pl-PL"/>
        </w:rPr>
        <w:t xml:space="preserve">nie orzeknie jednogłośnie lub uzna kwestię </w:t>
      </w:r>
      <w:r w:rsidRPr="00212AD6">
        <w:rPr>
          <w:lang w:val="pl-PL"/>
        </w:rPr>
        <w:t>[</w:t>
      </w:r>
      <w:r w:rsidR="00067E78" w:rsidRPr="00212AD6">
        <w:rPr>
          <w:lang w:val="pl-PL"/>
        </w:rPr>
        <w:t>poruszoną</w:t>
      </w:r>
      <w:r w:rsidRPr="00212AD6">
        <w:rPr>
          <w:lang w:val="pl-PL"/>
        </w:rPr>
        <w:t xml:space="preserve">] </w:t>
      </w:r>
      <w:r w:rsidR="00067E78" w:rsidRPr="00212AD6">
        <w:rPr>
          <w:lang w:val="pl-PL"/>
        </w:rPr>
        <w:t xml:space="preserve">w </w:t>
      </w:r>
      <w:r w:rsidRPr="00212AD6">
        <w:rPr>
          <w:lang w:val="pl-PL"/>
        </w:rPr>
        <w:t>skar</w:t>
      </w:r>
      <w:r w:rsidR="00067E78" w:rsidRPr="00212AD6">
        <w:rPr>
          <w:lang w:val="pl-PL"/>
        </w:rPr>
        <w:t>dze</w:t>
      </w:r>
      <w:r w:rsidRPr="00212AD6">
        <w:rPr>
          <w:lang w:val="pl-PL"/>
        </w:rPr>
        <w:t xml:space="preserve"> konstytucyjn</w:t>
      </w:r>
      <w:r w:rsidR="00067E78" w:rsidRPr="00212AD6">
        <w:rPr>
          <w:lang w:val="pl-PL"/>
        </w:rPr>
        <w:t xml:space="preserve">ej za kwestię o szerszym znaczeniu, o skardze orzeka zgromadzenie </w:t>
      </w:r>
      <w:r w:rsidRPr="00212AD6">
        <w:rPr>
          <w:lang w:val="pl-PL"/>
        </w:rPr>
        <w:t>Trybunału Konstytucyjnego</w:t>
      </w:r>
      <w:r w:rsidR="00067E78" w:rsidRPr="00212AD6">
        <w:rPr>
          <w:lang w:val="pl-PL"/>
        </w:rPr>
        <w:t xml:space="preserve"> w pełnym składzie</w:t>
      </w:r>
      <w:r w:rsidRPr="00212AD6">
        <w:rPr>
          <w:lang w:val="pl-PL"/>
        </w:rPr>
        <w:t>.”</w:t>
      </w:r>
    </w:p>
    <w:p w14:paraId="0324EC87" w14:textId="7FF8E517" w:rsidR="00F767C0" w:rsidRPr="00212AD6" w:rsidRDefault="00B569A1" w:rsidP="00F767C0">
      <w:pPr>
        <w:pStyle w:val="JuHArticle"/>
        <w:rPr>
          <w:lang w:val="pl-PL"/>
        </w:rPr>
      </w:pPr>
      <w:r>
        <w:rPr>
          <w:lang w:val="pl-PL"/>
        </w:rPr>
        <w:t>Art.</w:t>
      </w:r>
      <w:r w:rsidR="00F767C0" w:rsidRPr="00212AD6">
        <w:rPr>
          <w:lang w:val="pl-PL"/>
        </w:rPr>
        <w:t xml:space="preserve"> 69</w:t>
      </w:r>
    </w:p>
    <w:p w14:paraId="3A9299F6" w14:textId="77777777" w:rsidR="00F767C0" w:rsidRPr="00212AD6" w:rsidRDefault="00067E78" w:rsidP="00F767C0">
      <w:pPr>
        <w:pStyle w:val="JuQuot"/>
        <w:rPr>
          <w:lang w:val="pl-PL"/>
        </w:rPr>
      </w:pPr>
      <w:r w:rsidRPr="00212AD6">
        <w:rPr>
          <w:lang w:val="pl-PL"/>
        </w:rPr>
        <w:t>„Sędzia sprawozdawca</w:t>
      </w:r>
      <w:r w:rsidR="00F767C0" w:rsidRPr="00212AD6">
        <w:rPr>
          <w:lang w:val="pl-PL"/>
        </w:rPr>
        <w:t>:</w:t>
      </w:r>
    </w:p>
    <w:p w14:paraId="25293E93" w14:textId="77777777" w:rsidR="00F767C0" w:rsidRPr="00212AD6" w:rsidRDefault="00F767C0" w:rsidP="00F767C0">
      <w:pPr>
        <w:pStyle w:val="JuQuot"/>
        <w:rPr>
          <w:lang w:val="pl-PL"/>
        </w:rPr>
      </w:pPr>
      <w:r w:rsidRPr="00212AD6">
        <w:rPr>
          <w:lang w:val="pl-PL"/>
        </w:rPr>
        <w:t>- ...</w:t>
      </w:r>
    </w:p>
    <w:p w14:paraId="3A524D77" w14:textId="77777777" w:rsidR="00F767C0" w:rsidRPr="00212AD6" w:rsidRDefault="00F767C0" w:rsidP="00F767C0">
      <w:pPr>
        <w:pStyle w:val="JuQuot"/>
        <w:keepNext/>
        <w:keepLines/>
        <w:rPr>
          <w:lang w:val="pl-PL"/>
        </w:rPr>
      </w:pPr>
      <w:r w:rsidRPr="00212AD6">
        <w:rPr>
          <w:lang w:val="pl-PL"/>
        </w:rPr>
        <w:t>-</w:t>
      </w:r>
      <w:r w:rsidR="005A44DC" w:rsidRPr="00212AD6">
        <w:rPr>
          <w:lang w:val="pl-PL"/>
        </w:rPr>
        <w:t xml:space="preserve"> w razie potrzeby, doręcza kopię </w:t>
      </w:r>
      <w:r w:rsidRPr="00212AD6">
        <w:rPr>
          <w:lang w:val="pl-PL"/>
        </w:rPr>
        <w:t>skarg</w:t>
      </w:r>
      <w:r w:rsidR="005A44DC" w:rsidRPr="00212AD6">
        <w:rPr>
          <w:lang w:val="pl-PL"/>
        </w:rPr>
        <w:t>i</w:t>
      </w:r>
      <w:r w:rsidRPr="00212AD6">
        <w:rPr>
          <w:lang w:val="pl-PL"/>
        </w:rPr>
        <w:t xml:space="preserve"> konstytucyjn</w:t>
      </w:r>
      <w:r w:rsidR="005A44DC" w:rsidRPr="00212AD6">
        <w:rPr>
          <w:lang w:val="pl-PL"/>
        </w:rPr>
        <w:t>ej osobom za</w:t>
      </w:r>
      <w:r w:rsidRPr="00212AD6">
        <w:rPr>
          <w:lang w:val="pl-PL"/>
        </w:rPr>
        <w:t>interes</w:t>
      </w:r>
      <w:r w:rsidR="005A44DC" w:rsidRPr="00212AD6">
        <w:rPr>
          <w:lang w:val="pl-PL"/>
        </w:rPr>
        <w:t>owanym i zaprasza je do udzielenia odpowiedzi</w:t>
      </w:r>
      <w:r w:rsidRPr="00212AD6">
        <w:rPr>
          <w:lang w:val="pl-PL"/>
        </w:rPr>
        <w:t>,</w:t>
      </w:r>
    </w:p>
    <w:p w14:paraId="0272B3B0" w14:textId="77777777" w:rsidR="00F767C0" w:rsidRPr="00212AD6" w:rsidRDefault="00F767C0" w:rsidP="00F767C0">
      <w:pPr>
        <w:pStyle w:val="JuQuot"/>
        <w:keepNext/>
        <w:keepLines/>
        <w:rPr>
          <w:lang w:val="pl-PL"/>
        </w:rPr>
      </w:pPr>
      <w:r w:rsidRPr="00212AD6">
        <w:rPr>
          <w:lang w:val="pl-PL"/>
        </w:rPr>
        <w:t>...”</w:t>
      </w:r>
    </w:p>
    <w:p w14:paraId="0564182B" w14:textId="0A799F84" w:rsidR="00F767C0" w:rsidRPr="00212AD6" w:rsidRDefault="00F767C0" w:rsidP="00F767C0">
      <w:pPr>
        <w:pStyle w:val="JuPara"/>
        <w:rPr>
          <w:lang w:val="pl-PL"/>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26</w:t>
      </w:r>
      <w:r w:rsidRPr="00212AD6">
        <w:rPr>
          <w:lang w:val="pl-PL"/>
        </w:rPr>
        <w:fldChar w:fldCharType="end"/>
      </w:r>
      <w:r w:rsidRPr="00212AD6">
        <w:rPr>
          <w:lang w:val="pl-PL"/>
        </w:rPr>
        <w:t>.  </w:t>
      </w:r>
      <w:r w:rsidR="00B569A1">
        <w:rPr>
          <w:lang w:val="pl-PL"/>
        </w:rPr>
        <w:t>Art.</w:t>
      </w:r>
      <w:r w:rsidR="005A44DC" w:rsidRPr="00212AD6">
        <w:rPr>
          <w:lang w:val="pl-PL"/>
        </w:rPr>
        <w:t xml:space="preserve"> 72 stanowi, że w przypadku, gdy </w:t>
      </w:r>
      <w:r w:rsidRPr="00212AD6">
        <w:rPr>
          <w:lang w:val="pl-PL"/>
        </w:rPr>
        <w:t>skarg</w:t>
      </w:r>
      <w:r w:rsidR="005A44DC" w:rsidRPr="00212AD6">
        <w:rPr>
          <w:lang w:val="pl-PL"/>
        </w:rPr>
        <w:t>a</w:t>
      </w:r>
      <w:r w:rsidRPr="00212AD6">
        <w:rPr>
          <w:lang w:val="pl-PL"/>
        </w:rPr>
        <w:t xml:space="preserve"> konstytucyjn</w:t>
      </w:r>
      <w:r w:rsidR="005A44DC" w:rsidRPr="00212AD6">
        <w:rPr>
          <w:lang w:val="pl-PL"/>
        </w:rPr>
        <w:t>a zostanie rozpatrzona na korzyść skarżącego</w:t>
      </w:r>
      <w:r w:rsidR="00931477">
        <w:rPr>
          <w:lang w:val="pl-PL"/>
        </w:rPr>
        <w:t>,</w:t>
      </w:r>
      <w:r w:rsidR="005A44DC" w:rsidRPr="00212AD6">
        <w:rPr>
          <w:lang w:val="pl-PL"/>
        </w:rPr>
        <w:t xml:space="preserve"> Trybunał Konstytucyjny ma obowiązek uch</w:t>
      </w:r>
      <w:r w:rsidRPr="00212AD6">
        <w:rPr>
          <w:lang w:val="pl-PL"/>
        </w:rPr>
        <w:t xml:space="preserve">ylić zaskarżoną decyzję i przekazać sprawę do </w:t>
      </w:r>
      <w:r w:rsidR="005A44DC" w:rsidRPr="00212AD6">
        <w:rPr>
          <w:lang w:val="pl-PL"/>
        </w:rPr>
        <w:t>ponownego</w:t>
      </w:r>
      <w:r w:rsidRPr="00212AD6">
        <w:rPr>
          <w:lang w:val="pl-PL"/>
        </w:rPr>
        <w:t xml:space="preserve"> rozpoznania przez właściwe władze.</w:t>
      </w:r>
    </w:p>
    <w:p w14:paraId="6BFFEA0F" w14:textId="77777777" w:rsidR="00F767C0" w:rsidRPr="00212AD6" w:rsidRDefault="00F767C0" w:rsidP="00F767C0">
      <w:pPr>
        <w:pStyle w:val="JuHa0"/>
        <w:rPr>
          <w:lang w:val="pl-PL"/>
        </w:rPr>
      </w:pPr>
      <w:r w:rsidRPr="00212AD6">
        <w:rPr>
          <w:lang w:val="pl-PL"/>
        </w:rPr>
        <w:t>(b)  Praktyka Trybunału Konstytucyjnego</w:t>
      </w:r>
    </w:p>
    <w:p w14:paraId="53C33A60" w14:textId="0BDEAD63" w:rsidR="00F767C0" w:rsidRPr="00212AD6" w:rsidRDefault="00F767C0" w:rsidP="00F767C0">
      <w:pPr>
        <w:pStyle w:val="JuPara"/>
        <w:rPr>
          <w:lang w:val="pl-PL"/>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27</w:t>
      </w:r>
      <w:r w:rsidRPr="00212AD6">
        <w:rPr>
          <w:lang w:val="pl-PL"/>
        </w:rPr>
        <w:fldChar w:fldCharType="end"/>
      </w:r>
      <w:r w:rsidRPr="00212AD6">
        <w:rPr>
          <w:lang w:val="pl-PL"/>
        </w:rPr>
        <w:t xml:space="preserve">.  W dniu 8 kwietnia 2011 r. Trybunał Konstytucyjny po raz pierwszy w swojej historii przeprowadził jawną rozprawę w postępowaniu prowadzonym na podstawie </w:t>
      </w:r>
      <w:r w:rsidR="00FD3F8F" w:rsidRPr="00212AD6">
        <w:rPr>
          <w:lang w:val="pl-PL"/>
        </w:rPr>
        <w:t>indywidualnej skargi</w:t>
      </w:r>
      <w:r w:rsidRPr="00212AD6">
        <w:rPr>
          <w:lang w:val="pl-PL"/>
        </w:rPr>
        <w:t xml:space="preserve"> </w:t>
      </w:r>
      <w:r w:rsidR="005A44DC" w:rsidRPr="00212AD6">
        <w:rPr>
          <w:lang w:val="pl-PL"/>
        </w:rPr>
        <w:t>konstytucyjnej. Skarżący, pan</w:t>
      </w:r>
      <w:r w:rsidRPr="00212AD6">
        <w:rPr>
          <w:lang w:val="pl-PL"/>
        </w:rPr>
        <w:t xml:space="preserve"> P.T., który </w:t>
      </w:r>
      <w:r w:rsidR="005A44DC" w:rsidRPr="00212AD6">
        <w:rPr>
          <w:lang w:val="pl-PL"/>
        </w:rPr>
        <w:t>uczył</w:t>
      </w:r>
      <w:r w:rsidRPr="00212AD6">
        <w:rPr>
          <w:lang w:val="pl-PL"/>
        </w:rPr>
        <w:t xml:space="preserve"> religii (katolickiej) w szkole publicznej, został zwolniony z pracy, ponieważ </w:t>
      </w:r>
      <w:r w:rsidR="005A44DC" w:rsidRPr="00212AD6">
        <w:rPr>
          <w:lang w:val="pl-PL"/>
        </w:rPr>
        <w:t xml:space="preserve">po zawarciu przez niego po raz drugi związku małżeńskiego </w:t>
      </w:r>
      <w:r w:rsidRPr="00212AD6">
        <w:rPr>
          <w:lang w:val="pl-PL"/>
        </w:rPr>
        <w:t xml:space="preserve">Kościół Katolicki </w:t>
      </w:r>
      <w:r w:rsidR="005A44DC" w:rsidRPr="00212AD6">
        <w:rPr>
          <w:lang w:val="pl-PL"/>
        </w:rPr>
        <w:t>cofnął kanoniczne uprawnienie do nauczania katechezy</w:t>
      </w:r>
      <w:r w:rsidRPr="00212AD6">
        <w:rPr>
          <w:lang w:val="pl-PL"/>
        </w:rPr>
        <w:t xml:space="preserve">. Prezes Trybunału Konstytucyjnego wyjaśnił decyzję </w:t>
      </w:r>
      <w:r w:rsidR="005A44DC" w:rsidRPr="00212AD6">
        <w:rPr>
          <w:lang w:val="pl-PL"/>
        </w:rPr>
        <w:t xml:space="preserve">o przeprowadzeniu </w:t>
      </w:r>
      <w:r w:rsidR="004979CB">
        <w:rPr>
          <w:lang w:val="pl-PL"/>
        </w:rPr>
        <w:t xml:space="preserve">jawnej </w:t>
      </w:r>
      <w:r w:rsidRPr="00212AD6">
        <w:rPr>
          <w:lang w:val="pl-PL"/>
        </w:rPr>
        <w:t>rozpraw</w:t>
      </w:r>
      <w:r w:rsidR="005A44DC" w:rsidRPr="00212AD6">
        <w:rPr>
          <w:lang w:val="pl-PL"/>
        </w:rPr>
        <w:t>y</w:t>
      </w:r>
      <w:r w:rsidRPr="00212AD6">
        <w:rPr>
          <w:lang w:val="pl-PL"/>
        </w:rPr>
        <w:t xml:space="preserve">, </w:t>
      </w:r>
      <w:r w:rsidR="00931477">
        <w:rPr>
          <w:lang w:val="pl-PL"/>
        </w:rPr>
        <w:t>stwierdzaj</w:t>
      </w:r>
      <w:r w:rsidRPr="00212AD6">
        <w:rPr>
          <w:lang w:val="pl-PL"/>
        </w:rPr>
        <w:t>ąc, że decyzja Trybunału Konstytucyjnego w tej sprawie „[wykracza] poza granice konkretnej sprawy” i „[będzie mieć wpływ] na stosunki ze wspólnotami religijnymi w przyszłości”.</w:t>
      </w:r>
    </w:p>
    <w:p w14:paraId="03A34607" w14:textId="77777777" w:rsidR="00F767C0" w:rsidRPr="00212AD6" w:rsidRDefault="00F767C0" w:rsidP="00F767C0">
      <w:pPr>
        <w:pStyle w:val="JuH1"/>
        <w:rPr>
          <w:lang w:val="pl-PL"/>
        </w:rPr>
      </w:pPr>
      <w:r w:rsidRPr="00212AD6">
        <w:rPr>
          <w:lang w:val="pl-PL"/>
        </w:rPr>
        <w:t>2.  Regulamin Trybunału Konstytucyjnego</w:t>
      </w:r>
    </w:p>
    <w:p w14:paraId="29C22328" w14:textId="77777777" w:rsidR="00F767C0" w:rsidRPr="00212AD6" w:rsidRDefault="00F767C0" w:rsidP="00F767C0">
      <w:pPr>
        <w:pStyle w:val="JuPara"/>
        <w:rPr>
          <w:lang w:val="pl-PL"/>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28</w:t>
      </w:r>
      <w:r w:rsidRPr="00212AD6">
        <w:rPr>
          <w:lang w:val="pl-PL"/>
        </w:rPr>
        <w:fldChar w:fldCharType="end"/>
      </w:r>
      <w:r w:rsidRPr="00212AD6">
        <w:rPr>
          <w:lang w:val="pl-PL"/>
        </w:rPr>
        <w:t>.  Właściwe przepisy Regulaminu Trybunału Konstytucyjnego (</w:t>
      </w:r>
      <w:proofErr w:type="spellStart"/>
      <w:r w:rsidRPr="00212AD6">
        <w:rPr>
          <w:i/>
          <w:lang w:val="pl-PL"/>
        </w:rPr>
        <w:t>Poslovnik</w:t>
      </w:r>
      <w:proofErr w:type="spellEnd"/>
      <w:r w:rsidRPr="00212AD6">
        <w:rPr>
          <w:i/>
          <w:lang w:val="pl-PL"/>
        </w:rPr>
        <w:t xml:space="preserve"> </w:t>
      </w:r>
      <w:proofErr w:type="spellStart"/>
      <w:r w:rsidRPr="00212AD6">
        <w:rPr>
          <w:i/>
          <w:lang w:val="pl-PL"/>
        </w:rPr>
        <w:t>Ustavnog</w:t>
      </w:r>
      <w:proofErr w:type="spellEnd"/>
      <w:r w:rsidRPr="00212AD6">
        <w:rPr>
          <w:i/>
          <w:lang w:val="pl-PL"/>
        </w:rPr>
        <w:t xml:space="preserve"> </w:t>
      </w:r>
      <w:proofErr w:type="spellStart"/>
      <w:r w:rsidRPr="00212AD6">
        <w:rPr>
          <w:i/>
          <w:lang w:val="pl-PL"/>
        </w:rPr>
        <w:t>suda</w:t>
      </w:r>
      <w:proofErr w:type="spellEnd"/>
      <w:r w:rsidRPr="00212AD6">
        <w:rPr>
          <w:i/>
          <w:lang w:val="pl-PL"/>
        </w:rPr>
        <w:t xml:space="preserve"> </w:t>
      </w:r>
      <w:proofErr w:type="spellStart"/>
      <w:r w:rsidRPr="00212AD6">
        <w:rPr>
          <w:i/>
          <w:lang w:val="pl-PL"/>
        </w:rPr>
        <w:t>Republike</w:t>
      </w:r>
      <w:proofErr w:type="spellEnd"/>
      <w:r w:rsidRPr="00212AD6">
        <w:rPr>
          <w:i/>
          <w:lang w:val="pl-PL"/>
        </w:rPr>
        <w:t xml:space="preserve"> </w:t>
      </w:r>
      <w:proofErr w:type="spellStart"/>
      <w:r w:rsidRPr="00212AD6">
        <w:rPr>
          <w:i/>
          <w:lang w:val="pl-PL"/>
        </w:rPr>
        <w:t>Hrvatske</w:t>
      </w:r>
      <w:proofErr w:type="spellEnd"/>
      <w:r w:rsidRPr="00212AD6">
        <w:rPr>
          <w:i/>
          <w:lang w:val="pl-PL"/>
        </w:rPr>
        <w:t>,</w:t>
      </w:r>
      <w:r w:rsidRPr="00212AD6">
        <w:rPr>
          <w:lang w:val="pl-PL"/>
        </w:rPr>
        <w:t xml:space="preserve"> Dziennik Urzędowy Republiki Chorwacji nr 181/2003 i 30/2008 – „Regulamin Trybunału Konstytucyjnego”) brzmi następująco:</w:t>
      </w:r>
    </w:p>
    <w:p w14:paraId="17CB7A3E" w14:textId="76E93DAD" w:rsidR="00F767C0" w:rsidRPr="00212AD6" w:rsidRDefault="00B569A1" w:rsidP="00F767C0">
      <w:pPr>
        <w:pStyle w:val="JuHArticle"/>
        <w:rPr>
          <w:lang w:val="pl-PL"/>
        </w:rPr>
      </w:pPr>
      <w:r>
        <w:rPr>
          <w:lang w:val="pl-PL"/>
        </w:rPr>
        <w:t>Art.</w:t>
      </w:r>
      <w:r w:rsidR="005D13EF">
        <w:rPr>
          <w:lang w:val="pl-PL"/>
        </w:rPr>
        <w:t xml:space="preserve"> </w:t>
      </w:r>
      <w:r w:rsidR="00F767C0" w:rsidRPr="00212AD6">
        <w:rPr>
          <w:lang w:val="pl-PL"/>
        </w:rPr>
        <w:t>31</w:t>
      </w:r>
    </w:p>
    <w:p w14:paraId="741D65A7" w14:textId="77777777" w:rsidR="00F767C0" w:rsidRPr="00212AD6" w:rsidRDefault="00F767C0" w:rsidP="00F767C0">
      <w:pPr>
        <w:pStyle w:val="JuQuot"/>
        <w:rPr>
          <w:color w:val="000000"/>
          <w:lang w:val="pl-PL"/>
        </w:rPr>
      </w:pPr>
      <w:r w:rsidRPr="00212AD6">
        <w:rPr>
          <w:color w:val="000000"/>
          <w:lang w:val="pl-PL"/>
        </w:rPr>
        <w:t>„(1) W postępowaniu przed Trybunałem Konstytucyjnym ... sędzi</w:t>
      </w:r>
      <w:r w:rsidR="00931477">
        <w:rPr>
          <w:color w:val="000000"/>
          <w:lang w:val="pl-PL"/>
        </w:rPr>
        <w:t>a sprawozdawca jest uprawniony</w:t>
      </w:r>
      <w:r w:rsidRPr="00212AD6">
        <w:rPr>
          <w:color w:val="000000"/>
          <w:lang w:val="pl-PL"/>
        </w:rPr>
        <w:t>:</w:t>
      </w:r>
    </w:p>
    <w:p w14:paraId="26D19C4C" w14:textId="77777777" w:rsidR="00F767C0" w:rsidRPr="00212AD6" w:rsidRDefault="00F767C0" w:rsidP="00F767C0">
      <w:pPr>
        <w:pStyle w:val="JuQuot"/>
        <w:rPr>
          <w:color w:val="000000"/>
          <w:lang w:val="pl-PL"/>
        </w:rPr>
      </w:pPr>
      <w:r w:rsidRPr="00212AD6">
        <w:rPr>
          <w:color w:val="000000"/>
          <w:lang w:val="pl-PL"/>
        </w:rPr>
        <w:t>....</w:t>
      </w:r>
    </w:p>
    <w:p w14:paraId="5265E759" w14:textId="77777777" w:rsidR="00F767C0" w:rsidRPr="00212AD6" w:rsidRDefault="00F767C0" w:rsidP="00F767C0">
      <w:pPr>
        <w:pStyle w:val="JuQuot"/>
        <w:rPr>
          <w:lang w:val="pl-PL"/>
        </w:rPr>
      </w:pPr>
      <w:r w:rsidRPr="00212AD6">
        <w:rPr>
          <w:lang w:val="pl-PL"/>
        </w:rPr>
        <w:tab/>
      </w:r>
      <w:r w:rsidRPr="00212AD6">
        <w:rPr>
          <w:lang w:val="pl-PL"/>
        </w:rPr>
        <w:tab/>
        <w:t xml:space="preserve">4. </w:t>
      </w:r>
      <w:r w:rsidR="00931477">
        <w:rPr>
          <w:lang w:val="pl-PL"/>
        </w:rPr>
        <w:t>zasięga</w:t>
      </w:r>
      <w:r w:rsidR="005A44DC" w:rsidRPr="00212AD6">
        <w:rPr>
          <w:lang w:val="pl-PL"/>
        </w:rPr>
        <w:t xml:space="preserve">ć opinii dotyczących konkretnych spraw u </w:t>
      </w:r>
      <w:r w:rsidR="00931477">
        <w:rPr>
          <w:lang w:val="pl-PL"/>
        </w:rPr>
        <w:t>prawników</w:t>
      </w:r>
      <w:r w:rsidRPr="00212AD6">
        <w:rPr>
          <w:lang w:val="pl-PL"/>
        </w:rPr>
        <w:t xml:space="preserve"> Trybunału Konstytucyjnego,</w:t>
      </w:r>
    </w:p>
    <w:p w14:paraId="2A693612" w14:textId="77777777" w:rsidR="00F767C0" w:rsidRPr="00212AD6" w:rsidRDefault="00F767C0" w:rsidP="00F767C0">
      <w:pPr>
        <w:pStyle w:val="JuQuot"/>
        <w:rPr>
          <w:b/>
          <w:lang w:val="pl-PL"/>
        </w:rPr>
      </w:pPr>
      <w:r w:rsidRPr="00212AD6">
        <w:rPr>
          <w:lang w:val="pl-PL"/>
        </w:rPr>
        <w:lastRenderedPageBreak/>
        <w:t>...”</w:t>
      </w:r>
    </w:p>
    <w:p w14:paraId="214C2A3B" w14:textId="77777777" w:rsidR="00F767C0" w:rsidRPr="00212AD6" w:rsidRDefault="00F767C0" w:rsidP="00F767C0">
      <w:pPr>
        <w:pStyle w:val="JuHA"/>
        <w:rPr>
          <w:lang w:val="pl-PL"/>
        </w:rPr>
      </w:pPr>
      <w:r w:rsidRPr="00212AD6">
        <w:rPr>
          <w:lang w:val="pl-PL"/>
        </w:rPr>
        <w:t>C.  Ustawa o sporach administracyjnych</w:t>
      </w:r>
    </w:p>
    <w:p w14:paraId="01FCDD2C" w14:textId="77777777" w:rsidR="00F767C0" w:rsidRPr="00212AD6" w:rsidRDefault="00F767C0" w:rsidP="00F767C0">
      <w:pPr>
        <w:pStyle w:val="JuParaChar1"/>
        <w:rPr>
          <w:rFonts w:ascii="Times New Roman" w:hAnsi="Times New Roman" w:cs="Times New Roman"/>
          <w:lang w:val="pl-PL"/>
        </w:rPr>
      </w:pPr>
      <w:r w:rsidRPr="00212AD6">
        <w:rPr>
          <w:rFonts w:ascii="Times New Roman" w:hAnsi="Times New Roman" w:cs="Times New Roman"/>
          <w:lang w:val="pl-PL"/>
        </w:rPr>
        <w:fldChar w:fldCharType="begin"/>
      </w:r>
      <w:r w:rsidRPr="00212AD6">
        <w:rPr>
          <w:rFonts w:ascii="Times New Roman" w:hAnsi="Times New Roman" w:cs="Times New Roman"/>
          <w:lang w:val="pl-PL"/>
        </w:rPr>
        <w:instrText xml:space="preserve"> SEQ level0 \*arabic </w:instrText>
      </w:r>
      <w:r w:rsidRPr="00212AD6">
        <w:rPr>
          <w:rFonts w:ascii="Times New Roman" w:hAnsi="Times New Roman" w:cs="Times New Roman"/>
          <w:lang w:val="pl-PL"/>
        </w:rPr>
        <w:fldChar w:fldCharType="separate"/>
      </w:r>
      <w:r w:rsidRPr="00212AD6">
        <w:rPr>
          <w:rFonts w:ascii="Times New Roman" w:hAnsi="Times New Roman" w:cs="Times New Roman"/>
          <w:noProof/>
          <w:lang w:val="pl-PL"/>
        </w:rPr>
        <w:t>29</w:t>
      </w:r>
      <w:r w:rsidRPr="00212AD6">
        <w:rPr>
          <w:rFonts w:ascii="Times New Roman" w:hAnsi="Times New Roman" w:cs="Times New Roman"/>
          <w:lang w:val="pl-PL"/>
        </w:rPr>
        <w:fldChar w:fldCharType="end"/>
      </w:r>
      <w:r w:rsidRPr="00212AD6">
        <w:rPr>
          <w:rFonts w:ascii="Times New Roman" w:hAnsi="Times New Roman" w:cs="Times New Roman"/>
          <w:lang w:val="pl-PL"/>
        </w:rPr>
        <w:t>.  Ustawa o sporach administracyjnych (</w:t>
      </w:r>
      <w:r w:rsidRPr="00212AD6">
        <w:rPr>
          <w:rFonts w:ascii="Times New Roman" w:hAnsi="Times New Roman" w:cs="Times New Roman"/>
          <w:i/>
          <w:lang w:val="pl-PL"/>
        </w:rPr>
        <w:t xml:space="preserve">Zakon o </w:t>
      </w:r>
      <w:proofErr w:type="spellStart"/>
      <w:r w:rsidRPr="00212AD6">
        <w:rPr>
          <w:rFonts w:ascii="Times New Roman" w:hAnsi="Times New Roman" w:cs="Times New Roman"/>
          <w:i/>
          <w:lang w:val="pl-PL"/>
        </w:rPr>
        <w:t>upravnim</w:t>
      </w:r>
      <w:proofErr w:type="spellEnd"/>
      <w:r w:rsidRPr="00212AD6">
        <w:rPr>
          <w:rFonts w:ascii="Times New Roman" w:hAnsi="Times New Roman" w:cs="Times New Roman"/>
          <w:i/>
          <w:lang w:val="pl-PL"/>
        </w:rPr>
        <w:t xml:space="preserve"> </w:t>
      </w:r>
      <w:proofErr w:type="spellStart"/>
      <w:r w:rsidRPr="00212AD6">
        <w:rPr>
          <w:rFonts w:ascii="Times New Roman" w:hAnsi="Times New Roman" w:cs="Times New Roman"/>
          <w:i/>
          <w:lang w:val="pl-PL"/>
        </w:rPr>
        <w:t>sporovima</w:t>
      </w:r>
      <w:proofErr w:type="spellEnd"/>
      <w:r w:rsidRPr="00212AD6">
        <w:rPr>
          <w:rFonts w:ascii="Times New Roman" w:hAnsi="Times New Roman" w:cs="Times New Roman"/>
          <w:lang w:val="pl-PL"/>
        </w:rPr>
        <w:t>,</w:t>
      </w:r>
      <w:r w:rsidRPr="00212AD6">
        <w:rPr>
          <w:rFonts w:ascii="Times New Roman" w:hAnsi="Times New Roman" w:cs="Times New Roman"/>
          <w:i/>
          <w:lang w:val="pl-PL"/>
        </w:rPr>
        <w:t xml:space="preserve"> </w:t>
      </w:r>
      <w:r w:rsidRPr="00212AD6">
        <w:rPr>
          <w:rFonts w:ascii="Times New Roman" w:hAnsi="Times New Roman" w:cs="Times New Roman"/>
          <w:lang w:val="pl-PL"/>
        </w:rPr>
        <w:t>Dziennik Urzędowy Socjalistycznej Federalnej Republiki Jugosławii</w:t>
      </w:r>
      <w:r w:rsidR="00931477">
        <w:rPr>
          <w:rFonts w:ascii="Times New Roman" w:hAnsi="Times New Roman" w:cs="Times New Roman"/>
          <w:lang w:val="pl-PL"/>
        </w:rPr>
        <w:t xml:space="preserve"> </w:t>
      </w:r>
      <w:r w:rsidRPr="00212AD6">
        <w:rPr>
          <w:rFonts w:ascii="Times New Roman" w:hAnsi="Times New Roman" w:cs="Times New Roman"/>
          <w:lang w:val="pl-PL"/>
        </w:rPr>
        <w:t>nr 4/1977 oraz Dziennik Urzędowy Republiki Chorwacji nr 53/1991, 9/1992</w:t>
      </w:r>
      <w:r w:rsidR="00646DAF">
        <w:rPr>
          <w:rFonts w:ascii="Times New Roman" w:hAnsi="Times New Roman" w:cs="Times New Roman"/>
          <w:lang w:val="pl-PL"/>
        </w:rPr>
        <w:t xml:space="preserve"> i </w:t>
      </w:r>
      <w:r w:rsidRPr="00212AD6">
        <w:rPr>
          <w:rFonts w:ascii="Times New Roman" w:hAnsi="Times New Roman" w:cs="Times New Roman"/>
          <w:lang w:val="pl-PL"/>
        </w:rPr>
        <w:t>77/1992) we właściwej części stanowi, co następuje:</w:t>
      </w:r>
    </w:p>
    <w:p w14:paraId="5CBD9C40" w14:textId="6CF014EC" w:rsidR="00F767C0" w:rsidRPr="00212AD6" w:rsidRDefault="00F767C0" w:rsidP="00F767C0">
      <w:pPr>
        <w:pStyle w:val="JuParaChar1"/>
        <w:rPr>
          <w:rFonts w:ascii="Times New Roman" w:hAnsi="Times New Roman" w:cs="Times New Roman"/>
          <w:szCs w:val="24"/>
          <w:lang w:val="pl-PL"/>
        </w:rPr>
      </w:pPr>
      <w:r w:rsidRPr="00212AD6">
        <w:rPr>
          <w:rFonts w:ascii="Times New Roman" w:hAnsi="Times New Roman" w:cs="Times New Roman"/>
          <w:szCs w:val="24"/>
          <w:lang w:val="pl-PL"/>
        </w:rPr>
        <w:fldChar w:fldCharType="begin"/>
      </w:r>
      <w:r w:rsidRPr="00212AD6">
        <w:rPr>
          <w:rFonts w:ascii="Times New Roman" w:hAnsi="Times New Roman" w:cs="Times New Roman"/>
          <w:szCs w:val="24"/>
          <w:lang w:val="pl-PL"/>
        </w:rPr>
        <w:instrText xml:space="preserve"> SEQ level0 \*arabic </w:instrText>
      </w:r>
      <w:r w:rsidRPr="00212AD6">
        <w:rPr>
          <w:rFonts w:ascii="Times New Roman" w:hAnsi="Times New Roman" w:cs="Times New Roman"/>
          <w:szCs w:val="24"/>
          <w:lang w:val="pl-PL"/>
        </w:rPr>
        <w:fldChar w:fldCharType="separate"/>
      </w:r>
      <w:r w:rsidRPr="00212AD6">
        <w:rPr>
          <w:rFonts w:ascii="Times New Roman" w:hAnsi="Times New Roman" w:cs="Times New Roman"/>
          <w:noProof/>
          <w:szCs w:val="24"/>
          <w:lang w:val="pl-PL"/>
        </w:rPr>
        <w:t>30</w:t>
      </w:r>
      <w:r w:rsidRPr="00212AD6">
        <w:rPr>
          <w:rFonts w:ascii="Times New Roman" w:hAnsi="Times New Roman" w:cs="Times New Roman"/>
          <w:szCs w:val="24"/>
          <w:lang w:val="pl-PL"/>
        </w:rPr>
        <w:fldChar w:fldCharType="end"/>
      </w:r>
      <w:r w:rsidRPr="00212AD6">
        <w:rPr>
          <w:rFonts w:ascii="Times New Roman" w:hAnsi="Times New Roman" w:cs="Times New Roman"/>
          <w:szCs w:val="24"/>
          <w:lang w:val="pl-PL"/>
        </w:rPr>
        <w:t>.  </w:t>
      </w:r>
      <w:r w:rsidR="00B569A1">
        <w:rPr>
          <w:rFonts w:ascii="Times New Roman" w:hAnsi="Times New Roman" w:cs="Times New Roman"/>
          <w:szCs w:val="24"/>
          <w:lang w:val="pl-PL"/>
        </w:rPr>
        <w:t>Art.</w:t>
      </w:r>
      <w:r w:rsidRPr="00212AD6">
        <w:rPr>
          <w:rFonts w:ascii="Times New Roman" w:hAnsi="Times New Roman" w:cs="Times New Roman"/>
          <w:szCs w:val="24"/>
          <w:lang w:val="pl-PL"/>
        </w:rPr>
        <w:t xml:space="preserve"> 34 brzmi następująco:</w:t>
      </w:r>
    </w:p>
    <w:p w14:paraId="71203717" w14:textId="77777777" w:rsidR="00F767C0" w:rsidRPr="00212AD6" w:rsidRDefault="00F767C0" w:rsidP="00F767C0">
      <w:pPr>
        <w:pStyle w:val="JuQuot"/>
        <w:rPr>
          <w:lang w:val="pl-PL"/>
        </w:rPr>
      </w:pPr>
      <w:r w:rsidRPr="00212AD6">
        <w:rPr>
          <w:lang w:val="pl-PL"/>
        </w:rPr>
        <w:t xml:space="preserve">„[Sąd Administracyjny] podejmuje decyzje dotyczące sporów administracyjnych na posiedzeniu </w:t>
      </w:r>
      <w:r w:rsidR="005A44DC" w:rsidRPr="00212AD6">
        <w:rPr>
          <w:lang w:val="pl-PL"/>
        </w:rPr>
        <w:t>zamkniętym.</w:t>
      </w:r>
    </w:p>
    <w:p w14:paraId="7BEE5727" w14:textId="515FA455" w:rsidR="00F767C0" w:rsidRPr="00212AD6" w:rsidRDefault="00F767C0" w:rsidP="00F767C0">
      <w:pPr>
        <w:pStyle w:val="JuQuot"/>
        <w:rPr>
          <w:lang w:val="pl-PL"/>
        </w:rPr>
      </w:pPr>
      <w:r w:rsidRPr="00212AD6">
        <w:rPr>
          <w:lang w:val="pl-PL"/>
        </w:rPr>
        <w:t xml:space="preserve"> [Sąd Administracyjny] może zadecydować o przeprowadzeniu rozprawy ze względu na złożoność sporu lub </w:t>
      </w:r>
      <w:r w:rsidR="00613B6B" w:rsidRPr="00212AD6">
        <w:rPr>
          <w:lang w:val="pl-PL"/>
        </w:rPr>
        <w:t>jeżeli</w:t>
      </w:r>
      <w:r w:rsidRPr="00212AD6">
        <w:rPr>
          <w:lang w:val="pl-PL"/>
        </w:rPr>
        <w:t xml:space="preserve"> uzna, że pozwoli to na</w:t>
      </w:r>
      <w:r w:rsidR="009678A8">
        <w:rPr>
          <w:lang w:val="pl-PL"/>
        </w:rPr>
        <w:t xml:space="preserve"> lepsze wyjaśnienie danej sprawy</w:t>
      </w:r>
      <w:r w:rsidRPr="00212AD6">
        <w:rPr>
          <w:lang w:val="pl-PL"/>
        </w:rPr>
        <w:t>.</w:t>
      </w:r>
    </w:p>
    <w:p w14:paraId="01925F4B" w14:textId="5D3041CB" w:rsidR="00F767C0" w:rsidRPr="00212AD6" w:rsidRDefault="00F767C0" w:rsidP="00F767C0">
      <w:pPr>
        <w:pStyle w:val="JuQuot"/>
        <w:rPr>
          <w:lang w:val="pl-PL"/>
        </w:rPr>
      </w:pPr>
      <w:r w:rsidRPr="00212AD6">
        <w:rPr>
          <w:lang w:val="pl-PL"/>
        </w:rPr>
        <w:t>Z tych samych przyczyn strona może wnieść o przeprowadzenie rozprawy.”</w:t>
      </w:r>
    </w:p>
    <w:p w14:paraId="675E77EA" w14:textId="1F58FEAF" w:rsidR="00F767C0" w:rsidRPr="00212AD6" w:rsidRDefault="00F767C0" w:rsidP="00F767C0">
      <w:pPr>
        <w:pStyle w:val="JuParaChar1"/>
        <w:rPr>
          <w:rFonts w:ascii="Times New Roman" w:hAnsi="Times New Roman" w:cs="Times New Roman"/>
          <w:lang w:val="pl-PL"/>
        </w:rPr>
      </w:pPr>
      <w:r w:rsidRPr="00212AD6">
        <w:rPr>
          <w:rFonts w:ascii="Times New Roman" w:hAnsi="Times New Roman" w:cs="Times New Roman"/>
          <w:lang w:val="pl-PL"/>
        </w:rPr>
        <w:fldChar w:fldCharType="begin"/>
      </w:r>
      <w:r w:rsidRPr="00212AD6">
        <w:rPr>
          <w:rFonts w:ascii="Times New Roman" w:hAnsi="Times New Roman" w:cs="Times New Roman"/>
          <w:lang w:val="pl-PL"/>
        </w:rPr>
        <w:instrText xml:space="preserve"> SEQ level0 \*arabic </w:instrText>
      </w:r>
      <w:r w:rsidRPr="00212AD6">
        <w:rPr>
          <w:rFonts w:ascii="Times New Roman" w:hAnsi="Times New Roman" w:cs="Times New Roman"/>
          <w:lang w:val="pl-PL"/>
        </w:rPr>
        <w:fldChar w:fldCharType="separate"/>
      </w:r>
      <w:r w:rsidRPr="00212AD6">
        <w:rPr>
          <w:rFonts w:ascii="Times New Roman" w:hAnsi="Times New Roman" w:cs="Times New Roman"/>
          <w:noProof/>
          <w:lang w:val="pl-PL"/>
        </w:rPr>
        <w:t>31</w:t>
      </w:r>
      <w:r w:rsidRPr="00212AD6">
        <w:rPr>
          <w:rFonts w:ascii="Times New Roman" w:hAnsi="Times New Roman" w:cs="Times New Roman"/>
          <w:lang w:val="pl-PL"/>
        </w:rPr>
        <w:fldChar w:fldCharType="end"/>
      </w:r>
      <w:r w:rsidRPr="00212AD6">
        <w:rPr>
          <w:rFonts w:ascii="Times New Roman" w:hAnsi="Times New Roman" w:cs="Times New Roman"/>
          <w:lang w:val="pl-PL"/>
        </w:rPr>
        <w:t>.  </w:t>
      </w:r>
      <w:r w:rsidR="00B569A1">
        <w:rPr>
          <w:rFonts w:ascii="Times New Roman" w:hAnsi="Times New Roman" w:cs="Times New Roman"/>
          <w:lang w:val="pl-PL"/>
        </w:rPr>
        <w:t>Art.</w:t>
      </w:r>
      <w:r w:rsidRPr="00212AD6">
        <w:rPr>
          <w:rFonts w:ascii="Times New Roman" w:hAnsi="Times New Roman" w:cs="Times New Roman"/>
          <w:lang w:val="pl-PL"/>
        </w:rPr>
        <w:t xml:space="preserve"> 60 stanowi, że jeżeli ustawa o sporach administracyjnych nie zawiera szczegółowych przepisów dotyczących procedury przed Sądem Administracyjnym, zastosowanie mieć będą </w:t>
      </w:r>
      <w:r w:rsidRPr="00212AD6">
        <w:rPr>
          <w:rFonts w:ascii="Times New Roman" w:hAnsi="Times New Roman" w:cs="Times New Roman"/>
          <w:i/>
          <w:lang w:val="pl-PL"/>
        </w:rPr>
        <w:t xml:space="preserve">mutatis mutandis </w:t>
      </w:r>
      <w:r w:rsidRPr="00212AD6">
        <w:rPr>
          <w:rFonts w:ascii="Times New Roman" w:hAnsi="Times New Roman" w:cs="Times New Roman"/>
          <w:lang w:val="pl-PL"/>
        </w:rPr>
        <w:t xml:space="preserve">postanowienia </w:t>
      </w:r>
      <w:r w:rsidR="00D51E75" w:rsidRPr="00212AD6">
        <w:rPr>
          <w:rFonts w:ascii="Times New Roman" w:hAnsi="Times New Roman" w:cs="Times New Roman"/>
          <w:lang w:val="pl-PL"/>
        </w:rPr>
        <w:t xml:space="preserve">ustawy o </w:t>
      </w:r>
      <w:r w:rsidR="00613B6B" w:rsidRPr="00212AD6">
        <w:rPr>
          <w:rFonts w:ascii="Times New Roman" w:hAnsi="Times New Roman" w:cs="Times New Roman"/>
          <w:lang w:val="pl-PL"/>
        </w:rPr>
        <w:t>postępowaniu</w:t>
      </w:r>
      <w:r w:rsidR="00D51E75" w:rsidRPr="00212AD6">
        <w:rPr>
          <w:rFonts w:ascii="Times New Roman" w:hAnsi="Times New Roman" w:cs="Times New Roman"/>
          <w:lang w:val="pl-PL"/>
        </w:rPr>
        <w:t xml:space="preserve"> cywilnym</w:t>
      </w:r>
      <w:r w:rsidRPr="00212AD6">
        <w:rPr>
          <w:rFonts w:ascii="Times New Roman" w:hAnsi="Times New Roman" w:cs="Times New Roman"/>
          <w:lang w:val="pl-PL"/>
        </w:rPr>
        <w:t>.</w:t>
      </w:r>
    </w:p>
    <w:p w14:paraId="2E2B4AA4" w14:textId="342F55AB" w:rsidR="00F767C0" w:rsidRPr="00212AD6" w:rsidRDefault="00F767C0" w:rsidP="00F767C0">
      <w:pPr>
        <w:pStyle w:val="JuParaChar1"/>
        <w:rPr>
          <w:rFonts w:ascii="Times New Roman" w:hAnsi="Times New Roman" w:cs="Times New Roman"/>
          <w:lang w:val="pl-PL"/>
        </w:rPr>
      </w:pPr>
      <w:r w:rsidRPr="00212AD6">
        <w:rPr>
          <w:rFonts w:ascii="Times New Roman" w:hAnsi="Times New Roman" w:cs="Times New Roman"/>
          <w:lang w:val="pl-PL"/>
        </w:rPr>
        <w:fldChar w:fldCharType="begin"/>
      </w:r>
      <w:r w:rsidRPr="00212AD6">
        <w:rPr>
          <w:rFonts w:ascii="Times New Roman" w:hAnsi="Times New Roman" w:cs="Times New Roman"/>
          <w:lang w:val="pl-PL"/>
        </w:rPr>
        <w:instrText xml:space="preserve"> SEQ level0 \*arabic </w:instrText>
      </w:r>
      <w:r w:rsidRPr="00212AD6">
        <w:rPr>
          <w:rFonts w:ascii="Times New Roman" w:hAnsi="Times New Roman" w:cs="Times New Roman"/>
          <w:lang w:val="pl-PL"/>
        </w:rPr>
        <w:fldChar w:fldCharType="separate"/>
      </w:r>
      <w:r w:rsidRPr="00212AD6">
        <w:rPr>
          <w:rFonts w:ascii="Times New Roman" w:hAnsi="Times New Roman" w:cs="Times New Roman"/>
          <w:noProof/>
          <w:lang w:val="pl-PL"/>
        </w:rPr>
        <w:t>32</w:t>
      </w:r>
      <w:r w:rsidRPr="00212AD6">
        <w:rPr>
          <w:rFonts w:ascii="Times New Roman" w:hAnsi="Times New Roman" w:cs="Times New Roman"/>
          <w:lang w:val="pl-PL"/>
        </w:rPr>
        <w:fldChar w:fldCharType="end"/>
      </w:r>
      <w:r w:rsidRPr="00212AD6">
        <w:rPr>
          <w:rFonts w:ascii="Times New Roman" w:hAnsi="Times New Roman" w:cs="Times New Roman"/>
          <w:lang w:val="pl-PL"/>
        </w:rPr>
        <w:t>.  </w:t>
      </w:r>
      <w:r w:rsidR="00B569A1">
        <w:rPr>
          <w:rFonts w:ascii="Times New Roman" w:hAnsi="Times New Roman" w:cs="Times New Roman"/>
          <w:lang w:val="pl-PL"/>
        </w:rPr>
        <w:t>Art.</w:t>
      </w:r>
      <w:r w:rsidRPr="00212AD6">
        <w:rPr>
          <w:rFonts w:ascii="Times New Roman" w:hAnsi="Times New Roman" w:cs="Times New Roman"/>
          <w:lang w:val="pl-PL"/>
        </w:rPr>
        <w:t xml:space="preserve"> 66 brzmi następująco:</w:t>
      </w:r>
    </w:p>
    <w:p w14:paraId="4DDB3378" w14:textId="77777777" w:rsidR="00F767C0" w:rsidRPr="00212AD6" w:rsidRDefault="00F767C0" w:rsidP="00F767C0">
      <w:pPr>
        <w:pStyle w:val="JuQuot"/>
        <w:rPr>
          <w:lang w:val="pl-PL"/>
        </w:rPr>
      </w:pPr>
      <w:r w:rsidRPr="00212AD6">
        <w:rPr>
          <w:lang w:val="pl-PL"/>
        </w:rPr>
        <w:t xml:space="preserve"> „[Sąd Administracyjny], stosując </w:t>
      </w:r>
      <w:r w:rsidRPr="00212AD6">
        <w:rPr>
          <w:i/>
          <w:lang w:val="pl-PL"/>
        </w:rPr>
        <w:t>mutatis mutandis</w:t>
      </w:r>
      <w:r w:rsidRPr="00212AD6">
        <w:rPr>
          <w:lang w:val="pl-PL"/>
        </w:rPr>
        <w:t xml:space="preserve"> przepisy niniejszej ustawy, wyda decyzję w </w:t>
      </w:r>
      <w:r w:rsidR="00613B6B" w:rsidRPr="00212AD6">
        <w:rPr>
          <w:lang w:val="pl-PL"/>
        </w:rPr>
        <w:t>sprawie</w:t>
      </w:r>
      <w:r w:rsidRPr="00212AD6">
        <w:rPr>
          <w:lang w:val="pl-PL"/>
        </w:rPr>
        <w:t xml:space="preserve"> wniosku o ochronę prawa lub wolności gwarantowanej konstytucją … jeżeli takie prawo lub wolność zostały naruszone ostatecznym aktem</w:t>
      </w:r>
      <w:r w:rsidR="00D13FFA" w:rsidRPr="00212AD6">
        <w:rPr>
          <w:lang w:val="pl-PL"/>
        </w:rPr>
        <w:t xml:space="preserve"> indywidualnym</w:t>
      </w:r>
      <w:r w:rsidRPr="00212AD6">
        <w:rPr>
          <w:lang w:val="pl-PL"/>
        </w:rPr>
        <w:t xml:space="preserve"> [to jest decyzją] i nie zapewniono żadnej innej </w:t>
      </w:r>
      <w:r w:rsidR="00613B6B" w:rsidRPr="00212AD6">
        <w:rPr>
          <w:lang w:val="pl-PL"/>
        </w:rPr>
        <w:t>ochrony</w:t>
      </w:r>
      <w:r w:rsidRPr="00212AD6">
        <w:rPr>
          <w:lang w:val="pl-PL"/>
        </w:rPr>
        <w:t xml:space="preserve"> sądowej.”</w:t>
      </w:r>
    </w:p>
    <w:p w14:paraId="6D525DC7" w14:textId="77777777" w:rsidR="00F767C0" w:rsidRPr="00212AD6" w:rsidRDefault="00F767C0" w:rsidP="00F767C0">
      <w:pPr>
        <w:pStyle w:val="JuHA"/>
        <w:rPr>
          <w:lang w:val="pl-PL"/>
        </w:rPr>
      </w:pPr>
      <w:r w:rsidRPr="00212AD6">
        <w:rPr>
          <w:lang w:val="pl-PL"/>
        </w:rPr>
        <w:t>D.  Ustawa o postępowaniu cywilnym</w:t>
      </w:r>
    </w:p>
    <w:p w14:paraId="0BE49DAC" w14:textId="77777777" w:rsidR="00F767C0" w:rsidRPr="00212AD6" w:rsidRDefault="00F767C0" w:rsidP="00F767C0">
      <w:pPr>
        <w:pStyle w:val="JuPara"/>
        <w:rPr>
          <w:lang w:val="pl-PL"/>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33</w:t>
      </w:r>
      <w:r w:rsidRPr="00212AD6">
        <w:rPr>
          <w:lang w:val="pl-PL"/>
        </w:rPr>
        <w:fldChar w:fldCharType="end"/>
      </w:r>
      <w:r w:rsidRPr="00212AD6">
        <w:rPr>
          <w:lang w:val="pl-PL"/>
        </w:rPr>
        <w:t>.  Właściwa część ustawy o postępowaniu cywilnym (</w:t>
      </w:r>
      <w:r w:rsidRPr="00212AD6">
        <w:rPr>
          <w:rStyle w:val="ju-005fpara--char"/>
          <w:i/>
          <w:iCs/>
          <w:lang w:val="pl-PL"/>
        </w:rPr>
        <w:t xml:space="preserve">Zakon o </w:t>
      </w:r>
      <w:proofErr w:type="spellStart"/>
      <w:r w:rsidRPr="00212AD6">
        <w:rPr>
          <w:rStyle w:val="ju-005fpara--char"/>
          <w:i/>
          <w:iCs/>
          <w:lang w:val="pl-PL"/>
        </w:rPr>
        <w:t>parničnom</w:t>
      </w:r>
      <w:proofErr w:type="spellEnd"/>
      <w:r w:rsidRPr="00212AD6">
        <w:rPr>
          <w:rStyle w:val="ju-005fpara--char"/>
          <w:i/>
          <w:iCs/>
          <w:lang w:val="pl-PL"/>
        </w:rPr>
        <w:t xml:space="preserve"> </w:t>
      </w:r>
      <w:proofErr w:type="spellStart"/>
      <w:r w:rsidRPr="00212AD6">
        <w:rPr>
          <w:rStyle w:val="ju-005fpara--char"/>
          <w:i/>
          <w:iCs/>
          <w:lang w:val="pl-PL"/>
        </w:rPr>
        <w:t>postupku</w:t>
      </w:r>
      <w:proofErr w:type="spellEnd"/>
      <w:r w:rsidRPr="00212AD6">
        <w:rPr>
          <w:lang w:val="pl-PL"/>
        </w:rPr>
        <w:t>, Dziennik Urzędowy Socjalistycznej Federalnej Republiki Jugosławii nr 4/1977, 36/1977 (</w:t>
      </w:r>
      <w:r w:rsidR="005A44DC" w:rsidRPr="00212AD6">
        <w:rPr>
          <w:lang w:val="pl-PL"/>
        </w:rPr>
        <w:t>zmiana</w:t>
      </w:r>
      <w:r w:rsidRPr="00212AD6">
        <w:rPr>
          <w:lang w:val="pl-PL"/>
        </w:rPr>
        <w:t>), 36/1980, 69/1982, 58/1984, 74/1987, 57/1989, 20/1990, 27/1990 i 35/1991 oraz Dziennik Urzędowy Republiki Chorwacji nr 53/1991, 91/1992, 58/1993, 112/1999, 88/2001, 117/2003, 88/2005, 2/2007, 84/2008 i 123/2008) stanowi, co następuje:</w:t>
      </w:r>
    </w:p>
    <w:p w14:paraId="5C81850F" w14:textId="16F64FA6" w:rsidR="00F767C0" w:rsidRPr="00212AD6" w:rsidRDefault="00B569A1" w:rsidP="00F767C0">
      <w:pPr>
        <w:pStyle w:val="JuHArticle"/>
        <w:rPr>
          <w:lang w:val="pl-PL"/>
        </w:rPr>
      </w:pPr>
      <w:r>
        <w:rPr>
          <w:lang w:val="pl-PL"/>
        </w:rPr>
        <w:t>Art.</w:t>
      </w:r>
      <w:r w:rsidR="00F767C0" w:rsidRPr="00212AD6">
        <w:rPr>
          <w:lang w:val="pl-PL"/>
        </w:rPr>
        <w:t xml:space="preserve"> 71</w:t>
      </w:r>
    </w:p>
    <w:p w14:paraId="6FDA656A" w14:textId="77777777" w:rsidR="00F767C0" w:rsidRPr="00212AD6" w:rsidRDefault="00F767C0" w:rsidP="00F767C0">
      <w:pPr>
        <w:pStyle w:val="JuQuot"/>
        <w:rPr>
          <w:lang w:val="pl-PL"/>
        </w:rPr>
      </w:pPr>
      <w:r w:rsidRPr="00212AD6">
        <w:rPr>
          <w:lang w:val="pl-PL"/>
        </w:rPr>
        <w:t>„Sędzia ... nie może pełnić swoich obowiązków:</w:t>
      </w:r>
    </w:p>
    <w:p w14:paraId="287192F6" w14:textId="77777777" w:rsidR="00F767C0" w:rsidRPr="00212AD6" w:rsidRDefault="00F767C0" w:rsidP="00F767C0">
      <w:pPr>
        <w:pStyle w:val="JuQuot"/>
        <w:rPr>
          <w:lang w:val="pl-PL"/>
        </w:rPr>
      </w:pPr>
      <w:r w:rsidRPr="00212AD6">
        <w:rPr>
          <w:lang w:val="pl-PL"/>
        </w:rPr>
        <w:t>1. jeżeli jest stroną...;</w:t>
      </w:r>
    </w:p>
    <w:p w14:paraId="281FC029" w14:textId="77777777" w:rsidR="00F767C0" w:rsidRPr="00212AD6" w:rsidRDefault="00F767C0" w:rsidP="00F767C0">
      <w:pPr>
        <w:pStyle w:val="JuQuot"/>
        <w:rPr>
          <w:lang w:val="pl-PL"/>
        </w:rPr>
      </w:pPr>
      <w:r w:rsidRPr="00212AD6">
        <w:rPr>
          <w:lang w:val="pl-PL"/>
        </w:rPr>
        <w:t>...</w:t>
      </w:r>
    </w:p>
    <w:p w14:paraId="651BA1BC" w14:textId="77777777" w:rsidR="00F767C0" w:rsidRPr="00212AD6" w:rsidRDefault="00F767C0" w:rsidP="00F767C0">
      <w:pPr>
        <w:pStyle w:val="JuQuot"/>
        <w:rPr>
          <w:lang w:val="pl-PL"/>
        </w:rPr>
      </w:pPr>
      <w:r w:rsidRPr="00212AD6">
        <w:rPr>
          <w:lang w:val="pl-PL"/>
        </w:rPr>
        <w:t>5. jeżeli, w tej samej sprawie, brał udział w postępowaniu przed sądem niższej instancji lub innym organem władz;</w:t>
      </w:r>
    </w:p>
    <w:p w14:paraId="70189604" w14:textId="77777777" w:rsidR="00F767C0" w:rsidRPr="00212AD6" w:rsidRDefault="00F767C0" w:rsidP="00F767C0">
      <w:pPr>
        <w:pStyle w:val="JuQuot"/>
        <w:rPr>
          <w:lang w:val="pl-PL"/>
        </w:rPr>
      </w:pPr>
      <w:r w:rsidRPr="00212AD6">
        <w:rPr>
          <w:lang w:val="pl-PL"/>
        </w:rPr>
        <w:t>...</w:t>
      </w:r>
    </w:p>
    <w:p w14:paraId="7A4006CB" w14:textId="77777777" w:rsidR="00F767C0" w:rsidRPr="00212AD6" w:rsidRDefault="00F767C0" w:rsidP="00F767C0">
      <w:pPr>
        <w:pStyle w:val="JuQuot"/>
        <w:rPr>
          <w:lang w:val="pl-PL"/>
        </w:rPr>
      </w:pPr>
      <w:r w:rsidRPr="00212AD6">
        <w:rPr>
          <w:lang w:val="pl-PL"/>
        </w:rPr>
        <w:t>7. je</w:t>
      </w:r>
      <w:r w:rsidR="00D13FFA">
        <w:rPr>
          <w:lang w:val="pl-PL"/>
        </w:rPr>
        <w:t>żeli istnieją inne okoliczności</w:t>
      </w:r>
      <w:r w:rsidRPr="00212AD6">
        <w:rPr>
          <w:lang w:val="pl-PL"/>
        </w:rPr>
        <w:t>, które budzą wątpliwości odnośnie do jego bezstronności.”</w:t>
      </w:r>
    </w:p>
    <w:p w14:paraId="055196F5" w14:textId="77777777" w:rsidR="00F767C0" w:rsidRPr="00212AD6" w:rsidRDefault="00F767C0" w:rsidP="00F767C0">
      <w:pPr>
        <w:pStyle w:val="JuPara"/>
        <w:rPr>
          <w:lang w:val="pl-PL"/>
        </w:rPr>
      </w:pPr>
      <w:r w:rsidRPr="00212AD6">
        <w:rPr>
          <w:lang w:val="pl-PL"/>
        </w:rPr>
        <w:lastRenderedPageBreak/>
        <w:fldChar w:fldCharType="begin"/>
      </w:r>
      <w:r w:rsidRPr="00212AD6">
        <w:rPr>
          <w:lang w:val="pl-PL"/>
        </w:rPr>
        <w:instrText xml:space="preserve"> SEQ level0 \*arabic </w:instrText>
      </w:r>
      <w:r w:rsidRPr="00212AD6">
        <w:rPr>
          <w:lang w:val="pl-PL"/>
        </w:rPr>
        <w:fldChar w:fldCharType="separate"/>
      </w:r>
      <w:r w:rsidRPr="00212AD6">
        <w:rPr>
          <w:noProof/>
          <w:lang w:val="pl-PL"/>
        </w:rPr>
        <w:t>34</w:t>
      </w:r>
      <w:r w:rsidRPr="00212AD6">
        <w:rPr>
          <w:lang w:val="pl-PL"/>
        </w:rPr>
        <w:fldChar w:fldCharType="end"/>
      </w:r>
      <w:r w:rsidRPr="00212AD6">
        <w:rPr>
          <w:lang w:val="pl-PL"/>
        </w:rPr>
        <w:t xml:space="preserve">.  Przesłanki wymienione </w:t>
      </w:r>
      <w:r w:rsidRPr="00D13FFA">
        <w:rPr>
          <w:lang w:val="pl-PL"/>
        </w:rPr>
        <w:t xml:space="preserve">w </w:t>
      </w:r>
      <w:r w:rsidR="00B569A1">
        <w:rPr>
          <w:lang w:val="pl-PL"/>
        </w:rPr>
        <w:t>art.</w:t>
      </w:r>
      <w:r w:rsidRPr="00D13FFA">
        <w:rPr>
          <w:lang w:val="pl-PL"/>
        </w:rPr>
        <w:t xml:space="preserve"> 71 podpunkty 1-</w:t>
      </w:r>
      <w:r w:rsidRPr="00212AD6">
        <w:rPr>
          <w:lang w:val="pl-PL"/>
        </w:rPr>
        <w:t>6 stanowią przesłanki bezwzględne wyłączenia, to jest dany sędzia jest automatycznie wykluczony z posiedzenia.</w:t>
      </w:r>
    </w:p>
    <w:p w14:paraId="2618D633" w14:textId="025A5492" w:rsidR="00F767C0" w:rsidRPr="00212AD6" w:rsidRDefault="00F767C0" w:rsidP="00F767C0">
      <w:pPr>
        <w:pStyle w:val="JuPara"/>
        <w:rPr>
          <w:lang w:val="pl-PL"/>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35</w:t>
      </w:r>
      <w:r w:rsidRPr="00212AD6">
        <w:rPr>
          <w:lang w:val="pl-PL"/>
        </w:rPr>
        <w:fldChar w:fldCharType="end"/>
      </w:r>
      <w:r w:rsidRPr="00212AD6">
        <w:rPr>
          <w:lang w:val="pl-PL"/>
        </w:rPr>
        <w:t>.  </w:t>
      </w:r>
      <w:r w:rsidR="00B569A1">
        <w:rPr>
          <w:lang w:val="pl-PL"/>
        </w:rPr>
        <w:t>Art.</w:t>
      </w:r>
      <w:r w:rsidRPr="00212AD6">
        <w:rPr>
          <w:lang w:val="pl-PL"/>
        </w:rPr>
        <w:t xml:space="preserve"> 72(1) stanowi, że od chwili powzięcia widomości o bezwzględnej przesłance wyklucza</w:t>
      </w:r>
      <w:r w:rsidR="00D13FFA">
        <w:rPr>
          <w:lang w:val="pl-PL"/>
        </w:rPr>
        <w:t xml:space="preserve">jącej z posiedzenia </w:t>
      </w:r>
      <w:r w:rsidRPr="00212AD6">
        <w:rPr>
          <w:lang w:val="pl-PL"/>
        </w:rPr>
        <w:t>sędzia nie może dalej uczestniczyć w rozpoznawaniu sprawy i ma obowiązek niezwłocznego powiadomienia o tym fakcie prezesa sądu, którego jest członkiem, a prezes desygnuje do rozpoznawania sprawy</w:t>
      </w:r>
      <w:r w:rsidR="00D13FFA" w:rsidRPr="00D13FFA">
        <w:rPr>
          <w:lang w:val="pl-PL"/>
        </w:rPr>
        <w:t xml:space="preserve"> </w:t>
      </w:r>
      <w:r w:rsidR="00D13FFA" w:rsidRPr="00212AD6">
        <w:rPr>
          <w:lang w:val="pl-PL"/>
        </w:rPr>
        <w:t>innego sędziego</w:t>
      </w:r>
      <w:r w:rsidRPr="00212AD6">
        <w:rPr>
          <w:lang w:val="pl-PL"/>
        </w:rPr>
        <w:t>.</w:t>
      </w:r>
    </w:p>
    <w:p w14:paraId="21DE27EA" w14:textId="5E6B2088" w:rsidR="00F767C0" w:rsidRPr="00212AD6" w:rsidRDefault="00F767C0" w:rsidP="00F767C0">
      <w:pPr>
        <w:pStyle w:val="JuPara"/>
        <w:rPr>
          <w:szCs w:val="24"/>
          <w:lang w:val="pl-PL"/>
        </w:rPr>
      </w:pPr>
      <w:r w:rsidRPr="00212AD6">
        <w:rPr>
          <w:szCs w:val="24"/>
          <w:lang w:val="pl-PL"/>
        </w:rPr>
        <w:fldChar w:fldCharType="begin"/>
      </w:r>
      <w:r w:rsidRPr="00212AD6">
        <w:rPr>
          <w:szCs w:val="24"/>
          <w:lang w:val="pl-PL"/>
        </w:rPr>
        <w:instrText xml:space="preserve"> SEQ level0 \*arabic </w:instrText>
      </w:r>
      <w:r w:rsidRPr="00212AD6">
        <w:rPr>
          <w:szCs w:val="24"/>
          <w:lang w:val="pl-PL"/>
        </w:rPr>
        <w:fldChar w:fldCharType="separate"/>
      </w:r>
      <w:r w:rsidRPr="00212AD6">
        <w:rPr>
          <w:noProof/>
          <w:szCs w:val="24"/>
          <w:lang w:val="pl-PL"/>
        </w:rPr>
        <w:t>36</w:t>
      </w:r>
      <w:r w:rsidRPr="00212AD6">
        <w:rPr>
          <w:szCs w:val="24"/>
          <w:lang w:val="pl-PL"/>
        </w:rPr>
        <w:fldChar w:fldCharType="end"/>
      </w:r>
      <w:r w:rsidRPr="00212AD6">
        <w:rPr>
          <w:szCs w:val="24"/>
          <w:lang w:val="pl-PL"/>
        </w:rPr>
        <w:t>.  </w:t>
      </w:r>
      <w:r w:rsidR="00B569A1">
        <w:rPr>
          <w:szCs w:val="24"/>
          <w:lang w:val="pl-PL"/>
        </w:rPr>
        <w:t>Art.</w:t>
      </w:r>
      <w:r w:rsidRPr="00212AD6">
        <w:rPr>
          <w:szCs w:val="24"/>
          <w:lang w:val="pl-PL"/>
        </w:rPr>
        <w:t xml:space="preserve"> 73(6) stanowi, że strona ma obowiązek złożenia wniosku o wyłączenie sędziego niezwłocznie po powzięciu wiadomości o przesłance wyłączenia, nie później niż przed zakończeniem procesu przed sądem pierwszej instancji lub – w przypadku, gdy proces się nie odbywa – przed wydaniem decyzji.</w:t>
      </w:r>
    </w:p>
    <w:p w14:paraId="62ADF720" w14:textId="4ECBE3CA" w:rsidR="00F767C0" w:rsidRPr="00212AD6" w:rsidRDefault="00F767C0" w:rsidP="00F767C0">
      <w:pPr>
        <w:pStyle w:val="JuPara"/>
        <w:rPr>
          <w:lang w:val="pl-PL"/>
        </w:rPr>
      </w:pPr>
      <w:r w:rsidRPr="00212AD6">
        <w:rPr>
          <w:szCs w:val="24"/>
          <w:lang w:val="pl-PL"/>
        </w:rPr>
        <w:fldChar w:fldCharType="begin"/>
      </w:r>
      <w:r w:rsidRPr="00212AD6">
        <w:rPr>
          <w:szCs w:val="24"/>
          <w:lang w:val="pl-PL"/>
        </w:rPr>
        <w:instrText xml:space="preserve"> SEQ level0 \*arabic </w:instrText>
      </w:r>
      <w:r w:rsidRPr="00212AD6">
        <w:rPr>
          <w:szCs w:val="24"/>
          <w:lang w:val="pl-PL"/>
        </w:rPr>
        <w:fldChar w:fldCharType="separate"/>
      </w:r>
      <w:r w:rsidRPr="00212AD6">
        <w:rPr>
          <w:noProof/>
          <w:szCs w:val="24"/>
          <w:lang w:val="pl-PL"/>
        </w:rPr>
        <w:t>37</w:t>
      </w:r>
      <w:r w:rsidRPr="00212AD6">
        <w:rPr>
          <w:szCs w:val="24"/>
          <w:lang w:val="pl-PL"/>
        </w:rPr>
        <w:fldChar w:fldCharType="end"/>
      </w:r>
      <w:r w:rsidRPr="00212AD6">
        <w:rPr>
          <w:szCs w:val="24"/>
          <w:lang w:val="pl-PL"/>
        </w:rPr>
        <w:t>.  </w:t>
      </w:r>
      <w:r w:rsidR="00B569A1">
        <w:rPr>
          <w:szCs w:val="24"/>
          <w:lang w:val="pl-PL"/>
        </w:rPr>
        <w:t>Art.</w:t>
      </w:r>
      <w:r w:rsidRPr="00212AD6">
        <w:rPr>
          <w:szCs w:val="24"/>
          <w:lang w:val="pl-PL"/>
        </w:rPr>
        <w:t xml:space="preserve"> 73(7) stanowi, że strona może wnosić o wyłączenie sędziego sądu wyższej instancji w ramach środka odwoławczego lub odpowiedzi na środek odwoławczy</w:t>
      </w:r>
      <w:r w:rsidRPr="00212AD6">
        <w:rPr>
          <w:lang w:val="pl-PL"/>
        </w:rPr>
        <w:t>.</w:t>
      </w:r>
    </w:p>
    <w:p w14:paraId="46EE6C87" w14:textId="7EEE99D1" w:rsidR="00F767C0" w:rsidRPr="00212AD6" w:rsidRDefault="00F767C0" w:rsidP="00F767C0">
      <w:pPr>
        <w:pStyle w:val="JuPara"/>
        <w:rPr>
          <w:szCs w:val="24"/>
          <w:lang w:val="pl-PL"/>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38</w:t>
      </w:r>
      <w:r w:rsidRPr="00212AD6">
        <w:rPr>
          <w:lang w:val="pl-PL"/>
        </w:rPr>
        <w:fldChar w:fldCharType="end"/>
      </w:r>
      <w:r w:rsidRPr="00212AD6">
        <w:rPr>
          <w:lang w:val="pl-PL"/>
        </w:rPr>
        <w:t>.  </w:t>
      </w:r>
      <w:r w:rsidR="00B569A1">
        <w:rPr>
          <w:lang w:val="pl-PL"/>
        </w:rPr>
        <w:t>Art.</w:t>
      </w:r>
      <w:r w:rsidRPr="00212AD6">
        <w:rPr>
          <w:lang w:val="pl-PL"/>
        </w:rPr>
        <w:t xml:space="preserve"> 74(1) brzmi następująco:</w:t>
      </w:r>
    </w:p>
    <w:p w14:paraId="43C65215" w14:textId="228FD42C" w:rsidR="00F767C0" w:rsidRPr="00212AD6" w:rsidRDefault="00B569A1" w:rsidP="00F767C0">
      <w:pPr>
        <w:pStyle w:val="PJuQuot"/>
        <w:jc w:val="center"/>
        <w:rPr>
          <w:b/>
          <w:lang w:val="pl-PL"/>
        </w:rPr>
      </w:pPr>
      <w:r>
        <w:rPr>
          <w:b/>
          <w:lang w:val="pl-PL"/>
        </w:rPr>
        <w:t>Art.</w:t>
      </w:r>
      <w:r w:rsidR="00F767C0" w:rsidRPr="00212AD6">
        <w:rPr>
          <w:b/>
          <w:lang w:val="pl-PL"/>
        </w:rPr>
        <w:t xml:space="preserve"> 74</w:t>
      </w:r>
    </w:p>
    <w:p w14:paraId="2A47BDB5" w14:textId="77777777" w:rsidR="00F767C0" w:rsidRPr="00212AD6" w:rsidRDefault="00F767C0" w:rsidP="00F767C0">
      <w:pPr>
        <w:pStyle w:val="PJuQuot"/>
        <w:rPr>
          <w:lang w:val="pl-PL"/>
        </w:rPr>
      </w:pPr>
      <w:r w:rsidRPr="00212AD6">
        <w:rPr>
          <w:lang w:val="pl-PL"/>
        </w:rPr>
        <w:t>„O ile przepisy prawa nie stanowią inaczej, decyzję w sprawie wniosku strony o wyłączenie [sędziego] podejmuje prezes sądu.”</w:t>
      </w:r>
    </w:p>
    <w:p w14:paraId="1D458692" w14:textId="02CB6F62" w:rsidR="00F767C0" w:rsidRPr="00212AD6" w:rsidRDefault="00F767C0" w:rsidP="00F767C0">
      <w:pPr>
        <w:pStyle w:val="JuPara"/>
        <w:rPr>
          <w:szCs w:val="24"/>
          <w:lang w:val="pl-PL"/>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39</w:t>
      </w:r>
      <w:r w:rsidRPr="00212AD6">
        <w:rPr>
          <w:lang w:val="pl-PL"/>
        </w:rPr>
        <w:fldChar w:fldCharType="end"/>
      </w:r>
      <w:r w:rsidRPr="00212AD6">
        <w:rPr>
          <w:lang w:val="pl-PL"/>
        </w:rPr>
        <w:t>.  </w:t>
      </w:r>
      <w:r w:rsidR="00B569A1">
        <w:rPr>
          <w:lang w:val="pl-PL"/>
        </w:rPr>
        <w:t>Art.</w:t>
      </w:r>
      <w:r w:rsidRPr="00212AD6">
        <w:rPr>
          <w:lang w:val="pl-PL"/>
        </w:rPr>
        <w:t xml:space="preserve"> 75 brzmi następująco:</w:t>
      </w:r>
    </w:p>
    <w:p w14:paraId="0F486343" w14:textId="517CBC72" w:rsidR="00F767C0" w:rsidRPr="00212AD6" w:rsidRDefault="00B569A1" w:rsidP="00F767C0">
      <w:pPr>
        <w:pStyle w:val="PJuQuot"/>
        <w:jc w:val="center"/>
        <w:rPr>
          <w:b/>
          <w:lang w:val="pl-PL"/>
        </w:rPr>
      </w:pPr>
      <w:r>
        <w:rPr>
          <w:b/>
          <w:lang w:val="pl-PL"/>
        </w:rPr>
        <w:t>Art.</w:t>
      </w:r>
      <w:r w:rsidR="00F767C0" w:rsidRPr="00212AD6">
        <w:rPr>
          <w:b/>
          <w:lang w:val="pl-PL"/>
        </w:rPr>
        <w:t xml:space="preserve"> 75</w:t>
      </w:r>
    </w:p>
    <w:p w14:paraId="6714BB1C" w14:textId="395643F3" w:rsidR="00F767C0" w:rsidRPr="00212AD6" w:rsidRDefault="00F767C0" w:rsidP="00F767C0">
      <w:pPr>
        <w:pStyle w:val="JuQuot"/>
        <w:rPr>
          <w:lang w:val="pl-PL"/>
        </w:rPr>
      </w:pPr>
      <w:r w:rsidRPr="00212AD6">
        <w:rPr>
          <w:lang w:val="pl-PL"/>
        </w:rPr>
        <w:t>„W przypadku, gdy indywidualny sędzia, sędzia przewodniczący składu, członek składu lub prezes sądu otrzymuje informację, że złożono wniosek o jego wyłącz</w:t>
      </w:r>
      <w:r w:rsidR="00CB0D00" w:rsidRPr="00212AD6">
        <w:rPr>
          <w:lang w:val="pl-PL"/>
        </w:rPr>
        <w:t>e</w:t>
      </w:r>
      <w:r w:rsidRPr="00212AD6">
        <w:rPr>
          <w:lang w:val="pl-PL"/>
        </w:rPr>
        <w:t xml:space="preserve">nie, niezwłocznie zakończy pracę nad sprawą, a jeżeli wniosek o wyłączenie złożono ze względu na przesłankę przewidzianą przepisem </w:t>
      </w:r>
      <w:r w:rsidR="00B569A1">
        <w:rPr>
          <w:lang w:val="pl-PL"/>
        </w:rPr>
        <w:t>art.</w:t>
      </w:r>
      <w:r w:rsidR="001E4BA5">
        <w:rPr>
          <w:lang w:val="pl-PL"/>
        </w:rPr>
        <w:t xml:space="preserve"> </w:t>
      </w:r>
      <w:r w:rsidR="0068687A">
        <w:rPr>
          <w:lang w:val="pl-PL"/>
        </w:rPr>
        <w:t>71(1)</w:t>
      </w:r>
      <w:r w:rsidRPr="00212AD6">
        <w:rPr>
          <w:lang w:val="pl-PL"/>
        </w:rPr>
        <w:t xml:space="preserve"> podpunkt 7 niniejszej ustawy, sędzia może, do czasu podjęcia decyzji w sprawie wniosku, podejmować jedynie</w:t>
      </w:r>
      <w:r w:rsidR="00CB0D00" w:rsidRPr="00212AD6">
        <w:rPr>
          <w:lang w:val="pl-PL"/>
        </w:rPr>
        <w:t xml:space="preserve"> </w:t>
      </w:r>
      <w:r w:rsidRPr="00212AD6">
        <w:rPr>
          <w:lang w:val="pl-PL"/>
        </w:rPr>
        <w:t>czynności</w:t>
      </w:r>
      <w:r w:rsidR="00CB0D00" w:rsidRPr="00212AD6">
        <w:rPr>
          <w:lang w:val="pl-PL"/>
        </w:rPr>
        <w:t xml:space="preserve"> niecierpiące </w:t>
      </w:r>
      <w:r w:rsidRPr="00212AD6">
        <w:rPr>
          <w:lang w:val="pl-PL"/>
        </w:rPr>
        <w:t>zwłoki.”</w:t>
      </w:r>
    </w:p>
    <w:p w14:paraId="215AFCBD" w14:textId="77777777" w:rsidR="00F767C0" w:rsidRPr="00212AD6" w:rsidRDefault="00F767C0" w:rsidP="00F767C0">
      <w:pPr>
        <w:pStyle w:val="JuHHead"/>
        <w:rPr>
          <w:lang w:val="pl-PL"/>
        </w:rPr>
      </w:pPr>
      <w:r w:rsidRPr="00212AD6">
        <w:rPr>
          <w:lang w:val="pl-PL"/>
        </w:rPr>
        <w:t>PRAWO</w:t>
      </w:r>
    </w:p>
    <w:p w14:paraId="3A9E90CA" w14:textId="3D798649" w:rsidR="00F767C0" w:rsidRPr="00212AD6" w:rsidRDefault="00F767C0" w:rsidP="00F767C0">
      <w:pPr>
        <w:pStyle w:val="JuHIRoman"/>
        <w:rPr>
          <w:lang w:val="pl-PL"/>
        </w:rPr>
      </w:pPr>
      <w:r w:rsidRPr="00212AD6">
        <w:rPr>
          <w:lang w:val="pl-PL"/>
        </w:rPr>
        <w:t xml:space="preserve">I.  ZARZUTY NARUSZENIA </w:t>
      </w:r>
      <w:r w:rsidR="00B569A1">
        <w:rPr>
          <w:lang w:val="pl-PL"/>
        </w:rPr>
        <w:t>ART.</w:t>
      </w:r>
      <w:r w:rsidRPr="00212AD6">
        <w:rPr>
          <w:lang w:val="pl-PL"/>
        </w:rPr>
        <w:t xml:space="preserve"> 6 UST. 1 KONWENCJI ZE WZGLĘDU NA NIERZETELNOŚĆ POSTĘPOWANIA</w:t>
      </w:r>
    </w:p>
    <w:p w14:paraId="70255CB6" w14:textId="7A218385" w:rsidR="00F767C0" w:rsidRPr="00212AD6" w:rsidRDefault="00F767C0" w:rsidP="00F767C0">
      <w:pPr>
        <w:pStyle w:val="JuPara"/>
        <w:rPr>
          <w:lang w:val="pl-PL"/>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40</w:t>
      </w:r>
      <w:r w:rsidRPr="00212AD6">
        <w:rPr>
          <w:lang w:val="pl-PL"/>
        </w:rPr>
        <w:fldChar w:fldCharType="end"/>
      </w:r>
      <w:r w:rsidRPr="00212AD6">
        <w:rPr>
          <w:lang w:val="pl-PL"/>
        </w:rPr>
        <w:t xml:space="preserve">.  Skarżąca podniosła zarzut, że opisane powyżej postępowanie nie było rzetelne, ponieważ: (a) nie przeprowadzono </w:t>
      </w:r>
      <w:r w:rsidR="004979CB">
        <w:rPr>
          <w:lang w:val="pl-PL"/>
        </w:rPr>
        <w:t xml:space="preserve">jawnej </w:t>
      </w:r>
      <w:r w:rsidRPr="00212AD6">
        <w:rPr>
          <w:lang w:val="pl-PL"/>
        </w:rPr>
        <w:t>rozprawy, (b) postępowanie nie miało charakteru kontradyktoryjnego i nie przestrzegano zasady równ</w:t>
      </w:r>
      <w:r w:rsidR="006B519D" w:rsidRPr="00212AD6">
        <w:rPr>
          <w:lang w:val="pl-PL"/>
        </w:rPr>
        <w:t>ości broni w tym względzie, że opinie wybitnych prawników oraz o</w:t>
      </w:r>
      <w:r w:rsidRPr="00212AD6">
        <w:rPr>
          <w:lang w:val="pl-PL"/>
        </w:rPr>
        <w:t>pini</w:t>
      </w:r>
      <w:r w:rsidR="006B519D" w:rsidRPr="00212AD6">
        <w:rPr>
          <w:lang w:val="pl-PL"/>
        </w:rPr>
        <w:t>e i</w:t>
      </w:r>
      <w:r w:rsidRPr="00212AD6">
        <w:rPr>
          <w:lang w:val="pl-PL"/>
        </w:rPr>
        <w:t xml:space="preserve"> informacje uzyskane od różnych instytucji przez Trybunał Konstytucyjny zostały jej doręczone dopiero po zakończeniu postępowania oraz (c) Trybunał Konstytucyjny nie był bezstronny, jako że w zespole Trybunału Konstytucyjnego, który wydał decyzję w jej sprawie</w:t>
      </w:r>
      <w:r w:rsidR="00C475A7">
        <w:rPr>
          <w:lang w:val="pl-PL"/>
        </w:rPr>
        <w:t>,</w:t>
      </w:r>
      <w:r w:rsidRPr="00212AD6">
        <w:rPr>
          <w:lang w:val="pl-PL"/>
        </w:rPr>
        <w:t xml:space="preserve"> zasiadali sędziowie M.J. i D.Š., mimo że sędziowie ci występowali w charakterze osób trzecich we wcześniejszym postępowaniu przez Sądem Administracyjnym, w ramach którego między innymi wyrazili opinie, że </w:t>
      </w:r>
      <w:r w:rsidRPr="00212AD6">
        <w:rPr>
          <w:lang w:val="pl-PL"/>
        </w:rPr>
        <w:lastRenderedPageBreak/>
        <w:t xml:space="preserve">wybór trzech sędziów Trybunału Konstytucyjnego był zgodny z prawem. Skarżąca odniosła się do </w:t>
      </w:r>
      <w:r w:rsidR="00B569A1">
        <w:rPr>
          <w:lang w:val="pl-PL"/>
        </w:rPr>
        <w:t>art.</w:t>
      </w:r>
      <w:r w:rsidRPr="00212AD6">
        <w:rPr>
          <w:lang w:val="pl-PL"/>
        </w:rPr>
        <w:t xml:space="preserve"> 6 ust. 1 Konwencji, który brzmi następująco:</w:t>
      </w:r>
    </w:p>
    <w:p w14:paraId="6462AF52" w14:textId="77777777" w:rsidR="00F767C0" w:rsidRPr="00212AD6" w:rsidRDefault="00F767C0" w:rsidP="00F767C0">
      <w:pPr>
        <w:rPr>
          <w:lang w:val="pl-PL"/>
        </w:rPr>
      </w:pPr>
    </w:p>
    <w:p w14:paraId="38ECCAB6" w14:textId="77777777" w:rsidR="00F767C0" w:rsidRPr="00212AD6" w:rsidRDefault="00F767C0" w:rsidP="00F767C0">
      <w:pPr>
        <w:ind w:firstLine="284"/>
        <w:jc w:val="both"/>
        <w:rPr>
          <w:sz w:val="20"/>
          <w:lang w:val="pl-PL"/>
        </w:rPr>
      </w:pPr>
      <w:r w:rsidRPr="00212AD6">
        <w:rPr>
          <w:sz w:val="20"/>
          <w:lang w:val="pl-PL"/>
        </w:rPr>
        <w:t>„Każdy ma prawo do sprawiedliwego i publicznego rozpatrzenia jego sprawy w rozsądnym terminie przez niezawisły i bezstronny sąd ustanowiony ustawą przy rozstrzyganiu o jego prawach i obowiązkach o charakterze cywilnym …. Postępowanie przed sądem jest jawne, jednak prasa i publiczność mogą być wyłączone z całości lub części rozprawy sądowej ze względów obyczajowych, z uwagi na porządek publiczny lub bezpieczeństwo państwowe w społeczeństwie demokratycznym, gdy wymaga tego dobro małoletnich lub gdy służy to ochronie życia prywatnego stron albo też w okolicznościach szczególnych, w granicach uznanych przez sąd za bezwzględnie konieczne, kiedy jawność mogłaby przynieść szkodę interesom wymiaru sprawiedliwości.”</w:t>
      </w:r>
    </w:p>
    <w:p w14:paraId="6F296D80" w14:textId="77777777" w:rsidR="00F767C0" w:rsidRPr="00212AD6" w:rsidRDefault="00F767C0" w:rsidP="00F767C0">
      <w:pPr>
        <w:ind w:firstLine="284"/>
        <w:rPr>
          <w:lang w:val="pl-PL"/>
        </w:rPr>
      </w:pPr>
    </w:p>
    <w:p w14:paraId="235AA8FC" w14:textId="72BF7FD2" w:rsidR="00F767C0" w:rsidRPr="00212AD6" w:rsidRDefault="00F767C0" w:rsidP="00F767C0">
      <w:pPr>
        <w:pStyle w:val="JuPara"/>
        <w:rPr>
          <w:lang w:val="pl-PL"/>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41</w:t>
      </w:r>
      <w:r w:rsidRPr="00212AD6">
        <w:rPr>
          <w:lang w:val="pl-PL"/>
        </w:rPr>
        <w:fldChar w:fldCharType="end"/>
      </w:r>
      <w:r w:rsidRPr="00212AD6">
        <w:rPr>
          <w:lang w:val="pl-PL"/>
        </w:rPr>
        <w:t>.  Rząd kwestionował te argumenty.</w:t>
      </w:r>
    </w:p>
    <w:p w14:paraId="68118B29" w14:textId="77777777" w:rsidR="00F767C0" w:rsidRPr="00212AD6" w:rsidRDefault="00F767C0" w:rsidP="00F767C0">
      <w:pPr>
        <w:pStyle w:val="JuHA"/>
        <w:outlineLvl w:val="0"/>
        <w:rPr>
          <w:lang w:val="pl-PL"/>
        </w:rPr>
      </w:pPr>
      <w:r w:rsidRPr="00212AD6">
        <w:rPr>
          <w:lang w:val="pl-PL"/>
        </w:rPr>
        <w:t>A.  Dopuszczalność</w:t>
      </w:r>
    </w:p>
    <w:p w14:paraId="041485E8" w14:textId="4E1E038E" w:rsidR="00F767C0" w:rsidRPr="00212AD6" w:rsidRDefault="00F767C0" w:rsidP="00F767C0">
      <w:pPr>
        <w:pStyle w:val="JuPara"/>
        <w:rPr>
          <w:lang w:val="pl-PL"/>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42</w:t>
      </w:r>
      <w:r w:rsidRPr="00212AD6">
        <w:rPr>
          <w:lang w:val="pl-PL"/>
        </w:rPr>
        <w:fldChar w:fldCharType="end"/>
      </w:r>
      <w:r w:rsidRPr="00212AD6">
        <w:rPr>
          <w:lang w:val="pl-PL"/>
        </w:rPr>
        <w:t xml:space="preserve">.  Rząd kwestionował dopuszczalność powyższych zarzutów, twierdząc, że </w:t>
      </w:r>
      <w:r w:rsidR="00B569A1">
        <w:rPr>
          <w:lang w:val="pl-PL"/>
        </w:rPr>
        <w:t>art.</w:t>
      </w:r>
      <w:r w:rsidRPr="00212AD6">
        <w:rPr>
          <w:lang w:val="pl-PL"/>
        </w:rPr>
        <w:t xml:space="preserve"> 6 nie ma zastosowania. Ponadto Rząd twierdził, że </w:t>
      </w:r>
      <w:r w:rsidR="0018791B" w:rsidRPr="00212AD6">
        <w:rPr>
          <w:lang w:val="pl-PL"/>
        </w:rPr>
        <w:t xml:space="preserve">w odniesieniu do zarzutu </w:t>
      </w:r>
      <w:r w:rsidR="0018791B">
        <w:rPr>
          <w:lang w:val="pl-PL"/>
        </w:rPr>
        <w:t xml:space="preserve">dotyczącego braku bezstronności </w:t>
      </w:r>
      <w:r w:rsidRPr="00212AD6">
        <w:rPr>
          <w:lang w:val="pl-PL"/>
        </w:rPr>
        <w:t>skarżąca nie wyczerpała</w:t>
      </w:r>
      <w:r w:rsidR="0018791B">
        <w:rPr>
          <w:lang w:val="pl-PL"/>
        </w:rPr>
        <w:t xml:space="preserve"> krajowych środków odwoławczych.</w:t>
      </w:r>
    </w:p>
    <w:p w14:paraId="2261B8E0" w14:textId="77777777" w:rsidR="00F767C0" w:rsidRPr="00212AD6" w:rsidRDefault="00F767C0" w:rsidP="00F767C0">
      <w:pPr>
        <w:pStyle w:val="JuH1"/>
        <w:rPr>
          <w:lang w:val="pl-PL"/>
        </w:rPr>
      </w:pPr>
      <w:r w:rsidRPr="00212AD6">
        <w:rPr>
          <w:lang w:val="pl-PL"/>
        </w:rPr>
        <w:t>1.  Zastosowanie</w:t>
      </w:r>
    </w:p>
    <w:p w14:paraId="19FE2791" w14:textId="77777777" w:rsidR="00F767C0" w:rsidRPr="00212AD6" w:rsidRDefault="00F767C0" w:rsidP="00F767C0">
      <w:pPr>
        <w:pStyle w:val="JuHa0"/>
        <w:rPr>
          <w:lang w:val="pl-PL"/>
        </w:rPr>
      </w:pPr>
      <w:r w:rsidRPr="00212AD6">
        <w:rPr>
          <w:lang w:val="pl-PL"/>
        </w:rPr>
        <w:t>(a)  Argumenty stron</w:t>
      </w:r>
    </w:p>
    <w:p w14:paraId="4640B660" w14:textId="77777777" w:rsidR="00F767C0" w:rsidRPr="00212AD6" w:rsidRDefault="00F767C0" w:rsidP="00F767C0">
      <w:pPr>
        <w:pStyle w:val="JuHi"/>
        <w:rPr>
          <w:lang w:val="pl-PL"/>
        </w:rPr>
      </w:pPr>
      <w:r w:rsidRPr="00212AD6">
        <w:rPr>
          <w:lang w:val="pl-PL"/>
        </w:rPr>
        <w:t>(i)  Rząd</w:t>
      </w:r>
    </w:p>
    <w:p w14:paraId="3BA14C67" w14:textId="425B9D54" w:rsidR="00F767C0" w:rsidRPr="00212AD6" w:rsidRDefault="00F767C0" w:rsidP="00F767C0">
      <w:pPr>
        <w:pStyle w:val="JuPara"/>
        <w:rPr>
          <w:lang w:val="pl-PL" w:eastAsia="en-US"/>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43</w:t>
      </w:r>
      <w:r w:rsidRPr="00212AD6">
        <w:rPr>
          <w:lang w:val="pl-PL"/>
        </w:rPr>
        <w:fldChar w:fldCharType="end"/>
      </w:r>
      <w:r w:rsidRPr="00212AD6">
        <w:rPr>
          <w:lang w:val="pl-PL"/>
        </w:rPr>
        <w:t xml:space="preserve">.  W pierwszej kolejności Rząd odniósł się do orzecznictwa Trybunału, zgodnie z którym </w:t>
      </w:r>
      <w:r w:rsidR="00B569A1">
        <w:rPr>
          <w:lang w:val="pl-PL"/>
        </w:rPr>
        <w:t>art.</w:t>
      </w:r>
      <w:r w:rsidRPr="00212AD6">
        <w:rPr>
          <w:lang w:val="pl-PL"/>
        </w:rPr>
        <w:t xml:space="preserve"> 6 ust. 1 Konwencji ma zastosowanie względem sporów dotyczących „praw i obowiązków” o charakterze cywilnym, </w:t>
      </w:r>
      <w:r w:rsidR="006B519D" w:rsidRPr="00212AD6">
        <w:rPr>
          <w:lang w:val="pl-PL"/>
        </w:rPr>
        <w:t>co do których można stwierdzić</w:t>
      </w:r>
      <w:r w:rsidR="006B519D" w:rsidRPr="00DB5CE6">
        <w:rPr>
          <w:lang w:val="pl-PL"/>
        </w:rPr>
        <w:t xml:space="preserve">, przynajmniej na poziomie </w:t>
      </w:r>
      <w:r w:rsidR="00CB36DF" w:rsidRPr="00DB5CE6">
        <w:rPr>
          <w:lang w:val="pl-PL"/>
        </w:rPr>
        <w:t>sporu</w:t>
      </w:r>
      <w:r w:rsidR="006B519D" w:rsidRPr="00DB5CE6">
        <w:rPr>
          <w:lang w:val="pl-PL"/>
        </w:rPr>
        <w:t>, że</w:t>
      </w:r>
      <w:r w:rsidR="006B519D" w:rsidRPr="00212AD6">
        <w:rPr>
          <w:lang w:val="pl-PL"/>
        </w:rPr>
        <w:t xml:space="preserve"> są </w:t>
      </w:r>
      <w:r w:rsidRPr="00212AD6">
        <w:rPr>
          <w:lang w:val="pl-PL"/>
        </w:rPr>
        <w:t>uznawan</w:t>
      </w:r>
      <w:r w:rsidR="006B519D" w:rsidRPr="00212AD6">
        <w:rPr>
          <w:lang w:val="pl-PL"/>
        </w:rPr>
        <w:t>e na podstawie prawa</w:t>
      </w:r>
      <w:r w:rsidRPr="00212AD6">
        <w:rPr>
          <w:lang w:val="pl-PL"/>
        </w:rPr>
        <w:t xml:space="preserve"> krajowe</w:t>
      </w:r>
      <w:r w:rsidR="006B519D" w:rsidRPr="00212AD6">
        <w:rPr>
          <w:lang w:val="pl-PL"/>
        </w:rPr>
        <w:t>go</w:t>
      </w:r>
      <w:r w:rsidRPr="00212AD6">
        <w:rPr>
          <w:lang w:val="pl-PL"/>
        </w:rPr>
        <w:t xml:space="preserve"> (zob. </w:t>
      </w:r>
      <w:r w:rsidRPr="00212AD6">
        <w:rPr>
          <w:i/>
          <w:lang w:val="pl-PL" w:eastAsia="en-US"/>
        </w:rPr>
        <w:t>James i Inni przeciwko Zjednoczonemu Królestwu</w:t>
      </w:r>
      <w:r w:rsidRPr="00212AD6">
        <w:rPr>
          <w:lang w:val="pl-PL" w:eastAsia="en-US"/>
        </w:rPr>
        <w:t>, 21 lutego 1986 r., § 81, Seria A nr 98).</w:t>
      </w:r>
    </w:p>
    <w:p w14:paraId="35FCE8DB" w14:textId="5674431C" w:rsidR="00F767C0" w:rsidRPr="00212AD6" w:rsidRDefault="00F767C0" w:rsidP="00F767C0">
      <w:pPr>
        <w:pStyle w:val="JuPara"/>
        <w:rPr>
          <w:highlight w:val="yellow"/>
          <w:lang w:val="pl-PL"/>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44</w:t>
      </w:r>
      <w:r w:rsidRPr="00212AD6">
        <w:rPr>
          <w:lang w:val="pl-PL"/>
        </w:rPr>
        <w:fldChar w:fldCharType="end"/>
      </w:r>
      <w:r w:rsidRPr="00212AD6">
        <w:rPr>
          <w:lang w:val="pl-PL"/>
        </w:rPr>
        <w:t xml:space="preserve">.  W tym względzie w pierwszej kolejności Rząd zauważył, że w chorwackim systemie prawnym nie istnieje prawo do </w:t>
      </w:r>
      <w:r w:rsidR="005D13EF">
        <w:rPr>
          <w:lang w:val="pl-PL"/>
        </w:rPr>
        <w:t>powołania na stanowisko sędziego</w:t>
      </w:r>
      <w:r w:rsidRPr="00212AD6">
        <w:rPr>
          <w:lang w:val="pl-PL"/>
        </w:rPr>
        <w:t xml:space="preserve"> Trybunału Konstytucyjnego. Prawa takiego nie przewidywała Konstytucja, ustawa o Trybunale Konstytucyjnym ani żadne inne przepisy ustawodawstwa krajowego. W szczególności konstytucyjna gwarancja równego dostępu do służby publicznej, przewidziana </w:t>
      </w:r>
      <w:r w:rsidR="00B569A1">
        <w:rPr>
          <w:lang w:val="pl-PL"/>
        </w:rPr>
        <w:t>art.</w:t>
      </w:r>
      <w:r w:rsidRPr="00212AD6">
        <w:rPr>
          <w:lang w:val="pl-PL"/>
        </w:rPr>
        <w:t xml:space="preserve"> 44 Konstytucji (zob. paragraf 23 powyżej), nie implikowała </w:t>
      </w:r>
      <w:r w:rsidR="007F5C88">
        <w:rPr>
          <w:lang w:val="pl-PL"/>
        </w:rPr>
        <w:t xml:space="preserve">prawa do </w:t>
      </w:r>
      <w:r w:rsidRPr="00212AD6">
        <w:rPr>
          <w:lang w:val="pl-PL"/>
        </w:rPr>
        <w:t xml:space="preserve">przyjęcia do służby publicznej, to </w:t>
      </w:r>
      <w:r w:rsidR="00591023">
        <w:rPr>
          <w:lang w:val="pl-PL"/>
        </w:rPr>
        <w:t>jest mianowania na stanowisko</w:t>
      </w:r>
      <w:r w:rsidRPr="00212AD6">
        <w:rPr>
          <w:lang w:val="pl-PL"/>
        </w:rPr>
        <w:t xml:space="preserve"> urzędnika państwowego. Zatem </w:t>
      </w:r>
      <w:r w:rsidR="0035687C">
        <w:rPr>
          <w:lang w:val="pl-PL"/>
        </w:rPr>
        <w:t>skarżąca nie mogła była mieć prawa</w:t>
      </w:r>
      <w:r w:rsidRPr="00212AD6">
        <w:rPr>
          <w:lang w:val="pl-PL"/>
        </w:rPr>
        <w:t xml:space="preserve"> do </w:t>
      </w:r>
      <w:r w:rsidR="005D13EF">
        <w:rPr>
          <w:lang w:val="pl-PL"/>
        </w:rPr>
        <w:t>powołania na stanowisko sędziego</w:t>
      </w:r>
      <w:r w:rsidR="005D13EF" w:rsidRPr="00212AD6">
        <w:rPr>
          <w:lang w:val="pl-PL"/>
        </w:rPr>
        <w:t xml:space="preserve"> </w:t>
      </w:r>
      <w:r w:rsidRPr="00212AD6">
        <w:rPr>
          <w:lang w:val="pl-PL"/>
        </w:rPr>
        <w:t>Trybunału Konstytucyjnego.</w:t>
      </w:r>
    </w:p>
    <w:p w14:paraId="427DE071" w14:textId="2F2D3494" w:rsidR="00F767C0" w:rsidRPr="00212AD6" w:rsidRDefault="00F767C0" w:rsidP="00F767C0">
      <w:pPr>
        <w:pStyle w:val="JuPara"/>
        <w:rPr>
          <w:lang w:val="pl-PL"/>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45</w:t>
      </w:r>
      <w:r w:rsidRPr="00212AD6">
        <w:rPr>
          <w:lang w:val="pl-PL"/>
        </w:rPr>
        <w:fldChar w:fldCharType="end"/>
      </w:r>
      <w:r w:rsidRPr="00212AD6">
        <w:rPr>
          <w:lang w:val="pl-PL"/>
        </w:rPr>
        <w:t xml:space="preserve">.  W każdym razie – wyjaśniał Rząd – sędzia Trybunału Konstytucyjnego jest jednym z najwyższych urzędników państwowych, sprawującym część suwerennej władzy państwowej. Z tego względu procedura wyboru sędziego Trybunału Konstytucyjnego nie </w:t>
      </w:r>
      <w:r w:rsidR="007F5C88">
        <w:rPr>
          <w:lang w:val="pl-PL"/>
        </w:rPr>
        <w:t>obejmuje</w:t>
      </w:r>
      <w:r w:rsidRPr="00212AD6">
        <w:rPr>
          <w:lang w:val="pl-PL"/>
        </w:rPr>
        <w:t xml:space="preserve"> rozstrzygania o prawach i obowiązkach „o charakterze cywilnym” w rozumieniu </w:t>
      </w:r>
      <w:r w:rsidR="00B569A1">
        <w:rPr>
          <w:lang w:val="pl-PL"/>
        </w:rPr>
        <w:t>art.</w:t>
      </w:r>
      <w:r w:rsidRPr="00212AD6">
        <w:rPr>
          <w:lang w:val="pl-PL"/>
        </w:rPr>
        <w:t xml:space="preserve"> 6 ust. 1 Konwencji.</w:t>
      </w:r>
    </w:p>
    <w:p w14:paraId="72182271" w14:textId="77777777" w:rsidR="00F767C0" w:rsidRPr="00212AD6" w:rsidRDefault="00F767C0" w:rsidP="00F767C0">
      <w:pPr>
        <w:pStyle w:val="JuPara"/>
        <w:rPr>
          <w:lang w:val="pl-PL"/>
        </w:rPr>
      </w:pPr>
      <w:r w:rsidRPr="00212AD6">
        <w:rPr>
          <w:lang w:val="pl-PL"/>
        </w:rPr>
        <w:lastRenderedPageBreak/>
        <w:fldChar w:fldCharType="begin"/>
      </w:r>
      <w:r w:rsidRPr="00212AD6">
        <w:rPr>
          <w:lang w:val="pl-PL"/>
        </w:rPr>
        <w:instrText xml:space="preserve"> SEQ level0 \*arabic </w:instrText>
      </w:r>
      <w:r w:rsidRPr="00212AD6">
        <w:rPr>
          <w:lang w:val="pl-PL"/>
        </w:rPr>
        <w:fldChar w:fldCharType="separate"/>
      </w:r>
      <w:r w:rsidRPr="00212AD6">
        <w:rPr>
          <w:noProof/>
          <w:lang w:val="pl-PL"/>
        </w:rPr>
        <w:t>46</w:t>
      </w:r>
      <w:r w:rsidRPr="00212AD6">
        <w:rPr>
          <w:lang w:val="pl-PL"/>
        </w:rPr>
        <w:fldChar w:fldCharType="end"/>
      </w:r>
      <w:r w:rsidRPr="00212AD6">
        <w:rPr>
          <w:lang w:val="pl-PL"/>
        </w:rPr>
        <w:t>.  W dalszej kolejności Rząd zauważył, że wyrok Sądu Administracyjnego z dnia 15 października 2008 r., którym sąd ten uchylił decyzję Parlamentu z dnia 9 maja 2008 r., nie prowadził do wyboru skarżącej na stanowisko sędziego Trybunału Konstytucyjnego w miejsce pani S.B. Zdanie takie jednoznacznie potwierdził sam Sąd Administracyjny, który stwierdził w wyroku, że jego orzeczenie nie zmienia statusu prawnego skarżącej jako kandydatki niewybranej (zob. paragraf 12 powyżej).</w:t>
      </w:r>
      <w:r w:rsidRPr="00212AD6">
        <w:rPr>
          <w:i/>
          <w:lang w:val="pl-PL"/>
        </w:rPr>
        <w:t xml:space="preserve"> </w:t>
      </w:r>
      <w:r w:rsidRPr="00212AD6">
        <w:rPr>
          <w:lang w:val="pl-PL"/>
        </w:rPr>
        <w:t>Jej status nie uległby zmianie, nawet gdyby Trybunał Konstytucyjny utrzymał w mocy wyrok Sądu Administracyjnego. W takim przypadku stanowisko sędziego Trybunału Konstytucyjnego pozostałoby nieobsadzone. Opublikowano</w:t>
      </w:r>
      <w:r w:rsidR="005D13EF">
        <w:rPr>
          <w:lang w:val="pl-PL"/>
        </w:rPr>
        <w:t xml:space="preserve"> </w:t>
      </w:r>
      <w:r w:rsidRPr="00212AD6">
        <w:rPr>
          <w:lang w:val="pl-PL"/>
        </w:rPr>
        <w:t>by nowe zaproszenie do składania kandydatur i po raz kolejny przeprowadzono</w:t>
      </w:r>
      <w:r w:rsidR="005D13EF">
        <w:rPr>
          <w:lang w:val="pl-PL"/>
        </w:rPr>
        <w:t xml:space="preserve"> </w:t>
      </w:r>
      <w:r w:rsidRPr="00212AD6">
        <w:rPr>
          <w:lang w:val="pl-PL"/>
        </w:rPr>
        <w:t xml:space="preserve">by procedurę wyboru. W </w:t>
      </w:r>
      <w:r w:rsidR="005D13EF" w:rsidRPr="00212AD6">
        <w:rPr>
          <w:lang w:val="pl-PL"/>
        </w:rPr>
        <w:t>opinii</w:t>
      </w:r>
      <w:r w:rsidRPr="00212AD6">
        <w:rPr>
          <w:lang w:val="pl-PL"/>
        </w:rPr>
        <w:t xml:space="preserve"> Rządu oznacza to, że postępowanie to nie było bezpośrednio decydujące w odniesieniu do „praw i obowiązków” skarżącej.</w:t>
      </w:r>
    </w:p>
    <w:p w14:paraId="22EE4FA0" w14:textId="5C907018" w:rsidR="00F767C0" w:rsidRPr="00212AD6" w:rsidRDefault="00F767C0" w:rsidP="00F767C0">
      <w:pPr>
        <w:pStyle w:val="JuPara"/>
        <w:rPr>
          <w:lang w:val="pl-PL"/>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47</w:t>
      </w:r>
      <w:r w:rsidRPr="00212AD6">
        <w:rPr>
          <w:lang w:val="pl-PL"/>
        </w:rPr>
        <w:fldChar w:fldCharType="end"/>
      </w:r>
      <w:r w:rsidRPr="00212AD6">
        <w:rPr>
          <w:lang w:val="pl-PL"/>
        </w:rPr>
        <w:t xml:space="preserve">.  Ostatecznie Rząd oświadczył, że zgodnie z prawem chorwackim nie istniało również prawo kwestionowania decyzji Parlamentu w sprawie wyboru sędziego Trybunału Konstytucyjnego. Decyzja taka mogła podlegać kontroli jedynie w świetle </w:t>
      </w:r>
      <w:r w:rsidR="00B569A1">
        <w:rPr>
          <w:lang w:val="pl-PL"/>
        </w:rPr>
        <w:t>art.</w:t>
      </w:r>
      <w:r w:rsidRPr="00212AD6">
        <w:rPr>
          <w:lang w:val="pl-PL"/>
        </w:rPr>
        <w:t xml:space="preserve"> 66 ustawy o sporach administracyjnych (zob. paragraf 32 powyżej), jeżeli nie była zgodna z prawami lub wolnościami gwarantowanymi przez </w:t>
      </w:r>
      <w:r w:rsidR="0035687C" w:rsidRPr="00212AD6">
        <w:rPr>
          <w:lang w:val="pl-PL"/>
        </w:rPr>
        <w:t>Konstytucję</w:t>
      </w:r>
      <w:r w:rsidRPr="00212AD6">
        <w:rPr>
          <w:lang w:val="pl-PL"/>
        </w:rPr>
        <w:t>. Jednakże prawo do skorzystania z takiego środka odwoławczego nie miało cech prawa prywatnego, a zatem nie zawierało elementów, które mogłyby zbliżyć je do prawa „o charakterze cywilnym</w:t>
      </w:r>
      <w:r w:rsidR="00591023">
        <w:rPr>
          <w:lang w:val="pl-PL"/>
        </w:rPr>
        <w:t>”</w:t>
      </w:r>
      <w:r w:rsidRPr="00212AD6">
        <w:rPr>
          <w:lang w:val="pl-PL"/>
        </w:rPr>
        <w:t>, wymagan</w:t>
      </w:r>
      <w:r w:rsidR="00DB5CE6">
        <w:rPr>
          <w:lang w:val="pl-PL"/>
        </w:rPr>
        <w:t>ego</w:t>
      </w:r>
      <w:r w:rsidRPr="00212AD6">
        <w:rPr>
          <w:lang w:val="pl-PL"/>
        </w:rPr>
        <w:t xml:space="preserve">, by </w:t>
      </w:r>
      <w:r w:rsidR="00B569A1">
        <w:rPr>
          <w:lang w:val="pl-PL"/>
        </w:rPr>
        <w:t>art.</w:t>
      </w:r>
      <w:r w:rsidRPr="00212AD6">
        <w:rPr>
          <w:lang w:val="pl-PL"/>
        </w:rPr>
        <w:t xml:space="preserve"> 6 mógł mieć zastosowanie.</w:t>
      </w:r>
    </w:p>
    <w:p w14:paraId="2B71694B" w14:textId="2C294207" w:rsidR="00F767C0" w:rsidRPr="00212AD6" w:rsidRDefault="00F767C0" w:rsidP="00F767C0">
      <w:pPr>
        <w:pStyle w:val="JuPara"/>
        <w:rPr>
          <w:lang w:val="pl-PL"/>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48</w:t>
      </w:r>
      <w:r w:rsidRPr="00212AD6">
        <w:rPr>
          <w:lang w:val="pl-PL"/>
        </w:rPr>
        <w:fldChar w:fldCharType="end"/>
      </w:r>
      <w:r w:rsidRPr="00212AD6">
        <w:rPr>
          <w:lang w:val="pl-PL"/>
        </w:rPr>
        <w:t xml:space="preserve">.  Uwzględniając powyższe Rząd twierdził, że w niniejszej sprawie </w:t>
      </w:r>
      <w:r w:rsidR="00B569A1">
        <w:rPr>
          <w:lang w:val="pl-PL"/>
        </w:rPr>
        <w:t>art.</w:t>
      </w:r>
      <w:r w:rsidRPr="00212AD6">
        <w:rPr>
          <w:lang w:val="pl-PL"/>
        </w:rPr>
        <w:t xml:space="preserve"> 6 nie ma zastosowania.</w:t>
      </w:r>
    </w:p>
    <w:p w14:paraId="38E1369E" w14:textId="77777777" w:rsidR="00F767C0" w:rsidRPr="00212AD6" w:rsidRDefault="00F767C0" w:rsidP="00F767C0">
      <w:pPr>
        <w:pStyle w:val="JuHi"/>
        <w:rPr>
          <w:lang w:val="pl-PL"/>
        </w:rPr>
      </w:pPr>
      <w:r w:rsidRPr="00212AD6">
        <w:rPr>
          <w:lang w:val="pl-PL"/>
        </w:rPr>
        <w:t>(ii)  Skarżąca</w:t>
      </w:r>
    </w:p>
    <w:p w14:paraId="32F9131B" w14:textId="77777777" w:rsidR="00F767C0" w:rsidRPr="00212AD6" w:rsidRDefault="00F767C0" w:rsidP="00F767C0">
      <w:pPr>
        <w:pStyle w:val="JuPara"/>
        <w:rPr>
          <w:lang w:val="pl-PL"/>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49</w:t>
      </w:r>
      <w:r w:rsidRPr="00212AD6">
        <w:rPr>
          <w:lang w:val="pl-PL"/>
        </w:rPr>
        <w:fldChar w:fldCharType="end"/>
      </w:r>
      <w:r w:rsidRPr="00212AD6">
        <w:rPr>
          <w:lang w:val="pl-PL"/>
        </w:rPr>
        <w:t>.  Skarżąca przyznała, że w chorwackim systemie prawnym nie istnieje prawo</w:t>
      </w:r>
      <w:r w:rsidR="005D13EF">
        <w:rPr>
          <w:lang w:val="pl-PL"/>
        </w:rPr>
        <w:t xml:space="preserve"> do</w:t>
      </w:r>
      <w:r w:rsidRPr="00212AD6">
        <w:rPr>
          <w:lang w:val="pl-PL"/>
        </w:rPr>
        <w:t xml:space="preserve"> </w:t>
      </w:r>
      <w:r w:rsidR="005D13EF">
        <w:rPr>
          <w:lang w:val="pl-PL"/>
        </w:rPr>
        <w:t>powołania na stanowisko sędziego</w:t>
      </w:r>
      <w:r w:rsidR="005D13EF" w:rsidRPr="00212AD6">
        <w:rPr>
          <w:lang w:val="pl-PL"/>
        </w:rPr>
        <w:t xml:space="preserve"> </w:t>
      </w:r>
      <w:r w:rsidRPr="00212AD6">
        <w:rPr>
          <w:lang w:val="pl-PL"/>
        </w:rPr>
        <w:t xml:space="preserve">Trybunału Konstytucyjnego. Jednakże w kwestionowanym postępowaniu podejmowała próbę ochrony przysługującego jej konstytucyjnego </w:t>
      </w:r>
      <w:r w:rsidR="00591023" w:rsidRPr="00212AD6">
        <w:rPr>
          <w:lang w:val="pl-PL"/>
        </w:rPr>
        <w:t xml:space="preserve">prawa </w:t>
      </w:r>
      <w:r w:rsidRPr="00212AD6">
        <w:rPr>
          <w:lang w:val="pl-PL"/>
        </w:rPr>
        <w:t xml:space="preserve">równego dostępu do służby publicznej, zagwarantowanego </w:t>
      </w:r>
      <w:r w:rsidR="00B569A1">
        <w:rPr>
          <w:lang w:val="pl-PL"/>
        </w:rPr>
        <w:t>art.</w:t>
      </w:r>
      <w:r w:rsidRPr="00212AD6">
        <w:rPr>
          <w:lang w:val="pl-PL"/>
        </w:rPr>
        <w:t xml:space="preserve"> 44 Konstytucji.</w:t>
      </w:r>
    </w:p>
    <w:p w14:paraId="185EC622" w14:textId="77777777" w:rsidR="00F767C0" w:rsidRPr="00212AD6" w:rsidRDefault="00F767C0" w:rsidP="00F767C0">
      <w:pPr>
        <w:pStyle w:val="JuPara"/>
        <w:rPr>
          <w:lang w:val="pl-PL"/>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50</w:t>
      </w:r>
      <w:r w:rsidRPr="00212AD6">
        <w:rPr>
          <w:lang w:val="pl-PL"/>
        </w:rPr>
        <w:fldChar w:fldCharType="end"/>
      </w:r>
      <w:r w:rsidRPr="00212AD6">
        <w:rPr>
          <w:lang w:val="pl-PL"/>
        </w:rPr>
        <w:t xml:space="preserve">.  Następnie skarżąca nie zgodziła się z argumentem Rządu, iż odnośne postępowanie nie było bezpośrednio </w:t>
      </w:r>
      <w:r w:rsidRPr="00C02B33">
        <w:rPr>
          <w:lang w:val="pl-PL"/>
        </w:rPr>
        <w:t xml:space="preserve">decydujące w odniesieniu do jej „praw i obowiązków”. Wyjaśniła, </w:t>
      </w:r>
      <w:r w:rsidR="00C02B33" w:rsidRPr="00C02B33">
        <w:rPr>
          <w:lang w:val="pl-PL"/>
        </w:rPr>
        <w:t xml:space="preserve">że w przypadku gdyby </w:t>
      </w:r>
      <w:r w:rsidRPr="00C02B33">
        <w:rPr>
          <w:lang w:val="pl-PL"/>
        </w:rPr>
        <w:t>Trybunał Konstytucyjny utrzymał w mocy wyrok Sądu Administracyjnego z dnia 15 października 2008 r., Parlament mógł</w:t>
      </w:r>
      <w:r w:rsidR="00C02B33">
        <w:rPr>
          <w:lang w:val="pl-PL"/>
        </w:rPr>
        <w:t>by</w:t>
      </w:r>
      <w:r w:rsidRPr="00C02B33">
        <w:rPr>
          <w:lang w:val="pl-PL"/>
        </w:rPr>
        <w:t xml:space="preserve"> podjąć decyzję o sporządzeniu nowej ostat</w:t>
      </w:r>
      <w:r w:rsidR="00C34B57" w:rsidRPr="00C02B33">
        <w:rPr>
          <w:lang w:val="pl-PL"/>
        </w:rPr>
        <w:t>ecznej listy kandydatów, którzy</w:t>
      </w:r>
      <w:r w:rsidRPr="00C02B33">
        <w:rPr>
          <w:lang w:val="pl-PL"/>
        </w:rPr>
        <w:t xml:space="preserve"> uprzednio nie znaleźli się na takiej liście</w:t>
      </w:r>
      <w:r w:rsidR="0035687C">
        <w:rPr>
          <w:lang w:val="pl-PL"/>
        </w:rPr>
        <w:t>,</w:t>
      </w:r>
      <w:r w:rsidRPr="00C02B33">
        <w:rPr>
          <w:lang w:val="pl-PL"/>
        </w:rPr>
        <w:t xml:space="preserve"> lub opublikować nowe zaproszenie do</w:t>
      </w:r>
      <w:r w:rsidRPr="00212AD6">
        <w:rPr>
          <w:lang w:val="pl-PL"/>
        </w:rPr>
        <w:t xml:space="preserve"> składania kandydatur i wszcząć nową procedurę wyboru. W każdym z przypadków skarżąca miałaby możliwość ponownego złożenia kandydatury i nadzieję, że zostanie wybrana.</w:t>
      </w:r>
    </w:p>
    <w:p w14:paraId="06E3B93B" w14:textId="77777777" w:rsidR="00F767C0" w:rsidRPr="00212AD6" w:rsidRDefault="00F767C0" w:rsidP="00F767C0">
      <w:pPr>
        <w:pStyle w:val="JuHa0"/>
        <w:rPr>
          <w:lang w:val="pl-PL"/>
        </w:rPr>
      </w:pPr>
      <w:r w:rsidRPr="00212AD6">
        <w:rPr>
          <w:lang w:val="pl-PL"/>
        </w:rPr>
        <w:t>(b)  Ocena Trybunału</w:t>
      </w:r>
    </w:p>
    <w:p w14:paraId="6945CCB8" w14:textId="1C12656D" w:rsidR="00F767C0" w:rsidRPr="00212AD6" w:rsidRDefault="00F767C0" w:rsidP="00F767C0">
      <w:pPr>
        <w:pStyle w:val="JuPara"/>
        <w:rPr>
          <w:lang w:val="pl-PL" w:eastAsia="en-US"/>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51</w:t>
      </w:r>
      <w:r w:rsidRPr="00212AD6">
        <w:rPr>
          <w:lang w:val="pl-PL"/>
        </w:rPr>
        <w:fldChar w:fldCharType="end"/>
      </w:r>
      <w:r w:rsidRPr="00212AD6">
        <w:rPr>
          <w:lang w:val="pl-PL"/>
        </w:rPr>
        <w:t xml:space="preserve">.  Trybunał przypomina, że </w:t>
      </w:r>
      <w:r w:rsidR="00B569A1">
        <w:rPr>
          <w:lang w:val="pl-PL"/>
        </w:rPr>
        <w:t>art.</w:t>
      </w:r>
      <w:r w:rsidRPr="00212AD6">
        <w:rPr>
          <w:lang w:val="pl-PL"/>
        </w:rPr>
        <w:t xml:space="preserve"> 6 ust. 1 Konwencji zapewnia każdemu prawo do rozpatrzenia każdego roszczenia dotyczącego jego praw i </w:t>
      </w:r>
      <w:r w:rsidR="00591023" w:rsidRPr="00212AD6">
        <w:rPr>
          <w:lang w:val="pl-PL"/>
        </w:rPr>
        <w:t>obowiązków</w:t>
      </w:r>
      <w:r w:rsidRPr="00212AD6">
        <w:rPr>
          <w:lang w:val="pl-PL"/>
        </w:rPr>
        <w:t xml:space="preserve"> o charakterze cywilnym przez sąd.</w:t>
      </w:r>
      <w:r w:rsidRPr="00212AD6">
        <w:rPr>
          <w:color w:val="000000"/>
          <w:lang w:val="pl-PL"/>
        </w:rPr>
        <w:t xml:space="preserve"> Prawo dostępu, mianowicie prawo do wszczęcia </w:t>
      </w:r>
      <w:r w:rsidRPr="00212AD6">
        <w:rPr>
          <w:lang w:val="pl-PL"/>
        </w:rPr>
        <w:t xml:space="preserve">postępowania przed sądem w sprawach cywilnych, </w:t>
      </w:r>
      <w:r w:rsidRPr="00212AD6">
        <w:rPr>
          <w:lang w:val="pl-PL"/>
        </w:rPr>
        <w:lastRenderedPageBreak/>
        <w:t>stanowi jeden z aspektów „prawa do sądu” (zob. w szczególności</w:t>
      </w:r>
      <w:r w:rsidRPr="00212AD6">
        <w:rPr>
          <w:i/>
          <w:lang w:val="pl-PL" w:eastAsia="en-US"/>
        </w:rPr>
        <w:t xml:space="preserve"> </w:t>
      </w:r>
      <w:proofErr w:type="spellStart"/>
      <w:r w:rsidRPr="00212AD6">
        <w:rPr>
          <w:i/>
          <w:lang w:val="pl-PL" w:eastAsia="en-US"/>
        </w:rPr>
        <w:t>Golder</w:t>
      </w:r>
      <w:proofErr w:type="spellEnd"/>
      <w:r w:rsidRPr="00212AD6">
        <w:rPr>
          <w:i/>
          <w:lang w:val="pl-PL" w:eastAsia="en-US"/>
        </w:rPr>
        <w:t xml:space="preserve"> przeciwko Zjednoczonemu Królestwu</w:t>
      </w:r>
      <w:r w:rsidRPr="00212AD6">
        <w:rPr>
          <w:lang w:val="pl-PL" w:eastAsia="en-US"/>
        </w:rPr>
        <w:t>, 21 lutego 1975</w:t>
      </w:r>
      <w:r w:rsidR="00591023">
        <w:rPr>
          <w:lang w:val="pl-PL" w:eastAsia="en-US"/>
        </w:rPr>
        <w:t xml:space="preserve"> r.</w:t>
      </w:r>
      <w:r w:rsidRPr="00212AD6">
        <w:rPr>
          <w:lang w:val="pl-PL" w:eastAsia="en-US"/>
        </w:rPr>
        <w:t xml:space="preserve">, </w:t>
      </w:r>
      <w:r w:rsidRPr="00212AD6">
        <w:rPr>
          <w:lang w:val="pl-PL"/>
        </w:rPr>
        <w:t>§§ 28-36</w:t>
      </w:r>
      <w:r w:rsidRPr="00212AD6">
        <w:rPr>
          <w:lang w:val="pl-PL" w:eastAsia="en-US"/>
        </w:rPr>
        <w:t>, Seria A nr 18</w:t>
      </w:r>
      <w:r w:rsidRPr="00212AD6">
        <w:rPr>
          <w:lang w:val="pl-PL"/>
        </w:rPr>
        <w:t>). Prawo to obejmuje jedynie „prawa i obowiązki o charakterze cywilnym”</w:t>
      </w:r>
      <w:r w:rsidR="006B519D" w:rsidRPr="00212AD6">
        <w:rPr>
          <w:lang w:val="pl-PL"/>
        </w:rPr>
        <w:t xml:space="preserve">, co do których można </w:t>
      </w:r>
      <w:r w:rsidR="006B519D" w:rsidRPr="00CB36DF">
        <w:rPr>
          <w:lang w:val="pl-PL"/>
        </w:rPr>
        <w:t xml:space="preserve">stwierdzić, przynajmniej na poziomie </w:t>
      </w:r>
      <w:r w:rsidR="00CB36DF" w:rsidRPr="00CB36DF">
        <w:rPr>
          <w:lang w:val="pl-PL"/>
        </w:rPr>
        <w:t>sporu</w:t>
      </w:r>
      <w:r w:rsidR="006B519D" w:rsidRPr="00CB36DF">
        <w:rPr>
          <w:lang w:val="pl-PL"/>
        </w:rPr>
        <w:t>, że są uznawane</w:t>
      </w:r>
      <w:r w:rsidR="00591023" w:rsidRPr="00CB36DF">
        <w:rPr>
          <w:lang w:val="pl-PL"/>
        </w:rPr>
        <w:t xml:space="preserve"> na podstawie prawa krajowego (</w:t>
      </w:r>
      <w:r w:rsidRPr="00CB36DF">
        <w:rPr>
          <w:lang w:val="pl-PL"/>
        </w:rPr>
        <w:t xml:space="preserve">zob. </w:t>
      </w:r>
      <w:r w:rsidRPr="00CB36DF">
        <w:rPr>
          <w:i/>
          <w:lang w:val="pl-PL" w:eastAsia="en-US"/>
        </w:rPr>
        <w:t>James i Inni</w:t>
      </w:r>
      <w:r w:rsidRPr="00CB36DF">
        <w:rPr>
          <w:lang w:val="pl-PL" w:eastAsia="en-US"/>
        </w:rPr>
        <w:t>, cyt. powyżej, § 81</w:t>
      </w:r>
      <w:r w:rsidRPr="00CB36DF">
        <w:rPr>
          <w:lang w:val="pl-PL"/>
        </w:rPr>
        <w:t>).</w:t>
      </w:r>
      <w:r w:rsidRPr="00CB36DF">
        <w:rPr>
          <w:lang w:val="pl-PL" w:eastAsia="en-US"/>
        </w:rPr>
        <w:t xml:space="preserve"> Zatem w celu ustalenia, czy </w:t>
      </w:r>
      <w:r w:rsidR="00B569A1" w:rsidRPr="00CB36DF">
        <w:rPr>
          <w:lang w:val="pl-PL" w:eastAsia="en-US"/>
        </w:rPr>
        <w:t>art.</w:t>
      </w:r>
      <w:r w:rsidRPr="00CB36DF">
        <w:rPr>
          <w:lang w:val="pl-PL" w:eastAsia="en-US"/>
        </w:rPr>
        <w:t xml:space="preserve"> 6 w części cywilnej ma zastosowanie w niniejszej sprawie</w:t>
      </w:r>
      <w:r w:rsidRPr="00CB36DF">
        <w:rPr>
          <w:lang w:val="pl-PL"/>
        </w:rPr>
        <w:t xml:space="preserve"> i czy w konsekwencji skarżąca mogła opierać się na gwarancjach </w:t>
      </w:r>
      <w:r w:rsidR="006B519D" w:rsidRPr="00CB36DF">
        <w:rPr>
          <w:lang w:val="pl-PL"/>
        </w:rPr>
        <w:t>przewidzianych</w:t>
      </w:r>
      <w:r w:rsidRPr="00CB36DF">
        <w:rPr>
          <w:lang w:val="pl-PL"/>
        </w:rPr>
        <w:t xml:space="preserve"> </w:t>
      </w:r>
      <w:r w:rsidR="006B519D" w:rsidRPr="00CB36DF">
        <w:rPr>
          <w:lang w:val="pl-PL"/>
        </w:rPr>
        <w:t>tymże</w:t>
      </w:r>
      <w:r w:rsidRPr="00CB36DF">
        <w:rPr>
          <w:lang w:val="pl-PL"/>
        </w:rPr>
        <w:t xml:space="preserve"> artykułem, w </w:t>
      </w:r>
      <w:r w:rsidR="006B519D" w:rsidRPr="00CB36DF">
        <w:rPr>
          <w:lang w:val="pl-PL"/>
        </w:rPr>
        <w:t>pierwszej</w:t>
      </w:r>
      <w:r w:rsidRPr="00CB36DF">
        <w:rPr>
          <w:lang w:val="pl-PL"/>
        </w:rPr>
        <w:t xml:space="preserve"> kolejności </w:t>
      </w:r>
      <w:r w:rsidR="006B519D" w:rsidRPr="00CB36DF">
        <w:rPr>
          <w:lang w:val="pl-PL"/>
        </w:rPr>
        <w:t>Trybunał</w:t>
      </w:r>
      <w:r w:rsidRPr="00CB36DF">
        <w:rPr>
          <w:lang w:val="pl-PL"/>
        </w:rPr>
        <w:t xml:space="preserve"> powinien zbadać, czy przysługiwało jej „prawo”</w:t>
      </w:r>
      <w:r w:rsidR="00932E9A" w:rsidRPr="00CB36DF">
        <w:rPr>
          <w:lang w:val="pl-PL"/>
        </w:rPr>
        <w:t xml:space="preserve">, co do którego można było stwierdzić, przynajmniej na poziomie </w:t>
      </w:r>
      <w:r w:rsidR="00CB36DF" w:rsidRPr="00CB36DF">
        <w:rPr>
          <w:lang w:val="pl-PL"/>
        </w:rPr>
        <w:t>sporu</w:t>
      </w:r>
      <w:r w:rsidR="00932E9A" w:rsidRPr="00CB36DF">
        <w:rPr>
          <w:lang w:val="pl-PL"/>
        </w:rPr>
        <w:t>, że jest</w:t>
      </w:r>
      <w:r w:rsidR="00932E9A" w:rsidRPr="00212AD6">
        <w:rPr>
          <w:lang w:val="pl-PL"/>
        </w:rPr>
        <w:t xml:space="preserve"> uznawane na podstawie prawa chorwackiego</w:t>
      </w:r>
      <w:r w:rsidRPr="00212AD6">
        <w:rPr>
          <w:lang w:val="pl-PL"/>
        </w:rPr>
        <w:t>, a następnie czy było to prawo „charakterze cywilnym”.</w:t>
      </w:r>
    </w:p>
    <w:p w14:paraId="35CBA934" w14:textId="77777777" w:rsidR="00F767C0" w:rsidRPr="00212AD6" w:rsidRDefault="00932E9A" w:rsidP="00F767C0">
      <w:pPr>
        <w:pStyle w:val="JuHi"/>
        <w:rPr>
          <w:lang w:val="pl-PL"/>
        </w:rPr>
      </w:pPr>
      <w:r w:rsidRPr="00212AD6">
        <w:rPr>
          <w:lang w:val="pl-PL"/>
        </w:rPr>
        <w:t>(i)  Istnienie prawa</w:t>
      </w:r>
    </w:p>
    <w:p w14:paraId="6126FB1E" w14:textId="445A6B8B" w:rsidR="00F767C0" w:rsidRPr="00212AD6" w:rsidRDefault="00F767C0" w:rsidP="00F767C0">
      <w:pPr>
        <w:pStyle w:val="JuPara"/>
        <w:rPr>
          <w:lang w:val="pl-PL"/>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52</w:t>
      </w:r>
      <w:r w:rsidRPr="00212AD6">
        <w:rPr>
          <w:lang w:val="pl-PL"/>
        </w:rPr>
        <w:fldChar w:fldCharType="end"/>
      </w:r>
      <w:r w:rsidRPr="00212AD6">
        <w:rPr>
          <w:lang w:val="pl-PL"/>
        </w:rPr>
        <w:t xml:space="preserve">.  W tym względzie Trybunał zauważa, że zgodnie z orzecznictwem Sądu Administracyjnego każdy kandydat spełniający wymogi ustawowe ma prawo do równego uczestnictwa w konkursie na urząd publiczny, które to prawo jest związane z prawem do równego dostępu do służby publicznej zagwarantowanym przepisem </w:t>
      </w:r>
      <w:r w:rsidR="00B569A1">
        <w:rPr>
          <w:lang w:val="pl-PL"/>
        </w:rPr>
        <w:t>art.</w:t>
      </w:r>
      <w:r w:rsidR="001E4BA5">
        <w:rPr>
          <w:lang w:val="pl-PL"/>
        </w:rPr>
        <w:t xml:space="preserve"> </w:t>
      </w:r>
      <w:r w:rsidRPr="00212AD6">
        <w:rPr>
          <w:lang w:val="pl-PL"/>
        </w:rPr>
        <w:t xml:space="preserve">44 Konstytucji (zob. paragraf 24 powyżej). Zauważa także, iż w niniejszej sprawie Sąd Administracyjny uznał w swoim wyroku z dnia 15 października 2008 r., że gwarantowane przez </w:t>
      </w:r>
      <w:r w:rsidR="0035687C" w:rsidRPr="00212AD6">
        <w:rPr>
          <w:lang w:val="pl-PL"/>
        </w:rPr>
        <w:t xml:space="preserve">Konstytucję </w:t>
      </w:r>
      <w:r w:rsidRPr="00212AD6">
        <w:rPr>
          <w:lang w:val="pl-PL"/>
        </w:rPr>
        <w:t xml:space="preserve">prawa skarżącej do równego dostępu do służby publicznej oraz do </w:t>
      </w:r>
      <w:r w:rsidR="0035687C">
        <w:rPr>
          <w:lang w:val="pl-PL"/>
        </w:rPr>
        <w:t>r</w:t>
      </w:r>
      <w:r w:rsidRPr="00212AD6">
        <w:rPr>
          <w:lang w:val="pl-PL"/>
        </w:rPr>
        <w:t xml:space="preserve">ównego dostępu do zatrudnienia, zagwarantowane </w:t>
      </w:r>
      <w:r w:rsidR="00B569A1">
        <w:rPr>
          <w:lang w:val="pl-PL"/>
        </w:rPr>
        <w:t>art.</w:t>
      </w:r>
      <w:r w:rsidRPr="00212AD6">
        <w:rPr>
          <w:lang w:val="pl-PL"/>
        </w:rPr>
        <w:t xml:space="preserve"> 44 i 54(2) chorwackiej Konstytucji, zostały wskutek wyboru S.B. naruszone (zob. paragraf 12 powyżej). </w:t>
      </w:r>
      <w:r w:rsidR="0035687C">
        <w:rPr>
          <w:lang w:val="pl-PL"/>
        </w:rPr>
        <w:t>Chociaż</w:t>
      </w:r>
      <w:r w:rsidRPr="00212AD6">
        <w:rPr>
          <w:lang w:val="pl-PL"/>
        </w:rPr>
        <w:t xml:space="preserve"> prawdą jest, że wyrok Sądu Administracyjnego został następnie uchylony po złożeniu przez S.B. skargi konstytucyjnej, Trybunał Konstytucyjny w decyzji z dnia 30 kwietnia 2009 r. nie zakwestionował uprawnienia skarżącej do </w:t>
      </w:r>
      <w:r w:rsidR="00932E9A" w:rsidRPr="00212AD6">
        <w:rPr>
          <w:lang w:val="pl-PL"/>
        </w:rPr>
        <w:t xml:space="preserve">polegania na takich prawach </w:t>
      </w:r>
      <w:r w:rsidR="008543FE" w:rsidRPr="00212AD6">
        <w:rPr>
          <w:lang w:val="pl-PL"/>
        </w:rPr>
        <w:t>konstytucyjnych</w:t>
      </w:r>
      <w:r w:rsidRPr="00212AD6">
        <w:rPr>
          <w:lang w:val="pl-PL"/>
        </w:rPr>
        <w:t>. W takich okolicznościach Trybunał jest zdania, że skarżącej przysługiwało „prawo”</w:t>
      </w:r>
      <w:r w:rsidR="008543FE" w:rsidRPr="00212AD6">
        <w:rPr>
          <w:lang w:val="pl-PL"/>
        </w:rPr>
        <w:t xml:space="preserve">, co do którego można stwierdzić, </w:t>
      </w:r>
      <w:r w:rsidR="008543FE" w:rsidRPr="00CB36DF">
        <w:rPr>
          <w:lang w:val="pl-PL"/>
        </w:rPr>
        <w:t>przynajmniej na poziomie</w:t>
      </w:r>
      <w:r w:rsidR="00CB36DF" w:rsidRPr="00CB36DF">
        <w:rPr>
          <w:lang w:val="pl-PL"/>
        </w:rPr>
        <w:t xml:space="preserve"> sporu</w:t>
      </w:r>
      <w:r w:rsidR="008543FE" w:rsidRPr="00CB36DF">
        <w:rPr>
          <w:lang w:val="pl-PL"/>
        </w:rPr>
        <w:t>,</w:t>
      </w:r>
      <w:r w:rsidR="008543FE" w:rsidRPr="00212AD6">
        <w:rPr>
          <w:lang w:val="pl-PL"/>
        </w:rPr>
        <w:t xml:space="preserve"> że było uznawane na podstawie prawa chorwackiego</w:t>
      </w:r>
      <w:r w:rsidRPr="00212AD6">
        <w:rPr>
          <w:lang w:val="pl-PL"/>
        </w:rPr>
        <w:t xml:space="preserve"> (zob. przykładowo </w:t>
      </w:r>
      <w:proofErr w:type="spellStart"/>
      <w:r w:rsidRPr="00212AD6">
        <w:rPr>
          <w:i/>
          <w:lang w:val="pl-PL" w:eastAsia="en-US"/>
        </w:rPr>
        <w:t>Kübler</w:t>
      </w:r>
      <w:proofErr w:type="spellEnd"/>
      <w:r w:rsidRPr="00212AD6">
        <w:rPr>
          <w:i/>
          <w:lang w:val="pl-PL" w:eastAsia="en-US"/>
        </w:rPr>
        <w:t xml:space="preserve"> przeciwko Niemcom</w:t>
      </w:r>
      <w:r w:rsidRPr="00212AD6">
        <w:rPr>
          <w:lang w:val="pl-PL" w:eastAsia="en-US"/>
        </w:rPr>
        <w:t>, nr 32715/06</w:t>
      </w:r>
      <w:r w:rsidRPr="00212AD6">
        <w:rPr>
          <w:snapToGrid w:val="0"/>
          <w:lang w:val="pl-PL" w:eastAsia="en-US"/>
        </w:rPr>
        <w:t xml:space="preserve">, § 46, 13 stycznia 2011 r.; </w:t>
      </w:r>
      <w:proofErr w:type="spellStart"/>
      <w:r w:rsidRPr="00212AD6">
        <w:rPr>
          <w:i/>
          <w:lang w:val="pl-PL" w:eastAsia="en-US"/>
        </w:rPr>
        <w:t>Lombardi</w:t>
      </w:r>
      <w:proofErr w:type="spellEnd"/>
      <w:r w:rsidRPr="00212AD6">
        <w:rPr>
          <w:i/>
          <w:lang w:val="pl-PL" w:eastAsia="en-US"/>
        </w:rPr>
        <w:t xml:space="preserve"> </w:t>
      </w:r>
      <w:proofErr w:type="spellStart"/>
      <w:r w:rsidRPr="00212AD6">
        <w:rPr>
          <w:i/>
          <w:lang w:val="pl-PL" w:eastAsia="en-US"/>
        </w:rPr>
        <w:t>Vallauri</w:t>
      </w:r>
      <w:proofErr w:type="spellEnd"/>
      <w:r w:rsidRPr="00212AD6">
        <w:rPr>
          <w:i/>
          <w:lang w:val="pl-PL" w:eastAsia="en-US"/>
        </w:rPr>
        <w:t xml:space="preserve"> przeciwko Włochom</w:t>
      </w:r>
      <w:r w:rsidRPr="00212AD6">
        <w:rPr>
          <w:lang w:val="pl-PL" w:eastAsia="en-US"/>
        </w:rPr>
        <w:t>, nr 39128/05</w:t>
      </w:r>
      <w:r w:rsidRPr="00212AD6">
        <w:rPr>
          <w:szCs w:val="24"/>
          <w:lang w:val="pl-PL" w:eastAsia="en-US"/>
        </w:rPr>
        <w:t xml:space="preserve">, § 62, </w:t>
      </w:r>
      <w:proofErr w:type="spellStart"/>
      <w:r w:rsidRPr="00212AD6">
        <w:rPr>
          <w:lang w:val="pl-PL" w:eastAsia="en-US"/>
        </w:rPr>
        <w:t>ETPCz</w:t>
      </w:r>
      <w:proofErr w:type="spellEnd"/>
      <w:r w:rsidRPr="00212AD6">
        <w:rPr>
          <w:lang w:val="pl-PL" w:eastAsia="en-US"/>
        </w:rPr>
        <w:t xml:space="preserve"> 2009 r</w:t>
      </w:r>
      <w:r w:rsidR="00932E9A" w:rsidRPr="00212AD6">
        <w:rPr>
          <w:lang w:val="pl-PL" w:eastAsia="en-US"/>
        </w:rPr>
        <w:t>.</w:t>
      </w:r>
      <w:r w:rsidR="00932E9A" w:rsidRPr="00212AD6">
        <w:rPr>
          <w:lang w:val="pl-PL" w:eastAsia="en-US"/>
        </w:rPr>
        <w:noBreakHyphen/>
        <w:t>... (</w:t>
      </w:r>
      <w:r w:rsidR="008667B0">
        <w:rPr>
          <w:lang w:val="pl-PL" w:eastAsia="en-US"/>
        </w:rPr>
        <w:t>fragmenty</w:t>
      </w:r>
      <w:r w:rsidRPr="00212AD6">
        <w:rPr>
          <w:lang w:val="pl-PL" w:eastAsia="en-US"/>
        </w:rPr>
        <w:t>)</w:t>
      </w:r>
      <w:r w:rsidRPr="00212AD6">
        <w:rPr>
          <w:lang w:val="pl-PL"/>
        </w:rPr>
        <w:t xml:space="preserve"> oraz </w:t>
      </w:r>
      <w:r w:rsidRPr="00212AD6">
        <w:rPr>
          <w:i/>
          <w:lang w:val="pl-PL" w:eastAsia="en-US"/>
        </w:rPr>
        <w:t>Fiume przeciwko Włochom</w:t>
      </w:r>
      <w:r w:rsidRPr="00212AD6">
        <w:rPr>
          <w:lang w:val="pl-PL" w:eastAsia="en-US"/>
        </w:rPr>
        <w:t>, nr 20774/05</w:t>
      </w:r>
      <w:r w:rsidRPr="00212AD6">
        <w:rPr>
          <w:snapToGrid w:val="0"/>
          <w:lang w:val="pl-PL" w:eastAsia="en-US"/>
        </w:rPr>
        <w:t>, § 35, 30 czerwca 2009 r.</w:t>
      </w:r>
      <w:r w:rsidRPr="00212AD6">
        <w:rPr>
          <w:lang w:val="pl-PL"/>
        </w:rPr>
        <w:t>).</w:t>
      </w:r>
    </w:p>
    <w:p w14:paraId="2F7C95D3" w14:textId="77777777" w:rsidR="00F767C0" w:rsidRPr="00212AD6" w:rsidRDefault="00F767C0" w:rsidP="00F767C0">
      <w:pPr>
        <w:pStyle w:val="JuHi"/>
        <w:rPr>
          <w:lang w:val="pl-PL"/>
        </w:rPr>
      </w:pPr>
      <w:r w:rsidRPr="00212AD6">
        <w:rPr>
          <w:lang w:val="pl-PL"/>
        </w:rPr>
        <w:t xml:space="preserve"> (ii)  Cywilny charakter prawa</w:t>
      </w:r>
    </w:p>
    <w:p w14:paraId="598C9704" w14:textId="4DC5480D" w:rsidR="00F767C0" w:rsidRPr="00212AD6" w:rsidRDefault="00F767C0" w:rsidP="00F767C0">
      <w:pPr>
        <w:pStyle w:val="JuPara"/>
        <w:rPr>
          <w:lang w:val="pl-PL"/>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53</w:t>
      </w:r>
      <w:r w:rsidRPr="00212AD6">
        <w:rPr>
          <w:lang w:val="pl-PL"/>
        </w:rPr>
        <w:fldChar w:fldCharType="end"/>
      </w:r>
      <w:r w:rsidRPr="00212AD6">
        <w:rPr>
          <w:lang w:val="pl-PL"/>
        </w:rPr>
        <w:t xml:space="preserve">.  W odniesieniu do „cywilnego charakteru” prawa Trybunał uznał, że podejście </w:t>
      </w:r>
      <w:r w:rsidR="00084C6C">
        <w:rPr>
          <w:lang w:val="pl-PL"/>
        </w:rPr>
        <w:t>wypracowane</w:t>
      </w:r>
      <w:r w:rsidRPr="00212AD6">
        <w:rPr>
          <w:lang w:val="pl-PL"/>
        </w:rPr>
        <w:t xml:space="preserve"> w sprawie </w:t>
      </w:r>
      <w:proofErr w:type="spellStart"/>
      <w:r w:rsidRPr="00212AD6">
        <w:rPr>
          <w:i/>
          <w:szCs w:val="24"/>
          <w:lang w:val="pl-PL" w:eastAsia="en-US"/>
        </w:rPr>
        <w:t>Vilho</w:t>
      </w:r>
      <w:proofErr w:type="spellEnd"/>
      <w:r w:rsidRPr="00212AD6">
        <w:rPr>
          <w:i/>
          <w:szCs w:val="24"/>
          <w:lang w:val="pl-PL" w:eastAsia="en-US"/>
        </w:rPr>
        <w:t xml:space="preserve"> </w:t>
      </w:r>
      <w:proofErr w:type="spellStart"/>
      <w:r w:rsidRPr="00212AD6">
        <w:rPr>
          <w:i/>
          <w:szCs w:val="24"/>
          <w:lang w:val="pl-PL" w:eastAsia="en-US"/>
        </w:rPr>
        <w:t>Eskelinen</w:t>
      </w:r>
      <w:proofErr w:type="spellEnd"/>
      <w:r w:rsidRPr="00212AD6">
        <w:rPr>
          <w:i/>
          <w:szCs w:val="24"/>
          <w:lang w:val="pl-PL" w:eastAsia="en-US"/>
        </w:rPr>
        <w:t xml:space="preserve"> i Inni przeciwko Finlandii </w:t>
      </w:r>
      <w:r w:rsidRPr="00212AD6">
        <w:rPr>
          <w:szCs w:val="24"/>
          <w:lang w:val="pl-PL" w:eastAsia="en-US"/>
        </w:rPr>
        <w:t xml:space="preserve">([WI], nr 63235/00, </w:t>
      </w:r>
      <w:proofErr w:type="spellStart"/>
      <w:r w:rsidRPr="00212AD6">
        <w:rPr>
          <w:lang w:val="pl-PL" w:eastAsia="en-US"/>
        </w:rPr>
        <w:t>ETPCz</w:t>
      </w:r>
      <w:proofErr w:type="spellEnd"/>
      <w:r w:rsidRPr="00212AD6">
        <w:rPr>
          <w:lang w:val="pl-PL" w:eastAsia="en-US"/>
        </w:rPr>
        <w:t xml:space="preserve"> 2007 r.</w:t>
      </w:r>
      <w:r w:rsidRPr="00212AD6">
        <w:rPr>
          <w:lang w:val="pl-PL" w:eastAsia="en-US"/>
        </w:rPr>
        <w:noBreakHyphen/>
        <w:t xml:space="preserve">IV, zob. paragraf 54 poniżej) ma zastosowanie również względem prawa dostępu do stanowisk publicznych </w:t>
      </w:r>
      <w:r w:rsidRPr="00212AD6">
        <w:rPr>
          <w:lang w:val="pl-PL"/>
        </w:rPr>
        <w:t xml:space="preserve">(zob. w szczególności </w:t>
      </w:r>
      <w:proofErr w:type="spellStart"/>
      <w:r w:rsidRPr="00212AD6">
        <w:rPr>
          <w:i/>
          <w:lang w:val="pl-PL" w:eastAsia="en-US"/>
        </w:rPr>
        <w:t>Kübler</w:t>
      </w:r>
      <w:proofErr w:type="spellEnd"/>
      <w:r w:rsidRPr="00212AD6">
        <w:rPr>
          <w:lang w:val="pl-PL" w:eastAsia="en-US"/>
        </w:rPr>
        <w:t>, cyt. powyżej</w:t>
      </w:r>
      <w:r w:rsidRPr="00212AD6">
        <w:rPr>
          <w:snapToGrid w:val="0"/>
          <w:lang w:val="pl-PL" w:eastAsia="en-US"/>
        </w:rPr>
        <w:t xml:space="preserve">, § 45; oraz </w:t>
      </w:r>
      <w:r w:rsidRPr="00C34B57">
        <w:rPr>
          <w:i/>
          <w:snapToGrid w:val="0"/>
          <w:lang w:val="pl-PL" w:eastAsia="en-US"/>
        </w:rPr>
        <w:t>impli</w:t>
      </w:r>
      <w:r w:rsidR="00C34B57" w:rsidRPr="00C34B57">
        <w:rPr>
          <w:i/>
          <w:snapToGrid w:val="0"/>
          <w:lang w:val="pl-PL" w:eastAsia="en-US"/>
        </w:rPr>
        <w:t>cite</w:t>
      </w:r>
      <w:r w:rsidRPr="00212AD6">
        <w:rPr>
          <w:snapToGrid w:val="0"/>
          <w:lang w:val="pl-PL" w:eastAsia="en-US"/>
        </w:rPr>
        <w:t xml:space="preserve"> </w:t>
      </w:r>
      <w:proofErr w:type="spellStart"/>
      <w:r w:rsidRPr="00212AD6">
        <w:rPr>
          <w:i/>
          <w:lang w:val="pl-PL" w:eastAsia="en-US"/>
        </w:rPr>
        <w:t>Josephides</w:t>
      </w:r>
      <w:proofErr w:type="spellEnd"/>
      <w:r w:rsidRPr="00212AD6">
        <w:rPr>
          <w:i/>
          <w:lang w:val="pl-PL" w:eastAsia="en-US"/>
        </w:rPr>
        <w:t xml:space="preserve"> przeciwko Cyprowi</w:t>
      </w:r>
      <w:r w:rsidRPr="00212AD6">
        <w:rPr>
          <w:lang w:val="pl-PL" w:eastAsia="en-US"/>
        </w:rPr>
        <w:t xml:space="preserve">, nr 33761/02, § 54, 6 grudnia 2007 r.; </w:t>
      </w:r>
      <w:proofErr w:type="spellStart"/>
      <w:r w:rsidRPr="00212AD6">
        <w:rPr>
          <w:i/>
          <w:lang w:val="pl-PL" w:eastAsia="en-US"/>
        </w:rPr>
        <w:t>Lombardi</w:t>
      </w:r>
      <w:proofErr w:type="spellEnd"/>
      <w:r w:rsidRPr="00212AD6">
        <w:rPr>
          <w:i/>
          <w:lang w:val="pl-PL" w:eastAsia="en-US"/>
        </w:rPr>
        <w:t xml:space="preserve"> </w:t>
      </w:r>
      <w:proofErr w:type="spellStart"/>
      <w:r w:rsidRPr="00212AD6">
        <w:rPr>
          <w:i/>
          <w:lang w:val="pl-PL" w:eastAsia="en-US"/>
        </w:rPr>
        <w:t>Vallauri</w:t>
      </w:r>
      <w:proofErr w:type="spellEnd"/>
      <w:r w:rsidRPr="00212AD6">
        <w:rPr>
          <w:lang w:val="pl-PL" w:eastAsia="en-US"/>
        </w:rPr>
        <w:t xml:space="preserve">, cyt. powyżej, </w:t>
      </w:r>
      <w:r w:rsidRPr="00212AD6">
        <w:rPr>
          <w:szCs w:val="24"/>
          <w:lang w:val="pl-PL" w:eastAsia="en-US"/>
        </w:rPr>
        <w:t>§ 62</w:t>
      </w:r>
      <w:r w:rsidRPr="00212AD6">
        <w:rPr>
          <w:lang w:val="pl-PL" w:eastAsia="en-US"/>
        </w:rPr>
        <w:t xml:space="preserve"> i </w:t>
      </w:r>
      <w:proofErr w:type="spellStart"/>
      <w:r w:rsidRPr="00212AD6">
        <w:rPr>
          <w:i/>
          <w:lang w:val="pl-PL"/>
        </w:rPr>
        <w:t>Penttinen</w:t>
      </w:r>
      <w:proofErr w:type="spellEnd"/>
      <w:r w:rsidRPr="00212AD6">
        <w:rPr>
          <w:i/>
          <w:lang w:val="pl-PL"/>
        </w:rPr>
        <w:t xml:space="preserve"> przeciwko Finlandii </w:t>
      </w:r>
      <w:r w:rsidRPr="00212AD6">
        <w:rPr>
          <w:lang w:val="pl-PL"/>
        </w:rPr>
        <w:t>(</w:t>
      </w:r>
      <w:proofErr w:type="spellStart"/>
      <w:r w:rsidRPr="00212AD6">
        <w:rPr>
          <w:lang w:val="pl-PL"/>
        </w:rPr>
        <w:t>dec</w:t>
      </w:r>
      <w:proofErr w:type="spellEnd"/>
      <w:r w:rsidRPr="00212AD6">
        <w:rPr>
          <w:lang w:val="pl-PL"/>
        </w:rPr>
        <w:t>.), nr 9125/07, 5 stycznia 2010 r.</w:t>
      </w:r>
      <w:r w:rsidRPr="00212AD6">
        <w:rPr>
          <w:snapToGrid w:val="0"/>
          <w:lang w:val="pl-PL" w:eastAsia="en-US"/>
        </w:rPr>
        <w:t>).</w:t>
      </w:r>
    </w:p>
    <w:p w14:paraId="018A6CB8" w14:textId="4CE661CD" w:rsidR="00F767C0" w:rsidRPr="00212AD6" w:rsidRDefault="00F767C0" w:rsidP="00F767C0">
      <w:pPr>
        <w:pStyle w:val="JuPara"/>
        <w:rPr>
          <w:lang w:val="pl-PL" w:eastAsia="en-US"/>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54</w:t>
      </w:r>
      <w:r w:rsidRPr="00212AD6">
        <w:rPr>
          <w:lang w:val="pl-PL"/>
        </w:rPr>
        <w:fldChar w:fldCharType="end"/>
      </w:r>
      <w:r w:rsidRPr="00212AD6">
        <w:rPr>
          <w:lang w:val="pl-PL"/>
        </w:rPr>
        <w:t xml:space="preserve">.  Przed wyrokiem w sprawie </w:t>
      </w:r>
      <w:proofErr w:type="spellStart"/>
      <w:r w:rsidRPr="00212AD6">
        <w:rPr>
          <w:i/>
          <w:lang w:val="pl-PL" w:eastAsia="en-US"/>
        </w:rPr>
        <w:t>Vilho</w:t>
      </w:r>
      <w:proofErr w:type="spellEnd"/>
      <w:r w:rsidRPr="00212AD6">
        <w:rPr>
          <w:i/>
          <w:lang w:val="pl-PL" w:eastAsia="en-US"/>
        </w:rPr>
        <w:t xml:space="preserve"> </w:t>
      </w:r>
      <w:proofErr w:type="spellStart"/>
      <w:r w:rsidRPr="00212AD6">
        <w:rPr>
          <w:i/>
          <w:lang w:val="pl-PL" w:eastAsia="en-US"/>
        </w:rPr>
        <w:t>Eskelinen</w:t>
      </w:r>
      <w:proofErr w:type="spellEnd"/>
      <w:r w:rsidRPr="00212AD6">
        <w:rPr>
          <w:lang w:val="pl-PL"/>
        </w:rPr>
        <w:t xml:space="preserve"> Trybunał był zdania, że spory pracownicze pomiędzy władzami a urzędnikami państwowymi, </w:t>
      </w:r>
      <w:r w:rsidR="00C34B57">
        <w:rPr>
          <w:lang w:val="pl-PL"/>
        </w:rPr>
        <w:lastRenderedPageBreak/>
        <w:t>których obowiązki obejmują typowe konkretne czynności służby publicznej</w:t>
      </w:r>
      <w:r w:rsidRPr="00212AD6">
        <w:rPr>
          <w:lang w:val="pl-PL"/>
        </w:rPr>
        <w:t xml:space="preserve">, </w:t>
      </w:r>
      <w:r w:rsidR="00C34B57">
        <w:rPr>
          <w:lang w:val="pl-PL"/>
        </w:rPr>
        <w:t xml:space="preserve">w tym sensie, że ci ostatni pełnią rolę </w:t>
      </w:r>
      <w:r w:rsidRPr="00212AD6">
        <w:rPr>
          <w:lang w:val="pl-PL"/>
        </w:rPr>
        <w:t>depo</w:t>
      </w:r>
      <w:r w:rsidR="00C34B57">
        <w:rPr>
          <w:lang w:val="pl-PL"/>
        </w:rPr>
        <w:t>z</w:t>
      </w:r>
      <w:r w:rsidRPr="00212AD6">
        <w:rPr>
          <w:lang w:val="pl-PL"/>
        </w:rPr>
        <w:t>y</w:t>
      </w:r>
      <w:r w:rsidR="00C34B57">
        <w:rPr>
          <w:lang w:val="pl-PL"/>
        </w:rPr>
        <w:t xml:space="preserve">tariuszy władzy publicznej odpowiedzialnych za ochronę ogólnych </w:t>
      </w:r>
      <w:r w:rsidRPr="00212AD6">
        <w:rPr>
          <w:lang w:val="pl-PL"/>
        </w:rPr>
        <w:t>interes</w:t>
      </w:r>
      <w:r w:rsidR="00C34B57">
        <w:rPr>
          <w:lang w:val="pl-PL"/>
        </w:rPr>
        <w:t>ów państwa,</w:t>
      </w:r>
      <w:r w:rsidRPr="00212AD6">
        <w:rPr>
          <w:lang w:val="pl-PL"/>
        </w:rPr>
        <w:t xml:space="preserve"> nie </w:t>
      </w:r>
      <w:r w:rsidR="00C34B57" w:rsidRPr="00212AD6">
        <w:rPr>
          <w:lang w:val="pl-PL"/>
        </w:rPr>
        <w:t>mają charakteru</w:t>
      </w:r>
      <w:r w:rsidRPr="00212AD6">
        <w:rPr>
          <w:lang w:val="pl-PL"/>
        </w:rPr>
        <w:t xml:space="preserve"> „cywilnego” i są wyłączone z zakresu </w:t>
      </w:r>
      <w:r w:rsidR="00B569A1">
        <w:rPr>
          <w:lang w:val="pl-PL"/>
        </w:rPr>
        <w:t>art.</w:t>
      </w:r>
      <w:r w:rsidRPr="00212AD6">
        <w:rPr>
          <w:lang w:val="pl-PL"/>
        </w:rPr>
        <w:t xml:space="preserve"> 6 ust. 1 Konwencji (zob. </w:t>
      </w:r>
      <w:proofErr w:type="spellStart"/>
      <w:r w:rsidRPr="00212AD6">
        <w:rPr>
          <w:i/>
          <w:lang w:val="pl-PL" w:eastAsia="en-US"/>
        </w:rPr>
        <w:t>Pellegrin</w:t>
      </w:r>
      <w:proofErr w:type="spellEnd"/>
      <w:r w:rsidRPr="00212AD6">
        <w:rPr>
          <w:i/>
          <w:lang w:val="pl-PL" w:eastAsia="en-US"/>
        </w:rPr>
        <w:t xml:space="preserve"> przeciwko Francji</w:t>
      </w:r>
      <w:r w:rsidRPr="00212AD6">
        <w:rPr>
          <w:lang w:val="pl-PL" w:eastAsia="en-US"/>
        </w:rPr>
        <w:t xml:space="preserve"> [WI], nr 28541/95, § 66, </w:t>
      </w:r>
      <w:proofErr w:type="spellStart"/>
      <w:r w:rsidRPr="00212AD6">
        <w:rPr>
          <w:lang w:val="pl-PL" w:eastAsia="en-US"/>
        </w:rPr>
        <w:t>ETPCz</w:t>
      </w:r>
      <w:proofErr w:type="spellEnd"/>
      <w:r w:rsidRPr="00212AD6">
        <w:rPr>
          <w:lang w:val="pl-PL" w:eastAsia="en-US"/>
        </w:rPr>
        <w:t xml:space="preserve"> 1999</w:t>
      </w:r>
      <w:r w:rsidRPr="00212AD6">
        <w:rPr>
          <w:lang w:val="pl-PL" w:eastAsia="en-US"/>
        </w:rPr>
        <w:noBreakHyphen/>
        <w:t>VIII</w:t>
      </w:r>
      <w:r w:rsidRPr="00212AD6">
        <w:rPr>
          <w:lang w:val="pl-PL"/>
        </w:rPr>
        <w:t>).</w:t>
      </w:r>
      <w:r w:rsidR="00F117FF">
        <w:rPr>
          <w:lang w:val="pl-PL" w:eastAsia="en-US"/>
        </w:rPr>
        <w:t xml:space="preserve"> Podobnie</w:t>
      </w:r>
      <w:r w:rsidRPr="00212AD6">
        <w:rPr>
          <w:lang w:val="pl-PL" w:eastAsia="en-US"/>
        </w:rPr>
        <w:t xml:space="preserve"> </w:t>
      </w:r>
      <w:r w:rsidR="00F117FF" w:rsidRPr="00212AD6">
        <w:rPr>
          <w:lang w:val="pl-PL" w:eastAsia="en-US"/>
        </w:rPr>
        <w:t xml:space="preserve">z zakresu </w:t>
      </w:r>
      <w:r w:rsidR="00B569A1">
        <w:rPr>
          <w:lang w:val="pl-PL" w:eastAsia="en-US"/>
        </w:rPr>
        <w:t>art.</w:t>
      </w:r>
      <w:r w:rsidR="00F117FF" w:rsidRPr="00212AD6">
        <w:rPr>
          <w:lang w:val="pl-PL" w:eastAsia="en-US"/>
        </w:rPr>
        <w:t xml:space="preserve"> </w:t>
      </w:r>
      <w:r w:rsidR="00F117FF" w:rsidRPr="00212AD6">
        <w:rPr>
          <w:lang w:val="pl-PL"/>
        </w:rPr>
        <w:t>6 ust. 1</w:t>
      </w:r>
      <w:r w:rsidR="00F117FF" w:rsidRPr="00F117FF">
        <w:rPr>
          <w:lang w:val="pl-PL" w:eastAsia="en-US"/>
        </w:rPr>
        <w:t xml:space="preserve"> </w:t>
      </w:r>
      <w:r w:rsidR="00683442" w:rsidRPr="00212AD6">
        <w:rPr>
          <w:lang w:val="pl-PL" w:eastAsia="en-US"/>
        </w:rPr>
        <w:t>wyłączone</w:t>
      </w:r>
      <w:r w:rsidR="00683442">
        <w:rPr>
          <w:lang w:val="pl-PL" w:eastAsia="en-US"/>
        </w:rPr>
        <w:t xml:space="preserve"> były</w:t>
      </w:r>
      <w:r w:rsidR="00F117FF" w:rsidRPr="00212AD6">
        <w:rPr>
          <w:lang w:val="pl-PL"/>
        </w:rPr>
        <w:t xml:space="preserve"> </w:t>
      </w:r>
      <w:r w:rsidRPr="00212AD6">
        <w:rPr>
          <w:lang w:val="pl-PL" w:eastAsia="en-US"/>
        </w:rPr>
        <w:t xml:space="preserve">spory </w:t>
      </w:r>
      <w:r w:rsidR="00C34B57" w:rsidRPr="00212AD6">
        <w:rPr>
          <w:lang w:val="pl-PL" w:eastAsia="en-US"/>
        </w:rPr>
        <w:t>pracownicze</w:t>
      </w:r>
      <w:r w:rsidRPr="00212AD6">
        <w:rPr>
          <w:lang w:val="pl-PL" w:eastAsia="en-US"/>
        </w:rPr>
        <w:t xml:space="preserve"> dot</w:t>
      </w:r>
      <w:r w:rsidR="00F117FF">
        <w:rPr>
          <w:lang w:val="pl-PL" w:eastAsia="en-US"/>
        </w:rPr>
        <w:t xml:space="preserve">yczące </w:t>
      </w:r>
      <w:r w:rsidR="008667B0">
        <w:rPr>
          <w:lang w:val="pl-PL" w:eastAsia="en-US"/>
        </w:rPr>
        <w:t>stanowisk w wymiarze</w:t>
      </w:r>
      <w:r w:rsidR="00F117FF">
        <w:rPr>
          <w:lang w:val="pl-PL" w:eastAsia="en-US"/>
        </w:rPr>
        <w:t xml:space="preserve"> sprawiedliwości,</w:t>
      </w:r>
      <w:r w:rsidRPr="00212AD6">
        <w:rPr>
          <w:lang w:val="pl-PL" w:eastAsia="en-US"/>
        </w:rPr>
        <w:t xml:space="preserve"> </w:t>
      </w:r>
      <w:r w:rsidRPr="00212AD6">
        <w:rPr>
          <w:lang w:val="pl-PL"/>
        </w:rPr>
        <w:t xml:space="preserve">ponieważ </w:t>
      </w:r>
      <w:r w:rsidRPr="00212AD6">
        <w:rPr>
          <w:lang w:val="pl-PL" w:eastAsia="en-US"/>
        </w:rPr>
        <w:t xml:space="preserve">wymiar </w:t>
      </w:r>
      <w:r w:rsidRPr="00C02B33">
        <w:rPr>
          <w:lang w:val="pl-PL" w:eastAsia="en-US"/>
        </w:rPr>
        <w:t>sprawiedliwości</w:t>
      </w:r>
      <w:r w:rsidRPr="00C02B33">
        <w:rPr>
          <w:lang w:val="pl-PL"/>
        </w:rPr>
        <w:t xml:space="preserve"> – mimo że </w:t>
      </w:r>
      <w:r w:rsidR="008667B0">
        <w:rPr>
          <w:lang w:val="pl-PL"/>
        </w:rPr>
        <w:t xml:space="preserve">nie </w:t>
      </w:r>
      <w:r w:rsidRPr="00C02B33">
        <w:rPr>
          <w:lang w:val="pl-PL"/>
        </w:rPr>
        <w:t xml:space="preserve">stanowi części zwykłej służby </w:t>
      </w:r>
      <w:r w:rsidR="00F80B8F">
        <w:rPr>
          <w:lang w:val="pl-PL"/>
        </w:rPr>
        <w:t>cywilnej</w:t>
      </w:r>
      <w:r w:rsidRPr="00C02B33">
        <w:rPr>
          <w:lang w:val="pl-PL"/>
        </w:rPr>
        <w:t xml:space="preserve"> – uważano </w:t>
      </w:r>
      <w:r w:rsidR="008667B0">
        <w:rPr>
          <w:lang w:val="pl-PL"/>
        </w:rPr>
        <w:t xml:space="preserve">niemniej </w:t>
      </w:r>
      <w:r w:rsidRPr="00C02B33">
        <w:rPr>
          <w:lang w:val="pl-PL"/>
        </w:rPr>
        <w:t>za element ty</w:t>
      </w:r>
      <w:r w:rsidR="00C34B57" w:rsidRPr="00C02B33">
        <w:rPr>
          <w:lang w:val="pl-PL"/>
        </w:rPr>
        <w:t>powej służby publicznej</w:t>
      </w:r>
      <w:r w:rsidRPr="00C02B33">
        <w:rPr>
          <w:lang w:val="pl-PL"/>
        </w:rPr>
        <w:t xml:space="preserve"> (zob. </w:t>
      </w:r>
      <w:proofErr w:type="spellStart"/>
      <w:r w:rsidRPr="00C02B33">
        <w:rPr>
          <w:i/>
          <w:lang w:val="pl-PL"/>
        </w:rPr>
        <w:t>Pitkevich</w:t>
      </w:r>
      <w:proofErr w:type="spellEnd"/>
      <w:r w:rsidRPr="00C02B33">
        <w:rPr>
          <w:i/>
          <w:lang w:val="pl-PL"/>
        </w:rPr>
        <w:t xml:space="preserve"> przeciwko Rosji </w:t>
      </w:r>
      <w:r w:rsidRPr="00C02B33">
        <w:rPr>
          <w:lang w:val="pl-PL"/>
        </w:rPr>
        <w:t>(</w:t>
      </w:r>
      <w:proofErr w:type="spellStart"/>
      <w:r w:rsidRPr="00C02B33">
        <w:rPr>
          <w:lang w:val="pl-PL"/>
        </w:rPr>
        <w:t>dec</w:t>
      </w:r>
      <w:proofErr w:type="spellEnd"/>
      <w:r w:rsidRPr="00C02B33">
        <w:rPr>
          <w:lang w:val="pl-PL"/>
        </w:rPr>
        <w:t>.), nr 47936/99, 8 lutego 2001 r.).</w:t>
      </w:r>
    </w:p>
    <w:p w14:paraId="3679706A" w14:textId="0235FA6A" w:rsidR="00F767C0" w:rsidRPr="00212AD6" w:rsidRDefault="00F767C0" w:rsidP="00F767C0">
      <w:pPr>
        <w:pStyle w:val="JuPara"/>
        <w:rPr>
          <w:lang w:val="pl-PL" w:eastAsia="en-US"/>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55</w:t>
      </w:r>
      <w:r w:rsidRPr="00212AD6">
        <w:rPr>
          <w:lang w:val="pl-PL"/>
        </w:rPr>
        <w:fldChar w:fldCharType="end"/>
      </w:r>
      <w:r w:rsidRPr="00212AD6">
        <w:rPr>
          <w:lang w:val="pl-PL"/>
        </w:rPr>
        <w:t xml:space="preserve">.  W sprawie </w:t>
      </w:r>
      <w:proofErr w:type="spellStart"/>
      <w:r w:rsidRPr="00212AD6">
        <w:rPr>
          <w:i/>
          <w:szCs w:val="24"/>
          <w:lang w:val="pl-PL" w:eastAsia="en-US"/>
        </w:rPr>
        <w:t>Vilho</w:t>
      </w:r>
      <w:proofErr w:type="spellEnd"/>
      <w:r w:rsidRPr="00212AD6">
        <w:rPr>
          <w:i/>
          <w:szCs w:val="24"/>
          <w:lang w:val="pl-PL" w:eastAsia="en-US"/>
        </w:rPr>
        <w:t xml:space="preserve"> </w:t>
      </w:r>
      <w:proofErr w:type="spellStart"/>
      <w:r w:rsidRPr="00212AD6">
        <w:rPr>
          <w:i/>
          <w:szCs w:val="24"/>
          <w:lang w:val="pl-PL" w:eastAsia="en-US"/>
        </w:rPr>
        <w:t>Eskelinen</w:t>
      </w:r>
      <w:proofErr w:type="spellEnd"/>
      <w:r w:rsidRPr="00212AD6">
        <w:rPr>
          <w:i/>
          <w:szCs w:val="24"/>
          <w:lang w:val="pl-PL" w:eastAsia="en-US"/>
        </w:rPr>
        <w:t xml:space="preserve"> </w:t>
      </w:r>
      <w:r w:rsidRPr="00212AD6">
        <w:rPr>
          <w:szCs w:val="24"/>
          <w:lang w:val="pl-PL" w:eastAsia="en-US"/>
        </w:rPr>
        <w:t xml:space="preserve">Trybunał </w:t>
      </w:r>
      <w:r w:rsidRPr="00212AD6">
        <w:rPr>
          <w:lang w:val="pl-PL" w:eastAsia="en-US"/>
        </w:rPr>
        <w:t xml:space="preserve">ponownie zbadał stosowanie </w:t>
      </w:r>
      <w:r w:rsidR="00B569A1">
        <w:rPr>
          <w:lang w:val="pl-PL" w:eastAsia="en-US"/>
        </w:rPr>
        <w:t>art.</w:t>
      </w:r>
      <w:r w:rsidRPr="00212AD6">
        <w:rPr>
          <w:lang w:val="pl-PL"/>
        </w:rPr>
        <w:t xml:space="preserve"> 6 ust. 1 i stwierdził, że </w:t>
      </w:r>
      <w:r w:rsidR="00C34B57" w:rsidRPr="00212AD6">
        <w:rPr>
          <w:lang w:val="pl-PL"/>
        </w:rPr>
        <w:t>jednoznaczne</w:t>
      </w:r>
      <w:r w:rsidRPr="00212AD6">
        <w:rPr>
          <w:lang w:val="pl-PL"/>
        </w:rPr>
        <w:t xml:space="preserve"> określanie t</w:t>
      </w:r>
      <w:r w:rsidR="00141EEF">
        <w:rPr>
          <w:lang w:val="pl-PL"/>
        </w:rPr>
        <w:t>akich</w:t>
      </w:r>
      <w:r w:rsidRPr="00212AD6">
        <w:rPr>
          <w:lang w:val="pl-PL"/>
        </w:rPr>
        <w:t xml:space="preserve"> obszarów</w:t>
      </w:r>
      <w:r w:rsidR="00141EEF">
        <w:rPr>
          <w:lang w:val="pl-PL"/>
        </w:rPr>
        <w:t xml:space="preserve"> służby publicznej</w:t>
      </w:r>
      <w:r w:rsidRPr="00212AD6">
        <w:rPr>
          <w:lang w:val="pl-PL"/>
        </w:rPr>
        <w:t>,</w:t>
      </w:r>
      <w:r w:rsidR="00141EEF">
        <w:rPr>
          <w:lang w:val="pl-PL"/>
        </w:rPr>
        <w:t xml:space="preserve"> które obejmują wykonywanie </w:t>
      </w:r>
      <w:r w:rsidR="00131C89">
        <w:rPr>
          <w:lang w:val="pl-PL"/>
        </w:rPr>
        <w:t xml:space="preserve">uprawnień o charakterze uznaniowym nieodłącznie związanych z suwerennością państwa, w przypadku których </w:t>
      </w:r>
      <w:r w:rsidRPr="00212AD6">
        <w:rPr>
          <w:lang w:val="pl-PL"/>
        </w:rPr>
        <w:t>interes</w:t>
      </w:r>
      <w:r w:rsidR="00E701AC">
        <w:rPr>
          <w:lang w:val="pl-PL"/>
        </w:rPr>
        <w:t>y jednostki muszą</w:t>
      </w:r>
      <w:r w:rsidR="00131C89">
        <w:rPr>
          <w:lang w:val="pl-PL"/>
        </w:rPr>
        <w:t xml:space="preserve"> ustąpić im pierwszeństwa</w:t>
      </w:r>
      <w:r w:rsidRPr="00212AD6">
        <w:rPr>
          <w:lang w:val="pl-PL"/>
        </w:rPr>
        <w:t xml:space="preserve">, leży w gestii </w:t>
      </w:r>
      <w:r w:rsidR="00131C89" w:rsidRPr="00212AD6">
        <w:rPr>
          <w:lang w:val="pl-PL"/>
        </w:rPr>
        <w:t>U</w:t>
      </w:r>
      <w:r w:rsidR="008667B0">
        <w:rPr>
          <w:lang w:val="pl-PL"/>
        </w:rPr>
        <w:t>kładających</w:t>
      </w:r>
      <w:r w:rsidR="00131C89">
        <w:rPr>
          <w:lang w:val="pl-PL"/>
        </w:rPr>
        <w:t xml:space="preserve"> się Państw, w szczególności właściwej krajowej władzy ustawodawczej</w:t>
      </w:r>
      <w:r w:rsidRPr="00212AD6">
        <w:rPr>
          <w:lang w:val="pl-PL"/>
        </w:rPr>
        <w:t xml:space="preserve">, nie zaś w gestii Trybunału. Jeżeli system krajowy wykluczał dostęp do sądu, Trybunał miałby </w:t>
      </w:r>
      <w:r w:rsidR="00E701AC">
        <w:rPr>
          <w:lang w:val="pl-PL"/>
        </w:rPr>
        <w:t xml:space="preserve">za zadanie </w:t>
      </w:r>
      <w:r w:rsidRPr="00212AD6">
        <w:rPr>
          <w:lang w:val="pl-PL"/>
        </w:rPr>
        <w:t xml:space="preserve">sprawdzić, czy spór miał charakter uzasadniający zastosowanie wyjątku od </w:t>
      </w:r>
      <w:r w:rsidR="00131C89" w:rsidRPr="00212AD6">
        <w:rPr>
          <w:lang w:val="pl-PL"/>
        </w:rPr>
        <w:t>gwarancji</w:t>
      </w:r>
      <w:r w:rsidRPr="00212AD6">
        <w:rPr>
          <w:lang w:val="pl-PL"/>
        </w:rPr>
        <w:t xml:space="preserve"> </w:t>
      </w:r>
      <w:r w:rsidR="00131C89" w:rsidRPr="00212AD6">
        <w:rPr>
          <w:lang w:val="pl-PL"/>
        </w:rPr>
        <w:t>przewidzianych</w:t>
      </w:r>
      <w:r w:rsidRPr="00212AD6">
        <w:rPr>
          <w:lang w:val="pl-PL"/>
        </w:rPr>
        <w:t xml:space="preserve"> artykułem 6. Jeżeli nie, problem nie istniałby i zastosowanie miałby </w:t>
      </w:r>
      <w:r w:rsidR="00B569A1">
        <w:rPr>
          <w:lang w:val="pl-PL"/>
        </w:rPr>
        <w:t>art.</w:t>
      </w:r>
      <w:r w:rsidRPr="00212AD6">
        <w:rPr>
          <w:lang w:val="pl-PL"/>
        </w:rPr>
        <w:t xml:space="preserve"> 6 ust. 1 (zob. </w:t>
      </w:r>
      <w:proofErr w:type="spellStart"/>
      <w:r w:rsidRPr="00212AD6">
        <w:rPr>
          <w:i/>
          <w:szCs w:val="24"/>
          <w:lang w:val="pl-PL" w:eastAsia="en-US"/>
        </w:rPr>
        <w:t>Vilho</w:t>
      </w:r>
      <w:proofErr w:type="spellEnd"/>
      <w:r w:rsidRPr="00212AD6">
        <w:rPr>
          <w:i/>
          <w:szCs w:val="24"/>
          <w:lang w:val="pl-PL" w:eastAsia="en-US"/>
        </w:rPr>
        <w:t xml:space="preserve"> </w:t>
      </w:r>
      <w:proofErr w:type="spellStart"/>
      <w:r w:rsidRPr="00212AD6">
        <w:rPr>
          <w:i/>
          <w:szCs w:val="24"/>
          <w:lang w:val="pl-PL" w:eastAsia="en-US"/>
        </w:rPr>
        <w:t>Eskelinen</w:t>
      </w:r>
      <w:proofErr w:type="spellEnd"/>
      <w:r w:rsidRPr="00212AD6">
        <w:rPr>
          <w:i/>
          <w:szCs w:val="24"/>
          <w:lang w:val="pl-PL" w:eastAsia="en-US"/>
        </w:rPr>
        <w:t xml:space="preserve"> i Inni</w:t>
      </w:r>
      <w:r w:rsidRPr="00212AD6">
        <w:rPr>
          <w:szCs w:val="24"/>
          <w:lang w:val="pl-PL" w:eastAsia="en-US"/>
        </w:rPr>
        <w:t xml:space="preserve">, cyt. powyżej, </w:t>
      </w:r>
      <w:r w:rsidRPr="00212AD6">
        <w:rPr>
          <w:lang w:val="pl-PL"/>
        </w:rPr>
        <w:t>§ 61</w:t>
      </w:r>
      <w:r w:rsidRPr="00212AD6">
        <w:rPr>
          <w:lang w:val="pl-PL" w:eastAsia="en-US"/>
        </w:rPr>
        <w:t>).</w:t>
      </w:r>
    </w:p>
    <w:p w14:paraId="6BDA545E" w14:textId="5D574279" w:rsidR="00F767C0" w:rsidRPr="00212AD6" w:rsidRDefault="00F767C0" w:rsidP="00F767C0">
      <w:pPr>
        <w:pStyle w:val="JuPara"/>
        <w:rPr>
          <w:i/>
          <w:lang w:val="pl-PL" w:eastAsia="en-US"/>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56</w:t>
      </w:r>
      <w:r w:rsidRPr="00212AD6">
        <w:rPr>
          <w:lang w:val="pl-PL"/>
        </w:rPr>
        <w:fldChar w:fldCharType="end"/>
      </w:r>
      <w:r w:rsidRPr="00212AD6">
        <w:rPr>
          <w:lang w:val="pl-PL"/>
        </w:rPr>
        <w:t>.  </w:t>
      </w:r>
      <w:r w:rsidR="008667B0">
        <w:rPr>
          <w:lang w:val="pl-PL"/>
        </w:rPr>
        <w:t xml:space="preserve">Po </w:t>
      </w:r>
      <w:r w:rsidRPr="00212AD6">
        <w:rPr>
          <w:lang w:val="pl-PL"/>
        </w:rPr>
        <w:t xml:space="preserve">sprawie </w:t>
      </w:r>
      <w:proofErr w:type="spellStart"/>
      <w:r w:rsidRPr="00212AD6">
        <w:rPr>
          <w:i/>
          <w:szCs w:val="24"/>
          <w:lang w:val="pl-PL" w:eastAsia="en-US"/>
        </w:rPr>
        <w:t>Vilho</w:t>
      </w:r>
      <w:proofErr w:type="spellEnd"/>
      <w:r w:rsidRPr="00212AD6">
        <w:rPr>
          <w:i/>
          <w:szCs w:val="24"/>
          <w:lang w:val="pl-PL" w:eastAsia="en-US"/>
        </w:rPr>
        <w:t xml:space="preserve"> </w:t>
      </w:r>
      <w:proofErr w:type="spellStart"/>
      <w:r w:rsidRPr="00212AD6">
        <w:rPr>
          <w:i/>
          <w:szCs w:val="24"/>
          <w:lang w:val="pl-PL" w:eastAsia="en-US"/>
        </w:rPr>
        <w:t>Eskelinen</w:t>
      </w:r>
      <w:proofErr w:type="spellEnd"/>
      <w:r w:rsidRPr="00212AD6">
        <w:rPr>
          <w:i/>
          <w:szCs w:val="24"/>
          <w:lang w:val="pl-PL" w:eastAsia="en-US"/>
        </w:rPr>
        <w:t xml:space="preserve"> </w:t>
      </w:r>
      <w:r w:rsidRPr="00212AD6">
        <w:rPr>
          <w:szCs w:val="24"/>
          <w:lang w:val="pl-PL" w:eastAsia="en-US"/>
        </w:rPr>
        <w:t xml:space="preserve">Trybunał uznał, że </w:t>
      </w:r>
      <w:r w:rsidR="00B569A1">
        <w:rPr>
          <w:szCs w:val="24"/>
          <w:lang w:val="pl-PL" w:eastAsia="en-US"/>
        </w:rPr>
        <w:t>art.</w:t>
      </w:r>
      <w:r w:rsidRPr="00212AD6">
        <w:rPr>
          <w:lang w:val="pl-PL"/>
        </w:rPr>
        <w:t xml:space="preserve"> 6 ma zastosowanie względem sporów dotyczących płatności </w:t>
      </w:r>
      <w:r w:rsidR="00131C89" w:rsidRPr="00212AD6">
        <w:rPr>
          <w:lang w:val="pl-PL"/>
        </w:rPr>
        <w:t>na</w:t>
      </w:r>
      <w:r w:rsidRPr="00212AD6">
        <w:rPr>
          <w:lang w:val="pl-PL"/>
        </w:rPr>
        <w:t xml:space="preserve"> rzecz sędziów </w:t>
      </w:r>
      <w:r w:rsidR="00131C89" w:rsidRPr="00212AD6">
        <w:rPr>
          <w:lang w:val="pl-PL"/>
        </w:rPr>
        <w:t>wynagrodzeń</w:t>
      </w:r>
      <w:r w:rsidRPr="00212AD6">
        <w:rPr>
          <w:lang w:val="pl-PL"/>
        </w:rPr>
        <w:t xml:space="preserve"> i pozostałych świadczeń (zob. </w:t>
      </w:r>
      <w:proofErr w:type="spellStart"/>
      <w:r w:rsidRPr="00212AD6">
        <w:rPr>
          <w:i/>
          <w:lang w:val="pl-PL" w:eastAsia="en-US"/>
        </w:rPr>
        <w:t>Petrova</w:t>
      </w:r>
      <w:proofErr w:type="spellEnd"/>
      <w:r w:rsidRPr="00212AD6">
        <w:rPr>
          <w:i/>
          <w:lang w:val="pl-PL" w:eastAsia="en-US"/>
        </w:rPr>
        <w:t xml:space="preserve"> i </w:t>
      </w:r>
      <w:proofErr w:type="spellStart"/>
      <w:r w:rsidRPr="00212AD6">
        <w:rPr>
          <w:i/>
          <w:lang w:val="pl-PL" w:eastAsia="en-US"/>
        </w:rPr>
        <w:t>Chornobryvets</w:t>
      </w:r>
      <w:proofErr w:type="spellEnd"/>
      <w:r w:rsidRPr="00212AD6">
        <w:rPr>
          <w:i/>
          <w:lang w:val="pl-PL" w:eastAsia="en-US"/>
        </w:rPr>
        <w:t xml:space="preserve"> przeciwko Ukrainie</w:t>
      </w:r>
      <w:r w:rsidRPr="00212AD6">
        <w:rPr>
          <w:lang w:val="pl-PL" w:eastAsia="en-US"/>
        </w:rPr>
        <w:t>, nr 6360/04 i 16820/04, § 15, 15 maja 2008 r.</w:t>
      </w:r>
      <w:r w:rsidRPr="00212AD6">
        <w:rPr>
          <w:lang w:val="pl-PL"/>
        </w:rPr>
        <w:t>), a także sporów dotyczących ich przenoszenia (zob.</w:t>
      </w:r>
      <w:r w:rsidRPr="00212AD6">
        <w:rPr>
          <w:i/>
          <w:lang w:val="pl-PL"/>
        </w:rPr>
        <w:t xml:space="preserve"> </w:t>
      </w:r>
      <w:proofErr w:type="spellStart"/>
      <w:r w:rsidRPr="00212AD6">
        <w:rPr>
          <w:i/>
          <w:lang w:val="pl-PL"/>
        </w:rPr>
        <w:t>Tosti</w:t>
      </w:r>
      <w:proofErr w:type="spellEnd"/>
      <w:r w:rsidRPr="00212AD6">
        <w:rPr>
          <w:i/>
          <w:lang w:val="pl-PL"/>
        </w:rPr>
        <w:t xml:space="preserve"> przeciwko Włochom</w:t>
      </w:r>
      <w:r w:rsidRPr="00212AD6">
        <w:rPr>
          <w:lang w:val="pl-PL"/>
        </w:rPr>
        <w:t xml:space="preserve"> (</w:t>
      </w:r>
      <w:proofErr w:type="spellStart"/>
      <w:r w:rsidRPr="00212AD6">
        <w:rPr>
          <w:lang w:val="pl-PL"/>
        </w:rPr>
        <w:t>dec</w:t>
      </w:r>
      <w:proofErr w:type="spellEnd"/>
      <w:r w:rsidRPr="00212AD6">
        <w:rPr>
          <w:lang w:val="pl-PL"/>
        </w:rPr>
        <w:t xml:space="preserve">.), nr 27791/06, 12 maja 2009 r.) i usuwania ze stanowiska (zob. </w:t>
      </w:r>
      <w:proofErr w:type="spellStart"/>
      <w:r w:rsidRPr="00212AD6">
        <w:rPr>
          <w:i/>
          <w:lang w:val="pl-PL" w:eastAsia="en-US"/>
        </w:rPr>
        <w:t>Olujić</w:t>
      </w:r>
      <w:proofErr w:type="spellEnd"/>
      <w:r w:rsidRPr="00212AD6">
        <w:rPr>
          <w:i/>
          <w:lang w:val="pl-PL" w:eastAsia="en-US"/>
        </w:rPr>
        <w:t xml:space="preserve"> przeciwko Chorwacji</w:t>
      </w:r>
      <w:r w:rsidRPr="00212AD6">
        <w:rPr>
          <w:lang w:val="pl-PL" w:eastAsia="en-US"/>
        </w:rPr>
        <w:t>, nr 22330/05, §§ 31-44, 5 lutego 2009 r.</w:t>
      </w:r>
      <w:r w:rsidR="008667B0">
        <w:rPr>
          <w:lang w:val="pl-PL" w:eastAsia="en-US"/>
        </w:rPr>
        <w:t>,</w:t>
      </w:r>
      <w:r w:rsidRPr="00212AD6">
        <w:rPr>
          <w:lang w:val="pl-PL" w:eastAsia="en-US"/>
        </w:rPr>
        <w:t xml:space="preserve"> oraz </w:t>
      </w:r>
      <w:r w:rsidRPr="00212AD6">
        <w:rPr>
          <w:i/>
          <w:lang w:val="pl-PL" w:eastAsia="en-US"/>
        </w:rPr>
        <w:t>G. przeciwko Finlandii</w:t>
      </w:r>
      <w:r w:rsidRPr="00212AD6">
        <w:rPr>
          <w:lang w:val="pl-PL" w:eastAsia="en-US"/>
        </w:rPr>
        <w:t>, nr 33173/05, § 34, 27 stycznia 2009 r.) w przypadkach, gdy prawo krajowe zezwalało na dostęp do sądu w celu zakwestionowania odnośnych decyzji</w:t>
      </w:r>
      <w:r w:rsidRPr="00212AD6">
        <w:rPr>
          <w:color w:val="000000"/>
          <w:szCs w:val="24"/>
          <w:lang w:val="pl-PL" w:eastAsia="en-GB"/>
        </w:rPr>
        <w:t>. W tym względzie Trybunał zauważa, że prawo chorwackie zezwala na zaskarżanie decyzji chorwackiego Parlamentu w sprawie wyboru sędziów Trybunału Konstytucyjnego do władz sądowych w zakresie, w jakim decyzje takie mogą być sprzeczne z gwarantowanymi przez konstytucję prawami do</w:t>
      </w:r>
      <w:r w:rsidRPr="00212AD6">
        <w:rPr>
          <w:lang w:val="pl-PL"/>
        </w:rPr>
        <w:t xml:space="preserve"> równego dostępu do służby publicznej oraz równego dostępu do zatrudnienia</w:t>
      </w:r>
      <w:r w:rsidRPr="00212AD6">
        <w:rPr>
          <w:color w:val="000000"/>
          <w:szCs w:val="24"/>
          <w:lang w:val="pl-PL" w:eastAsia="en-GB"/>
        </w:rPr>
        <w:t xml:space="preserve">. W niniejszej sprawie skarżąca zakwestionowała zaskarżoną decyzję przed Sądem Administracyjnym, składając wniosek o ochronę prawa </w:t>
      </w:r>
      <w:r w:rsidRPr="00212AD6">
        <w:rPr>
          <w:lang w:val="pl-PL"/>
        </w:rPr>
        <w:t xml:space="preserve">gwarantowanego przez </w:t>
      </w:r>
      <w:r w:rsidR="008667B0" w:rsidRPr="00212AD6">
        <w:rPr>
          <w:lang w:val="pl-PL"/>
        </w:rPr>
        <w:t xml:space="preserve">Konstytucję </w:t>
      </w:r>
      <w:r w:rsidRPr="00212AD6">
        <w:rPr>
          <w:lang w:val="pl-PL"/>
        </w:rPr>
        <w:t xml:space="preserve">na podstawie </w:t>
      </w:r>
      <w:r w:rsidR="00B569A1">
        <w:rPr>
          <w:lang w:val="pl-PL"/>
        </w:rPr>
        <w:t>art.</w:t>
      </w:r>
      <w:r w:rsidRPr="00212AD6">
        <w:rPr>
          <w:lang w:val="pl-PL"/>
        </w:rPr>
        <w:t xml:space="preserve"> 66 ustawy o sporach administracyjnych (zob. paragrafy 10 i 32 powyżej).</w:t>
      </w:r>
    </w:p>
    <w:p w14:paraId="31E398DA" w14:textId="77777777" w:rsidR="00F767C0" w:rsidRPr="00212AD6" w:rsidRDefault="00F767C0" w:rsidP="00F767C0">
      <w:pPr>
        <w:pStyle w:val="JuHi"/>
        <w:rPr>
          <w:lang w:val="pl-PL"/>
        </w:rPr>
      </w:pPr>
      <w:r w:rsidRPr="00212AD6">
        <w:rPr>
          <w:lang w:val="pl-PL"/>
        </w:rPr>
        <w:t>(iii)  Wniosek</w:t>
      </w:r>
    </w:p>
    <w:p w14:paraId="036BC308" w14:textId="779E0215" w:rsidR="00F767C0" w:rsidRPr="00212AD6" w:rsidRDefault="00F767C0" w:rsidP="00F767C0">
      <w:pPr>
        <w:pStyle w:val="JuPara"/>
        <w:rPr>
          <w:i/>
          <w:lang w:val="pl-PL" w:eastAsia="en-US"/>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57</w:t>
      </w:r>
      <w:r w:rsidRPr="00212AD6">
        <w:rPr>
          <w:lang w:val="pl-PL"/>
        </w:rPr>
        <w:fldChar w:fldCharType="end"/>
      </w:r>
      <w:r w:rsidRPr="00212AD6">
        <w:rPr>
          <w:lang w:val="pl-PL"/>
        </w:rPr>
        <w:t xml:space="preserve">.  W świetle powyższego Trybunał stwierdza, że </w:t>
      </w:r>
      <w:r w:rsidR="00B569A1">
        <w:rPr>
          <w:lang w:val="pl-PL"/>
        </w:rPr>
        <w:t>art.</w:t>
      </w:r>
      <w:r w:rsidRPr="00212AD6">
        <w:rPr>
          <w:lang w:val="pl-PL"/>
        </w:rPr>
        <w:t xml:space="preserve"> 6 Konwencji ma w niniejszej sprawie zastos</w:t>
      </w:r>
      <w:r w:rsidR="00131C89">
        <w:rPr>
          <w:lang w:val="pl-PL"/>
        </w:rPr>
        <w:t xml:space="preserve">owanie w części </w:t>
      </w:r>
      <w:r w:rsidR="00683442">
        <w:rPr>
          <w:lang w:val="pl-PL"/>
        </w:rPr>
        <w:t>cywilnej (zob</w:t>
      </w:r>
      <w:r w:rsidR="00131C89">
        <w:rPr>
          <w:lang w:val="pl-PL"/>
        </w:rPr>
        <w:t>.</w:t>
      </w:r>
      <w:r w:rsidRPr="00212AD6">
        <w:rPr>
          <w:lang w:val="pl-PL"/>
        </w:rPr>
        <w:t xml:space="preserve"> </w:t>
      </w:r>
      <w:r w:rsidRPr="00212AD6">
        <w:rPr>
          <w:i/>
          <w:lang w:val="pl-PL"/>
        </w:rPr>
        <w:t>mutatis mutandis</w:t>
      </w:r>
      <w:r w:rsidRPr="00212AD6">
        <w:rPr>
          <w:lang w:val="pl-PL"/>
        </w:rPr>
        <w:t xml:space="preserve"> </w:t>
      </w:r>
      <w:proofErr w:type="spellStart"/>
      <w:r w:rsidRPr="00212AD6">
        <w:rPr>
          <w:i/>
          <w:lang w:val="pl-PL" w:eastAsia="en-US"/>
        </w:rPr>
        <w:t>Josephides</w:t>
      </w:r>
      <w:proofErr w:type="spellEnd"/>
      <w:r w:rsidRPr="00212AD6">
        <w:rPr>
          <w:lang w:val="pl-PL" w:eastAsia="en-US"/>
        </w:rPr>
        <w:t xml:space="preserve">, cyt. powyżej, § 55; </w:t>
      </w:r>
      <w:proofErr w:type="spellStart"/>
      <w:r w:rsidRPr="00212AD6">
        <w:rPr>
          <w:i/>
          <w:lang w:val="pl-PL"/>
        </w:rPr>
        <w:t>Penttinen</w:t>
      </w:r>
      <w:proofErr w:type="spellEnd"/>
      <w:r w:rsidRPr="00212AD6">
        <w:rPr>
          <w:lang w:val="pl-PL"/>
        </w:rPr>
        <w:t xml:space="preserve">, cyt. powyżej; </w:t>
      </w:r>
      <w:proofErr w:type="spellStart"/>
      <w:r w:rsidRPr="00212AD6">
        <w:rPr>
          <w:i/>
          <w:lang w:val="pl-PL" w:eastAsia="en-US"/>
        </w:rPr>
        <w:t>Kravchenko</w:t>
      </w:r>
      <w:proofErr w:type="spellEnd"/>
      <w:r w:rsidRPr="00212AD6">
        <w:rPr>
          <w:i/>
          <w:lang w:val="pl-PL" w:eastAsia="en-US"/>
        </w:rPr>
        <w:t xml:space="preserve"> i Inni (</w:t>
      </w:r>
      <w:r w:rsidR="00131C89">
        <w:rPr>
          <w:i/>
          <w:lang w:val="pl-PL" w:eastAsia="en-US"/>
        </w:rPr>
        <w:t>wojskowa gospodarka mieszkaniowa</w:t>
      </w:r>
      <w:r w:rsidRPr="00212AD6">
        <w:rPr>
          <w:i/>
          <w:lang w:val="pl-PL" w:eastAsia="en-US"/>
        </w:rPr>
        <w:t>) przeciwko Rosji</w:t>
      </w:r>
      <w:r w:rsidRPr="00212AD6">
        <w:rPr>
          <w:lang w:val="pl-PL" w:eastAsia="en-US"/>
        </w:rPr>
        <w:t xml:space="preserve">, nr 11609/05, </w:t>
      </w:r>
      <w:r w:rsidRPr="00212AD6">
        <w:rPr>
          <w:lang w:val="pl-PL" w:eastAsia="en-US"/>
        </w:rPr>
        <w:lastRenderedPageBreak/>
        <w:t>12516/05, 17393/05, 20214/05, 25724/05, 32953/05, 1953/06, 10908/06, 16101/06, 26696/06, 40417/06, 44437/06, 44977/06, 46544/06, 50835/06, 22635/07, 36662/07, 36951/07, 38501/07, 54307/07, 22723/08, 36406/08 i 55990/08</w:t>
      </w:r>
      <w:r w:rsidRPr="00212AD6">
        <w:rPr>
          <w:snapToGrid w:val="0"/>
          <w:szCs w:val="24"/>
          <w:lang w:val="pl-PL" w:eastAsia="en-US"/>
        </w:rPr>
        <w:t xml:space="preserve">, § 23, 16 września 2010 r. oraz </w:t>
      </w:r>
      <w:proofErr w:type="spellStart"/>
      <w:r w:rsidRPr="00212AD6">
        <w:rPr>
          <w:i/>
          <w:lang w:val="pl-PL" w:eastAsia="en-US"/>
        </w:rPr>
        <w:t>Kübler</w:t>
      </w:r>
      <w:proofErr w:type="spellEnd"/>
      <w:r w:rsidRPr="00212AD6">
        <w:rPr>
          <w:lang w:val="pl-PL" w:eastAsia="en-US"/>
        </w:rPr>
        <w:t>, cyt. powyżej</w:t>
      </w:r>
      <w:r w:rsidRPr="00212AD6">
        <w:rPr>
          <w:snapToGrid w:val="0"/>
          <w:lang w:val="pl-PL" w:eastAsia="en-US"/>
        </w:rPr>
        <w:t>, § 46</w:t>
      </w:r>
      <w:r w:rsidRPr="00212AD6">
        <w:rPr>
          <w:lang w:val="pl-PL"/>
        </w:rPr>
        <w:t>)</w:t>
      </w:r>
      <w:r w:rsidRPr="00212AD6">
        <w:rPr>
          <w:i/>
          <w:lang w:val="pl-PL" w:eastAsia="en-US"/>
        </w:rPr>
        <w:t xml:space="preserve"> </w:t>
      </w:r>
      <w:r w:rsidR="00E701AC">
        <w:rPr>
          <w:lang w:val="pl-PL"/>
        </w:rPr>
        <w:t>oraz</w:t>
      </w:r>
      <w:r w:rsidRPr="00212AD6">
        <w:rPr>
          <w:lang w:val="pl-PL"/>
        </w:rPr>
        <w:t xml:space="preserve"> w konsekwencji, że skarżąca </w:t>
      </w:r>
      <w:r w:rsidR="00C97163" w:rsidRPr="00212AD6">
        <w:rPr>
          <w:lang w:val="pl-PL"/>
        </w:rPr>
        <w:t>m</w:t>
      </w:r>
      <w:r w:rsidR="00E701AC">
        <w:rPr>
          <w:lang w:val="pl-PL"/>
        </w:rPr>
        <w:t>iała prawo p</w:t>
      </w:r>
      <w:r w:rsidR="00C97163" w:rsidRPr="00212AD6">
        <w:rPr>
          <w:lang w:val="pl-PL"/>
        </w:rPr>
        <w:t>olegać na gwarancjach zawartych w tym artykule</w:t>
      </w:r>
      <w:r w:rsidRPr="00212AD6">
        <w:rPr>
          <w:lang w:val="pl-PL"/>
        </w:rPr>
        <w:t>.</w:t>
      </w:r>
    </w:p>
    <w:p w14:paraId="5825C998" w14:textId="03C2CF93" w:rsidR="00F767C0" w:rsidRPr="00212AD6" w:rsidRDefault="00F767C0" w:rsidP="00F767C0">
      <w:pPr>
        <w:pStyle w:val="JuPara"/>
        <w:rPr>
          <w:lang w:val="pl-PL"/>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58</w:t>
      </w:r>
      <w:r w:rsidRPr="00212AD6">
        <w:rPr>
          <w:lang w:val="pl-PL"/>
        </w:rPr>
        <w:fldChar w:fldCharType="end"/>
      </w:r>
      <w:r w:rsidRPr="00212AD6">
        <w:rPr>
          <w:lang w:val="pl-PL"/>
        </w:rPr>
        <w:t xml:space="preserve">.  Zatem sprzeciw Rządu dotyczący zastosowania </w:t>
      </w:r>
      <w:r w:rsidR="00B569A1">
        <w:rPr>
          <w:lang w:val="pl-PL"/>
        </w:rPr>
        <w:t>art.</w:t>
      </w:r>
      <w:r w:rsidRPr="00212AD6">
        <w:rPr>
          <w:lang w:val="pl-PL"/>
        </w:rPr>
        <w:t xml:space="preserve"> 6 Konwencji musi zostać oddalony.</w:t>
      </w:r>
    </w:p>
    <w:p w14:paraId="3CB3B532" w14:textId="77777777" w:rsidR="00F767C0" w:rsidRPr="00212AD6" w:rsidRDefault="00F767C0" w:rsidP="00F767C0">
      <w:pPr>
        <w:pStyle w:val="JuH1"/>
        <w:rPr>
          <w:lang w:val="pl-PL"/>
        </w:rPr>
      </w:pPr>
      <w:r w:rsidRPr="00212AD6">
        <w:rPr>
          <w:lang w:val="pl-PL"/>
        </w:rPr>
        <w:t>2.  Niewyczerpanie krajowych środków odwoławczych</w:t>
      </w:r>
    </w:p>
    <w:p w14:paraId="553B04FF" w14:textId="77777777" w:rsidR="00F767C0" w:rsidRPr="00212AD6" w:rsidRDefault="00F767C0" w:rsidP="00F767C0">
      <w:pPr>
        <w:pStyle w:val="JuHa0"/>
        <w:rPr>
          <w:lang w:val="pl-PL"/>
        </w:rPr>
      </w:pPr>
      <w:r w:rsidRPr="00212AD6">
        <w:rPr>
          <w:lang w:val="pl-PL"/>
        </w:rPr>
        <w:t>(a)  Argumenty stron</w:t>
      </w:r>
    </w:p>
    <w:p w14:paraId="543B8F90" w14:textId="77777777" w:rsidR="00F767C0" w:rsidRPr="00212AD6" w:rsidRDefault="00F767C0" w:rsidP="00F767C0">
      <w:pPr>
        <w:pStyle w:val="JuPara"/>
        <w:rPr>
          <w:lang w:val="pl-PL"/>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59</w:t>
      </w:r>
      <w:r w:rsidRPr="00212AD6">
        <w:rPr>
          <w:lang w:val="pl-PL"/>
        </w:rPr>
        <w:fldChar w:fldCharType="end"/>
      </w:r>
      <w:r w:rsidR="00E701AC">
        <w:rPr>
          <w:lang w:val="pl-PL"/>
        </w:rPr>
        <w:t>.  Rząd s</w:t>
      </w:r>
      <w:r w:rsidRPr="00212AD6">
        <w:rPr>
          <w:lang w:val="pl-PL"/>
        </w:rPr>
        <w:t xml:space="preserve">twierdził następnie, że skarżąca nie wyczerpała krajowych środków odwoławczych w odniesieniu do zarzutu dotyczącego domniemanego braku bezstronności Trybunału Konstytucyjnego w tym względzie, że nie domagała się wyłączenia sędziów M.J. i D.Š. W związku z tym Rząd podkreślił, że </w:t>
      </w:r>
      <w:r w:rsidR="00B569A1">
        <w:rPr>
          <w:lang w:val="pl-PL"/>
        </w:rPr>
        <w:t>art.</w:t>
      </w:r>
      <w:r w:rsidRPr="00212AD6">
        <w:rPr>
          <w:lang w:val="pl-PL"/>
        </w:rPr>
        <w:t xml:space="preserve"> 34 ustawy o Trybunale Konstytucyjnym stanowił, że w </w:t>
      </w:r>
      <w:r w:rsidR="00B054CB">
        <w:rPr>
          <w:lang w:val="pl-PL"/>
        </w:rPr>
        <w:t>postępow</w:t>
      </w:r>
      <w:r w:rsidRPr="00212AD6">
        <w:rPr>
          <w:lang w:val="pl-PL"/>
        </w:rPr>
        <w:t xml:space="preserve">aniu przed Trybunałem Konstytucyjnym Trybunał Konstytucyjny stosuje </w:t>
      </w:r>
      <w:r w:rsidRPr="00212AD6">
        <w:rPr>
          <w:i/>
          <w:lang w:val="pl-PL"/>
        </w:rPr>
        <w:t>mutatis mutandis</w:t>
      </w:r>
      <w:r w:rsidRPr="00212AD6">
        <w:rPr>
          <w:lang w:val="pl-PL"/>
        </w:rPr>
        <w:t xml:space="preserve"> </w:t>
      </w:r>
      <w:r w:rsidR="00C97163" w:rsidRPr="00212AD6">
        <w:rPr>
          <w:lang w:val="pl-PL"/>
        </w:rPr>
        <w:t>właściwe</w:t>
      </w:r>
      <w:r w:rsidRPr="00212AD6">
        <w:rPr>
          <w:lang w:val="pl-PL"/>
        </w:rPr>
        <w:t xml:space="preserve"> przepis</w:t>
      </w:r>
      <w:r w:rsidR="00C97163" w:rsidRPr="00212AD6">
        <w:rPr>
          <w:lang w:val="pl-PL"/>
        </w:rPr>
        <w:t>y proceduralne jako</w:t>
      </w:r>
      <w:r w:rsidRPr="00212AD6">
        <w:rPr>
          <w:lang w:val="pl-PL"/>
        </w:rPr>
        <w:t xml:space="preserve"> </w:t>
      </w:r>
      <w:r w:rsidR="00C97163" w:rsidRPr="00212AD6">
        <w:rPr>
          <w:lang w:val="pl-PL"/>
        </w:rPr>
        <w:t>przepisy pomocnicze</w:t>
      </w:r>
      <w:r w:rsidRPr="00212AD6">
        <w:rPr>
          <w:lang w:val="pl-PL"/>
        </w:rPr>
        <w:t xml:space="preserve"> (zob. paragraf 25 powyżej). Z tego względu skarżąca mogła, w oparciu o przepisy </w:t>
      </w:r>
      <w:r w:rsidR="00B569A1">
        <w:rPr>
          <w:lang w:val="pl-PL"/>
        </w:rPr>
        <w:t>art.</w:t>
      </w:r>
      <w:r w:rsidRPr="00212AD6">
        <w:rPr>
          <w:lang w:val="pl-PL"/>
        </w:rPr>
        <w:t xml:space="preserve"> 71 i 73 ustawy o postępowaniu cywilnym (zob. paragrafy 33 i 36-38 powyżej) w związku z </w:t>
      </w:r>
      <w:r w:rsidR="00B569A1">
        <w:rPr>
          <w:lang w:val="pl-PL"/>
        </w:rPr>
        <w:t>art.</w:t>
      </w:r>
      <w:r w:rsidR="001E4BA5">
        <w:rPr>
          <w:lang w:val="pl-PL"/>
        </w:rPr>
        <w:t xml:space="preserve"> </w:t>
      </w:r>
      <w:r w:rsidRPr="00212AD6">
        <w:rPr>
          <w:lang w:val="pl-PL"/>
        </w:rPr>
        <w:t>60 ustawy o sporach administracyj</w:t>
      </w:r>
      <w:r w:rsidR="00E701AC">
        <w:rPr>
          <w:lang w:val="pl-PL"/>
        </w:rPr>
        <w:t>nych (zob. paragraf 31 powyżej) złożyć wniosek</w:t>
      </w:r>
      <w:r w:rsidRPr="00212AD6">
        <w:rPr>
          <w:lang w:val="pl-PL"/>
        </w:rPr>
        <w:t xml:space="preserve"> o wyłączenie sędziów M.J. i D.Š. Gdyby prezes Trybunału Konstytucyjnego uznała taki wniosek za uzasadniony, podjęłaby decyzję o </w:t>
      </w:r>
      <w:r w:rsidR="007240A0">
        <w:rPr>
          <w:lang w:val="pl-PL"/>
        </w:rPr>
        <w:t>wyłączeniu</w:t>
      </w:r>
      <w:r w:rsidRPr="00212AD6">
        <w:rPr>
          <w:lang w:val="pl-PL"/>
        </w:rPr>
        <w:t xml:space="preserve"> ich z udziału w posiedzeniu w sprawie skarżącej. Jednakże skarżąca nie złożyła takiego wniosku. Ponadto Rząd oświadczył, że przeciwnie do twierdzenia skarżącej (zob. następny paragraf), musiała ona lub powinna była wiedzieć, że sędziowie M.J. i D.Š. będą zasiadać w jej sprawie, ponieważ: (a) Trybunał Konstytucyjny regularnie publikował decyzje dotyczące składu jego dwóch</w:t>
      </w:r>
      <w:r w:rsidR="007240A0">
        <w:rPr>
          <w:lang w:val="pl-PL"/>
        </w:rPr>
        <w:t xml:space="preserve"> zespołów orzekających </w:t>
      </w:r>
      <w:r w:rsidRPr="00212AD6">
        <w:rPr>
          <w:lang w:val="pl-PL"/>
        </w:rPr>
        <w:t xml:space="preserve">w sprawach skarg konstytucyjnych w Dzienniku Urzędowym i w dniu 23 czerwca 2008 r. opublikował decyzję, z której jasno wynikało, że sędzia D.Š. był członkiem </w:t>
      </w:r>
      <w:r w:rsidRPr="00C02B33">
        <w:rPr>
          <w:lang w:val="pl-PL"/>
        </w:rPr>
        <w:t xml:space="preserve">pierwszego składu, zaś sędzia M.J. – drugiego składu, (b) w dniu 4 lutego 2009 r. Trybunał Konstytucyjny zadecydował w sprawie wniosku S.B. o </w:t>
      </w:r>
      <w:r w:rsidR="00C02B33" w:rsidRPr="00C02B33">
        <w:rPr>
          <w:lang w:val="pl-PL"/>
        </w:rPr>
        <w:t xml:space="preserve">wydanie postanowienia </w:t>
      </w:r>
      <w:r w:rsidRPr="00C02B33">
        <w:rPr>
          <w:lang w:val="pl-PL"/>
        </w:rPr>
        <w:t>tymczasowego – złożonego jednocześnie z jej skargą konstytucyjną – obradując w pełnym składzie, w tym z udziałem sędziów M.J. i D.Š. (zob. paragraf 14 powyżej), (c) decyzja Trybunału</w:t>
      </w:r>
      <w:r w:rsidRPr="00212AD6">
        <w:rPr>
          <w:lang w:val="pl-PL"/>
        </w:rPr>
        <w:t xml:space="preserve"> Konstytucyjnego </w:t>
      </w:r>
      <w:r w:rsidR="007F7758">
        <w:rPr>
          <w:lang w:val="pl-PL"/>
        </w:rPr>
        <w:t xml:space="preserve">o wydaniu postanowienia </w:t>
      </w:r>
      <w:r w:rsidR="007F7758" w:rsidRPr="00212AD6">
        <w:rPr>
          <w:lang w:val="pl-PL"/>
        </w:rPr>
        <w:t xml:space="preserve">tymczasowego </w:t>
      </w:r>
      <w:r w:rsidRPr="00212AD6">
        <w:rPr>
          <w:lang w:val="pl-PL"/>
        </w:rPr>
        <w:t xml:space="preserve">została opublikowana w Dzienniku Urzędowym w dniu 5  lutego 2009 r. (zob. paragraf 14 powyżej) oraz (d) sama skarżąca odniosła się do tejże decyzji w swojej odpowiedzi na </w:t>
      </w:r>
      <w:r w:rsidR="00683442" w:rsidRPr="00212AD6">
        <w:rPr>
          <w:lang w:val="pl-PL"/>
        </w:rPr>
        <w:t>skargę konstytucyjną</w:t>
      </w:r>
      <w:r w:rsidRPr="00212AD6">
        <w:rPr>
          <w:lang w:val="pl-PL"/>
        </w:rPr>
        <w:t xml:space="preserve"> S.B. (zob. paragraf 17 powyżej).</w:t>
      </w:r>
    </w:p>
    <w:p w14:paraId="0BFF7ADB" w14:textId="5851C9D6" w:rsidR="00F767C0" w:rsidRPr="00212AD6" w:rsidRDefault="00F767C0" w:rsidP="00F767C0">
      <w:pPr>
        <w:pStyle w:val="JuPara"/>
        <w:rPr>
          <w:lang w:val="pl-PL"/>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60</w:t>
      </w:r>
      <w:r w:rsidRPr="00212AD6">
        <w:rPr>
          <w:lang w:val="pl-PL"/>
        </w:rPr>
        <w:fldChar w:fldCharType="end"/>
      </w:r>
      <w:r w:rsidRPr="00212AD6">
        <w:rPr>
          <w:lang w:val="pl-PL"/>
        </w:rPr>
        <w:t>.  Skarżąca argumentowała, że przed wydaniem przez Trybunał Konstytucyjny decyzji z dnia 30 kwietnia 2009 r., nie wiedziała, ani nie mogła wiedzieć, że M.J. i D.Š. będą zasiadać w jej sprawie, z dwóch przyczyn. Po pierwsze, z</w:t>
      </w:r>
      <w:r w:rsidR="0057237E">
        <w:rPr>
          <w:lang w:val="pl-PL"/>
        </w:rPr>
        <w:t>ważywszy, że</w:t>
      </w:r>
      <w:r w:rsidRPr="00212AD6">
        <w:rPr>
          <w:lang w:val="pl-PL"/>
        </w:rPr>
        <w:t xml:space="preserve"> zgodnie z </w:t>
      </w:r>
      <w:r w:rsidR="00B569A1">
        <w:rPr>
          <w:lang w:val="pl-PL"/>
        </w:rPr>
        <w:t>art.</w:t>
      </w:r>
      <w:r w:rsidRPr="00212AD6">
        <w:rPr>
          <w:lang w:val="pl-PL"/>
        </w:rPr>
        <w:t xml:space="preserve"> 68 ustawy o Trybunale </w:t>
      </w:r>
      <w:r w:rsidRPr="00212AD6">
        <w:rPr>
          <w:lang w:val="pl-PL"/>
        </w:rPr>
        <w:lastRenderedPageBreak/>
        <w:t xml:space="preserve">Konstytucyjnym sąd ten, z zasady, podejmował decyzje dotyczące skarg konstytucyjnych w składzie sześciu sędziów, a w pełnym składzie jedynie w wyjątkowych przypadkach (zob. paragraf 25 powyżej), nie mogła wiedzieć z wyprzedzeniem, w jakim składzie zasiadać będzie Trybunał Konstytucyjny przy podejmowaniu decyzji w sprawie skargi konstytucyjnej S.B. W istocie, nie wyobrażała sobie nawet, że sędziowie M.J. i D.Š. mogliby zasiadać w tej sprawie, skoro wcześniej występowali w roli stron (trzecich/zainteresowanych) w postępowaniu przed Sądem Administracyjnym oraz wyrazili opinię, że jej wniosek był bezpodstawny i że wybór sędziów Trybunału Konstytucyjnego odbył się w sposób zgodny z prawem (zob. paragraf 11 powyżej). </w:t>
      </w:r>
      <w:r w:rsidR="00C97163" w:rsidRPr="00212AD6">
        <w:rPr>
          <w:lang w:val="pl-PL"/>
        </w:rPr>
        <w:t>Sędziowie</w:t>
      </w:r>
      <w:r w:rsidRPr="00212AD6">
        <w:rPr>
          <w:lang w:val="pl-PL"/>
        </w:rPr>
        <w:t xml:space="preserve"> ci </w:t>
      </w:r>
      <w:r w:rsidR="00C97163" w:rsidRPr="00212AD6">
        <w:rPr>
          <w:lang w:val="pl-PL"/>
        </w:rPr>
        <w:t>powinni</w:t>
      </w:r>
      <w:r w:rsidRPr="00212AD6">
        <w:rPr>
          <w:lang w:val="pl-PL"/>
        </w:rPr>
        <w:t xml:space="preserve"> raczej z mocy prawa zostać wyłączeni ze składu. Po drugie, ze względu na brak </w:t>
      </w:r>
      <w:r w:rsidR="004979CB">
        <w:rPr>
          <w:lang w:val="pl-PL"/>
        </w:rPr>
        <w:t>jawnej</w:t>
      </w:r>
      <w:r w:rsidR="00DB5CE6">
        <w:rPr>
          <w:lang w:val="pl-PL"/>
        </w:rPr>
        <w:t xml:space="preserve"> </w:t>
      </w:r>
      <w:r w:rsidRPr="00212AD6">
        <w:rPr>
          <w:lang w:val="pl-PL"/>
        </w:rPr>
        <w:t>rozprawy</w:t>
      </w:r>
      <w:r w:rsidRPr="00C02B33">
        <w:rPr>
          <w:lang w:val="pl-PL"/>
        </w:rPr>
        <w:t xml:space="preserve">, skarżąca nie mogła zwrócić się do sędziów M.J. i D.Š. </w:t>
      </w:r>
      <w:r w:rsidR="00C02B33">
        <w:rPr>
          <w:lang w:val="pl-PL"/>
        </w:rPr>
        <w:t xml:space="preserve">z wnioskiem </w:t>
      </w:r>
      <w:r w:rsidRPr="00C02B33">
        <w:rPr>
          <w:lang w:val="pl-PL"/>
        </w:rPr>
        <w:t>o ich wyłączenie przed podjęciem decyzji.</w:t>
      </w:r>
    </w:p>
    <w:p w14:paraId="6318DA7B" w14:textId="77777777" w:rsidR="00F767C0" w:rsidRPr="00212AD6" w:rsidRDefault="00F767C0" w:rsidP="00F767C0">
      <w:pPr>
        <w:pStyle w:val="JuHa0"/>
        <w:rPr>
          <w:lang w:val="pl-PL"/>
        </w:rPr>
      </w:pPr>
      <w:r w:rsidRPr="00212AD6">
        <w:rPr>
          <w:lang w:val="pl-PL"/>
        </w:rPr>
        <w:t>(b)  Ocena Trybunału</w:t>
      </w:r>
    </w:p>
    <w:p w14:paraId="4B827FFE" w14:textId="77777777" w:rsidR="00F767C0" w:rsidRPr="00212AD6" w:rsidRDefault="00F767C0" w:rsidP="00F767C0">
      <w:pPr>
        <w:pStyle w:val="JuPara"/>
        <w:rPr>
          <w:lang w:val="pl-PL"/>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61</w:t>
      </w:r>
      <w:r w:rsidRPr="00212AD6">
        <w:rPr>
          <w:lang w:val="pl-PL"/>
        </w:rPr>
        <w:fldChar w:fldCharType="end"/>
      </w:r>
      <w:r w:rsidRPr="00212AD6">
        <w:rPr>
          <w:lang w:val="pl-PL"/>
        </w:rPr>
        <w:t xml:space="preserve">.  W pierwszej kolejności Trybunał zauważa, że chorwacki Trybunał Konstytucyjny składa się z trzynastu sędziów (zob. paragraf 23 powyżej). Ich nazwiska są dobrze znane opinii publicznej, a jeszcze lepiej prawnikom. W </w:t>
      </w:r>
      <w:r w:rsidR="00C97163" w:rsidRPr="00212AD6">
        <w:rPr>
          <w:lang w:val="pl-PL"/>
        </w:rPr>
        <w:t>dalszej</w:t>
      </w:r>
      <w:r w:rsidRPr="00212AD6">
        <w:rPr>
          <w:lang w:val="pl-PL"/>
        </w:rPr>
        <w:t xml:space="preserve"> kolejności Trybunał zauważa, że </w:t>
      </w:r>
      <w:r w:rsidR="00B569A1">
        <w:rPr>
          <w:lang w:val="pl-PL"/>
        </w:rPr>
        <w:t>art.</w:t>
      </w:r>
      <w:r w:rsidR="001E4BA5">
        <w:rPr>
          <w:lang w:val="pl-PL"/>
        </w:rPr>
        <w:t xml:space="preserve"> </w:t>
      </w:r>
      <w:r w:rsidRPr="00212AD6">
        <w:rPr>
          <w:lang w:val="pl-PL"/>
        </w:rPr>
        <w:t xml:space="preserve">68 ustawy o Trybunale Konstytucyjnym stanowi, iż Trybunał Konstytucyjny orzeka o skargach konstytucyjnych w pełnym składzie, jeżeli skład </w:t>
      </w:r>
      <w:r w:rsidR="00767B49" w:rsidRPr="00212AD6">
        <w:rPr>
          <w:lang w:val="pl-PL"/>
        </w:rPr>
        <w:t xml:space="preserve">orzekający </w:t>
      </w:r>
      <w:r w:rsidRPr="00212AD6">
        <w:rPr>
          <w:lang w:val="pl-PL"/>
        </w:rPr>
        <w:t xml:space="preserve">sześciu sędziów nie podejmie decyzji </w:t>
      </w:r>
      <w:r w:rsidR="00C97163" w:rsidRPr="00212AD6">
        <w:rPr>
          <w:lang w:val="pl-PL"/>
        </w:rPr>
        <w:t>jednogłośnie</w:t>
      </w:r>
      <w:r w:rsidRPr="00212AD6">
        <w:rPr>
          <w:lang w:val="pl-PL"/>
        </w:rPr>
        <w:t xml:space="preserve"> lub też jeżeli taki skład uzna, że</w:t>
      </w:r>
      <w:r w:rsidR="00767B49" w:rsidRPr="00212AD6">
        <w:rPr>
          <w:lang w:val="pl-PL"/>
        </w:rPr>
        <w:t xml:space="preserve"> kwestia poruszona w </w:t>
      </w:r>
      <w:r w:rsidRPr="00212AD6">
        <w:rPr>
          <w:lang w:val="pl-PL"/>
        </w:rPr>
        <w:t>skar</w:t>
      </w:r>
      <w:r w:rsidR="00767B49" w:rsidRPr="00212AD6">
        <w:rPr>
          <w:lang w:val="pl-PL"/>
        </w:rPr>
        <w:t>dze</w:t>
      </w:r>
      <w:r w:rsidRPr="00212AD6">
        <w:rPr>
          <w:lang w:val="pl-PL"/>
        </w:rPr>
        <w:t xml:space="preserve"> konstytucyjn</w:t>
      </w:r>
      <w:r w:rsidR="00767B49" w:rsidRPr="00212AD6">
        <w:rPr>
          <w:lang w:val="pl-PL"/>
        </w:rPr>
        <w:t>ej stanowi kwestię o szerszym znaczeniu (zo</w:t>
      </w:r>
      <w:r w:rsidRPr="00212AD6">
        <w:rPr>
          <w:lang w:val="pl-PL"/>
        </w:rPr>
        <w:t>b. paragraf 25 powyżej). W związku z powyższym oraz biorąc pod uwagę fakt, że sprawa skarżącej wzbudziła poważne kontrowersje i duże zainteresowanie mediów, Trybunał sądzi, iż skarżąca mogła oczekiwać, że Trybunał Konstytucyjny będzie podejmować decyzję w sprawie skargi konstytucyjnej S.B. w pełnym składzie.</w:t>
      </w:r>
    </w:p>
    <w:p w14:paraId="68750EE9" w14:textId="77777777" w:rsidR="00F767C0" w:rsidRPr="00212AD6" w:rsidRDefault="00F767C0" w:rsidP="00F767C0">
      <w:pPr>
        <w:pStyle w:val="JuPara"/>
        <w:rPr>
          <w:lang w:val="pl-PL"/>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62</w:t>
      </w:r>
      <w:r w:rsidRPr="00212AD6">
        <w:rPr>
          <w:lang w:val="pl-PL"/>
        </w:rPr>
        <w:fldChar w:fldCharType="end"/>
      </w:r>
      <w:r w:rsidRPr="00212AD6">
        <w:rPr>
          <w:lang w:val="pl-PL"/>
        </w:rPr>
        <w:t xml:space="preserve">.  Co ważniejsze, Trybunał zauważa, że w dniu 4 lutego 2009 r. Trybunał Konstytucyjny, </w:t>
      </w:r>
      <w:r w:rsidRPr="00C02B33">
        <w:rPr>
          <w:lang w:val="pl-PL"/>
        </w:rPr>
        <w:t xml:space="preserve">orzekając w pełnym składzie i z udziałem sędziów M.J. i D.Š., </w:t>
      </w:r>
      <w:r w:rsidR="00C02B33" w:rsidRPr="00C02B33">
        <w:rPr>
          <w:lang w:val="pl-PL"/>
        </w:rPr>
        <w:t xml:space="preserve">wydał postanowienie </w:t>
      </w:r>
      <w:r w:rsidRPr="00C02B33">
        <w:rPr>
          <w:lang w:val="pl-PL"/>
        </w:rPr>
        <w:t>tymczasow</w:t>
      </w:r>
      <w:r w:rsidR="00F60449" w:rsidRPr="00C02B33">
        <w:rPr>
          <w:lang w:val="pl-PL"/>
        </w:rPr>
        <w:t>e</w:t>
      </w:r>
      <w:r w:rsidR="00C02B33" w:rsidRPr="00C02B33">
        <w:rPr>
          <w:lang w:val="pl-PL"/>
        </w:rPr>
        <w:t xml:space="preserve"> o wstrzymaniu </w:t>
      </w:r>
      <w:r w:rsidR="007F7758">
        <w:rPr>
          <w:lang w:val="pl-PL"/>
        </w:rPr>
        <w:t xml:space="preserve">skuteczności </w:t>
      </w:r>
      <w:r w:rsidRPr="00212AD6">
        <w:rPr>
          <w:lang w:val="pl-PL"/>
        </w:rPr>
        <w:t xml:space="preserve">wyroku Sądu Administracyjnego z dnia 15 października 2008 r. (zob. paragraf 14 powyżej). Decyzja Trybunału Konstytucyjnego </w:t>
      </w:r>
      <w:r w:rsidR="007F7758">
        <w:rPr>
          <w:lang w:val="pl-PL"/>
        </w:rPr>
        <w:t>o</w:t>
      </w:r>
      <w:r w:rsidR="007F7758" w:rsidRPr="007F7758">
        <w:rPr>
          <w:lang w:val="pl-PL"/>
        </w:rPr>
        <w:t xml:space="preserve"> </w:t>
      </w:r>
      <w:r w:rsidR="007F7758">
        <w:rPr>
          <w:lang w:val="pl-PL"/>
        </w:rPr>
        <w:t xml:space="preserve">wydaniu postanowienia </w:t>
      </w:r>
      <w:r w:rsidR="007F7758" w:rsidRPr="00212AD6">
        <w:rPr>
          <w:lang w:val="pl-PL"/>
        </w:rPr>
        <w:t>tymczasowego</w:t>
      </w:r>
      <w:r w:rsidRPr="00212AD6">
        <w:rPr>
          <w:lang w:val="pl-PL"/>
        </w:rPr>
        <w:t xml:space="preserve"> została opublikowana w Dzienniku Urzędowym (zob. paragraf 14 powyżej), była szeroko </w:t>
      </w:r>
      <w:r w:rsidR="009859BA">
        <w:rPr>
          <w:lang w:val="pl-PL"/>
        </w:rPr>
        <w:t>komentowana</w:t>
      </w:r>
      <w:r w:rsidRPr="00212AD6">
        <w:rPr>
          <w:lang w:val="pl-PL"/>
        </w:rPr>
        <w:t xml:space="preserve"> w mediach, a skarżąca odniosła się do niej w swojej odpowiedzi na skargę konstytucyjną S.B. (zob. paragraf 17 powyżej). Zatem mimo że decyzji tej nigdy skarżącej nie doręczono, Trybunał jest zdania, że skarżąca musiała zdawać sobie sprawę z tej decyzji oraz składu ławy Trybunału Konstytucyjnego, która ją podjęła.</w:t>
      </w:r>
    </w:p>
    <w:p w14:paraId="6DC9E01A" w14:textId="59452F85" w:rsidR="00F767C0" w:rsidRPr="00212AD6" w:rsidRDefault="00F767C0" w:rsidP="00F767C0">
      <w:pPr>
        <w:pStyle w:val="JuPara"/>
        <w:rPr>
          <w:lang w:val="pl-PL"/>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63</w:t>
      </w:r>
      <w:r w:rsidRPr="00212AD6">
        <w:rPr>
          <w:lang w:val="pl-PL"/>
        </w:rPr>
        <w:fldChar w:fldCharType="end"/>
      </w:r>
      <w:r w:rsidRPr="00212AD6">
        <w:rPr>
          <w:lang w:val="pl-PL"/>
        </w:rPr>
        <w:t xml:space="preserve">.  W świetle powyższego Trybunał uznaje, </w:t>
      </w:r>
      <w:r w:rsidR="009859BA">
        <w:rPr>
          <w:lang w:val="pl-PL"/>
        </w:rPr>
        <w:t>i</w:t>
      </w:r>
      <w:r w:rsidRPr="00212AD6">
        <w:rPr>
          <w:lang w:val="pl-PL"/>
        </w:rPr>
        <w:t>ż</w:t>
      </w:r>
      <w:r w:rsidR="009859BA">
        <w:rPr>
          <w:lang w:val="pl-PL"/>
        </w:rPr>
        <w:t xml:space="preserve"> było </w:t>
      </w:r>
      <w:r w:rsidR="00F60449" w:rsidRPr="00212AD6">
        <w:rPr>
          <w:lang w:val="pl-PL"/>
        </w:rPr>
        <w:t>ni</w:t>
      </w:r>
      <w:r w:rsidRPr="00212AD6">
        <w:rPr>
          <w:lang w:val="pl-PL"/>
        </w:rPr>
        <w:t>e tylko możliw</w:t>
      </w:r>
      <w:r w:rsidR="00820A8E">
        <w:rPr>
          <w:lang w:val="pl-PL"/>
        </w:rPr>
        <w:t>e</w:t>
      </w:r>
      <w:r w:rsidRPr="00212AD6">
        <w:rPr>
          <w:lang w:val="pl-PL"/>
        </w:rPr>
        <w:t xml:space="preserve">, lecz wysoce </w:t>
      </w:r>
      <w:r w:rsidR="00F60449" w:rsidRPr="00212AD6">
        <w:rPr>
          <w:lang w:val="pl-PL"/>
        </w:rPr>
        <w:t>prawdopodobn</w:t>
      </w:r>
      <w:r w:rsidR="00820A8E">
        <w:rPr>
          <w:lang w:val="pl-PL"/>
        </w:rPr>
        <w:t>e</w:t>
      </w:r>
      <w:r w:rsidRPr="00212AD6">
        <w:rPr>
          <w:lang w:val="pl-PL"/>
        </w:rPr>
        <w:t xml:space="preserve">, że decyzja w sprawie skargi konstytucyjnej S.B. będzie podejmowana przez Trybunał </w:t>
      </w:r>
      <w:r w:rsidR="00F60449" w:rsidRPr="00212AD6">
        <w:rPr>
          <w:lang w:val="pl-PL"/>
        </w:rPr>
        <w:t>Konstytucyjny</w:t>
      </w:r>
      <w:r w:rsidRPr="00212AD6">
        <w:rPr>
          <w:lang w:val="pl-PL"/>
        </w:rPr>
        <w:t xml:space="preserve"> w pełnym składzie, z udziałem sędziów M.J. i D.Š., oraz że skarżąca </w:t>
      </w:r>
      <w:r w:rsidR="00F60449" w:rsidRPr="00212AD6">
        <w:rPr>
          <w:lang w:val="pl-PL"/>
        </w:rPr>
        <w:t>musiała</w:t>
      </w:r>
      <w:r w:rsidRPr="00212AD6">
        <w:rPr>
          <w:lang w:val="pl-PL"/>
        </w:rPr>
        <w:t xml:space="preserve"> być </w:t>
      </w:r>
      <w:r w:rsidR="009859BA" w:rsidRPr="00212AD6">
        <w:rPr>
          <w:lang w:val="pl-PL"/>
        </w:rPr>
        <w:t xml:space="preserve">tego </w:t>
      </w:r>
      <w:r w:rsidRPr="00212AD6">
        <w:rPr>
          <w:lang w:val="pl-PL"/>
        </w:rPr>
        <w:t xml:space="preserve">świadoma, </w:t>
      </w:r>
      <w:r w:rsidR="00F60449" w:rsidRPr="00212AD6">
        <w:rPr>
          <w:lang w:val="pl-PL"/>
        </w:rPr>
        <w:t>niezależnie od tego, iż fakt ten jest godny ubolewania</w:t>
      </w:r>
      <w:r w:rsidRPr="00212AD6">
        <w:rPr>
          <w:lang w:val="pl-PL"/>
        </w:rPr>
        <w:t xml:space="preserve">. W takich </w:t>
      </w:r>
      <w:r w:rsidRPr="00212AD6">
        <w:rPr>
          <w:lang w:val="pl-PL"/>
        </w:rPr>
        <w:lastRenderedPageBreak/>
        <w:t>okolicznościach Trybunał uznaje, że skarżąca powinna była złożyć wniosek o ich wyłączenie. Jednakże skarżąca wniosku takiego nie złożyła.</w:t>
      </w:r>
    </w:p>
    <w:p w14:paraId="74A72F04" w14:textId="10CA1288" w:rsidR="00F767C0" w:rsidRPr="00212AD6" w:rsidRDefault="00F767C0" w:rsidP="00F767C0">
      <w:pPr>
        <w:pStyle w:val="JuPara"/>
        <w:rPr>
          <w:lang w:val="pl-PL"/>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64</w:t>
      </w:r>
      <w:r w:rsidRPr="00212AD6">
        <w:rPr>
          <w:lang w:val="pl-PL"/>
        </w:rPr>
        <w:fldChar w:fldCharType="end"/>
      </w:r>
      <w:r w:rsidRPr="00212AD6">
        <w:rPr>
          <w:lang w:val="pl-PL"/>
        </w:rPr>
        <w:t xml:space="preserve">.  Zatem </w:t>
      </w:r>
      <w:r w:rsidR="00DB5CE6">
        <w:rPr>
          <w:lang w:val="pl-PL"/>
        </w:rPr>
        <w:t xml:space="preserve">skarga w odniesieniu do </w:t>
      </w:r>
      <w:r w:rsidRPr="00212AD6">
        <w:rPr>
          <w:lang w:val="pl-PL"/>
        </w:rPr>
        <w:t>zarzut</w:t>
      </w:r>
      <w:r w:rsidR="00DB5CE6">
        <w:rPr>
          <w:lang w:val="pl-PL"/>
        </w:rPr>
        <w:t xml:space="preserve">u </w:t>
      </w:r>
      <w:r w:rsidR="00C55FC0">
        <w:rPr>
          <w:lang w:val="pl-PL"/>
        </w:rPr>
        <w:t>skarżącej dotyczącego</w:t>
      </w:r>
      <w:r w:rsidR="00F60449" w:rsidRPr="00212AD6">
        <w:rPr>
          <w:lang w:val="pl-PL"/>
        </w:rPr>
        <w:t xml:space="preserve"> domniemanego</w:t>
      </w:r>
      <w:r w:rsidRPr="00212AD6">
        <w:rPr>
          <w:lang w:val="pl-PL"/>
        </w:rPr>
        <w:t xml:space="preserve"> braku be</w:t>
      </w:r>
      <w:r w:rsidR="00DB5CE6">
        <w:rPr>
          <w:lang w:val="pl-PL"/>
        </w:rPr>
        <w:t>zstronności jest niedopuszczalna</w:t>
      </w:r>
      <w:r w:rsidRPr="00212AD6">
        <w:rPr>
          <w:lang w:val="pl-PL"/>
        </w:rPr>
        <w:t xml:space="preserve"> w świetle </w:t>
      </w:r>
      <w:r w:rsidR="00B569A1">
        <w:rPr>
          <w:lang w:val="pl-PL"/>
        </w:rPr>
        <w:t>art.</w:t>
      </w:r>
      <w:r w:rsidRPr="00212AD6">
        <w:rPr>
          <w:lang w:val="pl-PL"/>
        </w:rPr>
        <w:t> </w:t>
      </w:r>
      <w:r w:rsidRPr="00212AD6">
        <w:rPr>
          <w:bCs/>
          <w:lang w:val="pl-PL"/>
        </w:rPr>
        <w:t>35 ust.</w:t>
      </w:r>
      <w:r w:rsidRPr="00212AD6">
        <w:rPr>
          <w:lang w:val="pl-PL"/>
        </w:rPr>
        <w:t xml:space="preserve"> 1 Konwencji ze względu na niewyczerpanie krajowych środków odwoławczych, w zwią</w:t>
      </w:r>
      <w:r w:rsidR="00DB5CE6">
        <w:rPr>
          <w:lang w:val="pl-PL"/>
        </w:rPr>
        <w:t>zku z czym musi zostać odrzucon</w:t>
      </w:r>
      <w:r w:rsidR="00C55FC0">
        <w:rPr>
          <w:lang w:val="pl-PL"/>
        </w:rPr>
        <w:t>a</w:t>
      </w:r>
      <w:r w:rsidRPr="00212AD6">
        <w:rPr>
          <w:lang w:val="pl-PL"/>
        </w:rPr>
        <w:t xml:space="preserve"> zgodnie z </w:t>
      </w:r>
      <w:r w:rsidR="00B569A1">
        <w:rPr>
          <w:lang w:val="pl-PL"/>
        </w:rPr>
        <w:t>art.</w:t>
      </w:r>
      <w:r w:rsidRPr="00212AD6">
        <w:rPr>
          <w:lang w:val="pl-PL"/>
        </w:rPr>
        <w:t> 35 ust. 4 Konwencji.</w:t>
      </w:r>
    </w:p>
    <w:p w14:paraId="4CC3AA1B" w14:textId="5F73C75D" w:rsidR="00F767C0" w:rsidRPr="00212AD6" w:rsidRDefault="00F767C0" w:rsidP="00F767C0">
      <w:pPr>
        <w:pStyle w:val="JuPara"/>
        <w:rPr>
          <w:lang w:val="pl-PL"/>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65</w:t>
      </w:r>
      <w:r w:rsidRPr="00212AD6">
        <w:rPr>
          <w:lang w:val="pl-PL"/>
        </w:rPr>
        <w:fldChar w:fldCharType="end"/>
      </w:r>
      <w:r w:rsidRPr="00212AD6">
        <w:rPr>
          <w:lang w:val="pl-PL"/>
        </w:rPr>
        <w:t xml:space="preserve">.  W </w:t>
      </w:r>
      <w:r w:rsidR="00F60449" w:rsidRPr="00212AD6">
        <w:rPr>
          <w:lang w:val="pl-PL"/>
        </w:rPr>
        <w:t>dalszej</w:t>
      </w:r>
      <w:r w:rsidRPr="00212AD6">
        <w:rPr>
          <w:lang w:val="pl-PL"/>
        </w:rPr>
        <w:t xml:space="preserve"> kolejności </w:t>
      </w:r>
      <w:r w:rsidR="00F60449" w:rsidRPr="00212AD6">
        <w:rPr>
          <w:lang w:val="pl-PL"/>
        </w:rPr>
        <w:t>Try</w:t>
      </w:r>
      <w:r w:rsidRPr="00212AD6">
        <w:rPr>
          <w:lang w:val="pl-PL"/>
        </w:rPr>
        <w:t xml:space="preserve">bunał zauważa, że </w:t>
      </w:r>
      <w:r w:rsidR="007855C0">
        <w:rPr>
          <w:lang w:val="pl-PL"/>
        </w:rPr>
        <w:t>skarga w odniesieniu do zarzutów</w:t>
      </w:r>
      <w:r w:rsidRPr="00212AD6">
        <w:rPr>
          <w:lang w:val="pl-PL"/>
        </w:rPr>
        <w:t xml:space="preserve"> </w:t>
      </w:r>
      <w:r w:rsidR="007855C0">
        <w:rPr>
          <w:lang w:val="pl-PL" w:eastAsia="en-US"/>
        </w:rPr>
        <w:t>skarżącej dotyczących</w:t>
      </w:r>
      <w:r w:rsidRPr="00212AD6">
        <w:rPr>
          <w:lang w:val="pl-PL" w:eastAsia="en-US"/>
        </w:rPr>
        <w:t xml:space="preserve"> braku </w:t>
      </w:r>
      <w:r w:rsidR="004979CB">
        <w:rPr>
          <w:lang w:val="pl-PL" w:eastAsia="en-US"/>
        </w:rPr>
        <w:t xml:space="preserve">jawnej </w:t>
      </w:r>
      <w:r w:rsidRPr="00212AD6">
        <w:rPr>
          <w:lang w:val="pl-PL" w:eastAsia="en-US"/>
        </w:rPr>
        <w:t xml:space="preserve">rozprawy, naruszenia zasady </w:t>
      </w:r>
      <w:r w:rsidRPr="00212AD6">
        <w:rPr>
          <w:lang w:val="pl-PL"/>
        </w:rPr>
        <w:t xml:space="preserve">równości broni oraz prawa do </w:t>
      </w:r>
      <w:r w:rsidR="007855C0">
        <w:rPr>
          <w:lang w:val="pl-PL" w:eastAsia="en-US"/>
        </w:rPr>
        <w:t>kontradyktoryjnego rozpatrzenia sprawy</w:t>
      </w:r>
      <w:r w:rsidRPr="00212AD6">
        <w:rPr>
          <w:lang w:val="pl-PL" w:eastAsia="en-US"/>
        </w:rPr>
        <w:t xml:space="preserve"> nie </w:t>
      </w:r>
      <w:r w:rsidR="007855C0">
        <w:rPr>
          <w:lang w:val="pl-PL" w:eastAsia="en-US"/>
        </w:rPr>
        <w:t xml:space="preserve">jest </w:t>
      </w:r>
      <w:r w:rsidR="00820A8E">
        <w:rPr>
          <w:lang w:val="pl-PL" w:eastAsia="en-US"/>
        </w:rPr>
        <w:t>w</w:t>
      </w:r>
      <w:r w:rsidR="007855C0">
        <w:rPr>
          <w:lang w:val="pl-PL" w:eastAsia="en-US"/>
        </w:rPr>
        <w:t xml:space="preserve"> sposób oczywisty nieuzasadniona</w:t>
      </w:r>
      <w:r w:rsidRPr="00212AD6">
        <w:rPr>
          <w:lang w:val="pl-PL"/>
        </w:rPr>
        <w:t xml:space="preserve"> w rozumieniu </w:t>
      </w:r>
      <w:r w:rsidR="00B569A1">
        <w:rPr>
          <w:lang w:val="pl-PL"/>
        </w:rPr>
        <w:t>art.</w:t>
      </w:r>
      <w:r w:rsidR="00820A8E">
        <w:rPr>
          <w:lang w:val="pl-PL"/>
        </w:rPr>
        <w:t xml:space="preserve"> 35 ust. 3 lit. </w:t>
      </w:r>
      <w:r w:rsidRPr="00212AD6">
        <w:rPr>
          <w:lang w:val="pl-PL"/>
        </w:rPr>
        <w:t xml:space="preserve">a) Konwencji. Zauważa również, że nie </w:t>
      </w:r>
      <w:r w:rsidR="007855C0">
        <w:rPr>
          <w:lang w:val="pl-PL"/>
        </w:rPr>
        <w:t>jest ona niedopuszczalna</w:t>
      </w:r>
      <w:r w:rsidRPr="00212AD6">
        <w:rPr>
          <w:lang w:val="pl-PL"/>
        </w:rPr>
        <w:t xml:space="preserve"> </w:t>
      </w:r>
      <w:r w:rsidR="007855C0">
        <w:rPr>
          <w:lang w:val="pl-PL"/>
        </w:rPr>
        <w:t>z żadnych innych przyczyn. Musi zatem zostać uznana za dopuszczalną</w:t>
      </w:r>
      <w:r w:rsidRPr="00212AD6">
        <w:rPr>
          <w:lang w:val="pl-PL"/>
        </w:rPr>
        <w:t>.</w:t>
      </w:r>
    </w:p>
    <w:p w14:paraId="0961BF2E" w14:textId="77B42CAC" w:rsidR="00F767C0" w:rsidRPr="00212AD6" w:rsidRDefault="00F767C0" w:rsidP="00F767C0">
      <w:pPr>
        <w:pStyle w:val="JuHA"/>
        <w:outlineLvl w:val="0"/>
        <w:rPr>
          <w:lang w:val="pl-PL"/>
        </w:rPr>
      </w:pPr>
      <w:r w:rsidRPr="00212AD6">
        <w:rPr>
          <w:lang w:val="pl-PL"/>
        </w:rPr>
        <w:t>B.  </w:t>
      </w:r>
      <w:r w:rsidR="00820A8E">
        <w:rPr>
          <w:lang w:val="pl-PL"/>
        </w:rPr>
        <w:t>Przedmiot skargi</w:t>
      </w:r>
    </w:p>
    <w:p w14:paraId="05EFF45F" w14:textId="5622C648" w:rsidR="00F767C0" w:rsidRPr="00CB36DF" w:rsidRDefault="00F767C0" w:rsidP="00F767C0">
      <w:pPr>
        <w:pStyle w:val="JuH1"/>
        <w:rPr>
          <w:lang w:val="pl-PL"/>
        </w:rPr>
      </w:pPr>
      <w:r w:rsidRPr="00212AD6">
        <w:rPr>
          <w:lang w:val="pl-PL"/>
        </w:rPr>
        <w:t xml:space="preserve">1.  Równość </w:t>
      </w:r>
      <w:r w:rsidRPr="00CB36DF">
        <w:rPr>
          <w:lang w:val="pl-PL"/>
        </w:rPr>
        <w:t xml:space="preserve">broni i </w:t>
      </w:r>
      <w:r w:rsidR="00A14894" w:rsidRPr="00CB36DF">
        <w:rPr>
          <w:lang w:val="pl-PL"/>
        </w:rPr>
        <w:t>kontradyktoryjne rozpatrzenie sprawy</w:t>
      </w:r>
    </w:p>
    <w:p w14:paraId="617E9DE0" w14:textId="77777777" w:rsidR="00F767C0" w:rsidRPr="00CB36DF" w:rsidRDefault="00F767C0" w:rsidP="00F767C0">
      <w:pPr>
        <w:pStyle w:val="JuHa0"/>
        <w:rPr>
          <w:lang w:val="pl-PL"/>
        </w:rPr>
      </w:pPr>
      <w:r w:rsidRPr="00CB36DF">
        <w:rPr>
          <w:lang w:val="pl-PL"/>
        </w:rPr>
        <w:t>(a)  Argumenty stron</w:t>
      </w:r>
    </w:p>
    <w:p w14:paraId="517B9183" w14:textId="77777777" w:rsidR="00F767C0" w:rsidRPr="00CB36DF" w:rsidRDefault="00F767C0" w:rsidP="00F767C0">
      <w:pPr>
        <w:pStyle w:val="JuHi"/>
        <w:rPr>
          <w:lang w:val="pl-PL"/>
        </w:rPr>
      </w:pPr>
      <w:r w:rsidRPr="00CB36DF">
        <w:rPr>
          <w:lang w:val="pl-PL"/>
        </w:rPr>
        <w:t>(i)  Rząd</w:t>
      </w:r>
    </w:p>
    <w:p w14:paraId="0C8A2117" w14:textId="0F1DA57B" w:rsidR="00F767C0" w:rsidRPr="00212AD6" w:rsidRDefault="00F767C0" w:rsidP="00F767C0">
      <w:pPr>
        <w:pStyle w:val="JuPara"/>
        <w:rPr>
          <w:lang w:val="pl-PL"/>
        </w:rPr>
      </w:pPr>
      <w:r w:rsidRPr="00CB36DF">
        <w:rPr>
          <w:lang w:val="pl-PL"/>
        </w:rPr>
        <w:fldChar w:fldCharType="begin"/>
      </w:r>
      <w:r w:rsidRPr="00CB36DF">
        <w:rPr>
          <w:lang w:val="pl-PL"/>
        </w:rPr>
        <w:instrText xml:space="preserve"> SEQ level0 \*arabic </w:instrText>
      </w:r>
      <w:r w:rsidRPr="00CB36DF">
        <w:rPr>
          <w:lang w:val="pl-PL"/>
        </w:rPr>
        <w:fldChar w:fldCharType="separate"/>
      </w:r>
      <w:r w:rsidRPr="00CB36DF">
        <w:rPr>
          <w:noProof/>
          <w:lang w:val="pl-PL"/>
        </w:rPr>
        <w:t>66</w:t>
      </w:r>
      <w:r w:rsidRPr="00CB36DF">
        <w:rPr>
          <w:lang w:val="pl-PL"/>
        </w:rPr>
        <w:fldChar w:fldCharType="end"/>
      </w:r>
      <w:r w:rsidRPr="00CB36DF">
        <w:rPr>
          <w:lang w:val="pl-PL"/>
        </w:rPr>
        <w:t xml:space="preserve">.  Rząd oświadczył, że zasady </w:t>
      </w:r>
      <w:r w:rsidR="00A14894" w:rsidRPr="00CB36DF">
        <w:rPr>
          <w:lang w:val="pl-PL"/>
        </w:rPr>
        <w:t>kontradyktoryjnego rozpatrzenia sprawy</w:t>
      </w:r>
      <w:r w:rsidRPr="00CB36DF">
        <w:rPr>
          <w:lang w:val="pl-PL"/>
        </w:rPr>
        <w:t xml:space="preserve"> i równości broni, </w:t>
      </w:r>
      <w:r w:rsidR="00C55FC0">
        <w:rPr>
          <w:lang w:val="pl-PL"/>
        </w:rPr>
        <w:t>wy</w:t>
      </w:r>
      <w:r w:rsidRPr="00CB36DF">
        <w:rPr>
          <w:lang w:val="pl-PL"/>
        </w:rPr>
        <w:t>pracowane w orzecznictwie</w:t>
      </w:r>
      <w:r w:rsidRPr="00212AD6">
        <w:rPr>
          <w:lang w:val="pl-PL"/>
        </w:rPr>
        <w:t xml:space="preserve"> Trybunału, miały zastosowanie jedynie względem stron postępowania. Jednakże w niniejszej sprawie skarżąca nie była stroną postępowania przed Trybunałem Konstytucyjnym, ponieważ postępowanie przed Trybunałem Konstytucyjnym jest postępowaniem jedynym w swoim rodzaju, w którym nie uczestniczą dwie strony przeciwne, lecz skarżący zaskarżający decyzję władz sądowych, administracyjnych bądź innych władz publicznych, twierdzący, że naruszone zostały jego gwarantowane </w:t>
      </w:r>
      <w:r w:rsidR="00DB5CE6" w:rsidRPr="00212AD6">
        <w:rPr>
          <w:lang w:val="pl-PL"/>
        </w:rPr>
        <w:t xml:space="preserve">Konstytucją </w:t>
      </w:r>
      <w:r w:rsidRPr="00212AD6">
        <w:rPr>
          <w:lang w:val="pl-PL"/>
        </w:rPr>
        <w:t xml:space="preserve">prawa. W takim postępowaniu, zgodnie z </w:t>
      </w:r>
      <w:r w:rsidR="00B569A1">
        <w:rPr>
          <w:lang w:val="pl-PL"/>
        </w:rPr>
        <w:t>art.</w:t>
      </w:r>
      <w:r w:rsidR="001E4BA5">
        <w:rPr>
          <w:lang w:val="pl-PL"/>
        </w:rPr>
        <w:t xml:space="preserve"> </w:t>
      </w:r>
      <w:r w:rsidRPr="00212AD6">
        <w:rPr>
          <w:lang w:val="pl-PL"/>
        </w:rPr>
        <w:t>69 ustawy o Trybunale Konstytucyjnym, kopię skargi konstytucyjnej przesyłano do osób zainteresowanych z zaproszeniem do odpowiedzi jedynie w sytuacjach, gdy było to niezbędne (zob. paragraf 25 powyżej).</w:t>
      </w:r>
    </w:p>
    <w:p w14:paraId="2A24224F" w14:textId="036A9F85" w:rsidR="00F767C0" w:rsidRPr="00212AD6" w:rsidRDefault="00F767C0" w:rsidP="00F767C0">
      <w:pPr>
        <w:pStyle w:val="JuPara"/>
        <w:rPr>
          <w:lang w:val="pl-PL"/>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67</w:t>
      </w:r>
      <w:r w:rsidRPr="00212AD6">
        <w:rPr>
          <w:lang w:val="pl-PL"/>
        </w:rPr>
        <w:fldChar w:fldCharType="end"/>
      </w:r>
      <w:r w:rsidRPr="00212AD6">
        <w:rPr>
          <w:lang w:val="pl-PL"/>
        </w:rPr>
        <w:t xml:space="preserve">.  Następnie Rząd argumentował, że w niniejszej sprawie </w:t>
      </w:r>
      <w:r w:rsidR="00C06CFF" w:rsidRPr="00212AD6">
        <w:rPr>
          <w:lang w:val="pl-PL"/>
        </w:rPr>
        <w:t>w</w:t>
      </w:r>
      <w:r w:rsidRPr="00212AD6">
        <w:rPr>
          <w:lang w:val="pl-PL"/>
        </w:rPr>
        <w:t xml:space="preserve"> postępowan</w:t>
      </w:r>
      <w:r w:rsidR="00C06CFF" w:rsidRPr="00212AD6">
        <w:rPr>
          <w:lang w:val="pl-PL"/>
        </w:rPr>
        <w:t xml:space="preserve">iu </w:t>
      </w:r>
      <w:r w:rsidRPr="00212AD6">
        <w:rPr>
          <w:lang w:val="pl-PL"/>
        </w:rPr>
        <w:t xml:space="preserve">przed Trybunałem Konstytucyjnym </w:t>
      </w:r>
      <w:r w:rsidR="00C06CFF" w:rsidRPr="00212AD6">
        <w:rPr>
          <w:lang w:val="pl-PL"/>
        </w:rPr>
        <w:t>nie prowadzono postępowania dowodowego, w którym s</w:t>
      </w:r>
      <w:r w:rsidRPr="00212AD6">
        <w:rPr>
          <w:lang w:val="pl-PL"/>
        </w:rPr>
        <w:t>karżąc</w:t>
      </w:r>
      <w:r w:rsidR="00C06CFF" w:rsidRPr="00212AD6">
        <w:rPr>
          <w:lang w:val="pl-PL"/>
        </w:rPr>
        <w:t>a nie miała możliwości wypowiedzenia się</w:t>
      </w:r>
      <w:r w:rsidR="00820A8E">
        <w:rPr>
          <w:lang w:val="pl-PL"/>
        </w:rPr>
        <w:t>,</w:t>
      </w:r>
      <w:r w:rsidR="00C06CFF" w:rsidRPr="00212AD6">
        <w:rPr>
          <w:lang w:val="pl-PL"/>
        </w:rPr>
        <w:t xml:space="preserve"> </w:t>
      </w:r>
      <w:r w:rsidRPr="00212AD6">
        <w:rPr>
          <w:lang w:val="pl-PL"/>
        </w:rPr>
        <w:t xml:space="preserve">ani też nie odbyła się rozprawa, na którą skarżąca nie została wezwana. Co więcej, skarga konstytucyjna S.B. wraz z całością jej </w:t>
      </w:r>
      <w:r w:rsidR="00C02B33">
        <w:rPr>
          <w:lang w:val="pl-PL"/>
        </w:rPr>
        <w:t xml:space="preserve">pism procesowych </w:t>
      </w:r>
      <w:r w:rsidRPr="00212AD6">
        <w:rPr>
          <w:lang w:val="pl-PL"/>
        </w:rPr>
        <w:t xml:space="preserve">oraz dowodów została we właściwym terminie przesłana skarżącej jako osobie zainteresowanej, celem uzyskania odpowiedzi, której skarżąca udzieliła w dniach 7 marca i 9 marca 2009 r. (zob. paragraf </w:t>
      </w:r>
      <w:r w:rsidRPr="00C02B33">
        <w:rPr>
          <w:lang w:val="pl-PL"/>
        </w:rPr>
        <w:t>17 powyżej). Zatem w postępowaniu przed Trybunałem Konstytucyjnym respektowano podstawowy wymóg kontradyktoryjn</w:t>
      </w:r>
      <w:r w:rsidR="00A14894">
        <w:rPr>
          <w:lang w:val="pl-PL"/>
        </w:rPr>
        <w:t>ego rozpatrzenia sprawy</w:t>
      </w:r>
      <w:r w:rsidRPr="00C02B33">
        <w:rPr>
          <w:lang w:val="pl-PL"/>
        </w:rPr>
        <w:t>, mianowicie prze</w:t>
      </w:r>
      <w:r w:rsidR="00847925" w:rsidRPr="00C02B33">
        <w:rPr>
          <w:lang w:val="pl-PL"/>
        </w:rPr>
        <w:t>kazania</w:t>
      </w:r>
      <w:r w:rsidRPr="00C02B33">
        <w:rPr>
          <w:lang w:val="pl-PL"/>
        </w:rPr>
        <w:t xml:space="preserve"> </w:t>
      </w:r>
      <w:r w:rsidR="00C02B33">
        <w:rPr>
          <w:lang w:val="pl-PL"/>
        </w:rPr>
        <w:t xml:space="preserve">pism procesowych </w:t>
      </w:r>
      <w:r w:rsidRPr="00C02B33">
        <w:rPr>
          <w:lang w:val="pl-PL"/>
        </w:rPr>
        <w:t xml:space="preserve">jednej ze stron drugiej stronie i </w:t>
      </w:r>
      <w:r w:rsidR="00C02B33">
        <w:rPr>
          <w:lang w:val="pl-PL"/>
        </w:rPr>
        <w:t xml:space="preserve">przyznania </w:t>
      </w:r>
      <w:r w:rsidRPr="00C02B33">
        <w:rPr>
          <w:lang w:val="pl-PL"/>
        </w:rPr>
        <w:t>prawa udzielenia odpowiedzi na tak</w:t>
      </w:r>
      <w:r w:rsidR="00C02B33">
        <w:rPr>
          <w:lang w:val="pl-PL"/>
        </w:rPr>
        <w:t>ie pisma</w:t>
      </w:r>
      <w:r w:rsidRPr="00C02B33">
        <w:rPr>
          <w:lang w:val="pl-PL"/>
        </w:rPr>
        <w:t>.</w:t>
      </w:r>
    </w:p>
    <w:p w14:paraId="4744F7F5" w14:textId="300C0C1A" w:rsidR="00F767C0" w:rsidRPr="00212AD6" w:rsidRDefault="00F767C0" w:rsidP="00F767C0">
      <w:pPr>
        <w:pStyle w:val="JuPara"/>
        <w:rPr>
          <w:lang w:val="pl-PL"/>
        </w:rPr>
      </w:pPr>
      <w:r w:rsidRPr="00212AD6">
        <w:rPr>
          <w:lang w:val="pl-PL"/>
        </w:rPr>
        <w:lastRenderedPageBreak/>
        <w:fldChar w:fldCharType="begin"/>
      </w:r>
      <w:r w:rsidRPr="00212AD6">
        <w:rPr>
          <w:lang w:val="pl-PL"/>
        </w:rPr>
        <w:instrText xml:space="preserve"> SEQ level0 \*arabic </w:instrText>
      </w:r>
      <w:r w:rsidRPr="00212AD6">
        <w:rPr>
          <w:lang w:val="pl-PL"/>
        </w:rPr>
        <w:fldChar w:fldCharType="separate"/>
      </w:r>
      <w:r w:rsidRPr="00212AD6">
        <w:rPr>
          <w:noProof/>
          <w:lang w:val="pl-PL"/>
        </w:rPr>
        <w:t>68</w:t>
      </w:r>
      <w:r w:rsidRPr="00212AD6">
        <w:rPr>
          <w:lang w:val="pl-PL"/>
        </w:rPr>
        <w:fldChar w:fldCharType="end"/>
      </w:r>
      <w:r w:rsidRPr="00212AD6">
        <w:rPr>
          <w:lang w:val="pl-PL"/>
        </w:rPr>
        <w:t xml:space="preserve">.  W odniesieniu do opinii </w:t>
      </w:r>
      <w:r w:rsidR="00C06CFF" w:rsidRPr="00212AD6">
        <w:rPr>
          <w:lang w:val="pl-PL"/>
        </w:rPr>
        <w:t>ekspertów</w:t>
      </w:r>
      <w:r w:rsidRPr="00212AD6">
        <w:rPr>
          <w:lang w:val="pl-PL"/>
        </w:rPr>
        <w:t xml:space="preserve">, o których </w:t>
      </w:r>
      <w:r w:rsidR="00C06CFF" w:rsidRPr="00212AD6">
        <w:rPr>
          <w:lang w:val="pl-PL"/>
        </w:rPr>
        <w:t>przedstawienie</w:t>
      </w:r>
      <w:r w:rsidRPr="00212AD6">
        <w:rPr>
          <w:lang w:val="pl-PL"/>
        </w:rPr>
        <w:t xml:space="preserve"> zwrócił się sędzia sprawozdawca zgodnie z </w:t>
      </w:r>
      <w:r w:rsidR="00B569A1">
        <w:rPr>
          <w:lang w:val="pl-PL"/>
        </w:rPr>
        <w:t>art.</w:t>
      </w:r>
      <w:r w:rsidRPr="00212AD6">
        <w:rPr>
          <w:lang w:val="pl-PL"/>
        </w:rPr>
        <w:t xml:space="preserve"> 31 Regulaminu Trybunału Konstytucyjnego (zob. paragraf 28 powyżej), Rząd wyjaśnił, że </w:t>
      </w:r>
      <w:r w:rsidR="00966FDA">
        <w:rPr>
          <w:lang w:val="pl-PL"/>
        </w:rPr>
        <w:t xml:space="preserve">sędzia ten ma swobodę podjęcia decyzji dotyczącej żądania takich opinii w przypadku, gdy uzna je za pomocne w </w:t>
      </w:r>
      <w:r w:rsidR="00966FDA" w:rsidRPr="00C02B33">
        <w:rPr>
          <w:lang w:val="pl-PL"/>
        </w:rPr>
        <w:t>procesie decyzyjnym</w:t>
      </w:r>
      <w:r w:rsidRPr="00C02B33">
        <w:rPr>
          <w:lang w:val="pl-PL"/>
        </w:rPr>
        <w:t>. Opinie takie nie mają jakiegokolwiek statusu formalnego ani skutków prawnych, ani też nie są dla nikogo wiążące. Nie mogły też być traktowane jako dowody (w przeciwieństwie do, przykładowo, r</w:t>
      </w:r>
      <w:r w:rsidR="00402FAD" w:rsidRPr="00C02B33">
        <w:rPr>
          <w:lang w:val="pl-PL"/>
        </w:rPr>
        <w:t xml:space="preserve">aportów i </w:t>
      </w:r>
      <w:r w:rsidRPr="00C02B33">
        <w:rPr>
          <w:lang w:val="pl-PL"/>
        </w:rPr>
        <w:t>opini</w:t>
      </w:r>
      <w:r w:rsidR="00402FAD" w:rsidRPr="00C02B33">
        <w:rPr>
          <w:lang w:val="pl-PL"/>
        </w:rPr>
        <w:t>i biegłych sądowych</w:t>
      </w:r>
      <w:r w:rsidRPr="00C02B33">
        <w:rPr>
          <w:lang w:val="pl-PL"/>
        </w:rPr>
        <w:t xml:space="preserve">) czy </w:t>
      </w:r>
      <w:r w:rsidR="00C02B33">
        <w:rPr>
          <w:lang w:val="pl-PL"/>
        </w:rPr>
        <w:t xml:space="preserve">pisma procesowe </w:t>
      </w:r>
      <w:r w:rsidR="00C02B33" w:rsidRPr="00C02B33">
        <w:rPr>
          <w:lang w:val="pl-PL"/>
        </w:rPr>
        <w:t xml:space="preserve">innej </w:t>
      </w:r>
      <w:r w:rsidRPr="00C02B33">
        <w:rPr>
          <w:lang w:val="pl-PL"/>
        </w:rPr>
        <w:t>strony. Z tego względu nie istniał obowiązek przesyłania ich skarżącej lub osobie zainteresowanej. Sędzia sprawozdawca nie miał obowiązku przekazywania ich nawet pozostałym</w:t>
      </w:r>
      <w:r w:rsidRPr="00212AD6">
        <w:rPr>
          <w:lang w:val="pl-PL"/>
        </w:rPr>
        <w:t xml:space="preserve"> sędziom Trybunału Konstytucyjnego. Gdyby </w:t>
      </w:r>
      <w:r w:rsidR="00340A9D">
        <w:rPr>
          <w:lang w:val="pl-PL"/>
        </w:rPr>
        <w:t>uznać</w:t>
      </w:r>
      <w:r w:rsidRPr="00212AD6">
        <w:rPr>
          <w:lang w:val="pl-PL"/>
        </w:rPr>
        <w:t xml:space="preserve"> inaczej, za każdym razem, gdy</w:t>
      </w:r>
      <w:r w:rsidR="00847925">
        <w:rPr>
          <w:lang w:val="pl-PL"/>
        </w:rPr>
        <w:t>by</w:t>
      </w:r>
      <w:r w:rsidRPr="00212AD6">
        <w:rPr>
          <w:lang w:val="pl-PL"/>
        </w:rPr>
        <w:t xml:space="preserve"> sąd zamierzał</w:t>
      </w:r>
      <w:r w:rsidR="00847925">
        <w:rPr>
          <w:lang w:val="pl-PL"/>
        </w:rPr>
        <w:t xml:space="preserve"> </w:t>
      </w:r>
      <w:r w:rsidRPr="00212AD6">
        <w:rPr>
          <w:lang w:val="pl-PL"/>
        </w:rPr>
        <w:t xml:space="preserve">zastosować w swojej decyzji artykuł z </w:t>
      </w:r>
      <w:r w:rsidR="00435558" w:rsidRPr="00212AD6">
        <w:rPr>
          <w:lang w:val="pl-PL"/>
        </w:rPr>
        <w:t>czasopisma prawniczego</w:t>
      </w:r>
      <w:r w:rsidRPr="00212AD6">
        <w:rPr>
          <w:lang w:val="pl-PL"/>
        </w:rPr>
        <w:t>, musiałby informować o tym fakcie strony i umożliwić im przedstawienie uwag. W świetle powyższego opinie ekspertów, wnioskowane i otrzymane przez sędziego sprawozdawcę w sprawie skarżącej nie zosta</w:t>
      </w:r>
      <w:r w:rsidR="00340A9D">
        <w:rPr>
          <w:lang w:val="pl-PL"/>
        </w:rPr>
        <w:t>ły przesłane S.B., Parlamentowi</w:t>
      </w:r>
      <w:r w:rsidRPr="00212AD6">
        <w:rPr>
          <w:lang w:val="pl-PL"/>
        </w:rPr>
        <w:t xml:space="preserve"> (którego decyzja podlegała zaskarżeniu) ani skarżącej. W związku z tym, w sytuacji takiej, z jaką mamy do czynienia w niniejszej sprawie, gdzie skarżącej doręczono wszystkie oświadczenia S.B. i umożliwiono przedstawienie uwag, fakt nieprzesłania opinii ekspertów </w:t>
      </w:r>
      <w:r w:rsidRPr="00C55FC0">
        <w:rPr>
          <w:lang w:val="pl-PL"/>
        </w:rPr>
        <w:t xml:space="preserve">żadnemu z uczestników postępowania, w tym skarżącej, nie mógł być </w:t>
      </w:r>
      <w:r w:rsidR="000569B7" w:rsidRPr="00C55FC0">
        <w:rPr>
          <w:lang w:val="pl-PL"/>
        </w:rPr>
        <w:t>postrzegany</w:t>
      </w:r>
      <w:r w:rsidRPr="00C55FC0">
        <w:rPr>
          <w:lang w:val="pl-PL"/>
        </w:rPr>
        <w:t xml:space="preserve"> jako naruszenie jej prawa do </w:t>
      </w:r>
      <w:r w:rsidR="00A14894" w:rsidRPr="00C55FC0">
        <w:rPr>
          <w:lang w:val="pl-PL"/>
        </w:rPr>
        <w:t>kontradyktoryjnego rozpatrzenia sprawy</w:t>
      </w:r>
      <w:r w:rsidRPr="00C55FC0">
        <w:rPr>
          <w:lang w:val="pl-PL"/>
        </w:rPr>
        <w:t xml:space="preserve"> lub </w:t>
      </w:r>
      <w:r w:rsidR="000569B7" w:rsidRPr="00C55FC0">
        <w:rPr>
          <w:lang w:val="pl-PL"/>
        </w:rPr>
        <w:t xml:space="preserve">jako </w:t>
      </w:r>
      <w:r w:rsidRPr="00C55FC0">
        <w:rPr>
          <w:lang w:val="pl-PL"/>
        </w:rPr>
        <w:t>sprzeczny z zasadą równości</w:t>
      </w:r>
      <w:r w:rsidRPr="00212AD6">
        <w:rPr>
          <w:lang w:val="pl-PL"/>
        </w:rPr>
        <w:t xml:space="preserve"> broni.</w:t>
      </w:r>
    </w:p>
    <w:p w14:paraId="3BE941E1" w14:textId="77777777" w:rsidR="00F767C0" w:rsidRPr="00212AD6" w:rsidRDefault="00F767C0" w:rsidP="00F767C0">
      <w:pPr>
        <w:pStyle w:val="JuHi"/>
        <w:rPr>
          <w:lang w:val="pl-PL"/>
        </w:rPr>
      </w:pPr>
      <w:r w:rsidRPr="00212AD6">
        <w:rPr>
          <w:lang w:val="pl-PL"/>
        </w:rPr>
        <w:t>(ii)  Skarżąca</w:t>
      </w:r>
    </w:p>
    <w:p w14:paraId="7E912056" w14:textId="77777777" w:rsidR="00F767C0" w:rsidRPr="00212AD6" w:rsidRDefault="00F767C0" w:rsidP="00F767C0">
      <w:pPr>
        <w:pStyle w:val="JuPara"/>
        <w:rPr>
          <w:lang w:val="pl-PL"/>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69</w:t>
      </w:r>
      <w:r w:rsidRPr="00212AD6">
        <w:rPr>
          <w:lang w:val="pl-PL"/>
        </w:rPr>
        <w:fldChar w:fldCharType="end"/>
      </w:r>
      <w:r w:rsidRPr="00212AD6">
        <w:rPr>
          <w:lang w:val="pl-PL"/>
        </w:rPr>
        <w:t xml:space="preserve">.  W pierwszej kolejności skarżąca przypomniała zarzut, że opinie </w:t>
      </w:r>
      <w:r w:rsidR="00435558" w:rsidRPr="00212AD6">
        <w:rPr>
          <w:lang w:val="pl-PL"/>
        </w:rPr>
        <w:t>ekspertów</w:t>
      </w:r>
      <w:r w:rsidRPr="00212AD6">
        <w:rPr>
          <w:lang w:val="pl-PL"/>
        </w:rPr>
        <w:t xml:space="preserve"> przedstawione </w:t>
      </w:r>
      <w:r w:rsidR="00435558" w:rsidRPr="00212AD6">
        <w:rPr>
          <w:lang w:val="pl-PL"/>
        </w:rPr>
        <w:t>przez</w:t>
      </w:r>
      <w:r w:rsidRPr="00212AD6">
        <w:rPr>
          <w:lang w:val="pl-PL"/>
        </w:rPr>
        <w:t xml:space="preserve"> wybitnych prawników oraz opinie i informacje otrzymane od różnych instytucji w postępowaniu przed Trybunałem Konstytucyjnym zostały jej doręczone dopiero po zakończeniu postępowania.</w:t>
      </w:r>
    </w:p>
    <w:p w14:paraId="20928E03" w14:textId="5939136A" w:rsidR="00F767C0" w:rsidRPr="00212AD6" w:rsidRDefault="00F767C0" w:rsidP="004164AE">
      <w:pPr>
        <w:pStyle w:val="JuPara"/>
        <w:rPr>
          <w:lang w:val="pl-PL"/>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70</w:t>
      </w:r>
      <w:r w:rsidRPr="00212AD6">
        <w:rPr>
          <w:lang w:val="pl-PL"/>
        </w:rPr>
        <w:fldChar w:fldCharType="end"/>
      </w:r>
      <w:r w:rsidRPr="00212AD6">
        <w:rPr>
          <w:lang w:val="pl-PL"/>
        </w:rPr>
        <w:t xml:space="preserve">.  Następnie kwestionowała argument Rządu, iż nie była stroną postępowania przed Trybunałem </w:t>
      </w:r>
      <w:r w:rsidR="00C047AA">
        <w:rPr>
          <w:lang w:val="pl-PL"/>
        </w:rPr>
        <w:t>Konstytucyjnym. W szczególności</w:t>
      </w:r>
      <w:r w:rsidRPr="00212AD6">
        <w:rPr>
          <w:lang w:val="pl-PL"/>
        </w:rPr>
        <w:t xml:space="preserve"> skarżąca wyraziła </w:t>
      </w:r>
      <w:r w:rsidR="00C047AA">
        <w:rPr>
          <w:lang w:val="pl-PL"/>
        </w:rPr>
        <w:t xml:space="preserve">najpierw </w:t>
      </w:r>
      <w:r w:rsidRPr="00212AD6">
        <w:rPr>
          <w:lang w:val="pl-PL"/>
        </w:rPr>
        <w:t xml:space="preserve">zdziwienie, dlaczego przekazano jej skargę konstytucyjną S.B. wraz z </w:t>
      </w:r>
      <w:r w:rsidR="004164AE">
        <w:rPr>
          <w:lang w:val="pl-PL"/>
        </w:rPr>
        <w:t xml:space="preserve">uzupełnieniami </w:t>
      </w:r>
      <w:r w:rsidRPr="00212AD6">
        <w:rPr>
          <w:lang w:val="pl-PL"/>
        </w:rPr>
        <w:t xml:space="preserve">oraz dlaczego </w:t>
      </w:r>
      <w:r w:rsidR="00435558" w:rsidRPr="00212AD6">
        <w:rPr>
          <w:lang w:val="pl-PL"/>
        </w:rPr>
        <w:t>umożliwiono</w:t>
      </w:r>
      <w:r w:rsidRPr="00212AD6">
        <w:rPr>
          <w:lang w:val="pl-PL"/>
        </w:rPr>
        <w:t xml:space="preserve"> jej </w:t>
      </w:r>
      <w:r w:rsidR="00435558" w:rsidRPr="00212AD6">
        <w:rPr>
          <w:lang w:val="pl-PL"/>
        </w:rPr>
        <w:t>odpowiedź</w:t>
      </w:r>
      <w:r w:rsidRPr="00212AD6">
        <w:rPr>
          <w:lang w:val="pl-PL"/>
        </w:rPr>
        <w:t xml:space="preserve"> na te oświadczenia, skoro nie była stroną postępowania przed Trybunałem Konstytucyjnym. Ponadto, gdyby można było przyjąć twierdzenie Rządu, oznaczałoby to, że nie została uznana za stronę postępowania (przed Trybunałem Konstytucyjnym), w którym zakwestionowany i ostatecznie uchylony został wyrok (Sądu Administracyjnego) wydany na jej korzyść. To z pewnością byłoby sprzeczne z podstawowymi zasadami </w:t>
      </w:r>
      <w:r w:rsidR="00435558" w:rsidRPr="00212AD6">
        <w:rPr>
          <w:lang w:val="pl-PL"/>
        </w:rPr>
        <w:t>rządów prawa</w:t>
      </w:r>
      <w:r w:rsidRPr="00212AD6">
        <w:rPr>
          <w:lang w:val="pl-PL"/>
        </w:rPr>
        <w:t>.</w:t>
      </w:r>
    </w:p>
    <w:p w14:paraId="315ECBDA" w14:textId="77777777" w:rsidR="00F767C0" w:rsidRPr="00212AD6" w:rsidRDefault="00F767C0" w:rsidP="00F767C0">
      <w:pPr>
        <w:pStyle w:val="JuPara"/>
        <w:rPr>
          <w:lang w:val="pl-PL"/>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71</w:t>
      </w:r>
      <w:r w:rsidRPr="00212AD6">
        <w:rPr>
          <w:lang w:val="pl-PL"/>
        </w:rPr>
        <w:fldChar w:fldCharType="end"/>
      </w:r>
      <w:r w:rsidRPr="00212AD6">
        <w:rPr>
          <w:lang w:val="pl-PL"/>
        </w:rPr>
        <w:t>.  </w:t>
      </w:r>
      <w:r w:rsidR="009678A8">
        <w:rPr>
          <w:lang w:val="pl-PL"/>
        </w:rPr>
        <w:t>Wreszcie</w:t>
      </w:r>
      <w:r w:rsidRPr="00212AD6">
        <w:rPr>
          <w:lang w:val="pl-PL"/>
        </w:rPr>
        <w:t xml:space="preserve"> skarżąca zauważyła, że Trybunał Konstytucyjny zwrócił się z prośbą o informację do, między innymi, Chorwackiej Rady Adwokackiej, prywatnego banku </w:t>
      </w:r>
      <w:proofErr w:type="spellStart"/>
      <w:r w:rsidRPr="00212AD6">
        <w:rPr>
          <w:lang w:val="pl-PL"/>
        </w:rPr>
        <w:t>Zagrebačka</w:t>
      </w:r>
      <w:proofErr w:type="spellEnd"/>
      <w:r w:rsidRPr="00212AD6">
        <w:rPr>
          <w:lang w:val="pl-PL"/>
        </w:rPr>
        <w:t xml:space="preserve"> </w:t>
      </w:r>
      <w:proofErr w:type="spellStart"/>
      <w:r w:rsidRPr="00212AD6">
        <w:rPr>
          <w:lang w:val="pl-PL"/>
        </w:rPr>
        <w:t>banka</w:t>
      </w:r>
      <w:proofErr w:type="spellEnd"/>
      <w:r w:rsidRPr="00212AD6">
        <w:rPr>
          <w:lang w:val="pl-PL"/>
        </w:rPr>
        <w:t xml:space="preserve"> </w:t>
      </w:r>
      <w:proofErr w:type="spellStart"/>
      <w:r w:rsidRPr="00212AD6">
        <w:rPr>
          <w:lang w:val="pl-PL"/>
        </w:rPr>
        <w:t>d.d</w:t>
      </w:r>
      <w:proofErr w:type="spellEnd"/>
      <w:r w:rsidRPr="00212AD6">
        <w:rPr>
          <w:lang w:val="pl-PL"/>
        </w:rPr>
        <w:t xml:space="preserve">. oraz Duńskiego Czerwonego Krzyża. </w:t>
      </w:r>
      <w:r w:rsidR="00435558" w:rsidRPr="00212AD6">
        <w:rPr>
          <w:lang w:val="pl-PL"/>
        </w:rPr>
        <w:t>Zważywszy</w:t>
      </w:r>
      <w:r w:rsidRPr="00212AD6">
        <w:rPr>
          <w:lang w:val="pl-PL"/>
        </w:rPr>
        <w:t xml:space="preserve">, że S.B. pracowała uprzednio jako aplikant adwokacki zarówno w banku, jak i we wskazanej organizacji </w:t>
      </w:r>
      <w:r w:rsidRPr="00212AD6">
        <w:rPr>
          <w:lang w:val="pl-PL"/>
        </w:rPr>
        <w:lastRenderedPageBreak/>
        <w:t>pozarządowej, skarżąca uznała, że Trybunał Konstytucyjny musiał poszukiwać dowodów</w:t>
      </w:r>
      <w:r w:rsidR="000E35FA">
        <w:rPr>
          <w:lang w:val="pl-PL"/>
        </w:rPr>
        <w:t xml:space="preserve"> potwierdzających</w:t>
      </w:r>
      <w:r w:rsidRPr="00212AD6">
        <w:rPr>
          <w:lang w:val="pl-PL"/>
        </w:rPr>
        <w:t xml:space="preserve"> </w:t>
      </w:r>
      <w:r w:rsidR="00435558" w:rsidRPr="00212AD6">
        <w:rPr>
          <w:lang w:val="pl-PL"/>
        </w:rPr>
        <w:t>doświadczeni</w:t>
      </w:r>
      <w:r w:rsidR="000E35FA">
        <w:rPr>
          <w:lang w:val="pl-PL"/>
        </w:rPr>
        <w:t>e</w:t>
      </w:r>
      <w:r w:rsidRPr="00212AD6">
        <w:rPr>
          <w:lang w:val="pl-PL"/>
        </w:rPr>
        <w:t xml:space="preserve"> zawodowe</w:t>
      </w:r>
      <w:r w:rsidR="000E35FA">
        <w:rPr>
          <w:lang w:val="pl-PL"/>
        </w:rPr>
        <w:t xml:space="preserve"> </w:t>
      </w:r>
      <w:r w:rsidRPr="00212AD6">
        <w:rPr>
          <w:lang w:val="pl-PL"/>
        </w:rPr>
        <w:t xml:space="preserve">S.B. W takich </w:t>
      </w:r>
      <w:r w:rsidR="00435558" w:rsidRPr="00212AD6">
        <w:rPr>
          <w:lang w:val="pl-PL"/>
        </w:rPr>
        <w:t>okolicznościach</w:t>
      </w:r>
      <w:r w:rsidRPr="00212AD6">
        <w:rPr>
          <w:lang w:val="pl-PL"/>
        </w:rPr>
        <w:t xml:space="preserve"> nie można twierdzić, jak oświadczył Rząd, że w postępowaniu przed Trybunałem Konstytucyjnym nie gromadzono dowodów.</w:t>
      </w:r>
    </w:p>
    <w:p w14:paraId="1CBF3DF8" w14:textId="77777777" w:rsidR="00F767C0" w:rsidRPr="00212AD6" w:rsidRDefault="00F767C0" w:rsidP="00F767C0">
      <w:pPr>
        <w:pStyle w:val="JuHa0"/>
        <w:rPr>
          <w:lang w:val="pl-PL"/>
        </w:rPr>
      </w:pPr>
      <w:r w:rsidRPr="00212AD6">
        <w:rPr>
          <w:lang w:val="pl-PL"/>
        </w:rPr>
        <w:t>(b)  Ocena Trybunału</w:t>
      </w:r>
    </w:p>
    <w:p w14:paraId="6FB9096A" w14:textId="77777777" w:rsidR="00F767C0" w:rsidRPr="00212AD6" w:rsidRDefault="00F767C0" w:rsidP="00F767C0">
      <w:pPr>
        <w:pStyle w:val="JuPara"/>
        <w:rPr>
          <w:lang w:val="pl-PL"/>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72</w:t>
      </w:r>
      <w:r w:rsidRPr="00212AD6">
        <w:rPr>
          <w:lang w:val="pl-PL"/>
        </w:rPr>
        <w:fldChar w:fldCharType="end"/>
      </w:r>
      <w:r w:rsidRPr="00212AD6">
        <w:rPr>
          <w:lang w:val="pl-PL"/>
        </w:rPr>
        <w:t>.  Trybunał przyp</w:t>
      </w:r>
      <w:r w:rsidR="000E35FA">
        <w:rPr>
          <w:lang w:val="pl-PL"/>
        </w:rPr>
        <w:t>omina, że zasada równości broni –</w:t>
      </w:r>
      <w:r w:rsidRPr="00212AD6">
        <w:rPr>
          <w:lang w:val="pl-PL"/>
        </w:rPr>
        <w:t xml:space="preserve"> będąca jednym </w:t>
      </w:r>
      <w:r w:rsidR="00FD3F8F" w:rsidRPr="00212AD6">
        <w:rPr>
          <w:lang w:val="pl-PL"/>
        </w:rPr>
        <w:t>z elementów</w:t>
      </w:r>
      <w:r w:rsidRPr="00212AD6">
        <w:rPr>
          <w:lang w:val="pl-PL"/>
        </w:rPr>
        <w:t xml:space="preserve"> szerszego pojęcia rzetelnego procesu</w:t>
      </w:r>
      <w:r w:rsidR="000E35FA">
        <w:rPr>
          <w:lang w:val="pl-PL"/>
        </w:rPr>
        <w:t xml:space="preserve"> –</w:t>
      </w:r>
      <w:r w:rsidRPr="00212AD6">
        <w:rPr>
          <w:lang w:val="pl-PL"/>
        </w:rPr>
        <w:t xml:space="preserve"> wymaga, by każda ze stron miała </w:t>
      </w:r>
      <w:r w:rsidR="000E35FA">
        <w:rPr>
          <w:lang w:val="pl-PL"/>
        </w:rPr>
        <w:t>rozsądną</w:t>
      </w:r>
      <w:r w:rsidRPr="00212AD6">
        <w:rPr>
          <w:lang w:val="pl-PL"/>
        </w:rPr>
        <w:t xml:space="preserve"> możliwość przedstawienia swojej sprawy na warunkach, które nie </w:t>
      </w:r>
      <w:r w:rsidR="007114D6" w:rsidRPr="00212AD6">
        <w:rPr>
          <w:lang w:val="pl-PL"/>
        </w:rPr>
        <w:t xml:space="preserve">stawiają jej w sytuacji wyraźnie niekorzystnej w stosunku do strony przeciwnej </w:t>
      </w:r>
      <w:r w:rsidRPr="00212AD6">
        <w:rPr>
          <w:lang w:val="pl-PL"/>
        </w:rPr>
        <w:t xml:space="preserve">(zob. między innymi </w:t>
      </w:r>
      <w:proofErr w:type="spellStart"/>
      <w:r w:rsidRPr="00212AD6">
        <w:rPr>
          <w:i/>
          <w:lang w:val="pl-PL" w:eastAsia="en-US"/>
        </w:rPr>
        <w:t>Dombo</w:t>
      </w:r>
      <w:proofErr w:type="spellEnd"/>
      <w:r w:rsidRPr="00212AD6">
        <w:rPr>
          <w:i/>
          <w:lang w:val="pl-PL" w:eastAsia="en-US"/>
        </w:rPr>
        <w:t xml:space="preserve"> </w:t>
      </w:r>
      <w:proofErr w:type="spellStart"/>
      <w:r w:rsidRPr="00212AD6">
        <w:rPr>
          <w:i/>
          <w:lang w:val="pl-PL" w:eastAsia="en-US"/>
        </w:rPr>
        <w:t>Beheer</w:t>
      </w:r>
      <w:proofErr w:type="spellEnd"/>
      <w:r w:rsidRPr="00212AD6">
        <w:rPr>
          <w:i/>
          <w:lang w:val="pl-PL" w:eastAsia="en-US"/>
        </w:rPr>
        <w:t xml:space="preserve"> B.</w:t>
      </w:r>
      <w:r w:rsidR="007114D6" w:rsidRPr="00212AD6">
        <w:rPr>
          <w:i/>
          <w:lang w:val="pl-PL" w:eastAsia="en-US"/>
        </w:rPr>
        <w:t xml:space="preserve">V. </w:t>
      </w:r>
      <w:r w:rsidRPr="00212AD6">
        <w:rPr>
          <w:i/>
          <w:lang w:val="pl-PL" w:eastAsia="en-US"/>
        </w:rPr>
        <w:t>przeciwko Holandii</w:t>
      </w:r>
      <w:r w:rsidRPr="00212AD6">
        <w:rPr>
          <w:lang w:val="pl-PL" w:eastAsia="en-US"/>
        </w:rPr>
        <w:t>, 27 października 1993</w:t>
      </w:r>
      <w:r w:rsidR="000E35FA">
        <w:rPr>
          <w:lang w:val="pl-PL" w:eastAsia="en-US"/>
        </w:rPr>
        <w:t xml:space="preserve"> r.</w:t>
      </w:r>
      <w:r w:rsidRPr="00212AD6">
        <w:rPr>
          <w:lang w:val="pl-PL" w:eastAsia="en-US"/>
        </w:rPr>
        <w:t xml:space="preserve">, § 33, Seria A nr 274 oraz </w:t>
      </w:r>
      <w:proofErr w:type="spellStart"/>
      <w:r w:rsidRPr="00212AD6">
        <w:rPr>
          <w:i/>
          <w:lang w:val="pl-PL" w:eastAsia="en-US"/>
        </w:rPr>
        <w:t>Ankerl</w:t>
      </w:r>
      <w:proofErr w:type="spellEnd"/>
      <w:r w:rsidRPr="00212AD6">
        <w:rPr>
          <w:i/>
          <w:lang w:val="pl-PL" w:eastAsia="en-US"/>
        </w:rPr>
        <w:t xml:space="preserve"> przeciwko Szwajcarii</w:t>
      </w:r>
      <w:r w:rsidRPr="00212AD6">
        <w:rPr>
          <w:lang w:val="pl-PL" w:eastAsia="en-US"/>
        </w:rPr>
        <w:t>, 23 października 1996</w:t>
      </w:r>
      <w:r w:rsidR="000E35FA">
        <w:rPr>
          <w:lang w:val="pl-PL" w:eastAsia="en-US"/>
        </w:rPr>
        <w:t xml:space="preserve"> r.</w:t>
      </w:r>
      <w:r w:rsidRPr="00212AD6">
        <w:rPr>
          <w:lang w:val="pl-PL" w:eastAsia="en-US"/>
        </w:rPr>
        <w:t xml:space="preserve">, § 38, </w:t>
      </w:r>
      <w:proofErr w:type="spellStart"/>
      <w:r w:rsidRPr="00212AD6">
        <w:rPr>
          <w:i/>
          <w:lang w:val="pl-PL" w:eastAsia="en-US"/>
        </w:rPr>
        <w:t>Reports</w:t>
      </w:r>
      <w:proofErr w:type="spellEnd"/>
      <w:r w:rsidRPr="00212AD6">
        <w:rPr>
          <w:i/>
          <w:lang w:val="pl-PL" w:eastAsia="en-US"/>
        </w:rPr>
        <w:t xml:space="preserve"> of </w:t>
      </w:r>
      <w:proofErr w:type="spellStart"/>
      <w:r w:rsidRPr="00212AD6">
        <w:rPr>
          <w:i/>
          <w:lang w:val="pl-PL" w:eastAsia="en-US"/>
        </w:rPr>
        <w:t>Judgments</w:t>
      </w:r>
      <w:proofErr w:type="spellEnd"/>
      <w:r w:rsidRPr="00212AD6">
        <w:rPr>
          <w:i/>
          <w:lang w:val="pl-PL" w:eastAsia="en-US"/>
        </w:rPr>
        <w:t xml:space="preserve"> and </w:t>
      </w:r>
      <w:proofErr w:type="spellStart"/>
      <w:r w:rsidRPr="00212AD6">
        <w:rPr>
          <w:i/>
          <w:lang w:val="pl-PL" w:eastAsia="en-US"/>
        </w:rPr>
        <w:t>Decisions</w:t>
      </w:r>
      <w:proofErr w:type="spellEnd"/>
      <w:r w:rsidRPr="00212AD6">
        <w:rPr>
          <w:lang w:val="pl-PL" w:eastAsia="en-US"/>
        </w:rPr>
        <w:t xml:space="preserve"> 1996</w:t>
      </w:r>
      <w:r w:rsidRPr="00212AD6">
        <w:rPr>
          <w:lang w:val="pl-PL" w:eastAsia="en-US"/>
        </w:rPr>
        <w:noBreakHyphen/>
        <w:t>V</w:t>
      </w:r>
      <w:r w:rsidRPr="00212AD6">
        <w:rPr>
          <w:lang w:val="pl-PL"/>
        </w:rPr>
        <w:t xml:space="preserve">). W niniejszej sprawie nie jest przedmiotem sporu, że: (a) opinie </w:t>
      </w:r>
      <w:r w:rsidR="00FF4D68" w:rsidRPr="00212AD6">
        <w:rPr>
          <w:lang w:val="pl-PL"/>
        </w:rPr>
        <w:t>ekspertów</w:t>
      </w:r>
      <w:r w:rsidRPr="00212AD6">
        <w:rPr>
          <w:lang w:val="pl-PL"/>
        </w:rPr>
        <w:t xml:space="preserve"> przedstawione </w:t>
      </w:r>
      <w:r w:rsidR="00FF4D68" w:rsidRPr="00212AD6">
        <w:rPr>
          <w:lang w:val="pl-PL"/>
        </w:rPr>
        <w:t>przez</w:t>
      </w:r>
      <w:r w:rsidRPr="00212AD6">
        <w:rPr>
          <w:lang w:val="pl-PL"/>
        </w:rPr>
        <w:t xml:space="preserve"> wybitnych prawników oraz opinie i informacje otrzymane od różnych instytucji przez Trybunał Konstytucyjny nie zostały przekazane skarżącej ani S.B. przed wydaniem przez ten sąd decyzji w dniu 30 kwietnia 2009 r. oraz </w:t>
      </w:r>
      <w:r w:rsidR="000E35FA">
        <w:rPr>
          <w:lang w:val="pl-PL"/>
        </w:rPr>
        <w:t xml:space="preserve">że </w:t>
      </w:r>
      <w:r w:rsidRPr="00212AD6">
        <w:rPr>
          <w:lang w:val="pl-PL"/>
        </w:rPr>
        <w:t xml:space="preserve">(b) </w:t>
      </w:r>
      <w:r w:rsidR="000E35FA">
        <w:rPr>
          <w:lang w:val="pl-PL"/>
        </w:rPr>
        <w:t>w</w:t>
      </w:r>
      <w:r w:rsidRPr="00212AD6">
        <w:rPr>
          <w:lang w:val="pl-PL"/>
        </w:rPr>
        <w:t xml:space="preserve">szystkie oświadczenia S.B. w postępowaniu przed Trybunałem Konstytucyjnym (skarga konstytucyjna z dnia 4 lutego 2009 r. </w:t>
      </w:r>
      <w:r w:rsidR="004164AE">
        <w:rPr>
          <w:lang w:val="pl-PL"/>
        </w:rPr>
        <w:t xml:space="preserve">oraz uzupełnienia </w:t>
      </w:r>
      <w:r w:rsidRPr="00212AD6">
        <w:rPr>
          <w:lang w:val="pl-PL"/>
        </w:rPr>
        <w:t xml:space="preserve">z dnia 18 lutego i </w:t>
      </w:r>
      <w:r w:rsidR="004164AE">
        <w:rPr>
          <w:lang w:val="pl-PL"/>
        </w:rPr>
        <w:t xml:space="preserve">z dnia </w:t>
      </w:r>
      <w:r w:rsidRPr="00212AD6">
        <w:rPr>
          <w:lang w:val="pl-PL"/>
        </w:rPr>
        <w:t>3 marca 2009 r.) zostały przekazane skarżącej, której umożliwiono udzielnie na nie odpowiedzi, z której to możliwości skarżąca skorzystała. Trybunał uznaje zatem, że w niniejszej sprawie zasada równości broni nie została na</w:t>
      </w:r>
      <w:r w:rsidR="0068204E" w:rsidRPr="00212AD6">
        <w:rPr>
          <w:lang w:val="pl-PL"/>
        </w:rPr>
        <w:t>ruszona (zob. przykładowo</w:t>
      </w:r>
      <w:r w:rsidRPr="00212AD6">
        <w:rPr>
          <w:lang w:val="pl-PL"/>
        </w:rPr>
        <w:t xml:space="preserve"> </w:t>
      </w:r>
      <w:r w:rsidRPr="00212AD6">
        <w:rPr>
          <w:i/>
          <w:lang w:val="pl-PL"/>
        </w:rPr>
        <w:t>mutatis mutandis</w:t>
      </w:r>
      <w:r w:rsidRPr="00212AD6">
        <w:rPr>
          <w:lang w:val="pl-PL"/>
        </w:rPr>
        <w:t xml:space="preserve"> </w:t>
      </w:r>
      <w:proofErr w:type="spellStart"/>
      <w:r w:rsidRPr="00212AD6">
        <w:rPr>
          <w:i/>
          <w:lang w:val="pl-PL" w:eastAsia="en-US"/>
        </w:rPr>
        <w:t>Nideröst</w:t>
      </w:r>
      <w:proofErr w:type="spellEnd"/>
      <w:r w:rsidRPr="00212AD6">
        <w:rPr>
          <w:i/>
          <w:lang w:val="pl-PL" w:eastAsia="en-US"/>
        </w:rPr>
        <w:t>-Huber przeciwko Szwajcarii</w:t>
      </w:r>
      <w:r w:rsidRPr="00212AD6">
        <w:rPr>
          <w:lang w:val="pl-PL" w:eastAsia="en-US"/>
        </w:rPr>
        <w:t xml:space="preserve">, 18 lutego 1997 r., § 23, </w:t>
      </w:r>
      <w:proofErr w:type="spellStart"/>
      <w:r w:rsidRPr="00212AD6">
        <w:rPr>
          <w:i/>
          <w:lang w:val="pl-PL" w:eastAsia="en-US"/>
        </w:rPr>
        <w:t>Reports</w:t>
      </w:r>
      <w:proofErr w:type="spellEnd"/>
      <w:r w:rsidRPr="00212AD6">
        <w:rPr>
          <w:i/>
          <w:lang w:val="pl-PL" w:eastAsia="en-US"/>
        </w:rPr>
        <w:t xml:space="preserve"> </w:t>
      </w:r>
      <w:r w:rsidRPr="00212AD6">
        <w:rPr>
          <w:lang w:val="pl-PL" w:eastAsia="en-US"/>
        </w:rPr>
        <w:t>1997</w:t>
      </w:r>
      <w:r w:rsidRPr="00212AD6">
        <w:rPr>
          <w:lang w:val="pl-PL" w:eastAsia="en-US"/>
        </w:rPr>
        <w:noBreakHyphen/>
        <w:t xml:space="preserve">I oraz </w:t>
      </w:r>
      <w:proofErr w:type="spellStart"/>
      <w:r w:rsidRPr="00212AD6">
        <w:rPr>
          <w:i/>
          <w:lang w:val="pl-PL" w:eastAsia="en-US"/>
        </w:rPr>
        <w:t>Krčmář</w:t>
      </w:r>
      <w:proofErr w:type="spellEnd"/>
      <w:r w:rsidRPr="00212AD6">
        <w:rPr>
          <w:i/>
          <w:lang w:val="pl-PL" w:eastAsia="en-US"/>
        </w:rPr>
        <w:t xml:space="preserve"> i Inni przeciwko Republice Czeskiej</w:t>
      </w:r>
      <w:r w:rsidRPr="00212AD6">
        <w:rPr>
          <w:lang w:val="pl-PL" w:eastAsia="en-US"/>
        </w:rPr>
        <w:t>, nr 35376/97, § 39, 3 marca 2000 r.</w:t>
      </w:r>
      <w:r w:rsidRPr="00212AD6">
        <w:rPr>
          <w:lang w:val="pl-PL"/>
        </w:rPr>
        <w:t>).</w:t>
      </w:r>
    </w:p>
    <w:p w14:paraId="28AB1BCC" w14:textId="1F959E8E" w:rsidR="00F767C0" w:rsidRPr="00212AD6" w:rsidRDefault="00F767C0" w:rsidP="00F767C0">
      <w:pPr>
        <w:pStyle w:val="JuPara"/>
        <w:rPr>
          <w:lang w:val="pl-PL"/>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73</w:t>
      </w:r>
      <w:r w:rsidRPr="00212AD6">
        <w:rPr>
          <w:lang w:val="pl-PL"/>
        </w:rPr>
        <w:fldChar w:fldCharType="end"/>
      </w:r>
      <w:r w:rsidRPr="00212AD6">
        <w:rPr>
          <w:lang w:val="pl-PL"/>
        </w:rPr>
        <w:t xml:space="preserve">.  Trybunał przypomina następnie, że pojęcie </w:t>
      </w:r>
      <w:r w:rsidR="00FA067C">
        <w:rPr>
          <w:lang w:val="pl-PL"/>
        </w:rPr>
        <w:t>sprawiedliwego rozpatrzenia sprawy</w:t>
      </w:r>
      <w:r w:rsidRPr="00212AD6">
        <w:rPr>
          <w:lang w:val="pl-PL"/>
        </w:rPr>
        <w:t xml:space="preserve"> implikuje także prawo do postępowania kontradyktoryjnego. Prawo to oznacza, że strony postępowania karnego lub cywilnego muszą z zasady mieć możliwość nie tylko przedstawienia wszelkich dowodów niezbędnych, by skutecznie dochodzić swoich roszczeń, lecz także </w:t>
      </w:r>
      <w:r w:rsidR="008F73B5">
        <w:rPr>
          <w:lang w:val="pl-PL"/>
        </w:rPr>
        <w:t xml:space="preserve">możliwość zapoznania się z </w:t>
      </w:r>
      <w:r w:rsidRPr="00212AD6">
        <w:rPr>
          <w:lang w:val="pl-PL"/>
        </w:rPr>
        <w:t>całości</w:t>
      </w:r>
      <w:r w:rsidR="008F73B5">
        <w:rPr>
          <w:lang w:val="pl-PL"/>
        </w:rPr>
        <w:t>ą przedstawionych</w:t>
      </w:r>
      <w:r w:rsidRPr="00212AD6">
        <w:rPr>
          <w:lang w:val="pl-PL"/>
        </w:rPr>
        <w:t xml:space="preserve"> dowodów lub </w:t>
      </w:r>
      <w:r w:rsidR="008F73B5">
        <w:rPr>
          <w:lang w:val="pl-PL"/>
        </w:rPr>
        <w:t xml:space="preserve">złożonych </w:t>
      </w:r>
      <w:r w:rsidRPr="00212AD6">
        <w:rPr>
          <w:lang w:val="pl-PL"/>
        </w:rPr>
        <w:t xml:space="preserve">oświadczeń </w:t>
      </w:r>
      <w:r w:rsidR="008F73B5">
        <w:rPr>
          <w:lang w:val="pl-PL"/>
        </w:rPr>
        <w:t xml:space="preserve">oraz wypowiedzenia się co do tych dowodów i oświadczeń </w:t>
      </w:r>
      <w:r w:rsidRPr="00212AD6">
        <w:rPr>
          <w:lang w:val="pl-PL"/>
        </w:rPr>
        <w:t xml:space="preserve">w celu wywarcia wpływu na </w:t>
      </w:r>
      <w:r w:rsidR="008F73B5">
        <w:rPr>
          <w:lang w:val="pl-PL"/>
        </w:rPr>
        <w:t xml:space="preserve">orzeczenie </w:t>
      </w:r>
      <w:r w:rsidRPr="00212AD6">
        <w:rPr>
          <w:lang w:val="pl-PL"/>
        </w:rPr>
        <w:t>sądu</w:t>
      </w:r>
      <w:r w:rsidR="00FA067C" w:rsidRPr="00212AD6">
        <w:rPr>
          <w:lang w:val="pl-PL"/>
        </w:rPr>
        <w:t xml:space="preserve"> </w:t>
      </w:r>
      <w:r w:rsidRPr="00212AD6">
        <w:rPr>
          <w:lang w:val="pl-PL"/>
        </w:rPr>
        <w:t xml:space="preserve">(zob. przykładowo </w:t>
      </w:r>
      <w:r w:rsidRPr="00212AD6">
        <w:rPr>
          <w:i/>
          <w:lang w:val="pl-PL" w:eastAsia="en-US"/>
        </w:rPr>
        <w:t>Lobo Machado przeciwko Portugalii</w:t>
      </w:r>
      <w:r w:rsidRPr="00212AD6">
        <w:rPr>
          <w:lang w:val="pl-PL" w:eastAsia="en-US"/>
        </w:rPr>
        <w:t xml:space="preserve">, 20 lutego 1996 r., § 31, </w:t>
      </w:r>
      <w:proofErr w:type="spellStart"/>
      <w:r w:rsidRPr="00212AD6">
        <w:rPr>
          <w:i/>
          <w:lang w:val="pl-PL" w:eastAsia="en-US"/>
        </w:rPr>
        <w:t>Reports</w:t>
      </w:r>
      <w:proofErr w:type="spellEnd"/>
      <w:r w:rsidRPr="00212AD6">
        <w:rPr>
          <w:i/>
          <w:lang w:val="pl-PL" w:eastAsia="en-US"/>
        </w:rPr>
        <w:t xml:space="preserve"> </w:t>
      </w:r>
      <w:r w:rsidRPr="00212AD6">
        <w:rPr>
          <w:lang w:val="pl-PL" w:eastAsia="en-US"/>
        </w:rPr>
        <w:t>1996</w:t>
      </w:r>
      <w:r w:rsidRPr="00212AD6">
        <w:rPr>
          <w:lang w:val="pl-PL" w:eastAsia="en-US"/>
        </w:rPr>
        <w:noBreakHyphen/>
        <w:t xml:space="preserve">I; </w:t>
      </w:r>
      <w:proofErr w:type="spellStart"/>
      <w:r w:rsidRPr="00212AD6">
        <w:rPr>
          <w:i/>
          <w:lang w:val="pl-PL" w:eastAsia="en-US"/>
        </w:rPr>
        <w:t>Vermeulen</w:t>
      </w:r>
      <w:proofErr w:type="spellEnd"/>
      <w:r w:rsidRPr="00212AD6">
        <w:rPr>
          <w:i/>
          <w:lang w:val="pl-PL" w:eastAsia="en-US"/>
        </w:rPr>
        <w:t xml:space="preserve"> przeciwko Belgii</w:t>
      </w:r>
      <w:r w:rsidRPr="00212AD6">
        <w:rPr>
          <w:lang w:val="pl-PL" w:eastAsia="en-US"/>
        </w:rPr>
        <w:t>, 20 lutego 1996</w:t>
      </w:r>
      <w:r w:rsidR="000E35FA">
        <w:rPr>
          <w:lang w:val="pl-PL" w:eastAsia="en-US"/>
        </w:rPr>
        <w:t xml:space="preserve"> r.</w:t>
      </w:r>
      <w:r w:rsidRPr="00212AD6">
        <w:rPr>
          <w:lang w:val="pl-PL" w:eastAsia="en-US"/>
        </w:rPr>
        <w:t xml:space="preserve">, § 33, </w:t>
      </w:r>
      <w:proofErr w:type="spellStart"/>
      <w:r w:rsidRPr="00212AD6">
        <w:rPr>
          <w:i/>
          <w:lang w:val="pl-PL" w:eastAsia="en-US"/>
        </w:rPr>
        <w:t>Reports</w:t>
      </w:r>
      <w:proofErr w:type="spellEnd"/>
      <w:r w:rsidRPr="00212AD6">
        <w:rPr>
          <w:i/>
          <w:lang w:val="pl-PL" w:eastAsia="en-US"/>
        </w:rPr>
        <w:t xml:space="preserve"> </w:t>
      </w:r>
      <w:r w:rsidR="00FF4D68" w:rsidRPr="00212AD6">
        <w:rPr>
          <w:lang w:val="pl-PL" w:eastAsia="en-US"/>
        </w:rPr>
        <w:t>1996</w:t>
      </w:r>
      <w:r w:rsidR="00FF4D68" w:rsidRPr="00212AD6">
        <w:rPr>
          <w:lang w:val="pl-PL" w:eastAsia="en-US"/>
        </w:rPr>
        <w:noBreakHyphen/>
        <w:t>I oraz</w:t>
      </w:r>
      <w:r w:rsidRPr="00212AD6">
        <w:rPr>
          <w:lang w:val="pl-PL" w:eastAsia="en-US"/>
        </w:rPr>
        <w:t xml:space="preserve"> </w:t>
      </w:r>
      <w:proofErr w:type="spellStart"/>
      <w:r w:rsidRPr="00212AD6">
        <w:rPr>
          <w:i/>
          <w:lang w:val="pl-PL" w:eastAsia="en-US"/>
        </w:rPr>
        <w:t>Krčmář</w:t>
      </w:r>
      <w:proofErr w:type="spellEnd"/>
      <w:r w:rsidRPr="00212AD6">
        <w:rPr>
          <w:i/>
          <w:lang w:val="pl-PL" w:eastAsia="en-US"/>
        </w:rPr>
        <w:t xml:space="preserve"> i Inni przeciwko Republice Czeskiej</w:t>
      </w:r>
      <w:r w:rsidRPr="00212AD6">
        <w:rPr>
          <w:lang w:val="pl-PL" w:eastAsia="en-US"/>
        </w:rPr>
        <w:t>, nr 35376/97, § 40, 3 marca 2000 r.</w:t>
      </w:r>
      <w:r w:rsidRPr="00212AD6">
        <w:rPr>
          <w:szCs w:val="24"/>
          <w:lang w:val="pl-PL" w:eastAsia="en-US"/>
        </w:rPr>
        <w:t>).</w:t>
      </w:r>
      <w:r w:rsidR="00FF4D68" w:rsidRPr="00212AD6">
        <w:rPr>
          <w:lang w:val="pl-PL"/>
        </w:rPr>
        <w:t xml:space="preserve"> Pozycja ta nie ulega zmianie, jeżeli uwagi takie nie mają wpływu na kwestię, o której sąd ma orzekać lub – zdaniem odnośnego sądu – nie prezentują faktów ani argumentów, o których nie było mowy w zaskarżonej decyzji </w:t>
      </w:r>
      <w:r w:rsidRPr="00212AD6">
        <w:rPr>
          <w:lang w:val="pl-PL"/>
        </w:rPr>
        <w:t xml:space="preserve">(zob. </w:t>
      </w:r>
      <w:proofErr w:type="spellStart"/>
      <w:r w:rsidRPr="00212AD6">
        <w:rPr>
          <w:i/>
          <w:lang w:val="pl-PL" w:eastAsia="en-US"/>
        </w:rPr>
        <w:t>Kukkonen</w:t>
      </w:r>
      <w:proofErr w:type="spellEnd"/>
      <w:r w:rsidRPr="00212AD6">
        <w:rPr>
          <w:i/>
          <w:lang w:val="pl-PL" w:eastAsia="en-US"/>
        </w:rPr>
        <w:t xml:space="preserve"> przeciwko Finlandii</w:t>
      </w:r>
      <w:r w:rsidRPr="00212AD6">
        <w:rPr>
          <w:lang w:val="pl-PL" w:eastAsia="en-US"/>
        </w:rPr>
        <w:t>, nr 57793/00, § 20, 7 czerwca 2007 r.</w:t>
      </w:r>
      <w:r w:rsidR="00FA067C">
        <w:rPr>
          <w:lang w:val="pl-PL" w:eastAsia="en-US"/>
        </w:rPr>
        <w:t>,</w:t>
      </w:r>
      <w:r w:rsidRPr="00212AD6">
        <w:rPr>
          <w:lang w:val="pl-PL" w:eastAsia="en-US"/>
        </w:rPr>
        <w:t xml:space="preserve"> oraz </w:t>
      </w:r>
      <w:proofErr w:type="spellStart"/>
      <w:r w:rsidRPr="00212AD6">
        <w:rPr>
          <w:i/>
          <w:lang w:val="pl-PL" w:eastAsia="en-US"/>
        </w:rPr>
        <w:t>Sharomov</w:t>
      </w:r>
      <w:proofErr w:type="spellEnd"/>
      <w:r w:rsidRPr="00212AD6">
        <w:rPr>
          <w:i/>
          <w:lang w:val="pl-PL" w:eastAsia="en-US"/>
        </w:rPr>
        <w:t xml:space="preserve"> przeciwko Rosji</w:t>
      </w:r>
      <w:r w:rsidRPr="00212AD6">
        <w:rPr>
          <w:lang w:val="pl-PL" w:eastAsia="en-US"/>
        </w:rPr>
        <w:t>, nr 8927/02, § 44, 15 stycznia 2009 r.</w:t>
      </w:r>
      <w:r w:rsidRPr="00212AD6">
        <w:rPr>
          <w:lang w:val="pl-PL"/>
        </w:rPr>
        <w:t xml:space="preserve">). Zatem chociaż Trybunał nie stwierdził naruszenia zasady równości broni (zob. </w:t>
      </w:r>
      <w:r w:rsidR="00FF4D68" w:rsidRPr="00212AD6">
        <w:rPr>
          <w:lang w:val="pl-PL"/>
        </w:rPr>
        <w:t>poprzedni</w:t>
      </w:r>
      <w:r w:rsidRPr="00212AD6">
        <w:rPr>
          <w:lang w:val="pl-PL"/>
        </w:rPr>
        <w:t xml:space="preserve"> paragraf), musi </w:t>
      </w:r>
      <w:r w:rsidRPr="00212AD6">
        <w:rPr>
          <w:lang w:val="pl-PL"/>
        </w:rPr>
        <w:lastRenderedPageBreak/>
        <w:t xml:space="preserve">jednakże </w:t>
      </w:r>
      <w:r w:rsidR="00FF4D68" w:rsidRPr="00212AD6">
        <w:rPr>
          <w:lang w:val="pl-PL"/>
        </w:rPr>
        <w:t>zbadać</w:t>
      </w:r>
      <w:r w:rsidRPr="00212AD6">
        <w:rPr>
          <w:lang w:val="pl-PL"/>
        </w:rPr>
        <w:t>, czy te same fakty nie stanowiły naruszenia prawa skarżącej do postępowania kontradyktoryjnego.</w:t>
      </w:r>
    </w:p>
    <w:p w14:paraId="4756375A" w14:textId="571D0478" w:rsidR="00F767C0" w:rsidRPr="00212AD6" w:rsidRDefault="00F767C0" w:rsidP="00F767C0">
      <w:pPr>
        <w:pStyle w:val="JuPara"/>
        <w:rPr>
          <w:lang w:val="pl-PL"/>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74</w:t>
      </w:r>
      <w:r w:rsidRPr="00212AD6">
        <w:rPr>
          <w:lang w:val="pl-PL"/>
        </w:rPr>
        <w:fldChar w:fldCharType="end"/>
      </w:r>
      <w:r w:rsidRPr="00212AD6">
        <w:rPr>
          <w:lang w:val="pl-PL"/>
        </w:rPr>
        <w:t xml:space="preserve">.  Trybunał zauważa, że kluczową kwestią prawną w niniejszej sprawie był zakres </w:t>
      </w:r>
      <w:r w:rsidR="0024041C" w:rsidRPr="00212AD6">
        <w:rPr>
          <w:lang w:val="pl-PL"/>
        </w:rPr>
        <w:t xml:space="preserve">kontroli konstytucyjności </w:t>
      </w:r>
      <w:r w:rsidRPr="00212AD6">
        <w:rPr>
          <w:lang w:val="pl-PL"/>
        </w:rPr>
        <w:t>decyzji dotyczących mianowania urzędników państwowych, w szczególności decyzji Parlamentu z dnia 9 maja 2008 r. w sprawie wyboru trzech sędziów Trybunału Konstytucyjnego. Kluczową kwestią faktyczną w niniejszej sprawie było to, czy S.B. posiadała wymagane doświadczenie zawodowe, by kandydować i zostać wybraną na stanowisko sędziego Trybunału Konstytucyjnego. Dla Trybunału oczywist</w:t>
      </w:r>
      <w:r w:rsidR="00FA067C">
        <w:rPr>
          <w:lang w:val="pl-PL"/>
        </w:rPr>
        <w:t>e</w:t>
      </w:r>
      <w:r w:rsidRPr="00212AD6">
        <w:rPr>
          <w:lang w:val="pl-PL"/>
        </w:rPr>
        <w:t xml:space="preserve"> jest, że Trybunał Konstytucyjny zwrócił się z prośbą o opinie do wybitnych prawników i różnych instytucji celem podjęcia uzasadnionej decyzji w kluczowej kwestii prawnej, jaką miał rozwiązać, a informacje, o które zwrócono się do Chorwackiej Rady Adwokackiej, </w:t>
      </w:r>
      <w:proofErr w:type="spellStart"/>
      <w:r w:rsidRPr="00212AD6">
        <w:rPr>
          <w:lang w:val="pl-PL"/>
        </w:rPr>
        <w:t>Zagrebačka</w:t>
      </w:r>
      <w:proofErr w:type="spellEnd"/>
      <w:r w:rsidRPr="00212AD6">
        <w:rPr>
          <w:lang w:val="pl-PL"/>
        </w:rPr>
        <w:t xml:space="preserve"> </w:t>
      </w:r>
      <w:proofErr w:type="spellStart"/>
      <w:r w:rsidRPr="00212AD6">
        <w:rPr>
          <w:lang w:val="pl-PL"/>
        </w:rPr>
        <w:t>banka</w:t>
      </w:r>
      <w:proofErr w:type="spellEnd"/>
      <w:r w:rsidRPr="00212AD6">
        <w:rPr>
          <w:lang w:val="pl-PL"/>
        </w:rPr>
        <w:t xml:space="preserve"> </w:t>
      </w:r>
      <w:proofErr w:type="spellStart"/>
      <w:r w:rsidRPr="00212AD6">
        <w:rPr>
          <w:lang w:val="pl-PL"/>
        </w:rPr>
        <w:t>d.d</w:t>
      </w:r>
      <w:proofErr w:type="spellEnd"/>
      <w:r w:rsidRPr="00212AD6">
        <w:rPr>
          <w:lang w:val="pl-PL"/>
        </w:rPr>
        <w:t>. i Duński</w:t>
      </w:r>
      <w:r w:rsidR="00FA067C">
        <w:rPr>
          <w:lang w:val="pl-PL"/>
        </w:rPr>
        <w:t>ego Czerwonego</w:t>
      </w:r>
      <w:r w:rsidRPr="00212AD6">
        <w:rPr>
          <w:lang w:val="pl-PL"/>
        </w:rPr>
        <w:t xml:space="preserve"> Krzyż</w:t>
      </w:r>
      <w:r w:rsidR="00FA067C">
        <w:rPr>
          <w:lang w:val="pl-PL"/>
        </w:rPr>
        <w:t>a</w:t>
      </w:r>
      <w:r w:rsidR="00A14894">
        <w:rPr>
          <w:lang w:val="pl-PL"/>
        </w:rPr>
        <w:t>,</w:t>
      </w:r>
      <w:r w:rsidRPr="00212AD6">
        <w:rPr>
          <w:lang w:val="pl-PL"/>
        </w:rPr>
        <w:t xml:space="preserve"> miały służyć ustaleniu istotnych faktów, to jest doświadczenia zawodowego S.B. Z tego względu jedynym możliwym wnioskiem jest stwierdzenie, że te opinie i informacje miały w oczywisty sposób wpłynąć na decyzję tegoż sądu (zob. </w:t>
      </w:r>
      <w:r w:rsidRPr="00212AD6">
        <w:rPr>
          <w:i/>
          <w:lang w:val="pl-PL"/>
        </w:rPr>
        <w:t>mutatis mutandis</w:t>
      </w:r>
      <w:r w:rsidRPr="00212AD6">
        <w:rPr>
          <w:lang w:val="pl-PL"/>
        </w:rPr>
        <w:t xml:space="preserve"> </w:t>
      </w:r>
      <w:proofErr w:type="spellStart"/>
      <w:r w:rsidRPr="00212AD6">
        <w:rPr>
          <w:i/>
          <w:lang w:val="pl-PL" w:eastAsia="en-US"/>
        </w:rPr>
        <w:t>Nideröst</w:t>
      </w:r>
      <w:proofErr w:type="spellEnd"/>
      <w:r w:rsidRPr="00212AD6">
        <w:rPr>
          <w:i/>
          <w:lang w:val="pl-PL" w:eastAsia="en-US"/>
        </w:rPr>
        <w:t>-Huber przeciwko Szwajcarii</w:t>
      </w:r>
      <w:r w:rsidRPr="00212AD6">
        <w:rPr>
          <w:lang w:val="pl-PL" w:eastAsia="en-US"/>
        </w:rPr>
        <w:t xml:space="preserve">, 18 lutego 1997, § 26, </w:t>
      </w:r>
      <w:proofErr w:type="spellStart"/>
      <w:r w:rsidRPr="00212AD6">
        <w:rPr>
          <w:i/>
          <w:lang w:val="pl-PL" w:eastAsia="en-US"/>
        </w:rPr>
        <w:t>Reports</w:t>
      </w:r>
      <w:proofErr w:type="spellEnd"/>
      <w:r w:rsidRPr="00212AD6">
        <w:rPr>
          <w:i/>
          <w:lang w:val="pl-PL" w:eastAsia="en-US"/>
        </w:rPr>
        <w:t xml:space="preserve"> </w:t>
      </w:r>
      <w:r w:rsidRPr="00212AD6">
        <w:rPr>
          <w:lang w:val="pl-PL" w:eastAsia="en-US"/>
        </w:rPr>
        <w:t>1997</w:t>
      </w:r>
      <w:r w:rsidRPr="00212AD6">
        <w:rPr>
          <w:lang w:val="pl-PL" w:eastAsia="en-US"/>
        </w:rPr>
        <w:noBreakHyphen/>
        <w:t>I</w:t>
      </w:r>
      <w:r w:rsidR="00FA067C">
        <w:rPr>
          <w:lang w:val="pl-PL" w:eastAsia="en-US"/>
        </w:rPr>
        <w:t>,</w:t>
      </w:r>
      <w:r w:rsidRPr="00212AD6">
        <w:rPr>
          <w:lang w:val="pl-PL" w:eastAsia="en-US"/>
        </w:rPr>
        <w:t xml:space="preserve"> oraz </w:t>
      </w:r>
      <w:proofErr w:type="spellStart"/>
      <w:r w:rsidRPr="00212AD6">
        <w:rPr>
          <w:i/>
          <w:lang w:val="pl-PL" w:eastAsia="en-US"/>
        </w:rPr>
        <w:t>Krčmář</w:t>
      </w:r>
      <w:proofErr w:type="spellEnd"/>
      <w:r w:rsidRPr="00212AD6">
        <w:rPr>
          <w:i/>
          <w:lang w:val="pl-PL" w:eastAsia="en-US"/>
        </w:rPr>
        <w:t xml:space="preserve"> i Inni</w:t>
      </w:r>
      <w:r w:rsidRPr="00212AD6">
        <w:rPr>
          <w:lang w:val="pl-PL" w:eastAsia="en-US"/>
        </w:rPr>
        <w:t>, cyt. powyżej, § 41</w:t>
      </w:r>
      <w:r w:rsidRPr="00212AD6">
        <w:rPr>
          <w:lang w:val="pl-PL"/>
        </w:rPr>
        <w:t xml:space="preserve">). W takich okolicznościach można było </w:t>
      </w:r>
      <w:r w:rsidR="0024041C" w:rsidRPr="00212AD6">
        <w:rPr>
          <w:lang w:val="pl-PL"/>
        </w:rPr>
        <w:t>oczekiwać</w:t>
      </w:r>
      <w:r w:rsidRPr="00212AD6">
        <w:rPr>
          <w:lang w:val="pl-PL"/>
        </w:rPr>
        <w:t xml:space="preserve">, że Trybunał Konstytucyjny będzie ściśle przestrzegać zasady </w:t>
      </w:r>
      <w:r w:rsidR="00A14894">
        <w:rPr>
          <w:lang w:val="pl-PL"/>
        </w:rPr>
        <w:t>kontradyktoryjnego rozpatrzenia sprawy</w:t>
      </w:r>
      <w:r w:rsidRPr="00212AD6">
        <w:rPr>
          <w:lang w:val="pl-PL"/>
        </w:rPr>
        <w:t>, ponieważ umożliwienie skarżącej przedstawienia je</w:t>
      </w:r>
      <w:r w:rsidR="0024041C" w:rsidRPr="00212AD6">
        <w:rPr>
          <w:lang w:val="pl-PL"/>
        </w:rPr>
        <w:t>j</w:t>
      </w:r>
      <w:r w:rsidRPr="00212AD6">
        <w:rPr>
          <w:lang w:val="pl-PL"/>
        </w:rPr>
        <w:t xml:space="preserve"> uwag miało </w:t>
      </w:r>
      <w:r w:rsidR="0024041C" w:rsidRPr="00212AD6">
        <w:rPr>
          <w:lang w:val="pl-PL"/>
        </w:rPr>
        <w:t xml:space="preserve">znaczenie podstawowe </w:t>
      </w:r>
      <w:r w:rsidRPr="00212AD6">
        <w:rPr>
          <w:lang w:val="pl-PL"/>
        </w:rPr>
        <w:t xml:space="preserve">(zob. </w:t>
      </w:r>
      <w:r w:rsidRPr="00212AD6">
        <w:rPr>
          <w:i/>
          <w:lang w:val="pl-PL"/>
        </w:rPr>
        <w:t>mutatis mutandis</w:t>
      </w:r>
      <w:r w:rsidRPr="00212AD6">
        <w:rPr>
          <w:lang w:val="pl-PL"/>
        </w:rPr>
        <w:t xml:space="preserve"> </w:t>
      </w:r>
      <w:proofErr w:type="spellStart"/>
      <w:r w:rsidRPr="00212AD6">
        <w:rPr>
          <w:i/>
          <w:lang w:val="pl-PL" w:eastAsia="en-US"/>
        </w:rPr>
        <w:t>Krčmář</w:t>
      </w:r>
      <w:proofErr w:type="spellEnd"/>
      <w:r w:rsidRPr="00212AD6">
        <w:rPr>
          <w:i/>
          <w:lang w:val="pl-PL" w:eastAsia="en-US"/>
        </w:rPr>
        <w:t xml:space="preserve"> i Inni</w:t>
      </w:r>
      <w:r w:rsidRPr="00212AD6">
        <w:rPr>
          <w:lang w:val="pl-PL" w:eastAsia="en-US"/>
        </w:rPr>
        <w:t>, cyt. powyżej, § 41</w:t>
      </w:r>
      <w:r w:rsidRPr="00212AD6">
        <w:rPr>
          <w:lang w:val="pl-PL"/>
        </w:rPr>
        <w:t>). Tymczasem dokumenty to przesłano skarżącej dopiero po przyjęciu przez Trybunał Konstytucyjny decyzji w dniu 30 kwietnia 2009 r., pozbawiając ją w ten sposób możliwości przedstawienia uwag w tym zakresie.</w:t>
      </w:r>
    </w:p>
    <w:p w14:paraId="51965428" w14:textId="783E4521" w:rsidR="00F767C0" w:rsidRPr="00212AD6" w:rsidRDefault="00F767C0" w:rsidP="00F767C0">
      <w:pPr>
        <w:pStyle w:val="JuPara"/>
        <w:rPr>
          <w:lang w:val="pl-PL" w:eastAsia="en-US"/>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75</w:t>
      </w:r>
      <w:r w:rsidRPr="00212AD6">
        <w:rPr>
          <w:lang w:val="pl-PL"/>
        </w:rPr>
        <w:fldChar w:fldCharType="end"/>
      </w:r>
      <w:r w:rsidRPr="00212AD6">
        <w:rPr>
          <w:lang w:val="pl-PL"/>
        </w:rPr>
        <w:t>.  W każdym prz</w:t>
      </w:r>
      <w:r w:rsidR="005174BE">
        <w:rPr>
          <w:lang w:val="pl-PL"/>
        </w:rPr>
        <w:t>ypadku Trybunał przypomina, że to</w:t>
      </w:r>
      <w:r w:rsidRPr="00212AD6">
        <w:rPr>
          <w:lang w:val="pl-PL"/>
        </w:rPr>
        <w:t xml:space="preserve">, czy dany dokument wymaga komentarza strony czy nie, zależy wyłącznie od uznania stron sporu. </w:t>
      </w:r>
      <w:r w:rsidR="00FA067C">
        <w:rPr>
          <w:lang w:val="pl-PL"/>
        </w:rPr>
        <w:t xml:space="preserve">W grę wchodzi tutaj, szczególnie, </w:t>
      </w:r>
      <w:r w:rsidRPr="00212AD6">
        <w:rPr>
          <w:lang w:val="pl-PL"/>
        </w:rPr>
        <w:t xml:space="preserve">zaufanie stron sporu do działania wymiaru sprawiedliwości, oparte między innymi na wiedzy, że miały możliwość wyrażenia swojej opinii na temat każdego dokumentu w aktach sprawy (zob. przykładowo </w:t>
      </w:r>
      <w:proofErr w:type="spellStart"/>
      <w:r w:rsidRPr="00212AD6">
        <w:rPr>
          <w:i/>
          <w:lang w:val="pl-PL" w:eastAsia="en-US"/>
        </w:rPr>
        <w:t>Nideröst</w:t>
      </w:r>
      <w:proofErr w:type="spellEnd"/>
      <w:r w:rsidRPr="00212AD6">
        <w:rPr>
          <w:i/>
          <w:lang w:val="pl-PL" w:eastAsia="en-US"/>
        </w:rPr>
        <w:t>-Huber</w:t>
      </w:r>
      <w:r w:rsidRPr="00212AD6">
        <w:rPr>
          <w:lang w:val="pl-PL" w:eastAsia="en-US"/>
        </w:rPr>
        <w:t xml:space="preserve">, cyt. powyżej, </w:t>
      </w:r>
      <w:r w:rsidRPr="00212AD6">
        <w:rPr>
          <w:lang w:val="pl-PL"/>
        </w:rPr>
        <w:t xml:space="preserve">§ 29; </w:t>
      </w:r>
      <w:r w:rsidRPr="00212AD6">
        <w:rPr>
          <w:i/>
          <w:lang w:val="pl-PL" w:eastAsia="en-US"/>
        </w:rPr>
        <w:t>Beer przeciwko Austrii</w:t>
      </w:r>
      <w:r w:rsidRPr="00212AD6">
        <w:rPr>
          <w:lang w:val="pl-PL" w:eastAsia="en-US"/>
        </w:rPr>
        <w:t xml:space="preserve">, nr 30428/96, § 18, 6 lutego 2001 r.; </w:t>
      </w:r>
      <w:r w:rsidRPr="00212AD6">
        <w:rPr>
          <w:i/>
          <w:lang w:val="pl-PL" w:eastAsia="en-US"/>
        </w:rPr>
        <w:t>F.R. przeciwko Szwajcarii</w:t>
      </w:r>
      <w:r w:rsidRPr="00212AD6">
        <w:rPr>
          <w:lang w:val="pl-PL" w:eastAsia="en-US"/>
        </w:rPr>
        <w:t>, nr 37292/97, § 40, 28 czerwca 2001 r.</w:t>
      </w:r>
      <w:r w:rsidR="00FA067C">
        <w:rPr>
          <w:lang w:val="pl-PL" w:eastAsia="en-US"/>
        </w:rPr>
        <w:t>,</w:t>
      </w:r>
      <w:r w:rsidRPr="00212AD6">
        <w:rPr>
          <w:lang w:val="pl-PL" w:eastAsia="en-US"/>
        </w:rPr>
        <w:t xml:space="preserve"> oraz </w:t>
      </w:r>
      <w:r w:rsidRPr="00212AD6">
        <w:rPr>
          <w:i/>
          <w:lang w:val="pl-PL" w:eastAsia="en-US"/>
        </w:rPr>
        <w:t>Pellegrini przeciwko Włochom</w:t>
      </w:r>
      <w:r w:rsidRPr="00212AD6">
        <w:rPr>
          <w:lang w:val="pl-PL" w:eastAsia="en-US"/>
        </w:rPr>
        <w:t xml:space="preserve">, nr 30882/96, § 45, </w:t>
      </w:r>
      <w:proofErr w:type="spellStart"/>
      <w:r w:rsidRPr="00212AD6">
        <w:rPr>
          <w:lang w:val="pl-PL" w:eastAsia="en-US"/>
        </w:rPr>
        <w:t>ETPCz</w:t>
      </w:r>
      <w:proofErr w:type="spellEnd"/>
      <w:r w:rsidRPr="00212AD6">
        <w:rPr>
          <w:lang w:val="pl-PL" w:eastAsia="en-US"/>
        </w:rPr>
        <w:t xml:space="preserve"> 2001</w:t>
      </w:r>
      <w:r w:rsidRPr="00212AD6">
        <w:rPr>
          <w:lang w:val="pl-PL" w:eastAsia="en-US"/>
        </w:rPr>
        <w:noBreakHyphen/>
        <w:t>VIII</w:t>
      </w:r>
      <w:r w:rsidRPr="00212AD6">
        <w:rPr>
          <w:lang w:val="pl-PL"/>
        </w:rPr>
        <w:t xml:space="preserve">). [Strony] są zatem uprawnione, by oczekiwać, że otrzymają możliwość określenia, czy konkretny dokument wymaga ich komentarza (zob. </w:t>
      </w:r>
      <w:proofErr w:type="spellStart"/>
      <w:r w:rsidRPr="00212AD6">
        <w:rPr>
          <w:i/>
          <w:lang w:val="pl-PL" w:eastAsia="en-US"/>
        </w:rPr>
        <w:t>Krčmář</w:t>
      </w:r>
      <w:proofErr w:type="spellEnd"/>
      <w:r w:rsidRPr="00212AD6">
        <w:rPr>
          <w:i/>
          <w:lang w:val="pl-PL" w:eastAsia="en-US"/>
        </w:rPr>
        <w:t xml:space="preserve"> i Inni</w:t>
      </w:r>
      <w:r w:rsidRPr="00212AD6">
        <w:rPr>
          <w:lang w:val="pl-PL" w:eastAsia="en-US"/>
        </w:rPr>
        <w:t>, cyt. powyżej, § 43</w:t>
      </w:r>
      <w:r w:rsidRPr="00212AD6">
        <w:rPr>
          <w:lang w:val="pl-PL"/>
        </w:rPr>
        <w:t>). Z powyższego wynika, że w niniejszej sprawie ocena, czy opinie i informacje pozyskane przez Trybunał Konstytucyjny wymagają jej komentarza, należała jedynie do skarżącej. Sąd był w tej sytuacji zobowiązany umożliwić skarżącej przedstawienie uwag dotyczących takich opinii i inf</w:t>
      </w:r>
      <w:r w:rsidR="005174BE">
        <w:rPr>
          <w:lang w:val="pl-PL"/>
        </w:rPr>
        <w:t>ormacji przed wydaniem decyzji w</w:t>
      </w:r>
      <w:r w:rsidRPr="00212AD6">
        <w:rPr>
          <w:lang w:val="pl-PL"/>
        </w:rPr>
        <w:t xml:space="preserve"> dni</w:t>
      </w:r>
      <w:r w:rsidR="005174BE">
        <w:rPr>
          <w:lang w:val="pl-PL"/>
        </w:rPr>
        <w:t>u</w:t>
      </w:r>
      <w:r w:rsidRPr="00212AD6">
        <w:rPr>
          <w:lang w:val="pl-PL"/>
        </w:rPr>
        <w:t xml:space="preserve"> 30 kwietnia 2009 r. (zob. </w:t>
      </w:r>
      <w:r w:rsidRPr="00212AD6">
        <w:rPr>
          <w:i/>
          <w:lang w:val="pl-PL"/>
        </w:rPr>
        <w:t>mutatis mutandis</w:t>
      </w:r>
      <w:r w:rsidRPr="00212AD6">
        <w:rPr>
          <w:lang w:val="pl-PL"/>
        </w:rPr>
        <w:t xml:space="preserve">, </w:t>
      </w:r>
      <w:r w:rsidRPr="00212AD6">
        <w:rPr>
          <w:i/>
          <w:lang w:val="pl-PL" w:eastAsia="en-US"/>
        </w:rPr>
        <w:t>K.S. przeciwko Finlandii</w:t>
      </w:r>
      <w:r w:rsidRPr="00212AD6">
        <w:rPr>
          <w:lang w:val="pl-PL" w:eastAsia="en-US"/>
        </w:rPr>
        <w:t>, nr 29346/95, § 23, 31 maja 2001 r.</w:t>
      </w:r>
      <w:r w:rsidR="00802146">
        <w:rPr>
          <w:lang w:val="pl-PL" w:eastAsia="en-US"/>
        </w:rPr>
        <w:t>,</w:t>
      </w:r>
      <w:r w:rsidRPr="00212AD6">
        <w:rPr>
          <w:lang w:val="pl-PL" w:eastAsia="en-US"/>
        </w:rPr>
        <w:t xml:space="preserve"> oraz </w:t>
      </w:r>
      <w:r w:rsidRPr="00212AD6">
        <w:rPr>
          <w:i/>
          <w:lang w:val="pl-PL" w:eastAsia="en-US"/>
        </w:rPr>
        <w:t>S.H. przeciwko Finlandii</w:t>
      </w:r>
      <w:r w:rsidRPr="00212AD6">
        <w:rPr>
          <w:lang w:val="pl-PL" w:eastAsia="en-US"/>
        </w:rPr>
        <w:t>, nr 28301/03, § 35, 29 lipca 2008 r.</w:t>
      </w:r>
      <w:r w:rsidRPr="00212AD6">
        <w:rPr>
          <w:lang w:val="pl-PL"/>
        </w:rPr>
        <w:t>).</w:t>
      </w:r>
    </w:p>
    <w:p w14:paraId="0F2761EB" w14:textId="77B63C68" w:rsidR="00F767C0" w:rsidRPr="00212AD6" w:rsidRDefault="00F767C0" w:rsidP="00F767C0">
      <w:pPr>
        <w:pStyle w:val="JuPara"/>
        <w:rPr>
          <w:lang w:val="pl-PL" w:eastAsia="en-US"/>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76</w:t>
      </w:r>
      <w:r w:rsidRPr="00212AD6">
        <w:rPr>
          <w:lang w:val="pl-PL"/>
        </w:rPr>
        <w:fldChar w:fldCharType="end"/>
      </w:r>
      <w:r w:rsidRPr="00212AD6">
        <w:rPr>
          <w:lang w:val="pl-PL"/>
        </w:rPr>
        <w:t xml:space="preserve">.  Uwzględniając wymogi zagwarantowanej przepisem </w:t>
      </w:r>
      <w:r w:rsidR="00B569A1">
        <w:rPr>
          <w:lang w:val="pl-PL"/>
        </w:rPr>
        <w:t>art.</w:t>
      </w:r>
      <w:r w:rsidRPr="00212AD6">
        <w:rPr>
          <w:lang w:val="pl-PL"/>
        </w:rPr>
        <w:t xml:space="preserve"> 6 ust. 1 Konwencji zasady </w:t>
      </w:r>
      <w:r w:rsidR="00A14894" w:rsidRPr="00C55FC0">
        <w:rPr>
          <w:lang w:val="pl-PL"/>
        </w:rPr>
        <w:t>kontradyktoryjnego rozpatrzenia sprawy</w:t>
      </w:r>
      <w:r w:rsidRPr="00C55FC0">
        <w:rPr>
          <w:lang w:val="pl-PL"/>
        </w:rPr>
        <w:t xml:space="preserve"> oraz zna</w:t>
      </w:r>
      <w:r w:rsidRPr="00212AD6">
        <w:rPr>
          <w:lang w:val="pl-PL"/>
        </w:rPr>
        <w:t xml:space="preserve">czenie </w:t>
      </w:r>
      <w:r w:rsidR="00E84EB6">
        <w:rPr>
          <w:lang w:val="pl-PL"/>
        </w:rPr>
        <w:t xml:space="preserve">znamion zewnętrznych </w:t>
      </w:r>
      <w:r w:rsidRPr="00212AD6">
        <w:rPr>
          <w:lang w:val="pl-PL"/>
        </w:rPr>
        <w:t xml:space="preserve">przy ustalaniu, czy wymogi takie zostały spełnione </w:t>
      </w:r>
      <w:r w:rsidRPr="00212AD6">
        <w:rPr>
          <w:lang w:val="pl-PL"/>
        </w:rPr>
        <w:lastRenderedPageBreak/>
        <w:t xml:space="preserve">(zob. </w:t>
      </w:r>
      <w:proofErr w:type="spellStart"/>
      <w:r w:rsidRPr="00212AD6">
        <w:rPr>
          <w:i/>
          <w:lang w:val="pl-PL" w:eastAsia="en-US"/>
        </w:rPr>
        <w:t>Komanický</w:t>
      </w:r>
      <w:proofErr w:type="spellEnd"/>
      <w:r w:rsidRPr="00212AD6">
        <w:rPr>
          <w:i/>
          <w:lang w:val="pl-PL" w:eastAsia="en-US"/>
        </w:rPr>
        <w:t xml:space="preserve"> przeciwko Słowacji</w:t>
      </w:r>
      <w:r w:rsidRPr="00212AD6">
        <w:rPr>
          <w:lang w:val="pl-PL" w:eastAsia="en-US"/>
        </w:rPr>
        <w:t>, nr 32106/96, § 55, 4 czerwca 2002 r.)</w:t>
      </w:r>
      <w:r w:rsidRPr="00212AD6">
        <w:rPr>
          <w:lang w:val="pl-PL"/>
        </w:rPr>
        <w:t>, Trybunał uznaje, że niniejszej sprawie skarżąca powinna była zostać powiadomiona o opiniach i informacjach uzyskanych w postępowaniu przed Trybunałem Konstytucyjnym oraz powinna była mieć możliwość przedstawienia swoich do nich uwag.</w:t>
      </w:r>
    </w:p>
    <w:p w14:paraId="74E4309C" w14:textId="253857B8" w:rsidR="00F767C0" w:rsidRPr="00C55FC0" w:rsidRDefault="00F767C0" w:rsidP="00F767C0">
      <w:pPr>
        <w:pStyle w:val="JuPara"/>
        <w:rPr>
          <w:lang w:val="pl-PL"/>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77</w:t>
      </w:r>
      <w:r w:rsidRPr="00212AD6">
        <w:rPr>
          <w:lang w:val="pl-PL"/>
        </w:rPr>
        <w:fldChar w:fldCharType="end"/>
      </w:r>
      <w:r w:rsidRPr="00212AD6">
        <w:rPr>
          <w:lang w:val="pl-PL"/>
        </w:rPr>
        <w:t xml:space="preserve">.  Zważywszy, że skarżąca została powiadomiona o takich opiniach i informacjach pozyskanych w postępowaniu przed Trybunałem Konstytucyjnym dopiero po </w:t>
      </w:r>
      <w:r w:rsidRPr="00C55FC0">
        <w:rPr>
          <w:lang w:val="pl-PL"/>
        </w:rPr>
        <w:t>zakończeniu postępowania przed tymże sądem, powyższe względy są wyst</w:t>
      </w:r>
      <w:r w:rsidR="005174BE" w:rsidRPr="00C55FC0">
        <w:rPr>
          <w:lang w:val="pl-PL"/>
        </w:rPr>
        <w:t>ar</w:t>
      </w:r>
      <w:r w:rsidRPr="00C55FC0">
        <w:rPr>
          <w:lang w:val="pl-PL"/>
        </w:rPr>
        <w:t>czające, by Trybunał uznał, że prawo skarżącej do</w:t>
      </w:r>
      <w:r w:rsidR="00A14894" w:rsidRPr="00C55FC0">
        <w:rPr>
          <w:lang w:val="pl-PL"/>
        </w:rPr>
        <w:t xml:space="preserve"> kontradyktoryjnego rozpatrzenia  sprawy</w:t>
      </w:r>
      <w:r w:rsidRPr="00C55FC0">
        <w:rPr>
          <w:lang w:val="pl-PL"/>
        </w:rPr>
        <w:t xml:space="preserve"> nie było w tym postępowaniu respektowane (zob. </w:t>
      </w:r>
      <w:r w:rsidRPr="00C55FC0">
        <w:rPr>
          <w:i/>
          <w:lang w:val="pl-PL"/>
        </w:rPr>
        <w:t>mutatis mutandis</w:t>
      </w:r>
      <w:r w:rsidRPr="00C55FC0">
        <w:rPr>
          <w:lang w:val="pl-PL"/>
        </w:rPr>
        <w:t xml:space="preserve"> </w:t>
      </w:r>
      <w:proofErr w:type="spellStart"/>
      <w:r w:rsidRPr="00C55FC0">
        <w:rPr>
          <w:i/>
          <w:szCs w:val="24"/>
          <w:lang w:val="pl-PL"/>
        </w:rPr>
        <w:t>Milatová</w:t>
      </w:r>
      <w:proofErr w:type="spellEnd"/>
      <w:r w:rsidRPr="00C55FC0">
        <w:rPr>
          <w:i/>
          <w:szCs w:val="24"/>
          <w:lang w:val="pl-PL"/>
        </w:rPr>
        <w:t xml:space="preserve"> i Inni przeciwko Republice Czeskiej</w:t>
      </w:r>
      <w:r w:rsidRPr="00C55FC0">
        <w:rPr>
          <w:szCs w:val="24"/>
          <w:lang w:val="pl-PL"/>
        </w:rPr>
        <w:t xml:space="preserve">, nr 61811/00, §§ 60-61 i 63-66, </w:t>
      </w:r>
      <w:proofErr w:type="spellStart"/>
      <w:r w:rsidRPr="00C55FC0">
        <w:rPr>
          <w:szCs w:val="24"/>
          <w:lang w:val="pl-PL"/>
        </w:rPr>
        <w:t>ETPCz</w:t>
      </w:r>
      <w:proofErr w:type="spellEnd"/>
      <w:r w:rsidRPr="00C55FC0">
        <w:rPr>
          <w:szCs w:val="24"/>
          <w:lang w:val="pl-PL"/>
        </w:rPr>
        <w:t xml:space="preserve"> 2005</w:t>
      </w:r>
      <w:r w:rsidRPr="00C55FC0">
        <w:rPr>
          <w:szCs w:val="24"/>
          <w:lang w:val="pl-PL"/>
        </w:rPr>
        <w:noBreakHyphen/>
        <w:t>V</w:t>
      </w:r>
      <w:r w:rsidRPr="00C55FC0">
        <w:rPr>
          <w:lang w:val="pl-PL"/>
        </w:rPr>
        <w:t>).</w:t>
      </w:r>
    </w:p>
    <w:p w14:paraId="7129D25F" w14:textId="32C5DCB7" w:rsidR="00F767C0" w:rsidRPr="00212AD6" w:rsidRDefault="00F767C0" w:rsidP="00F767C0">
      <w:pPr>
        <w:pStyle w:val="JuPara"/>
        <w:rPr>
          <w:lang w:val="pl-PL"/>
        </w:rPr>
      </w:pPr>
      <w:r w:rsidRPr="00C55FC0">
        <w:rPr>
          <w:lang w:val="pl-PL"/>
        </w:rPr>
        <w:fldChar w:fldCharType="begin"/>
      </w:r>
      <w:r w:rsidRPr="00C55FC0">
        <w:rPr>
          <w:lang w:val="pl-PL"/>
        </w:rPr>
        <w:instrText xml:space="preserve"> SEQ level0 \*arabic </w:instrText>
      </w:r>
      <w:r w:rsidRPr="00C55FC0">
        <w:rPr>
          <w:lang w:val="pl-PL"/>
        </w:rPr>
        <w:fldChar w:fldCharType="separate"/>
      </w:r>
      <w:r w:rsidRPr="00C55FC0">
        <w:rPr>
          <w:noProof/>
          <w:lang w:val="pl-PL"/>
        </w:rPr>
        <w:t>78</w:t>
      </w:r>
      <w:r w:rsidRPr="00C55FC0">
        <w:rPr>
          <w:lang w:val="pl-PL"/>
        </w:rPr>
        <w:fldChar w:fldCharType="end"/>
      </w:r>
      <w:r w:rsidRPr="00C55FC0">
        <w:rPr>
          <w:lang w:val="pl-PL"/>
        </w:rPr>
        <w:t xml:space="preserve">.  W niniejszej sprawie doszło zatem do naruszenia </w:t>
      </w:r>
      <w:r w:rsidR="00B569A1" w:rsidRPr="00C55FC0">
        <w:rPr>
          <w:lang w:val="pl-PL"/>
        </w:rPr>
        <w:t>art.</w:t>
      </w:r>
      <w:r w:rsidRPr="00C55FC0">
        <w:rPr>
          <w:lang w:val="pl-PL"/>
        </w:rPr>
        <w:t xml:space="preserve"> 6 ust. 1 ze względu na brak </w:t>
      </w:r>
      <w:r w:rsidR="00A14894" w:rsidRPr="00C55FC0">
        <w:rPr>
          <w:lang w:val="pl-PL"/>
        </w:rPr>
        <w:t>kontradyktoryjnego rozpatrzenia sprawy</w:t>
      </w:r>
      <w:r w:rsidRPr="00C55FC0">
        <w:rPr>
          <w:lang w:val="pl-PL"/>
        </w:rPr>
        <w:t>.</w:t>
      </w:r>
    </w:p>
    <w:p w14:paraId="6C787088" w14:textId="377276F9" w:rsidR="00F767C0" w:rsidRPr="00212AD6" w:rsidRDefault="00F767C0" w:rsidP="00F767C0">
      <w:pPr>
        <w:pStyle w:val="JuH1"/>
        <w:rPr>
          <w:lang w:val="pl-PL"/>
        </w:rPr>
      </w:pPr>
      <w:r w:rsidRPr="00212AD6">
        <w:rPr>
          <w:lang w:val="pl-PL"/>
        </w:rPr>
        <w:t>2.  </w:t>
      </w:r>
      <w:r w:rsidR="002B5EB5">
        <w:rPr>
          <w:lang w:val="pl-PL"/>
        </w:rPr>
        <w:t>Publiczne rozpatrzenie sprawy</w:t>
      </w:r>
    </w:p>
    <w:p w14:paraId="63821281" w14:textId="77777777" w:rsidR="00F767C0" w:rsidRPr="00212AD6" w:rsidRDefault="00F767C0" w:rsidP="00F767C0">
      <w:pPr>
        <w:pStyle w:val="JuHa0"/>
        <w:rPr>
          <w:lang w:val="pl-PL"/>
        </w:rPr>
      </w:pPr>
      <w:r w:rsidRPr="00212AD6">
        <w:rPr>
          <w:lang w:val="pl-PL"/>
        </w:rPr>
        <w:t>(a)  Argumenty stron</w:t>
      </w:r>
    </w:p>
    <w:p w14:paraId="100CDDDF" w14:textId="77777777" w:rsidR="00F767C0" w:rsidRPr="00212AD6" w:rsidRDefault="00F767C0" w:rsidP="00F767C0">
      <w:pPr>
        <w:pStyle w:val="JuHi"/>
        <w:rPr>
          <w:lang w:val="pl-PL"/>
        </w:rPr>
      </w:pPr>
      <w:r w:rsidRPr="00212AD6">
        <w:rPr>
          <w:lang w:val="pl-PL"/>
        </w:rPr>
        <w:t>(i)  Rząd</w:t>
      </w:r>
    </w:p>
    <w:p w14:paraId="58A862EA" w14:textId="29230C31" w:rsidR="00F767C0" w:rsidRPr="00212AD6" w:rsidRDefault="00F767C0" w:rsidP="00F767C0">
      <w:pPr>
        <w:pStyle w:val="JuPara"/>
        <w:rPr>
          <w:lang w:val="pl-PL"/>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79</w:t>
      </w:r>
      <w:r w:rsidRPr="00212AD6">
        <w:rPr>
          <w:lang w:val="pl-PL"/>
        </w:rPr>
        <w:fldChar w:fldCharType="end"/>
      </w:r>
      <w:r w:rsidRPr="00212AD6">
        <w:rPr>
          <w:lang w:val="pl-PL"/>
        </w:rPr>
        <w:t xml:space="preserve">.  Rząd podkreślił, że zgodnie z orzecznictwem Trybunału obowiązek przeprowadzenia </w:t>
      </w:r>
      <w:r w:rsidR="00C55FC0" w:rsidRPr="00212AD6">
        <w:rPr>
          <w:lang w:val="pl-PL"/>
        </w:rPr>
        <w:t>(</w:t>
      </w:r>
      <w:r w:rsidR="00C55FC0">
        <w:rPr>
          <w:lang w:val="pl-PL"/>
        </w:rPr>
        <w:t>jawnej</w:t>
      </w:r>
      <w:r w:rsidR="00C55FC0" w:rsidRPr="00212AD6">
        <w:rPr>
          <w:lang w:val="pl-PL"/>
        </w:rPr>
        <w:t xml:space="preserve">) </w:t>
      </w:r>
      <w:r w:rsidRPr="00212AD6">
        <w:rPr>
          <w:lang w:val="pl-PL"/>
        </w:rPr>
        <w:t xml:space="preserve">rozprawy nie był bezwzględny. Sprawy, w których nie przeprowadzono </w:t>
      </w:r>
      <w:r w:rsidR="00E84EB6">
        <w:rPr>
          <w:lang w:val="pl-PL"/>
        </w:rPr>
        <w:t xml:space="preserve">rozprawy </w:t>
      </w:r>
      <w:r w:rsidR="00C55FC0">
        <w:rPr>
          <w:lang w:val="pl-PL"/>
        </w:rPr>
        <w:t xml:space="preserve"> </w:t>
      </w:r>
      <w:r w:rsidRPr="00212AD6">
        <w:rPr>
          <w:lang w:val="pl-PL"/>
        </w:rPr>
        <w:t xml:space="preserve">a Trybunał nie stwierdził naruszenia </w:t>
      </w:r>
      <w:r w:rsidR="00B569A1">
        <w:rPr>
          <w:lang w:val="pl-PL"/>
        </w:rPr>
        <w:t>art.</w:t>
      </w:r>
      <w:r w:rsidRPr="00212AD6">
        <w:rPr>
          <w:lang w:val="pl-PL"/>
        </w:rPr>
        <w:t xml:space="preserve"> 6, były w większości sprawami cywilnymi, w przeciwieństwie do spraw karnych, gdzie wymóg przeprowadzenia </w:t>
      </w:r>
      <w:r w:rsidR="006E4216">
        <w:rPr>
          <w:lang w:val="pl-PL"/>
        </w:rPr>
        <w:t>jawnej</w:t>
      </w:r>
      <w:r w:rsidRPr="00212AD6">
        <w:rPr>
          <w:lang w:val="pl-PL"/>
        </w:rPr>
        <w:t xml:space="preserve"> rozprawy był surowszy. W szczególności w sprawie </w:t>
      </w:r>
      <w:proofErr w:type="spellStart"/>
      <w:r w:rsidRPr="00212AD6">
        <w:rPr>
          <w:i/>
          <w:lang w:val="pl-PL"/>
        </w:rPr>
        <w:t>Jussila</w:t>
      </w:r>
      <w:proofErr w:type="spellEnd"/>
      <w:r w:rsidRPr="00212AD6">
        <w:rPr>
          <w:lang w:val="pl-PL"/>
        </w:rPr>
        <w:t xml:space="preserve"> Trybunał uznał, że: „charakter okoliczności, jakie mogą uzasadniać rezygnację z rozprawy, wynika zasadniczo z charakteru kwestii, o których orzekać ma właściwy sąd krajowy” (zob. </w:t>
      </w:r>
      <w:proofErr w:type="spellStart"/>
      <w:r w:rsidRPr="00212AD6">
        <w:rPr>
          <w:i/>
          <w:szCs w:val="24"/>
          <w:lang w:val="pl-PL" w:eastAsia="en-US"/>
        </w:rPr>
        <w:t>Jussila</w:t>
      </w:r>
      <w:proofErr w:type="spellEnd"/>
      <w:r w:rsidRPr="00212AD6">
        <w:rPr>
          <w:i/>
          <w:szCs w:val="24"/>
          <w:lang w:val="pl-PL" w:eastAsia="en-US"/>
        </w:rPr>
        <w:t xml:space="preserve"> przeciwko Finlandii </w:t>
      </w:r>
      <w:r w:rsidRPr="00212AD6">
        <w:rPr>
          <w:szCs w:val="24"/>
          <w:lang w:val="pl-PL" w:eastAsia="en-US"/>
        </w:rPr>
        <w:t xml:space="preserve">[WI], nr 73053/01, § 42, </w:t>
      </w:r>
      <w:proofErr w:type="spellStart"/>
      <w:r w:rsidRPr="00212AD6">
        <w:rPr>
          <w:szCs w:val="24"/>
          <w:lang w:val="pl-PL" w:eastAsia="en-US"/>
        </w:rPr>
        <w:t>ETPCz</w:t>
      </w:r>
      <w:proofErr w:type="spellEnd"/>
      <w:r w:rsidRPr="00212AD6">
        <w:rPr>
          <w:szCs w:val="24"/>
          <w:lang w:val="pl-PL" w:eastAsia="en-US"/>
        </w:rPr>
        <w:t xml:space="preserve"> 2006</w:t>
      </w:r>
      <w:r w:rsidRPr="00212AD6">
        <w:rPr>
          <w:szCs w:val="24"/>
          <w:lang w:val="pl-PL" w:eastAsia="en-US"/>
        </w:rPr>
        <w:noBreakHyphen/>
        <w:t>XIII</w:t>
      </w:r>
      <w:r w:rsidRPr="00212AD6">
        <w:rPr>
          <w:lang w:val="pl-PL"/>
        </w:rPr>
        <w:t>)</w:t>
      </w:r>
      <w:r w:rsidRPr="00212AD6">
        <w:rPr>
          <w:szCs w:val="24"/>
          <w:lang w:val="pl-PL" w:eastAsia="en-US"/>
        </w:rPr>
        <w:t xml:space="preserve">. Dlatego też </w:t>
      </w:r>
      <w:r w:rsidR="00E84EB6">
        <w:rPr>
          <w:lang w:val="pl-PL"/>
        </w:rPr>
        <w:t xml:space="preserve">(jawna) </w:t>
      </w:r>
      <w:r w:rsidRPr="00212AD6">
        <w:rPr>
          <w:szCs w:val="24"/>
          <w:lang w:val="pl-PL" w:eastAsia="en-US"/>
        </w:rPr>
        <w:t xml:space="preserve">rozprawa </w:t>
      </w:r>
      <w:r w:rsidR="00A67659">
        <w:rPr>
          <w:lang w:val="pl-PL"/>
        </w:rPr>
        <w:t>nie była wymagana</w:t>
      </w:r>
      <w:r w:rsidRPr="00212AD6">
        <w:rPr>
          <w:lang w:val="pl-PL"/>
        </w:rPr>
        <w:t xml:space="preserve"> w sytuacji, gdy sąd miał decydować o kwestiach prawnych o niezbyt istotnym stopniu złożoności (zob. </w:t>
      </w:r>
      <w:proofErr w:type="spellStart"/>
      <w:r w:rsidRPr="00212AD6">
        <w:rPr>
          <w:i/>
          <w:lang w:val="pl-PL" w:eastAsia="en-US"/>
        </w:rPr>
        <w:t>Valová</w:t>
      </w:r>
      <w:proofErr w:type="spellEnd"/>
      <w:r w:rsidRPr="00212AD6">
        <w:rPr>
          <w:i/>
          <w:lang w:val="pl-PL" w:eastAsia="en-US"/>
        </w:rPr>
        <w:t xml:space="preserve">, </w:t>
      </w:r>
      <w:proofErr w:type="spellStart"/>
      <w:r w:rsidRPr="00212AD6">
        <w:rPr>
          <w:i/>
          <w:lang w:val="pl-PL" w:eastAsia="en-US"/>
        </w:rPr>
        <w:t>Slezák</w:t>
      </w:r>
      <w:proofErr w:type="spellEnd"/>
      <w:r w:rsidRPr="00212AD6">
        <w:rPr>
          <w:i/>
          <w:lang w:val="pl-PL" w:eastAsia="en-US"/>
        </w:rPr>
        <w:t xml:space="preserve"> i </w:t>
      </w:r>
      <w:proofErr w:type="spellStart"/>
      <w:r w:rsidRPr="00212AD6">
        <w:rPr>
          <w:i/>
          <w:lang w:val="pl-PL" w:eastAsia="en-US"/>
        </w:rPr>
        <w:t>Slezák</w:t>
      </w:r>
      <w:proofErr w:type="spellEnd"/>
      <w:r w:rsidRPr="00212AD6">
        <w:rPr>
          <w:i/>
          <w:lang w:val="pl-PL" w:eastAsia="en-US"/>
        </w:rPr>
        <w:t xml:space="preserve"> przeciwko Słowacji</w:t>
      </w:r>
      <w:r w:rsidRPr="00212AD6">
        <w:rPr>
          <w:lang w:val="pl-PL" w:eastAsia="en-US"/>
        </w:rPr>
        <w:t>, nr 44925/98, § 64, 1 czerwca 2004 r.)</w:t>
      </w:r>
      <w:r w:rsidRPr="00212AD6">
        <w:rPr>
          <w:lang w:val="pl-PL"/>
        </w:rPr>
        <w:t xml:space="preserve"> lub w sprawach niebudzących wątpliwości odnośnie do </w:t>
      </w:r>
      <w:r w:rsidR="007927F1" w:rsidRPr="00212AD6">
        <w:rPr>
          <w:lang w:val="pl-PL"/>
        </w:rPr>
        <w:t>kwestii prawnych lub faktycznych</w:t>
      </w:r>
      <w:r w:rsidRPr="00212AD6">
        <w:rPr>
          <w:lang w:val="pl-PL"/>
        </w:rPr>
        <w:t xml:space="preserve">, których nie można by </w:t>
      </w:r>
      <w:r w:rsidR="0024041C" w:rsidRPr="00212AD6">
        <w:rPr>
          <w:lang w:val="pl-PL"/>
        </w:rPr>
        <w:t>odpowiednio rozstrzygnąć na pods</w:t>
      </w:r>
      <w:r w:rsidRPr="00212AD6">
        <w:rPr>
          <w:lang w:val="pl-PL"/>
        </w:rPr>
        <w:t>t</w:t>
      </w:r>
      <w:r w:rsidR="0024041C" w:rsidRPr="00212AD6">
        <w:rPr>
          <w:lang w:val="pl-PL"/>
        </w:rPr>
        <w:t>a</w:t>
      </w:r>
      <w:r w:rsidRPr="00212AD6">
        <w:rPr>
          <w:lang w:val="pl-PL"/>
        </w:rPr>
        <w:t xml:space="preserve">wie akt sprawy oraz pisemnych </w:t>
      </w:r>
      <w:r w:rsidR="007927F1" w:rsidRPr="00212AD6">
        <w:rPr>
          <w:lang w:val="pl-PL"/>
        </w:rPr>
        <w:t>oświadczeń</w:t>
      </w:r>
      <w:r w:rsidRPr="00212AD6">
        <w:rPr>
          <w:lang w:val="pl-PL"/>
        </w:rPr>
        <w:t xml:space="preserve"> stron (zob. </w:t>
      </w:r>
      <w:proofErr w:type="spellStart"/>
      <w:r w:rsidRPr="00212AD6">
        <w:rPr>
          <w:i/>
          <w:lang w:val="pl-PL" w:eastAsia="en-US"/>
        </w:rPr>
        <w:t>Döry</w:t>
      </w:r>
      <w:proofErr w:type="spellEnd"/>
      <w:r w:rsidRPr="00212AD6">
        <w:rPr>
          <w:i/>
          <w:lang w:val="pl-PL" w:eastAsia="en-US"/>
        </w:rPr>
        <w:t xml:space="preserve"> przeciwko Szwecji</w:t>
      </w:r>
      <w:r w:rsidRPr="00212AD6">
        <w:rPr>
          <w:lang w:val="pl-PL" w:eastAsia="en-US"/>
        </w:rPr>
        <w:t xml:space="preserve">, nr 28394/95, § 37, 12 listopada 2002 r. oraz </w:t>
      </w:r>
      <w:proofErr w:type="spellStart"/>
      <w:r w:rsidRPr="00212AD6">
        <w:rPr>
          <w:i/>
          <w:lang w:val="pl-PL" w:eastAsia="en-US"/>
        </w:rPr>
        <w:t>Pursiheimo</w:t>
      </w:r>
      <w:proofErr w:type="spellEnd"/>
      <w:r w:rsidRPr="00212AD6">
        <w:rPr>
          <w:i/>
          <w:lang w:val="pl-PL" w:eastAsia="en-US"/>
        </w:rPr>
        <w:t xml:space="preserve"> przeciwko Finlandii </w:t>
      </w:r>
      <w:r w:rsidRPr="00212AD6">
        <w:rPr>
          <w:lang w:val="pl-PL" w:eastAsia="en-US"/>
        </w:rPr>
        <w:t>(</w:t>
      </w:r>
      <w:proofErr w:type="spellStart"/>
      <w:r w:rsidRPr="00212AD6">
        <w:rPr>
          <w:lang w:val="pl-PL" w:eastAsia="en-US"/>
        </w:rPr>
        <w:t>dec</w:t>
      </w:r>
      <w:proofErr w:type="spellEnd"/>
      <w:r w:rsidRPr="00212AD6">
        <w:rPr>
          <w:lang w:val="pl-PL" w:eastAsia="en-US"/>
        </w:rPr>
        <w:t xml:space="preserve">.), nr </w:t>
      </w:r>
      <w:r w:rsidRPr="00212AD6">
        <w:rPr>
          <w:lang w:val="pl-PL"/>
        </w:rPr>
        <w:t>57795/00</w:t>
      </w:r>
      <w:r w:rsidRPr="00212AD6">
        <w:rPr>
          <w:lang w:val="pl-PL" w:eastAsia="en-US"/>
        </w:rPr>
        <w:t>, 25 listopada 2003 r.).</w:t>
      </w:r>
      <w:r w:rsidRPr="00212AD6">
        <w:rPr>
          <w:lang w:val="pl-PL"/>
        </w:rPr>
        <w:t xml:space="preserve"> W przypadkach, gdy korzystniej było rozstrzygać o sprawie na piśmie niż w drodze sporu ustnego, Trybunał uznał, że jest „zrozumiał</w:t>
      </w:r>
      <w:r w:rsidR="00735CFB">
        <w:rPr>
          <w:lang w:val="pl-PL"/>
        </w:rPr>
        <w:t>e</w:t>
      </w:r>
      <w:r w:rsidRPr="00212AD6">
        <w:rPr>
          <w:lang w:val="pl-PL"/>
        </w:rPr>
        <w:t>, iż w tej sferze władze krajowe powinny brać pod uwagę wymogi skuteczności i ekonomi</w:t>
      </w:r>
      <w:r w:rsidR="00A14894">
        <w:rPr>
          <w:lang w:val="pl-PL"/>
        </w:rPr>
        <w:t>ki procesowej</w:t>
      </w:r>
      <w:r w:rsidRPr="00212AD6">
        <w:rPr>
          <w:lang w:val="pl-PL"/>
        </w:rPr>
        <w:t xml:space="preserve">” (zob. </w:t>
      </w:r>
      <w:proofErr w:type="spellStart"/>
      <w:r w:rsidRPr="00212AD6">
        <w:rPr>
          <w:i/>
          <w:lang w:val="pl-PL" w:eastAsia="en-US"/>
        </w:rPr>
        <w:t>Schuler-Zgraggen</w:t>
      </w:r>
      <w:proofErr w:type="spellEnd"/>
      <w:r w:rsidRPr="00212AD6">
        <w:rPr>
          <w:i/>
          <w:lang w:val="pl-PL" w:eastAsia="en-US"/>
        </w:rPr>
        <w:t xml:space="preserve"> przeciwko Szwajcarii</w:t>
      </w:r>
      <w:r w:rsidRPr="00212AD6">
        <w:rPr>
          <w:lang w:val="pl-PL" w:eastAsia="en-US"/>
        </w:rPr>
        <w:t xml:space="preserve">, 24 </w:t>
      </w:r>
      <w:r w:rsidR="00683442" w:rsidRPr="00212AD6">
        <w:rPr>
          <w:lang w:val="pl-PL" w:eastAsia="en-US"/>
        </w:rPr>
        <w:t>czerwca 1993 r</w:t>
      </w:r>
      <w:r w:rsidRPr="00212AD6">
        <w:rPr>
          <w:lang w:val="pl-PL" w:eastAsia="en-US"/>
        </w:rPr>
        <w:t>., § 58, Seria A nr 263</w:t>
      </w:r>
      <w:r w:rsidRPr="00212AD6">
        <w:rPr>
          <w:lang w:val="pl-PL"/>
        </w:rPr>
        <w:t>).</w:t>
      </w:r>
    </w:p>
    <w:p w14:paraId="4EE79FF8" w14:textId="1BD9BC10" w:rsidR="00F767C0" w:rsidRPr="00212AD6" w:rsidRDefault="00F767C0" w:rsidP="00F767C0">
      <w:pPr>
        <w:pStyle w:val="JuPara"/>
        <w:rPr>
          <w:lang w:val="pl-PL"/>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80</w:t>
      </w:r>
      <w:r w:rsidRPr="00212AD6">
        <w:rPr>
          <w:lang w:val="pl-PL"/>
        </w:rPr>
        <w:fldChar w:fldCharType="end"/>
      </w:r>
      <w:r w:rsidRPr="00212AD6">
        <w:rPr>
          <w:lang w:val="pl-PL"/>
        </w:rPr>
        <w:t>.  </w:t>
      </w:r>
      <w:r w:rsidRPr="00C02B33">
        <w:rPr>
          <w:lang w:val="pl-PL"/>
        </w:rPr>
        <w:t xml:space="preserve">Następnie Rząd podkreślił, że </w:t>
      </w:r>
      <w:r w:rsidR="00B569A1">
        <w:rPr>
          <w:lang w:val="pl-PL"/>
        </w:rPr>
        <w:t>art.</w:t>
      </w:r>
      <w:r w:rsidRPr="00C02B33">
        <w:rPr>
          <w:lang w:val="pl-PL"/>
        </w:rPr>
        <w:t xml:space="preserve"> 50 ustawy o Trybunale Konstytucyjnym przewidywał możliwość przeprowadzenia </w:t>
      </w:r>
      <w:r w:rsidR="006E4216">
        <w:rPr>
          <w:lang w:val="pl-PL"/>
        </w:rPr>
        <w:t>jawnej</w:t>
      </w:r>
      <w:r w:rsidR="006E4216" w:rsidRPr="00C02B33">
        <w:rPr>
          <w:lang w:val="pl-PL"/>
        </w:rPr>
        <w:t xml:space="preserve"> </w:t>
      </w:r>
      <w:r w:rsidRPr="00C02B33">
        <w:rPr>
          <w:lang w:val="pl-PL"/>
        </w:rPr>
        <w:t>rozprawy, przy czym</w:t>
      </w:r>
      <w:r w:rsidR="00C02B33" w:rsidRPr="00C02B33">
        <w:rPr>
          <w:lang w:val="pl-PL"/>
        </w:rPr>
        <w:t xml:space="preserve"> jedynie w ramach w postępowania dotyczącego </w:t>
      </w:r>
      <w:r w:rsidRPr="00C02B33">
        <w:rPr>
          <w:lang w:val="pl-PL"/>
        </w:rPr>
        <w:t>abstrakcyjnej kontroli konstytucyjności (zob. paragraf 25 powyżej) oraz że od roku 1990 Trybunał Konstytucyjny przeprowadził tylko dwie</w:t>
      </w:r>
      <w:r w:rsidR="006E4216">
        <w:rPr>
          <w:lang w:val="pl-PL"/>
        </w:rPr>
        <w:t xml:space="preserve"> jawne</w:t>
      </w:r>
      <w:r w:rsidRPr="00C02B33">
        <w:rPr>
          <w:lang w:val="pl-PL"/>
        </w:rPr>
        <w:t xml:space="preserve"> </w:t>
      </w:r>
      <w:r w:rsidRPr="00C02B33">
        <w:rPr>
          <w:lang w:val="pl-PL"/>
        </w:rPr>
        <w:lastRenderedPageBreak/>
        <w:t>rozprawy</w:t>
      </w:r>
      <w:r w:rsidRPr="00212AD6">
        <w:rPr>
          <w:lang w:val="pl-PL"/>
        </w:rPr>
        <w:t xml:space="preserve">. </w:t>
      </w:r>
      <w:r w:rsidR="00735CFB">
        <w:rPr>
          <w:lang w:val="pl-PL"/>
        </w:rPr>
        <w:t>Jednakże</w:t>
      </w:r>
      <w:r w:rsidRPr="00212AD6">
        <w:rPr>
          <w:lang w:val="pl-PL"/>
        </w:rPr>
        <w:t xml:space="preserve"> możliwość taka nie była wcale przewidziana w odniesieniu do postępowania prowadzonego na podstawie indywidualnej skargi konstytucyjnej, a zatem była wykluczona. W konsekwencji wniosek skarżącej o rozprawę nie mógł zostać przyjęty, o czym jako prawnik musiała ona lub powinna była wiedzieć.</w:t>
      </w:r>
    </w:p>
    <w:p w14:paraId="26F0DBB1" w14:textId="0DBAC17F" w:rsidR="00F767C0" w:rsidRPr="00212AD6" w:rsidRDefault="00F767C0" w:rsidP="00F767C0">
      <w:pPr>
        <w:pStyle w:val="JuPara"/>
        <w:rPr>
          <w:iCs/>
          <w:lang w:val="pl-PL"/>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81</w:t>
      </w:r>
      <w:r w:rsidRPr="00212AD6">
        <w:rPr>
          <w:lang w:val="pl-PL"/>
        </w:rPr>
        <w:fldChar w:fldCharType="end"/>
      </w:r>
      <w:r w:rsidRPr="00212AD6">
        <w:rPr>
          <w:lang w:val="pl-PL"/>
        </w:rPr>
        <w:t>.  Rząd wyjaśnił, że brak rozpraw przed Trybunałem Konstytucyjnym był wynikiem jego szczególnej pozycji w porządku konstytucyjnym Chorwacji (nie jest</w:t>
      </w:r>
      <w:r w:rsidR="00A67659">
        <w:rPr>
          <w:lang w:val="pl-PL"/>
        </w:rPr>
        <w:t xml:space="preserve"> on</w:t>
      </w:r>
      <w:r w:rsidRPr="00212AD6">
        <w:rPr>
          <w:lang w:val="pl-PL"/>
        </w:rPr>
        <w:t xml:space="preserve"> sądem powszechnym), a także szczególnego charakteru postępowania</w:t>
      </w:r>
      <w:r w:rsidR="00A67659">
        <w:rPr>
          <w:lang w:val="pl-PL"/>
        </w:rPr>
        <w:t xml:space="preserve"> </w:t>
      </w:r>
      <w:r w:rsidRPr="00212AD6">
        <w:rPr>
          <w:lang w:val="pl-PL"/>
        </w:rPr>
        <w:t xml:space="preserve">i </w:t>
      </w:r>
      <w:r w:rsidRPr="00C02B33">
        <w:rPr>
          <w:lang w:val="pl-PL"/>
        </w:rPr>
        <w:t>środków odwoławczych</w:t>
      </w:r>
      <w:r w:rsidR="00735CFB" w:rsidRPr="00735CFB">
        <w:rPr>
          <w:lang w:val="pl-PL"/>
        </w:rPr>
        <w:t xml:space="preserve"> </w:t>
      </w:r>
      <w:r w:rsidR="00735CFB">
        <w:rPr>
          <w:lang w:val="pl-PL"/>
        </w:rPr>
        <w:t xml:space="preserve">przed </w:t>
      </w:r>
      <w:r w:rsidR="00EA6385">
        <w:rPr>
          <w:lang w:val="pl-PL"/>
        </w:rPr>
        <w:t>[Trybunałem Konstytucyjnym]</w:t>
      </w:r>
      <w:r w:rsidRPr="00C02B33">
        <w:rPr>
          <w:lang w:val="pl-PL"/>
        </w:rPr>
        <w:t xml:space="preserve">. Ponadto postępowanie prowadzone na podstawie indywidualnych skarg konstytucyjnych dotyczyło wyłącznie kwestii prawnych, nie zaś ustalania faktów. Podobnie jak </w:t>
      </w:r>
      <w:r w:rsidRPr="00C02B33">
        <w:rPr>
          <w:iCs/>
          <w:lang w:val="pl-PL"/>
        </w:rPr>
        <w:t xml:space="preserve">w niniejszej sprawie, w </w:t>
      </w:r>
      <w:r w:rsidRPr="00C02B33">
        <w:rPr>
          <w:lang w:val="pl-PL"/>
        </w:rPr>
        <w:t>postępowaniu takim Trybunał Konstytucyjny orzekał na podstawie pism procesowych</w:t>
      </w:r>
      <w:r w:rsidRPr="00C02B33">
        <w:rPr>
          <w:iCs/>
          <w:lang w:val="pl-PL"/>
        </w:rPr>
        <w:t xml:space="preserve"> i dokumentów dostarczonych przez skarżących i osoby zainteresowane, natomiast nie wysłuchiwano świadk</w:t>
      </w:r>
      <w:r w:rsidR="00A67659" w:rsidRPr="00C02B33">
        <w:rPr>
          <w:iCs/>
          <w:lang w:val="pl-PL"/>
        </w:rPr>
        <w:t>ów ani biegłych sądowych. Zatem</w:t>
      </w:r>
      <w:r w:rsidRPr="00C02B33">
        <w:rPr>
          <w:iCs/>
          <w:lang w:val="pl-PL"/>
        </w:rPr>
        <w:t xml:space="preserve"> zważywszy, że</w:t>
      </w:r>
      <w:r w:rsidRPr="00212AD6">
        <w:rPr>
          <w:iCs/>
          <w:lang w:val="pl-PL"/>
        </w:rPr>
        <w:t xml:space="preserve"> strony jedynie reasumowałyby informacje zawarte uprzednio w pisemnych pismach procesowych, w postępowaniu </w:t>
      </w:r>
      <w:r w:rsidR="008773F1" w:rsidRPr="00212AD6">
        <w:rPr>
          <w:iCs/>
          <w:lang w:val="pl-PL"/>
        </w:rPr>
        <w:t>prowadzonym</w:t>
      </w:r>
      <w:r w:rsidRPr="00212AD6">
        <w:rPr>
          <w:iCs/>
          <w:lang w:val="pl-PL"/>
        </w:rPr>
        <w:t xml:space="preserve"> na podstawie skargi konstytucyjnej rozprawa nie </w:t>
      </w:r>
      <w:r w:rsidR="00735CFB">
        <w:rPr>
          <w:iCs/>
          <w:lang w:val="pl-PL"/>
        </w:rPr>
        <w:t>zwiększyłaby rzetelności</w:t>
      </w:r>
      <w:r w:rsidRPr="00212AD6">
        <w:rPr>
          <w:iCs/>
          <w:lang w:val="pl-PL"/>
        </w:rPr>
        <w:t xml:space="preserve"> postępowania ani nie </w:t>
      </w:r>
      <w:r w:rsidR="008773F1" w:rsidRPr="00212AD6">
        <w:rPr>
          <w:iCs/>
          <w:lang w:val="pl-PL"/>
        </w:rPr>
        <w:t>służyła</w:t>
      </w:r>
      <w:r w:rsidR="00735CFB">
        <w:rPr>
          <w:iCs/>
          <w:lang w:val="pl-PL"/>
        </w:rPr>
        <w:t>by</w:t>
      </w:r>
      <w:r w:rsidRPr="00212AD6">
        <w:rPr>
          <w:iCs/>
          <w:lang w:val="pl-PL"/>
        </w:rPr>
        <w:t xml:space="preserve"> żadnym </w:t>
      </w:r>
      <w:r w:rsidR="008773F1" w:rsidRPr="00212AD6">
        <w:rPr>
          <w:iCs/>
          <w:lang w:val="pl-PL"/>
        </w:rPr>
        <w:t>użytecznym</w:t>
      </w:r>
      <w:r w:rsidRPr="00212AD6">
        <w:rPr>
          <w:iCs/>
          <w:lang w:val="pl-PL"/>
        </w:rPr>
        <w:t xml:space="preserve"> celom. Przeciwnie, gdyby r</w:t>
      </w:r>
      <w:r w:rsidR="007F7758">
        <w:rPr>
          <w:iCs/>
          <w:lang w:val="pl-PL"/>
        </w:rPr>
        <w:t>ozprawa miała odbywać się bez uzasadnionych przyczyn</w:t>
      </w:r>
      <w:r w:rsidRPr="00212AD6">
        <w:rPr>
          <w:iCs/>
          <w:lang w:val="pl-PL"/>
        </w:rPr>
        <w:t xml:space="preserve">, </w:t>
      </w:r>
      <w:r w:rsidR="008773F1" w:rsidRPr="00212AD6">
        <w:rPr>
          <w:iCs/>
          <w:lang w:val="pl-PL"/>
        </w:rPr>
        <w:t>byłoby</w:t>
      </w:r>
      <w:r w:rsidRPr="00212AD6">
        <w:rPr>
          <w:iCs/>
          <w:lang w:val="pl-PL"/>
        </w:rPr>
        <w:t xml:space="preserve"> to sprzeczne z zasadami ekonomi</w:t>
      </w:r>
      <w:r w:rsidR="00A14894">
        <w:rPr>
          <w:iCs/>
          <w:lang w:val="pl-PL"/>
        </w:rPr>
        <w:t>ki procesowej</w:t>
      </w:r>
      <w:r w:rsidRPr="00212AD6">
        <w:rPr>
          <w:iCs/>
          <w:lang w:val="pl-PL"/>
        </w:rPr>
        <w:t xml:space="preserve"> i skuteczności.</w:t>
      </w:r>
    </w:p>
    <w:p w14:paraId="0128CCAD" w14:textId="77777777" w:rsidR="00F767C0" w:rsidRPr="00212AD6" w:rsidRDefault="00F767C0" w:rsidP="00F767C0">
      <w:pPr>
        <w:pStyle w:val="JuHi"/>
        <w:rPr>
          <w:lang w:val="pl-PL"/>
        </w:rPr>
      </w:pPr>
      <w:r w:rsidRPr="00212AD6">
        <w:rPr>
          <w:lang w:val="pl-PL"/>
        </w:rPr>
        <w:t>(ii)  Skarżąca</w:t>
      </w:r>
    </w:p>
    <w:p w14:paraId="1540C53E" w14:textId="1E9FC806" w:rsidR="00F767C0" w:rsidRPr="00212AD6" w:rsidRDefault="00F767C0" w:rsidP="00F767C0">
      <w:pPr>
        <w:pStyle w:val="JuPara"/>
        <w:rPr>
          <w:lang w:val="pl-PL"/>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82</w:t>
      </w:r>
      <w:r w:rsidRPr="00212AD6">
        <w:rPr>
          <w:lang w:val="pl-PL"/>
        </w:rPr>
        <w:fldChar w:fldCharType="end"/>
      </w:r>
      <w:r w:rsidRPr="00212AD6">
        <w:rPr>
          <w:lang w:val="pl-PL"/>
        </w:rPr>
        <w:t xml:space="preserve">.  Skarżąca odpowiedziała, że fakt, iż ustawa o Trybunale Konstytucyjnym jednoznacznie przewidywała możliwość prowadzenia </w:t>
      </w:r>
      <w:r w:rsidR="006E4216">
        <w:rPr>
          <w:lang w:val="pl-PL"/>
        </w:rPr>
        <w:t>jawnej</w:t>
      </w:r>
      <w:r w:rsidR="006E4216" w:rsidRPr="00212AD6">
        <w:rPr>
          <w:lang w:val="pl-PL"/>
        </w:rPr>
        <w:t xml:space="preserve"> </w:t>
      </w:r>
      <w:r w:rsidRPr="00212AD6">
        <w:rPr>
          <w:lang w:val="pl-PL"/>
        </w:rPr>
        <w:t xml:space="preserve">rozprawy jedynie w postępowaniu w ramach abstrakcyjnej kontroli konstytucyjności, nie oznaczał, że prowadzenie takiej rozprawy w postępowaniu na podstawie indywidualnej skargi konstytucyjnej było zakazane. W każdym </w:t>
      </w:r>
      <w:r w:rsidR="00A12043">
        <w:rPr>
          <w:lang w:val="pl-PL"/>
        </w:rPr>
        <w:t>razie,</w:t>
      </w:r>
      <w:r w:rsidRPr="00212AD6">
        <w:rPr>
          <w:lang w:val="pl-PL"/>
        </w:rPr>
        <w:t xml:space="preserve"> argument Rządu obalała praktyka Trybunału Konstytucyjnego, który w dniu 8 kwietnia 2011 r. przeprowadził </w:t>
      </w:r>
      <w:r w:rsidR="006E4216">
        <w:rPr>
          <w:lang w:val="pl-PL"/>
        </w:rPr>
        <w:t xml:space="preserve">jawną </w:t>
      </w:r>
      <w:r w:rsidRPr="00212AD6">
        <w:rPr>
          <w:lang w:val="pl-PL"/>
        </w:rPr>
        <w:t>rozprawę w postępowaniu wszczętym na podstawie skargi konstytucyjnej pana P.T. (zob. paragraf 27 powyżej) i zaprosił go do udziału w niej.</w:t>
      </w:r>
    </w:p>
    <w:p w14:paraId="70DB9E6F" w14:textId="72C9598E" w:rsidR="00F767C0" w:rsidRPr="00212AD6" w:rsidRDefault="00F767C0" w:rsidP="00F767C0">
      <w:pPr>
        <w:pStyle w:val="JuPara"/>
        <w:rPr>
          <w:lang w:val="pl-PL"/>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83</w:t>
      </w:r>
      <w:r w:rsidRPr="00212AD6">
        <w:rPr>
          <w:lang w:val="pl-PL"/>
        </w:rPr>
        <w:fldChar w:fldCharType="end"/>
      </w:r>
      <w:r w:rsidRPr="00212AD6">
        <w:rPr>
          <w:lang w:val="pl-PL"/>
        </w:rPr>
        <w:t xml:space="preserve">.  Skarżąca oświadczyła ponadto, że wybór sędziów Trybunału Konstytucyjnego stanowił kwestię o szerszym znaczeniu publicznym, co potwierdzało zainteresowanie mediów jej sprawą. Zdaniem skarżącej sam ten fakt stanowił wystarczającą podstawę do przeprowadzenia w jej sprawie </w:t>
      </w:r>
      <w:r w:rsidR="006E4216">
        <w:rPr>
          <w:lang w:val="pl-PL"/>
        </w:rPr>
        <w:t xml:space="preserve">jawnej </w:t>
      </w:r>
      <w:r w:rsidRPr="00212AD6">
        <w:rPr>
          <w:lang w:val="pl-PL"/>
        </w:rPr>
        <w:t>rozprawy.</w:t>
      </w:r>
    </w:p>
    <w:p w14:paraId="3459F589" w14:textId="77777777" w:rsidR="00F767C0" w:rsidRPr="00212AD6" w:rsidRDefault="00F767C0" w:rsidP="00F767C0">
      <w:pPr>
        <w:pStyle w:val="JuHa0"/>
        <w:rPr>
          <w:lang w:val="pl-PL"/>
        </w:rPr>
      </w:pPr>
      <w:r w:rsidRPr="00212AD6">
        <w:rPr>
          <w:lang w:val="pl-PL"/>
        </w:rPr>
        <w:t>(b)  Ocena Trybunału</w:t>
      </w:r>
    </w:p>
    <w:p w14:paraId="7A2D4588" w14:textId="68F9946F" w:rsidR="00F767C0" w:rsidRPr="00212AD6" w:rsidRDefault="00F767C0" w:rsidP="00F767C0">
      <w:pPr>
        <w:pStyle w:val="JuPara"/>
        <w:rPr>
          <w:lang w:val="pl-PL" w:eastAsia="en-US"/>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84</w:t>
      </w:r>
      <w:r w:rsidRPr="00212AD6">
        <w:rPr>
          <w:lang w:val="pl-PL"/>
        </w:rPr>
        <w:fldChar w:fldCharType="end"/>
      </w:r>
      <w:r w:rsidRPr="00212AD6">
        <w:rPr>
          <w:lang w:val="pl-PL"/>
        </w:rPr>
        <w:t xml:space="preserve">.  Trybunał przypomina, że publiczny charakter postępowania przed organami sądowymi, o którym mowa w </w:t>
      </w:r>
      <w:r w:rsidR="00B569A1">
        <w:rPr>
          <w:lang w:val="pl-PL"/>
        </w:rPr>
        <w:t>art.</w:t>
      </w:r>
      <w:r w:rsidRPr="00212AD6">
        <w:rPr>
          <w:lang w:val="pl-PL"/>
        </w:rPr>
        <w:t> 6 ust. 1, chroni strony sporu przed wymierzan</w:t>
      </w:r>
      <w:r w:rsidR="00302B0B">
        <w:rPr>
          <w:lang w:val="pl-PL"/>
        </w:rPr>
        <w:t>iem sprawiedliwości w tajemnicy</w:t>
      </w:r>
      <w:r w:rsidRPr="00212AD6">
        <w:rPr>
          <w:lang w:val="pl-PL"/>
        </w:rPr>
        <w:t xml:space="preserve">, bez kontroli publicznej; jest także jednym ze środków utrzymywania zaufania do sądów wyższej i niższej instancji. </w:t>
      </w:r>
      <w:r w:rsidR="00302B0B">
        <w:rPr>
          <w:lang w:val="pl-PL"/>
        </w:rPr>
        <w:t xml:space="preserve">Prowadząc do tego, że wymiar sprawiedliwości jest widoczny, jawność przyczynia się do osiągnięcia celu </w:t>
      </w:r>
      <w:r w:rsidR="00B569A1">
        <w:rPr>
          <w:lang w:val="pl-PL"/>
        </w:rPr>
        <w:t>art.</w:t>
      </w:r>
      <w:r w:rsidR="00302B0B">
        <w:rPr>
          <w:lang w:val="pl-PL"/>
        </w:rPr>
        <w:t xml:space="preserve"> 6 ust. 1</w:t>
      </w:r>
      <w:r w:rsidR="00A12043">
        <w:rPr>
          <w:lang w:val="pl-PL"/>
        </w:rPr>
        <w:t>,</w:t>
      </w:r>
      <w:r w:rsidR="00302B0B">
        <w:rPr>
          <w:lang w:val="pl-PL"/>
        </w:rPr>
        <w:t xml:space="preserve"> czyli rzetelnego procesu, </w:t>
      </w:r>
      <w:r w:rsidR="00646DAF">
        <w:rPr>
          <w:lang w:val="pl-PL"/>
        </w:rPr>
        <w:t xml:space="preserve">którego gwarancja stanowi jedną z podstawowych zasad </w:t>
      </w:r>
      <w:r w:rsidR="00646DAF">
        <w:rPr>
          <w:lang w:val="pl-PL"/>
        </w:rPr>
        <w:lastRenderedPageBreak/>
        <w:t xml:space="preserve">każdego społeczeństwa </w:t>
      </w:r>
      <w:r w:rsidRPr="00212AD6">
        <w:rPr>
          <w:lang w:val="pl-PL"/>
        </w:rPr>
        <w:t>demo</w:t>
      </w:r>
      <w:r w:rsidR="00646DAF">
        <w:rPr>
          <w:lang w:val="pl-PL"/>
        </w:rPr>
        <w:t>k</w:t>
      </w:r>
      <w:r w:rsidRPr="00212AD6">
        <w:rPr>
          <w:lang w:val="pl-PL"/>
        </w:rPr>
        <w:t>rat</w:t>
      </w:r>
      <w:r w:rsidR="00646DAF">
        <w:rPr>
          <w:lang w:val="pl-PL"/>
        </w:rPr>
        <w:t xml:space="preserve">ycznego </w:t>
      </w:r>
      <w:r w:rsidRPr="00212AD6">
        <w:rPr>
          <w:lang w:val="pl-PL"/>
        </w:rPr>
        <w:t xml:space="preserve">w rozumieniu Konwencji (zob. przykładowo </w:t>
      </w:r>
      <w:proofErr w:type="spellStart"/>
      <w:r w:rsidRPr="00212AD6">
        <w:rPr>
          <w:i/>
          <w:lang w:val="pl-PL" w:eastAsia="en-US"/>
        </w:rPr>
        <w:t>Axen</w:t>
      </w:r>
      <w:proofErr w:type="spellEnd"/>
      <w:r w:rsidRPr="00212AD6">
        <w:rPr>
          <w:i/>
          <w:lang w:val="pl-PL" w:eastAsia="en-US"/>
        </w:rPr>
        <w:t xml:space="preserve"> przeciwko Niemcom</w:t>
      </w:r>
      <w:r w:rsidRPr="00212AD6">
        <w:rPr>
          <w:lang w:val="pl-PL" w:eastAsia="en-US"/>
        </w:rPr>
        <w:t>, 8 grudnia 1983</w:t>
      </w:r>
      <w:r w:rsidR="00A67659">
        <w:rPr>
          <w:lang w:val="pl-PL" w:eastAsia="en-US"/>
        </w:rPr>
        <w:t xml:space="preserve"> r.</w:t>
      </w:r>
      <w:r w:rsidRPr="00212AD6">
        <w:rPr>
          <w:lang w:val="pl-PL" w:eastAsia="en-US"/>
        </w:rPr>
        <w:t xml:space="preserve">, § 25, Seria A nr 72; </w:t>
      </w:r>
      <w:proofErr w:type="spellStart"/>
      <w:r w:rsidRPr="00212AD6">
        <w:rPr>
          <w:i/>
          <w:lang w:val="pl-PL" w:eastAsia="en-US"/>
        </w:rPr>
        <w:t>Pretto</w:t>
      </w:r>
      <w:proofErr w:type="spellEnd"/>
      <w:r w:rsidRPr="00212AD6">
        <w:rPr>
          <w:i/>
          <w:lang w:val="pl-PL" w:eastAsia="en-US"/>
        </w:rPr>
        <w:t xml:space="preserve"> i Inni przeciwko Włochom</w:t>
      </w:r>
      <w:r w:rsidRPr="00212AD6">
        <w:rPr>
          <w:lang w:val="pl-PL" w:eastAsia="en-US"/>
        </w:rPr>
        <w:t xml:space="preserve">, 8 grudnia 1983, § 21, Seria A nr 71 oraz </w:t>
      </w:r>
      <w:r w:rsidRPr="00212AD6">
        <w:rPr>
          <w:i/>
          <w:szCs w:val="24"/>
          <w:lang w:val="pl-PL" w:eastAsia="en-US"/>
        </w:rPr>
        <w:t xml:space="preserve">Martinie przeciwko </w:t>
      </w:r>
      <w:r w:rsidR="00D709BE" w:rsidRPr="00212AD6">
        <w:rPr>
          <w:i/>
          <w:szCs w:val="24"/>
          <w:lang w:val="pl-PL" w:eastAsia="en-US"/>
        </w:rPr>
        <w:t>Francji</w:t>
      </w:r>
      <w:r w:rsidRPr="00212AD6">
        <w:rPr>
          <w:szCs w:val="24"/>
          <w:lang w:val="pl-PL" w:eastAsia="en-US"/>
        </w:rPr>
        <w:t xml:space="preserve"> [WI], nr 58675/00, § 39, </w:t>
      </w:r>
      <w:proofErr w:type="spellStart"/>
      <w:r w:rsidRPr="00212AD6">
        <w:rPr>
          <w:szCs w:val="24"/>
          <w:lang w:val="pl-PL" w:eastAsia="en-US"/>
        </w:rPr>
        <w:t>ETPCz</w:t>
      </w:r>
      <w:proofErr w:type="spellEnd"/>
      <w:r w:rsidRPr="00212AD6">
        <w:rPr>
          <w:szCs w:val="24"/>
          <w:lang w:val="pl-PL" w:eastAsia="en-US"/>
        </w:rPr>
        <w:t xml:space="preserve"> 2006</w:t>
      </w:r>
      <w:r w:rsidRPr="00212AD6">
        <w:rPr>
          <w:szCs w:val="24"/>
          <w:lang w:val="pl-PL" w:eastAsia="en-US"/>
        </w:rPr>
        <w:noBreakHyphen/>
        <w:t>...</w:t>
      </w:r>
      <w:r w:rsidRPr="00212AD6">
        <w:rPr>
          <w:lang w:val="pl-PL"/>
        </w:rPr>
        <w:t>).</w:t>
      </w:r>
    </w:p>
    <w:p w14:paraId="35D17E86" w14:textId="49C04974" w:rsidR="00F767C0" w:rsidRPr="00212AD6" w:rsidRDefault="00F767C0" w:rsidP="00F767C0">
      <w:pPr>
        <w:pStyle w:val="JuPara"/>
        <w:rPr>
          <w:lang w:val="pl-PL"/>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85</w:t>
      </w:r>
      <w:r w:rsidRPr="00212AD6">
        <w:rPr>
          <w:lang w:val="pl-PL"/>
        </w:rPr>
        <w:fldChar w:fldCharType="end"/>
      </w:r>
      <w:r w:rsidRPr="00212AD6">
        <w:rPr>
          <w:lang w:val="pl-PL"/>
        </w:rPr>
        <w:t xml:space="preserve">.  W dalszej kolejności Trybunał przypomina, że ogólnie rzecz biorąc prawo do </w:t>
      </w:r>
      <w:r w:rsidR="00A12043">
        <w:rPr>
          <w:lang w:val="pl-PL"/>
        </w:rPr>
        <w:t xml:space="preserve">publicznego rozpatrzenia sprawy </w:t>
      </w:r>
      <w:r w:rsidRPr="00212AD6">
        <w:rPr>
          <w:lang w:val="pl-PL"/>
        </w:rPr>
        <w:t xml:space="preserve">obejmuje prawo do </w:t>
      </w:r>
      <w:r w:rsidR="00A0021E">
        <w:rPr>
          <w:lang w:val="pl-PL"/>
        </w:rPr>
        <w:t xml:space="preserve">postępowania ustnego </w:t>
      </w:r>
      <w:r w:rsidR="004E6267">
        <w:rPr>
          <w:lang w:val="pl-PL"/>
        </w:rPr>
        <w:t xml:space="preserve">(rozprawy) </w:t>
      </w:r>
      <w:r w:rsidRPr="00212AD6">
        <w:rPr>
          <w:lang w:val="pl-PL"/>
        </w:rPr>
        <w:t xml:space="preserve">(zob. przykładowo </w:t>
      </w:r>
      <w:r w:rsidRPr="00212AD6">
        <w:rPr>
          <w:i/>
          <w:lang w:val="pl-PL" w:eastAsia="en-US"/>
        </w:rPr>
        <w:t>Fischer przeciwko Austrii</w:t>
      </w:r>
      <w:r w:rsidRPr="00212AD6">
        <w:rPr>
          <w:lang w:val="pl-PL" w:eastAsia="en-US"/>
        </w:rPr>
        <w:t>, 26 kwietnia 1995</w:t>
      </w:r>
      <w:r w:rsidR="00646DAF">
        <w:rPr>
          <w:lang w:val="pl-PL" w:eastAsia="en-US"/>
        </w:rPr>
        <w:t xml:space="preserve"> r.</w:t>
      </w:r>
      <w:r w:rsidRPr="00212AD6">
        <w:rPr>
          <w:lang w:val="pl-PL" w:eastAsia="en-US"/>
        </w:rPr>
        <w:t>, § 44, Seria A nr 312</w:t>
      </w:r>
      <w:r w:rsidR="00646DAF">
        <w:rPr>
          <w:lang w:val="pl-PL" w:eastAsia="en-US"/>
        </w:rPr>
        <w:t xml:space="preserve"> oraz</w:t>
      </w:r>
      <w:r w:rsidRPr="00212AD6">
        <w:rPr>
          <w:lang w:val="pl-PL" w:eastAsia="en-US"/>
        </w:rPr>
        <w:t xml:space="preserve"> </w:t>
      </w:r>
      <w:proofErr w:type="spellStart"/>
      <w:r w:rsidRPr="00212AD6">
        <w:rPr>
          <w:i/>
          <w:lang w:val="pl-PL" w:eastAsia="en-US"/>
        </w:rPr>
        <w:t>Döry</w:t>
      </w:r>
      <w:proofErr w:type="spellEnd"/>
      <w:r w:rsidRPr="00212AD6">
        <w:rPr>
          <w:lang w:val="pl-PL" w:eastAsia="en-US"/>
        </w:rPr>
        <w:t>, cyt. powyżej, § 37</w:t>
      </w:r>
      <w:r w:rsidRPr="00212AD6">
        <w:rPr>
          <w:lang w:val="pl-PL"/>
        </w:rPr>
        <w:t>).</w:t>
      </w:r>
    </w:p>
    <w:p w14:paraId="40EFA7EE" w14:textId="48973A4B" w:rsidR="00F767C0" w:rsidRPr="00C02B33" w:rsidRDefault="00F767C0" w:rsidP="00F767C0">
      <w:pPr>
        <w:pStyle w:val="JuPara"/>
        <w:rPr>
          <w:szCs w:val="24"/>
          <w:lang w:val="pl-PL"/>
        </w:rPr>
      </w:pPr>
      <w:r w:rsidRPr="00212AD6">
        <w:rPr>
          <w:lang w:val="pl-PL" w:eastAsia="en-US"/>
        </w:rPr>
        <w:fldChar w:fldCharType="begin"/>
      </w:r>
      <w:r w:rsidRPr="00212AD6">
        <w:rPr>
          <w:lang w:val="pl-PL" w:eastAsia="en-US"/>
        </w:rPr>
        <w:instrText xml:space="preserve"> SEQ level0 \*arabic </w:instrText>
      </w:r>
      <w:r w:rsidRPr="00212AD6">
        <w:rPr>
          <w:lang w:val="pl-PL" w:eastAsia="en-US"/>
        </w:rPr>
        <w:fldChar w:fldCharType="separate"/>
      </w:r>
      <w:r w:rsidRPr="00212AD6">
        <w:rPr>
          <w:noProof/>
          <w:lang w:val="pl-PL" w:eastAsia="en-US"/>
        </w:rPr>
        <w:t>86</w:t>
      </w:r>
      <w:r w:rsidRPr="00212AD6">
        <w:rPr>
          <w:lang w:val="pl-PL" w:eastAsia="en-US"/>
        </w:rPr>
        <w:fldChar w:fldCharType="end"/>
      </w:r>
      <w:r w:rsidRPr="00212AD6">
        <w:rPr>
          <w:lang w:val="pl-PL" w:eastAsia="en-US"/>
        </w:rPr>
        <w:t>.  </w:t>
      </w:r>
      <w:r w:rsidRPr="00C02B33">
        <w:rPr>
          <w:lang w:val="pl-PL"/>
        </w:rPr>
        <w:t xml:space="preserve">Trybunał zauważa, że ani Sąd Administracyjny, ani Trybunał Konstytucyjny nie przeprowadziły </w:t>
      </w:r>
      <w:r w:rsidR="00A67659" w:rsidRPr="00C02B33">
        <w:rPr>
          <w:lang w:val="pl-PL"/>
        </w:rPr>
        <w:t xml:space="preserve">w sprawie skarżącej </w:t>
      </w:r>
      <w:r w:rsidRPr="00C02B33">
        <w:rPr>
          <w:lang w:val="pl-PL"/>
        </w:rPr>
        <w:t xml:space="preserve">rozprawy. Trybunał musi zatem zbadać, czy w niniejszej sprawie brak </w:t>
      </w:r>
      <w:r w:rsidR="006E4216">
        <w:rPr>
          <w:lang w:val="pl-PL"/>
        </w:rPr>
        <w:t>jawnej</w:t>
      </w:r>
      <w:r w:rsidR="00A12043">
        <w:rPr>
          <w:lang w:val="pl-PL"/>
        </w:rPr>
        <w:t xml:space="preserve"> </w:t>
      </w:r>
      <w:r w:rsidRPr="00C02B33">
        <w:rPr>
          <w:lang w:val="pl-PL"/>
        </w:rPr>
        <w:t xml:space="preserve">rozprawy stanowił naruszenie </w:t>
      </w:r>
      <w:r w:rsidR="00B569A1">
        <w:rPr>
          <w:lang w:val="pl-PL"/>
        </w:rPr>
        <w:t>art.</w:t>
      </w:r>
      <w:r w:rsidRPr="00C02B33">
        <w:rPr>
          <w:lang w:val="pl-PL"/>
        </w:rPr>
        <w:t> 6 ust. 1 Konwencji.</w:t>
      </w:r>
    </w:p>
    <w:p w14:paraId="450A39B7" w14:textId="77777777" w:rsidR="00F767C0" w:rsidRPr="00212AD6" w:rsidRDefault="00F767C0" w:rsidP="00F767C0">
      <w:pPr>
        <w:pStyle w:val="JuPara"/>
        <w:rPr>
          <w:lang w:val="pl-PL"/>
        </w:rPr>
      </w:pPr>
      <w:r w:rsidRPr="00C02B33">
        <w:rPr>
          <w:lang w:val="pl-PL"/>
        </w:rPr>
        <w:fldChar w:fldCharType="begin"/>
      </w:r>
      <w:r w:rsidRPr="00C02B33">
        <w:rPr>
          <w:lang w:val="pl-PL"/>
        </w:rPr>
        <w:instrText xml:space="preserve"> SEQ level0 \*arabic </w:instrText>
      </w:r>
      <w:r w:rsidRPr="00C02B33">
        <w:rPr>
          <w:lang w:val="pl-PL"/>
        </w:rPr>
        <w:fldChar w:fldCharType="separate"/>
      </w:r>
      <w:r w:rsidRPr="00C02B33">
        <w:rPr>
          <w:noProof/>
          <w:lang w:val="pl-PL"/>
        </w:rPr>
        <w:t>87</w:t>
      </w:r>
      <w:r w:rsidRPr="00C02B33">
        <w:rPr>
          <w:lang w:val="pl-PL"/>
        </w:rPr>
        <w:fldChar w:fldCharType="end"/>
      </w:r>
      <w:r w:rsidRPr="00C02B33">
        <w:rPr>
          <w:lang w:val="pl-PL"/>
        </w:rPr>
        <w:t>.  W tym względzie Trybunał przede wszystkim przypomina, że obowiązek przeprowadzenia</w:t>
      </w:r>
      <w:r w:rsidRPr="00212AD6">
        <w:rPr>
          <w:lang w:val="pl-PL"/>
        </w:rPr>
        <w:t xml:space="preserve"> rozprawy nie ma charakteru bezwzględnego. Przykładowo </w:t>
      </w:r>
      <w:r w:rsidR="00D709BE" w:rsidRPr="00212AD6">
        <w:rPr>
          <w:lang w:val="pl-PL"/>
        </w:rPr>
        <w:t>istnieje</w:t>
      </w:r>
      <w:r w:rsidRPr="00212AD6">
        <w:rPr>
          <w:lang w:val="pl-PL"/>
        </w:rPr>
        <w:t xml:space="preserve"> możliwość zrezygnowania z rozprawy, jeżeli strona jednoznacznie zrzeka się swego prawa do takiej rozprawy i brak kwestii interesu publicznego, ze względu na które </w:t>
      </w:r>
      <w:r w:rsidR="00D709BE" w:rsidRPr="00212AD6">
        <w:rPr>
          <w:lang w:val="pl-PL"/>
        </w:rPr>
        <w:t>rozprawa</w:t>
      </w:r>
      <w:r w:rsidRPr="00212AD6">
        <w:rPr>
          <w:lang w:val="pl-PL"/>
        </w:rPr>
        <w:t xml:space="preserve"> byłaby niezbędna. Zrzeczenia się </w:t>
      </w:r>
      <w:r w:rsidR="00D709BE" w:rsidRPr="00212AD6">
        <w:rPr>
          <w:lang w:val="pl-PL"/>
        </w:rPr>
        <w:t>można</w:t>
      </w:r>
      <w:r w:rsidRPr="00212AD6">
        <w:rPr>
          <w:lang w:val="pl-PL"/>
        </w:rPr>
        <w:t xml:space="preserve"> dokonać w </w:t>
      </w:r>
      <w:r w:rsidR="00D709BE" w:rsidRPr="00212AD6">
        <w:rPr>
          <w:lang w:val="pl-PL"/>
        </w:rPr>
        <w:t>sposób</w:t>
      </w:r>
      <w:r w:rsidRPr="00212AD6">
        <w:rPr>
          <w:lang w:val="pl-PL"/>
        </w:rPr>
        <w:t xml:space="preserve"> wyraźny lub dorozumiany, </w:t>
      </w:r>
      <w:r w:rsidR="007F7758" w:rsidRPr="00212AD6">
        <w:rPr>
          <w:lang w:val="pl-PL"/>
        </w:rPr>
        <w:t>w tym</w:t>
      </w:r>
      <w:r w:rsidRPr="00212AD6">
        <w:rPr>
          <w:lang w:val="pl-PL"/>
        </w:rPr>
        <w:t xml:space="preserve"> drugim przypadku przykładowo poprzez wstrzymanie się od złożenia lub </w:t>
      </w:r>
      <w:r w:rsidR="00D709BE" w:rsidRPr="00212AD6">
        <w:rPr>
          <w:lang w:val="pl-PL"/>
        </w:rPr>
        <w:t xml:space="preserve">podtrzymania wniosku o przeprowadzenie </w:t>
      </w:r>
      <w:r w:rsidRPr="00212AD6">
        <w:rPr>
          <w:lang w:val="pl-PL"/>
        </w:rPr>
        <w:t>rozpraw</w:t>
      </w:r>
      <w:r w:rsidR="00D709BE" w:rsidRPr="00212AD6">
        <w:rPr>
          <w:lang w:val="pl-PL"/>
        </w:rPr>
        <w:t>y</w:t>
      </w:r>
      <w:r w:rsidRPr="00212AD6">
        <w:rPr>
          <w:lang w:val="pl-PL"/>
        </w:rPr>
        <w:t xml:space="preserve"> (zob. przykładowo </w:t>
      </w:r>
      <w:proofErr w:type="spellStart"/>
      <w:r w:rsidRPr="00212AD6">
        <w:rPr>
          <w:i/>
          <w:lang w:val="pl-PL" w:eastAsia="en-US"/>
        </w:rPr>
        <w:t>Döry</w:t>
      </w:r>
      <w:proofErr w:type="spellEnd"/>
      <w:r w:rsidRPr="00212AD6">
        <w:rPr>
          <w:lang w:val="pl-PL" w:eastAsia="en-US"/>
        </w:rPr>
        <w:t>, cyt. powyżej, § 37;</w:t>
      </w:r>
      <w:r w:rsidRPr="00212AD6">
        <w:rPr>
          <w:lang w:val="pl-PL"/>
        </w:rPr>
        <w:t xml:space="preserve"> </w:t>
      </w:r>
      <w:proofErr w:type="spellStart"/>
      <w:r w:rsidRPr="00212AD6">
        <w:rPr>
          <w:i/>
          <w:lang w:val="pl-PL" w:eastAsia="en-US"/>
        </w:rPr>
        <w:t>Lundevall</w:t>
      </w:r>
      <w:proofErr w:type="spellEnd"/>
      <w:r w:rsidRPr="00212AD6">
        <w:rPr>
          <w:i/>
          <w:lang w:val="pl-PL" w:eastAsia="en-US"/>
        </w:rPr>
        <w:t xml:space="preserve"> przeciwko Szwecji</w:t>
      </w:r>
      <w:r w:rsidRPr="00212AD6">
        <w:rPr>
          <w:lang w:val="pl-PL" w:eastAsia="en-US"/>
        </w:rPr>
        <w:t xml:space="preserve">, nr 38629/97, § 34, 12 listopada 2002 r.; </w:t>
      </w:r>
      <w:proofErr w:type="spellStart"/>
      <w:r w:rsidRPr="00212AD6">
        <w:rPr>
          <w:i/>
          <w:lang w:val="pl-PL"/>
        </w:rPr>
        <w:t>Håkansson</w:t>
      </w:r>
      <w:proofErr w:type="spellEnd"/>
      <w:r w:rsidRPr="00212AD6">
        <w:rPr>
          <w:i/>
          <w:lang w:val="pl-PL"/>
        </w:rPr>
        <w:t xml:space="preserve"> i </w:t>
      </w:r>
      <w:proofErr w:type="spellStart"/>
      <w:r w:rsidRPr="00212AD6">
        <w:rPr>
          <w:i/>
          <w:lang w:val="pl-PL"/>
        </w:rPr>
        <w:t>Sturesson</w:t>
      </w:r>
      <w:proofErr w:type="spellEnd"/>
      <w:r w:rsidRPr="00212AD6">
        <w:rPr>
          <w:i/>
          <w:lang w:val="pl-PL"/>
        </w:rPr>
        <w:t xml:space="preserve"> przeciwko Szwecji</w:t>
      </w:r>
      <w:r w:rsidRPr="00212AD6">
        <w:rPr>
          <w:lang w:val="pl-PL"/>
        </w:rPr>
        <w:t>, 21 lutego 1990</w:t>
      </w:r>
      <w:r w:rsidR="00A67659">
        <w:rPr>
          <w:lang w:val="pl-PL"/>
        </w:rPr>
        <w:t xml:space="preserve"> </w:t>
      </w:r>
      <w:r w:rsidR="00A67659">
        <w:rPr>
          <w:lang w:val="pl-PL" w:eastAsia="en-US"/>
        </w:rPr>
        <w:t>r.</w:t>
      </w:r>
      <w:r w:rsidRPr="00212AD6">
        <w:rPr>
          <w:lang w:val="pl-PL"/>
        </w:rPr>
        <w:t>, Seria A nr 171-A, § 66</w:t>
      </w:r>
      <w:r w:rsidR="00A12043">
        <w:rPr>
          <w:lang w:val="pl-PL"/>
        </w:rPr>
        <w:t>,</w:t>
      </w:r>
      <w:r w:rsidRPr="00212AD6">
        <w:rPr>
          <w:lang w:val="pl-PL"/>
        </w:rPr>
        <w:t xml:space="preserve"> oraz </w:t>
      </w:r>
      <w:proofErr w:type="spellStart"/>
      <w:r w:rsidRPr="00212AD6">
        <w:rPr>
          <w:i/>
          <w:lang w:val="pl-PL"/>
        </w:rPr>
        <w:t>Schuler-Zgraggen</w:t>
      </w:r>
      <w:proofErr w:type="spellEnd"/>
      <w:r w:rsidRPr="00212AD6">
        <w:rPr>
          <w:i/>
          <w:lang w:val="pl-PL"/>
        </w:rPr>
        <w:t xml:space="preserve"> przeciwko Szwajcarii</w:t>
      </w:r>
      <w:r w:rsidRPr="00212AD6">
        <w:rPr>
          <w:lang w:val="pl-PL"/>
        </w:rPr>
        <w:t>, 24 czerwca 1993</w:t>
      </w:r>
      <w:r w:rsidR="00F23A6E">
        <w:rPr>
          <w:lang w:val="pl-PL"/>
        </w:rPr>
        <w:t xml:space="preserve"> </w:t>
      </w:r>
      <w:r w:rsidR="00F23A6E">
        <w:rPr>
          <w:lang w:val="pl-PL" w:eastAsia="en-US"/>
        </w:rPr>
        <w:t>r.</w:t>
      </w:r>
      <w:r w:rsidRPr="00212AD6">
        <w:rPr>
          <w:lang w:val="pl-PL"/>
        </w:rPr>
        <w:t>, Seria A nr 263, § 58).</w:t>
      </w:r>
    </w:p>
    <w:p w14:paraId="3454FCAB" w14:textId="6BBDE08E" w:rsidR="00F767C0" w:rsidRPr="00212AD6" w:rsidRDefault="00F767C0" w:rsidP="00F767C0">
      <w:pPr>
        <w:pStyle w:val="JuPara"/>
        <w:rPr>
          <w:i/>
          <w:lang w:val="pl-PL" w:eastAsia="en-US"/>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88</w:t>
      </w:r>
      <w:r w:rsidRPr="00212AD6">
        <w:rPr>
          <w:lang w:val="pl-PL"/>
        </w:rPr>
        <w:fldChar w:fldCharType="end"/>
      </w:r>
      <w:r w:rsidRPr="00212AD6">
        <w:rPr>
          <w:lang w:val="pl-PL"/>
        </w:rPr>
        <w:t xml:space="preserve">.  Trybunał zauważa, że </w:t>
      </w:r>
      <w:r w:rsidR="00B569A1">
        <w:rPr>
          <w:lang w:val="pl-PL"/>
        </w:rPr>
        <w:t>art.</w:t>
      </w:r>
      <w:r w:rsidRPr="00212AD6">
        <w:rPr>
          <w:lang w:val="pl-PL"/>
        </w:rPr>
        <w:t xml:space="preserve"> 34 ustawy o sporach administracyjnych ustanawia zasadę, </w:t>
      </w:r>
      <w:r w:rsidR="00D709BE" w:rsidRPr="00212AD6">
        <w:rPr>
          <w:lang w:val="pl-PL"/>
        </w:rPr>
        <w:t>iż</w:t>
      </w:r>
      <w:r w:rsidRPr="00212AD6">
        <w:rPr>
          <w:lang w:val="pl-PL"/>
        </w:rPr>
        <w:t xml:space="preserve"> Sąd Administracyjny </w:t>
      </w:r>
      <w:r w:rsidR="00D709BE" w:rsidRPr="00212AD6">
        <w:rPr>
          <w:lang w:val="pl-PL"/>
        </w:rPr>
        <w:t xml:space="preserve">orzeka w sprawach wniesionych przed ten sąd na posiedzeniu zamkniętym. </w:t>
      </w:r>
      <w:r w:rsidRPr="00212AD6">
        <w:rPr>
          <w:lang w:val="pl-PL"/>
        </w:rPr>
        <w:t>W</w:t>
      </w:r>
      <w:r w:rsidR="00D709BE" w:rsidRPr="00212AD6">
        <w:rPr>
          <w:lang w:val="pl-PL"/>
        </w:rPr>
        <w:t xml:space="preserve"> w</w:t>
      </w:r>
      <w:r w:rsidRPr="00212AD6">
        <w:rPr>
          <w:lang w:val="pl-PL"/>
        </w:rPr>
        <w:t>yjątkow</w:t>
      </w:r>
      <w:r w:rsidR="00D709BE" w:rsidRPr="00212AD6">
        <w:rPr>
          <w:lang w:val="pl-PL"/>
        </w:rPr>
        <w:t>ych okolicznościach</w:t>
      </w:r>
      <w:r w:rsidRPr="00212AD6">
        <w:rPr>
          <w:lang w:val="pl-PL"/>
        </w:rPr>
        <w:t xml:space="preserve"> sąd ten może przeprowadzić rozprawę. Przepis te</w:t>
      </w:r>
      <w:r w:rsidR="00F23A6E">
        <w:rPr>
          <w:lang w:val="pl-PL"/>
        </w:rPr>
        <w:t>n</w:t>
      </w:r>
      <w:r w:rsidRPr="00212AD6">
        <w:rPr>
          <w:lang w:val="pl-PL"/>
        </w:rPr>
        <w:t xml:space="preserve"> określa również prawo strony postępowania przed sądem do złożenia wniosku o przeprowadzenie rozprawy (zob. paragraf 30 powyżej). W związku z </w:t>
      </w:r>
      <w:r w:rsidR="00D709BE" w:rsidRPr="00212AD6">
        <w:rPr>
          <w:lang w:val="pl-PL"/>
        </w:rPr>
        <w:t>powyższym</w:t>
      </w:r>
      <w:r w:rsidRPr="00212AD6">
        <w:rPr>
          <w:lang w:val="pl-PL"/>
        </w:rPr>
        <w:t xml:space="preserve"> można było </w:t>
      </w:r>
      <w:r w:rsidR="00D709BE" w:rsidRPr="00212AD6">
        <w:rPr>
          <w:lang w:val="pl-PL"/>
        </w:rPr>
        <w:t>oczekiwać</w:t>
      </w:r>
      <w:r w:rsidRPr="00212AD6">
        <w:rPr>
          <w:lang w:val="pl-PL"/>
        </w:rPr>
        <w:t xml:space="preserve">, że skarżąca </w:t>
      </w:r>
      <w:r w:rsidR="00D709BE" w:rsidRPr="00212AD6">
        <w:rPr>
          <w:lang w:val="pl-PL"/>
        </w:rPr>
        <w:t>wniesie</w:t>
      </w:r>
      <w:r w:rsidRPr="00212AD6">
        <w:rPr>
          <w:lang w:val="pl-PL"/>
        </w:rPr>
        <w:t xml:space="preserve"> o przeprowadzenie rozprawy przed tymże sądem, jeżeli będzie mieć ona dla niej znaczenie (zob. </w:t>
      </w:r>
      <w:proofErr w:type="spellStart"/>
      <w:r w:rsidRPr="00212AD6">
        <w:rPr>
          <w:i/>
          <w:lang w:val="pl-PL" w:eastAsia="en-US"/>
        </w:rPr>
        <w:t>Döry</w:t>
      </w:r>
      <w:proofErr w:type="spellEnd"/>
      <w:r w:rsidRPr="00212AD6">
        <w:rPr>
          <w:lang w:val="pl-PL" w:eastAsia="en-US"/>
        </w:rPr>
        <w:t xml:space="preserve">, cyt. powyżej, § 38 oraz </w:t>
      </w:r>
      <w:proofErr w:type="spellStart"/>
      <w:r w:rsidRPr="00212AD6">
        <w:rPr>
          <w:i/>
          <w:lang w:val="pl-PL" w:eastAsia="en-US"/>
        </w:rPr>
        <w:t>Lundevall</w:t>
      </w:r>
      <w:proofErr w:type="spellEnd"/>
      <w:r w:rsidRPr="00212AD6">
        <w:rPr>
          <w:lang w:val="pl-PL" w:eastAsia="en-US"/>
        </w:rPr>
        <w:t>, cyt. powyżej, § 35</w:t>
      </w:r>
      <w:r w:rsidRPr="00212AD6">
        <w:rPr>
          <w:lang w:val="pl-PL"/>
        </w:rPr>
        <w:t xml:space="preserve">). </w:t>
      </w:r>
      <w:r w:rsidR="00D709BE" w:rsidRPr="00212AD6">
        <w:rPr>
          <w:lang w:val="pl-PL"/>
        </w:rPr>
        <w:t>Jednakże</w:t>
      </w:r>
      <w:r w:rsidRPr="00212AD6">
        <w:rPr>
          <w:lang w:val="pl-PL"/>
        </w:rPr>
        <w:t xml:space="preserve"> we wniosku o </w:t>
      </w:r>
      <w:r w:rsidR="00D709BE" w:rsidRPr="00212AD6">
        <w:rPr>
          <w:lang w:val="pl-PL"/>
        </w:rPr>
        <w:t>ochronę</w:t>
      </w:r>
      <w:r w:rsidRPr="00212AD6">
        <w:rPr>
          <w:lang w:val="pl-PL"/>
        </w:rPr>
        <w:t xml:space="preserve"> prawa gwarantowanego przez </w:t>
      </w:r>
      <w:r w:rsidR="00391083" w:rsidRPr="00212AD6">
        <w:rPr>
          <w:lang w:val="pl-PL"/>
        </w:rPr>
        <w:t xml:space="preserve">Konstytucję </w:t>
      </w:r>
      <w:r w:rsidRPr="00212AD6">
        <w:rPr>
          <w:lang w:val="pl-PL"/>
        </w:rPr>
        <w:t xml:space="preserve">złożonym do Sądu Administracyjnego w dniu 26 maja 2008 r. skarżąca nie przedstawiła prośby o przeprowadzenie rozprawy. Nie przedłożyła także do Trybunału żadnych innych dowodów potwierdzających złożenie takiej prośby na dowolnym, późniejszym etapie postępowania przed Sądem Administracyjnym. Trybunał przyjmuje zatem, że skarżąca nie wniosła o przeprowadzenie rozprawy przed Sądem Administracyjnym. </w:t>
      </w:r>
      <w:r w:rsidR="00D709BE" w:rsidRPr="00212AD6">
        <w:rPr>
          <w:lang w:val="pl-PL"/>
        </w:rPr>
        <w:t xml:space="preserve">Należy więc uznać, że skarżąca jednoznacznie zrzekła się prawa do rozprawy (zob. </w:t>
      </w:r>
      <w:proofErr w:type="spellStart"/>
      <w:r w:rsidR="00D709BE" w:rsidRPr="00212AD6">
        <w:rPr>
          <w:i/>
          <w:lang w:val="pl-PL" w:eastAsia="en-US"/>
        </w:rPr>
        <w:t>Schuler-Zgraggen</w:t>
      </w:r>
      <w:proofErr w:type="spellEnd"/>
      <w:r w:rsidR="00D709BE" w:rsidRPr="00212AD6">
        <w:rPr>
          <w:lang w:val="pl-PL" w:eastAsia="en-US"/>
        </w:rPr>
        <w:t xml:space="preserve">, cyt. powyżej, § 58, Seria A nr 263; </w:t>
      </w:r>
      <w:proofErr w:type="spellStart"/>
      <w:r w:rsidR="00D709BE" w:rsidRPr="00212AD6">
        <w:rPr>
          <w:i/>
          <w:lang w:val="pl-PL" w:eastAsia="en-US"/>
        </w:rPr>
        <w:t>Zumtobel</w:t>
      </w:r>
      <w:proofErr w:type="spellEnd"/>
      <w:r w:rsidR="00D709BE" w:rsidRPr="00212AD6">
        <w:rPr>
          <w:i/>
          <w:lang w:val="pl-PL" w:eastAsia="en-US"/>
        </w:rPr>
        <w:t xml:space="preserve"> przeciwko Austrii</w:t>
      </w:r>
      <w:r w:rsidR="00D709BE" w:rsidRPr="00212AD6">
        <w:rPr>
          <w:lang w:val="pl-PL" w:eastAsia="en-US"/>
        </w:rPr>
        <w:t>, 21 września 1993 r., § 34, Seria A nr 268</w:t>
      </w:r>
      <w:r w:rsidR="00D709BE" w:rsidRPr="00212AD6">
        <w:rPr>
          <w:lang w:val="pl-PL" w:eastAsia="en-US"/>
        </w:rPr>
        <w:noBreakHyphen/>
        <w:t xml:space="preserve">A; </w:t>
      </w:r>
      <w:r w:rsidR="00D709BE" w:rsidRPr="00212AD6">
        <w:rPr>
          <w:i/>
          <w:lang w:val="pl-PL" w:eastAsia="en-US"/>
        </w:rPr>
        <w:t>Fischer</w:t>
      </w:r>
      <w:r w:rsidR="00D709BE" w:rsidRPr="00212AD6">
        <w:rPr>
          <w:lang w:val="pl-PL" w:eastAsia="en-US"/>
        </w:rPr>
        <w:t xml:space="preserve">, cyt. powyżej, § 44, Seria A nr 312; </w:t>
      </w:r>
      <w:proofErr w:type="spellStart"/>
      <w:r w:rsidR="00D709BE" w:rsidRPr="00212AD6">
        <w:rPr>
          <w:i/>
          <w:lang w:val="pl-PL" w:eastAsia="en-US"/>
        </w:rPr>
        <w:t>Döry</w:t>
      </w:r>
      <w:proofErr w:type="spellEnd"/>
      <w:r w:rsidR="00D709BE" w:rsidRPr="00212AD6">
        <w:rPr>
          <w:lang w:val="pl-PL" w:eastAsia="en-US"/>
        </w:rPr>
        <w:t xml:space="preserve">, cyt. powyżej, § 38; </w:t>
      </w:r>
      <w:proofErr w:type="spellStart"/>
      <w:r w:rsidR="00D709BE" w:rsidRPr="00212AD6">
        <w:rPr>
          <w:i/>
          <w:lang w:val="pl-PL" w:eastAsia="en-US"/>
        </w:rPr>
        <w:t>Lundevall</w:t>
      </w:r>
      <w:proofErr w:type="spellEnd"/>
      <w:r w:rsidR="00D709BE" w:rsidRPr="00212AD6">
        <w:rPr>
          <w:lang w:val="pl-PL" w:eastAsia="en-US"/>
        </w:rPr>
        <w:t>, cyt. powyżej, § 35</w:t>
      </w:r>
      <w:r w:rsidR="00A12043">
        <w:rPr>
          <w:lang w:val="pl-PL" w:eastAsia="en-US"/>
        </w:rPr>
        <w:t>,</w:t>
      </w:r>
      <w:r w:rsidR="00D709BE" w:rsidRPr="00212AD6">
        <w:rPr>
          <w:lang w:val="pl-PL" w:eastAsia="en-US"/>
        </w:rPr>
        <w:t xml:space="preserve"> oraz </w:t>
      </w:r>
      <w:proofErr w:type="spellStart"/>
      <w:r w:rsidR="00D709BE" w:rsidRPr="00212AD6">
        <w:rPr>
          <w:i/>
          <w:lang w:val="pl-PL" w:eastAsia="en-US"/>
        </w:rPr>
        <w:t>Šikić</w:t>
      </w:r>
      <w:proofErr w:type="spellEnd"/>
      <w:r w:rsidR="00D709BE" w:rsidRPr="00212AD6">
        <w:rPr>
          <w:i/>
          <w:lang w:val="pl-PL" w:eastAsia="en-US"/>
        </w:rPr>
        <w:t xml:space="preserve"> przeciwko Chorwacji</w:t>
      </w:r>
      <w:r w:rsidR="00D709BE" w:rsidRPr="00212AD6">
        <w:rPr>
          <w:lang w:val="pl-PL" w:eastAsia="en-US"/>
        </w:rPr>
        <w:t>, nr 9143/08</w:t>
      </w:r>
      <w:r w:rsidR="00D709BE" w:rsidRPr="00212AD6">
        <w:rPr>
          <w:snapToGrid w:val="0"/>
          <w:szCs w:val="24"/>
          <w:lang w:val="pl-PL" w:eastAsia="en-US"/>
        </w:rPr>
        <w:t>, § 29, 15 lipca 2010 r.</w:t>
      </w:r>
      <w:r w:rsidR="00D709BE" w:rsidRPr="00212AD6">
        <w:rPr>
          <w:lang w:val="pl-PL" w:eastAsia="en-US"/>
        </w:rPr>
        <w:t>).</w:t>
      </w:r>
    </w:p>
    <w:p w14:paraId="3B6E0822" w14:textId="5CC1FFD8" w:rsidR="00F767C0" w:rsidRPr="00212AD6" w:rsidRDefault="00F767C0" w:rsidP="00F767C0">
      <w:pPr>
        <w:pStyle w:val="JuPara"/>
        <w:rPr>
          <w:szCs w:val="24"/>
          <w:lang w:val="pl-PL"/>
        </w:rPr>
      </w:pPr>
      <w:r w:rsidRPr="00212AD6">
        <w:rPr>
          <w:lang w:val="pl-PL"/>
        </w:rPr>
        <w:lastRenderedPageBreak/>
        <w:fldChar w:fldCharType="begin"/>
      </w:r>
      <w:r w:rsidRPr="00212AD6">
        <w:rPr>
          <w:lang w:val="pl-PL"/>
        </w:rPr>
        <w:instrText xml:space="preserve"> SEQ level0 \*arabic </w:instrText>
      </w:r>
      <w:r w:rsidRPr="00212AD6">
        <w:rPr>
          <w:lang w:val="pl-PL"/>
        </w:rPr>
        <w:fldChar w:fldCharType="separate"/>
      </w:r>
      <w:r w:rsidRPr="00212AD6">
        <w:rPr>
          <w:noProof/>
          <w:lang w:val="pl-PL"/>
        </w:rPr>
        <w:t>89</w:t>
      </w:r>
      <w:r w:rsidRPr="00212AD6">
        <w:rPr>
          <w:lang w:val="pl-PL"/>
        </w:rPr>
        <w:fldChar w:fldCharType="end"/>
      </w:r>
      <w:r w:rsidRPr="00212AD6">
        <w:rPr>
          <w:lang w:val="pl-PL"/>
        </w:rPr>
        <w:t xml:space="preserve">.  Pozostaje do ustalenia, czy w takich okolicznościach brak rozprawy przed Trybunałem Konstytucyjnym stanowił naruszenie </w:t>
      </w:r>
      <w:r w:rsidR="00B569A1">
        <w:rPr>
          <w:lang w:val="pl-PL"/>
        </w:rPr>
        <w:t>art.</w:t>
      </w:r>
      <w:r w:rsidRPr="00212AD6">
        <w:rPr>
          <w:lang w:val="pl-PL"/>
        </w:rPr>
        <w:t xml:space="preserve"> 6 ust. 1 Konwencji. W tym względzie Trybunał przypomina, że ustalenie, czy brak rozprawy przed sądem drugiej lub trzeciej instancji może być uzasadniony, uzależnione jest od szczególnych cech danego postępowania. Ponadto uwzględnić należy całość postępowania w krajowym porządku prawnym oraz rolę, jaką odgrywają w nim takie sądy. W przypadku, gdy postępowanie przed sądami wyższej instancji dotyczy jedynie kwestii prawnych, w odróżnieniu od kwestii faktycznych, </w:t>
      </w:r>
      <w:r w:rsidR="006E4216">
        <w:rPr>
          <w:lang w:val="pl-PL"/>
        </w:rPr>
        <w:t>jawna</w:t>
      </w:r>
      <w:r w:rsidRPr="00212AD6">
        <w:rPr>
          <w:lang w:val="pl-PL"/>
        </w:rPr>
        <w:t xml:space="preserve"> r</w:t>
      </w:r>
      <w:r w:rsidRPr="00212AD6">
        <w:rPr>
          <w:szCs w:val="24"/>
          <w:lang w:val="pl-PL"/>
        </w:rPr>
        <w:t xml:space="preserve">ozprawa nie jest zazwyczaj wymagana, pod warunkiem, że rozprawa taka odbyła się lub zrzeczono się jej w pierwszej instancji </w:t>
      </w:r>
      <w:r w:rsidRPr="00212AD6">
        <w:rPr>
          <w:bCs/>
          <w:szCs w:val="24"/>
          <w:lang w:val="pl-PL"/>
        </w:rPr>
        <w:t xml:space="preserve">(zob. między innymi, </w:t>
      </w:r>
      <w:proofErr w:type="spellStart"/>
      <w:r w:rsidRPr="00212AD6">
        <w:rPr>
          <w:i/>
          <w:szCs w:val="24"/>
          <w:lang w:val="pl-PL"/>
        </w:rPr>
        <w:t>Ekbatani</w:t>
      </w:r>
      <w:proofErr w:type="spellEnd"/>
      <w:r w:rsidRPr="00212AD6">
        <w:rPr>
          <w:i/>
          <w:szCs w:val="24"/>
          <w:lang w:val="pl-PL"/>
        </w:rPr>
        <w:t xml:space="preserve"> przeciwko Szwecji</w:t>
      </w:r>
      <w:r w:rsidR="00646DAF">
        <w:rPr>
          <w:szCs w:val="24"/>
          <w:lang w:val="pl-PL"/>
        </w:rPr>
        <w:t>, 26 maja 1988 r., §§ 27 i</w:t>
      </w:r>
      <w:r w:rsidRPr="00212AD6">
        <w:rPr>
          <w:szCs w:val="24"/>
          <w:lang w:val="pl-PL"/>
        </w:rPr>
        <w:t xml:space="preserve"> 31, Seria A nr 134; </w:t>
      </w:r>
      <w:proofErr w:type="spellStart"/>
      <w:r w:rsidRPr="00212AD6">
        <w:rPr>
          <w:i/>
          <w:szCs w:val="24"/>
          <w:lang w:val="pl-PL"/>
        </w:rPr>
        <w:t>Hermi</w:t>
      </w:r>
      <w:proofErr w:type="spellEnd"/>
      <w:r w:rsidRPr="00212AD6">
        <w:rPr>
          <w:i/>
          <w:szCs w:val="24"/>
          <w:lang w:val="pl-PL"/>
        </w:rPr>
        <w:t xml:space="preserve"> przeciwko Włochom</w:t>
      </w:r>
      <w:r w:rsidRPr="00212AD6">
        <w:rPr>
          <w:szCs w:val="24"/>
          <w:lang w:val="pl-PL"/>
        </w:rPr>
        <w:t xml:space="preserve"> [WI], nr 18114/02, §§ 60-61, </w:t>
      </w:r>
      <w:proofErr w:type="spellStart"/>
      <w:r w:rsidRPr="00212AD6">
        <w:rPr>
          <w:szCs w:val="24"/>
          <w:lang w:val="pl-PL"/>
        </w:rPr>
        <w:t>ETPCz</w:t>
      </w:r>
      <w:proofErr w:type="spellEnd"/>
      <w:r w:rsidRPr="00212AD6">
        <w:rPr>
          <w:szCs w:val="24"/>
          <w:lang w:val="pl-PL"/>
        </w:rPr>
        <w:t xml:space="preserve"> 2006</w:t>
      </w:r>
      <w:r w:rsidRPr="00212AD6">
        <w:rPr>
          <w:szCs w:val="24"/>
          <w:lang w:val="pl-PL"/>
        </w:rPr>
        <w:noBreakHyphen/>
        <w:t>XII</w:t>
      </w:r>
      <w:r w:rsidR="00A12043">
        <w:rPr>
          <w:szCs w:val="24"/>
          <w:lang w:val="pl-PL"/>
        </w:rPr>
        <w:t>,</w:t>
      </w:r>
      <w:r w:rsidRPr="00212AD6">
        <w:rPr>
          <w:szCs w:val="24"/>
          <w:lang w:val="pl-PL"/>
        </w:rPr>
        <w:t xml:space="preserve"> oraz </w:t>
      </w:r>
      <w:proofErr w:type="spellStart"/>
      <w:r w:rsidRPr="00212AD6">
        <w:rPr>
          <w:i/>
          <w:szCs w:val="24"/>
          <w:lang w:val="pl-PL" w:eastAsia="en-US"/>
        </w:rPr>
        <w:t>Döry</w:t>
      </w:r>
      <w:proofErr w:type="spellEnd"/>
      <w:r w:rsidRPr="00212AD6">
        <w:rPr>
          <w:szCs w:val="24"/>
          <w:lang w:val="pl-PL" w:eastAsia="en-US"/>
        </w:rPr>
        <w:t>, cyt. powyżej, § 40</w:t>
      </w:r>
      <w:r w:rsidRPr="00212AD6">
        <w:rPr>
          <w:szCs w:val="24"/>
          <w:lang w:val="pl-PL"/>
        </w:rPr>
        <w:t xml:space="preserve">). </w:t>
      </w:r>
      <w:r w:rsidR="00D709BE" w:rsidRPr="00212AD6">
        <w:rPr>
          <w:szCs w:val="24"/>
          <w:lang w:val="pl-PL"/>
        </w:rPr>
        <w:t>Stosując</w:t>
      </w:r>
      <w:r w:rsidRPr="00212AD6">
        <w:rPr>
          <w:szCs w:val="24"/>
          <w:lang w:val="pl-PL"/>
        </w:rPr>
        <w:t xml:space="preserve"> powyższe zasady względem Trybunałów Konstytucyjnych, Trybunał twierdził, że standardowo w postępowaniach przed sądami tego typu rozprawa nie była wymagana, gdyż </w:t>
      </w:r>
      <w:r w:rsidR="00F23A6E">
        <w:rPr>
          <w:szCs w:val="24"/>
          <w:lang w:val="pl-PL"/>
        </w:rPr>
        <w:t xml:space="preserve">postępowania takie </w:t>
      </w:r>
      <w:r w:rsidRPr="00212AD6">
        <w:rPr>
          <w:szCs w:val="24"/>
          <w:lang w:val="pl-PL"/>
        </w:rPr>
        <w:t xml:space="preserve">były </w:t>
      </w:r>
      <w:r w:rsidR="00D709BE" w:rsidRPr="00212AD6">
        <w:rPr>
          <w:szCs w:val="24"/>
          <w:lang w:val="pl-PL"/>
        </w:rPr>
        <w:t>ograniczone</w:t>
      </w:r>
      <w:r w:rsidRPr="00212AD6">
        <w:rPr>
          <w:szCs w:val="24"/>
          <w:lang w:val="pl-PL"/>
        </w:rPr>
        <w:t xml:space="preserve"> do zbadania </w:t>
      </w:r>
      <w:r w:rsidR="00D709BE" w:rsidRPr="00212AD6">
        <w:rPr>
          <w:szCs w:val="24"/>
          <w:lang w:val="pl-PL"/>
        </w:rPr>
        <w:t>kwestii konstytucyjnych</w:t>
      </w:r>
      <w:r w:rsidRPr="00212AD6">
        <w:rPr>
          <w:szCs w:val="24"/>
          <w:lang w:val="pl-PL"/>
        </w:rPr>
        <w:t xml:space="preserve">, obejmowały ocenę nie faktów, lecz prawa (zob. przykładowo </w:t>
      </w:r>
      <w:proofErr w:type="spellStart"/>
      <w:r w:rsidRPr="00212AD6">
        <w:rPr>
          <w:i/>
          <w:szCs w:val="24"/>
          <w:lang w:val="pl-PL"/>
        </w:rPr>
        <w:t>Zippel</w:t>
      </w:r>
      <w:proofErr w:type="spellEnd"/>
      <w:r w:rsidRPr="00212AD6">
        <w:rPr>
          <w:i/>
          <w:szCs w:val="24"/>
          <w:lang w:val="pl-PL"/>
        </w:rPr>
        <w:t xml:space="preserve"> przeciwko Niemcom</w:t>
      </w:r>
      <w:r w:rsidRPr="00212AD6">
        <w:rPr>
          <w:szCs w:val="24"/>
          <w:lang w:val="pl-PL"/>
        </w:rPr>
        <w:t xml:space="preserve"> (</w:t>
      </w:r>
      <w:proofErr w:type="spellStart"/>
      <w:r w:rsidRPr="00212AD6">
        <w:rPr>
          <w:szCs w:val="24"/>
          <w:lang w:val="pl-PL"/>
        </w:rPr>
        <w:t>dec</w:t>
      </w:r>
      <w:proofErr w:type="spellEnd"/>
      <w:r w:rsidRPr="00212AD6">
        <w:rPr>
          <w:szCs w:val="24"/>
          <w:lang w:val="pl-PL"/>
        </w:rPr>
        <w:t xml:space="preserve">.), nr 30470/96, 23 października 1997 r.; </w:t>
      </w:r>
      <w:proofErr w:type="spellStart"/>
      <w:r w:rsidRPr="00212AD6">
        <w:rPr>
          <w:i/>
          <w:szCs w:val="24"/>
          <w:lang w:val="pl-PL"/>
        </w:rPr>
        <w:t>Siegl</w:t>
      </w:r>
      <w:proofErr w:type="spellEnd"/>
      <w:r w:rsidRPr="00212AD6">
        <w:rPr>
          <w:i/>
          <w:szCs w:val="24"/>
          <w:lang w:val="pl-PL"/>
        </w:rPr>
        <w:t xml:space="preserve"> przeciwko Austrii</w:t>
      </w:r>
      <w:r w:rsidRPr="00212AD6">
        <w:rPr>
          <w:szCs w:val="24"/>
          <w:lang w:val="pl-PL"/>
        </w:rPr>
        <w:t> (</w:t>
      </w:r>
      <w:proofErr w:type="spellStart"/>
      <w:r w:rsidRPr="00212AD6">
        <w:rPr>
          <w:szCs w:val="24"/>
          <w:lang w:val="pl-PL"/>
        </w:rPr>
        <w:t>dec</w:t>
      </w:r>
      <w:proofErr w:type="spellEnd"/>
      <w:r w:rsidRPr="00212AD6">
        <w:rPr>
          <w:szCs w:val="24"/>
          <w:lang w:val="pl-PL"/>
        </w:rPr>
        <w:t>.), nr 36075/97,</w:t>
      </w:r>
      <w:r w:rsidRPr="00212AD6">
        <w:rPr>
          <w:rStyle w:val="Odwoaniedokomentarza"/>
          <w:sz w:val="24"/>
          <w:szCs w:val="24"/>
          <w:lang w:val="pl-PL"/>
        </w:rPr>
        <w:t xml:space="preserve"> 8 lutego 2000 r.;</w:t>
      </w:r>
      <w:r w:rsidRPr="00212AD6">
        <w:rPr>
          <w:szCs w:val="24"/>
          <w:lang w:val="pl-PL"/>
        </w:rPr>
        <w:t xml:space="preserve"> </w:t>
      </w:r>
      <w:proofErr w:type="spellStart"/>
      <w:r w:rsidRPr="00212AD6">
        <w:rPr>
          <w:i/>
          <w:szCs w:val="24"/>
          <w:lang w:val="pl-PL"/>
        </w:rPr>
        <w:t>Weh</w:t>
      </w:r>
      <w:proofErr w:type="spellEnd"/>
      <w:r w:rsidRPr="00212AD6">
        <w:rPr>
          <w:i/>
          <w:szCs w:val="24"/>
          <w:lang w:val="pl-PL"/>
        </w:rPr>
        <w:t xml:space="preserve"> i </w:t>
      </w:r>
      <w:proofErr w:type="spellStart"/>
      <w:r w:rsidRPr="00212AD6">
        <w:rPr>
          <w:i/>
          <w:szCs w:val="24"/>
          <w:lang w:val="pl-PL"/>
        </w:rPr>
        <w:t>Weh</w:t>
      </w:r>
      <w:proofErr w:type="spellEnd"/>
      <w:r w:rsidRPr="00212AD6">
        <w:rPr>
          <w:i/>
          <w:szCs w:val="24"/>
          <w:lang w:val="pl-PL"/>
        </w:rPr>
        <w:t xml:space="preserve"> przeciwko Austrii</w:t>
      </w:r>
      <w:r w:rsidRPr="00212AD6">
        <w:rPr>
          <w:szCs w:val="24"/>
          <w:lang w:val="pl-PL"/>
        </w:rPr>
        <w:t xml:space="preserve"> (</w:t>
      </w:r>
      <w:proofErr w:type="spellStart"/>
      <w:r w:rsidRPr="00212AD6">
        <w:rPr>
          <w:szCs w:val="24"/>
          <w:lang w:val="pl-PL"/>
        </w:rPr>
        <w:t>dec</w:t>
      </w:r>
      <w:proofErr w:type="spellEnd"/>
      <w:r w:rsidRPr="00212AD6">
        <w:rPr>
          <w:szCs w:val="24"/>
          <w:lang w:val="pl-PL"/>
        </w:rPr>
        <w:t xml:space="preserve">.), nr 38544/97, 4 lipca 2002 r.; </w:t>
      </w:r>
      <w:proofErr w:type="spellStart"/>
      <w:r w:rsidRPr="00212AD6">
        <w:rPr>
          <w:i/>
          <w:szCs w:val="24"/>
          <w:lang w:val="pl-PL"/>
        </w:rPr>
        <w:t>Breierova</w:t>
      </w:r>
      <w:proofErr w:type="spellEnd"/>
      <w:r w:rsidRPr="00212AD6">
        <w:rPr>
          <w:i/>
          <w:szCs w:val="24"/>
          <w:lang w:val="pl-PL"/>
        </w:rPr>
        <w:t xml:space="preserve"> i Inni przeciwko Republice Czeskiej</w:t>
      </w:r>
      <w:r w:rsidRPr="00212AD6">
        <w:rPr>
          <w:szCs w:val="24"/>
          <w:lang w:val="pl-PL"/>
        </w:rPr>
        <w:t xml:space="preserve"> (</w:t>
      </w:r>
      <w:proofErr w:type="spellStart"/>
      <w:r w:rsidRPr="00212AD6">
        <w:rPr>
          <w:szCs w:val="24"/>
          <w:lang w:val="pl-PL"/>
        </w:rPr>
        <w:t>dec</w:t>
      </w:r>
      <w:proofErr w:type="spellEnd"/>
      <w:r w:rsidRPr="00212AD6">
        <w:rPr>
          <w:szCs w:val="24"/>
          <w:lang w:val="pl-PL"/>
        </w:rPr>
        <w:t xml:space="preserve">.), nr 57321/00, 8 października 2002 r.; </w:t>
      </w:r>
      <w:proofErr w:type="spellStart"/>
      <w:r w:rsidRPr="00212AD6">
        <w:rPr>
          <w:i/>
          <w:szCs w:val="24"/>
          <w:lang w:val="pl-PL"/>
        </w:rPr>
        <w:t>Milatová</w:t>
      </w:r>
      <w:proofErr w:type="spellEnd"/>
      <w:r w:rsidRPr="00212AD6">
        <w:rPr>
          <w:i/>
          <w:szCs w:val="24"/>
          <w:lang w:val="pl-PL"/>
        </w:rPr>
        <w:t xml:space="preserve"> i Inni</w:t>
      </w:r>
      <w:r w:rsidRPr="00212AD6">
        <w:rPr>
          <w:szCs w:val="24"/>
          <w:lang w:val="pl-PL"/>
        </w:rPr>
        <w:t>,</w:t>
      </w:r>
      <w:r w:rsidRPr="00212AD6">
        <w:rPr>
          <w:i/>
          <w:szCs w:val="24"/>
          <w:lang w:val="pl-PL"/>
        </w:rPr>
        <w:t xml:space="preserve"> </w:t>
      </w:r>
      <w:r w:rsidRPr="00212AD6">
        <w:rPr>
          <w:szCs w:val="24"/>
          <w:lang w:val="pl-PL"/>
        </w:rPr>
        <w:t>cyt. powyżej, § 62;</w:t>
      </w:r>
      <w:r w:rsidRPr="00212AD6">
        <w:rPr>
          <w:i/>
          <w:szCs w:val="24"/>
          <w:lang w:val="pl-PL"/>
        </w:rPr>
        <w:t xml:space="preserve"> </w:t>
      </w:r>
      <w:proofErr w:type="spellStart"/>
      <w:r w:rsidRPr="00212AD6">
        <w:rPr>
          <w:i/>
          <w:szCs w:val="24"/>
          <w:lang w:val="pl-PL"/>
        </w:rPr>
        <w:t>Novotka</w:t>
      </w:r>
      <w:proofErr w:type="spellEnd"/>
      <w:r w:rsidRPr="00212AD6">
        <w:rPr>
          <w:i/>
          <w:szCs w:val="24"/>
          <w:lang w:val="pl-PL"/>
        </w:rPr>
        <w:t xml:space="preserve"> przeciwko Słowacji</w:t>
      </w:r>
      <w:r w:rsidRPr="00212AD6">
        <w:rPr>
          <w:szCs w:val="24"/>
          <w:lang w:val="pl-PL"/>
        </w:rPr>
        <w:t xml:space="preserve"> (</w:t>
      </w:r>
      <w:proofErr w:type="spellStart"/>
      <w:r w:rsidRPr="00212AD6">
        <w:rPr>
          <w:szCs w:val="24"/>
          <w:lang w:val="pl-PL"/>
        </w:rPr>
        <w:t>dec</w:t>
      </w:r>
      <w:proofErr w:type="spellEnd"/>
      <w:r w:rsidRPr="00212AD6">
        <w:rPr>
          <w:szCs w:val="24"/>
          <w:lang w:val="pl-PL"/>
        </w:rPr>
        <w:t xml:space="preserve">.), nr 74459/01, 8 listopada 2005 r.; </w:t>
      </w:r>
      <w:proofErr w:type="spellStart"/>
      <w:r w:rsidRPr="00212AD6">
        <w:rPr>
          <w:i/>
          <w:szCs w:val="24"/>
          <w:lang w:val="pl-PL"/>
        </w:rPr>
        <w:t>Prischl</w:t>
      </w:r>
      <w:proofErr w:type="spellEnd"/>
      <w:r w:rsidRPr="00212AD6">
        <w:rPr>
          <w:i/>
          <w:szCs w:val="24"/>
          <w:lang w:val="pl-PL"/>
        </w:rPr>
        <w:t xml:space="preserve"> przeciwko Austrii</w:t>
      </w:r>
      <w:r w:rsidRPr="00212AD6">
        <w:rPr>
          <w:szCs w:val="24"/>
          <w:lang w:val="pl-PL"/>
        </w:rPr>
        <w:t xml:space="preserve">, nr 2881/04, §§ 20-22, 26 kwietnia 2007 r. oraz por. </w:t>
      </w:r>
      <w:r w:rsidRPr="00212AD6">
        <w:rPr>
          <w:i/>
          <w:szCs w:val="24"/>
          <w:lang w:val="pl-PL" w:eastAsia="en-US"/>
        </w:rPr>
        <w:t>Kugler przeciwko Austrii</w:t>
      </w:r>
      <w:r w:rsidRPr="00212AD6">
        <w:rPr>
          <w:szCs w:val="24"/>
          <w:lang w:val="pl-PL" w:eastAsia="en-US"/>
        </w:rPr>
        <w:t>, nr 65631/01</w:t>
      </w:r>
      <w:r w:rsidRPr="00212AD6">
        <w:rPr>
          <w:snapToGrid w:val="0"/>
          <w:szCs w:val="24"/>
          <w:lang w:val="pl-PL" w:eastAsia="en-US"/>
        </w:rPr>
        <w:t>, §§ 47-53, 1</w:t>
      </w:r>
      <w:r w:rsidRPr="00212AD6">
        <w:rPr>
          <w:szCs w:val="24"/>
          <w:lang w:val="pl-PL" w:eastAsia="en-US"/>
        </w:rPr>
        <w:t>4</w:t>
      </w:r>
      <w:r w:rsidRPr="00212AD6">
        <w:rPr>
          <w:snapToGrid w:val="0"/>
          <w:szCs w:val="24"/>
          <w:lang w:val="pl-PL" w:eastAsia="en-US"/>
        </w:rPr>
        <w:t> października 2010 r.</w:t>
      </w:r>
      <w:r w:rsidRPr="00212AD6">
        <w:rPr>
          <w:szCs w:val="24"/>
          <w:lang w:val="pl-PL"/>
        </w:rPr>
        <w:t>).</w:t>
      </w:r>
    </w:p>
    <w:bookmarkStart w:id="10" w:name="HIT3"/>
    <w:bookmarkStart w:id="11" w:name="HIT4"/>
    <w:bookmarkEnd w:id="10"/>
    <w:bookmarkEnd w:id="11"/>
    <w:p w14:paraId="073ADC4B" w14:textId="77777777" w:rsidR="00F767C0" w:rsidRPr="00212AD6" w:rsidRDefault="00F767C0" w:rsidP="00F767C0">
      <w:pPr>
        <w:pStyle w:val="JuPara"/>
        <w:rPr>
          <w:lang w:val="pl-PL"/>
        </w:rPr>
      </w:pPr>
      <w:r w:rsidRPr="00212AD6">
        <w:rPr>
          <w:szCs w:val="24"/>
          <w:lang w:val="pl-PL"/>
        </w:rPr>
        <w:fldChar w:fldCharType="begin"/>
      </w:r>
      <w:r w:rsidRPr="00212AD6">
        <w:rPr>
          <w:szCs w:val="24"/>
          <w:lang w:val="pl-PL"/>
        </w:rPr>
        <w:instrText xml:space="preserve"> SEQ level0 \*arabic </w:instrText>
      </w:r>
      <w:r w:rsidRPr="00212AD6">
        <w:rPr>
          <w:szCs w:val="24"/>
          <w:lang w:val="pl-PL"/>
        </w:rPr>
        <w:fldChar w:fldCharType="separate"/>
      </w:r>
      <w:r w:rsidRPr="00212AD6">
        <w:rPr>
          <w:noProof/>
          <w:szCs w:val="24"/>
          <w:lang w:val="pl-PL"/>
        </w:rPr>
        <w:t>90</w:t>
      </w:r>
      <w:r w:rsidRPr="00212AD6">
        <w:rPr>
          <w:szCs w:val="24"/>
          <w:lang w:val="pl-PL"/>
        </w:rPr>
        <w:fldChar w:fldCharType="end"/>
      </w:r>
      <w:r w:rsidRPr="00212AD6">
        <w:rPr>
          <w:szCs w:val="24"/>
          <w:lang w:val="pl-PL"/>
        </w:rPr>
        <w:t xml:space="preserve">.  Rząd argumentował, iż brak rozprawy przed Trybunałem Konstytucyjnym w postępowaniu prowadzonym na podstawie indywidualnej </w:t>
      </w:r>
      <w:r w:rsidRPr="00212AD6">
        <w:rPr>
          <w:lang w:val="pl-PL"/>
        </w:rPr>
        <w:t>skargi konstytucyjnej był uzasadniony ze względu na szczególną rolę tegoż sądu oraz szczególny charakter postępowania przed nim, które dotyczyło wyłącznie kwestii prawnych, nie zaś ustalania faktów (zob. paragraf 81 powyżej).</w:t>
      </w:r>
    </w:p>
    <w:p w14:paraId="7821D7D9" w14:textId="78DE1EC3" w:rsidR="00F767C0" w:rsidRPr="00212AD6" w:rsidRDefault="00F767C0" w:rsidP="00F767C0">
      <w:pPr>
        <w:pStyle w:val="JuPara"/>
        <w:rPr>
          <w:lang w:val="pl-PL"/>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91</w:t>
      </w:r>
      <w:r w:rsidRPr="00212AD6">
        <w:rPr>
          <w:lang w:val="pl-PL"/>
        </w:rPr>
        <w:fldChar w:fldCharType="end"/>
      </w:r>
      <w:r w:rsidRPr="00212AD6">
        <w:rPr>
          <w:lang w:val="pl-PL"/>
        </w:rPr>
        <w:t>.  </w:t>
      </w:r>
      <w:r w:rsidR="00393D34" w:rsidRPr="00212AD6">
        <w:rPr>
          <w:lang w:val="pl-PL"/>
        </w:rPr>
        <w:t>W tym względzie Trybunał w pierwszej kolejności zauważa, że niniejsza sprawa dotyczy domniemanych nieprawidłowości w zakresie wyboru sędziego Trybunału Konstytucyjnego i że kluczową kw</w:t>
      </w:r>
      <w:r w:rsidR="001326C1">
        <w:rPr>
          <w:lang w:val="pl-PL"/>
        </w:rPr>
        <w:t>estią prawną był zakres kontroli</w:t>
      </w:r>
      <w:r w:rsidR="00393D34" w:rsidRPr="00212AD6">
        <w:rPr>
          <w:lang w:val="pl-PL"/>
        </w:rPr>
        <w:t xml:space="preserve"> konstytucyjności decyzji dotyczących mianowania urzędników państwowych, w szczególności decyzji Parlamentu z dnia 9 maja </w:t>
      </w:r>
      <w:r w:rsidR="00393D34" w:rsidRPr="00393D34">
        <w:rPr>
          <w:lang w:val="pl-PL"/>
        </w:rPr>
        <w:t xml:space="preserve">2008 r. Jest prawdą, jak już stwierdzono powyżej (zob. paragraf 74), że Trybunał Konstytucyjny zwracał się </w:t>
      </w:r>
      <w:r w:rsidR="00A12043">
        <w:rPr>
          <w:lang w:val="pl-PL"/>
        </w:rPr>
        <w:t xml:space="preserve">również </w:t>
      </w:r>
      <w:r w:rsidR="00393D34" w:rsidRPr="00393D34">
        <w:rPr>
          <w:lang w:val="pl-PL"/>
        </w:rPr>
        <w:t>z prośbą o informacje dotyczące doświadczenia zawodowego S.B.</w:t>
      </w:r>
      <w:r w:rsidR="00393D34">
        <w:rPr>
          <w:lang w:val="pl-PL"/>
        </w:rPr>
        <w:t>,</w:t>
      </w:r>
      <w:r w:rsidR="00393D34" w:rsidRPr="00393D34">
        <w:rPr>
          <w:lang w:val="pl-PL"/>
        </w:rPr>
        <w:t xml:space="preserve"> jednakże z uzasadnienia jego decyzji z dnia 30 kwietnia 2009 r., </w:t>
      </w:r>
      <w:r w:rsidR="00393D34">
        <w:rPr>
          <w:lang w:val="pl-PL"/>
        </w:rPr>
        <w:t>w</w:t>
      </w:r>
      <w:r w:rsidR="00393D34" w:rsidRPr="00393D34">
        <w:rPr>
          <w:lang w:val="pl-PL"/>
        </w:rPr>
        <w:t xml:space="preserve"> szczególności z ustalenia, że Sąd Administracyjny </w:t>
      </w:r>
      <w:r w:rsidR="00393D34">
        <w:rPr>
          <w:lang w:val="pl-PL"/>
        </w:rPr>
        <w:t xml:space="preserve">przekroczył swoje kompetencje, </w:t>
      </w:r>
      <w:r w:rsidR="007F7758">
        <w:rPr>
          <w:lang w:val="pl-PL"/>
        </w:rPr>
        <w:t xml:space="preserve">dokonując </w:t>
      </w:r>
      <w:r w:rsidR="007F7758" w:rsidRPr="00393D34">
        <w:rPr>
          <w:lang w:val="pl-PL"/>
        </w:rPr>
        <w:t>(ponownej</w:t>
      </w:r>
      <w:r w:rsidR="00393D34" w:rsidRPr="00393D34">
        <w:rPr>
          <w:lang w:val="pl-PL"/>
        </w:rPr>
        <w:t>)</w:t>
      </w:r>
      <w:r w:rsidR="00393D34">
        <w:rPr>
          <w:lang w:val="pl-PL"/>
        </w:rPr>
        <w:t xml:space="preserve"> oceny wartości dowodowej </w:t>
      </w:r>
      <w:r w:rsidR="00393D34" w:rsidRPr="00393D34">
        <w:rPr>
          <w:lang w:val="pl-PL"/>
        </w:rPr>
        <w:t>do</w:t>
      </w:r>
      <w:r w:rsidR="00393D34">
        <w:rPr>
          <w:lang w:val="pl-PL"/>
        </w:rPr>
        <w:t>k</w:t>
      </w:r>
      <w:r w:rsidR="00393D34" w:rsidRPr="00393D34">
        <w:rPr>
          <w:lang w:val="pl-PL"/>
        </w:rPr>
        <w:t>ument</w:t>
      </w:r>
      <w:r w:rsidR="00393D34">
        <w:rPr>
          <w:lang w:val="pl-PL"/>
        </w:rPr>
        <w:t xml:space="preserve">ów przedstawionych przez </w:t>
      </w:r>
      <w:r w:rsidR="00393D34" w:rsidRPr="00393D34">
        <w:rPr>
          <w:lang w:val="pl-PL"/>
        </w:rPr>
        <w:t>S.B</w:t>
      </w:r>
      <w:r w:rsidR="00BB0368">
        <w:rPr>
          <w:lang w:val="pl-PL"/>
        </w:rPr>
        <w:t>. na</w:t>
      </w:r>
      <w:r w:rsidR="00393D34">
        <w:rPr>
          <w:lang w:val="pl-PL"/>
        </w:rPr>
        <w:t xml:space="preserve"> potwierdzenie jej </w:t>
      </w:r>
      <w:r w:rsidR="00393D34" w:rsidRPr="00393D34">
        <w:rPr>
          <w:lang w:val="pl-PL"/>
        </w:rPr>
        <w:t>doświadczen</w:t>
      </w:r>
      <w:r w:rsidR="00393D34">
        <w:rPr>
          <w:lang w:val="pl-PL"/>
        </w:rPr>
        <w:t>ia</w:t>
      </w:r>
      <w:r w:rsidR="00393D34" w:rsidRPr="00393D34">
        <w:rPr>
          <w:lang w:val="pl-PL"/>
        </w:rPr>
        <w:t xml:space="preserve"> zawodow</w:t>
      </w:r>
      <w:r w:rsidR="00393D34">
        <w:rPr>
          <w:lang w:val="pl-PL"/>
        </w:rPr>
        <w:t>ego</w:t>
      </w:r>
      <w:r w:rsidR="00393D34" w:rsidRPr="00393D34">
        <w:rPr>
          <w:lang w:val="pl-PL"/>
        </w:rPr>
        <w:t xml:space="preserve"> (zob. paragraf 20 powyżej)</w:t>
      </w:r>
      <w:r w:rsidR="00BB0368">
        <w:rPr>
          <w:lang w:val="pl-PL"/>
        </w:rPr>
        <w:t>,</w:t>
      </w:r>
      <w:r w:rsidR="00393D34" w:rsidRPr="00393D34">
        <w:rPr>
          <w:lang w:val="pl-PL"/>
        </w:rPr>
        <w:t xml:space="preserve"> </w:t>
      </w:r>
      <w:r w:rsidRPr="00393D34">
        <w:rPr>
          <w:lang w:val="pl-PL"/>
        </w:rPr>
        <w:t xml:space="preserve">jasno wynika, że Trybunał Konstytucyjny </w:t>
      </w:r>
      <w:r w:rsidR="00393D34">
        <w:rPr>
          <w:lang w:val="pl-PL"/>
        </w:rPr>
        <w:t>w ostateczności nie ustalił ani zweryfikował faktów</w:t>
      </w:r>
      <w:r w:rsidR="00FF1F42">
        <w:rPr>
          <w:lang w:val="pl-PL"/>
        </w:rPr>
        <w:t>,</w:t>
      </w:r>
      <w:r w:rsidR="00393D34">
        <w:rPr>
          <w:lang w:val="pl-PL"/>
        </w:rPr>
        <w:t xml:space="preserve"> ani te</w:t>
      </w:r>
      <w:r w:rsidR="00BB0368">
        <w:rPr>
          <w:lang w:val="pl-PL"/>
        </w:rPr>
        <w:t>ż</w:t>
      </w:r>
      <w:r w:rsidR="00393D34">
        <w:rPr>
          <w:lang w:val="pl-PL"/>
        </w:rPr>
        <w:t xml:space="preserve"> nie przeprowadził (ponownej) oceny dowodów</w:t>
      </w:r>
      <w:r w:rsidRPr="00393D34">
        <w:rPr>
          <w:lang w:val="pl-PL"/>
        </w:rPr>
        <w:t xml:space="preserve">. Z powyższego wynika, że postępowanie przed Trybunałem </w:t>
      </w:r>
      <w:r w:rsidRPr="00393D34">
        <w:rPr>
          <w:lang w:val="pl-PL"/>
        </w:rPr>
        <w:lastRenderedPageBreak/>
        <w:t>Konstytucyjnym było ograniczone do zbadania kwestii konstytucyjności, o której mowa powyżej, to jest, obejmowało ocenę nie kwestii faktycznych, lecz wyłącznie kwestii prawnych. Co więcej, inaczej</w:t>
      </w:r>
      <w:r w:rsidRPr="00212AD6">
        <w:rPr>
          <w:lang w:val="pl-PL"/>
        </w:rPr>
        <w:t xml:space="preserve"> niż w sprawie </w:t>
      </w:r>
      <w:r w:rsidRPr="00212AD6">
        <w:rPr>
          <w:i/>
          <w:lang w:val="pl-PL"/>
        </w:rPr>
        <w:t>Kugler</w:t>
      </w:r>
      <w:r w:rsidRPr="00212AD6">
        <w:rPr>
          <w:lang w:val="pl-PL"/>
        </w:rPr>
        <w:t xml:space="preserve">, w której Trybunał stwierdził naruszenie </w:t>
      </w:r>
      <w:r w:rsidR="00B569A1">
        <w:rPr>
          <w:lang w:val="pl-PL"/>
        </w:rPr>
        <w:t>art.</w:t>
      </w:r>
      <w:r w:rsidRPr="00212AD6">
        <w:rPr>
          <w:lang w:val="pl-PL"/>
        </w:rPr>
        <w:t xml:space="preserve"> 6 ust. 1 Konwencji w związku z brakiem </w:t>
      </w:r>
      <w:r w:rsidR="006E4216">
        <w:rPr>
          <w:lang w:val="pl-PL"/>
        </w:rPr>
        <w:t xml:space="preserve">jawnej </w:t>
      </w:r>
      <w:r w:rsidRPr="00212AD6">
        <w:rPr>
          <w:lang w:val="pl-PL"/>
        </w:rPr>
        <w:t xml:space="preserve">rozprawy przed Trybunałem Konstytucyjnym, ponieważ Sąd Administracyjny „nie był właściwy w kwestii zgodności planu zagospodarowania przestrzennego z prawem”, zaś Trybunał Konstytucyjny „był jedynym organem, który mógł rozstrzygnąć o tym aspekcie sporu” (zob. </w:t>
      </w:r>
      <w:r w:rsidRPr="00212AD6">
        <w:rPr>
          <w:i/>
          <w:lang w:val="pl-PL" w:eastAsia="en-US"/>
        </w:rPr>
        <w:t>Kugler</w:t>
      </w:r>
      <w:r w:rsidRPr="00212AD6">
        <w:rPr>
          <w:lang w:val="pl-PL" w:eastAsia="en-US"/>
        </w:rPr>
        <w:t>, cyt. powyżej</w:t>
      </w:r>
      <w:r w:rsidRPr="00212AD6">
        <w:rPr>
          <w:snapToGrid w:val="0"/>
          <w:szCs w:val="24"/>
          <w:lang w:val="pl-PL" w:eastAsia="en-US"/>
        </w:rPr>
        <w:t>, §§ 50-53</w:t>
      </w:r>
      <w:r w:rsidRPr="00212AD6">
        <w:rPr>
          <w:lang w:val="pl-PL"/>
        </w:rPr>
        <w:t>), w niniejszej sprawie zarówno Sąd Administracyjny, jak i Trybunał Konstytucyjny badały tę samą kwestię  (konstytucyjności).</w:t>
      </w:r>
    </w:p>
    <w:p w14:paraId="45629F49" w14:textId="04130767" w:rsidR="00F767C0" w:rsidRPr="00212AD6" w:rsidRDefault="00F767C0" w:rsidP="00F767C0">
      <w:pPr>
        <w:pStyle w:val="JuPara"/>
        <w:rPr>
          <w:lang w:val="pl-PL"/>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92</w:t>
      </w:r>
      <w:r w:rsidRPr="00212AD6">
        <w:rPr>
          <w:lang w:val="pl-PL"/>
        </w:rPr>
        <w:fldChar w:fldCharType="end"/>
      </w:r>
      <w:r w:rsidRPr="00212AD6">
        <w:rPr>
          <w:lang w:val="pl-PL"/>
        </w:rPr>
        <w:t>.  Uwzględniając powyższe</w:t>
      </w:r>
      <w:r w:rsidR="001326C1">
        <w:rPr>
          <w:lang w:val="pl-PL"/>
        </w:rPr>
        <w:t>,</w:t>
      </w:r>
      <w:r w:rsidRPr="00212AD6">
        <w:rPr>
          <w:lang w:val="pl-PL"/>
        </w:rPr>
        <w:t xml:space="preserve"> Trybunał uznaje, iż w przypadku okoliczności takich, </w:t>
      </w:r>
      <w:r w:rsidR="001326C1">
        <w:rPr>
          <w:lang w:val="pl-PL"/>
        </w:rPr>
        <w:t xml:space="preserve">z </w:t>
      </w:r>
      <w:r w:rsidRPr="00212AD6">
        <w:rPr>
          <w:lang w:val="pl-PL"/>
        </w:rPr>
        <w:t>jak</w:t>
      </w:r>
      <w:r w:rsidR="001326C1">
        <w:rPr>
          <w:lang w:val="pl-PL"/>
        </w:rPr>
        <w:t>imi mamy do czynienia w</w:t>
      </w:r>
      <w:r w:rsidRPr="00212AD6">
        <w:rPr>
          <w:lang w:val="pl-PL"/>
        </w:rPr>
        <w:t xml:space="preserve"> niniejszej sprawie, gdzie skarżąca zrzekła się prawa do</w:t>
      </w:r>
      <w:r w:rsidR="006E4216">
        <w:rPr>
          <w:lang w:val="pl-PL"/>
        </w:rPr>
        <w:t xml:space="preserve"> jawnej</w:t>
      </w:r>
      <w:r w:rsidRPr="00212AD6">
        <w:rPr>
          <w:lang w:val="pl-PL"/>
        </w:rPr>
        <w:t xml:space="preserve"> rozprawy w pierwszej instancji, przepis </w:t>
      </w:r>
      <w:r w:rsidR="00B569A1">
        <w:rPr>
          <w:lang w:val="pl-PL"/>
        </w:rPr>
        <w:t>art.</w:t>
      </w:r>
      <w:r w:rsidRPr="00212AD6">
        <w:rPr>
          <w:lang w:val="pl-PL"/>
        </w:rPr>
        <w:t xml:space="preserve"> 6 ust. 1 Konwencji nie wymaga, by taka rozprawa odbywała się przed sądem wyższej instancji w sytuacji, gdy </w:t>
      </w:r>
      <w:r w:rsidR="00393D34">
        <w:rPr>
          <w:lang w:val="pl-PL"/>
        </w:rPr>
        <w:t xml:space="preserve">zadaniem </w:t>
      </w:r>
      <w:r w:rsidRPr="00212AD6">
        <w:rPr>
          <w:lang w:val="pl-PL"/>
        </w:rPr>
        <w:t>taki</w:t>
      </w:r>
      <w:r w:rsidR="00393D34">
        <w:rPr>
          <w:lang w:val="pl-PL"/>
        </w:rPr>
        <w:t>ego</w:t>
      </w:r>
      <w:r w:rsidRPr="00212AD6">
        <w:rPr>
          <w:lang w:val="pl-PL"/>
        </w:rPr>
        <w:t xml:space="preserve"> sąd</w:t>
      </w:r>
      <w:r w:rsidR="00393D34">
        <w:rPr>
          <w:lang w:val="pl-PL"/>
        </w:rPr>
        <w:t xml:space="preserve">u jest zbadanie tych samych kwestii prawnych, które badał </w:t>
      </w:r>
      <w:r w:rsidRPr="00212AD6">
        <w:rPr>
          <w:lang w:val="pl-PL"/>
        </w:rPr>
        <w:t>sąd pierwszej instancji.</w:t>
      </w:r>
    </w:p>
    <w:p w14:paraId="73858C4F" w14:textId="1977FCE7" w:rsidR="00F767C0" w:rsidRPr="00212AD6" w:rsidRDefault="00F767C0" w:rsidP="00F767C0">
      <w:pPr>
        <w:pStyle w:val="JuPara"/>
        <w:rPr>
          <w:lang w:val="pl-PL"/>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93</w:t>
      </w:r>
      <w:r w:rsidRPr="00212AD6">
        <w:rPr>
          <w:lang w:val="pl-PL"/>
        </w:rPr>
        <w:fldChar w:fldCharType="end"/>
      </w:r>
      <w:r w:rsidRPr="00212AD6">
        <w:rPr>
          <w:lang w:val="pl-PL"/>
        </w:rPr>
        <w:t xml:space="preserve">.  Zatem w niniejszej sprawie nie doszło do naruszenia </w:t>
      </w:r>
      <w:r w:rsidR="00B569A1">
        <w:rPr>
          <w:lang w:val="pl-PL"/>
        </w:rPr>
        <w:t>art.</w:t>
      </w:r>
      <w:r w:rsidRPr="00212AD6">
        <w:rPr>
          <w:lang w:val="pl-PL"/>
        </w:rPr>
        <w:t xml:space="preserve"> 6 ust. 1 Konwencji ze względu na brak </w:t>
      </w:r>
      <w:r w:rsidR="006E4216">
        <w:rPr>
          <w:lang w:val="pl-PL"/>
        </w:rPr>
        <w:t>jawnej</w:t>
      </w:r>
      <w:r w:rsidR="00BB0368" w:rsidRPr="00212AD6">
        <w:rPr>
          <w:lang w:val="pl-PL"/>
        </w:rPr>
        <w:t xml:space="preserve"> </w:t>
      </w:r>
      <w:r w:rsidRPr="00212AD6">
        <w:rPr>
          <w:lang w:val="pl-PL"/>
        </w:rPr>
        <w:t>rozprawy.</w:t>
      </w:r>
    </w:p>
    <w:p w14:paraId="656495E7" w14:textId="2B2DD78D" w:rsidR="00F767C0" w:rsidRPr="00212AD6" w:rsidRDefault="00F767C0" w:rsidP="00F767C0">
      <w:pPr>
        <w:pStyle w:val="JuHIRoman"/>
        <w:rPr>
          <w:lang w:val="pl-PL"/>
        </w:rPr>
      </w:pPr>
      <w:bookmarkStart w:id="12" w:name="HIT5"/>
      <w:bookmarkStart w:id="13" w:name="HIT6"/>
      <w:bookmarkStart w:id="14" w:name="HIT7"/>
      <w:bookmarkStart w:id="15" w:name="HIT8"/>
      <w:bookmarkStart w:id="16" w:name="HIT1"/>
      <w:bookmarkStart w:id="17" w:name="HIT2"/>
      <w:bookmarkEnd w:id="12"/>
      <w:bookmarkEnd w:id="13"/>
      <w:bookmarkEnd w:id="14"/>
      <w:bookmarkEnd w:id="15"/>
      <w:bookmarkEnd w:id="16"/>
      <w:bookmarkEnd w:id="17"/>
      <w:r w:rsidRPr="00212AD6">
        <w:rPr>
          <w:lang w:val="pl-PL"/>
        </w:rPr>
        <w:t xml:space="preserve">II.  POZOSTAŁE ZARZUTY NARUSZENIA </w:t>
      </w:r>
      <w:r w:rsidR="00B569A1">
        <w:rPr>
          <w:lang w:val="pl-PL"/>
        </w:rPr>
        <w:t>ART.</w:t>
      </w:r>
      <w:r w:rsidRPr="00212AD6">
        <w:rPr>
          <w:lang w:val="pl-PL"/>
        </w:rPr>
        <w:t xml:space="preserve"> 6 UST. 1 KONWENCJI</w:t>
      </w:r>
    </w:p>
    <w:p w14:paraId="5ED7ABA3" w14:textId="18B30774" w:rsidR="00F767C0" w:rsidRPr="00212AD6" w:rsidRDefault="00F767C0" w:rsidP="00F767C0">
      <w:pPr>
        <w:pStyle w:val="JuPara"/>
        <w:rPr>
          <w:lang w:val="pl-PL"/>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94</w:t>
      </w:r>
      <w:r w:rsidRPr="00212AD6">
        <w:rPr>
          <w:lang w:val="pl-PL"/>
        </w:rPr>
        <w:fldChar w:fldCharType="end"/>
      </w:r>
      <w:r w:rsidRPr="00212AD6">
        <w:rPr>
          <w:lang w:val="pl-PL"/>
        </w:rPr>
        <w:t xml:space="preserve">.  Skarżąca podniosła następnie zarzut, również w kontekście </w:t>
      </w:r>
      <w:r w:rsidR="00B569A1">
        <w:rPr>
          <w:lang w:val="pl-PL"/>
        </w:rPr>
        <w:t>art.</w:t>
      </w:r>
      <w:r w:rsidRPr="00212AD6">
        <w:rPr>
          <w:lang w:val="pl-PL"/>
        </w:rPr>
        <w:t xml:space="preserve"> 6 ust. 1 Konwencji, dotyczący rezultatów i długości opisanego powyżej postępowania.</w:t>
      </w:r>
    </w:p>
    <w:p w14:paraId="12E07B90" w14:textId="77777777" w:rsidR="00F767C0" w:rsidRPr="00212AD6" w:rsidRDefault="00F767C0" w:rsidP="00F767C0">
      <w:pPr>
        <w:pStyle w:val="JuPara"/>
        <w:rPr>
          <w:lang w:val="pl-PL"/>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95</w:t>
      </w:r>
      <w:r w:rsidRPr="00212AD6">
        <w:rPr>
          <w:lang w:val="pl-PL"/>
        </w:rPr>
        <w:fldChar w:fldCharType="end"/>
      </w:r>
      <w:r w:rsidRPr="00212AD6">
        <w:rPr>
          <w:lang w:val="pl-PL"/>
        </w:rPr>
        <w:t xml:space="preserve">.  W zakresie, w jakim skarżąca zarzuca </w:t>
      </w:r>
      <w:r w:rsidR="00BA4E03" w:rsidRPr="00212AD6">
        <w:rPr>
          <w:lang w:val="pl-PL"/>
        </w:rPr>
        <w:t xml:space="preserve">nadmierny czas trwania </w:t>
      </w:r>
      <w:r w:rsidRPr="00212AD6">
        <w:rPr>
          <w:lang w:val="pl-PL"/>
        </w:rPr>
        <w:t xml:space="preserve">opisanego powyżej postępowania, Trybunał zauważa, że trwało ono krócej </w:t>
      </w:r>
      <w:r w:rsidR="00BA4E03" w:rsidRPr="00212AD6">
        <w:rPr>
          <w:lang w:val="pl-PL"/>
        </w:rPr>
        <w:t>niż</w:t>
      </w:r>
      <w:r w:rsidRPr="00212AD6">
        <w:rPr>
          <w:lang w:val="pl-PL"/>
        </w:rPr>
        <w:t xml:space="preserve"> rok, w którym to </w:t>
      </w:r>
      <w:r w:rsidR="00BA4E03" w:rsidRPr="00212AD6">
        <w:rPr>
          <w:lang w:val="pl-PL"/>
        </w:rPr>
        <w:t>okresie</w:t>
      </w:r>
      <w:r w:rsidRPr="00212AD6">
        <w:rPr>
          <w:lang w:val="pl-PL"/>
        </w:rPr>
        <w:t xml:space="preserve"> sprawa została zbadana w dwóch instancjach. Zatem w świetle kryteriów ustalonych we własnym orzecznictwie w odniesieniu do „r</w:t>
      </w:r>
      <w:r w:rsidR="00BA4E03" w:rsidRPr="00212AD6">
        <w:rPr>
          <w:lang w:val="pl-PL"/>
        </w:rPr>
        <w:t>ozsądnego terminu</w:t>
      </w:r>
      <w:r w:rsidRPr="00212AD6">
        <w:rPr>
          <w:lang w:val="pl-PL"/>
        </w:rPr>
        <w:t xml:space="preserve">” (złożoność sprawy, zachowanie skarżącego i właściwych </w:t>
      </w:r>
      <w:r w:rsidR="00BA4E03" w:rsidRPr="00212AD6">
        <w:rPr>
          <w:lang w:val="pl-PL"/>
        </w:rPr>
        <w:t>władz</w:t>
      </w:r>
      <w:r w:rsidRPr="00212AD6">
        <w:rPr>
          <w:lang w:val="pl-PL"/>
        </w:rPr>
        <w:t xml:space="preserve">) oraz uwzględniając wszystkie </w:t>
      </w:r>
      <w:r w:rsidR="00BA4E03" w:rsidRPr="00212AD6">
        <w:rPr>
          <w:lang w:val="pl-PL"/>
        </w:rPr>
        <w:t>informacje</w:t>
      </w:r>
      <w:r w:rsidRPr="00212AD6">
        <w:rPr>
          <w:lang w:val="pl-PL"/>
        </w:rPr>
        <w:t xml:space="preserve"> znajdujące się w jego </w:t>
      </w:r>
      <w:r w:rsidR="00BA4E03" w:rsidRPr="00212AD6">
        <w:rPr>
          <w:lang w:val="pl-PL"/>
        </w:rPr>
        <w:t>posiadaniu</w:t>
      </w:r>
      <w:r w:rsidRPr="00212AD6">
        <w:rPr>
          <w:lang w:val="pl-PL"/>
        </w:rPr>
        <w:t xml:space="preserve">, Trybunał stwierdza, że okresu tego nie można uznać za </w:t>
      </w:r>
      <w:r w:rsidR="00BA4E03" w:rsidRPr="00212AD6">
        <w:rPr>
          <w:lang w:val="pl-PL"/>
        </w:rPr>
        <w:t>nadmierny</w:t>
      </w:r>
      <w:r w:rsidRPr="00212AD6">
        <w:rPr>
          <w:lang w:val="pl-PL"/>
        </w:rPr>
        <w:t xml:space="preserve">. W </w:t>
      </w:r>
      <w:r w:rsidR="00BA4E03" w:rsidRPr="00212AD6">
        <w:rPr>
          <w:lang w:val="pl-PL"/>
        </w:rPr>
        <w:t>konsekwencji</w:t>
      </w:r>
      <w:r w:rsidRPr="00212AD6">
        <w:rPr>
          <w:lang w:val="pl-PL"/>
        </w:rPr>
        <w:t xml:space="preserve"> długość postępowania w niniejszej sprawie nie była nierozsądna.</w:t>
      </w:r>
    </w:p>
    <w:p w14:paraId="48F0F3A4" w14:textId="2731AEB4" w:rsidR="00F767C0" w:rsidRPr="00212AD6" w:rsidRDefault="00F767C0" w:rsidP="00F767C0">
      <w:pPr>
        <w:pStyle w:val="JuPara"/>
        <w:rPr>
          <w:lang w:val="pl-PL" w:eastAsia="en-GB"/>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96</w:t>
      </w:r>
      <w:r w:rsidRPr="00212AD6">
        <w:rPr>
          <w:lang w:val="pl-PL"/>
        </w:rPr>
        <w:fldChar w:fldCharType="end"/>
      </w:r>
      <w:r w:rsidRPr="00212AD6">
        <w:rPr>
          <w:lang w:val="pl-PL"/>
        </w:rPr>
        <w:t xml:space="preserve">.  Trybunał </w:t>
      </w:r>
      <w:r w:rsidR="00BA4E03" w:rsidRPr="00212AD6">
        <w:rPr>
          <w:lang w:val="pl-PL"/>
        </w:rPr>
        <w:t>przypomina ponadto</w:t>
      </w:r>
      <w:r w:rsidRPr="00212AD6">
        <w:rPr>
          <w:lang w:val="pl-PL"/>
        </w:rPr>
        <w:t xml:space="preserve">, że nie ma możności badania rezultatów postępowania w kontekście </w:t>
      </w:r>
      <w:r w:rsidR="00B569A1">
        <w:rPr>
          <w:lang w:val="pl-PL"/>
        </w:rPr>
        <w:t>art.</w:t>
      </w:r>
      <w:r w:rsidRPr="00212AD6">
        <w:rPr>
          <w:lang w:val="pl-PL"/>
        </w:rPr>
        <w:t xml:space="preserve"> 6 ust. 1 Konwencji,  chyba że rezultat taki miał</w:t>
      </w:r>
      <w:r w:rsidR="002160C7">
        <w:rPr>
          <w:lang w:val="pl-PL"/>
        </w:rPr>
        <w:t>by</w:t>
      </w:r>
      <w:r w:rsidRPr="00212AD6">
        <w:rPr>
          <w:lang w:val="pl-PL"/>
        </w:rPr>
        <w:t xml:space="preserve"> charakter arbitralny</w:t>
      </w:r>
      <w:r w:rsidRPr="00212AD6">
        <w:rPr>
          <w:lang w:val="pl-PL" w:eastAsia="en-GB"/>
        </w:rPr>
        <w:t>.</w:t>
      </w:r>
      <w:r w:rsidRPr="00212AD6" w:rsidDel="00CA7247">
        <w:rPr>
          <w:lang w:val="pl-PL"/>
        </w:rPr>
        <w:t xml:space="preserve"> </w:t>
      </w:r>
      <w:r w:rsidRPr="00212AD6">
        <w:rPr>
          <w:lang w:val="pl-PL"/>
        </w:rPr>
        <w:t xml:space="preserve">W świetle wszystkich materiałów będących w jego posiadaniu Trybunał uznaje, że niniejsza sprawa </w:t>
      </w:r>
      <w:r w:rsidR="00200AAC">
        <w:rPr>
          <w:lang w:val="pl-PL"/>
        </w:rPr>
        <w:t xml:space="preserve">nie posiada znamion </w:t>
      </w:r>
      <w:r w:rsidRPr="00212AD6">
        <w:rPr>
          <w:lang w:val="pl-PL"/>
        </w:rPr>
        <w:t xml:space="preserve">arbitralności. </w:t>
      </w:r>
      <w:r w:rsidRPr="00212AD6">
        <w:rPr>
          <w:lang w:val="pl-PL" w:eastAsia="en-GB"/>
        </w:rPr>
        <w:t>Skarżąca miała możliwość przedstawienia swoich argumentów przed sądami, które odniosły się do takich argumentów</w:t>
      </w:r>
      <w:r w:rsidR="002160C7">
        <w:rPr>
          <w:lang w:val="pl-PL" w:eastAsia="en-GB"/>
        </w:rPr>
        <w:t xml:space="preserve"> w</w:t>
      </w:r>
      <w:r w:rsidRPr="00212AD6">
        <w:rPr>
          <w:lang w:val="pl-PL" w:eastAsia="en-GB"/>
        </w:rPr>
        <w:t xml:space="preserve"> decyzjach należycie uzasadnionych i niearbitralnych.</w:t>
      </w:r>
    </w:p>
    <w:p w14:paraId="5EBFBA7C" w14:textId="1E1619EA" w:rsidR="00F767C0" w:rsidRPr="00212AD6" w:rsidRDefault="00F767C0" w:rsidP="00F767C0">
      <w:pPr>
        <w:pStyle w:val="JuPara"/>
        <w:rPr>
          <w:lang w:val="pl-PL"/>
        </w:rPr>
      </w:pPr>
      <w:r w:rsidRPr="00212AD6">
        <w:rPr>
          <w:lang w:val="pl-PL" w:eastAsia="en-GB"/>
        </w:rPr>
        <w:fldChar w:fldCharType="begin"/>
      </w:r>
      <w:r w:rsidRPr="00212AD6">
        <w:rPr>
          <w:lang w:val="pl-PL" w:eastAsia="en-GB"/>
        </w:rPr>
        <w:instrText xml:space="preserve"> SEQ level0 \*arabic </w:instrText>
      </w:r>
      <w:r w:rsidRPr="00212AD6">
        <w:rPr>
          <w:lang w:val="pl-PL" w:eastAsia="en-GB"/>
        </w:rPr>
        <w:fldChar w:fldCharType="separate"/>
      </w:r>
      <w:r w:rsidRPr="00212AD6">
        <w:rPr>
          <w:noProof/>
          <w:lang w:val="pl-PL" w:eastAsia="en-GB"/>
        </w:rPr>
        <w:t>97</w:t>
      </w:r>
      <w:r w:rsidRPr="00212AD6">
        <w:rPr>
          <w:lang w:val="pl-PL" w:eastAsia="en-GB"/>
        </w:rPr>
        <w:fldChar w:fldCharType="end"/>
      </w:r>
      <w:r w:rsidRPr="00212AD6">
        <w:rPr>
          <w:lang w:val="pl-PL" w:eastAsia="en-GB"/>
        </w:rPr>
        <w:t>.  </w:t>
      </w:r>
      <w:r w:rsidRPr="00212AD6">
        <w:rPr>
          <w:lang w:val="pl-PL"/>
        </w:rPr>
        <w:t xml:space="preserve">Z powyższego wynika, że </w:t>
      </w:r>
      <w:r w:rsidR="007855C0">
        <w:rPr>
          <w:lang w:val="pl-PL"/>
        </w:rPr>
        <w:t>skarga w odniesieniu do tych zarzutów</w:t>
      </w:r>
      <w:r w:rsidRPr="00212AD6">
        <w:rPr>
          <w:lang w:val="pl-PL"/>
        </w:rPr>
        <w:t xml:space="preserve"> </w:t>
      </w:r>
      <w:r w:rsidR="007855C0">
        <w:rPr>
          <w:lang w:val="pl-PL"/>
        </w:rPr>
        <w:t>jest niedopuszczalna</w:t>
      </w:r>
      <w:r w:rsidRPr="00212AD6">
        <w:rPr>
          <w:lang w:val="pl-PL"/>
        </w:rPr>
        <w:t xml:space="preserve"> </w:t>
      </w:r>
      <w:r w:rsidR="002160C7">
        <w:rPr>
          <w:lang w:val="pl-PL"/>
        </w:rPr>
        <w:t>na gruncie</w:t>
      </w:r>
      <w:r w:rsidRPr="00212AD6">
        <w:rPr>
          <w:lang w:val="pl-PL"/>
        </w:rPr>
        <w:t xml:space="preserve"> </w:t>
      </w:r>
      <w:r w:rsidR="00B569A1">
        <w:rPr>
          <w:lang w:val="pl-PL"/>
        </w:rPr>
        <w:t>art.</w:t>
      </w:r>
      <w:r w:rsidRPr="00212AD6">
        <w:rPr>
          <w:lang w:val="pl-PL"/>
        </w:rPr>
        <w:t> </w:t>
      </w:r>
      <w:r w:rsidRPr="00212AD6">
        <w:rPr>
          <w:bCs/>
          <w:lang w:val="pl-PL"/>
        </w:rPr>
        <w:t>35 ust.</w:t>
      </w:r>
      <w:r w:rsidRPr="00212AD6">
        <w:rPr>
          <w:lang w:val="pl-PL"/>
        </w:rPr>
        <w:t> </w:t>
      </w:r>
      <w:r w:rsidRPr="00212AD6">
        <w:rPr>
          <w:bCs/>
          <w:lang w:val="pl-PL"/>
        </w:rPr>
        <w:t>3 </w:t>
      </w:r>
      <w:r w:rsidR="002160C7">
        <w:rPr>
          <w:bCs/>
          <w:lang w:val="pl-PL"/>
        </w:rPr>
        <w:t xml:space="preserve">lit. </w:t>
      </w:r>
      <w:r w:rsidRPr="00212AD6">
        <w:rPr>
          <w:bCs/>
          <w:lang w:val="pl-PL"/>
        </w:rPr>
        <w:t>a) Konwencji</w:t>
      </w:r>
      <w:r w:rsidRPr="00212AD6">
        <w:rPr>
          <w:lang w:val="pl-PL"/>
        </w:rPr>
        <w:t xml:space="preserve"> jako </w:t>
      </w:r>
      <w:r w:rsidR="00FF1F42">
        <w:rPr>
          <w:lang w:val="pl-PL"/>
        </w:rPr>
        <w:t>w</w:t>
      </w:r>
      <w:r w:rsidR="007855C0">
        <w:rPr>
          <w:lang w:val="pl-PL"/>
        </w:rPr>
        <w:t xml:space="preserve"> sposób oczywisty nieuzasadniona</w:t>
      </w:r>
      <w:r w:rsidR="00FF1F42">
        <w:rPr>
          <w:lang w:val="pl-PL"/>
        </w:rPr>
        <w:t xml:space="preserve"> </w:t>
      </w:r>
      <w:r w:rsidR="007855C0">
        <w:rPr>
          <w:lang w:val="pl-PL"/>
        </w:rPr>
        <w:t>i musi zostać odrzucona</w:t>
      </w:r>
      <w:r w:rsidRPr="00212AD6">
        <w:rPr>
          <w:lang w:val="pl-PL"/>
        </w:rPr>
        <w:t xml:space="preserve"> zgodnie z </w:t>
      </w:r>
      <w:r w:rsidR="00B569A1">
        <w:rPr>
          <w:lang w:val="pl-PL"/>
        </w:rPr>
        <w:t>art.</w:t>
      </w:r>
      <w:r w:rsidRPr="00212AD6">
        <w:rPr>
          <w:lang w:val="pl-PL"/>
        </w:rPr>
        <w:t> 35 ust. 4 Konwencji.</w:t>
      </w:r>
    </w:p>
    <w:p w14:paraId="7C621410" w14:textId="50ECD9C8" w:rsidR="00F767C0" w:rsidRPr="00212AD6" w:rsidRDefault="00F767C0" w:rsidP="00F767C0">
      <w:pPr>
        <w:pStyle w:val="JuHIRoman"/>
        <w:rPr>
          <w:lang w:val="pl-PL"/>
        </w:rPr>
      </w:pPr>
      <w:r w:rsidRPr="00212AD6">
        <w:rPr>
          <w:lang w:val="pl-PL"/>
        </w:rPr>
        <w:lastRenderedPageBreak/>
        <w:t xml:space="preserve">III.  ZARZUT NARUSZENIA </w:t>
      </w:r>
      <w:r w:rsidR="00B569A1">
        <w:rPr>
          <w:lang w:val="pl-PL"/>
        </w:rPr>
        <w:t>ART.</w:t>
      </w:r>
      <w:r w:rsidRPr="00212AD6">
        <w:rPr>
          <w:lang w:val="pl-PL"/>
        </w:rPr>
        <w:t xml:space="preserve"> 13 KONWENCJI</w:t>
      </w:r>
    </w:p>
    <w:p w14:paraId="59A8B507" w14:textId="296BBB34" w:rsidR="00F767C0" w:rsidRPr="00212AD6" w:rsidRDefault="00F767C0" w:rsidP="00F767C0">
      <w:pPr>
        <w:pStyle w:val="JuPara"/>
        <w:rPr>
          <w:lang w:val="pl-PL"/>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98</w:t>
      </w:r>
      <w:r w:rsidRPr="00212AD6">
        <w:rPr>
          <w:lang w:val="pl-PL"/>
        </w:rPr>
        <w:fldChar w:fldCharType="end"/>
      </w:r>
      <w:r w:rsidRPr="00212AD6">
        <w:rPr>
          <w:lang w:val="pl-PL"/>
        </w:rPr>
        <w:t xml:space="preserve">.  Skarżąca podniosła także zarzut, bez dalszego uzasadnienia, że nie </w:t>
      </w:r>
      <w:r w:rsidR="00BA4E03" w:rsidRPr="00212AD6">
        <w:rPr>
          <w:lang w:val="pl-PL"/>
        </w:rPr>
        <w:t>przysługiwał</w:t>
      </w:r>
      <w:r w:rsidRPr="00212AD6">
        <w:rPr>
          <w:lang w:val="pl-PL"/>
        </w:rPr>
        <w:t xml:space="preserve"> jej skuteczny środek odwoławczy. Powołała się na </w:t>
      </w:r>
      <w:r w:rsidR="00B569A1">
        <w:rPr>
          <w:lang w:val="pl-PL"/>
        </w:rPr>
        <w:t>art.</w:t>
      </w:r>
      <w:r w:rsidRPr="00212AD6">
        <w:rPr>
          <w:lang w:val="pl-PL"/>
        </w:rPr>
        <w:t> 13 Konwencji, który brzmi następująco:</w:t>
      </w:r>
    </w:p>
    <w:p w14:paraId="3835BA44" w14:textId="77777777" w:rsidR="00F767C0" w:rsidRPr="00212AD6" w:rsidRDefault="00F767C0" w:rsidP="00F767C0">
      <w:pPr>
        <w:jc w:val="both"/>
        <w:rPr>
          <w:lang w:val="pl-PL"/>
        </w:rPr>
      </w:pPr>
    </w:p>
    <w:p w14:paraId="00378BB0" w14:textId="77777777" w:rsidR="00F767C0" w:rsidRPr="00212AD6" w:rsidRDefault="00F767C0" w:rsidP="00C02B33">
      <w:pPr>
        <w:ind w:left="284" w:firstLine="284"/>
        <w:jc w:val="both"/>
        <w:rPr>
          <w:sz w:val="20"/>
          <w:lang w:val="pl-PL"/>
        </w:rPr>
      </w:pPr>
      <w:r w:rsidRPr="00C02B33">
        <w:rPr>
          <w:sz w:val="20"/>
          <w:lang w:val="pl-PL"/>
        </w:rPr>
        <w:t>„Każdy, kogo prawa i wolności zawarte w niniejszej Konwencji zostały naruszone, ma prawo do skutecznego środka odwoławczego do właściwego organu państwowego także wówczas, gdy naruszenia dokonały osoby wykonujące swoje funkcje urzędowe.”</w:t>
      </w:r>
    </w:p>
    <w:p w14:paraId="6DF68F44" w14:textId="77777777" w:rsidR="00F767C0" w:rsidRPr="00212AD6" w:rsidRDefault="00F767C0" w:rsidP="00F767C0">
      <w:pPr>
        <w:pStyle w:val="JuPara"/>
        <w:rPr>
          <w:lang w:val="pl-PL"/>
        </w:rPr>
      </w:pPr>
    </w:p>
    <w:p w14:paraId="26E3039D" w14:textId="24F982CC" w:rsidR="00F767C0" w:rsidRPr="00212AD6" w:rsidRDefault="00F767C0" w:rsidP="00F767C0">
      <w:pPr>
        <w:pStyle w:val="JuPara"/>
        <w:rPr>
          <w:lang w:val="pl-PL"/>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99</w:t>
      </w:r>
      <w:r w:rsidRPr="00212AD6">
        <w:rPr>
          <w:lang w:val="pl-PL"/>
        </w:rPr>
        <w:fldChar w:fldCharType="end"/>
      </w:r>
      <w:r w:rsidRPr="00212AD6">
        <w:rPr>
          <w:lang w:val="pl-PL"/>
        </w:rPr>
        <w:t xml:space="preserve">.  W pierwszej kolejności Trybunał zauważa, że skarżącej przysługiwał środek odwoławczy polegający na zakwestionowaniu decyzji Parlamentu z dnia 9 maja 2008 r., mianowicie możliwość złożenia wniosku o ochronę prawa gwarantowanego przez </w:t>
      </w:r>
      <w:r w:rsidR="00B569A1" w:rsidRPr="00212AD6">
        <w:rPr>
          <w:lang w:val="pl-PL"/>
        </w:rPr>
        <w:t>Konstytucję</w:t>
      </w:r>
      <w:r w:rsidR="00B569A1">
        <w:rPr>
          <w:lang w:val="pl-PL"/>
        </w:rPr>
        <w:t>,</w:t>
      </w:r>
      <w:r w:rsidR="00B569A1" w:rsidRPr="00212AD6">
        <w:rPr>
          <w:lang w:val="pl-PL"/>
        </w:rPr>
        <w:t xml:space="preserve"> </w:t>
      </w:r>
      <w:r w:rsidRPr="00212AD6">
        <w:rPr>
          <w:lang w:val="pl-PL"/>
        </w:rPr>
        <w:t>i że skarżąca skutecznie skorzystała z tego środka.</w:t>
      </w:r>
    </w:p>
    <w:p w14:paraId="6E0E7314" w14:textId="25361E69" w:rsidR="00F767C0" w:rsidRPr="00212AD6" w:rsidRDefault="00F767C0" w:rsidP="00F767C0">
      <w:pPr>
        <w:pStyle w:val="JuPara"/>
        <w:rPr>
          <w:lang w:val="pl-PL"/>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100</w:t>
      </w:r>
      <w:r w:rsidRPr="00212AD6">
        <w:rPr>
          <w:lang w:val="pl-PL"/>
        </w:rPr>
        <w:fldChar w:fldCharType="end"/>
      </w:r>
      <w:r w:rsidRPr="00212AD6">
        <w:rPr>
          <w:lang w:val="pl-PL"/>
        </w:rPr>
        <w:t xml:space="preserve">.  W zakresie, w jakim można przyjąć, że skarżąca podnosi zarzut braku środka odwoławczego od decyzji Trybunału Konstytucyjnego z dnia 30 kwietnia 2009 r., Trybunał przypomina, że w sytuacjach takich, z jakimi mamy do czynienia w niniejszej sprawie, gdzie skarżąca podnosi zarzut naruszenia praw zawartych w Konwencji przez organ sądowy pełniący w krajowym systemie prawnym rolę ostatniej instancji, zastosowanie </w:t>
      </w:r>
      <w:r w:rsidR="00B569A1">
        <w:rPr>
          <w:lang w:val="pl-PL"/>
        </w:rPr>
        <w:t>art.</w:t>
      </w:r>
      <w:r w:rsidRPr="00212AD6">
        <w:rPr>
          <w:lang w:val="pl-PL"/>
        </w:rPr>
        <w:t xml:space="preserve"> 13 jest w sposób dorozumiany ograniczone (zob. </w:t>
      </w:r>
      <w:r w:rsidRPr="00212AD6">
        <w:rPr>
          <w:i/>
          <w:lang w:val="pl-PL"/>
        </w:rPr>
        <w:t>mutatis mutandis</w:t>
      </w:r>
      <w:r w:rsidRPr="00212AD6">
        <w:rPr>
          <w:lang w:val="pl-PL"/>
        </w:rPr>
        <w:t xml:space="preserve"> </w:t>
      </w:r>
      <w:r w:rsidRPr="00212AD6">
        <w:rPr>
          <w:i/>
          <w:lang w:val="pl-PL"/>
        </w:rPr>
        <w:t xml:space="preserve">Times </w:t>
      </w:r>
      <w:proofErr w:type="spellStart"/>
      <w:r w:rsidRPr="00212AD6">
        <w:rPr>
          <w:i/>
          <w:lang w:val="pl-PL"/>
        </w:rPr>
        <w:t>Newspapers</w:t>
      </w:r>
      <w:proofErr w:type="spellEnd"/>
      <w:r w:rsidRPr="00212AD6">
        <w:rPr>
          <w:i/>
          <w:lang w:val="pl-PL"/>
        </w:rPr>
        <w:t xml:space="preserve"> Ltd.</w:t>
      </w:r>
      <w:r w:rsidR="00646DAF">
        <w:rPr>
          <w:i/>
          <w:lang w:val="pl-PL"/>
        </w:rPr>
        <w:t xml:space="preserve"> i </w:t>
      </w:r>
      <w:r w:rsidRPr="00212AD6">
        <w:rPr>
          <w:i/>
          <w:lang w:val="pl-PL"/>
        </w:rPr>
        <w:t>Andrew Neil przeciwko Zjednoczonemu Królestwu</w:t>
      </w:r>
      <w:r w:rsidRPr="00212AD6">
        <w:rPr>
          <w:lang w:val="pl-PL"/>
        </w:rPr>
        <w:t xml:space="preserve">, nr 14644/89, raport Komisji z dnia 8 października 1991, </w:t>
      </w:r>
      <w:proofErr w:type="spellStart"/>
      <w:r w:rsidRPr="00212AD6">
        <w:rPr>
          <w:i/>
          <w:lang w:val="pl-PL"/>
        </w:rPr>
        <w:t>Decisions</w:t>
      </w:r>
      <w:proofErr w:type="spellEnd"/>
      <w:r w:rsidRPr="00212AD6">
        <w:rPr>
          <w:i/>
          <w:lang w:val="pl-PL"/>
        </w:rPr>
        <w:t xml:space="preserve"> </w:t>
      </w:r>
      <w:r w:rsidRPr="00746C6D">
        <w:rPr>
          <w:i/>
          <w:lang w:val="pl-PL"/>
        </w:rPr>
        <w:t xml:space="preserve">and </w:t>
      </w:r>
      <w:proofErr w:type="spellStart"/>
      <w:r w:rsidRPr="00746C6D">
        <w:rPr>
          <w:i/>
          <w:lang w:val="pl-PL"/>
        </w:rPr>
        <w:t>Reports</w:t>
      </w:r>
      <w:proofErr w:type="spellEnd"/>
      <w:r w:rsidRPr="00746C6D">
        <w:rPr>
          <w:lang w:val="pl-PL"/>
        </w:rPr>
        <w:t xml:space="preserve"> (DR) 73, § 41 na str. 58</w:t>
      </w:r>
      <w:r w:rsidR="00B569A1">
        <w:rPr>
          <w:lang w:val="pl-PL"/>
        </w:rPr>
        <w:t>,</w:t>
      </w:r>
      <w:r w:rsidRPr="00746C6D">
        <w:rPr>
          <w:lang w:val="pl-PL"/>
        </w:rPr>
        <w:t xml:space="preserve"> oraz </w:t>
      </w:r>
      <w:proofErr w:type="spellStart"/>
      <w:r w:rsidRPr="00746C6D">
        <w:rPr>
          <w:i/>
          <w:lang w:val="pl-PL"/>
        </w:rPr>
        <w:t>Crociani</w:t>
      </w:r>
      <w:proofErr w:type="spellEnd"/>
      <w:r w:rsidRPr="00746C6D">
        <w:rPr>
          <w:i/>
          <w:lang w:val="pl-PL"/>
        </w:rPr>
        <w:t xml:space="preserve"> et al. przeciwko Włochom</w:t>
      </w:r>
      <w:r w:rsidRPr="00746C6D">
        <w:rPr>
          <w:lang w:val="pl-PL"/>
        </w:rPr>
        <w:t>, nr 8603/79, 8722/79, 8723/79 &amp; 8729/79 (</w:t>
      </w:r>
      <w:r w:rsidR="00C02B33" w:rsidRPr="00746C6D">
        <w:rPr>
          <w:lang w:val="pl-PL"/>
        </w:rPr>
        <w:t>połączone</w:t>
      </w:r>
      <w:r w:rsidRPr="00746C6D">
        <w:rPr>
          <w:lang w:val="pl-PL"/>
        </w:rPr>
        <w:t xml:space="preserve">), </w:t>
      </w:r>
      <w:r w:rsidR="00BA4E03" w:rsidRPr="00746C6D">
        <w:rPr>
          <w:lang w:val="pl-PL"/>
        </w:rPr>
        <w:t>decyzja</w:t>
      </w:r>
      <w:r w:rsidRPr="00746C6D">
        <w:rPr>
          <w:lang w:val="pl-PL"/>
        </w:rPr>
        <w:t xml:space="preserve"> Komisji z dnia 18 grudnia 1980 r., DR 22, str. 224, § 15). Z tego względu brak środka odwoławczego od decyzji Trybunału Konstytucyjnego nie rodzi problemu w kontekście </w:t>
      </w:r>
      <w:r w:rsidR="00B569A1">
        <w:rPr>
          <w:lang w:val="pl-PL"/>
        </w:rPr>
        <w:t>art.</w:t>
      </w:r>
      <w:r w:rsidRPr="00746C6D">
        <w:rPr>
          <w:lang w:val="pl-PL"/>
        </w:rPr>
        <w:t xml:space="preserve"> 13 Konwencji (zob. </w:t>
      </w:r>
      <w:proofErr w:type="spellStart"/>
      <w:r w:rsidRPr="00746C6D">
        <w:rPr>
          <w:i/>
          <w:lang w:val="pl-PL" w:eastAsia="en-US"/>
        </w:rPr>
        <w:t>Wendenburg</w:t>
      </w:r>
      <w:proofErr w:type="spellEnd"/>
      <w:r w:rsidRPr="00746C6D">
        <w:rPr>
          <w:i/>
          <w:lang w:val="pl-PL" w:eastAsia="en-US"/>
        </w:rPr>
        <w:t xml:space="preserve"> i Inni przeciwko</w:t>
      </w:r>
      <w:r w:rsidRPr="00212AD6">
        <w:rPr>
          <w:i/>
          <w:lang w:val="pl-PL" w:eastAsia="en-US"/>
        </w:rPr>
        <w:t xml:space="preserve"> Niemcom </w:t>
      </w:r>
      <w:r w:rsidRPr="00212AD6">
        <w:rPr>
          <w:lang w:val="pl-PL" w:eastAsia="en-US"/>
        </w:rPr>
        <w:t>(</w:t>
      </w:r>
      <w:proofErr w:type="spellStart"/>
      <w:r w:rsidRPr="00212AD6">
        <w:rPr>
          <w:lang w:val="pl-PL" w:eastAsia="en-US"/>
        </w:rPr>
        <w:t>dec</w:t>
      </w:r>
      <w:proofErr w:type="spellEnd"/>
      <w:r w:rsidRPr="00212AD6">
        <w:rPr>
          <w:lang w:val="pl-PL" w:eastAsia="en-US"/>
        </w:rPr>
        <w:t xml:space="preserve">.), nr 71630/01, </w:t>
      </w:r>
      <w:proofErr w:type="spellStart"/>
      <w:r w:rsidRPr="00212AD6">
        <w:rPr>
          <w:lang w:val="pl-PL" w:eastAsia="en-US"/>
        </w:rPr>
        <w:t>ETPCz</w:t>
      </w:r>
      <w:proofErr w:type="spellEnd"/>
      <w:r w:rsidRPr="00212AD6">
        <w:rPr>
          <w:lang w:val="pl-PL" w:eastAsia="en-US"/>
        </w:rPr>
        <w:t xml:space="preserve"> 2003</w:t>
      </w:r>
      <w:r w:rsidRPr="00212AD6">
        <w:rPr>
          <w:lang w:val="pl-PL" w:eastAsia="en-US"/>
        </w:rPr>
        <w:noBreakHyphen/>
        <w:t>II</w:t>
      </w:r>
      <w:r w:rsidRPr="00212AD6">
        <w:rPr>
          <w:lang w:val="pl-PL"/>
        </w:rPr>
        <w:t>).</w:t>
      </w:r>
    </w:p>
    <w:p w14:paraId="3B61A653" w14:textId="0BF0FB9F" w:rsidR="00F767C0" w:rsidRPr="00212AD6" w:rsidRDefault="00F767C0" w:rsidP="00F767C0">
      <w:pPr>
        <w:pStyle w:val="JuPara"/>
        <w:rPr>
          <w:lang w:val="pl-PL"/>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101</w:t>
      </w:r>
      <w:r w:rsidRPr="00212AD6">
        <w:rPr>
          <w:lang w:val="pl-PL"/>
        </w:rPr>
        <w:fldChar w:fldCharType="end"/>
      </w:r>
      <w:r w:rsidRPr="00212AD6">
        <w:rPr>
          <w:lang w:val="pl-PL"/>
        </w:rPr>
        <w:t xml:space="preserve">.  Z powyższego wynika, że </w:t>
      </w:r>
      <w:r w:rsidR="007855C0">
        <w:rPr>
          <w:lang w:val="pl-PL"/>
        </w:rPr>
        <w:t xml:space="preserve">skarga w odniesieniu do tego </w:t>
      </w:r>
      <w:r w:rsidRPr="00212AD6">
        <w:rPr>
          <w:lang w:val="pl-PL"/>
        </w:rPr>
        <w:t>zarzut</w:t>
      </w:r>
      <w:r w:rsidR="007855C0">
        <w:rPr>
          <w:lang w:val="pl-PL"/>
        </w:rPr>
        <w:t>u</w:t>
      </w:r>
      <w:r w:rsidRPr="00212AD6">
        <w:rPr>
          <w:lang w:val="pl-PL"/>
        </w:rPr>
        <w:t xml:space="preserve"> </w:t>
      </w:r>
      <w:r w:rsidR="007855C0">
        <w:rPr>
          <w:lang w:val="pl-PL"/>
        </w:rPr>
        <w:t>jest niedopuszczalna</w:t>
      </w:r>
      <w:r w:rsidRPr="00212AD6">
        <w:rPr>
          <w:lang w:val="pl-PL"/>
        </w:rPr>
        <w:t xml:space="preserve"> w świetle </w:t>
      </w:r>
      <w:r w:rsidR="00B569A1">
        <w:rPr>
          <w:lang w:val="pl-PL"/>
        </w:rPr>
        <w:t>art.</w:t>
      </w:r>
      <w:r w:rsidRPr="00212AD6">
        <w:rPr>
          <w:lang w:val="pl-PL"/>
        </w:rPr>
        <w:t> </w:t>
      </w:r>
      <w:r w:rsidRPr="00212AD6">
        <w:rPr>
          <w:bCs/>
          <w:lang w:val="pl-PL"/>
        </w:rPr>
        <w:t>35 ust.</w:t>
      </w:r>
      <w:r w:rsidRPr="00212AD6">
        <w:rPr>
          <w:lang w:val="pl-PL"/>
        </w:rPr>
        <w:t> </w:t>
      </w:r>
      <w:r w:rsidRPr="00212AD6">
        <w:rPr>
          <w:bCs/>
          <w:lang w:val="pl-PL"/>
        </w:rPr>
        <w:t>3 </w:t>
      </w:r>
      <w:r w:rsidR="00B569A1">
        <w:rPr>
          <w:bCs/>
          <w:lang w:val="pl-PL"/>
        </w:rPr>
        <w:t xml:space="preserve">lit. </w:t>
      </w:r>
      <w:r w:rsidRPr="00212AD6">
        <w:rPr>
          <w:bCs/>
          <w:lang w:val="pl-PL"/>
        </w:rPr>
        <w:t>a) Konwencji</w:t>
      </w:r>
      <w:r w:rsidRPr="00212AD6">
        <w:rPr>
          <w:lang w:val="pl-PL"/>
        </w:rPr>
        <w:t xml:space="preserve"> jako </w:t>
      </w:r>
      <w:r w:rsidR="00B569A1">
        <w:rPr>
          <w:lang w:val="pl-PL"/>
        </w:rPr>
        <w:t>w</w:t>
      </w:r>
      <w:r w:rsidR="007855C0">
        <w:rPr>
          <w:lang w:val="pl-PL"/>
        </w:rPr>
        <w:t xml:space="preserve"> sposób oczywisty nieuzasadniona</w:t>
      </w:r>
      <w:r w:rsidR="00B569A1">
        <w:rPr>
          <w:lang w:val="pl-PL"/>
        </w:rPr>
        <w:t xml:space="preserve"> </w:t>
      </w:r>
      <w:r w:rsidR="007855C0">
        <w:rPr>
          <w:lang w:val="pl-PL"/>
        </w:rPr>
        <w:t>i musi zostać odrzucona</w:t>
      </w:r>
      <w:r w:rsidRPr="00212AD6">
        <w:rPr>
          <w:lang w:val="pl-PL"/>
        </w:rPr>
        <w:t xml:space="preserve"> zgodnie z </w:t>
      </w:r>
      <w:r w:rsidR="00B569A1">
        <w:rPr>
          <w:lang w:val="pl-PL"/>
        </w:rPr>
        <w:t>art.</w:t>
      </w:r>
      <w:r w:rsidRPr="00212AD6">
        <w:rPr>
          <w:lang w:val="pl-PL"/>
        </w:rPr>
        <w:t> 35 ust. 4 Konwencji.</w:t>
      </w:r>
    </w:p>
    <w:p w14:paraId="2C3692E6" w14:textId="77777777" w:rsidR="00F767C0" w:rsidRPr="00212AD6" w:rsidRDefault="00F767C0" w:rsidP="00F767C0">
      <w:pPr>
        <w:pStyle w:val="JuParaChar1"/>
        <w:rPr>
          <w:rFonts w:ascii="Times New Roman" w:hAnsi="Times New Roman" w:cs="Times New Roman"/>
          <w:lang w:val="pl-PL"/>
        </w:rPr>
      </w:pPr>
    </w:p>
    <w:p w14:paraId="44AE45BD" w14:textId="36F1B005" w:rsidR="00F767C0" w:rsidRPr="00212AD6" w:rsidRDefault="00F767C0" w:rsidP="00F767C0">
      <w:pPr>
        <w:pStyle w:val="JuHIRoman"/>
        <w:rPr>
          <w:lang w:val="pl-PL"/>
        </w:rPr>
      </w:pPr>
      <w:r w:rsidRPr="00212AD6">
        <w:rPr>
          <w:lang w:val="pl-PL"/>
        </w:rPr>
        <w:t xml:space="preserve">IV. ZARZUT NARUSZENIA </w:t>
      </w:r>
      <w:r w:rsidR="00B569A1">
        <w:rPr>
          <w:lang w:val="pl-PL"/>
        </w:rPr>
        <w:t>ART.</w:t>
      </w:r>
      <w:r w:rsidRPr="00212AD6">
        <w:rPr>
          <w:lang w:val="pl-PL"/>
        </w:rPr>
        <w:t xml:space="preserve"> 14 KONWENCJI</w:t>
      </w:r>
    </w:p>
    <w:p w14:paraId="6CB648BC" w14:textId="70FA7E90" w:rsidR="00F767C0" w:rsidRPr="00212AD6" w:rsidRDefault="00F767C0" w:rsidP="00F767C0">
      <w:pPr>
        <w:pStyle w:val="JuPara"/>
        <w:rPr>
          <w:lang w:val="pl-PL"/>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102</w:t>
      </w:r>
      <w:r w:rsidRPr="00212AD6">
        <w:rPr>
          <w:lang w:val="pl-PL"/>
        </w:rPr>
        <w:fldChar w:fldCharType="end"/>
      </w:r>
      <w:r w:rsidRPr="00212AD6">
        <w:rPr>
          <w:lang w:val="pl-PL"/>
        </w:rPr>
        <w:t xml:space="preserve">.  Ostatecznie skarżąca podniosła zarzut, również bez dalszego uzasadnienia, że była  dyskryminowana. Powołała się na </w:t>
      </w:r>
      <w:r w:rsidR="00B569A1">
        <w:rPr>
          <w:lang w:val="pl-PL"/>
        </w:rPr>
        <w:t>art.</w:t>
      </w:r>
      <w:r w:rsidRPr="00212AD6">
        <w:rPr>
          <w:lang w:val="pl-PL"/>
        </w:rPr>
        <w:t xml:space="preserve"> 14 Konwencji, który brzmi następująco:</w:t>
      </w:r>
    </w:p>
    <w:p w14:paraId="281155C6" w14:textId="77777777" w:rsidR="00F767C0" w:rsidRPr="00746C6D" w:rsidRDefault="00F767C0" w:rsidP="00F767C0">
      <w:pPr>
        <w:pStyle w:val="JuQuot"/>
        <w:rPr>
          <w:lang w:val="pl-PL"/>
        </w:rPr>
      </w:pPr>
      <w:r w:rsidRPr="00212AD6">
        <w:rPr>
          <w:lang w:val="pl-PL"/>
        </w:rPr>
        <w:t xml:space="preserve">„Korzystanie z praw i </w:t>
      </w:r>
      <w:r w:rsidRPr="00746C6D">
        <w:rPr>
          <w:lang w:val="pl-PL"/>
        </w:rPr>
        <w:t>wolności wymienionych w niniejszej Konwencji powinno być zapewnione bez dyskryminacji wynikającej z takich powodów jak płeć, rasa, kolor skóry, język, religia, przekonania polityczne i inne, pochodzenie narodowe lub społeczne, przynależność do mniejszości narodowej, majątek, urodzenie bądź z jakichkolwiek innych przyczyn</w:t>
      </w:r>
      <w:r w:rsidR="00746C6D" w:rsidRPr="00746C6D">
        <w:rPr>
          <w:lang w:val="pl-PL"/>
        </w:rPr>
        <w:t>.”</w:t>
      </w:r>
    </w:p>
    <w:p w14:paraId="3C1461F9" w14:textId="41B92E7D" w:rsidR="00F767C0" w:rsidRPr="00212AD6" w:rsidRDefault="00F767C0" w:rsidP="00F767C0">
      <w:pPr>
        <w:pStyle w:val="JuParaChar1"/>
        <w:rPr>
          <w:rFonts w:ascii="Times New Roman" w:hAnsi="Times New Roman" w:cs="Times New Roman"/>
          <w:szCs w:val="24"/>
          <w:lang w:val="pl-PL" w:eastAsia="en-GB"/>
        </w:rPr>
      </w:pPr>
      <w:r w:rsidRPr="00746C6D">
        <w:rPr>
          <w:rFonts w:ascii="Times New Roman" w:hAnsi="Times New Roman" w:cs="Times New Roman"/>
          <w:lang w:val="pl-PL"/>
        </w:rPr>
        <w:lastRenderedPageBreak/>
        <w:fldChar w:fldCharType="begin"/>
      </w:r>
      <w:r w:rsidRPr="00746C6D">
        <w:rPr>
          <w:rFonts w:ascii="Times New Roman" w:hAnsi="Times New Roman" w:cs="Times New Roman"/>
          <w:lang w:val="pl-PL"/>
        </w:rPr>
        <w:instrText xml:space="preserve"> SEQ level0 \*arabic </w:instrText>
      </w:r>
      <w:r w:rsidRPr="00746C6D">
        <w:rPr>
          <w:rFonts w:ascii="Times New Roman" w:hAnsi="Times New Roman" w:cs="Times New Roman"/>
          <w:lang w:val="pl-PL"/>
        </w:rPr>
        <w:fldChar w:fldCharType="separate"/>
      </w:r>
      <w:r w:rsidRPr="00746C6D">
        <w:rPr>
          <w:rFonts w:ascii="Times New Roman" w:hAnsi="Times New Roman" w:cs="Times New Roman"/>
          <w:noProof/>
          <w:lang w:val="pl-PL"/>
        </w:rPr>
        <w:t>103</w:t>
      </w:r>
      <w:r w:rsidRPr="00746C6D">
        <w:rPr>
          <w:rFonts w:ascii="Times New Roman" w:hAnsi="Times New Roman" w:cs="Times New Roman"/>
          <w:lang w:val="pl-PL"/>
        </w:rPr>
        <w:fldChar w:fldCharType="end"/>
      </w:r>
      <w:r w:rsidRPr="00746C6D">
        <w:rPr>
          <w:rFonts w:ascii="Times New Roman" w:hAnsi="Times New Roman" w:cs="Times New Roman"/>
          <w:lang w:val="pl-PL"/>
        </w:rPr>
        <w:t>.  Trybunał uznaje ten zarzut za całkowicie nieuzasadniony, ponieważ skarżąca nie przedstawiła żadnych szczegółów. Zatem ta część skargi jest</w:t>
      </w:r>
      <w:r w:rsidR="00B569A1">
        <w:rPr>
          <w:rFonts w:ascii="Times New Roman" w:hAnsi="Times New Roman" w:cs="Times New Roman"/>
          <w:lang w:val="pl-PL"/>
        </w:rPr>
        <w:t xml:space="preserve"> niedopuszczalna </w:t>
      </w:r>
      <w:r w:rsidR="00BB15C0">
        <w:rPr>
          <w:rFonts w:ascii="Times New Roman" w:hAnsi="Times New Roman" w:cs="Times New Roman"/>
          <w:lang w:val="pl-PL"/>
        </w:rPr>
        <w:t>w świetle</w:t>
      </w:r>
      <w:r w:rsidR="00B569A1">
        <w:rPr>
          <w:rFonts w:ascii="Times New Roman" w:hAnsi="Times New Roman" w:cs="Times New Roman"/>
          <w:lang w:val="pl-PL"/>
        </w:rPr>
        <w:t xml:space="preserve"> art.</w:t>
      </w:r>
      <w:r w:rsidRPr="00746C6D">
        <w:rPr>
          <w:rFonts w:ascii="Times New Roman" w:hAnsi="Times New Roman" w:cs="Times New Roman"/>
          <w:lang w:val="pl-PL"/>
        </w:rPr>
        <w:t> </w:t>
      </w:r>
      <w:r w:rsidRPr="00746C6D">
        <w:rPr>
          <w:rFonts w:ascii="Times New Roman" w:hAnsi="Times New Roman" w:cs="Times New Roman"/>
          <w:bCs/>
          <w:lang w:val="pl-PL"/>
        </w:rPr>
        <w:t>35 ust.</w:t>
      </w:r>
      <w:r w:rsidRPr="00746C6D">
        <w:rPr>
          <w:rFonts w:ascii="Times New Roman" w:hAnsi="Times New Roman" w:cs="Times New Roman"/>
          <w:lang w:val="pl-PL"/>
        </w:rPr>
        <w:t xml:space="preserve"> </w:t>
      </w:r>
      <w:r w:rsidR="00B569A1">
        <w:rPr>
          <w:rFonts w:ascii="Times New Roman" w:hAnsi="Times New Roman" w:cs="Times New Roman"/>
          <w:bCs/>
          <w:lang w:val="pl-PL"/>
        </w:rPr>
        <w:t xml:space="preserve">3 lit. </w:t>
      </w:r>
      <w:r w:rsidRPr="00746C6D">
        <w:rPr>
          <w:rFonts w:ascii="Times New Roman" w:hAnsi="Times New Roman" w:cs="Times New Roman"/>
          <w:bCs/>
          <w:lang w:val="pl-PL"/>
        </w:rPr>
        <w:t>a) Konwencji</w:t>
      </w:r>
      <w:r w:rsidRPr="00212AD6">
        <w:rPr>
          <w:rFonts w:ascii="Times New Roman" w:hAnsi="Times New Roman" w:cs="Times New Roman"/>
          <w:lang w:val="pl-PL"/>
        </w:rPr>
        <w:t xml:space="preserve"> </w:t>
      </w:r>
      <w:r w:rsidR="00B569A1">
        <w:rPr>
          <w:rFonts w:ascii="Times New Roman" w:hAnsi="Times New Roman" w:cs="Times New Roman"/>
          <w:lang w:val="pl-PL"/>
        </w:rPr>
        <w:t xml:space="preserve">jako w sposób oczywisty nieuzasadniona </w:t>
      </w:r>
      <w:r w:rsidRPr="00212AD6">
        <w:rPr>
          <w:rFonts w:ascii="Times New Roman" w:hAnsi="Times New Roman" w:cs="Times New Roman"/>
          <w:lang w:val="pl-PL"/>
        </w:rPr>
        <w:t xml:space="preserve">i musi zostać odrzucona zgodnie z </w:t>
      </w:r>
      <w:r w:rsidR="00B569A1">
        <w:rPr>
          <w:rFonts w:ascii="Times New Roman" w:hAnsi="Times New Roman" w:cs="Times New Roman"/>
          <w:lang w:val="pl-PL"/>
        </w:rPr>
        <w:t>art.</w:t>
      </w:r>
      <w:r w:rsidRPr="00212AD6">
        <w:rPr>
          <w:rFonts w:ascii="Times New Roman" w:hAnsi="Times New Roman" w:cs="Times New Roman"/>
          <w:lang w:val="pl-PL"/>
        </w:rPr>
        <w:t xml:space="preserve"> 35 ust. 4 Konwencji.</w:t>
      </w:r>
    </w:p>
    <w:p w14:paraId="74FF6D83" w14:textId="4F761762" w:rsidR="00F767C0" w:rsidRPr="00212AD6" w:rsidRDefault="00F767C0" w:rsidP="00F767C0">
      <w:pPr>
        <w:pStyle w:val="JuHIRoman"/>
        <w:rPr>
          <w:lang w:val="pl-PL"/>
        </w:rPr>
      </w:pPr>
      <w:r w:rsidRPr="00212AD6">
        <w:rPr>
          <w:lang w:val="pl-PL"/>
        </w:rPr>
        <w:t xml:space="preserve">V. ZASTOSOWANIE </w:t>
      </w:r>
      <w:r w:rsidR="00B569A1">
        <w:rPr>
          <w:lang w:val="pl-PL"/>
        </w:rPr>
        <w:t>ART.</w:t>
      </w:r>
      <w:r w:rsidRPr="00212AD6">
        <w:rPr>
          <w:lang w:val="pl-PL"/>
        </w:rPr>
        <w:t xml:space="preserve"> 41 KONWENCJI</w:t>
      </w:r>
    </w:p>
    <w:p w14:paraId="0619358D" w14:textId="006BE2CC" w:rsidR="00F767C0" w:rsidRPr="00212AD6" w:rsidRDefault="00F767C0" w:rsidP="00F767C0">
      <w:pPr>
        <w:pStyle w:val="JuPara"/>
        <w:keepNext/>
        <w:keepLines/>
        <w:rPr>
          <w:lang w:val="pl-PL"/>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104</w:t>
      </w:r>
      <w:r w:rsidRPr="00212AD6">
        <w:rPr>
          <w:lang w:val="pl-PL"/>
        </w:rPr>
        <w:fldChar w:fldCharType="end"/>
      </w:r>
      <w:r w:rsidRPr="00212AD6">
        <w:rPr>
          <w:lang w:val="pl-PL"/>
        </w:rPr>
        <w:t>.  </w:t>
      </w:r>
      <w:r w:rsidR="00B569A1">
        <w:rPr>
          <w:lang w:val="pl-PL"/>
        </w:rPr>
        <w:t>Art.</w:t>
      </w:r>
      <w:r w:rsidRPr="00212AD6">
        <w:rPr>
          <w:lang w:val="pl-PL"/>
        </w:rPr>
        <w:t xml:space="preserve"> 41 Konwencji stanowi:</w:t>
      </w:r>
    </w:p>
    <w:p w14:paraId="1028188D" w14:textId="77777777" w:rsidR="00F767C0" w:rsidRPr="00212AD6" w:rsidRDefault="00F767C0" w:rsidP="00F767C0">
      <w:pPr>
        <w:pStyle w:val="JuQuot"/>
        <w:keepNext/>
        <w:keepLines/>
        <w:rPr>
          <w:lang w:val="pl-PL"/>
        </w:rPr>
      </w:pPr>
      <w:r w:rsidRPr="00212AD6">
        <w:rPr>
          <w:lang w:val="p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14:paraId="6D4280C8" w14:textId="77777777" w:rsidR="00F767C0" w:rsidRPr="00212AD6" w:rsidRDefault="00F767C0" w:rsidP="00F767C0">
      <w:pPr>
        <w:pStyle w:val="JuHA"/>
        <w:keepLines w:val="0"/>
        <w:outlineLvl w:val="0"/>
        <w:rPr>
          <w:lang w:val="pl-PL"/>
        </w:rPr>
      </w:pPr>
      <w:r w:rsidRPr="00212AD6">
        <w:rPr>
          <w:lang w:val="pl-PL"/>
        </w:rPr>
        <w:t xml:space="preserve"> A.  Odszkodowanie</w:t>
      </w:r>
    </w:p>
    <w:p w14:paraId="2B537543" w14:textId="77777777" w:rsidR="00F767C0" w:rsidRPr="00212AD6" w:rsidRDefault="00F767C0" w:rsidP="00F767C0">
      <w:pPr>
        <w:pStyle w:val="JuPara"/>
        <w:rPr>
          <w:lang w:val="pl-PL"/>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105</w:t>
      </w:r>
      <w:r w:rsidRPr="00212AD6">
        <w:rPr>
          <w:lang w:val="pl-PL"/>
        </w:rPr>
        <w:fldChar w:fldCharType="end"/>
      </w:r>
      <w:r w:rsidRPr="00212AD6">
        <w:rPr>
          <w:lang w:val="pl-PL"/>
        </w:rPr>
        <w:t>.  Skarżąca domagała się 50.000 euro (EUR) tytułem szkód materialnych i szkód niematerialnych.</w:t>
      </w:r>
    </w:p>
    <w:p w14:paraId="3BC667E0" w14:textId="77777777" w:rsidR="00F767C0" w:rsidRPr="00212AD6" w:rsidRDefault="00F767C0" w:rsidP="00F767C0">
      <w:pPr>
        <w:pStyle w:val="JuPara"/>
        <w:outlineLvl w:val="0"/>
        <w:rPr>
          <w:lang w:val="pl-PL"/>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106</w:t>
      </w:r>
      <w:r w:rsidRPr="00212AD6">
        <w:rPr>
          <w:lang w:val="pl-PL"/>
        </w:rPr>
        <w:fldChar w:fldCharType="end"/>
      </w:r>
      <w:r w:rsidRPr="00212AD6">
        <w:rPr>
          <w:lang w:val="pl-PL"/>
        </w:rPr>
        <w:t>.  Rząd zakwestionował to roszczenie.</w:t>
      </w:r>
    </w:p>
    <w:p w14:paraId="458BE2BA" w14:textId="7D743D00" w:rsidR="00F767C0" w:rsidRPr="00212AD6" w:rsidRDefault="00F767C0" w:rsidP="00F767C0">
      <w:pPr>
        <w:pStyle w:val="JuPara"/>
        <w:rPr>
          <w:lang w:val="pl-PL"/>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107</w:t>
      </w:r>
      <w:r w:rsidRPr="00212AD6">
        <w:rPr>
          <w:lang w:val="pl-PL"/>
        </w:rPr>
        <w:fldChar w:fldCharType="end"/>
      </w:r>
      <w:r w:rsidRPr="00212AD6">
        <w:rPr>
          <w:lang w:val="pl-PL"/>
        </w:rPr>
        <w:t xml:space="preserve">.  Trybunał nie dostrzega związku przyczynowego między stwierdzonymi naruszeniami </w:t>
      </w:r>
      <w:r w:rsidR="00746C6D" w:rsidRPr="00FF5EA8">
        <w:rPr>
          <w:lang w:val="pl-PL"/>
        </w:rPr>
        <w:t>a</w:t>
      </w:r>
      <w:r w:rsidR="00746C6D">
        <w:rPr>
          <w:lang w:val="pl-PL"/>
        </w:rPr>
        <w:t xml:space="preserve"> roszczeniem z tytułu szkód</w:t>
      </w:r>
      <w:r w:rsidR="003B0520">
        <w:rPr>
          <w:lang w:val="pl-PL"/>
        </w:rPr>
        <w:t xml:space="preserve"> materialnych</w:t>
      </w:r>
      <w:r w:rsidRPr="00212AD6">
        <w:rPr>
          <w:lang w:val="pl-PL"/>
        </w:rPr>
        <w:t xml:space="preserve">, a zatem oddala to żądanie. </w:t>
      </w:r>
      <w:r w:rsidR="00B569A1">
        <w:rPr>
          <w:lang w:val="pl-PL"/>
        </w:rPr>
        <w:t xml:space="preserve">Z </w:t>
      </w:r>
      <w:r w:rsidRPr="00212AD6">
        <w:rPr>
          <w:lang w:val="pl-PL"/>
        </w:rPr>
        <w:t xml:space="preserve">drugiej strony Trybunał uznaje, że uznanie naruszenia </w:t>
      </w:r>
      <w:r w:rsidR="00B569A1">
        <w:rPr>
          <w:lang w:val="pl-PL"/>
        </w:rPr>
        <w:t>art.</w:t>
      </w:r>
      <w:r w:rsidRPr="00212AD6">
        <w:rPr>
          <w:lang w:val="pl-PL"/>
        </w:rPr>
        <w:t xml:space="preserve"> 6 ust. 1 Konwencji stanowi </w:t>
      </w:r>
      <w:r w:rsidR="00200AAC">
        <w:rPr>
          <w:lang w:val="pl-PL"/>
        </w:rPr>
        <w:t xml:space="preserve">w niniejszych okolicznościach </w:t>
      </w:r>
      <w:r w:rsidRPr="00212AD6">
        <w:rPr>
          <w:lang w:val="pl-PL"/>
        </w:rPr>
        <w:t xml:space="preserve">wystarczające słuszne zadośćuczynienie </w:t>
      </w:r>
      <w:r w:rsidR="00BA4E03" w:rsidRPr="00212AD6">
        <w:rPr>
          <w:lang w:val="pl-PL"/>
        </w:rPr>
        <w:t>tytułem</w:t>
      </w:r>
      <w:r w:rsidRPr="00212AD6">
        <w:rPr>
          <w:lang w:val="pl-PL"/>
        </w:rPr>
        <w:t xml:space="preserve"> szkód niematerialnych, jakie mogła ponieść skarżąca.</w:t>
      </w:r>
    </w:p>
    <w:p w14:paraId="2285D80F" w14:textId="77777777" w:rsidR="00F767C0" w:rsidRPr="00212AD6" w:rsidRDefault="00F767C0" w:rsidP="00F767C0">
      <w:pPr>
        <w:pStyle w:val="JuHA"/>
        <w:outlineLvl w:val="0"/>
        <w:rPr>
          <w:lang w:val="pl-PL"/>
        </w:rPr>
      </w:pPr>
      <w:r w:rsidRPr="00212AD6">
        <w:rPr>
          <w:lang w:val="pl-PL"/>
        </w:rPr>
        <w:t>B.  Koszty i wydatki</w:t>
      </w:r>
    </w:p>
    <w:p w14:paraId="03BE6CCD" w14:textId="77777777" w:rsidR="00F767C0" w:rsidRPr="00212AD6" w:rsidRDefault="00F767C0" w:rsidP="00F767C0">
      <w:pPr>
        <w:pStyle w:val="JuPara"/>
        <w:rPr>
          <w:lang w:val="pl-PL"/>
        </w:rPr>
      </w:pPr>
      <w:r w:rsidRPr="00212AD6">
        <w:rPr>
          <w:lang w:val="pl-PL"/>
        </w:rPr>
        <w:fldChar w:fldCharType="begin"/>
      </w:r>
      <w:r w:rsidRPr="00212AD6">
        <w:rPr>
          <w:lang w:val="pl-PL"/>
        </w:rPr>
        <w:instrText xml:space="preserve"> SEQ level0 \*arabic </w:instrText>
      </w:r>
      <w:r w:rsidRPr="00212AD6">
        <w:rPr>
          <w:lang w:val="pl-PL"/>
        </w:rPr>
        <w:fldChar w:fldCharType="separate"/>
      </w:r>
      <w:r w:rsidRPr="00212AD6">
        <w:rPr>
          <w:noProof/>
          <w:lang w:val="pl-PL"/>
        </w:rPr>
        <w:t>108</w:t>
      </w:r>
      <w:r w:rsidRPr="00212AD6">
        <w:rPr>
          <w:lang w:val="pl-PL"/>
        </w:rPr>
        <w:fldChar w:fldCharType="end"/>
      </w:r>
      <w:r w:rsidRPr="00212AD6">
        <w:rPr>
          <w:lang w:val="pl-PL"/>
        </w:rPr>
        <w:t>.  Skarżąca nie przedstawiła roszczeń dotyczących kosztów i wydatków poniesionych w postępowaniu przed sądami krajowymi lub przed Trybunałem. Z tego względu Trybunał stwierdza, iż nie ma potrzeby przyznawania skarżącej żadnych kwot z tego tytułu.</w:t>
      </w:r>
    </w:p>
    <w:p w14:paraId="3B60B489" w14:textId="77777777" w:rsidR="00F767C0" w:rsidRPr="00212AD6" w:rsidRDefault="00F767C0" w:rsidP="00F767C0">
      <w:pPr>
        <w:pStyle w:val="JuHHead"/>
        <w:rPr>
          <w:lang w:val="pl-PL"/>
        </w:rPr>
      </w:pPr>
      <w:r w:rsidRPr="00212AD6">
        <w:rPr>
          <w:lang w:val="pl-PL"/>
        </w:rPr>
        <w:t>Z TYCH PRZYCZYN TRYBUNAŁ JEDNOGŁOŚNIE</w:t>
      </w:r>
    </w:p>
    <w:p w14:paraId="07FAD13A" w14:textId="6DC9DCAA" w:rsidR="00F767C0" w:rsidRPr="00CB36DF" w:rsidRDefault="00F767C0" w:rsidP="00F767C0">
      <w:pPr>
        <w:pStyle w:val="JuList"/>
        <w:rPr>
          <w:lang w:val="pl-PL"/>
        </w:rPr>
      </w:pPr>
      <w:r w:rsidRPr="00212AD6">
        <w:rPr>
          <w:lang w:val="pl-PL"/>
        </w:rPr>
        <w:t>1.  </w:t>
      </w:r>
      <w:r w:rsidRPr="00212AD6">
        <w:rPr>
          <w:i/>
          <w:lang w:val="pl-PL"/>
        </w:rPr>
        <w:t>Uznaje</w:t>
      </w:r>
      <w:r w:rsidRPr="00212AD6">
        <w:rPr>
          <w:lang w:val="pl-PL"/>
        </w:rPr>
        <w:t xml:space="preserve"> zarzuty dotyczące </w:t>
      </w:r>
      <w:r w:rsidRPr="00CB36DF">
        <w:rPr>
          <w:lang w:val="pl-PL"/>
        </w:rPr>
        <w:t xml:space="preserve">braku </w:t>
      </w:r>
      <w:r w:rsidR="00A14894" w:rsidRPr="00CB36DF">
        <w:rPr>
          <w:lang w:val="pl-PL"/>
        </w:rPr>
        <w:t>kontradyktoryjnego rozpatrzenia sprawy</w:t>
      </w:r>
      <w:r w:rsidRPr="00CB36DF">
        <w:rPr>
          <w:lang w:val="pl-PL"/>
        </w:rPr>
        <w:t xml:space="preserve"> oraz </w:t>
      </w:r>
      <w:r w:rsidR="00DD3E56" w:rsidRPr="00CB36DF">
        <w:rPr>
          <w:lang w:val="pl-PL"/>
        </w:rPr>
        <w:t xml:space="preserve">braku </w:t>
      </w:r>
      <w:r w:rsidR="006E4216" w:rsidRPr="00CB36DF">
        <w:rPr>
          <w:lang w:val="pl-PL"/>
        </w:rPr>
        <w:t xml:space="preserve">jawnej </w:t>
      </w:r>
      <w:r w:rsidRPr="00CB36DF">
        <w:rPr>
          <w:lang w:val="pl-PL"/>
        </w:rPr>
        <w:t xml:space="preserve">rozprawy za dopuszczalne, pozostałą </w:t>
      </w:r>
      <w:r w:rsidR="00A0087B" w:rsidRPr="00CB36DF">
        <w:rPr>
          <w:lang w:val="pl-PL"/>
        </w:rPr>
        <w:t xml:space="preserve">zaś </w:t>
      </w:r>
      <w:r w:rsidRPr="00CB36DF">
        <w:rPr>
          <w:lang w:val="pl-PL"/>
        </w:rPr>
        <w:t>część skargi za niedopuszczalną;</w:t>
      </w:r>
    </w:p>
    <w:p w14:paraId="3C394F4C" w14:textId="77777777" w:rsidR="00F767C0" w:rsidRPr="00CB36DF" w:rsidRDefault="00F767C0" w:rsidP="00F767C0">
      <w:pPr>
        <w:pStyle w:val="JuList"/>
        <w:rPr>
          <w:lang w:val="pl-PL"/>
        </w:rPr>
      </w:pPr>
    </w:p>
    <w:p w14:paraId="7DA3FD68" w14:textId="0BFD2C46" w:rsidR="00F767C0" w:rsidRPr="00CB36DF" w:rsidRDefault="00F767C0" w:rsidP="00F767C0">
      <w:pPr>
        <w:pStyle w:val="JuList"/>
        <w:rPr>
          <w:lang w:val="pl-PL"/>
        </w:rPr>
      </w:pPr>
      <w:r w:rsidRPr="00CB36DF">
        <w:rPr>
          <w:lang w:val="pl-PL"/>
        </w:rPr>
        <w:t>2.  </w:t>
      </w:r>
      <w:r w:rsidRPr="00CB36DF">
        <w:rPr>
          <w:i/>
          <w:lang w:val="pl-PL"/>
        </w:rPr>
        <w:t xml:space="preserve">Uznaje, </w:t>
      </w:r>
      <w:r w:rsidRPr="00CB36DF">
        <w:rPr>
          <w:lang w:val="pl-PL"/>
        </w:rPr>
        <w:t xml:space="preserve">że doszło do naruszenia </w:t>
      </w:r>
      <w:r w:rsidR="00B569A1" w:rsidRPr="00CB36DF">
        <w:rPr>
          <w:lang w:val="pl-PL"/>
        </w:rPr>
        <w:t>art.</w:t>
      </w:r>
      <w:r w:rsidRPr="00CB36DF">
        <w:rPr>
          <w:lang w:val="pl-PL"/>
        </w:rPr>
        <w:t xml:space="preserve"> 6 ust. 1 Konwencji ze względu na brak </w:t>
      </w:r>
      <w:r w:rsidR="00A14894" w:rsidRPr="00CB36DF">
        <w:rPr>
          <w:lang w:val="pl-PL"/>
        </w:rPr>
        <w:t>kontradyktoryjnego rozpatrzenia sprawy</w:t>
      </w:r>
      <w:r w:rsidRPr="00CB36DF">
        <w:rPr>
          <w:lang w:val="pl-PL"/>
        </w:rPr>
        <w:t>;</w:t>
      </w:r>
    </w:p>
    <w:p w14:paraId="173D8714" w14:textId="77777777" w:rsidR="00F767C0" w:rsidRPr="00CB36DF" w:rsidRDefault="00F767C0" w:rsidP="00F767C0">
      <w:pPr>
        <w:pStyle w:val="JuList"/>
        <w:rPr>
          <w:lang w:val="pl-PL"/>
        </w:rPr>
      </w:pPr>
    </w:p>
    <w:p w14:paraId="2E73CD54" w14:textId="0C8C401C" w:rsidR="00F767C0" w:rsidRPr="00212AD6" w:rsidRDefault="00F767C0" w:rsidP="00F767C0">
      <w:pPr>
        <w:pStyle w:val="JuList"/>
        <w:rPr>
          <w:lang w:val="pl-PL"/>
        </w:rPr>
      </w:pPr>
      <w:r w:rsidRPr="00CB36DF">
        <w:rPr>
          <w:lang w:val="pl-PL"/>
        </w:rPr>
        <w:t>3.  </w:t>
      </w:r>
      <w:r w:rsidRPr="00CB36DF">
        <w:rPr>
          <w:i/>
          <w:lang w:val="pl-PL"/>
        </w:rPr>
        <w:t xml:space="preserve">Uznaje, </w:t>
      </w:r>
      <w:r w:rsidRPr="00CB36DF">
        <w:rPr>
          <w:lang w:val="pl-PL"/>
        </w:rPr>
        <w:t xml:space="preserve">że nie doszło do naruszenia </w:t>
      </w:r>
      <w:r w:rsidR="00B569A1" w:rsidRPr="00CB36DF">
        <w:rPr>
          <w:lang w:val="pl-PL"/>
        </w:rPr>
        <w:t>art.</w:t>
      </w:r>
      <w:r w:rsidRPr="00212AD6">
        <w:rPr>
          <w:lang w:val="pl-PL"/>
        </w:rPr>
        <w:t xml:space="preserve"> 6 ust. 1 Konwencji ze względu na brak </w:t>
      </w:r>
      <w:r w:rsidR="006E4216">
        <w:rPr>
          <w:lang w:val="pl-PL"/>
        </w:rPr>
        <w:t xml:space="preserve">jawnej </w:t>
      </w:r>
      <w:r w:rsidRPr="00212AD6">
        <w:rPr>
          <w:lang w:val="pl-PL"/>
        </w:rPr>
        <w:t>rozprawy;</w:t>
      </w:r>
    </w:p>
    <w:p w14:paraId="2B98D8CC" w14:textId="77777777" w:rsidR="00F767C0" w:rsidRPr="00212AD6" w:rsidRDefault="00F767C0" w:rsidP="00F767C0">
      <w:pPr>
        <w:pStyle w:val="JuList"/>
        <w:rPr>
          <w:lang w:val="pl-PL"/>
        </w:rPr>
      </w:pPr>
    </w:p>
    <w:p w14:paraId="21C1D650" w14:textId="77777777" w:rsidR="00F767C0" w:rsidRPr="00212AD6" w:rsidRDefault="00F767C0" w:rsidP="00F767C0">
      <w:pPr>
        <w:pStyle w:val="JuList"/>
        <w:rPr>
          <w:lang w:val="pl-PL"/>
        </w:rPr>
      </w:pPr>
      <w:r w:rsidRPr="00212AD6">
        <w:rPr>
          <w:lang w:val="pl-PL"/>
        </w:rPr>
        <w:lastRenderedPageBreak/>
        <w:t>4.</w:t>
      </w:r>
      <w:r w:rsidRPr="00212AD6">
        <w:rPr>
          <w:i/>
          <w:lang w:val="pl-PL"/>
        </w:rPr>
        <w:t xml:space="preserve">  Uznaje, </w:t>
      </w:r>
      <w:r w:rsidRPr="00212AD6">
        <w:rPr>
          <w:lang w:val="pl-PL"/>
        </w:rPr>
        <w:t xml:space="preserve">że </w:t>
      </w:r>
      <w:r w:rsidR="00A0087B">
        <w:rPr>
          <w:lang w:val="pl-PL"/>
        </w:rPr>
        <w:t xml:space="preserve">samo </w:t>
      </w:r>
      <w:r w:rsidRPr="00212AD6">
        <w:rPr>
          <w:lang w:val="pl-PL"/>
        </w:rPr>
        <w:t>stwierdzenie naruszenia stanowi słuszne zadośćuczynienie z tytułu ewentualnych szkód niematerialnych poniesionych przez skarżącą;</w:t>
      </w:r>
    </w:p>
    <w:p w14:paraId="24478A7D" w14:textId="77777777" w:rsidR="00F767C0" w:rsidRPr="00212AD6" w:rsidRDefault="00F767C0" w:rsidP="00F767C0">
      <w:pPr>
        <w:pStyle w:val="JuList"/>
        <w:rPr>
          <w:lang w:val="pl-PL"/>
        </w:rPr>
      </w:pPr>
    </w:p>
    <w:p w14:paraId="6798A590" w14:textId="7B842BF0" w:rsidR="00F767C0" w:rsidRPr="00212AD6" w:rsidRDefault="00F767C0" w:rsidP="00F767C0">
      <w:pPr>
        <w:pStyle w:val="JuList"/>
        <w:rPr>
          <w:lang w:val="pl-PL"/>
        </w:rPr>
      </w:pPr>
      <w:r w:rsidRPr="00212AD6">
        <w:rPr>
          <w:lang w:val="pl-PL"/>
        </w:rPr>
        <w:t>5.</w:t>
      </w:r>
      <w:r w:rsidRPr="00212AD6">
        <w:rPr>
          <w:i/>
          <w:lang w:val="pl-PL"/>
        </w:rPr>
        <w:t xml:space="preserve">  Oddala </w:t>
      </w:r>
      <w:r w:rsidRPr="00212AD6">
        <w:rPr>
          <w:lang w:val="pl-PL"/>
        </w:rPr>
        <w:t>pozostałą część roszczenia skarżącej dotycząc</w:t>
      </w:r>
      <w:r w:rsidR="00A0087B">
        <w:rPr>
          <w:lang w:val="pl-PL"/>
        </w:rPr>
        <w:t>ego</w:t>
      </w:r>
      <w:r w:rsidRPr="00212AD6">
        <w:rPr>
          <w:lang w:val="pl-PL"/>
        </w:rPr>
        <w:t xml:space="preserve"> słusznego zadośćuczynienia.</w:t>
      </w:r>
    </w:p>
    <w:p w14:paraId="66148271" w14:textId="1896981E" w:rsidR="00F767C0" w:rsidRPr="00212AD6" w:rsidRDefault="00F767C0" w:rsidP="00F767C0">
      <w:pPr>
        <w:pStyle w:val="JuParaLast"/>
        <w:rPr>
          <w:lang w:val="pl-PL"/>
        </w:rPr>
      </w:pPr>
      <w:r w:rsidRPr="00212AD6">
        <w:rPr>
          <w:lang w:val="pl-PL"/>
        </w:rPr>
        <w:t xml:space="preserve">Sporządzono w języku angielskim i obwieszczono pisemnie dnia 26 lipca 2011 r., zgodnie z </w:t>
      </w:r>
      <w:r w:rsidR="00B569A1">
        <w:rPr>
          <w:lang w:val="pl-PL"/>
        </w:rPr>
        <w:t>art.</w:t>
      </w:r>
      <w:r w:rsidRPr="00212AD6">
        <w:rPr>
          <w:lang w:val="pl-PL"/>
        </w:rPr>
        <w:t xml:space="preserve"> 77 ust. 2 i 3 Regulaminu Trybunału.</w:t>
      </w:r>
    </w:p>
    <w:p w14:paraId="3BDD0FEE" w14:textId="77777777" w:rsidR="00F767C0" w:rsidRPr="00212AD6" w:rsidRDefault="00F767C0" w:rsidP="00F767C0">
      <w:pPr>
        <w:pStyle w:val="JuSigned"/>
        <w:tabs>
          <w:tab w:val="center" w:pos="7938"/>
        </w:tabs>
        <w:rPr>
          <w:lang w:val="pl-PL"/>
        </w:rPr>
      </w:pPr>
      <w:r w:rsidRPr="00212AD6">
        <w:rPr>
          <w:lang w:val="pl-PL"/>
        </w:rPr>
        <w:tab/>
      </w:r>
      <w:proofErr w:type="spellStart"/>
      <w:r w:rsidRPr="00212AD6">
        <w:rPr>
          <w:lang w:val="pl-PL"/>
        </w:rPr>
        <w:t>Søren</w:t>
      </w:r>
      <w:proofErr w:type="spellEnd"/>
      <w:r w:rsidRPr="00212AD6">
        <w:rPr>
          <w:lang w:val="pl-PL"/>
        </w:rPr>
        <w:t xml:space="preserve"> Nielsen</w:t>
      </w:r>
      <w:r w:rsidRPr="00212AD6">
        <w:rPr>
          <w:lang w:val="pl-PL"/>
        </w:rPr>
        <w:tab/>
      </w:r>
      <w:proofErr w:type="spellStart"/>
      <w:r w:rsidRPr="00212AD6">
        <w:rPr>
          <w:lang w:val="pl-PL"/>
        </w:rPr>
        <w:t>Anatoly</w:t>
      </w:r>
      <w:proofErr w:type="spellEnd"/>
      <w:r w:rsidRPr="00212AD6">
        <w:rPr>
          <w:lang w:val="pl-PL"/>
        </w:rPr>
        <w:t xml:space="preserve"> </w:t>
      </w:r>
      <w:proofErr w:type="spellStart"/>
      <w:r w:rsidRPr="00212AD6">
        <w:rPr>
          <w:lang w:val="pl-PL"/>
        </w:rPr>
        <w:t>Kovler</w:t>
      </w:r>
      <w:proofErr w:type="spellEnd"/>
      <w:r w:rsidRPr="00212AD6">
        <w:rPr>
          <w:lang w:val="pl-PL"/>
        </w:rPr>
        <w:br/>
      </w:r>
      <w:r w:rsidRPr="00212AD6">
        <w:rPr>
          <w:lang w:val="pl-PL"/>
        </w:rPr>
        <w:tab/>
        <w:t>Kanclerz</w:t>
      </w:r>
      <w:r w:rsidRPr="00212AD6">
        <w:rPr>
          <w:lang w:val="pl-PL"/>
        </w:rPr>
        <w:tab/>
        <w:t>Przewodniczący</w:t>
      </w:r>
    </w:p>
    <w:p w14:paraId="2AB8E000" w14:textId="77777777" w:rsidR="00F767C0" w:rsidRPr="00212AD6" w:rsidRDefault="00F767C0" w:rsidP="00F767C0">
      <w:pPr>
        <w:pStyle w:val="JuSigned"/>
        <w:keepNext/>
        <w:keepLines/>
        <w:rPr>
          <w:lang w:val="pl-PL"/>
        </w:rPr>
      </w:pPr>
    </w:p>
    <w:p w14:paraId="11761EDE" w14:textId="77777777" w:rsidR="00F767C0" w:rsidRPr="00212AD6" w:rsidRDefault="00F767C0" w:rsidP="00F767C0">
      <w:pPr>
        <w:rPr>
          <w:lang w:val="pl-PL"/>
        </w:rPr>
      </w:pPr>
    </w:p>
    <w:p w14:paraId="7B8AED55" w14:textId="77777777" w:rsidR="00E573C6" w:rsidRPr="00212AD6" w:rsidRDefault="00E573C6">
      <w:pPr>
        <w:rPr>
          <w:lang w:val="pl-PL"/>
        </w:rPr>
      </w:pPr>
    </w:p>
    <w:sectPr w:rsidR="00E573C6" w:rsidRPr="00212AD6" w:rsidSect="009C7BF1">
      <w:headerReference w:type="even" r:id="rId13"/>
      <w:headerReference w:type="default" r:id="rId14"/>
      <w:headerReference w:type="first" r:id="rId15"/>
      <w:footerReference w:type="first" r:id="rId16"/>
      <w:pgSz w:w="11906" w:h="16838" w:code="9"/>
      <w:pgMar w:top="1701" w:right="2268" w:bottom="1418" w:left="2268" w:header="1701" w:footer="720" w:gutter="0"/>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D323A9" w14:textId="77777777" w:rsidR="004C018F" w:rsidRDefault="004C018F">
      <w:r>
        <w:separator/>
      </w:r>
    </w:p>
  </w:endnote>
  <w:endnote w:type="continuationSeparator" w:id="0">
    <w:p w14:paraId="2F5FF016" w14:textId="77777777" w:rsidR="004C018F" w:rsidRDefault="004C018F">
      <w:r>
        <w:continuationSeparator/>
      </w:r>
    </w:p>
  </w:endnote>
  <w:endnote w:type="continuationNotice" w:id="1">
    <w:p w14:paraId="6C537AD1" w14:textId="77777777" w:rsidR="004C018F" w:rsidRDefault="004C01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FD9DD6" w14:textId="77777777" w:rsidR="00DB5CE6" w:rsidRPr="00150BFA" w:rsidRDefault="00DB5CE6" w:rsidP="007F6BC6">
    <w:pPr>
      <w:jc w:val="center"/>
      <w:rPr>
        <w:sz w:val="4"/>
        <w:szCs w:val="4"/>
      </w:rPr>
    </w:pPr>
    <w:r>
      <w:rPr>
        <w:noProof/>
        <w:lang w:val="pl-PL" w:eastAsia="pl-PL"/>
      </w:rPr>
      <w:drawing>
        <wp:inline distT="0" distB="0" distL="0" distR="0" wp14:anchorId="1D0488EA" wp14:editId="52052969">
          <wp:extent cx="685800" cy="419100"/>
          <wp:effectExtent l="0" t="0" r="0" b="0"/>
          <wp:docPr id="5" name="Obraz 5" descr="DocFooter-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DocFooter-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419100"/>
                  </a:xfrm>
                  <a:prstGeom prst="rect">
                    <a:avLst/>
                  </a:prstGeom>
                  <a:noFill/>
                  <a:ln>
                    <a:noFill/>
                  </a:ln>
                </pic:spPr>
              </pic:pic>
            </a:graphicData>
          </a:graphic>
        </wp:inline>
      </w:drawing>
    </w:r>
  </w:p>
  <w:p w14:paraId="779CD3D6" w14:textId="77777777" w:rsidR="00DB5CE6" w:rsidRDefault="00DB5CE6">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E1A7DB" w14:textId="77777777" w:rsidR="00DB5CE6" w:rsidRDefault="00DB5CE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695C69" w14:textId="77777777" w:rsidR="004C018F" w:rsidRDefault="004C018F">
      <w:r>
        <w:separator/>
      </w:r>
    </w:p>
  </w:footnote>
  <w:footnote w:type="continuationSeparator" w:id="0">
    <w:p w14:paraId="33398FB7" w14:textId="77777777" w:rsidR="004C018F" w:rsidRDefault="004C018F">
      <w:r>
        <w:continuationSeparator/>
      </w:r>
    </w:p>
  </w:footnote>
  <w:footnote w:type="continuationNotice" w:id="1">
    <w:p w14:paraId="57DD9340" w14:textId="77777777" w:rsidR="004C018F" w:rsidRDefault="004C018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E3B89E" w14:textId="77777777" w:rsidR="00DB5CE6" w:rsidRPr="00ED4D28" w:rsidRDefault="00DB5CE6" w:rsidP="007F6BC6">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B82EA" w14:textId="64566906" w:rsidR="00DB5CE6" w:rsidRPr="00C00F0F" w:rsidRDefault="00DB5CE6">
    <w:pPr>
      <w:pStyle w:val="Nagwek"/>
      <w:jc w:val="center"/>
      <w:rPr>
        <w:sz w:val="4"/>
        <w:szCs w:val="4"/>
      </w:rPr>
    </w:pPr>
  </w:p>
  <w:p w14:paraId="700A1629" w14:textId="77777777" w:rsidR="00DB5CE6" w:rsidRDefault="00DB5CE6">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9AD4B8" w14:textId="77777777" w:rsidR="00DB5CE6" w:rsidRDefault="00DB5CE6">
    <w:pPr>
      <w:pStyle w:val="JuHeader"/>
    </w:pPr>
    <w:r>
      <w:rPr>
        <w:rStyle w:val="Numerstrony"/>
      </w:rPr>
      <w:fldChar w:fldCharType="begin"/>
    </w:r>
    <w:r>
      <w:rPr>
        <w:rStyle w:val="Numerstrony"/>
      </w:rPr>
      <w:instrText xml:space="preserve"> PAGE </w:instrText>
    </w:r>
    <w:r>
      <w:rPr>
        <w:rStyle w:val="Numerstrony"/>
      </w:rPr>
      <w:fldChar w:fldCharType="separate"/>
    </w:r>
    <w:r>
      <w:rPr>
        <w:rStyle w:val="Numerstrony"/>
        <w:noProof/>
      </w:rPr>
      <w:t>22</w:t>
    </w:r>
    <w:r>
      <w:rPr>
        <w:rStyle w:val="Numerstrony"/>
      </w:rPr>
      <w:fldChar w:fldCharType="end"/>
    </w:r>
    <w:r>
      <w:tab/>
      <w:t>JURIČIĆ v. CROATIA 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B6B4FB" w14:textId="77777777" w:rsidR="00DB5CE6" w:rsidRPr="007632AA" w:rsidRDefault="00DB5CE6" w:rsidP="00314312">
    <w:pPr>
      <w:pStyle w:val="JuHeader"/>
      <w:jc w:val="center"/>
      <w:rPr>
        <w:rStyle w:val="Numerstrony"/>
        <w:lang w:val="pl-PL"/>
      </w:rPr>
    </w:pPr>
    <w:r>
      <w:rPr>
        <w:lang w:val="pl-PL"/>
      </w:rPr>
      <w:tab/>
    </w:r>
    <w:r w:rsidRPr="00314312">
      <w:rPr>
        <w:lang w:val="pl-PL"/>
      </w:rPr>
      <w:t>WYROK w sprawie JURIČIĆ przeciwko CHORWACJI</w:t>
    </w:r>
    <w:r w:rsidRPr="00314312">
      <w:rPr>
        <w:lang w:val="pl-PL"/>
      </w:rPr>
      <w:tab/>
    </w:r>
    <w:r>
      <w:rPr>
        <w:rStyle w:val="Numerstrony"/>
      </w:rPr>
      <w:fldChar w:fldCharType="begin"/>
    </w:r>
    <w:r w:rsidRPr="00314312">
      <w:rPr>
        <w:rStyle w:val="Numerstrony"/>
        <w:lang w:val="pl-PL"/>
      </w:rPr>
      <w:instrText xml:space="preserve"> PAGE </w:instrText>
    </w:r>
    <w:r>
      <w:rPr>
        <w:rStyle w:val="Numerstrony"/>
      </w:rPr>
      <w:fldChar w:fldCharType="separate"/>
    </w:r>
    <w:r w:rsidR="00830CDE">
      <w:rPr>
        <w:rStyle w:val="Numerstrony"/>
        <w:noProof/>
        <w:lang w:val="pl-PL"/>
      </w:rPr>
      <w:t>29</w:t>
    </w:r>
    <w:r>
      <w:rPr>
        <w:rStyle w:val="Numerstrony"/>
      </w:rPr>
      <w:fldChar w:fldCharType="end"/>
    </w:r>
  </w:p>
  <w:p w14:paraId="5C49E908" w14:textId="77777777" w:rsidR="00DB5CE6" w:rsidRPr="007632AA" w:rsidRDefault="00DB5CE6" w:rsidP="00314312">
    <w:pPr>
      <w:pStyle w:val="JuHeader"/>
      <w:jc w:val="center"/>
      <w:rPr>
        <w:rStyle w:val="Numerstrony"/>
        <w:lang w:val="pl-PL"/>
      </w:rPr>
    </w:pPr>
  </w:p>
  <w:p w14:paraId="1A7DCEAC" w14:textId="77777777" w:rsidR="00DB5CE6" w:rsidRPr="00314312" w:rsidRDefault="00DB5CE6" w:rsidP="00314312">
    <w:pPr>
      <w:pStyle w:val="JuHeader"/>
      <w:jc w:val="center"/>
      <w:rPr>
        <w:lang w:val="pl-PL"/>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819E4D" w14:textId="34BAD288" w:rsidR="002F2C47" w:rsidRPr="007632AA" w:rsidRDefault="002F2C47" w:rsidP="002F2C47">
    <w:pPr>
      <w:pStyle w:val="JuHeader"/>
      <w:jc w:val="center"/>
      <w:rPr>
        <w:rStyle w:val="Numerstrony"/>
        <w:lang w:val="pl-PL"/>
      </w:rPr>
    </w:pPr>
    <w:r>
      <w:rPr>
        <w:lang w:val="pl-PL"/>
      </w:rPr>
      <w:tab/>
    </w:r>
    <w:r w:rsidRPr="00314312">
      <w:rPr>
        <w:lang w:val="pl-PL"/>
      </w:rPr>
      <w:t>WYROK w sprawie JURIČIĆ przeciwko CHORWACJI</w:t>
    </w:r>
    <w:r w:rsidRPr="00314312">
      <w:rPr>
        <w:lang w:val="pl-PL"/>
      </w:rPr>
      <w:tab/>
    </w:r>
    <w:r>
      <w:rPr>
        <w:rStyle w:val="Numerstrony"/>
      </w:rPr>
      <w:fldChar w:fldCharType="begin"/>
    </w:r>
    <w:r w:rsidRPr="00314312">
      <w:rPr>
        <w:rStyle w:val="Numerstrony"/>
        <w:lang w:val="pl-PL"/>
      </w:rPr>
      <w:instrText xml:space="preserve"> PAGE </w:instrText>
    </w:r>
    <w:r>
      <w:rPr>
        <w:rStyle w:val="Numerstrony"/>
      </w:rPr>
      <w:fldChar w:fldCharType="separate"/>
    </w:r>
    <w:r w:rsidR="00830CDE">
      <w:rPr>
        <w:rStyle w:val="Numerstrony"/>
        <w:noProof/>
        <w:lang w:val="pl-PL"/>
      </w:rPr>
      <w:t>1</w:t>
    </w:r>
    <w:r>
      <w:rPr>
        <w:rStyle w:val="Numerstrony"/>
      </w:rPr>
      <w:fldChar w:fldCharType="end"/>
    </w:r>
  </w:p>
  <w:p w14:paraId="2EA2C05F" w14:textId="77777777" w:rsidR="002F2C47" w:rsidRPr="007632AA" w:rsidRDefault="002F2C47" w:rsidP="002F2C47">
    <w:pPr>
      <w:pStyle w:val="JuHeader"/>
      <w:jc w:val="center"/>
      <w:rPr>
        <w:rStyle w:val="Numerstrony"/>
        <w:lang w:val="pl-PL"/>
      </w:rPr>
    </w:pPr>
  </w:p>
  <w:p w14:paraId="3245D1B9" w14:textId="77777777" w:rsidR="00DB5CE6" w:rsidRPr="002F2C47" w:rsidRDefault="00DB5CE6">
    <w:pPr>
      <w:pStyle w:val="Nagwek"/>
      <w:rPr>
        <w:lang w:val="pl-P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EE8A85E"/>
    <w:lvl w:ilvl="0">
      <w:start w:val="1"/>
      <w:numFmt w:val="bullet"/>
      <w:lvlText w:val=""/>
      <w:lvlJc w:val="left"/>
      <w:pPr>
        <w:tabs>
          <w:tab w:val="num" w:pos="360"/>
        </w:tabs>
        <w:ind w:left="360" w:hanging="360"/>
      </w:pPr>
      <w:rPr>
        <w:rFonts w:ascii="Symbol" w:hAnsi="Symbol" w:hint="default"/>
      </w:rPr>
    </w:lvl>
  </w:abstractNum>
  <w:abstractNum w:abstractNumId="1">
    <w:nsid w:val="3A4C2DF9"/>
    <w:multiLevelType w:val="singleLevel"/>
    <w:tmpl w:val="0809000F"/>
    <w:lvl w:ilvl="0">
      <w:start w:val="1"/>
      <w:numFmt w:val="decimal"/>
      <w:lvlText w:val="%1."/>
      <w:lvlJc w:val="left"/>
      <w:pPr>
        <w:tabs>
          <w:tab w:val="num" w:pos="360"/>
        </w:tabs>
        <w:ind w:left="360" w:hanging="360"/>
      </w:pPr>
      <w:rPr>
        <w:rFonts w:cs="Times New Roman" w:hint="default"/>
      </w:rPr>
    </w:lvl>
  </w:abstractNum>
  <w:abstractNum w:abstractNumId="2">
    <w:nsid w:val="54C55B74"/>
    <w:multiLevelType w:val="hybridMultilevel"/>
    <w:tmpl w:val="E9F6290C"/>
    <w:lvl w:ilvl="0" w:tplc="FFFFFFFF">
      <w:start w:val="1"/>
      <w:numFmt w:val="decimal"/>
      <w:lvlText w:val="(%1)"/>
      <w:lvlJc w:val="left"/>
      <w:pPr>
        <w:tabs>
          <w:tab w:val="num" w:pos="7023"/>
        </w:tabs>
        <w:ind w:left="7023" w:hanging="360"/>
      </w:pPr>
      <w:rPr>
        <w:rFonts w:cs="Times New Roman" w:hint="default"/>
      </w:rPr>
    </w:lvl>
    <w:lvl w:ilvl="1" w:tplc="FFFFFFFF" w:tentative="1">
      <w:start w:val="1"/>
      <w:numFmt w:val="lowerLetter"/>
      <w:lvlText w:val="%2."/>
      <w:lvlJc w:val="left"/>
      <w:pPr>
        <w:tabs>
          <w:tab w:val="num" w:pos="1800"/>
        </w:tabs>
        <w:ind w:left="1800" w:hanging="360"/>
      </w:pPr>
      <w:rPr>
        <w:rFonts w:cs="Times New Roman"/>
      </w:rPr>
    </w:lvl>
    <w:lvl w:ilvl="2" w:tplc="FFFFFFFF" w:tentative="1">
      <w:start w:val="1"/>
      <w:numFmt w:val="lowerRoman"/>
      <w:lvlText w:val="%3."/>
      <w:lvlJc w:val="right"/>
      <w:pPr>
        <w:tabs>
          <w:tab w:val="num" w:pos="2520"/>
        </w:tabs>
        <w:ind w:left="2520" w:hanging="180"/>
      </w:pPr>
      <w:rPr>
        <w:rFonts w:cs="Times New Roman"/>
      </w:rPr>
    </w:lvl>
    <w:lvl w:ilvl="3" w:tplc="FFFFFFFF" w:tentative="1">
      <w:start w:val="1"/>
      <w:numFmt w:val="decimal"/>
      <w:lvlText w:val="%4."/>
      <w:lvlJc w:val="left"/>
      <w:pPr>
        <w:tabs>
          <w:tab w:val="num" w:pos="3240"/>
        </w:tabs>
        <w:ind w:left="3240" w:hanging="360"/>
      </w:pPr>
      <w:rPr>
        <w:rFonts w:cs="Times New Roman"/>
      </w:rPr>
    </w:lvl>
    <w:lvl w:ilvl="4" w:tplc="FFFFFFFF" w:tentative="1">
      <w:start w:val="1"/>
      <w:numFmt w:val="lowerLetter"/>
      <w:lvlText w:val="%5."/>
      <w:lvlJc w:val="left"/>
      <w:pPr>
        <w:tabs>
          <w:tab w:val="num" w:pos="3960"/>
        </w:tabs>
        <w:ind w:left="3960" w:hanging="360"/>
      </w:pPr>
      <w:rPr>
        <w:rFonts w:cs="Times New Roman"/>
      </w:rPr>
    </w:lvl>
    <w:lvl w:ilvl="5" w:tplc="FFFFFFFF" w:tentative="1">
      <w:start w:val="1"/>
      <w:numFmt w:val="lowerRoman"/>
      <w:lvlText w:val="%6."/>
      <w:lvlJc w:val="right"/>
      <w:pPr>
        <w:tabs>
          <w:tab w:val="num" w:pos="4680"/>
        </w:tabs>
        <w:ind w:left="4680" w:hanging="180"/>
      </w:pPr>
      <w:rPr>
        <w:rFonts w:cs="Times New Roman"/>
      </w:rPr>
    </w:lvl>
    <w:lvl w:ilvl="6" w:tplc="FFFFFFFF" w:tentative="1">
      <w:start w:val="1"/>
      <w:numFmt w:val="decimal"/>
      <w:lvlText w:val="%7."/>
      <w:lvlJc w:val="left"/>
      <w:pPr>
        <w:tabs>
          <w:tab w:val="num" w:pos="5400"/>
        </w:tabs>
        <w:ind w:left="5400" w:hanging="360"/>
      </w:pPr>
      <w:rPr>
        <w:rFonts w:cs="Times New Roman"/>
      </w:rPr>
    </w:lvl>
    <w:lvl w:ilvl="7" w:tplc="FFFFFFFF" w:tentative="1">
      <w:start w:val="1"/>
      <w:numFmt w:val="lowerLetter"/>
      <w:lvlText w:val="%8."/>
      <w:lvlJc w:val="left"/>
      <w:pPr>
        <w:tabs>
          <w:tab w:val="num" w:pos="6120"/>
        </w:tabs>
        <w:ind w:left="6120" w:hanging="360"/>
      </w:pPr>
      <w:rPr>
        <w:rFonts w:cs="Times New Roman"/>
      </w:rPr>
    </w:lvl>
    <w:lvl w:ilvl="8" w:tplc="FFFFFFFF" w:tentative="1">
      <w:start w:val="1"/>
      <w:numFmt w:val="lowerRoman"/>
      <w:lvlText w:val="%9."/>
      <w:lvlJc w:val="right"/>
      <w:pPr>
        <w:tabs>
          <w:tab w:val="num" w:pos="6840"/>
        </w:tabs>
        <w:ind w:left="6840" w:hanging="180"/>
      </w:pPr>
      <w:rPr>
        <w:rFonts w:cs="Times New Roman"/>
      </w:rPr>
    </w:lvl>
  </w:abstractNum>
  <w:abstractNum w:abstractNumId="3">
    <w:nsid w:val="55EC0801"/>
    <w:multiLevelType w:val="hybridMultilevel"/>
    <w:tmpl w:val="20025B0C"/>
    <w:lvl w:ilvl="0" w:tplc="04090011">
      <w:start w:val="1"/>
      <w:numFmt w:val="decimal"/>
      <w:lvlText w:val="%1)"/>
      <w:lvlJc w:val="left"/>
      <w:pPr>
        <w:tabs>
          <w:tab w:val="num" w:pos="708"/>
        </w:tabs>
        <w:ind w:left="708" w:hanging="360"/>
      </w:pPr>
      <w:rPr>
        <w:rFonts w:cs="Times New Roman" w:hint="default"/>
      </w:rPr>
    </w:lvl>
    <w:lvl w:ilvl="1" w:tplc="04090019" w:tentative="1">
      <w:start w:val="1"/>
      <w:numFmt w:val="lowerLetter"/>
      <w:lvlText w:val="%2."/>
      <w:lvlJc w:val="left"/>
      <w:pPr>
        <w:tabs>
          <w:tab w:val="num" w:pos="1428"/>
        </w:tabs>
        <w:ind w:left="1428" w:hanging="360"/>
      </w:pPr>
      <w:rPr>
        <w:rFonts w:cs="Times New Roman"/>
      </w:rPr>
    </w:lvl>
    <w:lvl w:ilvl="2" w:tplc="0409001B" w:tentative="1">
      <w:start w:val="1"/>
      <w:numFmt w:val="lowerRoman"/>
      <w:lvlText w:val="%3."/>
      <w:lvlJc w:val="right"/>
      <w:pPr>
        <w:tabs>
          <w:tab w:val="num" w:pos="2148"/>
        </w:tabs>
        <w:ind w:left="2148" w:hanging="180"/>
      </w:pPr>
      <w:rPr>
        <w:rFonts w:cs="Times New Roman"/>
      </w:rPr>
    </w:lvl>
    <w:lvl w:ilvl="3" w:tplc="0409000F" w:tentative="1">
      <w:start w:val="1"/>
      <w:numFmt w:val="decimal"/>
      <w:lvlText w:val="%4."/>
      <w:lvlJc w:val="left"/>
      <w:pPr>
        <w:tabs>
          <w:tab w:val="num" w:pos="2868"/>
        </w:tabs>
        <w:ind w:left="2868" w:hanging="360"/>
      </w:pPr>
      <w:rPr>
        <w:rFonts w:cs="Times New Roman"/>
      </w:rPr>
    </w:lvl>
    <w:lvl w:ilvl="4" w:tplc="04090019" w:tentative="1">
      <w:start w:val="1"/>
      <w:numFmt w:val="lowerLetter"/>
      <w:lvlText w:val="%5."/>
      <w:lvlJc w:val="left"/>
      <w:pPr>
        <w:tabs>
          <w:tab w:val="num" w:pos="3588"/>
        </w:tabs>
        <w:ind w:left="3588" w:hanging="360"/>
      </w:pPr>
      <w:rPr>
        <w:rFonts w:cs="Times New Roman"/>
      </w:rPr>
    </w:lvl>
    <w:lvl w:ilvl="5" w:tplc="0409001B" w:tentative="1">
      <w:start w:val="1"/>
      <w:numFmt w:val="lowerRoman"/>
      <w:lvlText w:val="%6."/>
      <w:lvlJc w:val="right"/>
      <w:pPr>
        <w:tabs>
          <w:tab w:val="num" w:pos="4308"/>
        </w:tabs>
        <w:ind w:left="4308" w:hanging="180"/>
      </w:pPr>
      <w:rPr>
        <w:rFonts w:cs="Times New Roman"/>
      </w:rPr>
    </w:lvl>
    <w:lvl w:ilvl="6" w:tplc="0409000F" w:tentative="1">
      <w:start w:val="1"/>
      <w:numFmt w:val="decimal"/>
      <w:lvlText w:val="%7."/>
      <w:lvlJc w:val="left"/>
      <w:pPr>
        <w:tabs>
          <w:tab w:val="num" w:pos="5028"/>
        </w:tabs>
        <w:ind w:left="5028" w:hanging="360"/>
      </w:pPr>
      <w:rPr>
        <w:rFonts w:cs="Times New Roman"/>
      </w:rPr>
    </w:lvl>
    <w:lvl w:ilvl="7" w:tplc="04090019" w:tentative="1">
      <w:start w:val="1"/>
      <w:numFmt w:val="lowerLetter"/>
      <w:lvlText w:val="%8."/>
      <w:lvlJc w:val="left"/>
      <w:pPr>
        <w:tabs>
          <w:tab w:val="num" w:pos="5748"/>
        </w:tabs>
        <w:ind w:left="5748" w:hanging="360"/>
      </w:pPr>
      <w:rPr>
        <w:rFonts w:cs="Times New Roman"/>
      </w:rPr>
    </w:lvl>
    <w:lvl w:ilvl="8" w:tplc="0409001B" w:tentative="1">
      <w:start w:val="1"/>
      <w:numFmt w:val="lowerRoman"/>
      <w:lvlText w:val="%9."/>
      <w:lvlJc w:val="right"/>
      <w:pPr>
        <w:tabs>
          <w:tab w:val="num" w:pos="6468"/>
        </w:tabs>
        <w:ind w:left="6468" w:hanging="180"/>
      </w:pPr>
      <w:rPr>
        <w:rFonts w:cs="Times New Roman"/>
      </w:rPr>
    </w:lvl>
  </w:abstractNum>
  <w:abstractNum w:abstractNumId="4">
    <w:nsid w:val="66A76622"/>
    <w:multiLevelType w:val="hybridMultilevel"/>
    <w:tmpl w:val="61627B12"/>
    <w:lvl w:ilvl="0" w:tplc="FFFFFFFF">
      <w:start w:val="1"/>
      <w:numFmt w:val="decimal"/>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5">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6">
    <w:nsid w:val="7BBE6CBD"/>
    <w:multiLevelType w:val="hybridMultilevel"/>
    <w:tmpl w:val="5B122094"/>
    <w:lvl w:ilvl="0" w:tplc="4FDAD2AA">
      <w:start w:val="1"/>
      <w:numFmt w:val="decimal"/>
      <w:pStyle w:val="AppQuestion"/>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0"/>
  </w:num>
  <w:num w:numId="2">
    <w:abstractNumId w:val="5"/>
  </w:num>
  <w:num w:numId="3">
    <w:abstractNumId w:val="6"/>
  </w:num>
  <w:num w:numId="4">
    <w:abstractNumId w:val="4"/>
  </w:num>
  <w:num w:numId="5">
    <w:abstractNumId w:val="3"/>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9"/>
  <w:removePersonalInformation/>
  <w:removeDateAndTime/>
  <w:proofState w:spelling="clean"/>
  <w:defaultTabStop w:val="708"/>
  <w:hyphenationZone w:val="425"/>
  <w:characterSpacingControl w:val="doNotCompress"/>
  <w:hdrShapeDefaults>
    <o:shapedefaults v:ext="edit" spidmax="2049"/>
  </w:hdrShapeDefaults>
  <w:footnotePr>
    <w:numRestart w:val="eachPage"/>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67C0"/>
    <w:rsid w:val="000569B7"/>
    <w:rsid w:val="000642C9"/>
    <w:rsid w:val="00067E78"/>
    <w:rsid w:val="00081F75"/>
    <w:rsid w:val="00084C6C"/>
    <w:rsid w:val="000C6282"/>
    <w:rsid w:val="000E1803"/>
    <w:rsid w:val="000E35FA"/>
    <w:rsid w:val="00101814"/>
    <w:rsid w:val="00131C89"/>
    <w:rsid w:val="001326C1"/>
    <w:rsid w:val="00141EEF"/>
    <w:rsid w:val="00165703"/>
    <w:rsid w:val="0018791B"/>
    <w:rsid w:val="001E4BA5"/>
    <w:rsid w:val="001F10F3"/>
    <w:rsid w:val="001F30BE"/>
    <w:rsid w:val="00200AAC"/>
    <w:rsid w:val="00212AD6"/>
    <w:rsid w:val="002160C7"/>
    <w:rsid w:val="0024041C"/>
    <w:rsid w:val="002B5EB5"/>
    <w:rsid w:val="002F2C47"/>
    <w:rsid w:val="002F791D"/>
    <w:rsid w:val="00302B0B"/>
    <w:rsid w:val="00314312"/>
    <w:rsid w:val="00340A9D"/>
    <w:rsid w:val="003545FF"/>
    <w:rsid w:val="0035687C"/>
    <w:rsid w:val="003836E3"/>
    <w:rsid w:val="00391083"/>
    <w:rsid w:val="00393D34"/>
    <w:rsid w:val="003A661B"/>
    <w:rsid w:val="003B0520"/>
    <w:rsid w:val="00402FAD"/>
    <w:rsid w:val="004164AE"/>
    <w:rsid w:val="00435558"/>
    <w:rsid w:val="004979CB"/>
    <w:rsid w:val="004C018F"/>
    <w:rsid w:val="004E6267"/>
    <w:rsid w:val="005174BE"/>
    <w:rsid w:val="00527D48"/>
    <w:rsid w:val="00541A8C"/>
    <w:rsid w:val="0057237E"/>
    <w:rsid w:val="005868EA"/>
    <w:rsid w:val="00591023"/>
    <w:rsid w:val="005A44DC"/>
    <w:rsid w:val="005C6794"/>
    <w:rsid w:val="005D13EF"/>
    <w:rsid w:val="005D178D"/>
    <w:rsid w:val="00613B6B"/>
    <w:rsid w:val="0061674F"/>
    <w:rsid w:val="00646DAF"/>
    <w:rsid w:val="00654700"/>
    <w:rsid w:val="0068204E"/>
    <w:rsid w:val="00683442"/>
    <w:rsid w:val="0068687A"/>
    <w:rsid w:val="006B519D"/>
    <w:rsid w:val="006D1B9A"/>
    <w:rsid w:val="006E4216"/>
    <w:rsid w:val="006F0352"/>
    <w:rsid w:val="007114D6"/>
    <w:rsid w:val="007240A0"/>
    <w:rsid w:val="00735CFB"/>
    <w:rsid w:val="00746C6D"/>
    <w:rsid w:val="007632AA"/>
    <w:rsid w:val="00767B49"/>
    <w:rsid w:val="007855C0"/>
    <w:rsid w:val="007927F1"/>
    <w:rsid w:val="00792CD6"/>
    <w:rsid w:val="0079399B"/>
    <w:rsid w:val="00797422"/>
    <w:rsid w:val="007F033F"/>
    <w:rsid w:val="007F5C88"/>
    <w:rsid w:val="007F6BC6"/>
    <w:rsid w:val="007F7758"/>
    <w:rsid w:val="00802146"/>
    <w:rsid w:val="00820A8E"/>
    <w:rsid w:val="00830CDE"/>
    <w:rsid w:val="00847925"/>
    <w:rsid w:val="00853BEB"/>
    <w:rsid w:val="008543FE"/>
    <w:rsid w:val="0085468B"/>
    <w:rsid w:val="008667B0"/>
    <w:rsid w:val="00866CC5"/>
    <w:rsid w:val="008773F1"/>
    <w:rsid w:val="00896C77"/>
    <w:rsid w:val="008A6F66"/>
    <w:rsid w:val="008E0664"/>
    <w:rsid w:val="008F34F5"/>
    <w:rsid w:val="008F73B5"/>
    <w:rsid w:val="00931477"/>
    <w:rsid w:val="00932E9A"/>
    <w:rsid w:val="009336D2"/>
    <w:rsid w:val="00954361"/>
    <w:rsid w:val="00966FDA"/>
    <w:rsid w:val="009678A8"/>
    <w:rsid w:val="009859BA"/>
    <w:rsid w:val="009A4A8F"/>
    <w:rsid w:val="009C7BF1"/>
    <w:rsid w:val="009E17ED"/>
    <w:rsid w:val="00A0021E"/>
    <w:rsid w:val="00A0087B"/>
    <w:rsid w:val="00A12043"/>
    <w:rsid w:val="00A14894"/>
    <w:rsid w:val="00A316D6"/>
    <w:rsid w:val="00A35F61"/>
    <w:rsid w:val="00A371C9"/>
    <w:rsid w:val="00A67659"/>
    <w:rsid w:val="00AA0CB9"/>
    <w:rsid w:val="00AA7C84"/>
    <w:rsid w:val="00AD0D18"/>
    <w:rsid w:val="00AD4F49"/>
    <w:rsid w:val="00B054CB"/>
    <w:rsid w:val="00B569A1"/>
    <w:rsid w:val="00BA403F"/>
    <w:rsid w:val="00BA4E03"/>
    <w:rsid w:val="00BB0368"/>
    <w:rsid w:val="00BB15C0"/>
    <w:rsid w:val="00C01CB6"/>
    <w:rsid w:val="00C02B33"/>
    <w:rsid w:val="00C047AA"/>
    <w:rsid w:val="00C06CFF"/>
    <w:rsid w:val="00C34B57"/>
    <w:rsid w:val="00C475A7"/>
    <w:rsid w:val="00C55FC0"/>
    <w:rsid w:val="00C97163"/>
    <w:rsid w:val="00CB0D00"/>
    <w:rsid w:val="00CB36DF"/>
    <w:rsid w:val="00CC3911"/>
    <w:rsid w:val="00CF2369"/>
    <w:rsid w:val="00D06719"/>
    <w:rsid w:val="00D13FFA"/>
    <w:rsid w:val="00D432E4"/>
    <w:rsid w:val="00D51E75"/>
    <w:rsid w:val="00D5558C"/>
    <w:rsid w:val="00D709BE"/>
    <w:rsid w:val="00D71213"/>
    <w:rsid w:val="00D948CE"/>
    <w:rsid w:val="00DB5CE6"/>
    <w:rsid w:val="00DC6976"/>
    <w:rsid w:val="00DD3E56"/>
    <w:rsid w:val="00DE49FD"/>
    <w:rsid w:val="00DE5436"/>
    <w:rsid w:val="00E23343"/>
    <w:rsid w:val="00E37BD0"/>
    <w:rsid w:val="00E573C6"/>
    <w:rsid w:val="00E62076"/>
    <w:rsid w:val="00E701AC"/>
    <w:rsid w:val="00E84EB6"/>
    <w:rsid w:val="00EA6385"/>
    <w:rsid w:val="00F117FF"/>
    <w:rsid w:val="00F23A6E"/>
    <w:rsid w:val="00F52914"/>
    <w:rsid w:val="00F60449"/>
    <w:rsid w:val="00F61D8B"/>
    <w:rsid w:val="00F632F6"/>
    <w:rsid w:val="00F767C0"/>
    <w:rsid w:val="00F80B8F"/>
    <w:rsid w:val="00FA067C"/>
    <w:rsid w:val="00FC5153"/>
    <w:rsid w:val="00FD3F8F"/>
    <w:rsid w:val="00FD79D0"/>
    <w:rsid w:val="00FF1F42"/>
    <w:rsid w:val="00FF4D68"/>
    <w:rsid w:val="00FF6FF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Bullet" w:uiPriority="0"/>
    <w:lsdException w:name="List 2"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767C0"/>
    <w:pPr>
      <w:suppressAutoHyphens/>
      <w:spacing w:after="0" w:line="240" w:lineRule="auto"/>
    </w:pPr>
    <w:rPr>
      <w:rFonts w:ascii="Times New Roman" w:eastAsia="Times New Roman" w:hAnsi="Times New Roman" w:cs="Times New Roman"/>
      <w:sz w:val="24"/>
      <w:szCs w:val="20"/>
      <w:lang w:val="en-GB" w:eastAsia="fr-FR"/>
    </w:rPr>
  </w:style>
  <w:style w:type="paragraph" w:styleId="Nagwek1">
    <w:name w:val="heading 1"/>
    <w:basedOn w:val="Normalny"/>
    <w:next w:val="Normalny"/>
    <w:link w:val="Nagwek1Znak"/>
    <w:qFormat/>
    <w:rsid w:val="00F767C0"/>
    <w:pPr>
      <w:keepNext/>
      <w:spacing w:before="360" w:after="240"/>
      <w:jc w:val="center"/>
      <w:outlineLvl w:val="0"/>
    </w:pPr>
    <w:rPr>
      <w:b/>
      <w:sz w:val="28"/>
    </w:rPr>
  </w:style>
  <w:style w:type="paragraph" w:styleId="Nagwek2">
    <w:name w:val="heading 2"/>
    <w:basedOn w:val="Normalny"/>
    <w:next w:val="Normalny"/>
    <w:link w:val="Nagwek2Znak"/>
    <w:qFormat/>
    <w:rsid w:val="00F767C0"/>
    <w:pPr>
      <w:keepNext/>
      <w:spacing w:before="240" w:after="120"/>
      <w:ind w:left="284" w:hanging="284"/>
      <w:outlineLvl w:val="1"/>
    </w:pPr>
    <w:rPr>
      <w:b/>
    </w:rPr>
  </w:style>
  <w:style w:type="paragraph" w:styleId="Nagwek3">
    <w:name w:val="heading 3"/>
    <w:basedOn w:val="Normalny"/>
    <w:next w:val="Normalny"/>
    <w:link w:val="Nagwek3Znak"/>
    <w:qFormat/>
    <w:rsid w:val="00F767C0"/>
    <w:pPr>
      <w:keepNext/>
      <w:spacing w:before="120" w:after="60"/>
      <w:ind w:left="1418" w:hanging="851"/>
      <w:outlineLvl w:val="2"/>
    </w:pPr>
    <w:rPr>
      <w:i/>
    </w:rPr>
  </w:style>
  <w:style w:type="paragraph" w:styleId="Nagwek4">
    <w:name w:val="heading 4"/>
    <w:basedOn w:val="Normalny"/>
    <w:next w:val="Normalny"/>
    <w:link w:val="Nagwek4Znak"/>
    <w:qFormat/>
    <w:rsid w:val="00F767C0"/>
    <w:pPr>
      <w:widowControl w:val="0"/>
      <w:outlineLvl w:val="3"/>
    </w:pPr>
    <w:rPr>
      <w:rFonts w:ascii="Courier" w:hAnsi="Courier"/>
      <w:snapToGrid w:val="0"/>
      <w:lang w:val="en-US" w:eastAsia="en-US"/>
    </w:rPr>
  </w:style>
  <w:style w:type="paragraph" w:styleId="Nagwek5">
    <w:name w:val="heading 5"/>
    <w:basedOn w:val="Normalny"/>
    <w:next w:val="Normalny"/>
    <w:link w:val="Nagwek5Znak"/>
    <w:qFormat/>
    <w:rsid w:val="00F767C0"/>
    <w:pPr>
      <w:widowControl w:val="0"/>
      <w:outlineLvl w:val="4"/>
    </w:pPr>
    <w:rPr>
      <w:rFonts w:ascii="Courier" w:hAnsi="Courier"/>
      <w:snapToGrid w:val="0"/>
      <w:lang w:val="en-US" w:eastAsia="en-US"/>
    </w:rPr>
  </w:style>
  <w:style w:type="paragraph" w:styleId="Nagwek6">
    <w:name w:val="heading 6"/>
    <w:basedOn w:val="Normalny"/>
    <w:next w:val="Normalny"/>
    <w:link w:val="Nagwek6Znak"/>
    <w:qFormat/>
    <w:rsid w:val="00F767C0"/>
    <w:pPr>
      <w:widowControl w:val="0"/>
      <w:outlineLvl w:val="5"/>
    </w:pPr>
    <w:rPr>
      <w:rFonts w:ascii="Courier" w:hAnsi="Courier"/>
      <w:snapToGrid w:val="0"/>
      <w:lang w:val="en-US" w:eastAsia="en-US"/>
    </w:rPr>
  </w:style>
  <w:style w:type="paragraph" w:styleId="Nagwek7">
    <w:name w:val="heading 7"/>
    <w:basedOn w:val="Normalny"/>
    <w:next w:val="Normalny"/>
    <w:link w:val="Nagwek7Znak"/>
    <w:qFormat/>
    <w:rsid w:val="00F767C0"/>
    <w:pPr>
      <w:widowControl w:val="0"/>
      <w:outlineLvl w:val="6"/>
    </w:pPr>
    <w:rPr>
      <w:rFonts w:ascii="Courier" w:hAnsi="Courier"/>
      <w:snapToGrid w:val="0"/>
      <w:lang w:val="en-US" w:eastAsia="en-US"/>
    </w:rPr>
  </w:style>
  <w:style w:type="paragraph" w:styleId="Nagwek8">
    <w:name w:val="heading 8"/>
    <w:basedOn w:val="Normalny"/>
    <w:next w:val="Normalny"/>
    <w:link w:val="Nagwek8Znak"/>
    <w:qFormat/>
    <w:rsid w:val="00F767C0"/>
    <w:pPr>
      <w:widowControl w:val="0"/>
      <w:outlineLvl w:val="7"/>
    </w:pPr>
    <w:rPr>
      <w:rFonts w:ascii="Courier" w:hAnsi="Courier"/>
      <w:snapToGrid w:val="0"/>
      <w:lang w:val="en-US" w:eastAsia="en-US"/>
    </w:rPr>
  </w:style>
  <w:style w:type="paragraph" w:styleId="Nagwek9">
    <w:name w:val="heading 9"/>
    <w:basedOn w:val="Normalny"/>
    <w:next w:val="Normalny"/>
    <w:link w:val="Nagwek9Znak"/>
    <w:qFormat/>
    <w:rsid w:val="00F767C0"/>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767C0"/>
    <w:rPr>
      <w:rFonts w:ascii="Times New Roman" w:eastAsia="Times New Roman" w:hAnsi="Times New Roman" w:cs="Times New Roman"/>
      <w:b/>
      <w:sz w:val="28"/>
      <w:szCs w:val="20"/>
      <w:lang w:val="en-GB" w:eastAsia="fr-FR"/>
    </w:rPr>
  </w:style>
  <w:style w:type="character" w:customStyle="1" w:styleId="Nagwek2Znak">
    <w:name w:val="Nagłówek 2 Znak"/>
    <w:basedOn w:val="Domylnaczcionkaakapitu"/>
    <w:link w:val="Nagwek2"/>
    <w:rsid w:val="00F767C0"/>
    <w:rPr>
      <w:rFonts w:ascii="Times New Roman" w:eastAsia="Times New Roman" w:hAnsi="Times New Roman" w:cs="Times New Roman"/>
      <w:b/>
      <w:sz w:val="24"/>
      <w:szCs w:val="20"/>
      <w:lang w:val="en-GB" w:eastAsia="fr-FR"/>
    </w:rPr>
  </w:style>
  <w:style w:type="character" w:customStyle="1" w:styleId="Nagwek3Znak">
    <w:name w:val="Nagłówek 3 Znak"/>
    <w:basedOn w:val="Domylnaczcionkaakapitu"/>
    <w:link w:val="Nagwek3"/>
    <w:rsid w:val="00F767C0"/>
    <w:rPr>
      <w:rFonts w:ascii="Times New Roman" w:eastAsia="Times New Roman" w:hAnsi="Times New Roman" w:cs="Times New Roman"/>
      <w:i/>
      <w:sz w:val="24"/>
      <w:szCs w:val="20"/>
      <w:lang w:val="en-GB" w:eastAsia="fr-FR"/>
    </w:rPr>
  </w:style>
  <w:style w:type="character" w:customStyle="1" w:styleId="Nagwek4Znak">
    <w:name w:val="Nagłówek 4 Znak"/>
    <w:basedOn w:val="Domylnaczcionkaakapitu"/>
    <w:link w:val="Nagwek4"/>
    <w:rsid w:val="00F767C0"/>
    <w:rPr>
      <w:rFonts w:ascii="Courier" w:eastAsia="Times New Roman" w:hAnsi="Courier" w:cs="Times New Roman"/>
      <w:snapToGrid w:val="0"/>
      <w:sz w:val="24"/>
      <w:szCs w:val="20"/>
      <w:lang w:val="en-US"/>
    </w:rPr>
  </w:style>
  <w:style w:type="character" w:customStyle="1" w:styleId="Nagwek5Znak">
    <w:name w:val="Nagłówek 5 Znak"/>
    <w:basedOn w:val="Domylnaczcionkaakapitu"/>
    <w:link w:val="Nagwek5"/>
    <w:rsid w:val="00F767C0"/>
    <w:rPr>
      <w:rFonts w:ascii="Courier" w:eastAsia="Times New Roman" w:hAnsi="Courier" w:cs="Times New Roman"/>
      <w:snapToGrid w:val="0"/>
      <w:sz w:val="24"/>
      <w:szCs w:val="20"/>
      <w:lang w:val="en-US"/>
    </w:rPr>
  </w:style>
  <w:style w:type="character" w:customStyle="1" w:styleId="Nagwek6Znak">
    <w:name w:val="Nagłówek 6 Znak"/>
    <w:basedOn w:val="Domylnaczcionkaakapitu"/>
    <w:link w:val="Nagwek6"/>
    <w:rsid w:val="00F767C0"/>
    <w:rPr>
      <w:rFonts w:ascii="Courier" w:eastAsia="Times New Roman" w:hAnsi="Courier" w:cs="Times New Roman"/>
      <w:snapToGrid w:val="0"/>
      <w:sz w:val="24"/>
      <w:szCs w:val="20"/>
      <w:lang w:val="en-US"/>
    </w:rPr>
  </w:style>
  <w:style w:type="character" w:customStyle="1" w:styleId="Nagwek7Znak">
    <w:name w:val="Nagłówek 7 Znak"/>
    <w:basedOn w:val="Domylnaczcionkaakapitu"/>
    <w:link w:val="Nagwek7"/>
    <w:rsid w:val="00F767C0"/>
    <w:rPr>
      <w:rFonts w:ascii="Courier" w:eastAsia="Times New Roman" w:hAnsi="Courier" w:cs="Times New Roman"/>
      <w:snapToGrid w:val="0"/>
      <w:sz w:val="24"/>
      <w:szCs w:val="20"/>
      <w:lang w:val="en-US"/>
    </w:rPr>
  </w:style>
  <w:style w:type="character" w:customStyle="1" w:styleId="Nagwek8Znak">
    <w:name w:val="Nagłówek 8 Znak"/>
    <w:basedOn w:val="Domylnaczcionkaakapitu"/>
    <w:link w:val="Nagwek8"/>
    <w:rsid w:val="00F767C0"/>
    <w:rPr>
      <w:rFonts w:ascii="Courier" w:eastAsia="Times New Roman" w:hAnsi="Courier" w:cs="Times New Roman"/>
      <w:snapToGrid w:val="0"/>
      <w:sz w:val="24"/>
      <w:szCs w:val="20"/>
      <w:lang w:val="en-US"/>
    </w:rPr>
  </w:style>
  <w:style w:type="character" w:customStyle="1" w:styleId="Nagwek9Znak">
    <w:name w:val="Nagłówek 9 Znak"/>
    <w:basedOn w:val="Domylnaczcionkaakapitu"/>
    <w:link w:val="Nagwek9"/>
    <w:rsid w:val="00F767C0"/>
    <w:rPr>
      <w:rFonts w:ascii="Times New Roman" w:eastAsia="Times New Roman" w:hAnsi="Times New Roman" w:cs="Times New Roman"/>
      <w:i/>
      <w:spacing w:val="-2"/>
      <w:szCs w:val="20"/>
      <w:lang w:val="en-GB" w:eastAsia="fr-FR"/>
    </w:rPr>
  </w:style>
  <w:style w:type="paragraph" w:customStyle="1" w:styleId="OpiHA">
    <w:name w:val="Opi_H_A"/>
    <w:basedOn w:val="JuHIRoman"/>
    <w:next w:val="OpiPara"/>
    <w:rsid w:val="00F767C0"/>
    <w:pPr>
      <w:tabs>
        <w:tab w:val="clear" w:pos="357"/>
      </w:tabs>
    </w:pPr>
    <w:rPr>
      <w:b/>
    </w:rPr>
  </w:style>
  <w:style w:type="paragraph" w:customStyle="1" w:styleId="JuHIRoman">
    <w:name w:val="Ju_H_I_Roman"/>
    <w:basedOn w:val="JuHHead"/>
    <w:next w:val="JuPara"/>
    <w:rsid w:val="00F767C0"/>
    <w:pPr>
      <w:tabs>
        <w:tab w:val="left" w:pos="357"/>
      </w:tabs>
      <w:spacing w:before="360"/>
      <w:ind w:left="357" w:hanging="357"/>
      <w:outlineLvl w:val="1"/>
    </w:pPr>
    <w:rPr>
      <w:sz w:val="24"/>
    </w:rPr>
  </w:style>
  <w:style w:type="paragraph" w:customStyle="1" w:styleId="JuHHead">
    <w:name w:val="Ju_H_Head"/>
    <w:basedOn w:val="Normalny"/>
    <w:next w:val="JuPara"/>
    <w:uiPriority w:val="99"/>
    <w:rsid w:val="00F767C0"/>
    <w:pPr>
      <w:keepNext/>
      <w:keepLines/>
      <w:spacing w:before="720" w:after="240"/>
      <w:jc w:val="both"/>
      <w:outlineLvl w:val="0"/>
    </w:pPr>
    <w:rPr>
      <w:sz w:val="28"/>
    </w:rPr>
  </w:style>
  <w:style w:type="paragraph" w:customStyle="1" w:styleId="JuPara">
    <w:name w:val="Ju_Para"/>
    <w:aliases w:val="Left,First line:  0 cm"/>
    <w:basedOn w:val="Normalny"/>
    <w:link w:val="JuParaChar"/>
    <w:rsid w:val="00F767C0"/>
    <w:pPr>
      <w:ind w:firstLine="284"/>
      <w:jc w:val="both"/>
    </w:pPr>
  </w:style>
  <w:style w:type="paragraph" w:customStyle="1" w:styleId="OpiPara">
    <w:name w:val="Opi_Para"/>
    <w:basedOn w:val="JuPara"/>
    <w:rsid w:val="00F767C0"/>
  </w:style>
  <w:style w:type="paragraph" w:customStyle="1" w:styleId="OpiH1">
    <w:name w:val="Opi_H_1."/>
    <w:basedOn w:val="OpiHA"/>
    <w:next w:val="OpiPara"/>
    <w:rsid w:val="00F767C0"/>
    <w:pPr>
      <w:spacing w:before="240" w:after="120"/>
      <w:ind w:left="635"/>
    </w:pPr>
    <w:rPr>
      <w:b w:val="0"/>
      <w:i/>
    </w:rPr>
  </w:style>
  <w:style w:type="paragraph" w:customStyle="1" w:styleId="OpiHa0">
    <w:name w:val="Opi_H_a"/>
    <w:basedOn w:val="OpiH1"/>
    <w:next w:val="OpiPara"/>
    <w:rsid w:val="00F767C0"/>
    <w:pPr>
      <w:ind w:left="834"/>
    </w:pPr>
    <w:rPr>
      <w:b/>
      <w:i w:val="0"/>
      <w:sz w:val="20"/>
    </w:rPr>
  </w:style>
  <w:style w:type="paragraph" w:customStyle="1" w:styleId="OpiHHead">
    <w:name w:val="Opi_H_Head"/>
    <w:basedOn w:val="JuHHead"/>
    <w:next w:val="OpiPara"/>
    <w:rsid w:val="00F767C0"/>
    <w:pPr>
      <w:spacing w:before="0"/>
      <w:jc w:val="center"/>
    </w:pPr>
  </w:style>
  <w:style w:type="paragraph" w:customStyle="1" w:styleId="OpiHi">
    <w:name w:val="Opi_H_i"/>
    <w:basedOn w:val="OpiHa0"/>
    <w:next w:val="OpiPara"/>
    <w:rsid w:val="00F767C0"/>
    <w:pPr>
      <w:ind w:left="1038"/>
    </w:pPr>
    <w:rPr>
      <w:b w:val="0"/>
      <w:i/>
    </w:rPr>
  </w:style>
  <w:style w:type="paragraph" w:styleId="Stopka">
    <w:name w:val="footer"/>
    <w:basedOn w:val="Normalny"/>
    <w:link w:val="StopkaZnak"/>
    <w:uiPriority w:val="99"/>
    <w:rsid w:val="00F767C0"/>
    <w:pPr>
      <w:tabs>
        <w:tab w:val="center" w:pos="3686"/>
        <w:tab w:val="right" w:pos="7371"/>
      </w:tabs>
    </w:pPr>
    <w:rPr>
      <w:sz w:val="18"/>
    </w:rPr>
  </w:style>
  <w:style w:type="character" w:customStyle="1" w:styleId="StopkaZnak">
    <w:name w:val="Stopka Znak"/>
    <w:basedOn w:val="Domylnaczcionkaakapitu"/>
    <w:link w:val="Stopka"/>
    <w:uiPriority w:val="99"/>
    <w:rsid w:val="00F767C0"/>
    <w:rPr>
      <w:rFonts w:ascii="Times New Roman" w:eastAsia="Times New Roman" w:hAnsi="Times New Roman" w:cs="Times New Roman"/>
      <w:sz w:val="18"/>
      <w:szCs w:val="20"/>
      <w:lang w:val="en-GB" w:eastAsia="fr-FR"/>
    </w:rPr>
  </w:style>
  <w:style w:type="paragraph" w:customStyle="1" w:styleId="JuJudges">
    <w:name w:val="Ju_Judges"/>
    <w:basedOn w:val="Normalny"/>
    <w:link w:val="JuJudgesChar"/>
    <w:uiPriority w:val="99"/>
    <w:rsid w:val="00F767C0"/>
    <w:pPr>
      <w:tabs>
        <w:tab w:val="left" w:pos="567"/>
        <w:tab w:val="left" w:pos="1134"/>
      </w:tabs>
    </w:pPr>
  </w:style>
  <w:style w:type="character" w:customStyle="1" w:styleId="JuParaChar">
    <w:name w:val="Ju_Para Char"/>
    <w:basedOn w:val="Domylnaczcionkaakapitu"/>
    <w:link w:val="JuPara"/>
    <w:rsid w:val="00F767C0"/>
    <w:rPr>
      <w:rFonts w:ascii="Times New Roman" w:eastAsia="Times New Roman" w:hAnsi="Times New Roman" w:cs="Times New Roman"/>
      <w:sz w:val="24"/>
      <w:szCs w:val="20"/>
      <w:lang w:val="en-GB" w:eastAsia="fr-FR"/>
    </w:rPr>
  </w:style>
  <w:style w:type="paragraph" w:customStyle="1" w:styleId="JuHA">
    <w:name w:val="Ju_H_A"/>
    <w:basedOn w:val="JuHIRoman"/>
    <w:next w:val="JuPara"/>
    <w:link w:val="JuHAChar"/>
    <w:uiPriority w:val="99"/>
    <w:rsid w:val="00F767C0"/>
    <w:pPr>
      <w:tabs>
        <w:tab w:val="clear" w:pos="357"/>
        <w:tab w:val="left" w:pos="584"/>
      </w:tabs>
      <w:ind w:left="584" w:hanging="352"/>
      <w:outlineLvl w:val="2"/>
    </w:pPr>
    <w:rPr>
      <w:b/>
    </w:rPr>
  </w:style>
  <w:style w:type="paragraph" w:customStyle="1" w:styleId="JuQuot">
    <w:name w:val="Ju_Quot"/>
    <w:basedOn w:val="JuPara"/>
    <w:link w:val="JuQuotChar"/>
    <w:rsid w:val="00F767C0"/>
    <w:pPr>
      <w:spacing w:before="120" w:after="120"/>
      <w:ind w:left="425" w:firstLine="142"/>
    </w:pPr>
    <w:rPr>
      <w:sz w:val="20"/>
    </w:rPr>
  </w:style>
  <w:style w:type="paragraph" w:customStyle="1" w:styleId="JuSigned">
    <w:name w:val="Ju_Signed"/>
    <w:basedOn w:val="Normalny"/>
    <w:next w:val="JuParaLast"/>
    <w:link w:val="JuSignedChar"/>
    <w:uiPriority w:val="99"/>
    <w:rsid w:val="00F767C0"/>
    <w:pPr>
      <w:tabs>
        <w:tab w:val="center" w:pos="851"/>
        <w:tab w:val="center" w:pos="6407"/>
      </w:tabs>
      <w:spacing w:before="720"/>
    </w:pPr>
  </w:style>
  <w:style w:type="paragraph" w:customStyle="1" w:styleId="JuParaLast">
    <w:name w:val="Ju_Para_Last"/>
    <w:basedOn w:val="JuPara"/>
    <w:next w:val="JuPara"/>
    <w:rsid w:val="00F767C0"/>
    <w:pPr>
      <w:keepNext/>
      <w:keepLines/>
      <w:spacing w:before="240"/>
    </w:pPr>
  </w:style>
  <w:style w:type="paragraph" w:customStyle="1" w:styleId="JuCase">
    <w:name w:val="Ju_Case"/>
    <w:basedOn w:val="JuPara"/>
    <w:next w:val="JuPara"/>
    <w:link w:val="JuCaseChar"/>
    <w:rsid w:val="00F767C0"/>
    <w:rPr>
      <w:b/>
    </w:rPr>
  </w:style>
  <w:style w:type="paragraph" w:customStyle="1" w:styleId="JuList">
    <w:name w:val="Ju_List"/>
    <w:basedOn w:val="JuPara"/>
    <w:link w:val="JuListChar"/>
    <w:rsid w:val="00F767C0"/>
    <w:pPr>
      <w:ind w:left="340" w:hanging="340"/>
    </w:pPr>
  </w:style>
  <w:style w:type="paragraph" w:customStyle="1" w:styleId="JuHArticle">
    <w:name w:val="Ju_H_Article"/>
    <w:basedOn w:val="JuHa0"/>
    <w:next w:val="JuQuot"/>
    <w:rsid w:val="00F767C0"/>
    <w:pPr>
      <w:ind w:left="0" w:firstLine="0"/>
      <w:jc w:val="center"/>
    </w:pPr>
  </w:style>
  <w:style w:type="paragraph" w:customStyle="1" w:styleId="JuHa0">
    <w:name w:val="Ju_H_a"/>
    <w:basedOn w:val="JuH1"/>
    <w:next w:val="JuPara"/>
    <w:rsid w:val="00F767C0"/>
    <w:pPr>
      <w:tabs>
        <w:tab w:val="clear" w:pos="731"/>
        <w:tab w:val="left" w:pos="975"/>
      </w:tabs>
      <w:ind w:left="975" w:hanging="340"/>
    </w:pPr>
    <w:rPr>
      <w:b/>
      <w:i w:val="0"/>
      <w:sz w:val="20"/>
    </w:rPr>
  </w:style>
  <w:style w:type="paragraph" w:customStyle="1" w:styleId="JuH1">
    <w:name w:val="Ju_H_1."/>
    <w:basedOn w:val="JuHA"/>
    <w:next w:val="JuPara"/>
    <w:rsid w:val="00F767C0"/>
    <w:pPr>
      <w:tabs>
        <w:tab w:val="clear" w:pos="584"/>
        <w:tab w:val="left" w:pos="731"/>
      </w:tabs>
      <w:spacing w:before="240" w:after="120"/>
      <w:ind w:left="732" w:hanging="301"/>
      <w:outlineLvl w:val="9"/>
    </w:pPr>
    <w:rPr>
      <w:b w:val="0"/>
      <w:i/>
    </w:rPr>
  </w:style>
  <w:style w:type="paragraph" w:customStyle="1" w:styleId="JuQuotList">
    <w:name w:val="Ju_Quot_List"/>
    <w:basedOn w:val="JuQuot"/>
    <w:rsid w:val="00F767C0"/>
    <w:pPr>
      <w:tabs>
        <w:tab w:val="left" w:pos="1021"/>
      </w:tabs>
      <w:ind w:left="567" w:firstLine="0"/>
    </w:pPr>
  </w:style>
  <w:style w:type="paragraph" w:customStyle="1" w:styleId="JuCourt">
    <w:name w:val="Ju_Court"/>
    <w:basedOn w:val="JuJudges"/>
    <w:rsid w:val="00F767C0"/>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F767C0"/>
  </w:style>
  <w:style w:type="paragraph" w:customStyle="1" w:styleId="OpiTranslation">
    <w:name w:val="Opi_Translation"/>
    <w:basedOn w:val="OpiHHead"/>
    <w:next w:val="OpiPara"/>
    <w:rsid w:val="00F767C0"/>
    <w:rPr>
      <w:i/>
      <w:sz w:val="24"/>
    </w:rPr>
  </w:style>
  <w:style w:type="paragraph" w:styleId="Tekstprzypisudolnego">
    <w:name w:val="footnote text"/>
    <w:basedOn w:val="Normalny"/>
    <w:link w:val="TekstprzypisudolnegoZnak"/>
    <w:semiHidden/>
    <w:rsid w:val="00F767C0"/>
    <w:pPr>
      <w:jc w:val="both"/>
    </w:pPr>
    <w:rPr>
      <w:sz w:val="20"/>
    </w:rPr>
  </w:style>
  <w:style w:type="character" w:customStyle="1" w:styleId="TekstprzypisudolnegoZnak">
    <w:name w:val="Tekst przypisu dolnego Znak"/>
    <w:basedOn w:val="Domylnaczcionkaakapitu"/>
    <w:link w:val="Tekstprzypisudolnego"/>
    <w:semiHidden/>
    <w:rsid w:val="00F767C0"/>
    <w:rPr>
      <w:rFonts w:ascii="Times New Roman" w:eastAsia="Times New Roman" w:hAnsi="Times New Roman" w:cs="Times New Roman"/>
      <w:sz w:val="20"/>
      <w:szCs w:val="20"/>
      <w:lang w:val="en-GB" w:eastAsia="fr-FR"/>
    </w:rPr>
  </w:style>
  <w:style w:type="character" w:styleId="Odwoanieprzypisudolnego">
    <w:name w:val="footnote reference"/>
    <w:basedOn w:val="Domylnaczcionkaakapitu"/>
    <w:semiHidden/>
    <w:rsid w:val="00F767C0"/>
    <w:rPr>
      <w:vertAlign w:val="superscript"/>
    </w:rPr>
  </w:style>
  <w:style w:type="paragraph" w:customStyle="1" w:styleId="JuHi">
    <w:name w:val="Ju_H_i"/>
    <w:basedOn w:val="JuHa0"/>
    <w:next w:val="JuPara"/>
    <w:rsid w:val="00F767C0"/>
    <w:pPr>
      <w:tabs>
        <w:tab w:val="clear" w:pos="975"/>
        <w:tab w:val="left" w:pos="1191"/>
      </w:tabs>
      <w:ind w:left="1190" w:hanging="357"/>
    </w:pPr>
    <w:rPr>
      <w:b w:val="0"/>
      <w:i/>
    </w:rPr>
  </w:style>
  <w:style w:type="paragraph" w:styleId="Nagwek">
    <w:name w:val="header"/>
    <w:basedOn w:val="Normalny"/>
    <w:link w:val="NagwekZnak"/>
    <w:uiPriority w:val="99"/>
    <w:rsid w:val="00F767C0"/>
    <w:pPr>
      <w:tabs>
        <w:tab w:val="center" w:pos="3686"/>
        <w:tab w:val="right" w:pos="7371"/>
      </w:tabs>
    </w:pPr>
    <w:rPr>
      <w:sz w:val="18"/>
    </w:rPr>
  </w:style>
  <w:style w:type="character" w:customStyle="1" w:styleId="NagwekZnak">
    <w:name w:val="Nagłówek Znak"/>
    <w:basedOn w:val="Domylnaczcionkaakapitu"/>
    <w:link w:val="Nagwek"/>
    <w:uiPriority w:val="99"/>
    <w:rsid w:val="00F767C0"/>
    <w:rPr>
      <w:rFonts w:ascii="Times New Roman" w:eastAsia="Times New Roman" w:hAnsi="Times New Roman" w:cs="Times New Roman"/>
      <w:sz w:val="18"/>
      <w:szCs w:val="20"/>
      <w:lang w:val="en-GB" w:eastAsia="fr-FR"/>
    </w:rPr>
  </w:style>
  <w:style w:type="character" w:styleId="Numerstrony">
    <w:name w:val="page number"/>
    <w:basedOn w:val="Domylnaczcionkaakapitu"/>
    <w:rsid w:val="00F767C0"/>
    <w:rPr>
      <w:sz w:val="18"/>
    </w:rPr>
  </w:style>
  <w:style w:type="paragraph" w:customStyle="1" w:styleId="JuH">
    <w:name w:val="Ju_H_–"/>
    <w:basedOn w:val="JuHalpha"/>
    <w:next w:val="JuPara"/>
    <w:rsid w:val="00F767C0"/>
    <w:pPr>
      <w:tabs>
        <w:tab w:val="clear" w:pos="1372"/>
      </w:tabs>
      <w:ind w:left="1236" w:firstLine="0"/>
    </w:pPr>
    <w:rPr>
      <w:i/>
    </w:rPr>
  </w:style>
  <w:style w:type="paragraph" w:customStyle="1" w:styleId="JuHalpha">
    <w:name w:val="Ju_H_alpha"/>
    <w:basedOn w:val="JuHi"/>
    <w:next w:val="JuPara"/>
    <w:rsid w:val="00F767C0"/>
    <w:pPr>
      <w:tabs>
        <w:tab w:val="clear" w:pos="1191"/>
        <w:tab w:val="left" w:pos="1372"/>
      </w:tabs>
      <w:ind w:left="1373" w:hanging="335"/>
    </w:pPr>
    <w:rPr>
      <w:i w:val="0"/>
    </w:rPr>
  </w:style>
  <w:style w:type="paragraph" w:customStyle="1" w:styleId="JuLista">
    <w:name w:val="Ju_List_a"/>
    <w:basedOn w:val="JuList"/>
    <w:rsid w:val="00F767C0"/>
    <w:pPr>
      <w:ind w:left="346" w:firstLine="0"/>
    </w:pPr>
  </w:style>
  <w:style w:type="paragraph" w:customStyle="1" w:styleId="JuListi">
    <w:name w:val="Ju_List_i"/>
    <w:basedOn w:val="JuLista"/>
    <w:rsid w:val="00F767C0"/>
    <w:pPr>
      <w:ind w:left="794"/>
    </w:pPr>
  </w:style>
  <w:style w:type="character" w:styleId="Odwoaniedokomentarza">
    <w:name w:val="annotation reference"/>
    <w:basedOn w:val="Domylnaczcionkaakapitu"/>
    <w:semiHidden/>
    <w:rsid w:val="00F767C0"/>
    <w:rPr>
      <w:sz w:val="16"/>
    </w:rPr>
  </w:style>
  <w:style w:type="paragraph" w:styleId="Tekstkomentarza">
    <w:name w:val="annotation text"/>
    <w:basedOn w:val="Normalny"/>
    <w:link w:val="TekstkomentarzaZnak"/>
    <w:semiHidden/>
    <w:rsid w:val="00F767C0"/>
    <w:rPr>
      <w:sz w:val="20"/>
    </w:rPr>
  </w:style>
  <w:style w:type="character" w:customStyle="1" w:styleId="TekstkomentarzaZnak">
    <w:name w:val="Tekst komentarza Znak"/>
    <w:basedOn w:val="Domylnaczcionkaakapitu"/>
    <w:link w:val="Tekstkomentarza"/>
    <w:semiHidden/>
    <w:rsid w:val="00F767C0"/>
    <w:rPr>
      <w:rFonts w:ascii="Times New Roman" w:eastAsia="Times New Roman" w:hAnsi="Times New Roman" w:cs="Times New Roman"/>
      <w:sz w:val="20"/>
      <w:szCs w:val="20"/>
      <w:lang w:val="en-GB" w:eastAsia="fr-FR"/>
    </w:rPr>
  </w:style>
  <w:style w:type="paragraph" w:customStyle="1" w:styleId="JuInitialled">
    <w:name w:val="Ju_Initialled"/>
    <w:basedOn w:val="JuSigned"/>
    <w:rsid w:val="00F767C0"/>
    <w:pPr>
      <w:tabs>
        <w:tab w:val="clear" w:pos="851"/>
      </w:tabs>
      <w:jc w:val="right"/>
    </w:pPr>
  </w:style>
  <w:style w:type="paragraph" w:customStyle="1" w:styleId="JuHeader">
    <w:name w:val="Ju_Header"/>
    <w:basedOn w:val="Nagwek"/>
    <w:rsid w:val="00F767C0"/>
  </w:style>
  <w:style w:type="paragraph" w:customStyle="1" w:styleId="DecHTitle">
    <w:name w:val="Dec_H_Title"/>
    <w:basedOn w:val="Normalny"/>
    <w:rsid w:val="00F767C0"/>
    <w:pPr>
      <w:spacing w:after="240"/>
      <w:jc w:val="center"/>
    </w:pPr>
    <w:rPr>
      <w:sz w:val="28"/>
    </w:rPr>
  </w:style>
  <w:style w:type="paragraph" w:customStyle="1" w:styleId="DecHCase">
    <w:name w:val="Dec_H_Case"/>
    <w:basedOn w:val="DecHTitle"/>
    <w:next w:val="JuPara"/>
    <w:rsid w:val="00F767C0"/>
    <w:rPr>
      <w:sz w:val="24"/>
    </w:rPr>
  </w:style>
  <w:style w:type="paragraph" w:customStyle="1" w:styleId="DecList">
    <w:name w:val="Dec_List"/>
    <w:basedOn w:val="Normalny"/>
    <w:rsid w:val="00F767C0"/>
    <w:pPr>
      <w:spacing w:before="240"/>
      <w:ind w:left="284"/>
      <w:jc w:val="both"/>
    </w:pPr>
  </w:style>
  <w:style w:type="paragraph" w:customStyle="1" w:styleId="JuParaSub">
    <w:name w:val="Ju_Para_Sub"/>
    <w:basedOn w:val="JuPara"/>
    <w:rsid w:val="00F767C0"/>
    <w:pPr>
      <w:ind w:left="284"/>
    </w:pPr>
    <w:rPr>
      <w:szCs w:val="24"/>
    </w:rPr>
  </w:style>
  <w:style w:type="paragraph" w:customStyle="1" w:styleId="JuQuotSub">
    <w:name w:val="Ju_Quot_Sub"/>
    <w:basedOn w:val="JuQuot"/>
    <w:rsid w:val="00F767C0"/>
    <w:pPr>
      <w:ind w:left="567"/>
    </w:pPr>
  </w:style>
  <w:style w:type="paragraph" w:styleId="Tekstdymka">
    <w:name w:val="Balloon Text"/>
    <w:basedOn w:val="Normalny"/>
    <w:link w:val="TekstdymkaZnak"/>
    <w:semiHidden/>
    <w:rsid w:val="00F767C0"/>
    <w:rPr>
      <w:rFonts w:ascii="Tahoma" w:hAnsi="Tahoma" w:cs="Tahoma"/>
      <w:sz w:val="16"/>
      <w:szCs w:val="16"/>
    </w:rPr>
  </w:style>
  <w:style w:type="character" w:customStyle="1" w:styleId="TekstdymkaZnak">
    <w:name w:val="Tekst dymka Znak"/>
    <w:basedOn w:val="Domylnaczcionkaakapitu"/>
    <w:link w:val="Tekstdymka"/>
    <w:semiHidden/>
    <w:rsid w:val="00F767C0"/>
    <w:rPr>
      <w:rFonts w:ascii="Tahoma" w:eastAsia="Times New Roman" w:hAnsi="Tahoma" w:cs="Tahoma"/>
      <w:sz w:val="16"/>
      <w:szCs w:val="16"/>
      <w:lang w:val="en-GB" w:eastAsia="fr-FR"/>
    </w:rPr>
  </w:style>
  <w:style w:type="paragraph" w:styleId="Tematkomentarza">
    <w:name w:val="annotation subject"/>
    <w:basedOn w:val="Tekstkomentarza"/>
    <w:next w:val="Tekstkomentarza"/>
    <w:link w:val="TematkomentarzaZnak"/>
    <w:semiHidden/>
    <w:rsid w:val="00F767C0"/>
    <w:rPr>
      <w:b/>
      <w:bCs/>
    </w:rPr>
  </w:style>
  <w:style w:type="character" w:customStyle="1" w:styleId="TematkomentarzaZnak">
    <w:name w:val="Temat komentarza Znak"/>
    <w:basedOn w:val="TekstkomentarzaZnak"/>
    <w:link w:val="Tematkomentarza"/>
    <w:semiHidden/>
    <w:rsid w:val="00F767C0"/>
    <w:rPr>
      <w:rFonts w:ascii="Times New Roman" w:eastAsia="Times New Roman" w:hAnsi="Times New Roman" w:cs="Times New Roman"/>
      <w:b/>
      <w:bCs/>
      <w:sz w:val="20"/>
      <w:szCs w:val="20"/>
      <w:lang w:val="en-GB" w:eastAsia="fr-FR"/>
    </w:rPr>
  </w:style>
  <w:style w:type="paragraph" w:customStyle="1" w:styleId="PJuPara">
    <w:name w:val="P_Ju_Para"/>
    <w:basedOn w:val="Normalny"/>
    <w:rsid w:val="00F767C0"/>
    <w:pPr>
      <w:ind w:firstLine="284"/>
      <w:jc w:val="both"/>
    </w:pPr>
  </w:style>
  <w:style w:type="paragraph" w:customStyle="1" w:styleId="PJuQuot">
    <w:name w:val="P_Ju_Quot"/>
    <w:basedOn w:val="Normalny"/>
    <w:rsid w:val="00F767C0"/>
    <w:pPr>
      <w:spacing w:before="120" w:after="120"/>
      <w:ind w:left="403" w:firstLine="176"/>
      <w:jc w:val="both"/>
    </w:pPr>
    <w:rPr>
      <w:sz w:val="20"/>
    </w:rPr>
  </w:style>
  <w:style w:type="paragraph" w:customStyle="1" w:styleId="PListArticleSubject">
    <w:name w:val="P_List_ArticleSubject"/>
    <w:basedOn w:val="Normalny"/>
    <w:rsid w:val="00F767C0"/>
    <w:pPr>
      <w:tabs>
        <w:tab w:val="left" w:pos="2977"/>
      </w:tabs>
      <w:ind w:left="2977" w:hanging="2977"/>
    </w:pPr>
  </w:style>
  <w:style w:type="paragraph" w:customStyle="1" w:styleId="SuCoverTitle1">
    <w:name w:val="Su_Cover_Title1"/>
    <w:basedOn w:val="Normalny"/>
    <w:next w:val="SuCoverTitle2"/>
    <w:rsid w:val="00F767C0"/>
    <w:pPr>
      <w:spacing w:before="2500"/>
      <w:jc w:val="center"/>
    </w:pPr>
    <w:rPr>
      <w:sz w:val="22"/>
    </w:rPr>
  </w:style>
  <w:style w:type="paragraph" w:customStyle="1" w:styleId="SuCoverTitle2">
    <w:name w:val="Su_Cover_Title2"/>
    <w:basedOn w:val="SuCoverTitle1"/>
    <w:next w:val="Normalny"/>
    <w:rsid w:val="00F767C0"/>
    <w:pPr>
      <w:spacing w:before="240"/>
    </w:pPr>
    <w:rPr>
      <w:sz w:val="18"/>
    </w:rPr>
  </w:style>
  <w:style w:type="paragraph" w:customStyle="1" w:styleId="SuPara">
    <w:name w:val="Su_Para"/>
    <w:basedOn w:val="SuKeywords"/>
    <w:rsid w:val="00F767C0"/>
    <w:pPr>
      <w:spacing w:before="0" w:after="0"/>
    </w:pPr>
    <w:rPr>
      <w:i w:val="0"/>
    </w:rPr>
  </w:style>
  <w:style w:type="paragraph" w:customStyle="1" w:styleId="SuKeywords">
    <w:name w:val="Su_Keywords"/>
    <w:basedOn w:val="SuHHead"/>
    <w:rsid w:val="00F767C0"/>
    <w:pPr>
      <w:spacing w:before="120"/>
    </w:pPr>
    <w:rPr>
      <w:b w:val="0"/>
      <w:i/>
    </w:rPr>
  </w:style>
  <w:style w:type="paragraph" w:customStyle="1" w:styleId="SuHHead">
    <w:name w:val="Su_H_Head"/>
    <w:basedOn w:val="SuSubject"/>
    <w:rsid w:val="00F767C0"/>
    <w:pPr>
      <w:spacing w:after="120"/>
    </w:pPr>
  </w:style>
  <w:style w:type="paragraph" w:customStyle="1" w:styleId="SuSubject">
    <w:name w:val="Su_Subject"/>
    <w:basedOn w:val="SuSummary"/>
    <w:rsid w:val="00F767C0"/>
    <w:pPr>
      <w:spacing w:before="360"/>
      <w:jc w:val="both"/>
    </w:pPr>
    <w:rPr>
      <w:b/>
      <w:sz w:val="22"/>
    </w:rPr>
  </w:style>
  <w:style w:type="paragraph" w:customStyle="1" w:styleId="SuSummary">
    <w:name w:val="Su_Summary"/>
    <w:basedOn w:val="Normalny"/>
    <w:next w:val="SuSubject"/>
    <w:rsid w:val="00F767C0"/>
    <w:pPr>
      <w:spacing w:after="240"/>
      <w:jc w:val="center"/>
    </w:pPr>
  </w:style>
  <w:style w:type="paragraph" w:customStyle="1" w:styleId="PListCaseNo">
    <w:name w:val="P_List_CaseNo"/>
    <w:basedOn w:val="Normalny"/>
    <w:rsid w:val="00F767C0"/>
    <w:pPr>
      <w:tabs>
        <w:tab w:val="left" w:pos="1276"/>
      </w:tabs>
      <w:spacing w:line="288" w:lineRule="auto"/>
      <w:ind w:left="1276" w:hanging="1276"/>
    </w:pPr>
  </w:style>
  <w:style w:type="paragraph" w:customStyle="1" w:styleId="PListCases">
    <w:name w:val="P_List_Cases"/>
    <w:basedOn w:val="Normalny"/>
    <w:rsid w:val="00F767C0"/>
    <w:pPr>
      <w:spacing w:line="288" w:lineRule="auto"/>
    </w:pPr>
  </w:style>
  <w:style w:type="paragraph" w:customStyle="1" w:styleId="PTextIntro">
    <w:name w:val="P_Text_Intro"/>
    <w:basedOn w:val="Normalny"/>
    <w:rsid w:val="00F767C0"/>
    <w:pPr>
      <w:jc w:val="both"/>
    </w:pPr>
    <w:rPr>
      <w:i/>
      <w:sz w:val="20"/>
    </w:rPr>
  </w:style>
  <w:style w:type="paragraph" w:customStyle="1" w:styleId="PTitleCover">
    <w:name w:val="P_Title_Cover"/>
    <w:basedOn w:val="Normalny"/>
    <w:rsid w:val="00F767C0"/>
    <w:pPr>
      <w:spacing w:before="2500"/>
      <w:jc w:val="center"/>
    </w:pPr>
    <w:rPr>
      <w:b/>
      <w:smallCaps/>
      <w:sz w:val="30"/>
    </w:rPr>
  </w:style>
  <w:style w:type="paragraph" w:customStyle="1" w:styleId="PTitle1Alpha">
    <w:name w:val="P_Title1_Alpha"/>
    <w:basedOn w:val="Normalny"/>
    <w:next w:val="Normalny"/>
    <w:rsid w:val="00F767C0"/>
    <w:pPr>
      <w:spacing w:after="120"/>
      <w:jc w:val="center"/>
    </w:pPr>
    <w:rPr>
      <w:b/>
      <w:smallCaps/>
      <w:sz w:val="30"/>
    </w:rPr>
  </w:style>
  <w:style w:type="paragraph" w:customStyle="1" w:styleId="PTitle1IndexArticle">
    <w:name w:val="P_Title1_IndexArticle"/>
    <w:basedOn w:val="Normalny"/>
    <w:rsid w:val="00F767C0"/>
    <w:pPr>
      <w:spacing w:after="120"/>
      <w:jc w:val="center"/>
    </w:pPr>
    <w:rPr>
      <w:b/>
      <w:smallCaps/>
      <w:sz w:val="30"/>
    </w:rPr>
  </w:style>
  <w:style w:type="paragraph" w:customStyle="1" w:styleId="PTitle1IndexKey">
    <w:name w:val="P_Title1_IndexKey"/>
    <w:basedOn w:val="Normalny"/>
    <w:rsid w:val="00F767C0"/>
    <w:pPr>
      <w:spacing w:after="600"/>
      <w:jc w:val="center"/>
    </w:pPr>
    <w:rPr>
      <w:b/>
      <w:smallCaps/>
      <w:sz w:val="30"/>
    </w:rPr>
  </w:style>
  <w:style w:type="paragraph" w:customStyle="1" w:styleId="PTitle1Num">
    <w:name w:val="P_Title1_Num"/>
    <w:basedOn w:val="Normalny"/>
    <w:next w:val="PListCaseNo"/>
    <w:rsid w:val="00F767C0"/>
    <w:pPr>
      <w:spacing w:after="720"/>
      <w:jc w:val="center"/>
    </w:pPr>
    <w:rPr>
      <w:b/>
      <w:smallCaps/>
      <w:sz w:val="30"/>
    </w:rPr>
  </w:style>
  <w:style w:type="paragraph" w:customStyle="1" w:styleId="PTitle2Country">
    <w:name w:val="P_Title2_Country"/>
    <w:basedOn w:val="Normalny"/>
    <w:next w:val="PListCases"/>
    <w:rsid w:val="00F767C0"/>
    <w:pPr>
      <w:keepNext/>
      <w:keepLines/>
      <w:spacing w:before="600" w:after="360"/>
    </w:pPr>
    <w:rPr>
      <w:b/>
    </w:rPr>
  </w:style>
  <w:style w:type="paragraph" w:customStyle="1" w:styleId="PTitle2Letters">
    <w:name w:val="P_Title2_Letters"/>
    <w:basedOn w:val="Normalny"/>
    <w:next w:val="PListCases"/>
    <w:rsid w:val="00F767C0"/>
    <w:pPr>
      <w:keepNext/>
      <w:keepLines/>
      <w:spacing w:before="600" w:after="360"/>
    </w:pPr>
    <w:rPr>
      <w:b/>
      <w:sz w:val="28"/>
    </w:rPr>
  </w:style>
  <w:style w:type="paragraph" w:customStyle="1" w:styleId="PTitle2Part">
    <w:name w:val="P_Title2_Part"/>
    <w:basedOn w:val="Normalny"/>
    <w:rsid w:val="00F767C0"/>
    <w:pPr>
      <w:keepNext/>
      <w:keepLines/>
      <w:spacing w:before="600" w:after="240"/>
      <w:jc w:val="center"/>
    </w:pPr>
    <w:rPr>
      <w:b/>
      <w:caps/>
    </w:rPr>
  </w:style>
  <w:style w:type="paragraph" w:customStyle="1" w:styleId="PTitle3Article">
    <w:name w:val="P_Title3_Article"/>
    <w:basedOn w:val="Normalny"/>
    <w:rsid w:val="00F767C0"/>
    <w:pPr>
      <w:keepNext/>
      <w:keepLines/>
      <w:spacing w:before="360" w:after="120"/>
      <w:jc w:val="center"/>
    </w:pPr>
    <w:rPr>
      <w:b/>
      <w:smallCaps/>
      <w:sz w:val="22"/>
    </w:rPr>
  </w:style>
  <w:style w:type="paragraph" w:customStyle="1" w:styleId="PTitle4ArticleSub">
    <w:name w:val="P_Title4_Article_Sub"/>
    <w:basedOn w:val="PTitle3Article"/>
    <w:rsid w:val="00F767C0"/>
    <w:pPr>
      <w:spacing w:before="240"/>
    </w:pPr>
    <w:rPr>
      <w:smallCaps w:val="0"/>
      <w:sz w:val="20"/>
    </w:rPr>
  </w:style>
  <w:style w:type="paragraph" w:customStyle="1" w:styleId="PTitle5Subject">
    <w:name w:val="P_Title5_Subject"/>
    <w:basedOn w:val="Normalny"/>
    <w:rsid w:val="00F767C0"/>
    <w:pPr>
      <w:keepNext/>
      <w:keepLines/>
      <w:spacing w:before="240" w:after="120"/>
      <w:jc w:val="both"/>
    </w:pPr>
    <w:rPr>
      <w:b/>
      <w:i/>
    </w:rPr>
  </w:style>
  <w:style w:type="paragraph" w:customStyle="1" w:styleId="PTitle6SubjectSub">
    <w:name w:val="P_Title6_Subject_Sub"/>
    <w:basedOn w:val="Normalny"/>
    <w:rsid w:val="00F767C0"/>
    <w:pPr>
      <w:keepNext/>
      <w:keepLines/>
      <w:spacing w:before="240" w:after="120"/>
      <w:ind w:left="284"/>
      <w:jc w:val="both"/>
    </w:pPr>
    <w:rPr>
      <w:b/>
      <w:sz w:val="20"/>
    </w:rPr>
  </w:style>
  <w:style w:type="paragraph" w:customStyle="1" w:styleId="PTitle7CaseName">
    <w:name w:val="P_Title7_CaseName"/>
    <w:basedOn w:val="Normalny"/>
    <w:rsid w:val="00F767C0"/>
    <w:pPr>
      <w:keepLines/>
      <w:spacing w:after="240"/>
      <w:jc w:val="right"/>
    </w:pPr>
    <w:rPr>
      <w:sz w:val="22"/>
    </w:rPr>
  </w:style>
  <w:style w:type="paragraph" w:customStyle="1" w:styleId="OpiParaSub">
    <w:name w:val="Opi_Para_Sub"/>
    <w:basedOn w:val="JuParaSub"/>
    <w:rsid w:val="00F767C0"/>
  </w:style>
  <w:style w:type="paragraph" w:customStyle="1" w:styleId="OpiQuotSub">
    <w:name w:val="Opi_Quot_Sub"/>
    <w:basedOn w:val="JuQuotSub"/>
    <w:rsid w:val="00F767C0"/>
  </w:style>
  <w:style w:type="character" w:customStyle="1" w:styleId="JuSignedChar">
    <w:name w:val="Ju_Signed Char"/>
    <w:basedOn w:val="Domylnaczcionkaakapitu"/>
    <w:link w:val="JuSigned"/>
    <w:uiPriority w:val="99"/>
    <w:rsid w:val="00F767C0"/>
    <w:rPr>
      <w:rFonts w:ascii="Times New Roman" w:eastAsia="Times New Roman" w:hAnsi="Times New Roman" w:cs="Times New Roman"/>
      <w:sz w:val="24"/>
      <w:szCs w:val="20"/>
      <w:lang w:val="en-GB" w:eastAsia="fr-FR"/>
    </w:rPr>
  </w:style>
  <w:style w:type="character" w:customStyle="1" w:styleId="JuJudgesChar">
    <w:name w:val="Ju_Judges Char"/>
    <w:basedOn w:val="Domylnaczcionkaakapitu"/>
    <w:link w:val="JuJudges"/>
    <w:uiPriority w:val="99"/>
    <w:locked/>
    <w:rsid w:val="00F767C0"/>
    <w:rPr>
      <w:rFonts w:ascii="Times New Roman" w:eastAsia="Times New Roman" w:hAnsi="Times New Roman" w:cs="Times New Roman"/>
      <w:sz w:val="24"/>
      <w:szCs w:val="20"/>
      <w:lang w:val="en-GB" w:eastAsia="fr-FR"/>
    </w:rPr>
  </w:style>
  <w:style w:type="character" w:customStyle="1" w:styleId="JuCaseChar">
    <w:name w:val="Ju_Case Char"/>
    <w:basedOn w:val="JuParaChar"/>
    <w:link w:val="JuCase"/>
    <w:rsid w:val="00F767C0"/>
    <w:rPr>
      <w:rFonts w:ascii="Times New Roman" w:eastAsia="Times New Roman" w:hAnsi="Times New Roman" w:cs="Times New Roman"/>
      <w:b/>
      <w:sz w:val="24"/>
      <w:szCs w:val="20"/>
      <w:lang w:val="en-GB" w:eastAsia="fr-FR"/>
    </w:rPr>
  </w:style>
  <w:style w:type="character" w:customStyle="1" w:styleId="JuParaCar">
    <w:name w:val="Ju_Para Car"/>
    <w:basedOn w:val="Domylnaczcionkaakapitu"/>
    <w:rsid w:val="00F767C0"/>
    <w:rPr>
      <w:sz w:val="24"/>
      <w:lang w:val="en-GB" w:eastAsia="fr-FR" w:bidi="ar-SA"/>
    </w:rPr>
  </w:style>
  <w:style w:type="character" w:customStyle="1" w:styleId="JuListChar">
    <w:name w:val="Ju_List Char"/>
    <w:basedOn w:val="Domylnaczcionkaakapitu"/>
    <w:link w:val="JuList"/>
    <w:rsid w:val="00F767C0"/>
    <w:rPr>
      <w:rFonts w:ascii="Times New Roman" w:eastAsia="Times New Roman" w:hAnsi="Times New Roman" w:cs="Times New Roman"/>
      <w:sz w:val="24"/>
      <w:szCs w:val="20"/>
      <w:lang w:val="en-GB" w:eastAsia="fr-FR"/>
    </w:rPr>
  </w:style>
  <w:style w:type="character" w:styleId="Pogrubienie">
    <w:name w:val="Strong"/>
    <w:basedOn w:val="Domylnaczcionkaakapitu"/>
    <w:qFormat/>
    <w:rsid w:val="00F767C0"/>
    <w:rPr>
      <w:b/>
      <w:bCs/>
    </w:rPr>
  </w:style>
  <w:style w:type="paragraph" w:styleId="Mapadokumentu">
    <w:name w:val="Document Map"/>
    <w:basedOn w:val="Normalny"/>
    <w:link w:val="MapadokumentuZnak"/>
    <w:semiHidden/>
    <w:rsid w:val="00F767C0"/>
    <w:pPr>
      <w:shd w:val="clear" w:color="auto" w:fill="000080"/>
    </w:pPr>
    <w:rPr>
      <w:rFonts w:ascii="Tahoma" w:hAnsi="Tahoma" w:cs="Tahoma"/>
      <w:sz w:val="20"/>
    </w:rPr>
  </w:style>
  <w:style w:type="character" w:customStyle="1" w:styleId="MapadokumentuZnak">
    <w:name w:val="Mapa dokumentu Znak"/>
    <w:basedOn w:val="Domylnaczcionkaakapitu"/>
    <w:link w:val="Mapadokumentu"/>
    <w:semiHidden/>
    <w:rsid w:val="00F767C0"/>
    <w:rPr>
      <w:rFonts w:ascii="Tahoma" w:eastAsia="Times New Roman" w:hAnsi="Tahoma" w:cs="Tahoma"/>
      <w:sz w:val="20"/>
      <w:szCs w:val="20"/>
      <w:shd w:val="clear" w:color="auto" w:fill="000080"/>
      <w:lang w:val="en-GB" w:eastAsia="fr-FR"/>
    </w:rPr>
  </w:style>
  <w:style w:type="character" w:customStyle="1" w:styleId="JuNames">
    <w:name w:val="Ju_Names"/>
    <w:basedOn w:val="Domylnaczcionkaakapitu"/>
    <w:rsid w:val="00F767C0"/>
    <w:rPr>
      <w:smallCaps/>
    </w:rPr>
  </w:style>
  <w:style w:type="paragraph" w:customStyle="1" w:styleId="NormalJustified">
    <w:name w:val="Normal_Justified"/>
    <w:basedOn w:val="Normalny"/>
    <w:rsid w:val="00F767C0"/>
    <w:pPr>
      <w:jc w:val="both"/>
    </w:pPr>
  </w:style>
  <w:style w:type="paragraph" w:customStyle="1" w:styleId="AppQuestion">
    <w:name w:val="App_Question"/>
    <w:basedOn w:val="Listapunktowana"/>
    <w:rsid w:val="00F767C0"/>
    <w:pPr>
      <w:numPr>
        <w:numId w:val="3"/>
      </w:numPr>
    </w:pPr>
    <w:rPr>
      <w:b/>
      <w:color w:val="333333"/>
    </w:rPr>
  </w:style>
  <w:style w:type="paragraph" w:styleId="Listapunktowana">
    <w:name w:val="List Bullet"/>
    <w:basedOn w:val="Normalny"/>
    <w:rsid w:val="00F767C0"/>
    <w:pPr>
      <w:numPr>
        <w:numId w:val="2"/>
      </w:numPr>
    </w:pPr>
  </w:style>
  <w:style w:type="character" w:styleId="Hipercze">
    <w:name w:val="Hyperlink"/>
    <w:basedOn w:val="Domylnaczcionkaakapitu"/>
    <w:uiPriority w:val="99"/>
    <w:rsid w:val="00F767C0"/>
    <w:rPr>
      <w:color w:val="0000FF"/>
      <w:u w:val="single"/>
    </w:rPr>
  </w:style>
  <w:style w:type="character" w:customStyle="1" w:styleId="JuParaChar1Char1">
    <w:name w:val="Ju_Para Char1 Char1"/>
    <w:basedOn w:val="Domylnaczcionkaakapitu"/>
    <w:link w:val="JuParaChar1"/>
    <w:locked/>
    <w:rsid w:val="00F767C0"/>
    <w:rPr>
      <w:sz w:val="24"/>
      <w:lang w:val="en-GB" w:eastAsia="fr-FR"/>
    </w:rPr>
  </w:style>
  <w:style w:type="paragraph" w:customStyle="1" w:styleId="JuParaChar1">
    <w:name w:val="Ju_Para Char1"/>
    <w:basedOn w:val="Normalny"/>
    <w:link w:val="JuParaChar1Char1"/>
    <w:rsid w:val="00F767C0"/>
    <w:pPr>
      <w:ind w:firstLine="284"/>
      <w:jc w:val="both"/>
    </w:pPr>
    <w:rPr>
      <w:rFonts w:asciiTheme="minorHAnsi" w:eastAsiaTheme="minorHAnsi" w:hAnsiTheme="minorHAnsi" w:cstheme="minorBidi"/>
      <w:szCs w:val="22"/>
    </w:rPr>
  </w:style>
  <w:style w:type="character" w:customStyle="1" w:styleId="JuQuotChar">
    <w:name w:val="Ju_Quot Char"/>
    <w:basedOn w:val="Domylnaczcionkaakapitu"/>
    <w:link w:val="JuQuot"/>
    <w:locked/>
    <w:rsid w:val="00F767C0"/>
    <w:rPr>
      <w:rFonts w:ascii="Times New Roman" w:eastAsia="Times New Roman" w:hAnsi="Times New Roman" w:cs="Times New Roman"/>
      <w:sz w:val="20"/>
      <w:szCs w:val="20"/>
      <w:lang w:val="en-GB" w:eastAsia="fr-FR"/>
    </w:rPr>
  </w:style>
  <w:style w:type="character" w:customStyle="1" w:styleId="ju-005fpara--char">
    <w:name w:val="ju-005fpara--char"/>
    <w:basedOn w:val="Domylnaczcionkaakapitu"/>
    <w:rsid w:val="00F767C0"/>
  </w:style>
  <w:style w:type="character" w:customStyle="1" w:styleId="ju----005fpara--------char----char--char">
    <w:name w:val="ju----005fpara--------char----char--char"/>
    <w:basedOn w:val="Domylnaczcionkaakapitu"/>
    <w:rsid w:val="00F767C0"/>
  </w:style>
  <w:style w:type="character" w:customStyle="1" w:styleId="JuParaChar1Char">
    <w:name w:val="Ju_Para Char1 Char"/>
    <w:basedOn w:val="Domylnaczcionkaakapitu"/>
    <w:rsid w:val="00F767C0"/>
    <w:rPr>
      <w:sz w:val="24"/>
      <w:lang w:val="en-GB" w:eastAsia="fr-FR" w:bidi="ar-SA"/>
    </w:rPr>
  </w:style>
  <w:style w:type="paragraph" w:styleId="Lista2">
    <w:name w:val="List 2"/>
    <w:basedOn w:val="Normalny"/>
    <w:rsid w:val="00F767C0"/>
    <w:pPr>
      <w:suppressAutoHyphens w:val="0"/>
      <w:ind w:left="566" w:hanging="283"/>
    </w:pPr>
    <w:rPr>
      <w:rFonts w:eastAsia="Calibri"/>
      <w:szCs w:val="24"/>
      <w:lang w:eastAsia="en-US"/>
    </w:rPr>
  </w:style>
  <w:style w:type="paragraph" w:styleId="Akapitzlist">
    <w:name w:val="List Paragraph"/>
    <w:basedOn w:val="Normalny"/>
    <w:qFormat/>
    <w:rsid w:val="00F767C0"/>
    <w:pPr>
      <w:suppressAutoHyphens w:val="0"/>
      <w:ind w:left="708"/>
    </w:pPr>
    <w:rPr>
      <w:rFonts w:eastAsia="Calibri"/>
      <w:lang w:eastAsia="en-US"/>
    </w:rPr>
  </w:style>
  <w:style w:type="paragraph" w:customStyle="1" w:styleId="tekst1">
    <w:name w:val="tekst_1"/>
    <w:basedOn w:val="Normalny"/>
    <w:rsid w:val="00F767C0"/>
    <w:pPr>
      <w:suppressAutoHyphens w:val="0"/>
      <w:spacing w:before="100" w:beforeAutospacing="1" w:after="100" w:afterAutospacing="1"/>
    </w:pPr>
    <w:rPr>
      <w:rFonts w:ascii="Arial" w:hAnsi="Arial" w:cs="Arial"/>
      <w:color w:val="000000"/>
      <w:sz w:val="18"/>
      <w:szCs w:val="18"/>
      <w:lang w:eastAsia="en-GB"/>
    </w:rPr>
  </w:style>
  <w:style w:type="paragraph" w:customStyle="1" w:styleId="tekstcentar">
    <w:name w:val="tekst_centar"/>
    <w:basedOn w:val="Normalny"/>
    <w:rsid w:val="00F767C0"/>
    <w:pPr>
      <w:suppressAutoHyphens w:val="0"/>
      <w:spacing w:before="100" w:beforeAutospacing="1" w:after="100" w:afterAutospacing="1"/>
      <w:jc w:val="center"/>
    </w:pPr>
    <w:rPr>
      <w:rFonts w:ascii="Arial" w:hAnsi="Arial" w:cs="Arial"/>
      <w:color w:val="000000"/>
      <w:sz w:val="18"/>
      <w:szCs w:val="18"/>
      <w:lang w:eastAsia="en-GB"/>
    </w:rPr>
  </w:style>
  <w:style w:type="paragraph" w:customStyle="1" w:styleId="tekstcenbold">
    <w:name w:val="tekst_cenbold"/>
    <w:basedOn w:val="Normalny"/>
    <w:rsid w:val="00F767C0"/>
    <w:pPr>
      <w:suppressAutoHyphens w:val="0"/>
      <w:spacing w:before="100" w:beforeAutospacing="1" w:after="100" w:afterAutospacing="1"/>
      <w:jc w:val="center"/>
    </w:pPr>
    <w:rPr>
      <w:rFonts w:ascii="Arial" w:hAnsi="Arial" w:cs="Arial"/>
      <w:b/>
      <w:bCs/>
      <w:color w:val="000000"/>
      <w:sz w:val="18"/>
      <w:szCs w:val="18"/>
      <w:lang w:eastAsia="en-GB"/>
    </w:rPr>
  </w:style>
  <w:style w:type="paragraph" w:styleId="NormalnyWeb">
    <w:name w:val="Normal (Web)"/>
    <w:basedOn w:val="Normalny"/>
    <w:rsid w:val="00F767C0"/>
    <w:pPr>
      <w:suppressAutoHyphens w:val="0"/>
      <w:spacing w:before="100" w:beforeAutospacing="1" w:after="100" w:afterAutospacing="1"/>
    </w:pPr>
    <w:rPr>
      <w:szCs w:val="24"/>
      <w:lang w:eastAsia="en-GB"/>
    </w:rPr>
  </w:style>
  <w:style w:type="character" w:customStyle="1" w:styleId="tekstcenbold1">
    <w:name w:val="tekst_cenbold1"/>
    <w:basedOn w:val="Domylnaczcionkaakapitu"/>
    <w:rsid w:val="00F767C0"/>
    <w:rPr>
      <w:rFonts w:ascii="Arial" w:hAnsi="Arial" w:cs="Arial" w:hint="default"/>
      <w:b/>
      <w:bCs/>
      <w:strike w:val="0"/>
      <w:dstrike w:val="0"/>
      <w:color w:val="000000"/>
      <w:sz w:val="18"/>
      <w:szCs w:val="18"/>
      <w:u w:val="none"/>
      <w:effect w:val="none"/>
    </w:rPr>
  </w:style>
  <w:style w:type="character" w:customStyle="1" w:styleId="ju-005fpara-0020char1--char">
    <w:name w:val="ju-005fpara-0020char1--char"/>
    <w:basedOn w:val="Domylnaczcionkaakapitu"/>
    <w:rsid w:val="00F767C0"/>
  </w:style>
  <w:style w:type="paragraph" w:customStyle="1" w:styleId="ju-005fpara">
    <w:name w:val="ju-005fpara"/>
    <w:basedOn w:val="Normalny"/>
    <w:rsid w:val="00F767C0"/>
    <w:pPr>
      <w:suppressAutoHyphens w:val="0"/>
      <w:spacing w:before="100" w:beforeAutospacing="1" w:after="100" w:afterAutospacing="1"/>
    </w:pPr>
    <w:rPr>
      <w:szCs w:val="24"/>
      <w:lang w:eastAsia="en-GB"/>
    </w:rPr>
  </w:style>
  <w:style w:type="paragraph" w:styleId="HTML-wstpniesformatowany">
    <w:name w:val="HTML Preformatted"/>
    <w:basedOn w:val="Normalny"/>
    <w:link w:val="HTML-wstpniesformatowanyZnak"/>
    <w:rsid w:val="00F767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lang w:eastAsia="en-GB"/>
    </w:rPr>
  </w:style>
  <w:style w:type="character" w:customStyle="1" w:styleId="HTML-wstpniesformatowanyZnak">
    <w:name w:val="HTML - wstępnie sformatowany Znak"/>
    <w:basedOn w:val="Domylnaczcionkaakapitu"/>
    <w:link w:val="HTML-wstpniesformatowany"/>
    <w:rsid w:val="00F767C0"/>
    <w:rPr>
      <w:rFonts w:ascii="Courier New" w:eastAsia="Times New Roman" w:hAnsi="Courier New" w:cs="Courier New"/>
      <w:sz w:val="20"/>
      <w:szCs w:val="20"/>
      <w:lang w:val="en-GB" w:eastAsia="en-GB"/>
    </w:rPr>
  </w:style>
  <w:style w:type="character" w:customStyle="1" w:styleId="apple-converted-space">
    <w:name w:val="apple-converted-space"/>
    <w:basedOn w:val="Domylnaczcionkaakapitu"/>
    <w:rsid w:val="00F767C0"/>
  </w:style>
  <w:style w:type="paragraph" w:styleId="Tekstblokowy">
    <w:name w:val="Block Text"/>
    <w:basedOn w:val="Normalny"/>
    <w:uiPriority w:val="99"/>
    <w:unhideWhenUsed/>
    <w:rsid w:val="00F767C0"/>
    <w:pPr>
      <w:suppressAutoHyphens w:val="0"/>
      <w:spacing w:before="100" w:beforeAutospacing="1" w:after="100" w:afterAutospacing="1"/>
    </w:pPr>
    <w:rPr>
      <w:szCs w:val="24"/>
      <w:lang w:val="pl-PL" w:eastAsia="pl-PL"/>
    </w:rPr>
  </w:style>
  <w:style w:type="character" w:customStyle="1" w:styleId="JuHAChar">
    <w:name w:val="Ju_H_A Char"/>
    <w:basedOn w:val="Domylnaczcionkaakapitu"/>
    <w:link w:val="JuHA"/>
    <w:uiPriority w:val="99"/>
    <w:locked/>
    <w:rsid w:val="00F767C0"/>
    <w:rPr>
      <w:rFonts w:ascii="Times New Roman" w:eastAsia="Times New Roman" w:hAnsi="Times New Roman" w:cs="Times New Roman"/>
      <w:b/>
      <w:sz w:val="24"/>
      <w:szCs w:val="20"/>
      <w:lang w:val="en-GB" w:eastAsia="fr-FR"/>
    </w:rPr>
  </w:style>
  <w:style w:type="paragraph" w:styleId="Tekstprzypisukocowego">
    <w:name w:val="endnote text"/>
    <w:basedOn w:val="Normalny"/>
    <w:link w:val="TekstprzypisukocowegoZnak"/>
    <w:uiPriority w:val="99"/>
    <w:semiHidden/>
    <w:unhideWhenUsed/>
    <w:rsid w:val="00F767C0"/>
    <w:rPr>
      <w:sz w:val="20"/>
    </w:rPr>
  </w:style>
  <w:style w:type="character" w:customStyle="1" w:styleId="TekstprzypisukocowegoZnak">
    <w:name w:val="Tekst przypisu końcowego Znak"/>
    <w:basedOn w:val="Domylnaczcionkaakapitu"/>
    <w:link w:val="Tekstprzypisukocowego"/>
    <w:uiPriority w:val="99"/>
    <w:semiHidden/>
    <w:rsid w:val="00F767C0"/>
    <w:rPr>
      <w:rFonts w:ascii="Times New Roman" w:eastAsia="Times New Roman" w:hAnsi="Times New Roman" w:cs="Times New Roman"/>
      <w:sz w:val="20"/>
      <w:szCs w:val="20"/>
      <w:lang w:val="en-GB" w:eastAsia="fr-FR"/>
    </w:rPr>
  </w:style>
  <w:style w:type="character" w:styleId="Odwoanieprzypisukocowego">
    <w:name w:val="endnote reference"/>
    <w:basedOn w:val="Domylnaczcionkaakapitu"/>
    <w:uiPriority w:val="99"/>
    <w:semiHidden/>
    <w:unhideWhenUsed/>
    <w:rsid w:val="00F767C0"/>
    <w:rPr>
      <w:vertAlign w:val="superscript"/>
    </w:rPr>
  </w:style>
  <w:style w:type="character" w:customStyle="1" w:styleId="ju--005fpara----char--char">
    <w:name w:val="ju--005fpara----char--char"/>
    <w:uiPriority w:val="99"/>
    <w:rsid w:val="007114D6"/>
  </w:style>
  <w:style w:type="paragraph" w:customStyle="1" w:styleId="s6e50bd9a">
    <w:name w:val="s6e50bd9a"/>
    <w:basedOn w:val="Normalny"/>
    <w:uiPriority w:val="99"/>
    <w:rsid w:val="00314312"/>
    <w:pPr>
      <w:suppressAutoHyphens w:val="0"/>
      <w:spacing w:before="100" w:beforeAutospacing="1" w:after="100" w:afterAutospacing="1"/>
    </w:pPr>
    <w:rPr>
      <w:szCs w:val="24"/>
      <w:lang w:val="pl-PL" w:eastAsia="pl-PL"/>
    </w:rPr>
  </w:style>
  <w:style w:type="character" w:customStyle="1" w:styleId="s4f807e54">
    <w:name w:val="s4f807e54"/>
    <w:uiPriority w:val="99"/>
    <w:rsid w:val="00314312"/>
  </w:style>
  <w:style w:type="paragraph" w:customStyle="1" w:styleId="sc8420256">
    <w:name w:val="sc8420256"/>
    <w:basedOn w:val="Normalny"/>
    <w:rsid w:val="006F0352"/>
    <w:pPr>
      <w:suppressAutoHyphens w:val="0"/>
      <w:spacing w:before="100" w:beforeAutospacing="1" w:after="100" w:afterAutospacing="1"/>
    </w:pPr>
    <w:rPr>
      <w:szCs w:val="24"/>
      <w:lang w:val="pl-PL" w:eastAsia="pl-PL"/>
    </w:rPr>
  </w:style>
  <w:style w:type="character" w:customStyle="1" w:styleId="s32a37344">
    <w:name w:val="s32a37344"/>
    <w:rsid w:val="006F035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Bullet" w:uiPriority="0"/>
    <w:lsdException w:name="List 2"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767C0"/>
    <w:pPr>
      <w:suppressAutoHyphens/>
      <w:spacing w:after="0" w:line="240" w:lineRule="auto"/>
    </w:pPr>
    <w:rPr>
      <w:rFonts w:ascii="Times New Roman" w:eastAsia="Times New Roman" w:hAnsi="Times New Roman" w:cs="Times New Roman"/>
      <w:sz w:val="24"/>
      <w:szCs w:val="20"/>
      <w:lang w:val="en-GB" w:eastAsia="fr-FR"/>
    </w:rPr>
  </w:style>
  <w:style w:type="paragraph" w:styleId="Nagwek1">
    <w:name w:val="heading 1"/>
    <w:basedOn w:val="Normalny"/>
    <w:next w:val="Normalny"/>
    <w:link w:val="Nagwek1Znak"/>
    <w:qFormat/>
    <w:rsid w:val="00F767C0"/>
    <w:pPr>
      <w:keepNext/>
      <w:spacing w:before="360" w:after="240"/>
      <w:jc w:val="center"/>
      <w:outlineLvl w:val="0"/>
    </w:pPr>
    <w:rPr>
      <w:b/>
      <w:sz w:val="28"/>
    </w:rPr>
  </w:style>
  <w:style w:type="paragraph" w:styleId="Nagwek2">
    <w:name w:val="heading 2"/>
    <w:basedOn w:val="Normalny"/>
    <w:next w:val="Normalny"/>
    <w:link w:val="Nagwek2Znak"/>
    <w:qFormat/>
    <w:rsid w:val="00F767C0"/>
    <w:pPr>
      <w:keepNext/>
      <w:spacing w:before="240" w:after="120"/>
      <w:ind w:left="284" w:hanging="284"/>
      <w:outlineLvl w:val="1"/>
    </w:pPr>
    <w:rPr>
      <w:b/>
    </w:rPr>
  </w:style>
  <w:style w:type="paragraph" w:styleId="Nagwek3">
    <w:name w:val="heading 3"/>
    <w:basedOn w:val="Normalny"/>
    <w:next w:val="Normalny"/>
    <w:link w:val="Nagwek3Znak"/>
    <w:qFormat/>
    <w:rsid w:val="00F767C0"/>
    <w:pPr>
      <w:keepNext/>
      <w:spacing w:before="120" w:after="60"/>
      <w:ind w:left="1418" w:hanging="851"/>
      <w:outlineLvl w:val="2"/>
    </w:pPr>
    <w:rPr>
      <w:i/>
    </w:rPr>
  </w:style>
  <w:style w:type="paragraph" w:styleId="Nagwek4">
    <w:name w:val="heading 4"/>
    <w:basedOn w:val="Normalny"/>
    <w:next w:val="Normalny"/>
    <w:link w:val="Nagwek4Znak"/>
    <w:qFormat/>
    <w:rsid w:val="00F767C0"/>
    <w:pPr>
      <w:widowControl w:val="0"/>
      <w:outlineLvl w:val="3"/>
    </w:pPr>
    <w:rPr>
      <w:rFonts w:ascii="Courier" w:hAnsi="Courier"/>
      <w:snapToGrid w:val="0"/>
      <w:lang w:val="en-US" w:eastAsia="en-US"/>
    </w:rPr>
  </w:style>
  <w:style w:type="paragraph" w:styleId="Nagwek5">
    <w:name w:val="heading 5"/>
    <w:basedOn w:val="Normalny"/>
    <w:next w:val="Normalny"/>
    <w:link w:val="Nagwek5Znak"/>
    <w:qFormat/>
    <w:rsid w:val="00F767C0"/>
    <w:pPr>
      <w:widowControl w:val="0"/>
      <w:outlineLvl w:val="4"/>
    </w:pPr>
    <w:rPr>
      <w:rFonts w:ascii="Courier" w:hAnsi="Courier"/>
      <w:snapToGrid w:val="0"/>
      <w:lang w:val="en-US" w:eastAsia="en-US"/>
    </w:rPr>
  </w:style>
  <w:style w:type="paragraph" w:styleId="Nagwek6">
    <w:name w:val="heading 6"/>
    <w:basedOn w:val="Normalny"/>
    <w:next w:val="Normalny"/>
    <w:link w:val="Nagwek6Znak"/>
    <w:qFormat/>
    <w:rsid w:val="00F767C0"/>
    <w:pPr>
      <w:widowControl w:val="0"/>
      <w:outlineLvl w:val="5"/>
    </w:pPr>
    <w:rPr>
      <w:rFonts w:ascii="Courier" w:hAnsi="Courier"/>
      <w:snapToGrid w:val="0"/>
      <w:lang w:val="en-US" w:eastAsia="en-US"/>
    </w:rPr>
  </w:style>
  <w:style w:type="paragraph" w:styleId="Nagwek7">
    <w:name w:val="heading 7"/>
    <w:basedOn w:val="Normalny"/>
    <w:next w:val="Normalny"/>
    <w:link w:val="Nagwek7Znak"/>
    <w:qFormat/>
    <w:rsid w:val="00F767C0"/>
    <w:pPr>
      <w:widowControl w:val="0"/>
      <w:outlineLvl w:val="6"/>
    </w:pPr>
    <w:rPr>
      <w:rFonts w:ascii="Courier" w:hAnsi="Courier"/>
      <w:snapToGrid w:val="0"/>
      <w:lang w:val="en-US" w:eastAsia="en-US"/>
    </w:rPr>
  </w:style>
  <w:style w:type="paragraph" w:styleId="Nagwek8">
    <w:name w:val="heading 8"/>
    <w:basedOn w:val="Normalny"/>
    <w:next w:val="Normalny"/>
    <w:link w:val="Nagwek8Znak"/>
    <w:qFormat/>
    <w:rsid w:val="00F767C0"/>
    <w:pPr>
      <w:widowControl w:val="0"/>
      <w:outlineLvl w:val="7"/>
    </w:pPr>
    <w:rPr>
      <w:rFonts w:ascii="Courier" w:hAnsi="Courier"/>
      <w:snapToGrid w:val="0"/>
      <w:lang w:val="en-US" w:eastAsia="en-US"/>
    </w:rPr>
  </w:style>
  <w:style w:type="paragraph" w:styleId="Nagwek9">
    <w:name w:val="heading 9"/>
    <w:basedOn w:val="Normalny"/>
    <w:next w:val="Normalny"/>
    <w:link w:val="Nagwek9Znak"/>
    <w:qFormat/>
    <w:rsid w:val="00F767C0"/>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767C0"/>
    <w:rPr>
      <w:rFonts w:ascii="Times New Roman" w:eastAsia="Times New Roman" w:hAnsi="Times New Roman" w:cs="Times New Roman"/>
      <w:b/>
      <w:sz w:val="28"/>
      <w:szCs w:val="20"/>
      <w:lang w:val="en-GB" w:eastAsia="fr-FR"/>
    </w:rPr>
  </w:style>
  <w:style w:type="character" w:customStyle="1" w:styleId="Nagwek2Znak">
    <w:name w:val="Nagłówek 2 Znak"/>
    <w:basedOn w:val="Domylnaczcionkaakapitu"/>
    <w:link w:val="Nagwek2"/>
    <w:rsid w:val="00F767C0"/>
    <w:rPr>
      <w:rFonts w:ascii="Times New Roman" w:eastAsia="Times New Roman" w:hAnsi="Times New Roman" w:cs="Times New Roman"/>
      <w:b/>
      <w:sz w:val="24"/>
      <w:szCs w:val="20"/>
      <w:lang w:val="en-GB" w:eastAsia="fr-FR"/>
    </w:rPr>
  </w:style>
  <w:style w:type="character" w:customStyle="1" w:styleId="Nagwek3Znak">
    <w:name w:val="Nagłówek 3 Znak"/>
    <w:basedOn w:val="Domylnaczcionkaakapitu"/>
    <w:link w:val="Nagwek3"/>
    <w:rsid w:val="00F767C0"/>
    <w:rPr>
      <w:rFonts w:ascii="Times New Roman" w:eastAsia="Times New Roman" w:hAnsi="Times New Roman" w:cs="Times New Roman"/>
      <w:i/>
      <w:sz w:val="24"/>
      <w:szCs w:val="20"/>
      <w:lang w:val="en-GB" w:eastAsia="fr-FR"/>
    </w:rPr>
  </w:style>
  <w:style w:type="character" w:customStyle="1" w:styleId="Nagwek4Znak">
    <w:name w:val="Nagłówek 4 Znak"/>
    <w:basedOn w:val="Domylnaczcionkaakapitu"/>
    <w:link w:val="Nagwek4"/>
    <w:rsid w:val="00F767C0"/>
    <w:rPr>
      <w:rFonts w:ascii="Courier" w:eastAsia="Times New Roman" w:hAnsi="Courier" w:cs="Times New Roman"/>
      <w:snapToGrid w:val="0"/>
      <w:sz w:val="24"/>
      <w:szCs w:val="20"/>
      <w:lang w:val="en-US"/>
    </w:rPr>
  </w:style>
  <w:style w:type="character" w:customStyle="1" w:styleId="Nagwek5Znak">
    <w:name w:val="Nagłówek 5 Znak"/>
    <w:basedOn w:val="Domylnaczcionkaakapitu"/>
    <w:link w:val="Nagwek5"/>
    <w:rsid w:val="00F767C0"/>
    <w:rPr>
      <w:rFonts w:ascii="Courier" w:eastAsia="Times New Roman" w:hAnsi="Courier" w:cs="Times New Roman"/>
      <w:snapToGrid w:val="0"/>
      <w:sz w:val="24"/>
      <w:szCs w:val="20"/>
      <w:lang w:val="en-US"/>
    </w:rPr>
  </w:style>
  <w:style w:type="character" w:customStyle="1" w:styleId="Nagwek6Znak">
    <w:name w:val="Nagłówek 6 Znak"/>
    <w:basedOn w:val="Domylnaczcionkaakapitu"/>
    <w:link w:val="Nagwek6"/>
    <w:rsid w:val="00F767C0"/>
    <w:rPr>
      <w:rFonts w:ascii="Courier" w:eastAsia="Times New Roman" w:hAnsi="Courier" w:cs="Times New Roman"/>
      <w:snapToGrid w:val="0"/>
      <w:sz w:val="24"/>
      <w:szCs w:val="20"/>
      <w:lang w:val="en-US"/>
    </w:rPr>
  </w:style>
  <w:style w:type="character" w:customStyle="1" w:styleId="Nagwek7Znak">
    <w:name w:val="Nagłówek 7 Znak"/>
    <w:basedOn w:val="Domylnaczcionkaakapitu"/>
    <w:link w:val="Nagwek7"/>
    <w:rsid w:val="00F767C0"/>
    <w:rPr>
      <w:rFonts w:ascii="Courier" w:eastAsia="Times New Roman" w:hAnsi="Courier" w:cs="Times New Roman"/>
      <w:snapToGrid w:val="0"/>
      <w:sz w:val="24"/>
      <w:szCs w:val="20"/>
      <w:lang w:val="en-US"/>
    </w:rPr>
  </w:style>
  <w:style w:type="character" w:customStyle="1" w:styleId="Nagwek8Znak">
    <w:name w:val="Nagłówek 8 Znak"/>
    <w:basedOn w:val="Domylnaczcionkaakapitu"/>
    <w:link w:val="Nagwek8"/>
    <w:rsid w:val="00F767C0"/>
    <w:rPr>
      <w:rFonts w:ascii="Courier" w:eastAsia="Times New Roman" w:hAnsi="Courier" w:cs="Times New Roman"/>
      <w:snapToGrid w:val="0"/>
      <w:sz w:val="24"/>
      <w:szCs w:val="20"/>
      <w:lang w:val="en-US"/>
    </w:rPr>
  </w:style>
  <w:style w:type="character" w:customStyle="1" w:styleId="Nagwek9Znak">
    <w:name w:val="Nagłówek 9 Znak"/>
    <w:basedOn w:val="Domylnaczcionkaakapitu"/>
    <w:link w:val="Nagwek9"/>
    <w:rsid w:val="00F767C0"/>
    <w:rPr>
      <w:rFonts w:ascii="Times New Roman" w:eastAsia="Times New Roman" w:hAnsi="Times New Roman" w:cs="Times New Roman"/>
      <w:i/>
      <w:spacing w:val="-2"/>
      <w:szCs w:val="20"/>
      <w:lang w:val="en-GB" w:eastAsia="fr-FR"/>
    </w:rPr>
  </w:style>
  <w:style w:type="paragraph" w:customStyle="1" w:styleId="OpiHA">
    <w:name w:val="Opi_H_A"/>
    <w:basedOn w:val="JuHIRoman"/>
    <w:next w:val="OpiPara"/>
    <w:rsid w:val="00F767C0"/>
    <w:pPr>
      <w:tabs>
        <w:tab w:val="clear" w:pos="357"/>
      </w:tabs>
    </w:pPr>
    <w:rPr>
      <w:b/>
    </w:rPr>
  </w:style>
  <w:style w:type="paragraph" w:customStyle="1" w:styleId="JuHIRoman">
    <w:name w:val="Ju_H_I_Roman"/>
    <w:basedOn w:val="JuHHead"/>
    <w:next w:val="JuPara"/>
    <w:rsid w:val="00F767C0"/>
    <w:pPr>
      <w:tabs>
        <w:tab w:val="left" w:pos="357"/>
      </w:tabs>
      <w:spacing w:before="360"/>
      <w:ind w:left="357" w:hanging="357"/>
      <w:outlineLvl w:val="1"/>
    </w:pPr>
    <w:rPr>
      <w:sz w:val="24"/>
    </w:rPr>
  </w:style>
  <w:style w:type="paragraph" w:customStyle="1" w:styleId="JuHHead">
    <w:name w:val="Ju_H_Head"/>
    <w:basedOn w:val="Normalny"/>
    <w:next w:val="JuPara"/>
    <w:uiPriority w:val="99"/>
    <w:rsid w:val="00F767C0"/>
    <w:pPr>
      <w:keepNext/>
      <w:keepLines/>
      <w:spacing w:before="720" w:after="240"/>
      <w:jc w:val="both"/>
      <w:outlineLvl w:val="0"/>
    </w:pPr>
    <w:rPr>
      <w:sz w:val="28"/>
    </w:rPr>
  </w:style>
  <w:style w:type="paragraph" w:customStyle="1" w:styleId="JuPara">
    <w:name w:val="Ju_Para"/>
    <w:aliases w:val="Left,First line:  0 cm"/>
    <w:basedOn w:val="Normalny"/>
    <w:link w:val="JuParaChar"/>
    <w:rsid w:val="00F767C0"/>
    <w:pPr>
      <w:ind w:firstLine="284"/>
      <w:jc w:val="both"/>
    </w:pPr>
  </w:style>
  <w:style w:type="paragraph" w:customStyle="1" w:styleId="OpiPara">
    <w:name w:val="Opi_Para"/>
    <w:basedOn w:val="JuPara"/>
    <w:rsid w:val="00F767C0"/>
  </w:style>
  <w:style w:type="paragraph" w:customStyle="1" w:styleId="OpiH1">
    <w:name w:val="Opi_H_1."/>
    <w:basedOn w:val="OpiHA"/>
    <w:next w:val="OpiPara"/>
    <w:rsid w:val="00F767C0"/>
    <w:pPr>
      <w:spacing w:before="240" w:after="120"/>
      <w:ind w:left="635"/>
    </w:pPr>
    <w:rPr>
      <w:b w:val="0"/>
      <w:i/>
    </w:rPr>
  </w:style>
  <w:style w:type="paragraph" w:customStyle="1" w:styleId="OpiHa0">
    <w:name w:val="Opi_H_a"/>
    <w:basedOn w:val="OpiH1"/>
    <w:next w:val="OpiPara"/>
    <w:rsid w:val="00F767C0"/>
    <w:pPr>
      <w:ind w:left="834"/>
    </w:pPr>
    <w:rPr>
      <w:b/>
      <w:i w:val="0"/>
      <w:sz w:val="20"/>
    </w:rPr>
  </w:style>
  <w:style w:type="paragraph" w:customStyle="1" w:styleId="OpiHHead">
    <w:name w:val="Opi_H_Head"/>
    <w:basedOn w:val="JuHHead"/>
    <w:next w:val="OpiPara"/>
    <w:rsid w:val="00F767C0"/>
    <w:pPr>
      <w:spacing w:before="0"/>
      <w:jc w:val="center"/>
    </w:pPr>
  </w:style>
  <w:style w:type="paragraph" w:customStyle="1" w:styleId="OpiHi">
    <w:name w:val="Opi_H_i"/>
    <w:basedOn w:val="OpiHa0"/>
    <w:next w:val="OpiPara"/>
    <w:rsid w:val="00F767C0"/>
    <w:pPr>
      <w:ind w:left="1038"/>
    </w:pPr>
    <w:rPr>
      <w:b w:val="0"/>
      <w:i/>
    </w:rPr>
  </w:style>
  <w:style w:type="paragraph" w:styleId="Stopka">
    <w:name w:val="footer"/>
    <w:basedOn w:val="Normalny"/>
    <w:link w:val="StopkaZnak"/>
    <w:uiPriority w:val="99"/>
    <w:rsid w:val="00F767C0"/>
    <w:pPr>
      <w:tabs>
        <w:tab w:val="center" w:pos="3686"/>
        <w:tab w:val="right" w:pos="7371"/>
      </w:tabs>
    </w:pPr>
    <w:rPr>
      <w:sz w:val="18"/>
    </w:rPr>
  </w:style>
  <w:style w:type="character" w:customStyle="1" w:styleId="StopkaZnak">
    <w:name w:val="Stopka Znak"/>
    <w:basedOn w:val="Domylnaczcionkaakapitu"/>
    <w:link w:val="Stopka"/>
    <w:uiPriority w:val="99"/>
    <w:rsid w:val="00F767C0"/>
    <w:rPr>
      <w:rFonts w:ascii="Times New Roman" w:eastAsia="Times New Roman" w:hAnsi="Times New Roman" w:cs="Times New Roman"/>
      <w:sz w:val="18"/>
      <w:szCs w:val="20"/>
      <w:lang w:val="en-GB" w:eastAsia="fr-FR"/>
    </w:rPr>
  </w:style>
  <w:style w:type="paragraph" w:customStyle="1" w:styleId="JuJudges">
    <w:name w:val="Ju_Judges"/>
    <w:basedOn w:val="Normalny"/>
    <w:link w:val="JuJudgesChar"/>
    <w:uiPriority w:val="99"/>
    <w:rsid w:val="00F767C0"/>
    <w:pPr>
      <w:tabs>
        <w:tab w:val="left" w:pos="567"/>
        <w:tab w:val="left" w:pos="1134"/>
      </w:tabs>
    </w:pPr>
  </w:style>
  <w:style w:type="character" w:customStyle="1" w:styleId="JuParaChar">
    <w:name w:val="Ju_Para Char"/>
    <w:basedOn w:val="Domylnaczcionkaakapitu"/>
    <w:link w:val="JuPara"/>
    <w:rsid w:val="00F767C0"/>
    <w:rPr>
      <w:rFonts w:ascii="Times New Roman" w:eastAsia="Times New Roman" w:hAnsi="Times New Roman" w:cs="Times New Roman"/>
      <w:sz w:val="24"/>
      <w:szCs w:val="20"/>
      <w:lang w:val="en-GB" w:eastAsia="fr-FR"/>
    </w:rPr>
  </w:style>
  <w:style w:type="paragraph" w:customStyle="1" w:styleId="JuHA">
    <w:name w:val="Ju_H_A"/>
    <w:basedOn w:val="JuHIRoman"/>
    <w:next w:val="JuPara"/>
    <w:link w:val="JuHAChar"/>
    <w:uiPriority w:val="99"/>
    <w:rsid w:val="00F767C0"/>
    <w:pPr>
      <w:tabs>
        <w:tab w:val="clear" w:pos="357"/>
        <w:tab w:val="left" w:pos="584"/>
      </w:tabs>
      <w:ind w:left="584" w:hanging="352"/>
      <w:outlineLvl w:val="2"/>
    </w:pPr>
    <w:rPr>
      <w:b/>
    </w:rPr>
  </w:style>
  <w:style w:type="paragraph" w:customStyle="1" w:styleId="JuQuot">
    <w:name w:val="Ju_Quot"/>
    <w:basedOn w:val="JuPara"/>
    <w:link w:val="JuQuotChar"/>
    <w:rsid w:val="00F767C0"/>
    <w:pPr>
      <w:spacing w:before="120" w:after="120"/>
      <w:ind w:left="425" w:firstLine="142"/>
    </w:pPr>
    <w:rPr>
      <w:sz w:val="20"/>
    </w:rPr>
  </w:style>
  <w:style w:type="paragraph" w:customStyle="1" w:styleId="JuSigned">
    <w:name w:val="Ju_Signed"/>
    <w:basedOn w:val="Normalny"/>
    <w:next w:val="JuParaLast"/>
    <w:link w:val="JuSignedChar"/>
    <w:uiPriority w:val="99"/>
    <w:rsid w:val="00F767C0"/>
    <w:pPr>
      <w:tabs>
        <w:tab w:val="center" w:pos="851"/>
        <w:tab w:val="center" w:pos="6407"/>
      </w:tabs>
      <w:spacing w:before="720"/>
    </w:pPr>
  </w:style>
  <w:style w:type="paragraph" w:customStyle="1" w:styleId="JuParaLast">
    <w:name w:val="Ju_Para_Last"/>
    <w:basedOn w:val="JuPara"/>
    <w:next w:val="JuPara"/>
    <w:rsid w:val="00F767C0"/>
    <w:pPr>
      <w:keepNext/>
      <w:keepLines/>
      <w:spacing w:before="240"/>
    </w:pPr>
  </w:style>
  <w:style w:type="paragraph" w:customStyle="1" w:styleId="JuCase">
    <w:name w:val="Ju_Case"/>
    <w:basedOn w:val="JuPara"/>
    <w:next w:val="JuPara"/>
    <w:link w:val="JuCaseChar"/>
    <w:rsid w:val="00F767C0"/>
    <w:rPr>
      <w:b/>
    </w:rPr>
  </w:style>
  <w:style w:type="paragraph" w:customStyle="1" w:styleId="JuList">
    <w:name w:val="Ju_List"/>
    <w:basedOn w:val="JuPara"/>
    <w:link w:val="JuListChar"/>
    <w:rsid w:val="00F767C0"/>
    <w:pPr>
      <w:ind w:left="340" w:hanging="340"/>
    </w:pPr>
  </w:style>
  <w:style w:type="paragraph" w:customStyle="1" w:styleId="JuHArticle">
    <w:name w:val="Ju_H_Article"/>
    <w:basedOn w:val="JuHa0"/>
    <w:next w:val="JuQuot"/>
    <w:rsid w:val="00F767C0"/>
    <w:pPr>
      <w:ind w:left="0" w:firstLine="0"/>
      <w:jc w:val="center"/>
    </w:pPr>
  </w:style>
  <w:style w:type="paragraph" w:customStyle="1" w:styleId="JuHa0">
    <w:name w:val="Ju_H_a"/>
    <w:basedOn w:val="JuH1"/>
    <w:next w:val="JuPara"/>
    <w:rsid w:val="00F767C0"/>
    <w:pPr>
      <w:tabs>
        <w:tab w:val="clear" w:pos="731"/>
        <w:tab w:val="left" w:pos="975"/>
      </w:tabs>
      <w:ind w:left="975" w:hanging="340"/>
    </w:pPr>
    <w:rPr>
      <w:b/>
      <w:i w:val="0"/>
      <w:sz w:val="20"/>
    </w:rPr>
  </w:style>
  <w:style w:type="paragraph" w:customStyle="1" w:styleId="JuH1">
    <w:name w:val="Ju_H_1."/>
    <w:basedOn w:val="JuHA"/>
    <w:next w:val="JuPara"/>
    <w:rsid w:val="00F767C0"/>
    <w:pPr>
      <w:tabs>
        <w:tab w:val="clear" w:pos="584"/>
        <w:tab w:val="left" w:pos="731"/>
      </w:tabs>
      <w:spacing w:before="240" w:after="120"/>
      <w:ind w:left="732" w:hanging="301"/>
      <w:outlineLvl w:val="9"/>
    </w:pPr>
    <w:rPr>
      <w:b w:val="0"/>
      <w:i/>
    </w:rPr>
  </w:style>
  <w:style w:type="paragraph" w:customStyle="1" w:styleId="JuQuotList">
    <w:name w:val="Ju_Quot_List"/>
    <w:basedOn w:val="JuQuot"/>
    <w:rsid w:val="00F767C0"/>
    <w:pPr>
      <w:tabs>
        <w:tab w:val="left" w:pos="1021"/>
      </w:tabs>
      <w:ind w:left="567" w:firstLine="0"/>
    </w:pPr>
  </w:style>
  <w:style w:type="paragraph" w:customStyle="1" w:styleId="JuCourt">
    <w:name w:val="Ju_Court"/>
    <w:basedOn w:val="JuJudges"/>
    <w:rsid w:val="00F767C0"/>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F767C0"/>
  </w:style>
  <w:style w:type="paragraph" w:customStyle="1" w:styleId="OpiTranslation">
    <w:name w:val="Opi_Translation"/>
    <w:basedOn w:val="OpiHHead"/>
    <w:next w:val="OpiPara"/>
    <w:rsid w:val="00F767C0"/>
    <w:rPr>
      <w:i/>
      <w:sz w:val="24"/>
    </w:rPr>
  </w:style>
  <w:style w:type="paragraph" w:styleId="Tekstprzypisudolnego">
    <w:name w:val="footnote text"/>
    <w:basedOn w:val="Normalny"/>
    <w:link w:val="TekstprzypisudolnegoZnak"/>
    <w:semiHidden/>
    <w:rsid w:val="00F767C0"/>
    <w:pPr>
      <w:jc w:val="both"/>
    </w:pPr>
    <w:rPr>
      <w:sz w:val="20"/>
    </w:rPr>
  </w:style>
  <w:style w:type="character" w:customStyle="1" w:styleId="TekstprzypisudolnegoZnak">
    <w:name w:val="Tekst przypisu dolnego Znak"/>
    <w:basedOn w:val="Domylnaczcionkaakapitu"/>
    <w:link w:val="Tekstprzypisudolnego"/>
    <w:semiHidden/>
    <w:rsid w:val="00F767C0"/>
    <w:rPr>
      <w:rFonts w:ascii="Times New Roman" w:eastAsia="Times New Roman" w:hAnsi="Times New Roman" w:cs="Times New Roman"/>
      <w:sz w:val="20"/>
      <w:szCs w:val="20"/>
      <w:lang w:val="en-GB" w:eastAsia="fr-FR"/>
    </w:rPr>
  </w:style>
  <w:style w:type="character" w:styleId="Odwoanieprzypisudolnego">
    <w:name w:val="footnote reference"/>
    <w:basedOn w:val="Domylnaczcionkaakapitu"/>
    <w:semiHidden/>
    <w:rsid w:val="00F767C0"/>
    <w:rPr>
      <w:vertAlign w:val="superscript"/>
    </w:rPr>
  </w:style>
  <w:style w:type="paragraph" w:customStyle="1" w:styleId="JuHi">
    <w:name w:val="Ju_H_i"/>
    <w:basedOn w:val="JuHa0"/>
    <w:next w:val="JuPara"/>
    <w:rsid w:val="00F767C0"/>
    <w:pPr>
      <w:tabs>
        <w:tab w:val="clear" w:pos="975"/>
        <w:tab w:val="left" w:pos="1191"/>
      </w:tabs>
      <w:ind w:left="1190" w:hanging="357"/>
    </w:pPr>
    <w:rPr>
      <w:b w:val="0"/>
      <w:i/>
    </w:rPr>
  </w:style>
  <w:style w:type="paragraph" w:styleId="Nagwek">
    <w:name w:val="header"/>
    <w:basedOn w:val="Normalny"/>
    <w:link w:val="NagwekZnak"/>
    <w:uiPriority w:val="99"/>
    <w:rsid w:val="00F767C0"/>
    <w:pPr>
      <w:tabs>
        <w:tab w:val="center" w:pos="3686"/>
        <w:tab w:val="right" w:pos="7371"/>
      </w:tabs>
    </w:pPr>
    <w:rPr>
      <w:sz w:val="18"/>
    </w:rPr>
  </w:style>
  <w:style w:type="character" w:customStyle="1" w:styleId="NagwekZnak">
    <w:name w:val="Nagłówek Znak"/>
    <w:basedOn w:val="Domylnaczcionkaakapitu"/>
    <w:link w:val="Nagwek"/>
    <w:uiPriority w:val="99"/>
    <w:rsid w:val="00F767C0"/>
    <w:rPr>
      <w:rFonts w:ascii="Times New Roman" w:eastAsia="Times New Roman" w:hAnsi="Times New Roman" w:cs="Times New Roman"/>
      <w:sz w:val="18"/>
      <w:szCs w:val="20"/>
      <w:lang w:val="en-GB" w:eastAsia="fr-FR"/>
    </w:rPr>
  </w:style>
  <w:style w:type="character" w:styleId="Numerstrony">
    <w:name w:val="page number"/>
    <w:basedOn w:val="Domylnaczcionkaakapitu"/>
    <w:rsid w:val="00F767C0"/>
    <w:rPr>
      <w:sz w:val="18"/>
    </w:rPr>
  </w:style>
  <w:style w:type="paragraph" w:customStyle="1" w:styleId="JuH">
    <w:name w:val="Ju_H_–"/>
    <w:basedOn w:val="JuHalpha"/>
    <w:next w:val="JuPara"/>
    <w:rsid w:val="00F767C0"/>
    <w:pPr>
      <w:tabs>
        <w:tab w:val="clear" w:pos="1372"/>
      </w:tabs>
      <w:ind w:left="1236" w:firstLine="0"/>
    </w:pPr>
    <w:rPr>
      <w:i/>
    </w:rPr>
  </w:style>
  <w:style w:type="paragraph" w:customStyle="1" w:styleId="JuHalpha">
    <w:name w:val="Ju_H_alpha"/>
    <w:basedOn w:val="JuHi"/>
    <w:next w:val="JuPara"/>
    <w:rsid w:val="00F767C0"/>
    <w:pPr>
      <w:tabs>
        <w:tab w:val="clear" w:pos="1191"/>
        <w:tab w:val="left" w:pos="1372"/>
      </w:tabs>
      <w:ind w:left="1373" w:hanging="335"/>
    </w:pPr>
    <w:rPr>
      <w:i w:val="0"/>
    </w:rPr>
  </w:style>
  <w:style w:type="paragraph" w:customStyle="1" w:styleId="JuLista">
    <w:name w:val="Ju_List_a"/>
    <w:basedOn w:val="JuList"/>
    <w:rsid w:val="00F767C0"/>
    <w:pPr>
      <w:ind w:left="346" w:firstLine="0"/>
    </w:pPr>
  </w:style>
  <w:style w:type="paragraph" w:customStyle="1" w:styleId="JuListi">
    <w:name w:val="Ju_List_i"/>
    <w:basedOn w:val="JuLista"/>
    <w:rsid w:val="00F767C0"/>
    <w:pPr>
      <w:ind w:left="794"/>
    </w:pPr>
  </w:style>
  <w:style w:type="character" w:styleId="Odwoaniedokomentarza">
    <w:name w:val="annotation reference"/>
    <w:basedOn w:val="Domylnaczcionkaakapitu"/>
    <w:semiHidden/>
    <w:rsid w:val="00F767C0"/>
    <w:rPr>
      <w:sz w:val="16"/>
    </w:rPr>
  </w:style>
  <w:style w:type="paragraph" w:styleId="Tekstkomentarza">
    <w:name w:val="annotation text"/>
    <w:basedOn w:val="Normalny"/>
    <w:link w:val="TekstkomentarzaZnak"/>
    <w:semiHidden/>
    <w:rsid w:val="00F767C0"/>
    <w:rPr>
      <w:sz w:val="20"/>
    </w:rPr>
  </w:style>
  <w:style w:type="character" w:customStyle="1" w:styleId="TekstkomentarzaZnak">
    <w:name w:val="Tekst komentarza Znak"/>
    <w:basedOn w:val="Domylnaczcionkaakapitu"/>
    <w:link w:val="Tekstkomentarza"/>
    <w:semiHidden/>
    <w:rsid w:val="00F767C0"/>
    <w:rPr>
      <w:rFonts w:ascii="Times New Roman" w:eastAsia="Times New Roman" w:hAnsi="Times New Roman" w:cs="Times New Roman"/>
      <w:sz w:val="20"/>
      <w:szCs w:val="20"/>
      <w:lang w:val="en-GB" w:eastAsia="fr-FR"/>
    </w:rPr>
  </w:style>
  <w:style w:type="paragraph" w:customStyle="1" w:styleId="JuInitialled">
    <w:name w:val="Ju_Initialled"/>
    <w:basedOn w:val="JuSigned"/>
    <w:rsid w:val="00F767C0"/>
    <w:pPr>
      <w:tabs>
        <w:tab w:val="clear" w:pos="851"/>
      </w:tabs>
      <w:jc w:val="right"/>
    </w:pPr>
  </w:style>
  <w:style w:type="paragraph" w:customStyle="1" w:styleId="JuHeader">
    <w:name w:val="Ju_Header"/>
    <w:basedOn w:val="Nagwek"/>
    <w:rsid w:val="00F767C0"/>
  </w:style>
  <w:style w:type="paragraph" w:customStyle="1" w:styleId="DecHTitle">
    <w:name w:val="Dec_H_Title"/>
    <w:basedOn w:val="Normalny"/>
    <w:rsid w:val="00F767C0"/>
    <w:pPr>
      <w:spacing w:after="240"/>
      <w:jc w:val="center"/>
    </w:pPr>
    <w:rPr>
      <w:sz w:val="28"/>
    </w:rPr>
  </w:style>
  <w:style w:type="paragraph" w:customStyle="1" w:styleId="DecHCase">
    <w:name w:val="Dec_H_Case"/>
    <w:basedOn w:val="DecHTitle"/>
    <w:next w:val="JuPara"/>
    <w:rsid w:val="00F767C0"/>
    <w:rPr>
      <w:sz w:val="24"/>
    </w:rPr>
  </w:style>
  <w:style w:type="paragraph" w:customStyle="1" w:styleId="DecList">
    <w:name w:val="Dec_List"/>
    <w:basedOn w:val="Normalny"/>
    <w:rsid w:val="00F767C0"/>
    <w:pPr>
      <w:spacing w:before="240"/>
      <w:ind w:left="284"/>
      <w:jc w:val="both"/>
    </w:pPr>
  </w:style>
  <w:style w:type="paragraph" w:customStyle="1" w:styleId="JuParaSub">
    <w:name w:val="Ju_Para_Sub"/>
    <w:basedOn w:val="JuPara"/>
    <w:rsid w:val="00F767C0"/>
    <w:pPr>
      <w:ind w:left="284"/>
    </w:pPr>
    <w:rPr>
      <w:szCs w:val="24"/>
    </w:rPr>
  </w:style>
  <w:style w:type="paragraph" w:customStyle="1" w:styleId="JuQuotSub">
    <w:name w:val="Ju_Quot_Sub"/>
    <w:basedOn w:val="JuQuot"/>
    <w:rsid w:val="00F767C0"/>
    <w:pPr>
      <w:ind w:left="567"/>
    </w:pPr>
  </w:style>
  <w:style w:type="paragraph" w:styleId="Tekstdymka">
    <w:name w:val="Balloon Text"/>
    <w:basedOn w:val="Normalny"/>
    <w:link w:val="TekstdymkaZnak"/>
    <w:semiHidden/>
    <w:rsid w:val="00F767C0"/>
    <w:rPr>
      <w:rFonts w:ascii="Tahoma" w:hAnsi="Tahoma" w:cs="Tahoma"/>
      <w:sz w:val="16"/>
      <w:szCs w:val="16"/>
    </w:rPr>
  </w:style>
  <w:style w:type="character" w:customStyle="1" w:styleId="TekstdymkaZnak">
    <w:name w:val="Tekst dymka Znak"/>
    <w:basedOn w:val="Domylnaczcionkaakapitu"/>
    <w:link w:val="Tekstdymka"/>
    <w:semiHidden/>
    <w:rsid w:val="00F767C0"/>
    <w:rPr>
      <w:rFonts w:ascii="Tahoma" w:eastAsia="Times New Roman" w:hAnsi="Tahoma" w:cs="Tahoma"/>
      <w:sz w:val="16"/>
      <w:szCs w:val="16"/>
      <w:lang w:val="en-GB" w:eastAsia="fr-FR"/>
    </w:rPr>
  </w:style>
  <w:style w:type="paragraph" w:styleId="Tematkomentarza">
    <w:name w:val="annotation subject"/>
    <w:basedOn w:val="Tekstkomentarza"/>
    <w:next w:val="Tekstkomentarza"/>
    <w:link w:val="TematkomentarzaZnak"/>
    <w:semiHidden/>
    <w:rsid w:val="00F767C0"/>
    <w:rPr>
      <w:b/>
      <w:bCs/>
    </w:rPr>
  </w:style>
  <w:style w:type="character" w:customStyle="1" w:styleId="TematkomentarzaZnak">
    <w:name w:val="Temat komentarza Znak"/>
    <w:basedOn w:val="TekstkomentarzaZnak"/>
    <w:link w:val="Tematkomentarza"/>
    <w:semiHidden/>
    <w:rsid w:val="00F767C0"/>
    <w:rPr>
      <w:rFonts w:ascii="Times New Roman" w:eastAsia="Times New Roman" w:hAnsi="Times New Roman" w:cs="Times New Roman"/>
      <w:b/>
      <w:bCs/>
      <w:sz w:val="20"/>
      <w:szCs w:val="20"/>
      <w:lang w:val="en-GB" w:eastAsia="fr-FR"/>
    </w:rPr>
  </w:style>
  <w:style w:type="paragraph" w:customStyle="1" w:styleId="PJuPara">
    <w:name w:val="P_Ju_Para"/>
    <w:basedOn w:val="Normalny"/>
    <w:rsid w:val="00F767C0"/>
    <w:pPr>
      <w:ind w:firstLine="284"/>
      <w:jc w:val="both"/>
    </w:pPr>
  </w:style>
  <w:style w:type="paragraph" w:customStyle="1" w:styleId="PJuQuot">
    <w:name w:val="P_Ju_Quot"/>
    <w:basedOn w:val="Normalny"/>
    <w:rsid w:val="00F767C0"/>
    <w:pPr>
      <w:spacing w:before="120" w:after="120"/>
      <w:ind w:left="403" w:firstLine="176"/>
      <w:jc w:val="both"/>
    </w:pPr>
    <w:rPr>
      <w:sz w:val="20"/>
    </w:rPr>
  </w:style>
  <w:style w:type="paragraph" w:customStyle="1" w:styleId="PListArticleSubject">
    <w:name w:val="P_List_ArticleSubject"/>
    <w:basedOn w:val="Normalny"/>
    <w:rsid w:val="00F767C0"/>
    <w:pPr>
      <w:tabs>
        <w:tab w:val="left" w:pos="2977"/>
      </w:tabs>
      <w:ind w:left="2977" w:hanging="2977"/>
    </w:pPr>
  </w:style>
  <w:style w:type="paragraph" w:customStyle="1" w:styleId="SuCoverTitle1">
    <w:name w:val="Su_Cover_Title1"/>
    <w:basedOn w:val="Normalny"/>
    <w:next w:val="SuCoverTitle2"/>
    <w:rsid w:val="00F767C0"/>
    <w:pPr>
      <w:spacing w:before="2500"/>
      <w:jc w:val="center"/>
    </w:pPr>
    <w:rPr>
      <w:sz w:val="22"/>
    </w:rPr>
  </w:style>
  <w:style w:type="paragraph" w:customStyle="1" w:styleId="SuCoverTitle2">
    <w:name w:val="Su_Cover_Title2"/>
    <w:basedOn w:val="SuCoverTitle1"/>
    <w:next w:val="Normalny"/>
    <w:rsid w:val="00F767C0"/>
    <w:pPr>
      <w:spacing w:before="240"/>
    </w:pPr>
    <w:rPr>
      <w:sz w:val="18"/>
    </w:rPr>
  </w:style>
  <w:style w:type="paragraph" w:customStyle="1" w:styleId="SuPara">
    <w:name w:val="Su_Para"/>
    <w:basedOn w:val="SuKeywords"/>
    <w:rsid w:val="00F767C0"/>
    <w:pPr>
      <w:spacing w:before="0" w:after="0"/>
    </w:pPr>
    <w:rPr>
      <w:i w:val="0"/>
    </w:rPr>
  </w:style>
  <w:style w:type="paragraph" w:customStyle="1" w:styleId="SuKeywords">
    <w:name w:val="Su_Keywords"/>
    <w:basedOn w:val="SuHHead"/>
    <w:rsid w:val="00F767C0"/>
    <w:pPr>
      <w:spacing w:before="120"/>
    </w:pPr>
    <w:rPr>
      <w:b w:val="0"/>
      <w:i/>
    </w:rPr>
  </w:style>
  <w:style w:type="paragraph" w:customStyle="1" w:styleId="SuHHead">
    <w:name w:val="Su_H_Head"/>
    <w:basedOn w:val="SuSubject"/>
    <w:rsid w:val="00F767C0"/>
    <w:pPr>
      <w:spacing w:after="120"/>
    </w:pPr>
  </w:style>
  <w:style w:type="paragraph" w:customStyle="1" w:styleId="SuSubject">
    <w:name w:val="Su_Subject"/>
    <w:basedOn w:val="SuSummary"/>
    <w:rsid w:val="00F767C0"/>
    <w:pPr>
      <w:spacing w:before="360"/>
      <w:jc w:val="both"/>
    </w:pPr>
    <w:rPr>
      <w:b/>
      <w:sz w:val="22"/>
    </w:rPr>
  </w:style>
  <w:style w:type="paragraph" w:customStyle="1" w:styleId="SuSummary">
    <w:name w:val="Su_Summary"/>
    <w:basedOn w:val="Normalny"/>
    <w:next w:val="SuSubject"/>
    <w:rsid w:val="00F767C0"/>
    <w:pPr>
      <w:spacing w:after="240"/>
      <w:jc w:val="center"/>
    </w:pPr>
  </w:style>
  <w:style w:type="paragraph" w:customStyle="1" w:styleId="PListCaseNo">
    <w:name w:val="P_List_CaseNo"/>
    <w:basedOn w:val="Normalny"/>
    <w:rsid w:val="00F767C0"/>
    <w:pPr>
      <w:tabs>
        <w:tab w:val="left" w:pos="1276"/>
      </w:tabs>
      <w:spacing w:line="288" w:lineRule="auto"/>
      <w:ind w:left="1276" w:hanging="1276"/>
    </w:pPr>
  </w:style>
  <w:style w:type="paragraph" w:customStyle="1" w:styleId="PListCases">
    <w:name w:val="P_List_Cases"/>
    <w:basedOn w:val="Normalny"/>
    <w:rsid w:val="00F767C0"/>
    <w:pPr>
      <w:spacing w:line="288" w:lineRule="auto"/>
    </w:pPr>
  </w:style>
  <w:style w:type="paragraph" w:customStyle="1" w:styleId="PTextIntro">
    <w:name w:val="P_Text_Intro"/>
    <w:basedOn w:val="Normalny"/>
    <w:rsid w:val="00F767C0"/>
    <w:pPr>
      <w:jc w:val="both"/>
    </w:pPr>
    <w:rPr>
      <w:i/>
      <w:sz w:val="20"/>
    </w:rPr>
  </w:style>
  <w:style w:type="paragraph" w:customStyle="1" w:styleId="PTitleCover">
    <w:name w:val="P_Title_Cover"/>
    <w:basedOn w:val="Normalny"/>
    <w:rsid w:val="00F767C0"/>
    <w:pPr>
      <w:spacing w:before="2500"/>
      <w:jc w:val="center"/>
    </w:pPr>
    <w:rPr>
      <w:b/>
      <w:smallCaps/>
      <w:sz w:val="30"/>
    </w:rPr>
  </w:style>
  <w:style w:type="paragraph" w:customStyle="1" w:styleId="PTitle1Alpha">
    <w:name w:val="P_Title1_Alpha"/>
    <w:basedOn w:val="Normalny"/>
    <w:next w:val="Normalny"/>
    <w:rsid w:val="00F767C0"/>
    <w:pPr>
      <w:spacing w:after="120"/>
      <w:jc w:val="center"/>
    </w:pPr>
    <w:rPr>
      <w:b/>
      <w:smallCaps/>
      <w:sz w:val="30"/>
    </w:rPr>
  </w:style>
  <w:style w:type="paragraph" w:customStyle="1" w:styleId="PTitle1IndexArticle">
    <w:name w:val="P_Title1_IndexArticle"/>
    <w:basedOn w:val="Normalny"/>
    <w:rsid w:val="00F767C0"/>
    <w:pPr>
      <w:spacing w:after="120"/>
      <w:jc w:val="center"/>
    </w:pPr>
    <w:rPr>
      <w:b/>
      <w:smallCaps/>
      <w:sz w:val="30"/>
    </w:rPr>
  </w:style>
  <w:style w:type="paragraph" w:customStyle="1" w:styleId="PTitle1IndexKey">
    <w:name w:val="P_Title1_IndexKey"/>
    <w:basedOn w:val="Normalny"/>
    <w:rsid w:val="00F767C0"/>
    <w:pPr>
      <w:spacing w:after="600"/>
      <w:jc w:val="center"/>
    </w:pPr>
    <w:rPr>
      <w:b/>
      <w:smallCaps/>
      <w:sz w:val="30"/>
    </w:rPr>
  </w:style>
  <w:style w:type="paragraph" w:customStyle="1" w:styleId="PTitle1Num">
    <w:name w:val="P_Title1_Num"/>
    <w:basedOn w:val="Normalny"/>
    <w:next w:val="PListCaseNo"/>
    <w:rsid w:val="00F767C0"/>
    <w:pPr>
      <w:spacing w:after="720"/>
      <w:jc w:val="center"/>
    </w:pPr>
    <w:rPr>
      <w:b/>
      <w:smallCaps/>
      <w:sz w:val="30"/>
    </w:rPr>
  </w:style>
  <w:style w:type="paragraph" w:customStyle="1" w:styleId="PTitle2Country">
    <w:name w:val="P_Title2_Country"/>
    <w:basedOn w:val="Normalny"/>
    <w:next w:val="PListCases"/>
    <w:rsid w:val="00F767C0"/>
    <w:pPr>
      <w:keepNext/>
      <w:keepLines/>
      <w:spacing w:before="600" w:after="360"/>
    </w:pPr>
    <w:rPr>
      <w:b/>
    </w:rPr>
  </w:style>
  <w:style w:type="paragraph" w:customStyle="1" w:styleId="PTitle2Letters">
    <w:name w:val="P_Title2_Letters"/>
    <w:basedOn w:val="Normalny"/>
    <w:next w:val="PListCases"/>
    <w:rsid w:val="00F767C0"/>
    <w:pPr>
      <w:keepNext/>
      <w:keepLines/>
      <w:spacing w:before="600" w:after="360"/>
    </w:pPr>
    <w:rPr>
      <w:b/>
      <w:sz w:val="28"/>
    </w:rPr>
  </w:style>
  <w:style w:type="paragraph" w:customStyle="1" w:styleId="PTitle2Part">
    <w:name w:val="P_Title2_Part"/>
    <w:basedOn w:val="Normalny"/>
    <w:rsid w:val="00F767C0"/>
    <w:pPr>
      <w:keepNext/>
      <w:keepLines/>
      <w:spacing w:before="600" w:after="240"/>
      <w:jc w:val="center"/>
    </w:pPr>
    <w:rPr>
      <w:b/>
      <w:caps/>
    </w:rPr>
  </w:style>
  <w:style w:type="paragraph" w:customStyle="1" w:styleId="PTitle3Article">
    <w:name w:val="P_Title3_Article"/>
    <w:basedOn w:val="Normalny"/>
    <w:rsid w:val="00F767C0"/>
    <w:pPr>
      <w:keepNext/>
      <w:keepLines/>
      <w:spacing w:before="360" w:after="120"/>
      <w:jc w:val="center"/>
    </w:pPr>
    <w:rPr>
      <w:b/>
      <w:smallCaps/>
      <w:sz w:val="22"/>
    </w:rPr>
  </w:style>
  <w:style w:type="paragraph" w:customStyle="1" w:styleId="PTitle4ArticleSub">
    <w:name w:val="P_Title4_Article_Sub"/>
    <w:basedOn w:val="PTitle3Article"/>
    <w:rsid w:val="00F767C0"/>
    <w:pPr>
      <w:spacing w:before="240"/>
    </w:pPr>
    <w:rPr>
      <w:smallCaps w:val="0"/>
      <w:sz w:val="20"/>
    </w:rPr>
  </w:style>
  <w:style w:type="paragraph" w:customStyle="1" w:styleId="PTitle5Subject">
    <w:name w:val="P_Title5_Subject"/>
    <w:basedOn w:val="Normalny"/>
    <w:rsid w:val="00F767C0"/>
    <w:pPr>
      <w:keepNext/>
      <w:keepLines/>
      <w:spacing w:before="240" w:after="120"/>
      <w:jc w:val="both"/>
    </w:pPr>
    <w:rPr>
      <w:b/>
      <w:i/>
    </w:rPr>
  </w:style>
  <w:style w:type="paragraph" w:customStyle="1" w:styleId="PTitle6SubjectSub">
    <w:name w:val="P_Title6_Subject_Sub"/>
    <w:basedOn w:val="Normalny"/>
    <w:rsid w:val="00F767C0"/>
    <w:pPr>
      <w:keepNext/>
      <w:keepLines/>
      <w:spacing w:before="240" w:after="120"/>
      <w:ind w:left="284"/>
      <w:jc w:val="both"/>
    </w:pPr>
    <w:rPr>
      <w:b/>
      <w:sz w:val="20"/>
    </w:rPr>
  </w:style>
  <w:style w:type="paragraph" w:customStyle="1" w:styleId="PTitle7CaseName">
    <w:name w:val="P_Title7_CaseName"/>
    <w:basedOn w:val="Normalny"/>
    <w:rsid w:val="00F767C0"/>
    <w:pPr>
      <w:keepLines/>
      <w:spacing w:after="240"/>
      <w:jc w:val="right"/>
    </w:pPr>
    <w:rPr>
      <w:sz w:val="22"/>
    </w:rPr>
  </w:style>
  <w:style w:type="paragraph" w:customStyle="1" w:styleId="OpiParaSub">
    <w:name w:val="Opi_Para_Sub"/>
    <w:basedOn w:val="JuParaSub"/>
    <w:rsid w:val="00F767C0"/>
  </w:style>
  <w:style w:type="paragraph" w:customStyle="1" w:styleId="OpiQuotSub">
    <w:name w:val="Opi_Quot_Sub"/>
    <w:basedOn w:val="JuQuotSub"/>
    <w:rsid w:val="00F767C0"/>
  </w:style>
  <w:style w:type="character" w:customStyle="1" w:styleId="JuSignedChar">
    <w:name w:val="Ju_Signed Char"/>
    <w:basedOn w:val="Domylnaczcionkaakapitu"/>
    <w:link w:val="JuSigned"/>
    <w:uiPriority w:val="99"/>
    <w:rsid w:val="00F767C0"/>
    <w:rPr>
      <w:rFonts w:ascii="Times New Roman" w:eastAsia="Times New Roman" w:hAnsi="Times New Roman" w:cs="Times New Roman"/>
      <w:sz w:val="24"/>
      <w:szCs w:val="20"/>
      <w:lang w:val="en-GB" w:eastAsia="fr-FR"/>
    </w:rPr>
  </w:style>
  <w:style w:type="character" w:customStyle="1" w:styleId="JuJudgesChar">
    <w:name w:val="Ju_Judges Char"/>
    <w:basedOn w:val="Domylnaczcionkaakapitu"/>
    <w:link w:val="JuJudges"/>
    <w:uiPriority w:val="99"/>
    <w:locked/>
    <w:rsid w:val="00F767C0"/>
    <w:rPr>
      <w:rFonts w:ascii="Times New Roman" w:eastAsia="Times New Roman" w:hAnsi="Times New Roman" w:cs="Times New Roman"/>
      <w:sz w:val="24"/>
      <w:szCs w:val="20"/>
      <w:lang w:val="en-GB" w:eastAsia="fr-FR"/>
    </w:rPr>
  </w:style>
  <w:style w:type="character" w:customStyle="1" w:styleId="JuCaseChar">
    <w:name w:val="Ju_Case Char"/>
    <w:basedOn w:val="JuParaChar"/>
    <w:link w:val="JuCase"/>
    <w:rsid w:val="00F767C0"/>
    <w:rPr>
      <w:rFonts w:ascii="Times New Roman" w:eastAsia="Times New Roman" w:hAnsi="Times New Roman" w:cs="Times New Roman"/>
      <w:b/>
      <w:sz w:val="24"/>
      <w:szCs w:val="20"/>
      <w:lang w:val="en-GB" w:eastAsia="fr-FR"/>
    </w:rPr>
  </w:style>
  <w:style w:type="character" w:customStyle="1" w:styleId="JuParaCar">
    <w:name w:val="Ju_Para Car"/>
    <w:basedOn w:val="Domylnaczcionkaakapitu"/>
    <w:rsid w:val="00F767C0"/>
    <w:rPr>
      <w:sz w:val="24"/>
      <w:lang w:val="en-GB" w:eastAsia="fr-FR" w:bidi="ar-SA"/>
    </w:rPr>
  </w:style>
  <w:style w:type="character" w:customStyle="1" w:styleId="JuListChar">
    <w:name w:val="Ju_List Char"/>
    <w:basedOn w:val="Domylnaczcionkaakapitu"/>
    <w:link w:val="JuList"/>
    <w:rsid w:val="00F767C0"/>
    <w:rPr>
      <w:rFonts w:ascii="Times New Roman" w:eastAsia="Times New Roman" w:hAnsi="Times New Roman" w:cs="Times New Roman"/>
      <w:sz w:val="24"/>
      <w:szCs w:val="20"/>
      <w:lang w:val="en-GB" w:eastAsia="fr-FR"/>
    </w:rPr>
  </w:style>
  <w:style w:type="character" w:styleId="Pogrubienie">
    <w:name w:val="Strong"/>
    <w:basedOn w:val="Domylnaczcionkaakapitu"/>
    <w:qFormat/>
    <w:rsid w:val="00F767C0"/>
    <w:rPr>
      <w:b/>
      <w:bCs/>
    </w:rPr>
  </w:style>
  <w:style w:type="paragraph" w:styleId="Mapadokumentu">
    <w:name w:val="Document Map"/>
    <w:basedOn w:val="Normalny"/>
    <w:link w:val="MapadokumentuZnak"/>
    <w:semiHidden/>
    <w:rsid w:val="00F767C0"/>
    <w:pPr>
      <w:shd w:val="clear" w:color="auto" w:fill="000080"/>
    </w:pPr>
    <w:rPr>
      <w:rFonts w:ascii="Tahoma" w:hAnsi="Tahoma" w:cs="Tahoma"/>
      <w:sz w:val="20"/>
    </w:rPr>
  </w:style>
  <w:style w:type="character" w:customStyle="1" w:styleId="MapadokumentuZnak">
    <w:name w:val="Mapa dokumentu Znak"/>
    <w:basedOn w:val="Domylnaczcionkaakapitu"/>
    <w:link w:val="Mapadokumentu"/>
    <w:semiHidden/>
    <w:rsid w:val="00F767C0"/>
    <w:rPr>
      <w:rFonts w:ascii="Tahoma" w:eastAsia="Times New Roman" w:hAnsi="Tahoma" w:cs="Tahoma"/>
      <w:sz w:val="20"/>
      <w:szCs w:val="20"/>
      <w:shd w:val="clear" w:color="auto" w:fill="000080"/>
      <w:lang w:val="en-GB" w:eastAsia="fr-FR"/>
    </w:rPr>
  </w:style>
  <w:style w:type="character" w:customStyle="1" w:styleId="JuNames">
    <w:name w:val="Ju_Names"/>
    <w:basedOn w:val="Domylnaczcionkaakapitu"/>
    <w:rsid w:val="00F767C0"/>
    <w:rPr>
      <w:smallCaps/>
    </w:rPr>
  </w:style>
  <w:style w:type="paragraph" w:customStyle="1" w:styleId="NormalJustified">
    <w:name w:val="Normal_Justified"/>
    <w:basedOn w:val="Normalny"/>
    <w:rsid w:val="00F767C0"/>
    <w:pPr>
      <w:jc w:val="both"/>
    </w:pPr>
  </w:style>
  <w:style w:type="paragraph" w:customStyle="1" w:styleId="AppQuestion">
    <w:name w:val="App_Question"/>
    <w:basedOn w:val="Listapunktowana"/>
    <w:rsid w:val="00F767C0"/>
    <w:pPr>
      <w:numPr>
        <w:numId w:val="3"/>
      </w:numPr>
    </w:pPr>
    <w:rPr>
      <w:b/>
      <w:color w:val="333333"/>
    </w:rPr>
  </w:style>
  <w:style w:type="paragraph" w:styleId="Listapunktowana">
    <w:name w:val="List Bullet"/>
    <w:basedOn w:val="Normalny"/>
    <w:rsid w:val="00F767C0"/>
    <w:pPr>
      <w:numPr>
        <w:numId w:val="2"/>
      </w:numPr>
    </w:pPr>
  </w:style>
  <w:style w:type="character" w:styleId="Hipercze">
    <w:name w:val="Hyperlink"/>
    <w:basedOn w:val="Domylnaczcionkaakapitu"/>
    <w:uiPriority w:val="99"/>
    <w:rsid w:val="00F767C0"/>
    <w:rPr>
      <w:color w:val="0000FF"/>
      <w:u w:val="single"/>
    </w:rPr>
  </w:style>
  <w:style w:type="character" w:customStyle="1" w:styleId="JuParaChar1Char1">
    <w:name w:val="Ju_Para Char1 Char1"/>
    <w:basedOn w:val="Domylnaczcionkaakapitu"/>
    <w:link w:val="JuParaChar1"/>
    <w:locked/>
    <w:rsid w:val="00F767C0"/>
    <w:rPr>
      <w:sz w:val="24"/>
      <w:lang w:val="en-GB" w:eastAsia="fr-FR"/>
    </w:rPr>
  </w:style>
  <w:style w:type="paragraph" w:customStyle="1" w:styleId="JuParaChar1">
    <w:name w:val="Ju_Para Char1"/>
    <w:basedOn w:val="Normalny"/>
    <w:link w:val="JuParaChar1Char1"/>
    <w:rsid w:val="00F767C0"/>
    <w:pPr>
      <w:ind w:firstLine="284"/>
      <w:jc w:val="both"/>
    </w:pPr>
    <w:rPr>
      <w:rFonts w:asciiTheme="minorHAnsi" w:eastAsiaTheme="minorHAnsi" w:hAnsiTheme="minorHAnsi" w:cstheme="minorBidi"/>
      <w:szCs w:val="22"/>
    </w:rPr>
  </w:style>
  <w:style w:type="character" w:customStyle="1" w:styleId="JuQuotChar">
    <w:name w:val="Ju_Quot Char"/>
    <w:basedOn w:val="Domylnaczcionkaakapitu"/>
    <w:link w:val="JuQuot"/>
    <w:locked/>
    <w:rsid w:val="00F767C0"/>
    <w:rPr>
      <w:rFonts w:ascii="Times New Roman" w:eastAsia="Times New Roman" w:hAnsi="Times New Roman" w:cs="Times New Roman"/>
      <w:sz w:val="20"/>
      <w:szCs w:val="20"/>
      <w:lang w:val="en-GB" w:eastAsia="fr-FR"/>
    </w:rPr>
  </w:style>
  <w:style w:type="character" w:customStyle="1" w:styleId="ju-005fpara--char">
    <w:name w:val="ju-005fpara--char"/>
    <w:basedOn w:val="Domylnaczcionkaakapitu"/>
    <w:rsid w:val="00F767C0"/>
  </w:style>
  <w:style w:type="character" w:customStyle="1" w:styleId="ju----005fpara--------char----char--char">
    <w:name w:val="ju----005fpara--------char----char--char"/>
    <w:basedOn w:val="Domylnaczcionkaakapitu"/>
    <w:rsid w:val="00F767C0"/>
  </w:style>
  <w:style w:type="character" w:customStyle="1" w:styleId="JuParaChar1Char">
    <w:name w:val="Ju_Para Char1 Char"/>
    <w:basedOn w:val="Domylnaczcionkaakapitu"/>
    <w:rsid w:val="00F767C0"/>
    <w:rPr>
      <w:sz w:val="24"/>
      <w:lang w:val="en-GB" w:eastAsia="fr-FR" w:bidi="ar-SA"/>
    </w:rPr>
  </w:style>
  <w:style w:type="paragraph" w:styleId="Lista2">
    <w:name w:val="List 2"/>
    <w:basedOn w:val="Normalny"/>
    <w:rsid w:val="00F767C0"/>
    <w:pPr>
      <w:suppressAutoHyphens w:val="0"/>
      <w:ind w:left="566" w:hanging="283"/>
    </w:pPr>
    <w:rPr>
      <w:rFonts w:eastAsia="Calibri"/>
      <w:szCs w:val="24"/>
      <w:lang w:eastAsia="en-US"/>
    </w:rPr>
  </w:style>
  <w:style w:type="paragraph" w:styleId="Akapitzlist">
    <w:name w:val="List Paragraph"/>
    <w:basedOn w:val="Normalny"/>
    <w:qFormat/>
    <w:rsid w:val="00F767C0"/>
    <w:pPr>
      <w:suppressAutoHyphens w:val="0"/>
      <w:ind w:left="708"/>
    </w:pPr>
    <w:rPr>
      <w:rFonts w:eastAsia="Calibri"/>
      <w:lang w:eastAsia="en-US"/>
    </w:rPr>
  </w:style>
  <w:style w:type="paragraph" w:customStyle="1" w:styleId="tekst1">
    <w:name w:val="tekst_1"/>
    <w:basedOn w:val="Normalny"/>
    <w:rsid w:val="00F767C0"/>
    <w:pPr>
      <w:suppressAutoHyphens w:val="0"/>
      <w:spacing w:before="100" w:beforeAutospacing="1" w:after="100" w:afterAutospacing="1"/>
    </w:pPr>
    <w:rPr>
      <w:rFonts w:ascii="Arial" w:hAnsi="Arial" w:cs="Arial"/>
      <w:color w:val="000000"/>
      <w:sz w:val="18"/>
      <w:szCs w:val="18"/>
      <w:lang w:eastAsia="en-GB"/>
    </w:rPr>
  </w:style>
  <w:style w:type="paragraph" w:customStyle="1" w:styleId="tekstcentar">
    <w:name w:val="tekst_centar"/>
    <w:basedOn w:val="Normalny"/>
    <w:rsid w:val="00F767C0"/>
    <w:pPr>
      <w:suppressAutoHyphens w:val="0"/>
      <w:spacing w:before="100" w:beforeAutospacing="1" w:after="100" w:afterAutospacing="1"/>
      <w:jc w:val="center"/>
    </w:pPr>
    <w:rPr>
      <w:rFonts w:ascii="Arial" w:hAnsi="Arial" w:cs="Arial"/>
      <w:color w:val="000000"/>
      <w:sz w:val="18"/>
      <w:szCs w:val="18"/>
      <w:lang w:eastAsia="en-GB"/>
    </w:rPr>
  </w:style>
  <w:style w:type="paragraph" w:customStyle="1" w:styleId="tekstcenbold">
    <w:name w:val="tekst_cenbold"/>
    <w:basedOn w:val="Normalny"/>
    <w:rsid w:val="00F767C0"/>
    <w:pPr>
      <w:suppressAutoHyphens w:val="0"/>
      <w:spacing w:before="100" w:beforeAutospacing="1" w:after="100" w:afterAutospacing="1"/>
      <w:jc w:val="center"/>
    </w:pPr>
    <w:rPr>
      <w:rFonts w:ascii="Arial" w:hAnsi="Arial" w:cs="Arial"/>
      <w:b/>
      <w:bCs/>
      <w:color w:val="000000"/>
      <w:sz w:val="18"/>
      <w:szCs w:val="18"/>
      <w:lang w:eastAsia="en-GB"/>
    </w:rPr>
  </w:style>
  <w:style w:type="paragraph" w:styleId="NormalnyWeb">
    <w:name w:val="Normal (Web)"/>
    <w:basedOn w:val="Normalny"/>
    <w:rsid w:val="00F767C0"/>
    <w:pPr>
      <w:suppressAutoHyphens w:val="0"/>
      <w:spacing w:before="100" w:beforeAutospacing="1" w:after="100" w:afterAutospacing="1"/>
    </w:pPr>
    <w:rPr>
      <w:szCs w:val="24"/>
      <w:lang w:eastAsia="en-GB"/>
    </w:rPr>
  </w:style>
  <w:style w:type="character" w:customStyle="1" w:styleId="tekstcenbold1">
    <w:name w:val="tekst_cenbold1"/>
    <w:basedOn w:val="Domylnaczcionkaakapitu"/>
    <w:rsid w:val="00F767C0"/>
    <w:rPr>
      <w:rFonts w:ascii="Arial" w:hAnsi="Arial" w:cs="Arial" w:hint="default"/>
      <w:b/>
      <w:bCs/>
      <w:strike w:val="0"/>
      <w:dstrike w:val="0"/>
      <w:color w:val="000000"/>
      <w:sz w:val="18"/>
      <w:szCs w:val="18"/>
      <w:u w:val="none"/>
      <w:effect w:val="none"/>
    </w:rPr>
  </w:style>
  <w:style w:type="character" w:customStyle="1" w:styleId="ju-005fpara-0020char1--char">
    <w:name w:val="ju-005fpara-0020char1--char"/>
    <w:basedOn w:val="Domylnaczcionkaakapitu"/>
    <w:rsid w:val="00F767C0"/>
  </w:style>
  <w:style w:type="paragraph" w:customStyle="1" w:styleId="ju-005fpara">
    <w:name w:val="ju-005fpara"/>
    <w:basedOn w:val="Normalny"/>
    <w:rsid w:val="00F767C0"/>
    <w:pPr>
      <w:suppressAutoHyphens w:val="0"/>
      <w:spacing w:before="100" w:beforeAutospacing="1" w:after="100" w:afterAutospacing="1"/>
    </w:pPr>
    <w:rPr>
      <w:szCs w:val="24"/>
      <w:lang w:eastAsia="en-GB"/>
    </w:rPr>
  </w:style>
  <w:style w:type="paragraph" w:styleId="HTML-wstpniesformatowany">
    <w:name w:val="HTML Preformatted"/>
    <w:basedOn w:val="Normalny"/>
    <w:link w:val="HTML-wstpniesformatowanyZnak"/>
    <w:rsid w:val="00F767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lang w:eastAsia="en-GB"/>
    </w:rPr>
  </w:style>
  <w:style w:type="character" w:customStyle="1" w:styleId="HTML-wstpniesformatowanyZnak">
    <w:name w:val="HTML - wstępnie sformatowany Znak"/>
    <w:basedOn w:val="Domylnaczcionkaakapitu"/>
    <w:link w:val="HTML-wstpniesformatowany"/>
    <w:rsid w:val="00F767C0"/>
    <w:rPr>
      <w:rFonts w:ascii="Courier New" w:eastAsia="Times New Roman" w:hAnsi="Courier New" w:cs="Courier New"/>
      <w:sz w:val="20"/>
      <w:szCs w:val="20"/>
      <w:lang w:val="en-GB" w:eastAsia="en-GB"/>
    </w:rPr>
  </w:style>
  <w:style w:type="character" w:customStyle="1" w:styleId="apple-converted-space">
    <w:name w:val="apple-converted-space"/>
    <w:basedOn w:val="Domylnaczcionkaakapitu"/>
    <w:rsid w:val="00F767C0"/>
  </w:style>
  <w:style w:type="paragraph" w:styleId="Tekstblokowy">
    <w:name w:val="Block Text"/>
    <w:basedOn w:val="Normalny"/>
    <w:uiPriority w:val="99"/>
    <w:unhideWhenUsed/>
    <w:rsid w:val="00F767C0"/>
    <w:pPr>
      <w:suppressAutoHyphens w:val="0"/>
      <w:spacing w:before="100" w:beforeAutospacing="1" w:after="100" w:afterAutospacing="1"/>
    </w:pPr>
    <w:rPr>
      <w:szCs w:val="24"/>
      <w:lang w:val="pl-PL" w:eastAsia="pl-PL"/>
    </w:rPr>
  </w:style>
  <w:style w:type="character" w:customStyle="1" w:styleId="JuHAChar">
    <w:name w:val="Ju_H_A Char"/>
    <w:basedOn w:val="Domylnaczcionkaakapitu"/>
    <w:link w:val="JuHA"/>
    <w:uiPriority w:val="99"/>
    <w:locked/>
    <w:rsid w:val="00F767C0"/>
    <w:rPr>
      <w:rFonts w:ascii="Times New Roman" w:eastAsia="Times New Roman" w:hAnsi="Times New Roman" w:cs="Times New Roman"/>
      <w:b/>
      <w:sz w:val="24"/>
      <w:szCs w:val="20"/>
      <w:lang w:val="en-GB" w:eastAsia="fr-FR"/>
    </w:rPr>
  </w:style>
  <w:style w:type="paragraph" w:styleId="Tekstprzypisukocowego">
    <w:name w:val="endnote text"/>
    <w:basedOn w:val="Normalny"/>
    <w:link w:val="TekstprzypisukocowegoZnak"/>
    <w:uiPriority w:val="99"/>
    <w:semiHidden/>
    <w:unhideWhenUsed/>
    <w:rsid w:val="00F767C0"/>
    <w:rPr>
      <w:sz w:val="20"/>
    </w:rPr>
  </w:style>
  <w:style w:type="character" w:customStyle="1" w:styleId="TekstprzypisukocowegoZnak">
    <w:name w:val="Tekst przypisu końcowego Znak"/>
    <w:basedOn w:val="Domylnaczcionkaakapitu"/>
    <w:link w:val="Tekstprzypisukocowego"/>
    <w:uiPriority w:val="99"/>
    <w:semiHidden/>
    <w:rsid w:val="00F767C0"/>
    <w:rPr>
      <w:rFonts w:ascii="Times New Roman" w:eastAsia="Times New Roman" w:hAnsi="Times New Roman" w:cs="Times New Roman"/>
      <w:sz w:val="20"/>
      <w:szCs w:val="20"/>
      <w:lang w:val="en-GB" w:eastAsia="fr-FR"/>
    </w:rPr>
  </w:style>
  <w:style w:type="character" w:styleId="Odwoanieprzypisukocowego">
    <w:name w:val="endnote reference"/>
    <w:basedOn w:val="Domylnaczcionkaakapitu"/>
    <w:uiPriority w:val="99"/>
    <w:semiHidden/>
    <w:unhideWhenUsed/>
    <w:rsid w:val="00F767C0"/>
    <w:rPr>
      <w:vertAlign w:val="superscript"/>
    </w:rPr>
  </w:style>
  <w:style w:type="character" w:customStyle="1" w:styleId="ju--005fpara----char--char">
    <w:name w:val="ju--005fpara----char--char"/>
    <w:uiPriority w:val="99"/>
    <w:rsid w:val="007114D6"/>
  </w:style>
  <w:style w:type="paragraph" w:customStyle="1" w:styleId="s6e50bd9a">
    <w:name w:val="s6e50bd9a"/>
    <w:basedOn w:val="Normalny"/>
    <w:uiPriority w:val="99"/>
    <w:rsid w:val="00314312"/>
    <w:pPr>
      <w:suppressAutoHyphens w:val="0"/>
      <w:spacing w:before="100" w:beforeAutospacing="1" w:after="100" w:afterAutospacing="1"/>
    </w:pPr>
    <w:rPr>
      <w:szCs w:val="24"/>
      <w:lang w:val="pl-PL" w:eastAsia="pl-PL"/>
    </w:rPr>
  </w:style>
  <w:style w:type="character" w:customStyle="1" w:styleId="s4f807e54">
    <w:name w:val="s4f807e54"/>
    <w:uiPriority w:val="99"/>
    <w:rsid w:val="00314312"/>
  </w:style>
  <w:style w:type="paragraph" w:customStyle="1" w:styleId="sc8420256">
    <w:name w:val="sc8420256"/>
    <w:basedOn w:val="Normalny"/>
    <w:rsid w:val="006F0352"/>
    <w:pPr>
      <w:suppressAutoHyphens w:val="0"/>
      <w:spacing w:before="100" w:beforeAutospacing="1" w:after="100" w:afterAutospacing="1"/>
    </w:pPr>
    <w:rPr>
      <w:szCs w:val="24"/>
      <w:lang w:val="pl-PL" w:eastAsia="pl-PL"/>
    </w:rPr>
  </w:style>
  <w:style w:type="character" w:customStyle="1" w:styleId="s32a37344">
    <w:name w:val="s32a37344"/>
    <w:rsid w:val="006F03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5.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4.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52E561-2A67-4821-96B2-C3ABF07D93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11253</Words>
  <Characters>67523</Characters>
  <Application>Microsoft Office Word</Application>
  <DocSecurity>0</DocSecurity>
  <Lines>562</Lines>
  <Paragraphs>157</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78619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2016-07-29T07:23:00Z</dcterms:created>
  <dcterms:modified xsi:type="dcterms:W3CDTF">2016-07-29T07:23:00Z</dcterms:modified>
</cp:coreProperties>
</file>