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D30" w:rsidRDefault="00FD2D30" w:rsidP="0007238A">
      <w:pPr>
        <w:jc w:val="center"/>
        <w:rPr>
          <w:lang w:val="en-GB"/>
        </w:rPr>
      </w:pPr>
      <w:bookmarkStart w:id="0" w:name="_GoBack"/>
      <w:bookmarkEnd w:id="0"/>
    </w:p>
    <w:p w:rsidR="00444788" w:rsidRPr="006F7AB6" w:rsidRDefault="00444788" w:rsidP="0007238A">
      <w:pPr>
        <w:jc w:val="center"/>
        <w:rPr>
          <w:lang w:val="en-GB"/>
        </w:rPr>
      </w:pPr>
    </w:p>
    <w:p w:rsidR="00CD49A7" w:rsidRPr="006F7AB6" w:rsidRDefault="00CD49A7" w:rsidP="0007238A">
      <w:pPr>
        <w:jc w:val="center"/>
        <w:rPr>
          <w:lang w:val="en-GB"/>
        </w:rPr>
      </w:pPr>
    </w:p>
    <w:p w:rsidR="00CD49A7" w:rsidRPr="00805A7D" w:rsidRDefault="00990C94" w:rsidP="0007238A">
      <w:pPr>
        <w:jc w:val="center"/>
        <w:rPr>
          <w:lang w:val="en-GB"/>
        </w:rPr>
      </w:pPr>
      <w:r>
        <w:rPr>
          <w:lang w:val="en-GB"/>
        </w:rPr>
        <w:t>GRAND CHAMBER</w:t>
      </w:r>
    </w:p>
    <w:p w:rsidR="00CD49A7" w:rsidRPr="00805A7D" w:rsidRDefault="00CD49A7" w:rsidP="0007238A">
      <w:pPr>
        <w:jc w:val="center"/>
        <w:rPr>
          <w:lang w:val="en-GB"/>
        </w:rPr>
      </w:pPr>
    </w:p>
    <w:p w:rsidR="00CD49A7" w:rsidRPr="00805A7D" w:rsidRDefault="00CD49A7" w:rsidP="0007238A">
      <w:pPr>
        <w:jc w:val="center"/>
        <w:rPr>
          <w:lang w:val="en-GB"/>
        </w:rPr>
      </w:pPr>
    </w:p>
    <w:p w:rsidR="00CD49A7" w:rsidRPr="00805A7D" w:rsidRDefault="00CD49A7" w:rsidP="0007238A">
      <w:pPr>
        <w:jc w:val="center"/>
        <w:rPr>
          <w:lang w:val="en-GB"/>
        </w:rPr>
      </w:pPr>
    </w:p>
    <w:p w:rsidR="00CD49A7" w:rsidRPr="00805A7D" w:rsidRDefault="00CD49A7" w:rsidP="0007238A">
      <w:pPr>
        <w:jc w:val="center"/>
        <w:rPr>
          <w:lang w:val="en-GB"/>
        </w:rPr>
      </w:pPr>
    </w:p>
    <w:p w:rsidR="00CD49A7" w:rsidRPr="00805A7D" w:rsidRDefault="00CD49A7" w:rsidP="0007238A">
      <w:pPr>
        <w:jc w:val="center"/>
        <w:rPr>
          <w:lang w:val="en-GB"/>
        </w:rPr>
      </w:pPr>
    </w:p>
    <w:p w:rsidR="00CD49A7" w:rsidRDefault="00CD49A7" w:rsidP="0007238A">
      <w:pPr>
        <w:jc w:val="center"/>
        <w:rPr>
          <w:lang w:val="en-GB"/>
        </w:rPr>
      </w:pPr>
    </w:p>
    <w:p w:rsidR="00444788" w:rsidRDefault="00444788" w:rsidP="0007238A">
      <w:pPr>
        <w:jc w:val="center"/>
        <w:rPr>
          <w:lang w:val="en-GB"/>
        </w:rPr>
      </w:pPr>
    </w:p>
    <w:p w:rsidR="00444788" w:rsidRDefault="00444788" w:rsidP="0007238A">
      <w:pPr>
        <w:jc w:val="center"/>
        <w:rPr>
          <w:lang w:val="en-GB"/>
        </w:rPr>
      </w:pPr>
    </w:p>
    <w:p w:rsidR="00444788" w:rsidRPr="00805A7D" w:rsidRDefault="00444788" w:rsidP="0007238A">
      <w:pPr>
        <w:jc w:val="center"/>
        <w:rPr>
          <w:lang w:val="en-GB"/>
        </w:rPr>
      </w:pPr>
    </w:p>
    <w:p w:rsidR="00CD49A7" w:rsidRPr="00805A7D" w:rsidRDefault="00CD49A7" w:rsidP="0007238A">
      <w:pPr>
        <w:jc w:val="center"/>
        <w:rPr>
          <w:b/>
          <w:lang w:val="en-GB"/>
        </w:rPr>
      </w:pPr>
      <w:r w:rsidRPr="00805A7D">
        <w:rPr>
          <w:b/>
          <w:lang w:val="en-GB"/>
        </w:rPr>
        <w:t xml:space="preserve">CASE OF </w:t>
      </w:r>
      <w:r w:rsidR="00EE152A">
        <w:rPr>
          <w:b/>
          <w:lang w:val="en-GB"/>
        </w:rPr>
        <w:t>HÄMÄLÄ</w:t>
      </w:r>
      <w:r w:rsidR="00990C94">
        <w:rPr>
          <w:b/>
          <w:lang w:val="en-GB"/>
        </w:rPr>
        <w:t>INEN v. FINLAND</w:t>
      </w:r>
    </w:p>
    <w:p w:rsidR="00CD49A7" w:rsidRPr="00805A7D" w:rsidRDefault="00CD49A7" w:rsidP="0007238A">
      <w:pPr>
        <w:jc w:val="center"/>
        <w:rPr>
          <w:lang w:val="en-GB"/>
        </w:rPr>
      </w:pPr>
    </w:p>
    <w:p w:rsidR="00CD49A7" w:rsidRPr="00805A7D" w:rsidRDefault="00CD49A7" w:rsidP="0007238A">
      <w:pPr>
        <w:jc w:val="center"/>
        <w:rPr>
          <w:i/>
          <w:lang w:val="en-GB"/>
        </w:rPr>
      </w:pPr>
      <w:r w:rsidRPr="00805A7D">
        <w:rPr>
          <w:i/>
          <w:lang w:val="en-GB"/>
        </w:rPr>
        <w:t>(</w:t>
      </w:r>
      <w:r w:rsidR="00990C94" w:rsidRPr="00805A7D">
        <w:rPr>
          <w:i/>
          <w:lang w:val="en-GB"/>
        </w:rPr>
        <w:t xml:space="preserve">Application no. </w:t>
      </w:r>
      <w:r w:rsidR="00990C94">
        <w:rPr>
          <w:i/>
          <w:lang w:val="en-GB"/>
        </w:rPr>
        <w:t>37359/09</w:t>
      </w:r>
      <w:r w:rsidRPr="00805A7D">
        <w:rPr>
          <w:i/>
          <w:lang w:val="en-GB"/>
        </w:rPr>
        <w:t>)</w:t>
      </w:r>
    </w:p>
    <w:p w:rsidR="00CD49A7" w:rsidRPr="00805A7D" w:rsidRDefault="00CD49A7" w:rsidP="0007238A">
      <w:pPr>
        <w:jc w:val="center"/>
        <w:rPr>
          <w:lang w:val="en-GB"/>
        </w:rPr>
      </w:pPr>
    </w:p>
    <w:p w:rsidR="00AD5065" w:rsidRPr="00805A7D" w:rsidRDefault="00AD5065" w:rsidP="0007238A">
      <w:pPr>
        <w:jc w:val="center"/>
        <w:rPr>
          <w:szCs w:val="24"/>
          <w:lang w:val="en-GB"/>
        </w:rPr>
      </w:pPr>
    </w:p>
    <w:p w:rsidR="00AD5065" w:rsidRPr="00805A7D" w:rsidRDefault="00AD5065" w:rsidP="0007238A">
      <w:pPr>
        <w:jc w:val="center"/>
        <w:rPr>
          <w:szCs w:val="24"/>
          <w:lang w:val="en-GB"/>
        </w:rPr>
      </w:pPr>
    </w:p>
    <w:p w:rsidR="00AD5065" w:rsidRPr="00805A7D" w:rsidRDefault="00AD5065" w:rsidP="0007238A">
      <w:pPr>
        <w:jc w:val="center"/>
        <w:rPr>
          <w:szCs w:val="24"/>
          <w:lang w:val="en-GB"/>
        </w:rPr>
      </w:pPr>
    </w:p>
    <w:p w:rsidR="00AD5065" w:rsidRPr="00805A7D" w:rsidRDefault="00AD5065" w:rsidP="00394858">
      <w:pPr>
        <w:jc w:val="center"/>
        <w:rPr>
          <w:szCs w:val="24"/>
          <w:lang w:val="en-GB"/>
        </w:rPr>
      </w:pPr>
    </w:p>
    <w:p w:rsidR="00AD5065" w:rsidRPr="00805A7D" w:rsidRDefault="00AD5065" w:rsidP="00394858">
      <w:pPr>
        <w:jc w:val="center"/>
        <w:rPr>
          <w:szCs w:val="24"/>
          <w:lang w:val="en-GB"/>
        </w:rPr>
      </w:pPr>
    </w:p>
    <w:p w:rsidR="00FD2D30" w:rsidRDefault="00FD2D30" w:rsidP="00394858">
      <w:pPr>
        <w:jc w:val="center"/>
        <w:rPr>
          <w:szCs w:val="24"/>
          <w:u w:val="single"/>
          <w:lang w:val="en-GB"/>
        </w:rPr>
      </w:pPr>
    </w:p>
    <w:p w:rsidR="00FD2D30" w:rsidRDefault="00FD2D30" w:rsidP="00394858">
      <w:pPr>
        <w:jc w:val="center"/>
        <w:rPr>
          <w:szCs w:val="24"/>
          <w:u w:val="single"/>
          <w:lang w:val="en-GB"/>
        </w:rPr>
      </w:pPr>
    </w:p>
    <w:p w:rsidR="00FD2D30" w:rsidRDefault="00FD2D30" w:rsidP="00394858">
      <w:pPr>
        <w:jc w:val="center"/>
        <w:rPr>
          <w:szCs w:val="24"/>
          <w:u w:val="single"/>
          <w:lang w:val="en-GB"/>
        </w:rPr>
      </w:pPr>
    </w:p>
    <w:p w:rsidR="00F251B0" w:rsidRPr="000C5160" w:rsidRDefault="00F251B0" w:rsidP="00F251B0">
      <w:pPr>
        <w:jc w:val="center"/>
        <w:outlineLvl w:val="0"/>
      </w:pPr>
      <w:r w:rsidRPr="000C5160">
        <w:t>JUDGMENT</w:t>
      </w:r>
    </w:p>
    <w:p w:rsidR="00F251B0" w:rsidRDefault="00F251B0" w:rsidP="00F251B0">
      <w:pPr>
        <w:jc w:val="center"/>
        <w:rPr>
          <w:i/>
        </w:rPr>
      </w:pPr>
    </w:p>
    <w:p w:rsidR="00444788" w:rsidRDefault="00444788" w:rsidP="00F251B0">
      <w:pPr>
        <w:jc w:val="center"/>
        <w:rPr>
          <w:i/>
        </w:rPr>
      </w:pPr>
    </w:p>
    <w:p w:rsidR="00444788" w:rsidRPr="000C5160" w:rsidRDefault="00444788" w:rsidP="00F251B0">
      <w:pPr>
        <w:jc w:val="center"/>
        <w:rPr>
          <w:i/>
        </w:rPr>
      </w:pPr>
    </w:p>
    <w:p w:rsidR="00F251B0" w:rsidRPr="000C5160" w:rsidRDefault="00F251B0" w:rsidP="00F251B0">
      <w:pPr>
        <w:jc w:val="center"/>
        <w:outlineLvl w:val="0"/>
      </w:pPr>
      <w:smartTag w:uri="urn:schemas-microsoft-com:office:smarttags" w:element="place">
        <w:smartTag w:uri="urn:schemas-microsoft-com:office:smarttags" w:element="City">
          <w:r w:rsidRPr="000C5160">
            <w:t>STRASBOURG</w:t>
          </w:r>
        </w:smartTag>
      </w:smartTag>
    </w:p>
    <w:p w:rsidR="00F251B0" w:rsidRPr="000C5160" w:rsidRDefault="00F251B0" w:rsidP="00F251B0">
      <w:pPr>
        <w:jc w:val="center"/>
      </w:pPr>
    </w:p>
    <w:p w:rsidR="00F251B0" w:rsidRPr="000C5160" w:rsidRDefault="00F251B0" w:rsidP="00F251B0">
      <w:pPr>
        <w:jc w:val="center"/>
      </w:pPr>
      <w:r w:rsidRPr="000C5160">
        <w:t>1</w:t>
      </w:r>
      <w:r>
        <w:t>6 July 2014</w:t>
      </w:r>
    </w:p>
    <w:p w:rsidR="006F7AB6" w:rsidRDefault="006F7AB6" w:rsidP="006F7AB6">
      <w:pPr>
        <w:jc w:val="center"/>
        <w:rPr>
          <w:szCs w:val="24"/>
          <w:u w:val="single"/>
          <w:lang w:val="en-GB"/>
        </w:rPr>
      </w:pPr>
    </w:p>
    <w:p w:rsidR="006F7AB6" w:rsidRDefault="006F7AB6" w:rsidP="006F7AB6">
      <w:pPr>
        <w:jc w:val="center"/>
        <w:rPr>
          <w:szCs w:val="24"/>
          <w:u w:val="single"/>
          <w:lang w:val="en-GB"/>
        </w:rPr>
      </w:pPr>
    </w:p>
    <w:p w:rsidR="00F72AD6" w:rsidRDefault="00F72AD6" w:rsidP="006F7AB6">
      <w:pPr>
        <w:jc w:val="center"/>
        <w:rPr>
          <w:szCs w:val="24"/>
          <w:u w:val="single"/>
          <w:lang w:val="en-GB"/>
        </w:rPr>
      </w:pPr>
    </w:p>
    <w:p w:rsidR="00FD2D30" w:rsidRDefault="00FD2D30" w:rsidP="00351F60">
      <w:pPr>
        <w:pStyle w:val="ECHRPara"/>
        <w:ind w:firstLine="0"/>
        <w:jc w:val="center"/>
        <w:rPr>
          <w:i/>
          <w:lang w:val="en-GB"/>
        </w:rPr>
      </w:pPr>
      <w:r>
        <w:rPr>
          <w:i/>
          <w:lang w:val="en-GB"/>
        </w:rPr>
        <w:t>This judgment is final but may be subject to editorial revision.</w:t>
      </w:r>
    </w:p>
    <w:p w:rsidR="00242D29" w:rsidRPr="00FD2D30" w:rsidRDefault="00242D29" w:rsidP="00351F60">
      <w:pPr>
        <w:pStyle w:val="ECHRPara"/>
        <w:ind w:firstLine="0"/>
        <w:jc w:val="center"/>
        <w:rPr>
          <w:lang w:val="en-GB"/>
        </w:rPr>
        <w:sectPr w:rsidR="00242D29" w:rsidRPr="00FD2D30" w:rsidSect="00FD2D30">
          <w:headerReference w:type="default" r:id="rId12"/>
          <w:footnotePr>
            <w:numRestart w:val="eachPage"/>
          </w:footnotePr>
          <w:pgSz w:w="11906" w:h="16838" w:code="9"/>
          <w:pgMar w:top="2274" w:right="2274" w:bottom="2274" w:left="2274" w:header="1701" w:footer="720" w:gutter="0"/>
          <w:pgNumType w:start="1"/>
          <w:cols w:space="720"/>
          <w:docGrid w:linePitch="326"/>
        </w:sectPr>
      </w:pPr>
    </w:p>
    <w:p w:rsidR="00F70BE0" w:rsidRPr="00805A7D" w:rsidRDefault="00CD49A7" w:rsidP="00F70BE0">
      <w:pPr>
        <w:pStyle w:val="JuCase"/>
        <w:rPr>
          <w:b w:val="0"/>
          <w:bCs/>
          <w:lang w:val="en-GB"/>
        </w:rPr>
      </w:pPr>
      <w:r w:rsidRPr="00805A7D">
        <w:rPr>
          <w:lang w:val="en-GB"/>
        </w:rPr>
        <w:lastRenderedPageBreak/>
        <w:t>In the case of</w:t>
      </w:r>
      <w:r w:rsidR="00F70BE0" w:rsidRPr="00805A7D">
        <w:rPr>
          <w:lang w:val="en-GB"/>
        </w:rPr>
        <w:t xml:space="preserve"> </w:t>
      </w:r>
      <w:r w:rsidR="00EE152A">
        <w:rPr>
          <w:lang w:val="en-GB"/>
        </w:rPr>
        <w:t>H</w:t>
      </w:r>
      <w:r w:rsidR="007D3B79">
        <w:rPr>
          <w:lang w:val="en-GB"/>
        </w:rPr>
        <w:t>ämäläinen</w:t>
      </w:r>
      <w:r w:rsidR="00990C94">
        <w:rPr>
          <w:lang w:val="en-GB"/>
        </w:rPr>
        <w:t xml:space="preserve"> v. Finland</w:t>
      </w:r>
      <w:r w:rsidR="00F70BE0" w:rsidRPr="00805A7D">
        <w:rPr>
          <w:lang w:val="en-GB"/>
        </w:rPr>
        <w:t>,</w:t>
      </w:r>
    </w:p>
    <w:p w:rsidR="005803E1" w:rsidRPr="00805A7D" w:rsidRDefault="00CD49A7" w:rsidP="00F70BE0">
      <w:pPr>
        <w:pStyle w:val="JuCase"/>
        <w:rPr>
          <w:b w:val="0"/>
          <w:bCs/>
          <w:lang w:val="en-GB"/>
        </w:rPr>
      </w:pPr>
      <w:r w:rsidRPr="00805A7D">
        <w:rPr>
          <w:b w:val="0"/>
          <w:bCs/>
          <w:lang w:val="en-GB"/>
        </w:rPr>
        <w:t xml:space="preserve">The European Court of Human Rights, sitting as a </w:t>
      </w:r>
      <w:r w:rsidR="00990C94">
        <w:rPr>
          <w:b w:val="0"/>
          <w:bCs/>
          <w:lang w:val="en-GB"/>
        </w:rPr>
        <w:t>Grand Chamber</w:t>
      </w:r>
      <w:r w:rsidRPr="00805A7D">
        <w:rPr>
          <w:b w:val="0"/>
          <w:bCs/>
          <w:lang w:val="en-GB"/>
        </w:rPr>
        <w:t xml:space="preserve"> </w:t>
      </w:r>
      <w:r w:rsidR="005803E1" w:rsidRPr="00805A7D">
        <w:rPr>
          <w:b w:val="0"/>
          <w:bCs/>
          <w:lang w:val="en-GB"/>
        </w:rPr>
        <w:t>composed of:</w:t>
      </w:r>
    </w:p>
    <w:p w:rsidR="00804C95" w:rsidRPr="00805A7D" w:rsidRDefault="00832EE3" w:rsidP="0062020D">
      <w:pPr>
        <w:jc w:val="left"/>
        <w:rPr>
          <w:lang w:val="en-GB"/>
        </w:rPr>
      </w:pPr>
      <w:r w:rsidRPr="00476559">
        <w:tab/>
        <w:t>Dean</w:t>
      </w:r>
      <w:r>
        <w:t xml:space="preserve"> </w:t>
      </w:r>
      <w:r w:rsidRPr="00476559">
        <w:t>Spielmann</w:t>
      </w:r>
      <w:r>
        <w:t>,</w:t>
      </w:r>
      <w:r w:rsidRPr="00DA07F2">
        <w:rPr>
          <w:i/>
        </w:rPr>
        <w:t xml:space="preserve"> President,</w:t>
      </w:r>
      <w:r>
        <w:rPr>
          <w:i/>
        </w:rPr>
        <w:br/>
      </w:r>
      <w:r w:rsidRPr="00476559">
        <w:tab/>
        <w:t>Josep</w:t>
      </w:r>
      <w:r>
        <w:t xml:space="preserve"> </w:t>
      </w:r>
      <w:r w:rsidRPr="00476559">
        <w:t>Casadevall</w:t>
      </w:r>
      <w:r>
        <w:t>,</w:t>
      </w:r>
      <w:r>
        <w:rPr>
          <w:i/>
        </w:rPr>
        <w:br/>
      </w:r>
      <w:r w:rsidRPr="00476559">
        <w:tab/>
        <w:t>Guido</w:t>
      </w:r>
      <w:r>
        <w:t xml:space="preserve"> </w:t>
      </w:r>
      <w:r w:rsidRPr="00476559">
        <w:t>Raimondi</w:t>
      </w:r>
      <w:r>
        <w:t>,</w:t>
      </w:r>
      <w:r>
        <w:rPr>
          <w:i/>
        </w:rPr>
        <w:br/>
      </w:r>
      <w:r w:rsidRPr="00476559">
        <w:tab/>
        <w:t>Ineta</w:t>
      </w:r>
      <w:r>
        <w:t xml:space="preserve"> </w:t>
      </w:r>
      <w:r w:rsidRPr="00476559">
        <w:t>Ziemele</w:t>
      </w:r>
      <w:r>
        <w:t>,</w:t>
      </w:r>
      <w:r>
        <w:rPr>
          <w:i/>
        </w:rPr>
        <w:br/>
      </w:r>
      <w:r w:rsidRPr="00476559">
        <w:tab/>
        <w:t>Mark</w:t>
      </w:r>
      <w:r>
        <w:t xml:space="preserve"> </w:t>
      </w:r>
      <w:r w:rsidRPr="00476559">
        <w:t>Villiger</w:t>
      </w:r>
      <w:r>
        <w:t>,</w:t>
      </w:r>
      <w:r>
        <w:rPr>
          <w:i/>
        </w:rPr>
        <w:br/>
      </w:r>
      <w:r w:rsidRPr="00476559">
        <w:tab/>
        <w:t>Isabelle</w:t>
      </w:r>
      <w:r>
        <w:t xml:space="preserve"> </w:t>
      </w:r>
      <w:r w:rsidRPr="00476559">
        <w:t>Berro-Lefèvre</w:t>
      </w:r>
      <w:r>
        <w:t>,</w:t>
      </w:r>
      <w:r>
        <w:rPr>
          <w:i/>
        </w:rPr>
        <w:br/>
      </w:r>
      <w:r w:rsidRPr="00476559">
        <w:tab/>
        <w:t>Khanlar</w:t>
      </w:r>
      <w:r>
        <w:t xml:space="preserve"> </w:t>
      </w:r>
      <w:r w:rsidRPr="00476559">
        <w:t>Hajiyev</w:t>
      </w:r>
      <w:r>
        <w:t>,</w:t>
      </w:r>
      <w:r>
        <w:rPr>
          <w:i/>
        </w:rPr>
        <w:br/>
      </w:r>
      <w:r w:rsidRPr="00476559">
        <w:tab/>
        <w:t>Danutė</w:t>
      </w:r>
      <w:r>
        <w:t xml:space="preserve"> </w:t>
      </w:r>
      <w:r w:rsidRPr="00476559">
        <w:t>Jočienė</w:t>
      </w:r>
      <w:r>
        <w:t>,</w:t>
      </w:r>
      <w:r>
        <w:rPr>
          <w:i/>
        </w:rPr>
        <w:br/>
      </w:r>
      <w:r w:rsidRPr="00476559">
        <w:tab/>
        <w:t>Päivi</w:t>
      </w:r>
      <w:r>
        <w:t xml:space="preserve"> </w:t>
      </w:r>
      <w:r w:rsidRPr="00476559">
        <w:t>Hirvelä</w:t>
      </w:r>
      <w:r>
        <w:t>,</w:t>
      </w:r>
      <w:r>
        <w:rPr>
          <w:i/>
        </w:rPr>
        <w:br/>
      </w:r>
      <w:r w:rsidRPr="00476559">
        <w:tab/>
        <w:t>András</w:t>
      </w:r>
      <w:r>
        <w:t xml:space="preserve"> </w:t>
      </w:r>
      <w:r w:rsidRPr="00476559">
        <w:t>Sajó</w:t>
      </w:r>
      <w:r>
        <w:t>,</w:t>
      </w:r>
      <w:r>
        <w:rPr>
          <w:i/>
        </w:rPr>
        <w:br/>
      </w:r>
      <w:r w:rsidRPr="00476559">
        <w:tab/>
        <w:t>Linos-Alexandre</w:t>
      </w:r>
      <w:r>
        <w:t xml:space="preserve"> </w:t>
      </w:r>
      <w:r w:rsidRPr="00476559">
        <w:t>Sicilianos</w:t>
      </w:r>
      <w:r>
        <w:t>,</w:t>
      </w:r>
      <w:r>
        <w:rPr>
          <w:i/>
        </w:rPr>
        <w:br/>
      </w:r>
      <w:r w:rsidRPr="00476559">
        <w:tab/>
        <w:t>Erik</w:t>
      </w:r>
      <w:r>
        <w:t xml:space="preserve"> </w:t>
      </w:r>
      <w:r w:rsidRPr="00476559">
        <w:t>Møse</w:t>
      </w:r>
      <w:r>
        <w:t>,</w:t>
      </w:r>
      <w:r>
        <w:rPr>
          <w:i/>
        </w:rPr>
        <w:br/>
      </w:r>
      <w:r w:rsidRPr="00476559">
        <w:tab/>
        <w:t>Helen</w:t>
      </w:r>
      <w:r>
        <w:t xml:space="preserve"> </w:t>
      </w:r>
      <w:r w:rsidRPr="00476559">
        <w:t>Keller</w:t>
      </w:r>
      <w:r>
        <w:t>,</w:t>
      </w:r>
      <w:r>
        <w:rPr>
          <w:i/>
        </w:rPr>
        <w:br/>
      </w:r>
      <w:r w:rsidRPr="00476559">
        <w:tab/>
        <w:t>André</w:t>
      </w:r>
      <w:r>
        <w:t xml:space="preserve"> </w:t>
      </w:r>
      <w:r w:rsidRPr="00476559">
        <w:t>Potocki</w:t>
      </w:r>
      <w:r>
        <w:t>,</w:t>
      </w:r>
      <w:r>
        <w:rPr>
          <w:i/>
        </w:rPr>
        <w:br/>
      </w:r>
      <w:r w:rsidRPr="00476559">
        <w:tab/>
        <w:t>Paul</w:t>
      </w:r>
      <w:r>
        <w:t xml:space="preserve"> </w:t>
      </w:r>
      <w:r w:rsidRPr="00476559">
        <w:t>Lemmens</w:t>
      </w:r>
      <w:r>
        <w:t>,</w:t>
      </w:r>
      <w:r>
        <w:rPr>
          <w:i/>
        </w:rPr>
        <w:br/>
      </w:r>
      <w:r w:rsidRPr="00476559">
        <w:tab/>
        <w:t>Valeriu</w:t>
      </w:r>
      <w:r>
        <w:t xml:space="preserve"> </w:t>
      </w:r>
      <w:r w:rsidRPr="00476559">
        <w:t>Griţco</w:t>
      </w:r>
      <w:r>
        <w:t>,</w:t>
      </w:r>
      <w:r>
        <w:rPr>
          <w:i/>
        </w:rPr>
        <w:br/>
      </w:r>
      <w:r w:rsidRPr="00476559">
        <w:tab/>
        <w:t>Faris</w:t>
      </w:r>
      <w:r>
        <w:t xml:space="preserve"> </w:t>
      </w:r>
      <w:r w:rsidRPr="00476559">
        <w:t>Vehabović</w:t>
      </w:r>
      <w:r>
        <w:t>,</w:t>
      </w:r>
      <w:r w:rsidRPr="00DA07F2">
        <w:rPr>
          <w:i/>
        </w:rPr>
        <w:t xml:space="preserve"> judges,</w:t>
      </w:r>
      <w:r>
        <w:rPr>
          <w:i/>
        </w:rPr>
        <w:br/>
      </w:r>
      <w:r w:rsidR="00CD49A7" w:rsidRPr="00805A7D">
        <w:rPr>
          <w:lang w:val="en-GB"/>
        </w:rPr>
        <w:t xml:space="preserve">and </w:t>
      </w:r>
      <w:r w:rsidR="00990C94" w:rsidRPr="00805A7D">
        <w:rPr>
          <w:lang w:val="en-GB"/>
        </w:rPr>
        <w:t>Johan Callewaert</w:t>
      </w:r>
      <w:r w:rsidR="007D36E2" w:rsidRPr="00805A7D">
        <w:rPr>
          <w:lang w:val="en-GB"/>
        </w:rPr>
        <w:t xml:space="preserve">, </w:t>
      </w:r>
      <w:r w:rsidR="00990C94" w:rsidRPr="00805A7D">
        <w:rPr>
          <w:i/>
          <w:szCs w:val="24"/>
          <w:lang w:val="en-GB"/>
        </w:rPr>
        <w:t>Deputy Grand Chamber Registrar</w:t>
      </w:r>
      <w:r w:rsidR="00804C95" w:rsidRPr="00805A7D">
        <w:rPr>
          <w:i/>
          <w:szCs w:val="24"/>
          <w:lang w:val="en-GB"/>
        </w:rPr>
        <w:t>,</w:t>
      </w:r>
    </w:p>
    <w:p w:rsidR="00CD49A7" w:rsidRPr="00805A7D" w:rsidRDefault="00CD49A7">
      <w:pPr>
        <w:pStyle w:val="ECHRPara"/>
        <w:rPr>
          <w:lang w:val="en-GB"/>
        </w:rPr>
      </w:pPr>
      <w:r w:rsidRPr="00805A7D">
        <w:rPr>
          <w:lang w:val="en-GB"/>
        </w:rPr>
        <w:t xml:space="preserve">Having deliberated in private on </w:t>
      </w:r>
      <w:r w:rsidR="00832EE3">
        <w:rPr>
          <w:lang w:val="en-GB"/>
        </w:rPr>
        <w:t>16 October 2013</w:t>
      </w:r>
      <w:r w:rsidR="00832EE3" w:rsidRPr="00805A7D">
        <w:rPr>
          <w:lang w:val="en-GB"/>
        </w:rPr>
        <w:t xml:space="preserve"> </w:t>
      </w:r>
      <w:r w:rsidRPr="00805A7D">
        <w:rPr>
          <w:lang w:val="en-GB"/>
        </w:rPr>
        <w:t xml:space="preserve">and on </w:t>
      </w:r>
      <w:r w:rsidR="00832EE3">
        <w:rPr>
          <w:lang w:val="en-GB"/>
        </w:rPr>
        <w:t>11 June 2014</w:t>
      </w:r>
      <w:r w:rsidR="00832EE3" w:rsidRPr="00805A7D">
        <w:rPr>
          <w:lang w:val="en-GB"/>
        </w:rPr>
        <w:t>,</w:t>
      </w:r>
    </w:p>
    <w:p w:rsidR="00CD49A7" w:rsidRPr="00805A7D" w:rsidRDefault="00CD49A7">
      <w:pPr>
        <w:pStyle w:val="ECHRPara"/>
        <w:rPr>
          <w:lang w:val="en-GB"/>
        </w:rPr>
      </w:pPr>
      <w:r w:rsidRPr="00805A7D">
        <w:rPr>
          <w:lang w:val="en-GB"/>
        </w:rPr>
        <w:t>Delivers the following judgment, which was adopted on the last</w:t>
      </w:r>
      <w:r w:rsidRPr="00805A7D">
        <w:rPr>
          <w:lang w:val="en-GB"/>
        </w:rPr>
        <w:noBreakHyphen/>
        <w:t>mentioned date:</w:t>
      </w:r>
    </w:p>
    <w:p w:rsidR="00CD49A7" w:rsidRPr="00805A7D" w:rsidRDefault="00CD49A7" w:rsidP="00AF23DA">
      <w:pPr>
        <w:pStyle w:val="ECHRTitle1"/>
        <w:rPr>
          <w:lang w:val="en-GB"/>
        </w:rPr>
      </w:pPr>
      <w:r w:rsidRPr="00805A7D">
        <w:rPr>
          <w:lang w:val="en-GB"/>
        </w:rPr>
        <w:t>PROCEDURE</w:t>
      </w:r>
    </w:p>
    <w:p w:rsidR="00CD49A7" w:rsidRPr="00805A7D" w:rsidRDefault="00990C94" w:rsidP="00085109">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1</w:t>
      </w:r>
      <w:r>
        <w:rPr>
          <w:lang w:val="en-GB"/>
        </w:rPr>
        <w:fldChar w:fldCharType="end"/>
      </w:r>
      <w:r w:rsidR="00CD49A7" w:rsidRPr="00805A7D">
        <w:rPr>
          <w:lang w:val="en-GB"/>
        </w:rPr>
        <w:t xml:space="preserve">.  The case originated in </w:t>
      </w:r>
      <w:r w:rsidRPr="00805A7D">
        <w:rPr>
          <w:lang w:val="en-GB"/>
        </w:rPr>
        <w:t xml:space="preserve">an application (no. </w:t>
      </w:r>
      <w:r>
        <w:rPr>
          <w:lang w:val="en-GB"/>
        </w:rPr>
        <w:t>37359/09</w:t>
      </w:r>
      <w:r w:rsidRPr="00805A7D">
        <w:rPr>
          <w:lang w:val="en-GB"/>
        </w:rPr>
        <w:t>)</w:t>
      </w:r>
      <w:r w:rsidR="00CD49A7" w:rsidRPr="00805A7D">
        <w:rPr>
          <w:lang w:val="en-GB"/>
        </w:rPr>
        <w:t xml:space="preserve"> against </w:t>
      </w:r>
      <w:r>
        <w:rPr>
          <w:lang w:val="en-GB"/>
        </w:rPr>
        <w:t>the Republic of Finland</w:t>
      </w:r>
      <w:r w:rsidR="00CD49A7" w:rsidRPr="00805A7D">
        <w:rPr>
          <w:lang w:val="en-GB"/>
        </w:rPr>
        <w:t xml:space="preserve"> lodged with the </w:t>
      </w:r>
      <w:r w:rsidRPr="00805A7D">
        <w:rPr>
          <w:lang w:val="en-GB"/>
        </w:rPr>
        <w:t>Court under Article 34</w:t>
      </w:r>
      <w:r w:rsidR="00E12322" w:rsidRPr="00805A7D">
        <w:rPr>
          <w:lang w:val="en-GB"/>
        </w:rPr>
        <w:t xml:space="preserve"> of the Convention for the Protection of Human Rights and Fundamental Freedoms (“the Convention”)</w:t>
      </w:r>
      <w:r w:rsidR="00CD49A7" w:rsidRPr="00805A7D">
        <w:rPr>
          <w:lang w:val="en-GB"/>
        </w:rPr>
        <w:t xml:space="preserve"> by </w:t>
      </w:r>
      <w:r w:rsidRPr="00805A7D">
        <w:rPr>
          <w:lang w:val="en-GB"/>
        </w:rPr>
        <w:t xml:space="preserve">a </w:t>
      </w:r>
      <w:r>
        <w:rPr>
          <w:lang w:val="en-GB"/>
        </w:rPr>
        <w:t>Finnish</w:t>
      </w:r>
      <w:r w:rsidRPr="00517A22">
        <w:rPr>
          <w:lang w:val="en-GB"/>
        </w:rPr>
        <w:t xml:space="preserve"> </w:t>
      </w:r>
      <w:r w:rsidRPr="00805A7D">
        <w:rPr>
          <w:lang w:val="en-GB"/>
        </w:rPr>
        <w:t xml:space="preserve">national, </w:t>
      </w:r>
      <w:r>
        <w:rPr>
          <w:lang w:val="en-GB"/>
        </w:rPr>
        <w:t>Ms</w:t>
      </w:r>
      <w:r w:rsidRPr="00805A7D">
        <w:rPr>
          <w:lang w:val="en-GB"/>
        </w:rPr>
        <w:t xml:space="preserve"> </w:t>
      </w:r>
      <w:r>
        <w:rPr>
          <w:lang w:val="en-GB"/>
        </w:rPr>
        <w:t>Heli Maarit Hannele</w:t>
      </w:r>
      <w:r w:rsidRPr="00805A7D">
        <w:rPr>
          <w:lang w:val="en-GB"/>
        </w:rPr>
        <w:t xml:space="preserve"> </w:t>
      </w:r>
      <w:r>
        <w:rPr>
          <w:lang w:val="en-GB"/>
        </w:rPr>
        <w:t>Hämäläinen</w:t>
      </w:r>
      <w:r w:rsidRPr="00805A7D">
        <w:rPr>
          <w:lang w:val="en-GB"/>
        </w:rPr>
        <w:t xml:space="preserve"> (“the applicant”), on </w:t>
      </w:r>
      <w:r>
        <w:rPr>
          <w:lang w:val="en-GB"/>
        </w:rPr>
        <w:t>8 July 2009</w:t>
      </w:r>
      <w:r w:rsidR="00CD49A7" w:rsidRPr="00805A7D">
        <w:rPr>
          <w:lang w:val="en-GB"/>
        </w:rPr>
        <w:t>.</w:t>
      </w:r>
      <w:r w:rsidR="0060220C" w:rsidRPr="00805A7D">
        <w:rPr>
          <w:lang w:val="en-GB"/>
        </w:rPr>
        <w:t xml:space="preserve"> </w:t>
      </w:r>
      <w:r w:rsidRPr="00805A7D">
        <w:rPr>
          <w:lang w:val="en-GB"/>
        </w:rPr>
        <w:t>Having originally</w:t>
      </w:r>
      <w:r w:rsidR="0062020D">
        <w:rPr>
          <w:lang w:val="en-GB"/>
        </w:rPr>
        <w:t xml:space="preserve"> been designated by the initial H., </w:t>
      </w:r>
      <w:r w:rsidRPr="00805A7D">
        <w:rPr>
          <w:lang w:val="en-GB"/>
        </w:rPr>
        <w:t>the applicant subsequently agreed to the disclosure of her name.</w:t>
      </w:r>
    </w:p>
    <w:p w:rsidR="0062020D" w:rsidRPr="00E945B0" w:rsidRDefault="00990C94" w:rsidP="0062020D">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2</w:t>
      </w:r>
      <w:r>
        <w:rPr>
          <w:lang w:val="en-GB"/>
        </w:rPr>
        <w:fldChar w:fldCharType="end"/>
      </w:r>
      <w:r w:rsidR="00CD49A7" w:rsidRPr="00805A7D">
        <w:rPr>
          <w:lang w:val="en-GB"/>
        </w:rPr>
        <w:t>.  </w:t>
      </w:r>
      <w:r w:rsidR="0062020D" w:rsidRPr="00E945B0">
        <w:rPr>
          <w:lang w:val="en-GB"/>
        </w:rPr>
        <w:t>The applicant was represented by Mr Constantin Cojocariu, a lawyer practising in London. The Finnish Government (“the Government”) were represented by their Agent, Mr Arto Kosonen</w:t>
      </w:r>
      <w:r w:rsidR="0062020D">
        <w:rPr>
          <w:lang w:val="en-GB"/>
        </w:rPr>
        <w:t>,</w:t>
      </w:r>
      <w:r w:rsidR="0062020D" w:rsidRPr="00E945B0">
        <w:rPr>
          <w:lang w:val="en-GB"/>
        </w:rPr>
        <w:t xml:space="preserve"> of the Ministry for Foreign Affairs.</w:t>
      </w:r>
    </w:p>
    <w:p w:rsidR="0062020D" w:rsidRDefault="00990C94" w:rsidP="0062020D">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3</w:t>
      </w:r>
      <w:r>
        <w:rPr>
          <w:lang w:val="en-GB"/>
        </w:rPr>
        <w:fldChar w:fldCharType="end"/>
      </w:r>
      <w:r w:rsidRPr="00805A7D">
        <w:rPr>
          <w:lang w:val="en-GB"/>
        </w:rPr>
        <w:t>.  </w:t>
      </w:r>
      <w:r w:rsidR="0062020D" w:rsidRPr="00E945B0">
        <w:rPr>
          <w:lang w:val="en-GB"/>
        </w:rPr>
        <w:t>The applicant alleged, in particular, under Articles 8 and 14 of the Convention that her right to private and family life had been violated when the full recognition of her new gender was made conditional on the transformation of her marriage into a registered partnership.</w:t>
      </w:r>
    </w:p>
    <w:p w:rsidR="00871BC7" w:rsidRPr="00242D29" w:rsidRDefault="00990C94" w:rsidP="00166419">
      <w:pPr>
        <w:pStyle w:val="ECHRPara"/>
        <w:rPr>
          <w:rStyle w:val="sb8d990e2"/>
          <w:lang w:val="en-US"/>
        </w:rPr>
      </w:pPr>
      <w:r>
        <w:rPr>
          <w:lang w:val="en-GB"/>
        </w:rPr>
        <w:lastRenderedPageBreak/>
        <w:fldChar w:fldCharType="begin"/>
      </w:r>
      <w:r>
        <w:rPr>
          <w:lang w:val="en-GB"/>
        </w:rPr>
        <w:instrText xml:space="preserve"> SEQ level0 \*arabic </w:instrText>
      </w:r>
      <w:r>
        <w:rPr>
          <w:lang w:val="en-GB"/>
        </w:rPr>
        <w:fldChar w:fldCharType="separate"/>
      </w:r>
      <w:r w:rsidR="008B718E">
        <w:rPr>
          <w:noProof/>
          <w:lang w:val="en-GB"/>
        </w:rPr>
        <w:t>4</w:t>
      </w:r>
      <w:r>
        <w:rPr>
          <w:lang w:val="en-GB"/>
        </w:rPr>
        <w:fldChar w:fldCharType="end"/>
      </w:r>
      <w:r w:rsidRPr="00805A7D">
        <w:rPr>
          <w:lang w:val="en-GB"/>
        </w:rPr>
        <w:t>.  </w:t>
      </w:r>
      <w:r w:rsidR="0062020D" w:rsidRPr="00E945B0">
        <w:rPr>
          <w:lang w:val="en-GB"/>
        </w:rPr>
        <w:t xml:space="preserve">The application was allocated to the Fourth Section of the Court (Rule 52 § 1 of the Rules of Court). On 13 November 2012 </w:t>
      </w:r>
      <w:r w:rsidR="0062020D">
        <w:rPr>
          <w:lang w:val="en-GB"/>
        </w:rPr>
        <w:t xml:space="preserve">the Chamber composed of </w:t>
      </w:r>
      <w:r w:rsidR="0062020D" w:rsidRPr="00E945B0">
        <w:rPr>
          <w:lang w:val="en-GB"/>
        </w:rPr>
        <w:t>Lech Garlicki, President, Päivi Hirvelä, George Nicolaou, Ledi Bianku, Zdravka Kalaydjieva, Nebojša Vučinić and Vincent A. De Gaetano, and also of Lawrence Early</w:t>
      </w:r>
      <w:r w:rsidR="0062020D" w:rsidRPr="00E945B0">
        <w:rPr>
          <w:rStyle w:val="JuJudgesChar"/>
          <w:lang w:val="en-GB"/>
        </w:rPr>
        <w:t xml:space="preserve">, </w:t>
      </w:r>
      <w:r w:rsidR="0062020D" w:rsidRPr="00E945B0">
        <w:rPr>
          <w:lang w:val="en-GB"/>
        </w:rPr>
        <w:t xml:space="preserve">Section </w:t>
      </w:r>
      <w:r w:rsidR="0062020D" w:rsidRPr="00E945B0">
        <w:rPr>
          <w:iCs/>
          <w:lang w:val="en-GB"/>
        </w:rPr>
        <w:t>Registrar</w:t>
      </w:r>
      <w:r w:rsidR="0062020D">
        <w:rPr>
          <w:iCs/>
          <w:lang w:val="en-GB"/>
        </w:rPr>
        <w:t xml:space="preserve">, </w:t>
      </w:r>
      <w:r w:rsidR="0062020D" w:rsidRPr="00242D29">
        <w:rPr>
          <w:rStyle w:val="sb8d990e2"/>
          <w:lang w:val="en-US"/>
        </w:rPr>
        <w:t>delivered its judgment. It decided unanimously to d</w:t>
      </w:r>
      <w:r w:rsidR="0062020D" w:rsidRPr="00242D29">
        <w:rPr>
          <w:rStyle w:val="s6b621b36"/>
          <w:lang w:val="en-US"/>
        </w:rPr>
        <w:t>eclare</w:t>
      </w:r>
      <w:r w:rsidR="0062020D" w:rsidRPr="00242D29">
        <w:rPr>
          <w:rStyle w:val="sb8d990e2"/>
          <w:lang w:val="en-US"/>
        </w:rPr>
        <w:t xml:space="preserve"> the complaints concerning Articles 8, 12 and 14 of the Convention admissible and the remainder of the application inadmissible, and held that there had been no violation of Article 8 of the Convention, no violation of Article 14 taken in conjunction with Article 8 of the Convention, and that there was no need to examine the case under Article 12 of the Convention.</w:t>
      </w:r>
    </w:p>
    <w:p w:rsidR="009A1235" w:rsidRPr="00242D29" w:rsidRDefault="009A1235" w:rsidP="009A1235">
      <w:pPr>
        <w:pStyle w:val="ECHRPara"/>
        <w:rPr>
          <w:lang w:val="en-US"/>
        </w:rPr>
      </w:pPr>
      <w:r>
        <w:rPr>
          <w:rStyle w:val="sb8d990e2"/>
        </w:rPr>
        <w:fldChar w:fldCharType="begin"/>
      </w:r>
      <w:r w:rsidRPr="00242D29">
        <w:rPr>
          <w:rStyle w:val="sb8d990e2"/>
          <w:lang w:val="en-US"/>
        </w:rPr>
        <w:instrText xml:space="preserve"> SEQ level0 \*arabic </w:instrText>
      </w:r>
      <w:r>
        <w:rPr>
          <w:rStyle w:val="sb8d990e2"/>
        </w:rPr>
        <w:fldChar w:fldCharType="separate"/>
      </w:r>
      <w:r w:rsidR="008B718E" w:rsidRPr="00242D29">
        <w:rPr>
          <w:rStyle w:val="sb8d990e2"/>
          <w:noProof/>
          <w:lang w:val="en-US"/>
        </w:rPr>
        <w:t>5</w:t>
      </w:r>
      <w:r>
        <w:rPr>
          <w:rStyle w:val="sb8d990e2"/>
        </w:rPr>
        <w:fldChar w:fldCharType="end"/>
      </w:r>
      <w:r w:rsidRPr="00242D29">
        <w:rPr>
          <w:rStyle w:val="sb8d990e2"/>
          <w:lang w:val="en-US"/>
        </w:rPr>
        <w:t xml:space="preserve">.  On </w:t>
      </w:r>
      <w:r w:rsidRPr="00242D29">
        <w:rPr>
          <w:lang w:val="en-US"/>
        </w:rPr>
        <w:t>13 February 2013</w:t>
      </w:r>
      <w:r w:rsidRPr="00242D29">
        <w:rPr>
          <w:snapToGrid w:val="0"/>
          <w:lang w:val="en-US"/>
        </w:rPr>
        <w:t xml:space="preserve"> </w:t>
      </w:r>
      <w:r w:rsidRPr="00242D29">
        <w:rPr>
          <w:rStyle w:val="sb8d990e2"/>
          <w:lang w:val="en-US"/>
        </w:rPr>
        <w:t>the applicant requested that the case be referred to the Grand Chamber in accordance with Article 43 of the Convention, and the panel of the Grand Chamber accepted the request on 29 April 2013.</w:t>
      </w:r>
    </w:p>
    <w:p w:rsidR="00D07A96" w:rsidRPr="00805A7D" w:rsidRDefault="00166419" w:rsidP="00E367B2">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6</w:t>
      </w:r>
      <w:r>
        <w:rPr>
          <w:lang w:val="en-GB"/>
        </w:rPr>
        <w:fldChar w:fldCharType="end"/>
      </w:r>
      <w:r>
        <w:rPr>
          <w:lang w:val="en-GB"/>
        </w:rPr>
        <w:t>.  </w:t>
      </w:r>
      <w:r w:rsidR="00990C94" w:rsidRPr="00805A7D">
        <w:rPr>
          <w:lang w:val="en-GB"/>
        </w:rPr>
        <w:t xml:space="preserve">The composition of the Grand Chamber was determined according to the provisions of Article 26 §§ 4 and 5 of the </w:t>
      </w:r>
      <w:r w:rsidR="00990C94" w:rsidRPr="00181A66">
        <w:rPr>
          <w:lang w:val="en-GB"/>
        </w:rPr>
        <w:t xml:space="preserve">Convention and Rule 24 of the Rules of Court. At the final deliberations, </w:t>
      </w:r>
      <w:r w:rsidR="00D07A96" w:rsidRPr="00242D29">
        <w:rPr>
          <w:lang w:val="en-US"/>
        </w:rPr>
        <w:t>Danutė Jočienė</w:t>
      </w:r>
      <w:r w:rsidR="00990C94" w:rsidRPr="00181A66">
        <w:rPr>
          <w:lang w:val="en-GB"/>
        </w:rPr>
        <w:t xml:space="preserve"> continued to sit in the case </w:t>
      </w:r>
      <w:r w:rsidR="00D07A96" w:rsidRPr="00242D29">
        <w:rPr>
          <w:rStyle w:val="sb8d990e2"/>
          <w:lang w:val="en-US"/>
        </w:rPr>
        <w:t>following the expiry of her term of office</w:t>
      </w:r>
      <w:r w:rsidR="00D07A96" w:rsidRPr="00181A66">
        <w:rPr>
          <w:lang w:val="en-GB"/>
        </w:rPr>
        <w:t xml:space="preserve"> </w:t>
      </w:r>
      <w:r w:rsidR="00990C94" w:rsidRPr="00181A66">
        <w:rPr>
          <w:lang w:val="en-GB"/>
        </w:rPr>
        <w:t>(Article 23 § 3 of the Convention and Rule 24 § 4).</w:t>
      </w:r>
    </w:p>
    <w:p w:rsidR="0097387D" w:rsidRPr="00805A7D" w:rsidRDefault="00990C94" w:rsidP="008B72C1">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7</w:t>
      </w:r>
      <w:r>
        <w:rPr>
          <w:lang w:val="en-GB"/>
        </w:rPr>
        <w:fldChar w:fldCharType="end"/>
      </w:r>
      <w:r w:rsidRPr="00805A7D">
        <w:rPr>
          <w:lang w:val="en-GB"/>
        </w:rPr>
        <w:t>.  </w:t>
      </w:r>
      <w:r w:rsidR="008B72C1" w:rsidRPr="00E945B0">
        <w:rPr>
          <w:lang w:val="en-GB"/>
        </w:rPr>
        <w:t>The applicant and the Government each filed further written observations (Rule 59 § 1) on the merits. In addition, third-party comments were received from Amnesty International and Transgender Europe which had been given leave by the President to intervene in the written procedure (Article 36 § 2 of the Convention and Rule 44 § 3).</w:t>
      </w:r>
    </w:p>
    <w:p w:rsidR="00990C94" w:rsidRDefault="00990C94" w:rsidP="00BE276A">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8</w:t>
      </w:r>
      <w:r>
        <w:rPr>
          <w:lang w:val="en-GB"/>
        </w:rPr>
        <w:fldChar w:fldCharType="end"/>
      </w:r>
      <w:r w:rsidR="00CD49A7" w:rsidRPr="00805A7D">
        <w:rPr>
          <w:lang w:val="en-GB"/>
        </w:rPr>
        <w:t xml:space="preserve">.  A hearing took place in public in the Human Rights Building, Strasbourg, on </w:t>
      </w:r>
      <w:r w:rsidR="008B72C1">
        <w:rPr>
          <w:lang w:val="en-GB"/>
        </w:rPr>
        <w:t>16 October 2013</w:t>
      </w:r>
      <w:r w:rsidR="00CD49A7" w:rsidRPr="00805A7D">
        <w:rPr>
          <w:lang w:val="en-GB"/>
        </w:rPr>
        <w:t xml:space="preserve"> (Rule 59 § 3).</w:t>
      </w:r>
    </w:p>
    <w:p w:rsidR="00CD49A7" w:rsidRPr="00805A7D" w:rsidRDefault="00CD49A7" w:rsidP="00F92A55">
      <w:pPr>
        <w:pStyle w:val="ECHRPara"/>
        <w:keepNext/>
        <w:keepLines/>
        <w:rPr>
          <w:lang w:val="en-GB"/>
        </w:rPr>
      </w:pPr>
      <w:r w:rsidRPr="00805A7D">
        <w:rPr>
          <w:lang w:val="en-GB"/>
        </w:rPr>
        <w:t>There appeared before the Court:</w:t>
      </w:r>
    </w:p>
    <w:p w:rsidR="008B72C1" w:rsidRPr="00E945B0" w:rsidRDefault="008B72C1" w:rsidP="008B72C1">
      <w:pPr>
        <w:pStyle w:val="JuCourt"/>
        <w:keepLines/>
        <w:rPr>
          <w:lang w:val="en-GB"/>
        </w:rPr>
      </w:pPr>
      <w:r w:rsidRPr="00E945B0">
        <w:rPr>
          <w:lang w:val="en-GB"/>
        </w:rPr>
        <w:t>(a)  </w:t>
      </w:r>
      <w:r w:rsidRPr="00E945B0">
        <w:rPr>
          <w:i/>
          <w:lang w:val="en-GB"/>
        </w:rPr>
        <w:t>for the Government</w:t>
      </w:r>
      <w:r w:rsidRPr="00E945B0">
        <w:rPr>
          <w:lang w:val="en-GB"/>
        </w:rPr>
        <w:br/>
        <w:t>Mr</w:t>
      </w:r>
      <w:r w:rsidRPr="00E945B0">
        <w:rPr>
          <w:lang w:val="en-GB"/>
        </w:rPr>
        <w:tab/>
      </w:r>
      <w:r w:rsidRPr="00E945B0">
        <w:rPr>
          <w:rStyle w:val="JuNames"/>
          <w:lang w:val="en-GB"/>
        </w:rPr>
        <w:t>A. Kosonen,</w:t>
      </w:r>
      <w:r w:rsidRPr="00E945B0">
        <w:rPr>
          <w:lang w:val="en-GB"/>
        </w:rPr>
        <w:t xml:space="preserve"> Director, Ministry for Foreign Affairs,</w:t>
      </w:r>
      <w:r w:rsidRPr="00E945B0">
        <w:rPr>
          <w:lang w:val="en-GB"/>
        </w:rPr>
        <w:tab/>
      </w:r>
      <w:r w:rsidRPr="00E945B0">
        <w:rPr>
          <w:i/>
          <w:lang w:val="en-GB"/>
        </w:rPr>
        <w:t>Agent</w:t>
      </w:r>
      <w:r w:rsidRPr="00E945B0">
        <w:rPr>
          <w:lang w:val="en-GB"/>
        </w:rPr>
        <w:t>,</w:t>
      </w:r>
      <w:r w:rsidRPr="00E945B0">
        <w:rPr>
          <w:lang w:val="en-GB"/>
        </w:rPr>
        <w:br/>
        <w:t>Ms</w:t>
      </w:r>
      <w:r w:rsidRPr="00E945B0">
        <w:rPr>
          <w:lang w:val="en-GB"/>
        </w:rPr>
        <w:tab/>
      </w:r>
      <w:r w:rsidRPr="00E945B0">
        <w:rPr>
          <w:rStyle w:val="JuNames"/>
          <w:lang w:val="en-GB"/>
        </w:rPr>
        <w:t>S. Silvola</w:t>
      </w:r>
      <w:r w:rsidRPr="00E945B0">
        <w:rPr>
          <w:lang w:val="en-GB"/>
        </w:rPr>
        <w:t>, Senior Adviser, Ministry of Justice,</w:t>
      </w:r>
      <w:r w:rsidRPr="00E945B0">
        <w:rPr>
          <w:lang w:val="en-GB"/>
        </w:rPr>
        <w:tab/>
      </w:r>
      <w:r w:rsidRPr="00E945B0">
        <w:rPr>
          <w:lang w:val="en-GB"/>
        </w:rPr>
        <w:br/>
        <w:t>Ms</w:t>
      </w:r>
      <w:r w:rsidRPr="00E945B0">
        <w:rPr>
          <w:lang w:val="en-GB"/>
        </w:rPr>
        <w:tab/>
      </w:r>
      <w:r w:rsidRPr="00E945B0">
        <w:rPr>
          <w:rStyle w:val="JuNames"/>
          <w:lang w:val="en-GB"/>
        </w:rPr>
        <w:t>M. Faurie</w:t>
      </w:r>
      <w:r w:rsidRPr="00E945B0">
        <w:rPr>
          <w:lang w:val="en-GB"/>
        </w:rPr>
        <w:t>, Senior Officer, Ministry of Social Affairs and Health,</w:t>
      </w:r>
      <w:r w:rsidRPr="00E945B0">
        <w:rPr>
          <w:lang w:val="en-GB"/>
        </w:rPr>
        <w:tab/>
      </w:r>
      <w:r w:rsidRPr="00E945B0">
        <w:rPr>
          <w:lang w:val="en-GB"/>
        </w:rPr>
        <w:br/>
        <w:t>Ms</w:t>
      </w:r>
      <w:r w:rsidRPr="00E945B0">
        <w:rPr>
          <w:lang w:val="en-GB"/>
        </w:rPr>
        <w:tab/>
      </w:r>
      <w:r w:rsidRPr="00E945B0">
        <w:rPr>
          <w:rStyle w:val="JuNames"/>
          <w:lang w:val="en-GB"/>
        </w:rPr>
        <w:t>K. Fokin</w:t>
      </w:r>
      <w:r w:rsidRPr="00E945B0">
        <w:rPr>
          <w:lang w:val="en-GB"/>
        </w:rPr>
        <w:t>, Legal Officer, Ministry for Foreign Affairs,</w:t>
      </w:r>
      <w:r w:rsidRPr="00E945B0">
        <w:rPr>
          <w:lang w:val="en-GB"/>
        </w:rPr>
        <w:tab/>
      </w:r>
      <w:r w:rsidRPr="00E945B0">
        <w:rPr>
          <w:i/>
          <w:lang w:val="en-GB"/>
        </w:rPr>
        <w:t>Advisers</w:t>
      </w:r>
      <w:r w:rsidRPr="00E945B0">
        <w:rPr>
          <w:lang w:val="en-GB"/>
        </w:rPr>
        <w:t>;</w:t>
      </w:r>
    </w:p>
    <w:p w:rsidR="008B72C1" w:rsidRPr="00E945B0" w:rsidRDefault="008B72C1" w:rsidP="008B72C1">
      <w:pPr>
        <w:pStyle w:val="JuCourt"/>
        <w:keepLines/>
        <w:rPr>
          <w:lang w:val="en-GB"/>
        </w:rPr>
      </w:pPr>
      <w:r w:rsidRPr="00E945B0">
        <w:rPr>
          <w:lang w:val="en-GB"/>
        </w:rPr>
        <w:t>(b)  </w:t>
      </w:r>
      <w:r w:rsidRPr="00E945B0">
        <w:rPr>
          <w:i/>
          <w:lang w:val="en-GB"/>
        </w:rPr>
        <w:t>for the applicant</w:t>
      </w:r>
      <w:r w:rsidRPr="00E945B0">
        <w:rPr>
          <w:lang w:val="en-GB"/>
        </w:rPr>
        <w:br/>
        <w:t>Mr</w:t>
      </w:r>
      <w:r w:rsidRPr="00E945B0">
        <w:rPr>
          <w:lang w:val="en-GB"/>
        </w:rPr>
        <w:tab/>
      </w:r>
      <w:r w:rsidRPr="00E945B0">
        <w:rPr>
          <w:rStyle w:val="JuNames"/>
          <w:lang w:val="en-GB"/>
        </w:rPr>
        <w:t>C. Cojocariu</w:t>
      </w:r>
      <w:r w:rsidRPr="00E945B0">
        <w:rPr>
          <w:lang w:val="en-GB"/>
        </w:rPr>
        <w:t>, Lawyer, Interights,</w:t>
      </w:r>
      <w:r w:rsidRPr="00E945B0">
        <w:rPr>
          <w:lang w:val="en-GB"/>
        </w:rPr>
        <w:tab/>
      </w:r>
      <w:r w:rsidRPr="00E945B0">
        <w:rPr>
          <w:i/>
          <w:lang w:val="en-GB"/>
        </w:rPr>
        <w:t>Counsel</w:t>
      </w:r>
      <w:r w:rsidRPr="00E945B0">
        <w:rPr>
          <w:lang w:val="en-GB"/>
        </w:rPr>
        <w:br/>
        <w:t>Ms</w:t>
      </w:r>
      <w:r w:rsidRPr="00E945B0">
        <w:rPr>
          <w:lang w:val="en-GB"/>
        </w:rPr>
        <w:tab/>
      </w:r>
      <w:r w:rsidRPr="00E945B0">
        <w:rPr>
          <w:rStyle w:val="JuNames"/>
          <w:lang w:val="en-GB"/>
        </w:rPr>
        <w:t>V. Vandova</w:t>
      </w:r>
      <w:r w:rsidRPr="00E945B0">
        <w:rPr>
          <w:lang w:val="en-GB"/>
        </w:rPr>
        <w:t>, Legal Director, Interights,</w:t>
      </w:r>
      <w:r w:rsidRPr="00E945B0">
        <w:rPr>
          <w:lang w:val="en-GB"/>
        </w:rPr>
        <w:tab/>
      </w:r>
      <w:r w:rsidRPr="00E945B0">
        <w:rPr>
          <w:i/>
          <w:lang w:val="en-GB"/>
        </w:rPr>
        <w:t>Adviser</w:t>
      </w:r>
      <w:r w:rsidRPr="00E945B0">
        <w:rPr>
          <w:lang w:val="en-GB"/>
        </w:rPr>
        <w:t>.</w:t>
      </w:r>
    </w:p>
    <w:p w:rsidR="008B72C1" w:rsidRPr="00E945B0" w:rsidRDefault="008B72C1" w:rsidP="008B72C1">
      <w:pPr>
        <w:pStyle w:val="ECHRPara"/>
        <w:rPr>
          <w:lang w:val="en-GB"/>
        </w:rPr>
      </w:pPr>
    </w:p>
    <w:p w:rsidR="008B72C1" w:rsidRPr="00E945B0" w:rsidRDefault="008B72C1" w:rsidP="008B72C1">
      <w:pPr>
        <w:pStyle w:val="ECHRPara"/>
        <w:rPr>
          <w:lang w:val="en-GB"/>
        </w:rPr>
      </w:pPr>
      <w:r w:rsidRPr="00E945B0">
        <w:rPr>
          <w:lang w:val="en-GB"/>
        </w:rPr>
        <w:t>The applicant was also present.</w:t>
      </w:r>
    </w:p>
    <w:p w:rsidR="008B72C1" w:rsidRPr="00E945B0" w:rsidRDefault="008B72C1" w:rsidP="008B72C1">
      <w:pPr>
        <w:pStyle w:val="ECHRPara"/>
        <w:rPr>
          <w:lang w:val="en-GB"/>
        </w:rPr>
      </w:pPr>
      <w:r w:rsidRPr="00E945B0">
        <w:rPr>
          <w:lang w:val="en-GB"/>
        </w:rPr>
        <w:t xml:space="preserve">The Court heard addresses by Mr Kosonen, Mr Cojocariu and </w:t>
      </w:r>
      <w:r>
        <w:rPr>
          <w:lang w:val="en-GB"/>
        </w:rPr>
        <w:t xml:space="preserve">Ms </w:t>
      </w:r>
      <w:r w:rsidRPr="00E945B0">
        <w:rPr>
          <w:lang w:val="en-GB"/>
        </w:rPr>
        <w:t>Silvola as well as their replies to questions put by Judges Hirvelä, Sajó and Lemmens.</w:t>
      </w:r>
    </w:p>
    <w:p w:rsidR="00CD49A7" w:rsidRPr="00805A7D" w:rsidRDefault="00CD49A7" w:rsidP="00AF23DA">
      <w:pPr>
        <w:pStyle w:val="ECHRTitle1"/>
        <w:rPr>
          <w:lang w:val="en-GB"/>
        </w:rPr>
      </w:pPr>
      <w:r w:rsidRPr="00805A7D">
        <w:rPr>
          <w:lang w:val="en-GB"/>
        </w:rPr>
        <w:lastRenderedPageBreak/>
        <w:t>THE FACTS</w:t>
      </w:r>
    </w:p>
    <w:p w:rsidR="00CD49A7" w:rsidRPr="00805A7D" w:rsidRDefault="00CD49A7" w:rsidP="00AF23DA">
      <w:pPr>
        <w:pStyle w:val="ECHRHeading1"/>
        <w:rPr>
          <w:lang w:val="en-GB"/>
        </w:rPr>
      </w:pPr>
      <w:r w:rsidRPr="00805A7D">
        <w:rPr>
          <w:lang w:val="en-GB"/>
        </w:rPr>
        <w:t>I.  THE CIRCUMSTANCES OF THE CASE</w:t>
      </w:r>
    </w:p>
    <w:p w:rsidR="008B72C1" w:rsidRPr="00E945B0" w:rsidRDefault="00910348" w:rsidP="008B72C1">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9</w:t>
      </w:r>
      <w:r>
        <w:rPr>
          <w:lang w:val="en-GB"/>
        </w:rPr>
        <w:fldChar w:fldCharType="end"/>
      </w:r>
      <w:r>
        <w:rPr>
          <w:lang w:val="en-GB"/>
        </w:rPr>
        <w:t>.  </w:t>
      </w:r>
      <w:r w:rsidR="008B72C1" w:rsidRPr="00E945B0">
        <w:rPr>
          <w:lang w:val="en-GB"/>
        </w:rPr>
        <w:t>The applicant was born in 1963 and lives in Helsinki.</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w:t>
      </w:r>
      <w:r w:rsidRPr="00E945B0">
        <w:rPr>
          <w:lang w:val="en-GB"/>
        </w:rPr>
        <w:fldChar w:fldCharType="end"/>
      </w:r>
      <w:r w:rsidRPr="00E945B0">
        <w:rPr>
          <w:lang w:val="en-GB"/>
        </w:rPr>
        <w:t>.  The applicant was born male. She always felt that she was a female in a male body but decided to cope with the situation. In 1996 she married a woman and in 2002 they had a child.</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11</w:t>
      </w:r>
      <w:r w:rsidRPr="00E945B0">
        <w:rPr>
          <w:lang w:val="en-GB"/>
        </w:rPr>
        <w:fldChar w:fldCharType="end"/>
      </w:r>
      <w:r w:rsidRPr="00E945B0">
        <w:rPr>
          <w:lang w:val="en-GB"/>
        </w:rPr>
        <w:t>.  The applicant started feeling worse in 2004, and decided in 2005 to seek medical help. In April 2006 she was diagnosed as</w:t>
      </w:r>
      <w:r>
        <w:rPr>
          <w:lang w:val="en-GB"/>
        </w:rPr>
        <w:t xml:space="preserve"> a transsexual</w:t>
      </w:r>
      <w:r w:rsidRPr="00E945B0">
        <w:rPr>
          <w:lang w:val="en-GB"/>
        </w:rPr>
        <w:t>. Since that time, she has lived as a woman. On 29 September 2009 she underwent gender reassignment surgery.</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12</w:t>
      </w:r>
      <w:r w:rsidRPr="00E945B0">
        <w:rPr>
          <w:lang w:val="en-GB"/>
        </w:rPr>
        <w:fldChar w:fldCharType="end"/>
      </w:r>
      <w:r w:rsidRPr="00E945B0">
        <w:rPr>
          <w:lang w:val="en-GB"/>
        </w:rPr>
        <w:t>.  On 7 June 2006 the applicant changed her first names and renewed her passport and driver</w:t>
      </w:r>
      <w:r w:rsidR="00C17A2C">
        <w:rPr>
          <w:lang w:val="en-GB"/>
        </w:rPr>
        <w:t>’</w:t>
      </w:r>
      <w:r w:rsidRPr="00E945B0">
        <w:rPr>
          <w:lang w:val="en-GB"/>
        </w:rPr>
        <w:t>s licence but she could not have her identity number changed. The identity number still indicates that she is male, as does her passport.</w:t>
      </w:r>
    </w:p>
    <w:p w:rsidR="008B72C1" w:rsidRPr="003F1D1C" w:rsidRDefault="008B72C1" w:rsidP="008B72C1">
      <w:pPr>
        <w:pStyle w:val="ECHRHeading2"/>
        <w:rPr>
          <w:lang w:val="en-GB"/>
        </w:rPr>
      </w:pPr>
      <w:r w:rsidRPr="003F1D1C">
        <w:rPr>
          <w:lang w:val="en-GB"/>
        </w:rPr>
        <w:t xml:space="preserve">A.  Proceedings </w:t>
      </w:r>
      <w:r>
        <w:rPr>
          <w:lang w:val="en-GB"/>
        </w:rPr>
        <w:t>to have</w:t>
      </w:r>
      <w:r w:rsidRPr="003F1D1C">
        <w:rPr>
          <w:lang w:val="en-GB"/>
        </w:rPr>
        <w:t xml:space="preserve"> the identity number</w:t>
      </w:r>
      <w:r>
        <w:rPr>
          <w:lang w:val="en-GB"/>
        </w:rPr>
        <w:t xml:space="preserve"> changed</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13</w:t>
      </w:r>
      <w:r w:rsidRPr="00E945B0">
        <w:rPr>
          <w:lang w:val="en-GB"/>
        </w:rPr>
        <w:fldChar w:fldCharType="end"/>
      </w:r>
      <w:r w:rsidRPr="00E945B0">
        <w:rPr>
          <w:lang w:val="en-GB"/>
        </w:rPr>
        <w:t xml:space="preserve">.  On 12 June 2007 the applicant requested the local </w:t>
      </w:r>
      <w:r>
        <w:rPr>
          <w:lang w:val="en-GB"/>
        </w:rPr>
        <w:t>r</w:t>
      </w:r>
      <w:r w:rsidRPr="00E945B0">
        <w:rPr>
          <w:lang w:val="en-GB"/>
        </w:rPr>
        <w:t>egist</w:t>
      </w:r>
      <w:r>
        <w:rPr>
          <w:lang w:val="en-GB"/>
        </w:rPr>
        <w:t>ry</w:t>
      </w:r>
      <w:r w:rsidRPr="00E945B0">
        <w:rPr>
          <w:lang w:val="en-GB"/>
        </w:rPr>
        <w:t xml:space="preserve"> </w:t>
      </w:r>
      <w:r>
        <w:rPr>
          <w:lang w:val="en-GB"/>
        </w:rPr>
        <w:t>o</w:t>
      </w:r>
      <w:r w:rsidRPr="00E945B0">
        <w:rPr>
          <w:lang w:val="en-GB"/>
        </w:rPr>
        <w:t>ffice (</w:t>
      </w:r>
      <w:r w:rsidRPr="00E945B0">
        <w:rPr>
          <w:i/>
          <w:lang w:val="en-GB"/>
        </w:rPr>
        <w:t>maistraatti, magistraten</w:t>
      </w:r>
      <w:r w:rsidRPr="00E945B0">
        <w:rPr>
          <w:lang w:val="en-GB"/>
        </w:rPr>
        <w:t xml:space="preserve">) to confirm her </w:t>
      </w:r>
      <w:r>
        <w:rPr>
          <w:lang w:val="en-GB"/>
        </w:rPr>
        <w:t xml:space="preserve">status </w:t>
      </w:r>
      <w:r w:rsidRPr="00E945B0">
        <w:rPr>
          <w:lang w:val="en-GB"/>
        </w:rPr>
        <w:t>as female and to change her male identity number to a female one as it no longer corresponded to</w:t>
      </w:r>
      <w:r>
        <w:rPr>
          <w:lang w:val="en-GB"/>
        </w:rPr>
        <w:t xml:space="preserve"> the</w:t>
      </w:r>
      <w:r w:rsidRPr="00E945B0">
        <w:rPr>
          <w:lang w:val="en-GB"/>
        </w:rPr>
        <w:t xml:space="preserve"> </w:t>
      </w:r>
      <w:r>
        <w:rPr>
          <w:lang w:val="en-GB"/>
        </w:rPr>
        <w:t xml:space="preserve">actual </w:t>
      </w:r>
      <w:r w:rsidRPr="00E945B0">
        <w:rPr>
          <w:lang w:val="en-GB"/>
        </w:rPr>
        <w:t>reality.</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14</w:t>
      </w:r>
      <w:r w:rsidRPr="00E945B0">
        <w:rPr>
          <w:lang w:val="en-GB"/>
        </w:rPr>
        <w:fldChar w:fldCharType="end"/>
      </w:r>
      <w:r w:rsidRPr="00E945B0">
        <w:rPr>
          <w:lang w:val="en-GB"/>
        </w:rPr>
        <w:t xml:space="preserve">.  On 19 June 2007 the local </w:t>
      </w:r>
      <w:r>
        <w:rPr>
          <w:lang w:val="en-GB"/>
        </w:rPr>
        <w:t>registry</w:t>
      </w:r>
      <w:r w:rsidRPr="00E945B0">
        <w:rPr>
          <w:lang w:val="en-GB"/>
        </w:rPr>
        <w:t xml:space="preserve"> </w:t>
      </w:r>
      <w:r>
        <w:rPr>
          <w:lang w:val="en-GB"/>
        </w:rPr>
        <w:t>o</w:t>
      </w:r>
      <w:r w:rsidRPr="00E945B0">
        <w:rPr>
          <w:lang w:val="en-GB"/>
        </w:rPr>
        <w:t>ffice refused the applicant</w:t>
      </w:r>
      <w:r w:rsidR="00C17A2C">
        <w:rPr>
          <w:lang w:val="en-GB"/>
        </w:rPr>
        <w:t>’</w:t>
      </w:r>
      <w:r w:rsidRPr="00E945B0">
        <w:rPr>
          <w:lang w:val="en-GB"/>
        </w:rPr>
        <w:t xml:space="preserve">s request. It found that, </w:t>
      </w:r>
      <w:r>
        <w:rPr>
          <w:lang w:val="en-GB"/>
        </w:rPr>
        <w:t>under</w:t>
      </w:r>
      <w:r w:rsidRPr="00E945B0">
        <w:rPr>
          <w:lang w:val="en-GB"/>
        </w:rPr>
        <w:t xml:space="preserve"> sections 1 and 2 of the Transsexual</w:t>
      </w:r>
      <w:r>
        <w:rPr>
          <w:lang w:val="en-GB"/>
        </w:rPr>
        <w:t>s (Confirmation of Gender)</w:t>
      </w:r>
      <w:r w:rsidRPr="00E945B0">
        <w:rPr>
          <w:lang w:val="en-GB"/>
        </w:rPr>
        <w:t xml:space="preserve"> Act (</w:t>
      </w:r>
      <w:r w:rsidRPr="00E945B0">
        <w:rPr>
          <w:i/>
          <w:lang w:val="en-GB"/>
        </w:rPr>
        <w:t xml:space="preserve">laki </w:t>
      </w:r>
      <w:r w:rsidRPr="00E945B0">
        <w:rPr>
          <w:rStyle w:val="hakuosuma"/>
          <w:i/>
          <w:lang w:val="en-GB"/>
        </w:rPr>
        <w:t>transseksuaalin</w:t>
      </w:r>
      <w:r w:rsidRPr="00E945B0">
        <w:rPr>
          <w:i/>
          <w:lang w:val="en-GB"/>
        </w:rPr>
        <w:t xml:space="preserve"> sukupuolen vahvistamisesta, lagen om fastställande av transsexuella personers könstillhörighet</w:t>
      </w:r>
      <w:r w:rsidRPr="00E945B0">
        <w:rPr>
          <w:lang w:val="en-GB"/>
        </w:rPr>
        <w:t>), confirmation</w:t>
      </w:r>
      <w:r>
        <w:rPr>
          <w:lang w:val="en-GB"/>
        </w:rPr>
        <w:t xml:space="preserve"> of such status</w:t>
      </w:r>
      <w:r w:rsidRPr="00E945B0">
        <w:rPr>
          <w:lang w:val="en-GB"/>
        </w:rPr>
        <w:t xml:space="preserve"> required that the person was not married or that the spouse gave his or her consent</w:t>
      </w:r>
      <w:r w:rsidR="009A1235">
        <w:rPr>
          <w:lang w:val="en-GB"/>
        </w:rPr>
        <w:t xml:space="preserve"> (see </w:t>
      </w:r>
      <w:r w:rsidR="009A1235" w:rsidRPr="0072701E">
        <w:rPr>
          <w:lang w:val="en-GB"/>
        </w:rPr>
        <w:t xml:space="preserve">paragraph </w:t>
      </w:r>
      <w:r w:rsidR="009A1235" w:rsidRPr="00A952B1">
        <w:rPr>
          <w:lang w:val="en-GB"/>
        </w:rPr>
        <w:t>2</w:t>
      </w:r>
      <w:r w:rsidR="002F7270" w:rsidRPr="00A952B1">
        <w:rPr>
          <w:lang w:val="en-GB"/>
        </w:rPr>
        <w:t>9</w:t>
      </w:r>
      <w:r w:rsidR="009A1235">
        <w:rPr>
          <w:lang w:val="en-GB"/>
        </w:rPr>
        <w:t xml:space="preserve"> below)</w:t>
      </w:r>
      <w:r w:rsidRPr="00E945B0">
        <w:rPr>
          <w:lang w:val="en-GB"/>
        </w:rPr>
        <w:t>. As the applicant</w:t>
      </w:r>
      <w:r w:rsidR="00C17A2C">
        <w:rPr>
          <w:lang w:val="en-GB"/>
        </w:rPr>
        <w:t>’</w:t>
      </w:r>
      <w:r w:rsidRPr="00E945B0">
        <w:rPr>
          <w:lang w:val="en-GB"/>
        </w:rPr>
        <w:t xml:space="preserve">s wife </w:t>
      </w:r>
      <w:r>
        <w:rPr>
          <w:lang w:val="en-GB"/>
        </w:rPr>
        <w:t>had</w:t>
      </w:r>
      <w:r w:rsidRPr="00E945B0">
        <w:rPr>
          <w:lang w:val="en-GB"/>
        </w:rPr>
        <w:t xml:space="preserve"> not give</w:t>
      </w:r>
      <w:r>
        <w:rPr>
          <w:lang w:val="en-GB"/>
        </w:rPr>
        <w:t xml:space="preserve">n </w:t>
      </w:r>
      <w:r w:rsidRPr="00E945B0">
        <w:rPr>
          <w:lang w:val="en-GB"/>
        </w:rPr>
        <w:t>her consent to the transformation of their marriage into a registered partnership (</w:t>
      </w:r>
      <w:r w:rsidRPr="00E945B0">
        <w:rPr>
          <w:i/>
          <w:lang w:val="en-GB"/>
        </w:rPr>
        <w:t>rekisteröity parisuhde, registrerat partnerskap</w:t>
      </w:r>
      <w:r w:rsidRPr="00E945B0">
        <w:rPr>
          <w:lang w:val="en-GB"/>
        </w:rPr>
        <w:t>), the applicant</w:t>
      </w:r>
      <w:r w:rsidR="00C17A2C">
        <w:rPr>
          <w:lang w:val="en-GB"/>
        </w:rPr>
        <w:t>’</w:t>
      </w:r>
      <w:r w:rsidRPr="00E945B0">
        <w:rPr>
          <w:lang w:val="en-GB"/>
        </w:rPr>
        <w:t xml:space="preserve">s new gender could not be </w:t>
      </w:r>
      <w:r>
        <w:rPr>
          <w:lang w:val="en-GB"/>
        </w:rPr>
        <w:t>recorded</w:t>
      </w:r>
      <w:r w:rsidRPr="00E945B0">
        <w:rPr>
          <w:lang w:val="en-GB"/>
        </w:rPr>
        <w:t xml:space="preserve"> in the population register.</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15</w:t>
      </w:r>
      <w:r w:rsidRPr="00E945B0">
        <w:rPr>
          <w:lang w:val="en-GB"/>
        </w:rPr>
        <w:fldChar w:fldCharType="end"/>
      </w:r>
      <w:r w:rsidRPr="00E945B0">
        <w:rPr>
          <w:lang w:val="en-GB"/>
        </w:rPr>
        <w:t xml:space="preserve">.  On 6 July 2007 the applicant </w:t>
      </w:r>
      <w:r>
        <w:rPr>
          <w:lang w:val="en-GB"/>
        </w:rPr>
        <w:t>instituted proceedings in</w:t>
      </w:r>
      <w:r w:rsidRPr="00E945B0">
        <w:rPr>
          <w:lang w:val="en-GB"/>
        </w:rPr>
        <w:t xml:space="preserve"> the Helsinki Administrative Court (</w:t>
      </w:r>
      <w:r w:rsidRPr="00E945B0">
        <w:rPr>
          <w:i/>
          <w:lang w:val="en-GB"/>
        </w:rPr>
        <w:t>hallinto-oikeus, förvaltningsdomstolen</w:t>
      </w:r>
      <w:r w:rsidRPr="00E945B0">
        <w:rPr>
          <w:lang w:val="en-GB"/>
        </w:rPr>
        <w:t xml:space="preserve">) complaining, </w:t>
      </w:r>
      <w:r w:rsidRPr="00E945B0">
        <w:rPr>
          <w:i/>
          <w:lang w:val="en-GB"/>
        </w:rPr>
        <w:t>inter alia</w:t>
      </w:r>
      <w:r w:rsidRPr="00E945B0">
        <w:rPr>
          <w:lang w:val="en-GB"/>
        </w:rPr>
        <w:t>, that her wife</w:t>
      </w:r>
      <w:r w:rsidR="00C17A2C">
        <w:rPr>
          <w:lang w:val="en-GB"/>
        </w:rPr>
        <w:t>’</w:t>
      </w:r>
      <w:r w:rsidRPr="00E945B0">
        <w:rPr>
          <w:lang w:val="en-GB"/>
        </w:rPr>
        <w:t xml:space="preserve">s decision not to give </w:t>
      </w:r>
      <w:r>
        <w:rPr>
          <w:lang w:val="en-GB"/>
        </w:rPr>
        <w:t xml:space="preserve">her </w:t>
      </w:r>
      <w:r w:rsidRPr="00E945B0">
        <w:rPr>
          <w:lang w:val="en-GB"/>
        </w:rPr>
        <w:t xml:space="preserve">consent, which she was perfectly entitled </w:t>
      </w:r>
      <w:r>
        <w:rPr>
          <w:lang w:val="en-GB"/>
        </w:rPr>
        <w:t xml:space="preserve">to withhold </w:t>
      </w:r>
      <w:r w:rsidRPr="00E945B0">
        <w:rPr>
          <w:lang w:val="en-GB"/>
        </w:rPr>
        <w:t xml:space="preserve">as they both preferred to remain married, meant that the applicant could not be registered as female. A divorce would be against their religious convictions. A registered partnership did not provide the same security as marriage and would mean, among other things, that their child would be </w:t>
      </w:r>
      <w:r>
        <w:rPr>
          <w:lang w:val="en-GB"/>
        </w:rPr>
        <w:t>placed</w:t>
      </w:r>
      <w:r w:rsidRPr="00E945B0">
        <w:rPr>
          <w:lang w:val="en-GB"/>
        </w:rPr>
        <w:t xml:space="preserve"> in a different situation</w:t>
      </w:r>
      <w:r>
        <w:rPr>
          <w:lang w:val="en-GB"/>
        </w:rPr>
        <w:t xml:space="preserve"> from</w:t>
      </w:r>
      <w:r w:rsidRPr="00E945B0">
        <w:rPr>
          <w:lang w:val="en-GB"/>
        </w:rPr>
        <w:t xml:space="preserve"> children born within wedlock.</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16</w:t>
      </w:r>
      <w:r w:rsidRPr="00E945B0">
        <w:rPr>
          <w:lang w:val="en-GB"/>
        </w:rPr>
        <w:fldChar w:fldCharType="end"/>
      </w:r>
      <w:r w:rsidRPr="00E945B0">
        <w:rPr>
          <w:lang w:val="en-GB"/>
        </w:rPr>
        <w:t xml:space="preserve">.  On 5 May 2008 the Helsinki Administrative Court </w:t>
      </w:r>
      <w:r>
        <w:rPr>
          <w:lang w:val="en-GB"/>
        </w:rPr>
        <w:t>dismissed</w:t>
      </w:r>
      <w:r w:rsidRPr="00E945B0">
        <w:rPr>
          <w:lang w:val="en-GB"/>
        </w:rPr>
        <w:t xml:space="preserve"> the applicant</w:t>
      </w:r>
      <w:r w:rsidR="00C17A2C">
        <w:rPr>
          <w:lang w:val="en-GB"/>
        </w:rPr>
        <w:t>’</w:t>
      </w:r>
      <w:r w:rsidRPr="00E945B0">
        <w:rPr>
          <w:lang w:val="en-GB"/>
        </w:rPr>
        <w:t xml:space="preserve">s </w:t>
      </w:r>
      <w:r>
        <w:rPr>
          <w:lang w:val="en-GB"/>
        </w:rPr>
        <w:t>complaint</w:t>
      </w:r>
      <w:r w:rsidRPr="00E945B0">
        <w:rPr>
          <w:lang w:val="en-GB"/>
        </w:rPr>
        <w:t xml:space="preserve"> on the same grounds as the local </w:t>
      </w:r>
      <w:r>
        <w:rPr>
          <w:lang w:val="en-GB"/>
        </w:rPr>
        <w:t>registry</w:t>
      </w:r>
      <w:r w:rsidRPr="00E945B0">
        <w:rPr>
          <w:lang w:val="en-GB"/>
        </w:rPr>
        <w:t xml:space="preserve"> </w:t>
      </w:r>
      <w:r>
        <w:rPr>
          <w:lang w:val="en-GB"/>
        </w:rPr>
        <w:t>o</w:t>
      </w:r>
      <w:r w:rsidRPr="00E945B0">
        <w:rPr>
          <w:lang w:val="en-GB"/>
        </w:rPr>
        <w:t xml:space="preserve">ffice. </w:t>
      </w:r>
      <w:r w:rsidRPr="00E945B0">
        <w:rPr>
          <w:lang w:val="en-GB"/>
        </w:rPr>
        <w:lastRenderedPageBreak/>
        <w:t>Moreover</w:t>
      </w:r>
      <w:r>
        <w:rPr>
          <w:lang w:val="en-GB"/>
        </w:rPr>
        <w:t>,</w:t>
      </w:r>
      <w:r w:rsidRPr="00E945B0">
        <w:rPr>
          <w:lang w:val="en-GB"/>
        </w:rPr>
        <w:t xml:space="preserve"> it found, </w:t>
      </w:r>
      <w:r w:rsidRPr="00E945B0">
        <w:rPr>
          <w:i/>
          <w:lang w:val="en-GB"/>
        </w:rPr>
        <w:t>inter alia</w:t>
      </w:r>
      <w:r w:rsidRPr="00E945B0">
        <w:rPr>
          <w:lang w:val="en-GB"/>
        </w:rPr>
        <w:t xml:space="preserve">, that the impugned decision of 19 June 2007 was not contrary to Article 6 of the Constitution as same-sex partners had </w:t>
      </w:r>
      <w:r>
        <w:rPr>
          <w:lang w:val="en-GB"/>
        </w:rPr>
        <w:t>the</w:t>
      </w:r>
      <w:r w:rsidRPr="00E945B0">
        <w:rPr>
          <w:lang w:val="en-GB"/>
        </w:rPr>
        <w:t xml:space="preserve"> possibility, by registering their relationship, to benefit from family</w:t>
      </w:r>
      <w:r>
        <w:rPr>
          <w:lang w:val="en-GB"/>
        </w:rPr>
        <w:t>-</w:t>
      </w:r>
      <w:r w:rsidRPr="00E945B0">
        <w:rPr>
          <w:lang w:val="en-GB"/>
        </w:rPr>
        <w:t xml:space="preserve">law protection in a manner partially comparable to marriage. Similarly, </w:t>
      </w:r>
      <w:r>
        <w:rPr>
          <w:lang w:val="en-GB"/>
        </w:rPr>
        <w:t>s</w:t>
      </w:r>
      <w:r w:rsidRPr="00E945B0">
        <w:rPr>
          <w:lang w:val="en-GB"/>
        </w:rPr>
        <w:t>ections 1 and 2 of the Transsexual</w:t>
      </w:r>
      <w:r>
        <w:rPr>
          <w:lang w:val="en-GB"/>
        </w:rPr>
        <w:t>s</w:t>
      </w:r>
      <w:r w:rsidRPr="00E945B0">
        <w:rPr>
          <w:lang w:val="en-GB"/>
        </w:rPr>
        <w:t xml:space="preserve"> </w:t>
      </w:r>
      <w:r>
        <w:rPr>
          <w:lang w:val="en-GB"/>
        </w:rPr>
        <w:t>(</w:t>
      </w:r>
      <w:r w:rsidRPr="00E945B0">
        <w:rPr>
          <w:lang w:val="en-GB"/>
        </w:rPr>
        <w:t>Confirmation of Gender</w:t>
      </w:r>
      <w:r>
        <w:rPr>
          <w:lang w:val="en-GB"/>
        </w:rPr>
        <w:t>)</w:t>
      </w:r>
      <w:r w:rsidRPr="00E945B0">
        <w:rPr>
          <w:lang w:val="en-GB"/>
        </w:rPr>
        <w:t xml:space="preserve"> Act did not violate the constitutional rights of the applicant</w:t>
      </w:r>
      <w:r w:rsidR="00C17A2C">
        <w:rPr>
          <w:lang w:val="en-GB"/>
        </w:rPr>
        <w:t>’</w:t>
      </w:r>
      <w:r w:rsidRPr="00E945B0">
        <w:rPr>
          <w:lang w:val="en-GB"/>
        </w:rPr>
        <w:t>s child.</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17</w:t>
      </w:r>
      <w:r w:rsidRPr="00E945B0">
        <w:rPr>
          <w:lang w:val="en-GB"/>
        </w:rPr>
        <w:fldChar w:fldCharType="end"/>
      </w:r>
      <w:r w:rsidRPr="00E945B0">
        <w:rPr>
          <w:lang w:val="en-GB"/>
        </w:rPr>
        <w:t>.  On 8 May 2008 the applicant appealed to the Supreme Administrative Court (</w:t>
      </w:r>
      <w:r w:rsidRPr="00E945B0">
        <w:rPr>
          <w:rStyle w:val="ju-005fpara--char"/>
          <w:i/>
          <w:iCs/>
          <w:lang w:val="en-GB"/>
        </w:rPr>
        <w:t>korkein hallinto-oikeus, högsta förvaltnings-domstolen)</w:t>
      </w:r>
      <w:r w:rsidRPr="00E945B0">
        <w:rPr>
          <w:rStyle w:val="ju-005fpara--char"/>
          <w:iCs/>
          <w:lang w:val="en-GB"/>
        </w:rPr>
        <w:t xml:space="preserve">, </w:t>
      </w:r>
      <w:r w:rsidRPr="00E945B0">
        <w:rPr>
          <w:lang w:val="en-GB"/>
        </w:rPr>
        <w:t xml:space="preserve">reiterating the grounds </w:t>
      </w:r>
      <w:r>
        <w:rPr>
          <w:lang w:val="en-GB"/>
        </w:rPr>
        <w:t>submitted</w:t>
      </w:r>
      <w:r w:rsidRPr="00E945B0">
        <w:rPr>
          <w:lang w:val="en-GB"/>
        </w:rPr>
        <w:t xml:space="preserve"> before the local </w:t>
      </w:r>
      <w:r>
        <w:rPr>
          <w:lang w:val="en-GB"/>
        </w:rPr>
        <w:t>registry</w:t>
      </w:r>
      <w:r w:rsidRPr="00E945B0">
        <w:rPr>
          <w:lang w:val="en-GB"/>
        </w:rPr>
        <w:t xml:space="preserve"> </w:t>
      </w:r>
      <w:r>
        <w:rPr>
          <w:lang w:val="en-GB"/>
        </w:rPr>
        <w:t>o</w:t>
      </w:r>
      <w:r w:rsidRPr="00E945B0">
        <w:rPr>
          <w:lang w:val="en-GB"/>
        </w:rPr>
        <w:t xml:space="preserve">ffice and the Administrative Court. She also asked the court to make a request for a preliminary ruling to the Court of Justice of the European Communities, in particular on the interpretation of Article 8 of the European Convention on Human Rights. Referring to Articles 8 and 14 of the Convention, the applicant claimed that the State should not tell her that a registered partnership was appropriate for her, especially when </w:t>
      </w:r>
      <w:r>
        <w:rPr>
          <w:lang w:val="en-GB"/>
        </w:rPr>
        <w:t>this</w:t>
      </w:r>
      <w:r w:rsidRPr="00E945B0">
        <w:rPr>
          <w:lang w:val="en-GB"/>
        </w:rPr>
        <w:t xml:space="preserve"> required that her wife become a lesbian. Their sexual identity was a private matter which could not be a condition for confirmation of gender. Transgenderism was a medical condition falling within the scope of private life. The State was violating her right to privacy every time the male identity number revealed </w:t>
      </w:r>
      <w:r>
        <w:rPr>
          <w:lang w:val="en-GB"/>
        </w:rPr>
        <w:t>that she was</w:t>
      </w:r>
      <w:r w:rsidRPr="00E945B0">
        <w:rPr>
          <w:lang w:val="en-GB"/>
        </w:rPr>
        <w:t xml:space="preserve"> </w:t>
      </w:r>
      <w:r>
        <w:rPr>
          <w:lang w:val="en-GB"/>
        </w:rPr>
        <w:t>a transsexual</w:t>
      </w:r>
      <w:r w:rsidRPr="00E945B0">
        <w:rPr>
          <w:lang w:val="en-GB"/>
        </w:rPr>
        <w:t>. Moreover, she claimed that if her marriage were turned into a registered partnership, it would mean that she could no longer be a legal father to her child</w:t>
      </w:r>
      <w:r>
        <w:rPr>
          <w:lang w:val="en-GB"/>
        </w:rPr>
        <w:t xml:space="preserve"> and could not be</w:t>
      </w:r>
      <w:r w:rsidRPr="00E945B0">
        <w:rPr>
          <w:lang w:val="en-GB"/>
        </w:rPr>
        <w:t xml:space="preserve"> h</w:t>
      </w:r>
      <w:r>
        <w:rPr>
          <w:lang w:val="en-GB"/>
        </w:rPr>
        <w:t>er</w:t>
      </w:r>
      <w:r w:rsidRPr="00E945B0">
        <w:rPr>
          <w:lang w:val="en-GB"/>
        </w:rPr>
        <w:t xml:space="preserve"> mother</w:t>
      </w:r>
      <w:r>
        <w:rPr>
          <w:lang w:val="en-GB"/>
        </w:rPr>
        <w:t xml:space="preserve"> either</w:t>
      </w:r>
      <w:r w:rsidRPr="00E945B0">
        <w:rPr>
          <w:lang w:val="en-GB"/>
        </w:rPr>
        <w:t>, as a child could not have two mothers.</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18</w:t>
      </w:r>
      <w:r w:rsidRPr="00E945B0">
        <w:rPr>
          <w:lang w:val="en-GB"/>
        </w:rPr>
        <w:fldChar w:fldCharType="end"/>
      </w:r>
      <w:r w:rsidRPr="00E945B0">
        <w:rPr>
          <w:lang w:val="en-GB"/>
        </w:rPr>
        <w:t>.  On 3 February 2009 the Supreme Administrative Court refused the applicant</w:t>
      </w:r>
      <w:r w:rsidR="00C17A2C">
        <w:rPr>
          <w:lang w:val="en-GB"/>
        </w:rPr>
        <w:t>’</w:t>
      </w:r>
      <w:r w:rsidRPr="00E945B0">
        <w:rPr>
          <w:lang w:val="en-GB"/>
        </w:rPr>
        <w:t>s request</w:t>
      </w:r>
      <w:r>
        <w:rPr>
          <w:lang w:val="en-GB"/>
        </w:rPr>
        <w:t xml:space="preserve"> to apply</w:t>
      </w:r>
      <w:r w:rsidRPr="00E945B0">
        <w:rPr>
          <w:lang w:val="en-GB"/>
        </w:rPr>
        <w:t xml:space="preserve"> for a preliminary ruling and </w:t>
      </w:r>
      <w:r>
        <w:rPr>
          <w:lang w:val="en-GB"/>
        </w:rPr>
        <w:t>dismissed</w:t>
      </w:r>
      <w:r w:rsidRPr="00E945B0">
        <w:rPr>
          <w:lang w:val="en-GB"/>
        </w:rPr>
        <w:t xml:space="preserve"> her appeal. It found that by </w:t>
      </w:r>
      <w:r>
        <w:rPr>
          <w:lang w:val="en-GB"/>
        </w:rPr>
        <w:t>enacting</w:t>
      </w:r>
      <w:r w:rsidRPr="00E945B0">
        <w:rPr>
          <w:lang w:val="en-GB"/>
        </w:rPr>
        <w:t xml:space="preserve"> the Transsexual</w:t>
      </w:r>
      <w:r>
        <w:rPr>
          <w:lang w:val="en-GB"/>
        </w:rPr>
        <w:t>s</w:t>
      </w:r>
      <w:r w:rsidRPr="00E66C50">
        <w:rPr>
          <w:lang w:val="en-GB"/>
        </w:rPr>
        <w:t xml:space="preserve"> </w:t>
      </w:r>
      <w:r>
        <w:rPr>
          <w:lang w:val="en-GB"/>
        </w:rPr>
        <w:t>(</w:t>
      </w:r>
      <w:r w:rsidRPr="00E945B0">
        <w:rPr>
          <w:lang w:val="en-GB"/>
        </w:rPr>
        <w:t>Confirmation of Gender</w:t>
      </w:r>
      <w:r>
        <w:rPr>
          <w:lang w:val="en-GB"/>
        </w:rPr>
        <w:t>)</w:t>
      </w:r>
      <w:r w:rsidRPr="00E945B0">
        <w:rPr>
          <w:lang w:val="en-GB"/>
        </w:rPr>
        <w:t xml:space="preserve"> Act the legislat</w:t>
      </w:r>
      <w:r>
        <w:rPr>
          <w:lang w:val="en-GB"/>
        </w:rPr>
        <w:t>ure</w:t>
      </w:r>
      <w:r w:rsidRPr="00E945B0">
        <w:rPr>
          <w:lang w:val="en-GB"/>
        </w:rPr>
        <w:t xml:space="preserve"> </w:t>
      </w:r>
      <w:r>
        <w:rPr>
          <w:lang w:val="en-GB"/>
        </w:rPr>
        <w:t>had</w:t>
      </w:r>
      <w:r w:rsidRPr="00E945B0">
        <w:rPr>
          <w:lang w:val="en-GB"/>
        </w:rPr>
        <w:t xml:space="preserve"> not </w:t>
      </w:r>
      <w:r>
        <w:rPr>
          <w:lang w:val="en-GB"/>
        </w:rPr>
        <w:t>intended</w:t>
      </w:r>
      <w:r w:rsidRPr="00E945B0">
        <w:rPr>
          <w:lang w:val="en-GB"/>
        </w:rPr>
        <w:t xml:space="preserve"> to change the fact that only a man and a woman could marry and that same-sex partners could have their relationship judicially confirmed by registering it. The European Court </w:t>
      </w:r>
      <w:r w:rsidR="009A1235">
        <w:rPr>
          <w:lang w:val="en-GB"/>
        </w:rPr>
        <w:t xml:space="preserve">of Human Rights </w:t>
      </w:r>
      <w:r w:rsidRPr="00E945B0">
        <w:rPr>
          <w:lang w:val="en-GB"/>
        </w:rPr>
        <w:t>had found</w:t>
      </w:r>
      <w:r>
        <w:rPr>
          <w:lang w:val="en-GB"/>
        </w:rPr>
        <w:t>,</w:t>
      </w:r>
      <w:r w:rsidRPr="00E945B0">
        <w:rPr>
          <w:lang w:val="en-GB"/>
        </w:rPr>
        <w:t xml:space="preserve"> under Article 12 of the Convention</w:t>
      </w:r>
      <w:r>
        <w:rPr>
          <w:lang w:val="en-GB"/>
        </w:rPr>
        <w:t>,</w:t>
      </w:r>
      <w:r w:rsidRPr="00E945B0">
        <w:rPr>
          <w:lang w:val="en-GB"/>
        </w:rPr>
        <w:t xml:space="preserve"> that there were no acceptable grounds </w:t>
      </w:r>
      <w:r>
        <w:rPr>
          <w:lang w:val="en-GB"/>
        </w:rPr>
        <w:t>for</w:t>
      </w:r>
      <w:r w:rsidRPr="00E945B0">
        <w:rPr>
          <w:lang w:val="en-GB"/>
        </w:rPr>
        <w:t xml:space="preserve"> deny</w:t>
      </w:r>
      <w:r>
        <w:rPr>
          <w:lang w:val="en-GB"/>
        </w:rPr>
        <w:t>ing</w:t>
      </w:r>
      <w:r w:rsidRPr="00E945B0">
        <w:rPr>
          <w:lang w:val="en-GB"/>
        </w:rPr>
        <w:t xml:space="preserve"> trans</w:t>
      </w:r>
      <w:r>
        <w:rPr>
          <w:lang w:val="en-GB"/>
        </w:rPr>
        <w:t>sexual</w:t>
      </w:r>
      <w:r w:rsidRPr="00E945B0">
        <w:rPr>
          <w:lang w:val="en-GB"/>
        </w:rPr>
        <w:t xml:space="preserve">s the right to marry but that the margin of appreciation in this respect was </w:t>
      </w:r>
      <w:r>
        <w:rPr>
          <w:lang w:val="en-GB"/>
        </w:rPr>
        <w:t>wide</w:t>
      </w:r>
      <w:r w:rsidRPr="00E945B0">
        <w:rPr>
          <w:lang w:val="en-GB"/>
        </w:rPr>
        <w:t>. It was not possible under Finnish law for persons of the same sex to marry</w:t>
      </w:r>
      <w:r>
        <w:rPr>
          <w:lang w:val="en-GB"/>
        </w:rPr>
        <w:t>,</w:t>
      </w:r>
      <w:r w:rsidRPr="00E945B0">
        <w:rPr>
          <w:lang w:val="en-GB"/>
        </w:rPr>
        <w:t xml:space="preserve"> but in such a case </w:t>
      </w:r>
      <w:r>
        <w:rPr>
          <w:lang w:val="en-GB"/>
        </w:rPr>
        <w:t xml:space="preserve">they could enter into </w:t>
      </w:r>
      <w:r w:rsidRPr="00E945B0">
        <w:rPr>
          <w:lang w:val="en-GB"/>
        </w:rPr>
        <w:t xml:space="preserve">a registered partnership. As to its </w:t>
      </w:r>
      <w:r>
        <w:rPr>
          <w:lang w:val="en-GB"/>
        </w:rPr>
        <w:t>legal</w:t>
      </w:r>
      <w:r w:rsidRPr="00E945B0">
        <w:rPr>
          <w:lang w:val="en-GB"/>
        </w:rPr>
        <w:t xml:space="preserve"> and economic consequences, a registered partnership was essentially comparable to marriage. The question of transforming the institution</w:t>
      </w:r>
      <w:r>
        <w:rPr>
          <w:lang w:val="en-GB"/>
        </w:rPr>
        <w:t xml:space="preserve"> of</w:t>
      </w:r>
      <w:r w:rsidRPr="00DA1051">
        <w:rPr>
          <w:lang w:val="en-GB"/>
        </w:rPr>
        <w:t xml:space="preserve"> </w:t>
      </w:r>
      <w:r w:rsidRPr="00E945B0">
        <w:rPr>
          <w:lang w:val="en-GB"/>
        </w:rPr>
        <w:t xml:space="preserve">marriage into a gender-neutral one </w:t>
      </w:r>
      <w:r>
        <w:rPr>
          <w:lang w:val="en-GB"/>
        </w:rPr>
        <w:t>brought</w:t>
      </w:r>
      <w:r w:rsidRPr="00E945B0">
        <w:rPr>
          <w:lang w:val="en-GB"/>
        </w:rPr>
        <w:t xml:space="preserve"> significant ethical and religious values</w:t>
      </w:r>
      <w:r>
        <w:rPr>
          <w:lang w:val="en-GB"/>
        </w:rPr>
        <w:t xml:space="preserve"> into play</w:t>
      </w:r>
      <w:r w:rsidRPr="00E945B0">
        <w:rPr>
          <w:lang w:val="en-GB"/>
        </w:rPr>
        <w:t xml:space="preserve"> and </w:t>
      </w:r>
      <w:r>
        <w:rPr>
          <w:lang w:val="en-GB"/>
        </w:rPr>
        <w:t>required the enactment of</w:t>
      </w:r>
      <w:r w:rsidRPr="00E945B0">
        <w:rPr>
          <w:lang w:val="en-GB"/>
        </w:rPr>
        <w:t xml:space="preserve"> an </w:t>
      </w:r>
      <w:r>
        <w:rPr>
          <w:lang w:val="en-GB"/>
        </w:rPr>
        <w:t>A</w:t>
      </w:r>
      <w:r w:rsidRPr="00E945B0">
        <w:rPr>
          <w:lang w:val="en-GB"/>
        </w:rPr>
        <w:t xml:space="preserve">ct </w:t>
      </w:r>
      <w:r>
        <w:rPr>
          <w:lang w:val="en-GB"/>
        </w:rPr>
        <w:t>of</w:t>
      </w:r>
      <w:r w:rsidRPr="00E945B0">
        <w:rPr>
          <w:lang w:val="en-GB"/>
        </w:rPr>
        <w:t xml:space="preserve"> Parliament. The current state of</w:t>
      </w:r>
      <w:r>
        <w:rPr>
          <w:lang w:val="en-GB"/>
        </w:rPr>
        <w:t xml:space="preserve"> the</w:t>
      </w:r>
      <w:r w:rsidRPr="00E945B0">
        <w:rPr>
          <w:lang w:val="en-GB"/>
        </w:rPr>
        <w:t xml:space="preserve"> law was within the margin of appreciation given to the State by the European Convention.</w:t>
      </w:r>
    </w:p>
    <w:p w:rsidR="008B72C1" w:rsidRPr="003F1D1C" w:rsidRDefault="008B72C1" w:rsidP="008B72C1">
      <w:pPr>
        <w:pStyle w:val="ECHRHeading2"/>
        <w:rPr>
          <w:lang w:val="en-GB"/>
        </w:rPr>
      </w:pPr>
      <w:r w:rsidRPr="003F1D1C">
        <w:rPr>
          <w:lang w:val="en-GB"/>
        </w:rPr>
        <w:lastRenderedPageBreak/>
        <w:t>B.  Extraordinary proceedings</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19</w:t>
      </w:r>
      <w:r w:rsidRPr="00E945B0">
        <w:rPr>
          <w:lang w:val="en-GB"/>
        </w:rPr>
        <w:fldChar w:fldCharType="end"/>
      </w:r>
      <w:r w:rsidRPr="00E945B0">
        <w:rPr>
          <w:lang w:val="en-GB"/>
        </w:rPr>
        <w:t xml:space="preserve">.  On 29 October 2009 the applicant lodged an extraordinary appeal with the Supreme Administrative Court, requesting it to </w:t>
      </w:r>
      <w:r>
        <w:rPr>
          <w:lang w:val="en-GB"/>
        </w:rPr>
        <w:t>overturn</w:t>
      </w:r>
      <w:r w:rsidRPr="00E945B0">
        <w:rPr>
          <w:lang w:val="en-GB"/>
        </w:rPr>
        <w:t xml:space="preserve"> its previous decision of 3 February 2009. She stated that she had undergone gender reassignment surgery on 29 September 2009 and that she could no longer prove that she had been male as indicated by her identity number and passport. Even though, for marriage purposes, she would still be considered as male, the fact remained that she should not be discriminated against </w:t>
      </w:r>
      <w:r>
        <w:rPr>
          <w:lang w:val="en-GB"/>
        </w:rPr>
        <w:t>on account of</w:t>
      </w:r>
      <w:r w:rsidRPr="00E945B0">
        <w:rPr>
          <w:lang w:val="en-GB"/>
        </w:rPr>
        <w:t xml:space="preserve"> her gender.</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20</w:t>
      </w:r>
      <w:r w:rsidRPr="00E945B0">
        <w:rPr>
          <w:lang w:val="en-GB"/>
        </w:rPr>
        <w:fldChar w:fldCharType="end"/>
      </w:r>
      <w:r w:rsidRPr="00E945B0">
        <w:rPr>
          <w:lang w:val="en-GB"/>
        </w:rPr>
        <w:t xml:space="preserve">.  On 18 August 2010 the Supreme Administrative Court </w:t>
      </w:r>
      <w:r>
        <w:rPr>
          <w:lang w:val="en-GB"/>
        </w:rPr>
        <w:t>dismissed</w:t>
      </w:r>
      <w:r w:rsidRPr="00E945B0">
        <w:rPr>
          <w:lang w:val="en-GB"/>
        </w:rPr>
        <w:t xml:space="preserve"> the extraordinary appeal.</w:t>
      </w:r>
    </w:p>
    <w:p w:rsidR="008B72C1" w:rsidRPr="003F1D1C" w:rsidRDefault="008B72C1" w:rsidP="008B72C1">
      <w:pPr>
        <w:pStyle w:val="ECHRHeading2"/>
        <w:rPr>
          <w:lang w:val="en-GB"/>
        </w:rPr>
      </w:pPr>
      <w:r w:rsidRPr="003F1D1C">
        <w:rPr>
          <w:lang w:val="en-GB"/>
        </w:rPr>
        <w:t>C.  Other proceedings</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21</w:t>
      </w:r>
      <w:r w:rsidRPr="00E945B0">
        <w:rPr>
          <w:lang w:val="en-GB"/>
        </w:rPr>
        <w:fldChar w:fldCharType="end"/>
      </w:r>
      <w:r w:rsidRPr="00E945B0">
        <w:rPr>
          <w:lang w:val="en-GB"/>
        </w:rPr>
        <w:t xml:space="preserve">.  On an unspecified date the applicant also </w:t>
      </w:r>
      <w:r>
        <w:rPr>
          <w:lang w:val="en-GB"/>
        </w:rPr>
        <w:t>lodged</w:t>
      </w:r>
      <w:r w:rsidRPr="00E945B0">
        <w:rPr>
          <w:lang w:val="en-GB"/>
        </w:rPr>
        <w:t xml:space="preserve"> a complaint with the Ombudsman for Equality (</w:t>
      </w:r>
      <w:r w:rsidRPr="00E945B0">
        <w:rPr>
          <w:i/>
          <w:lang w:val="en-GB"/>
        </w:rPr>
        <w:t>Tasa-arvovaltuutettu, Jämställdhets-ombudsmannen</w:t>
      </w:r>
      <w:r w:rsidRPr="00E945B0">
        <w:rPr>
          <w:lang w:val="en-GB"/>
        </w:rPr>
        <w:t xml:space="preserve">), complaining, </w:t>
      </w:r>
      <w:r w:rsidRPr="00E945B0">
        <w:rPr>
          <w:i/>
          <w:lang w:val="en-GB"/>
        </w:rPr>
        <w:t>inter alia</w:t>
      </w:r>
      <w:r w:rsidRPr="00E945B0">
        <w:rPr>
          <w:lang w:val="en-GB"/>
        </w:rPr>
        <w:t xml:space="preserve">, </w:t>
      </w:r>
      <w:r>
        <w:rPr>
          <w:lang w:val="en-GB"/>
        </w:rPr>
        <w:t>that she had</w:t>
      </w:r>
      <w:r w:rsidRPr="00E945B0">
        <w:rPr>
          <w:lang w:val="en-GB"/>
        </w:rPr>
        <w:t xml:space="preserve"> the wrong identity number.</w:t>
      </w:r>
    </w:p>
    <w:p w:rsidR="008B72C1" w:rsidRPr="00E945B0" w:rsidRDefault="008B72C1" w:rsidP="008B72C1">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22</w:t>
      </w:r>
      <w:r w:rsidRPr="00E945B0">
        <w:rPr>
          <w:lang w:val="en-GB"/>
        </w:rPr>
        <w:fldChar w:fldCharType="end"/>
      </w:r>
      <w:r w:rsidRPr="00E945B0">
        <w:rPr>
          <w:lang w:val="en-GB"/>
        </w:rPr>
        <w:t>.  On 30 September 2008 the Ombudsman for Equality stated that she could not take a stand on the identity number issue as the matter had already been dealt with by the Administrative Court and the Ombudsman was not competent to supervise the courts. Moreover, the matter was pending before th</w:t>
      </w:r>
      <w:r>
        <w:rPr>
          <w:lang w:val="en-GB"/>
        </w:rPr>
        <w:t>e Supreme Administrative Court.</w:t>
      </w:r>
    </w:p>
    <w:p w:rsidR="00CD49A7" w:rsidRPr="00805A7D" w:rsidRDefault="00CD49A7" w:rsidP="00AF23DA">
      <w:pPr>
        <w:pStyle w:val="ECHRHeading1"/>
        <w:rPr>
          <w:lang w:val="en-GB"/>
        </w:rPr>
      </w:pPr>
      <w:r w:rsidRPr="00805A7D">
        <w:rPr>
          <w:lang w:val="en-GB"/>
        </w:rPr>
        <w:t>II.  RELEVANT DOMESTIC LAW</w:t>
      </w:r>
    </w:p>
    <w:p w:rsidR="00910348" w:rsidRPr="00E945B0" w:rsidRDefault="00910348" w:rsidP="00910348">
      <w:pPr>
        <w:pStyle w:val="ECHRHeading2"/>
        <w:rPr>
          <w:lang w:val="en-GB"/>
        </w:rPr>
      </w:pPr>
      <w:r w:rsidRPr="00E945B0">
        <w:rPr>
          <w:lang w:val="en-GB"/>
        </w:rPr>
        <w:t>A.  Constitution</w:t>
      </w:r>
    </w:p>
    <w:p w:rsidR="00910348" w:rsidRPr="00E945B0" w:rsidRDefault="00910348" w:rsidP="00910348">
      <w:pPr>
        <w:pStyle w:val="ECHRPara"/>
        <w:rPr>
          <w:color w:val="000000"/>
          <w:lang w:val="en-GB"/>
        </w:rPr>
      </w:pPr>
      <w:r>
        <w:rPr>
          <w:lang w:val="en-GB" w:eastAsia="en-GB"/>
        </w:rPr>
        <w:fldChar w:fldCharType="begin"/>
      </w:r>
      <w:r>
        <w:rPr>
          <w:lang w:val="en-GB" w:eastAsia="en-GB"/>
        </w:rPr>
        <w:instrText xml:space="preserve"> SEQ level0 \*arabic </w:instrText>
      </w:r>
      <w:r>
        <w:rPr>
          <w:lang w:val="en-GB" w:eastAsia="en-GB"/>
        </w:rPr>
        <w:fldChar w:fldCharType="separate"/>
      </w:r>
      <w:r w:rsidR="008B718E">
        <w:rPr>
          <w:noProof/>
          <w:lang w:val="en-GB" w:eastAsia="en-GB"/>
        </w:rPr>
        <w:t>23</w:t>
      </w:r>
      <w:r>
        <w:rPr>
          <w:lang w:val="en-GB" w:eastAsia="en-GB"/>
        </w:rPr>
        <w:fldChar w:fldCharType="end"/>
      </w:r>
      <w:r>
        <w:rPr>
          <w:lang w:val="en-GB" w:eastAsia="en-GB"/>
        </w:rPr>
        <w:t>.  </w:t>
      </w:r>
      <w:r w:rsidRPr="00E945B0">
        <w:rPr>
          <w:lang w:val="en-GB" w:eastAsia="en-GB"/>
        </w:rPr>
        <w:t xml:space="preserve">Article 6 of the Constitution </w:t>
      </w:r>
      <w:r w:rsidRPr="00E945B0">
        <w:rPr>
          <w:color w:val="000000"/>
          <w:lang w:val="en-GB"/>
        </w:rPr>
        <w:t>(</w:t>
      </w:r>
      <w:r w:rsidRPr="00E945B0">
        <w:rPr>
          <w:i/>
          <w:iCs/>
          <w:color w:val="000000"/>
          <w:lang w:val="en-GB"/>
        </w:rPr>
        <w:t>Suomen perustuslaki, Finlands grundlag</w:t>
      </w:r>
      <w:r w:rsidRPr="00E945B0">
        <w:rPr>
          <w:color w:val="000000"/>
          <w:lang w:val="en-GB"/>
        </w:rPr>
        <w:t>; Act no. 731/1999) provides:</w:t>
      </w:r>
    </w:p>
    <w:p w:rsidR="00910348" w:rsidRPr="00E945B0" w:rsidRDefault="00910348" w:rsidP="00910348">
      <w:pPr>
        <w:pStyle w:val="ECHRParaQuote"/>
        <w:rPr>
          <w:lang w:val="en-GB" w:eastAsia="en-GB"/>
        </w:rPr>
      </w:pPr>
      <w:r w:rsidRPr="00E945B0">
        <w:rPr>
          <w:lang w:val="en-GB" w:eastAsia="en-GB"/>
        </w:rPr>
        <w:t>“Everyone is equal before the law.</w:t>
      </w:r>
    </w:p>
    <w:p w:rsidR="00910348" w:rsidRPr="00E945B0" w:rsidRDefault="00910348" w:rsidP="00910348">
      <w:pPr>
        <w:pStyle w:val="ECHRParaQuote"/>
        <w:rPr>
          <w:lang w:val="en-GB" w:eastAsia="en-GB"/>
        </w:rPr>
      </w:pPr>
      <w:r w:rsidRPr="00E945B0">
        <w:rPr>
          <w:lang w:val="en-GB" w:eastAsia="en-GB"/>
        </w:rPr>
        <w:t>No one shall, without an acceptable reason, be treated differently from other persons on the ground of sex, age, origin, language, religion, conviction, opinion, health, disability or other reason that concerns his or her person. Children shall be treated equally and as individuals and they shall be allowed to influence matters pertaining to themselves to a degree corresponding to their level of development.</w:t>
      </w:r>
    </w:p>
    <w:p w:rsidR="00910348" w:rsidRPr="00E945B0" w:rsidRDefault="00910348" w:rsidP="00910348">
      <w:pPr>
        <w:pStyle w:val="ECHRParaQuote"/>
        <w:rPr>
          <w:lang w:val="en-GB" w:eastAsia="en-GB"/>
        </w:rPr>
      </w:pPr>
      <w:r w:rsidRPr="00E945B0">
        <w:rPr>
          <w:lang w:val="en-GB" w:eastAsia="en-GB"/>
        </w:rPr>
        <w:t xml:space="preserve">Equality of the sexes </w:t>
      </w:r>
      <w:r>
        <w:rPr>
          <w:lang w:val="en-GB" w:eastAsia="en-GB"/>
        </w:rPr>
        <w:t>shall be</w:t>
      </w:r>
      <w:r w:rsidRPr="00E945B0">
        <w:rPr>
          <w:lang w:val="en-GB" w:eastAsia="en-GB"/>
        </w:rPr>
        <w:t xml:space="preserve"> promoted in societ</w:t>
      </w:r>
      <w:r>
        <w:rPr>
          <w:lang w:val="en-GB" w:eastAsia="en-GB"/>
        </w:rPr>
        <w:t>y</w:t>
      </w:r>
      <w:r w:rsidRPr="00E945B0">
        <w:rPr>
          <w:lang w:val="en-GB" w:eastAsia="en-GB"/>
        </w:rPr>
        <w:t xml:space="preserve"> and working life, especially in the determination of pay and other terms of employment, as provided</w:t>
      </w:r>
      <w:r>
        <w:rPr>
          <w:lang w:val="en-GB" w:eastAsia="en-GB"/>
        </w:rPr>
        <w:t xml:space="preserve"> for</w:t>
      </w:r>
      <w:r w:rsidRPr="00E945B0">
        <w:rPr>
          <w:lang w:val="en-GB" w:eastAsia="en-GB"/>
        </w:rPr>
        <w:t xml:space="preserve"> in more detail by an </w:t>
      </w:r>
      <w:r>
        <w:rPr>
          <w:lang w:val="en-GB" w:eastAsia="en-GB"/>
        </w:rPr>
        <w:t xml:space="preserve">[implementing] </w:t>
      </w:r>
      <w:r w:rsidRPr="00E945B0">
        <w:rPr>
          <w:lang w:val="en-GB" w:eastAsia="en-GB"/>
        </w:rPr>
        <w:t>Act.”</w:t>
      </w:r>
    </w:p>
    <w:p w:rsidR="002B67B3" w:rsidRDefault="00910348" w:rsidP="00910348">
      <w:pPr>
        <w:pStyle w:val="ECHRHeading2"/>
        <w:rPr>
          <w:lang w:val="en-GB" w:eastAsia="en-GB"/>
        </w:rPr>
      </w:pPr>
      <w:r w:rsidRPr="00E945B0">
        <w:rPr>
          <w:lang w:val="en-GB" w:eastAsia="en-GB"/>
        </w:rPr>
        <w:lastRenderedPageBreak/>
        <w:t>B.  </w:t>
      </w:r>
      <w:r w:rsidR="002B67B3">
        <w:rPr>
          <w:lang w:val="en-GB" w:eastAsia="en-GB"/>
        </w:rPr>
        <w:t>Marriage Act</w:t>
      </w:r>
    </w:p>
    <w:p w:rsidR="002B67B3" w:rsidRPr="0042622A" w:rsidRDefault="002B67B3" w:rsidP="0042622A">
      <w:pPr>
        <w:pStyle w:val="ECHRPara"/>
        <w:rPr>
          <w:lang w:val="en-GB"/>
        </w:rPr>
      </w:pPr>
      <w:r w:rsidRPr="0042622A">
        <w:rPr>
          <w:lang w:val="en-GB" w:eastAsia="en-GB"/>
        </w:rPr>
        <w:fldChar w:fldCharType="begin"/>
      </w:r>
      <w:r w:rsidRPr="0042622A">
        <w:rPr>
          <w:lang w:val="en-GB" w:eastAsia="en-GB"/>
        </w:rPr>
        <w:instrText xml:space="preserve"> SEQ level0 \*arabic </w:instrText>
      </w:r>
      <w:r w:rsidRPr="0042622A">
        <w:rPr>
          <w:lang w:val="en-GB" w:eastAsia="en-GB"/>
        </w:rPr>
        <w:fldChar w:fldCharType="separate"/>
      </w:r>
      <w:r w:rsidR="008B718E">
        <w:rPr>
          <w:noProof/>
          <w:lang w:val="en-GB" w:eastAsia="en-GB"/>
        </w:rPr>
        <w:t>24</w:t>
      </w:r>
      <w:r w:rsidRPr="0042622A">
        <w:rPr>
          <w:lang w:val="en-GB" w:eastAsia="en-GB"/>
        </w:rPr>
        <w:fldChar w:fldCharType="end"/>
      </w:r>
      <w:r w:rsidRPr="0042622A">
        <w:rPr>
          <w:lang w:val="en-GB" w:eastAsia="en-GB"/>
        </w:rPr>
        <w:t>.  </w:t>
      </w:r>
      <w:r w:rsidRPr="0042622A">
        <w:rPr>
          <w:lang w:val="en-GB"/>
        </w:rPr>
        <w:t>Section 1 of the Marriage Act (</w:t>
      </w:r>
      <w:r w:rsidRPr="0042622A">
        <w:rPr>
          <w:i/>
          <w:lang w:val="en-GB"/>
        </w:rPr>
        <w:t xml:space="preserve">avioliittolaki, </w:t>
      </w:r>
      <w:r w:rsidR="0042622A" w:rsidRPr="0042622A">
        <w:rPr>
          <w:i/>
          <w:lang w:val="en-GB"/>
        </w:rPr>
        <w:t>äktenskapslagen</w:t>
      </w:r>
      <w:r w:rsidR="0042622A" w:rsidRPr="0042622A">
        <w:rPr>
          <w:lang w:val="en-GB"/>
        </w:rPr>
        <w:t xml:space="preserve">; </w:t>
      </w:r>
      <w:r w:rsidRPr="0042622A">
        <w:rPr>
          <w:lang w:val="en-GB"/>
        </w:rPr>
        <w:t>Act no. 411/1987) provides that marriage is between a woman and a man.</w:t>
      </w:r>
    </w:p>
    <w:p w:rsidR="002B67B3" w:rsidRPr="0042622A" w:rsidRDefault="002B67B3" w:rsidP="0042622A">
      <w:pPr>
        <w:pStyle w:val="ECHRPara"/>
        <w:rPr>
          <w:lang w:val="en-GB"/>
        </w:rPr>
      </w:pPr>
      <w:r w:rsidRPr="0042622A">
        <w:rPr>
          <w:lang w:val="en-GB"/>
        </w:rPr>
        <w:fldChar w:fldCharType="begin"/>
      </w:r>
      <w:r w:rsidRPr="0042622A">
        <w:rPr>
          <w:lang w:val="en-GB"/>
        </w:rPr>
        <w:instrText xml:space="preserve"> SEQ level0 \*arabic </w:instrText>
      </w:r>
      <w:r w:rsidRPr="0042622A">
        <w:rPr>
          <w:lang w:val="en-GB"/>
        </w:rPr>
        <w:fldChar w:fldCharType="separate"/>
      </w:r>
      <w:r w:rsidR="008B718E">
        <w:rPr>
          <w:noProof/>
          <w:lang w:val="en-GB"/>
        </w:rPr>
        <w:t>25</w:t>
      </w:r>
      <w:r w:rsidRPr="0042622A">
        <w:rPr>
          <w:lang w:val="en-GB"/>
        </w:rPr>
        <w:fldChar w:fldCharType="end"/>
      </w:r>
      <w:r w:rsidRPr="0042622A">
        <w:rPr>
          <w:lang w:val="en-GB"/>
        </w:rPr>
        <w:t xml:space="preserve">.  Section 115 of the same Act </w:t>
      </w:r>
      <w:r w:rsidR="0042622A" w:rsidRPr="0042622A">
        <w:rPr>
          <w:lang w:val="en-GB"/>
        </w:rPr>
        <w:t>(as amended by Act no. 226/2001) provides the following:</w:t>
      </w:r>
    </w:p>
    <w:p w:rsidR="0042622A" w:rsidRPr="0042622A" w:rsidRDefault="0042622A" w:rsidP="0042622A">
      <w:pPr>
        <w:pStyle w:val="ECHRParaQuote"/>
        <w:rPr>
          <w:lang w:val="en-GB" w:eastAsia="en-GB"/>
        </w:rPr>
      </w:pPr>
      <w:r w:rsidRPr="0042622A">
        <w:rPr>
          <w:rFonts w:eastAsiaTheme="minorHAnsi"/>
          <w:lang w:val="en-GB"/>
        </w:rPr>
        <w:t xml:space="preserve">“A marriage concluded </w:t>
      </w:r>
      <w:r w:rsidR="00676FCF">
        <w:rPr>
          <w:rFonts w:eastAsiaTheme="minorHAnsi"/>
          <w:lang w:val="en-GB"/>
        </w:rPr>
        <w:t>between</w:t>
      </w:r>
      <w:r w:rsidR="00676FCF" w:rsidRPr="0042622A">
        <w:rPr>
          <w:rFonts w:eastAsiaTheme="minorHAnsi"/>
          <w:lang w:val="en-GB"/>
        </w:rPr>
        <w:t xml:space="preserve"> </w:t>
      </w:r>
      <w:r w:rsidRPr="0042622A">
        <w:rPr>
          <w:rFonts w:eastAsiaTheme="minorHAnsi"/>
          <w:lang w:val="en-GB"/>
        </w:rPr>
        <w:t xml:space="preserve">a woman and a man in a foreign </w:t>
      </w:r>
      <w:r w:rsidR="00676FCF">
        <w:rPr>
          <w:rFonts w:eastAsiaTheme="minorHAnsi"/>
          <w:lang w:val="en-GB"/>
        </w:rPr>
        <w:t>S</w:t>
      </w:r>
      <w:r w:rsidRPr="0042622A">
        <w:rPr>
          <w:rFonts w:eastAsiaTheme="minorHAnsi"/>
          <w:lang w:val="en-GB"/>
        </w:rPr>
        <w:t xml:space="preserve">tate before an authority of that </w:t>
      </w:r>
      <w:r w:rsidR="00676FCF">
        <w:rPr>
          <w:rFonts w:eastAsiaTheme="minorHAnsi"/>
          <w:lang w:val="en-GB"/>
        </w:rPr>
        <w:t>S</w:t>
      </w:r>
      <w:r w:rsidRPr="0042622A">
        <w:rPr>
          <w:rFonts w:eastAsiaTheme="minorHAnsi"/>
          <w:lang w:val="en-GB"/>
        </w:rPr>
        <w:t xml:space="preserve">tate shall be valid in Finland if it is valid in the </w:t>
      </w:r>
      <w:r w:rsidR="00676FCF">
        <w:rPr>
          <w:rFonts w:eastAsiaTheme="minorHAnsi"/>
          <w:lang w:val="en-GB"/>
        </w:rPr>
        <w:t>S</w:t>
      </w:r>
      <w:r w:rsidRPr="0042622A">
        <w:rPr>
          <w:rFonts w:eastAsiaTheme="minorHAnsi"/>
          <w:lang w:val="en-GB"/>
        </w:rPr>
        <w:t xml:space="preserve">tate </w:t>
      </w:r>
      <w:r w:rsidR="00676FCF">
        <w:rPr>
          <w:rFonts w:eastAsiaTheme="minorHAnsi"/>
          <w:lang w:val="en-GB"/>
        </w:rPr>
        <w:t>in which</w:t>
      </w:r>
      <w:r w:rsidR="00676FCF" w:rsidRPr="0042622A">
        <w:rPr>
          <w:rFonts w:eastAsiaTheme="minorHAnsi"/>
          <w:lang w:val="en-GB"/>
        </w:rPr>
        <w:t xml:space="preserve"> </w:t>
      </w:r>
      <w:r w:rsidRPr="0042622A">
        <w:rPr>
          <w:rFonts w:eastAsiaTheme="minorHAnsi"/>
          <w:lang w:val="en-GB"/>
        </w:rPr>
        <w:t xml:space="preserve">it was concluded or in a </w:t>
      </w:r>
      <w:r w:rsidR="00676FCF">
        <w:rPr>
          <w:rFonts w:eastAsiaTheme="minorHAnsi"/>
          <w:lang w:val="en-GB"/>
        </w:rPr>
        <w:t>S</w:t>
      </w:r>
      <w:r w:rsidRPr="0042622A">
        <w:rPr>
          <w:rFonts w:eastAsiaTheme="minorHAnsi"/>
          <w:lang w:val="en-GB"/>
        </w:rPr>
        <w:t xml:space="preserve">tate </w:t>
      </w:r>
      <w:r w:rsidR="00676FCF">
        <w:rPr>
          <w:rFonts w:eastAsiaTheme="minorHAnsi"/>
          <w:lang w:val="en-GB"/>
        </w:rPr>
        <w:t>of which</w:t>
      </w:r>
      <w:r w:rsidRPr="0042622A">
        <w:rPr>
          <w:rFonts w:eastAsiaTheme="minorHAnsi"/>
          <w:lang w:val="en-GB"/>
        </w:rPr>
        <w:t xml:space="preserve"> either spouse was</w:t>
      </w:r>
      <w:r w:rsidR="00676FCF">
        <w:rPr>
          <w:rFonts w:eastAsiaTheme="minorHAnsi"/>
          <w:lang w:val="en-GB"/>
        </w:rPr>
        <w:t xml:space="preserve"> a citizen</w:t>
      </w:r>
      <w:r w:rsidRPr="0042622A">
        <w:rPr>
          <w:rFonts w:eastAsiaTheme="minorHAnsi"/>
          <w:lang w:val="en-GB"/>
        </w:rPr>
        <w:t xml:space="preserve"> or </w:t>
      </w:r>
      <w:r w:rsidR="00676FCF">
        <w:rPr>
          <w:rFonts w:eastAsiaTheme="minorHAnsi"/>
          <w:lang w:val="en-GB"/>
        </w:rPr>
        <w:t>in which</w:t>
      </w:r>
      <w:r w:rsidR="00676FCF" w:rsidRPr="0042622A">
        <w:rPr>
          <w:rFonts w:eastAsiaTheme="minorHAnsi"/>
          <w:lang w:val="en-GB"/>
        </w:rPr>
        <w:t xml:space="preserve"> </w:t>
      </w:r>
      <w:r w:rsidRPr="0042622A">
        <w:rPr>
          <w:rFonts w:eastAsiaTheme="minorHAnsi"/>
          <w:lang w:val="en-GB"/>
        </w:rPr>
        <w:t>either spouse was habitually resident at the</w:t>
      </w:r>
      <w:r w:rsidR="00BE0BC6">
        <w:rPr>
          <w:rFonts w:eastAsiaTheme="minorHAnsi"/>
          <w:lang w:val="en-GB"/>
        </w:rPr>
        <w:t xml:space="preserve"> time of</w:t>
      </w:r>
      <w:r w:rsidRPr="0042622A">
        <w:rPr>
          <w:rFonts w:eastAsiaTheme="minorHAnsi"/>
          <w:lang w:val="en-GB"/>
        </w:rPr>
        <w:t xml:space="preserve"> conclusion of the marriage.”</w:t>
      </w:r>
    </w:p>
    <w:p w:rsidR="002B67B3" w:rsidRPr="00293724" w:rsidRDefault="002B67B3" w:rsidP="0042622A">
      <w:pPr>
        <w:pStyle w:val="ECHRHeading2"/>
        <w:rPr>
          <w:lang w:val="en-GB" w:eastAsia="en-GB"/>
        </w:rPr>
      </w:pPr>
      <w:r w:rsidRPr="00293724">
        <w:rPr>
          <w:lang w:val="en-GB" w:eastAsia="en-GB"/>
        </w:rPr>
        <w:t>C.  </w:t>
      </w:r>
      <w:r w:rsidR="00AC5A72" w:rsidRPr="00293724">
        <w:rPr>
          <w:lang w:val="en-GB"/>
        </w:rPr>
        <w:t>Act on Registered Partnerships</w:t>
      </w:r>
    </w:p>
    <w:p w:rsidR="00871CCB" w:rsidRPr="00293724" w:rsidRDefault="00871CCB" w:rsidP="00293724">
      <w:pPr>
        <w:pStyle w:val="ECHRPara"/>
        <w:rPr>
          <w:lang w:val="en-GB"/>
        </w:rPr>
      </w:pPr>
      <w:r w:rsidRPr="00293724">
        <w:rPr>
          <w:lang w:val="en-GB"/>
        </w:rPr>
        <w:fldChar w:fldCharType="begin"/>
      </w:r>
      <w:r w:rsidRPr="00293724">
        <w:rPr>
          <w:lang w:val="en-GB"/>
        </w:rPr>
        <w:instrText xml:space="preserve"> SEQ level0 \*arabic </w:instrText>
      </w:r>
      <w:r w:rsidRPr="00293724">
        <w:rPr>
          <w:lang w:val="en-GB"/>
        </w:rPr>
        <w:fldChar w:fldCharType="separate"/>
      </w:r>
      <w:r w:rsidR="008B718E">
        <w:rPr>
          <w:noProof/>
          <w:lang w:val="en-GB"/>
        </w:rPr>
        <w:t>26</w:t>
      </w:r>
      <w:r w:rsidRPr="00293724">
        <w:rPr>
          <w:lang w:val="en-GB"/>
        </w:rPr>
        <w:fldChar w:fldCharType="end"/>
      </w:r>
      <w:r w:rsidRPr="00293724">
        <w:rPr>
          <w:lang w:val="en-GB"/>
        </w:rPr>
        <w:t>.  </w:t>
      </w:r>
      <w:r w:rsidR="00BE0BC6">
        <w:rPr>
          <w:lang w:val="en-GB"/>
        </w:rPr>
        <w:t>Under</w:t>
      </w:r>
      <w:r w:rsidRPr="00293724">
        <w:rPr>
          <w:lang w:val="en-GB"/>
        </w:rPr>
        <w:t xml:space="preserve"> section </w:t>
      </w:r>
      <w:r w:rsidR="00AC5A72" w:rsidRPr="00293724">
        <w:rPr>
          <w:lang w:val="en-GB"/>
        </w:rPr>
        <w:t>1 of the</w:t>
      </w:r>
      <w:r w:rsidRPr="00293724">
        <w:rPr>
          <w:lang w:val="en-GB"/>
        </w:rPr>
        <w:t xml:space="preserve"> Registered Partnerships</w:t>
      </w:r>
      <w:r w:rsidR="00BE0BC6" w:rsidRPr="00BE0BC6">
        <w:rPr>
          <w:lang w:val="en-GB"/>
        </w:rPr>
        <w:t xml:space="preserve"> </w:t>
      </w:r>
      <w:r w:rsidR="00BE0BC6" w:rsidRPr="00293724">
        <w:rPr>
          <w:lang w:val="en-GB"/>
        </w:rPr>
        <w:t>Act</w:t>
      </w:r>
      <w:r w:rsidRPr="00293724">
        <w:rPr>
          <w:lang w:val="en-GB"/>
        </w:rPr>
        <w:t xml:space="preserve"> (</w:t>
      </w:r>
      <w:r w:rsidRPr="00293724">
        <w:rPr>
          <w:i/>
          <w:lang w:val="en-GB"/>
        </w:rPr>
        <w:t>laki rekisteröidystä parisuhteesta, lagen om registrerat partnerskap</w:t>
      </w:r>
      <w:r w:rsidRPr="00293724">
        <w:rPr>
          <w:lang w:val="en-GB"/>
        </w:rPr>
        <w:t>; Act no. 950/2001)</w:t>
      </w:r>
      <w:r w:rsidR="00AC5A72" w:rsidRPr="00293724">
        <w:rPr>
          <w:lang w:val="en-GB"/>
        </w:rPr>
        <w:t xml:space="preserve">, a partnership </w:t>
      </w:r>
      <w:r w:rsidR="006D0DEA">
        <w:rPr>
          <w:lang w:val="en-GB"/>
        </w:rPr>
        <w:t>between</w:t>
      </w:r>
      <w:r w:rsidR="006D0DEA" w:rsidRPr="00293724">
        <w:rPr>
          <w:lang w:val="en-GB"/>
        </w:rPr>
        <w:t xml:space="preserve"> </w:t>
      </w:r>
      <w:r w:rsidR="00AC5A72" w:rsidRPr="00293724">
        <w:rPr>
          <w:lang w:val="en-GB"/>
        </w:rPr>
        <w:t>two persons of the same sex and over 18 years of age may be registered as provided by the</w:t>
      </w:r>
      <w:r w:rsidR="00293724">
        <w:rPr>
          <w:lang w:val="en-GB"/>
        </w:rPr>
        <w:t xml:space="preserve"> </w:t>
      </w:r>
      <w:r w:rsidR="00AC5A72" w:rsidRPr="00293724">
        <w:rPr>
          <w:lang w:val="en-GB"/>
        </w:rPr>
        <w:t>Act.</w:t>
      </w:r>
    </w:p>
    <w:p w:rsidR="00AC5A72" w:rsidRPr="00293724" w:rsidRDefault="00AC5A72" w:rsidP="00293724">
      <w:pPr>
        <w:pStyle w:val="ECHRPara"/>
        <w:rPr>
          <w:lang w:val="en-GB"/>
        </w:rPr>
      </w:pPr>
      <w:r w:rsidRPr="00293724">
        <w:rPr>
          <w:lang w:val="en-GB"/>
        </w:rPr>
        <w:fldChar w:fldCharType="begin"/>
      </w:r>
      <w:r w:rsidRPr="00293724">
        <w:rPr>
          <w:lang w:val="en-GB"/>
        </w:rPr>
        <w:instrText xml:space="preserve"> SEQ level0 \*arabic </w:instrText>
      </w:r>
      <w:r w:rsidRPr="00293724">
        <w:rPr>
          <w:lang w:val="en-GB"/>
        </w:rPr>
        <w:fldChar w:fldCharType="separate"/>
      </w:r>
      <w:r w:rsidR="008B718E">
        <w:rPr>
          <w:noProof/>
          <w:lang w:val="en-GB"/>
        </w:rPr>
        <w:t>27</w:t>
      </w:r>
      <w:r w:rsidRPr="00293724">
        <w:rPr>
          <w:lang w:val="en-GB"/>
        </w:rPr>
        <w:fldChar w:fldCharType="end"/>
      </w:r>
      <w:r w:rsidRPr="00293724">
        <w:rPr>
          <w:lang w:val="en-GB"/>
        </w:rPr>
        <w:t>.  Section 8, subsection 1, of the same Act provides that</w:t>
      </w:r>
    </w:p>
    <w:p w:rsidR="00AC5A72" w:rsidRPr="00293724" w:rsidRDefault="00AC5A72" w:rsidP="00293724">
      <w:pPr>
        <w:pStyle w:val="ECHRParaQuote"/>
        <w:rPr>
          <w:rFonts w:cstheme="minorHAnsi"/>
          <w:sz w:val="24"/>
          <w:szCs w:val="24"/>
          <w:lang w:val="en-GB" w:eastAsia="en-GB"/>
        </w:rPr>
      </w:pPr>
      <w:r w:rsidRPr="00293724">
        <w:rPr>
          <w:rFonts w:eastAsiaTheme="minorHAnsi"/>
          <w:lang w:val="en-GB"/>
        </w:rPr>
        <w:t xml:space="preserve">“the registration of </w:t>
      </w:r>
      <w:r w:rsidR="006D0DEA">
        <w:rPr>
          <w:rFonts w:eastAsiaTheme="minorHAnsi"/>
          <w:lang w:val="en-GB"/>
        </w:rPr>
        <w:t xml:space="preserve">the </w:t>
      </w:r>
      <w:r w:rsidRPr="00293724">
        <w:rPr>
          <w:rFonts w:eastAsiaTheme="minorHAnsi"/>
          <w:lang w:val="en-GB"/>
        </w:rPr>
        <w:t>partnership shall have the same legal effects as the conclusion of marriage, unless otherwise provided.”</w:t>
      </w:r>
    </w:p>
    <w:p w:rsidR="00910348" w:rsidRPr="00E945B0" w:rsidRDefault="002B67B3" w:rsidP="00910348">
      <w:pPr>
        <w:pStyle w:val="ECHRHeading2"/>
        <w:rPr>
          <w:lang w:val="en-GB" w:eastAsia="en-GB"/>
        </w:rPr>
      </w:pPr>
      <w:r>
        <w:rPr>
          <w:lang w:val="en-GB" w:eastAsia="en-GB"/>
        </w:rPr>
        <w:t>D.  </w:t>
      </w:r>
      <w:r w:rsidR="00910348" w:rsidRPr="00E945B0">
        <w:rPr>
          <w:lang w:val="en-GB"/>
        </w:rPr>
        <w:t>Transsexual</w:t>
      </w:r>
      <w:r w:rsidR="00910348">
        <w:rPr>
          <w:lang w:val="en-GB"/>
        </w:rPr>
        <w:t>s</w:t>
      </w:r>
      <w:r w:rsidR="00910348" w:rsidRPr="00E945B0">
        <w:rPr>
          <w:lang w:val="en-GB"/>
        </w:rPr>
        <w:t xml:space="preserve"> </w:t>
      </w:r>
      <w:r w:rsidR="00910348">
        <w:rPr>
          <w:lang w:val="en-GB"/>
        </w:rPr>
        <w:t>(</w:t>
      </w:r>
      <w:r w:rsidR="00910348" w:rsidRPr="00E945B0">
        <w:rPr>
          <w:lang w:val="en-GB"/>
        </w:rPr>
        <w:t>Confirmation of Gender</w:t>
      </w:r>
      <w:r w:rsidR="00910348">
        <w:rPr>
          <w:lang w:val="en-GB"/>
        </w:rPr>
        <w:t>)</w:t>
      </w:r>
      <w:r w:rsidR="00910348" w:rsidRPr="00E945B0">
        <w:rPr>
          <w:lang w:val="en-GB"/>
        </w:rPr>
        <w:t xml:space="preserve"> </w:t>
      </w:r>
      <w:r w:rsidR="00910348">
        <w:rPr>
          <w:lang w:val="en-GB"/>
        </w:rPr>
        <w:t>Act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28</w:t>
      </w:r>
      <w:r w:rsidRPr="00E945B0">
        <w:rPr>
          <w:lang w:val="en-GB"/>
        </w:rPr>
        <w:fldChar w:fldCharType="end"/>
      </w:r>
      <w:r w:rsidRPr="00E945B0">
        <w:rPr>
          <w:lang w:val="en-GB"/>
        </w:rPr>
        <w:t>.  Section 1 of the Transsexual</w:t>
      </w:r>
      <w:r>
        <w:rPr>
          <w:lang w:val="en-GB"/>
        </w:rPr>
        <w:t>s</w:t>
      </w:r>
      <w:r w:rsidRPr="00E945B0">
        <w:rPr>
          <w:lang w:val="en-GB"/>
        </w:rPr>
        <w:t xml:space="preserve"> </w:t>
      </w:r>
      <w:r>
        <w:rPr>
          <w:lang w:val="en-GB"/>
        </w:rPr>
        <w:t>(</w:t>
      </w:r>
      <w:r w:rsidRPr="00E945B0">
        <w:rPr>
          <w:lang w:val="en-GB"/>
        </w:rPr>
        <w:t>Confirmation of Gender</w:t>
      </w:r>
      <w:r>
        <w:rPr>
          <w:lang w:val="en-GB"/>
        </w:rPr>
        <w:t>) Act</w:t>
      </w:r>
      <w:r w:rsidRPr="00E945B0">
        <w:rPr>
          <w:lang w:val="en-GB"/>
        </w:rPr>
        <w:t xml:space="preserve"> (</w:t>
      </w:r>
      <w:r w:rsidRPr="00E945B0">
        <w:rPr>
          <w:i/>
          <w:lang w:val="en-GB"/>
        </w:rPr>
        <w:t xml:space="preserve">laki </w:t>
      </w:r>
      <w:r w:rsidRPr="00E945B0">
        <w:rPr>
          <w:rStyle w:val="hakuosuma"/>
          <w:i/>
          <w:lang w:val="en-GB"/>
        </w:rPr>
        <w:t>transseksuaalin</w:t>
      </w:r>
      <w:r w:rsidRPr="00E945B0">
        <w:rPr>
          <w:i/>
          <w:lang w:val="en-GB"/>
        </w:rPr>
        <w:t xml:space="preserve"> sukupuolen vahvistamisesta, lagen om fastställande av transsexuella personers könstillhörighet;</w:t>
      </w:r>
      <w:r w:rsidRPr="00E945B0">
        <w:rPr>
          <w:lang w:val="en-GB"/>
        </w:rPr>
        <w:t xml:space="preserve"> Act no. 563/2002) provides that it shall be established that a person belongs to the opposite </w:t>
      </w:r>
      <w:r>
        <w:rPr>
          <w:lang w:val="en-GB"/>
        </w:rPr>
        <w:t>sex</w:t>
      </w:r>
      <w:r w:rsidRPr="00E945B0">
        <w:rPr>
          <w:lang w:val="en-GB"/>
        </w:rPr>
        <w:t xml:space="preserve"> to the one noted in the population register if he or she</w:t>
      </w:r>
    </w:p>
    <w:p w:rsidR="00910348" w:rsidRPr="00E945B0" w:rsidRDefault="00910348" w:rsidP="00910348">
      <w:pPr>
        <w:pStyle w:val="ECHRParaQuote"/>
        <w:rPr>
          <w:lang w:val="en-GB"/>
        </w:rPr>
      </w:pPr>
      <w:r w:rsidRPr="00E945B0">
        <w:rPr>
          <w:lang w:val="en-GB"/>
        </w:rPr>
        <w:t>“1) provides medical c</w:t>
      </w:r>
      <w:r>
        <w:rPr>
          <w:lang w:val="en-GB"/>
        </w:rPr>
        <w:t>e</w:t>
      </w:r>
      <w:r w:rsidRPr="00E945B0">
        <w:rPr>
          <w:lang w:val="en-GB"/>
        </w:rPr>
        <w:t>r</w:t>
      </w:r>
      <w:r>
        <w:rPr>
          <w:lang w:val="en-GB"/>
        </w:rPr>
        <w:t>t</w:t>
      </w:r>
      <w:r w:rsidRPr="00E945B0">
        <w:rPr>
          <w:lang w:val="en-GB"/>
        </w:rPr>
        <w:t>ification that he or she permanently feels that he or she belongs to the opposite gender and lives in the corresponding gender role a</w:t>
      </w:r>
      <w:r>
        <w:rPr>
          <w:lang w:val="en-GB"/>
        </w:rPr>
        <w:t>nd</w:t>
      </w:r>
      <w:r w:rsidRPr="00E945B0">
        <w:rPr>
          <w:lang w:val="en-GB"/>
        </w:rPr>
        <w:t xml:space="preserve"> that he or she has been sterilised or is for some other reason incapable of reproducing;</w:t>
      </w:r>
    </w:p>
    <w:p w:rsidR="00910348" w:rsidRPr="00E945B0" w:rsidRDefault="00910348" w:rsidP="00910348">
      <w:pPr>
        <w:pStyle w:val="ECHRParaQuote"/>
        <w:rPr>
          <w:lang w:val="en-GB"/>
        </w:rPr>
      </w:pPr>
      <w:r w:rsidRPr="00E945B0">
        <w:rPr>
          <w:lang w:val="en-GB"/>
        </w:rPr>
        <w:t xml:space="preserve">2) is </w:t>
      </w:r>
      <w:r>
        <w:rPr>
          <w:lang w:val="en-GB"/>
        </w:rPr>
        <w:t>over</w:t>
      </w:r>
      <w:r w:rsidRPr="00E945B0">
        <w:rPr>
          <w:lang w:val="en-GB"/>
        </w:rPr>
        <w:t xml:space="preserve"> 18 years of age;</w:t>
      </w:r>
    </w:p>
    <w:p w:rsidR="00910348" w:rsidRPr="00E945B0" w:rsidRDefault="00910348" w:rsidP="00910348">
      <w:pPr>
        <w:pStyle w:val="ECHRParaQuote"/>
        <w:rPr>
          <w:lang w:val="en-GB"/>
        </w:rPr>
      </w:pPr>
      <w:r w:rsidRPr="00E945B0">
        <w:rPr>
          <w:lang w:val="en-GB"/>
        </w:rPr>
        <w:t>3) is not married or in a registered partnership; and</w:t>
      </w:r>
    </w:p>
    <w:p w:rsidR="00910348" w:rsidRPr="00E945B0" w:rsidRDefault="00910348" w:rsidP="00910348">
      <w:pPr>
        <w:pStyle w:val="ECHRParaQuote"/>
        <w:rPr>
          <w:lang w:val="en-GB"/>
        </w:rPr>
      </w:pPr>
      <w:r w:rsidRPr="00E945B0">
        <w:rPr>
          <w:lang w:val="en-GB"/>
        </w:rPr>
        <w:t xml:space="preserve">4) is a Finnish citizen or </w:t>
      </w:r>
      <w:r>
        <w:rPr>
          <w:lang w:val="en-GB"/>
        </w:rPr>
        <w:t>is</w:t>
      </w:r>
      <w:r w:rsidRPr="00E945B0">
        <w:rPr>
          <w:lang w:val="en-GB"/>
        </w:rPr>
        <w:t xml:space="preserve"> residen</w:t>
      </w:r>
      <w:r>
        <w:rPr>
          <w:lang w:val="en-GB"/>
        </w:rPr>
        <w:t>t</w:t>
      </w:r>
      <w:r w:rsidRPr="00E945B0">
        <w:rPr>
          <w:lang w:val="en-GB"/>
        </w:rPr>
        <w:t xml:space="preserve"> in Finland.”</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29</w:t>
      </w:r>
      <w:r w:rsidRPr="00E945B0">
        <w:rPr>
          <w:lang w:val="en-GB"/>
        </w:rPr>
        <w:fldChar w:fldCharType="end"/>
      </w:r>
      <w:r w:rsidRPr="00E945B0">
        <w:rPr>
          <w:lang w:val="en-GB"/>
        </w:rPr>
        <w:t>.  Section 2 of the Act provides for exceptions from the marital</w:t>
      </w:r>
      <w:r>
        <w:rPr>
          <w:lang w:val="en-GB"/>
        </w:rPr>
        <w:t>-</w:t>
      </w:r>
      <w:r w:rsidRPr="00E945B0">
        <w:rPr>
          <w:lang w:val="en-GB"/>
        </w:rPr>
        <w:t xml:space="preserve">status requirement. A marriage or registered partnership does not prevent the confirmation of gender if the spouse or the partner personally gives his or her consent to it before a local </w:t>
      </w:r>
      <w:r>
        <w:rPr>
          <w:lang w:val="en-GB"/>
        </w:rPr>
        <w:t>registry</w:t>
      </w:r>
      <w:r w:rsidRPr="00E945B0">
        <w:rPr>
          <w:lang w:val="en-GB"/>
        </w:rPr>
        <w:t xml:space="preserve"> </w:t>
      </w:r>
      <w:r>
        <w:rPr>
          <w:lang w:val="en-GB"/>
        </w:rPr>
        <w:t>o</w:t>
      </w:r>
      <w:r w:rsidRPr="00E945B0">
        <w:rPr>
          <w:lang w:val="en-GB"/>
        </w:rPr>
        <w:t>ffice. Whe</w:t>
      </w:r>
      <w:r>
        <w:rPr>
          <w:lang w:val="en-GB"/>
        </w:rPr>
        <w:t>re</w:t>
      </w:r>
      <w:r w:rsidRPr="00E945B0">
        <w:rPr>
          <w:lang w:val="en-GB"/>
        </w:rPr>
        <w:t xml:space="preserve"> </w:t>
      </w:r>
      <w:r>
        <w:rPr>
          <w:lang w:val="en-GB"/>
        </w:rPr>
        <w:t>membership of</w:t>
      </w:r>
      <w:r w:rsidRPr="00E945B0">
        <w:rPr>
          <w:lang w:val="en-GB"/>
        </w:rPr>
        <w:t xml:space="preserve"> the opposite </w:t>
      </w:r>
      <w:r>
        <w:rPr>
          <w:lang w:val="en-GB"/>
        </w:rPr>
        <w:t>sex</w:t>
      </w:r>
      <w:r w:rsidRPr="00E945B0">
        <w:rPr>
          <w:lang w:val="en-GB"/>
        </w:rPr>
        <w:t xml:space="preserve"> is confirmed, a marriage is turned automatically, without further action, into a registered partnership and a registered partnership into a marriage. This </w:t>
      </w:r>
      <w:r>
        <w:rPr>
          <w:lang w:val="en-GB"/>
        </w:rPr>
        <w:t>change</w:t>
      </w:r>
      <w:r w:rsidRPr="00E945B0">
        <w:rPr>
          <w:lang w:val="en-GB"/>
        </w:rPr>
        <w:t xml:space="preserve"> </w:t>
      </w:r>
      <w:r>
        <w:rPr>
          <w:lang w:val="en-GB"/>
        </w:rPr>
        <w:t>is</w:t>
      </w:r>
      <w:r w:rsidRPr="00E945B0">
        <w:rPr>
          <w:lang w:val="en-GB"/>
        </w:rPr>
        <w:t xml:space="preserve"> noted in the population register.</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30</w:t>
      </w:r>
      <w:r w:rsidRPr="00E945B0">
        <w:rPr>
          <w:lang w:val="en-GB"/>
        </w:rPr>
        <w:fldChar w:fldCharType="end"/>
      </w:r>
      <w:r w:rsidRPr="00E945B0">
        <w:rPr>
          <w:lang w:val="en-GB"/>
        </w:rPr>
        <w:t xml:space="preserve">.  The </w:t>
      </w:r>
      <w:r w:rsidRPr="00E945B0">
        <w:rPr>
          <w:i/>
          <w:lang w:val="en-GB"/>
        </w:rPr>
        <w:t>travaux préparatoires</w:t>
      </w:r>
      <w:r w:rsidRPr="00E945B0">
        <w:rPr>
          <w:lang w:val="en-GB"/>
        </w:rPr>
        <w:t xml:space="preserve"> of the Transsexual</w:t>
      </w:r>
      <w:r>
        <w:rPr>
          <w:lang w:val="en-GB"/>
        </w:rPr>
        <w:t>s</w:t>
      </w:r>
      <w:r w:rsidRPr="00CE1AAB">
        <w:rPr>
          <w:lang w:val="en-GB"/>
        </w:rPr>
        <w:t xml:space="preserve"> </w:t>
      </w:r>
      <w:r>
        <w:rPr>
          <w:lang w:val="en-GB"/>
        </w:rPr>
        <w:t>(</w:t>
      </w:r>
      <w:r w:rsidRPr="00E945B0">
        <w:rPr>
          <w:lang w:val="en-GB"/>
        </w:rPr>
        <w:t>Confirmation of Gender</w:t>
      </w:r>
      <w:r>
        <w:rPr>
          <w:lang w:val="en-GB"/>
        </w:rPr>
        <w:t>) Act</w:t>
      </w:r>
      <w:r w:rsidRPr="00E945B0">
        <w:rPr>
          <w:lang w:val="en-GB"/>
        </w:rPr>
        <w:t xml:space="preserve"> (Government Bill HE 56/2001 vp) </w:t>
      </w:r>
      <w:r>
        <w:rPr>
          <w:lang w:val="en-GB"/>
        </w:rPr>
        <w:t>state</w:t>
      </w:r>
      <w:r w:rsidRPr="00E945B0">
        <w:rPr>
          <w:lang w:val="en-GB"/>
        </w:rPr>
        <w:t xml:space="preserve">, </w:t>
      </w:r>
      <w:r w:rsidRPr="00E945B0">
        <w:rPr>
          <w:i/>
          <w:lang w:val="en-GB"/>
        </w:rPr>
        <w:t>inter alia</w:t>
      </w:r>
      <w:r w:rsidRPr="00E945B0">
        <w:rPr>
          <w:lang w:val="en-GB"/>
        </w:rPr>
        <w:t xml:space="preserve">, that </w:t>
      </w:r>
      <w:r w:rsidRPr="00E945B0">
        <w:rPr>
          <w:lang w:val="en-GB"/>
        </w:rPr>
        <w:lastRenderedPageBreak/>
        <w:t xml:space="preserve">established paternity cannot be annulled </w:t>
      </w:r>
      <w:r>
        <w:rPr>
          <w:lang w:val="en-GB"/>
        </w:rPr>
        <w:t>solely on the grounds</w:t>
      </w:r>
      <w:r w:rsidRPr="00E945B0">
        <w:rPr>
          <w:lang w:val="en-GB"/>
        </w:rPr>
        <w:t xml:space="preserve"> that </w:t>
      </w:r>
      <w:r>
        <w:rPr>
          <w:lang w:val="en-GB"/>
        </w:rPr>
        <w:t>the</w:t>
      </w:r>
      <w:r w:rsidRPr="00E945B0">
        <w:rPr>
          <w:lang w:val="en-GB"/>
        </w:rPr>
        <w:t xml:space="preserve"> man has subsequently become a woman. Similarly, a woman who has given birth</w:t>
      </w:r>
      <w:r w:rsidRPr="00CE1AAB">
        <w:rPr>
          <w:lang w:val="en-GB"/>
        </w:rPr>
        <w:t xml:space="preserve"> </w:t>
      </w:r>
      <w:r w:rsidRPr="00E945B0">
        <w:rPr>
          <w:lang w:val="en-GB"/>
        </w:rPr>
        <w:t>legally remains the</w:t>
      </w:r>
      <w:r>
        <w:rPr>
          <w:lang w:val="en-GB"/>
        </w:rPr>
        <w:t xml:space="preserve"> child</w:t>
      </w:r>
      <w:r w:rsidR="00C17A2C">
        <w:rPr>
          <w:lang w:val="en-GB"/>
        </w:rPr>
        <w:t>’</w:t>
      </w:r>
      <w:r>
        <w:rPr>
          <w:lang w:val="en-GB"/>
        </w:rPr>
        <w:t>s</w:t>
      </w:r>
      <w:r w:rsidRPr="00E945B0">
        <w:rPr>
          <w:lang w:val="en-GB"/>
        </w:rPr>
        <w:t xml:space="preserve"> mother even if she subsequently become</w:t>
      </w:r>
      <w:r>
        <w:rPr>
          <w:lang w:val="en-GB"/>
        </w:rPr>
        <w:t>s</w:t>
      </w:r>
      <w:r w:rsidRPr="00E945B0">
        <w:rPr>
          <w:lang w:val="en-GB"/>
        </w:rPr>
        <w:t xml:space="preserve"> a man. The </w:t>
      </w:r>
      <w:r>
        <w:rPr>
          <w:lang w:val="en-GB"/>
        </w:rPr>
        <w:t xml:space="preserve">duties of </w:t>
      </w:r>
      <w:r w:rsidRPr="00E945B0">
        <w:rPr>
          <w:lang w:val="en-GB"/>
        </w:rPr>
        <w:t xml:space="preserve">custody, care and maintenance of a child are primarily </w:t>
      </w:r>
      <w:r>
        <w:rPr>
          <w:lang w:val="en-GB"/>
        </w:rPr>
        <w:t>based on</w:t>
      </w:r>
      <w:r w:rsidRPr="00E945B0">
        <w:rPr>
          <w:lang w:val="en-GB"/>
        </w:rPr>
        <w:t xml:space="preserve"> parenthood. The change of gender of a parent does not therefore affect th</w:t>
      </w:r>
      <w:r>
        <w:rPr>
          <w:lang w:val="en-GB"/>
        </w:rPr>
        <w:t>o</w:t>
      </w:r>
      <w:r w:rsidRPr="00E945B0">
        <w:rPr>
          <w:lang w:val="en-GB"/>
        </w:rPr>
        <w:t>se rights and obligations.</w:t>
      </w:r>
    </w:p>
    <w:p w:rsidR="00910348" w:rsidRPr="00E945B0" w:rsidRDefault="00910348" w:rsidP="00910348">
      <w:pPr>
        <w:pStyle w:val="ECHRHeading1"/>
        <w:rPr>
          <w:lang w:val="en-GB"/>
        </w:rPr>
      </w:pPr>
      <w:r w:rsidRPr="00E945B0">
        <w:rPr>
          <w:lang w:val="en-GB"/>
        </w:rPr>
        <w:t>III.  </w:t>
      </w:r>
      <w:r w:rsidRPr="00E945B0">
        <w:rPr>
          <w:rStyle w:val="sb8d990e2"/>
          <w:lang w:val="en-GB"/>
        </w:rPr>
        <w:t>COMPARATIVE LAW</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31</w:t>
      </w:r>
      <w:r w:rsidRPr="00E945B0">
        <w:rPr>
          <w:lang w:val="en-GB"/>
        </w:rPr>
        <w:fldChar w:fldCharType="end"/>
      </w:r>
      <w:r w:rsidRPr="00E945B0">
        <w:rPr>
          <w:lang w:val="en-GB"/>
        </w:rPr>
        <w:t xml:space="preserve">.  From the information available to </w:t>
      </w:r>
      <w:r w:rsidRPr="0072701E">
        <w:rPr>
          <w:lang w:val="en-GB"/>
        </w:rPr>
        <w:t>the Court, it would</w:t>
      </w:r>
      <w:r w:rsidRPr="00E945B0">
        <w:rPr>
          <w:lang w:val="en-GB"/>
        </w:rPr>
        <w:t xml:space="preserve"> appear that </w:t>
      </w:r>
      <w:r>
        <w:rPr>
          <w:lang w:val="en-GB"/>
        </w:rPr>
        <w:t xml:space="preserve">ten member </w:t>
      </w:r>
      <w:r w:rsidRPr="0072701E">
        <w:rPr>
          <w:lang w:val="en-GB"/>
        </w:rPr>
        <w:t xml:space="preserve">States </w:t>
      </w:r>
      <w:r w:rsidR="00182A39" w:rsidRPr="00A952B1">
        <w:rPr>
          <w:lang w:val="en-GB"/>
        </w:rPr>
        <w:t>of the Council of Europe</w:t>
      </w:r>
      <w:r w:rsidR="00182A39" w:rsidRPr="0072701E">
        <w:rPr>
          <w:lang w:val="en-GB"/>
        </w:rPr>
        <w:t xml:space="preserve"> </w:t>
      </w:r>
      <w:r w:rsidRPr="0072701E">
        <w:rPr>
          <w:lang w:val="en-GB"/>
        </w:rPr>
        <w:t>permit</w:t>
      </w:r>
      <w:r w:rsidRPr="00E945B0">
        <w:rPr>
          <w:lang w:val="en-GB"/>
        </w:rPr>
        <w:t xml:space="preserve"> same-sex marr</w:t>
      </w:r>
      <w:r>
        <w:rPr>
          <w:lang w:val="en-GB"/>
        </w:rPr>
        <w:t>iage</w:t>
      </w:r>
      <w:r w:rsidRPr="00E945B0">
        <w:rPr>
          <w:lang w:val="en-GB"/>
        </w:rPr>
        <w:t xml:space="preserve"> (Belgium, Denmark, France, Iceland</w:t>
      </w:r>
      <w:r>
        <w:rPr>
          <w:lang w:val="en-GB"/>
        </w:rPr>
        <w:t>,</w:t>
      </w:r>
      <w:r w:rsidRPr="00E945B0">
        <w:rPr>
          <w:lang w:val="en-GB"/>
        </w:rPr>
        <w:t xml:space="preserve"> Norway, Portugal</w:t>
      </w:r>
      <w:r>
        <w:rPr>
          <w:lang w:val="en-GB"/>
        </w:rPr>
        <w:t xml:space="preserve">, </w:t>
      </w:r>
      <w:r w:rsidRPr="00E945B0">
        <w:rPr>
          <w:lang w:val="en-GB"/>
        </w:rPr>
        <w:t>Spain, Sweden</w:t>
      </w:r>
      <w:r>
        <w:rPr>
          <w:lang w:val="en-GB"/>
        </w:rPr>
        <w:t>,</w:t>
      </w:r>
      <w:r w:rsidRPr="00E945B0">
        <w:rPr>
          <w:lang w:val="en-GB"/>
        </w:rPr>
        <w:t xml:space="preserve"> the Netherlands</w:t>
      </w:r>
      <w:r>
        <w:rPr>
          <w:lang w:val="en-GB"/>
        </w:rPr>
        <w:t xml:space="preserve"> </w:t>
      </w:r>
      <w:r w:rsidRPr="00E945B0">
        <w:rPr>
          <w:lang w:val="en-GB"/>
        </w:rPr>
        <w:t>and the United Kingdom (England and Wales only)).</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32</w:t>
      </w:r>
      <w:r w:rsidRPr="00E945B0">
        <w:rPr>
          <w:lang w:val="en-GB"/>
        </w:rPr>
        <w:fldChar w:fldCharType="end"/>
      </w:r>
      <w:r w:rsidRPr="00E945B0">
        <w:rPr>
          <w:lang w:val="en-GB"/>
        </w:rPr>
        <w:t xml:space="preserve">.  It would also </w:t>
      </w:r>
      <w:r w:rsidRPr="0072701E">
        <w:rPr>
          <w:lang w:val="en-GB"/>
        </w:rPr>
        <w:t xml:space="preserve">appear that twenty-four </w:t>
      </w:r>
      <w:r w:rsidR="006B2B58" w:rsidRPr="00A952B1">
        <w:rPr>
          <w:lang w:val="en-GB"/>
        </w:rPr>
        <w:t>member States</w:t>
      </w:r>
      <w:r w:rsidR="006B2B58" w:rsidRPr="0072701E">
        <w:rPr>
          <w:lang w:val="en-GB"/>
        </w:rPr>
        <w:t xml:space="preserve"> </w:t>
      </w:r>
      <w:r w:rsidRPr="0072701E">
        <w:rPr>
          <w:lang w:val="en-GB"/>
        </w:rPr>
        <w:t>(Albania</w:t>
      </w:r>
      <w:r w:rsidRPr="00E945B0">
        <w:rPr>
          <w:lang w:val="en-GB"/>
        </w:rPr>
        <w:t>, Andorra, Azerbaijan, Bulgaria, Bosnia and Herzegovina, Croatia, Cyprus, Estonia</w:t>
      </w:r>
      <w:r w:rsidRPr="00E945B0">
        <w:rPr>
          <w:rStyle w:val="Odwoanieprzypisudolnego"/>
          <w:lang w:val="en-GB"/>
        </w:rPr>
        <w:t>,</w:t>
      </w:r>
      <w:r w:rsidRPr="00E945B0">
        <w:rPr>
          <w:lang w:val="en-GB"/>
        </w:rPr>
        <w:t xml:space="preserve"> Georgia, Greece, Latvia, Liechtenstein, Lithuania, Luxembourg, the former Yugoslav Republic of Macedonia, Moldova, Monaco, Montenegro, Poland, Romania, Russia, Serbia, Slovenia and Slovakia) </w:t>
      </w:r>
      <w:r>
        <w:rPr>
          <w:lang w:val="en-GB"/>
        </w:rPr>
        <w:t>have</w:t>
      </w:r>
      <w:r w:rsidRPr="00E945B0">
        <w:rPr>
          <w:lang w:val="en-GB"/>
        </w:rPr>
        <w:t xml:space="preserve"> no </w:t>
      </w:r>
      <w:r w:rsidR="00250D55">
        <w:rPr>
          <w:lang w:val="en-GB"/>
        </w:rPr>
        <w:t xml:space="preserve">clear </w:t>
      </w:r>
      <w:r w:rsidRPr="00E945B0">
        <w:rPr>
          <w:lang w:val="en-GB"/>
        </w:rPr>
        <w:t xml:space="preserve">legal framework for legal gender recognition or no legal provisions which specifically deal with the status of married persons who have undergone gender reassignment. The absence of legal regulations in these member States leaves a number of questions </w:t>
      </w:r>
      <w:r>
        <w:rPr>
          <w:lang w:val="en-GB"/>
        </w:rPr>
        <w:t>unanswered</w:t>
      </w:r>
      <w:r w:rsidRPr="00E945B0">
        <w:rPr>
          <w:lang w:val="en-GB"/>
        </w:rPr>
        <w:t>, among which</w:t>
      </w:r>
      <w:r>
        <w:rPr>
          <w:lang w:val="en-GB"/>
        </w:rPr>
        <w:t xml:space="preserve"> is</w:t>
      </w:r>
      <w:r w:rsidRPr="00E945B0">
        <w:rPr>
          <w:lang w:val="en-GB"/>
        </w:rPr>
        <w:t xml:space="preserve"> the fate of </w:t>
      </w:r>
      <w:r>
        <w:rPr>
          <w:lang w:val="en-GB"/>
        </w:rPr>
        <w:t>a</w:t>
      </w:r>
      <w:r w:rsidRPr="00E945B0">
        <w:rPr>
          <w:lang w:val="en-GB"/>
        </w:rPr>
        <w:t xml:space="preserve"> marriage concluded before gender reassignment surgery. </w:t>
      </w:r>
      <w:r w:rsidRPr="0072701E">
        <w:rPr>
          <w:lang w:val="en-GB"/>
        </w:rPr>
        <w:t>In six member</w:t>
      </w:r>
      <w:r w:rsidRPr="00E945B0">
        <w:rPr>
          <w:lang w:val="en-GB"/>
        </w:rPr>
        <w:t xml:space="preserve"> States (Hungary, Italy, Ireland, Malta, Turkey and Ukraine) relevant legislation on gender recognition exists. In these States the legislation specifically require</w:t>
      </w:r>
      <w:r>
        <w:rPr>
          <w:lang w:val="en-GB"/>
        </w:rPr>
        <w:t>s</w:t>
      </w:r>
      <w:r w:rsidRPr="00E945B0">
        <w:rPr>
          <w:lang w:val="en-GB"/>
        </w:rPr>
        <w:t xml:space="preserve"> that a person be single or divorced, or there are general provisions in the civil codes or family</w:t>
      </w:r>
      <w:r>
        <w:rPr>
          <w:lang w:val="en-GB"/>
        </w:rPr>
        <w:t>-law provision</w:t>
      </w:r>
      <w:r w:rsidRPr="00E945B0">
        <w:rPr>
          <w:lang w:val="en-GB"/>
        </w:rPr>
        <w:t xml:space="preserve">s stating that after a change of sex any existing marriage is declared null and void or dissolved. </w:t>
      </w:r>
      <w:r w:rsidR="00D32625">
        <w:rPr>
          <w:lang w:val="en-GB"/>
        </w:rPr>
        <w:t>E</w:t>
      </w:r>
      <w:r w:rsidRPr="00E945B0">
        <w:rPr>
          <w:lang w:val="en-GB"/>
        </w:rPr>
        <w:t>xceptions allow</w:t>
      </w:r>
      <w:r>
        <w:rPr>
          <w:lang w:val="en-GB"/>
        </w:rPr>
        <w:t>ing</w:t>
      </w:r>
      <w:r w:rsidRPr="00E945B0">
        <w:rPr>
          <w:lang w:val="en-GB"/>
        </w:rPr>
        <w:t xml:space="preserve"> a married person to gain legal recognition of his or her acquired gender without having to end a pre-existing marriage exist in only three member States (Austria, Germany and Switzerland).</w:t>
      </w:r>
    </w:p>
    <w:p w:rsidR="00CD49A7" w:rsidRPr="00805A7D"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33</w:t>
      </w:r>
      <w:r w:rsidRPr="00E945B0">
        <w:rPr>
          <w:lang w:val="en-GB"/>
        </w:rPr>
        <w:fldChar w:fldCharType="end"/>
      </w:r>
      <w:r w:rsidRPr="00E945B0">
        <w:rPr>
          <w:lang w:val="en-GB"/>
        </w:rPr>
        <w:t xml:space="preserve">.  It would thus appear that, where same-sex marriage </w:t>
      </w:r>
      <w:r>
        <w:rPr>
          <w:lang w:val="en-GB"/>
        </w:rPr>
        <w:t>is</w:t>
      </w:r>
      <w:r w:rsidRPr="00E945B0">
        <w:rPr>
          <w:lang w:val="en-GB"/>
        </w:rPr>
        <w:t xml:space="preserve"> not </w:t>
      </w:r>
      <w:r>
        <w:rPr>
          <w:lang w:val="en-GB"/>
        </w:rPr>
        <w:t>permitted</w:t>
      </w:r>
      <w:r w:rsidRPr="00E945B0">
        <w:rPr>
          <w:lang w:val="en-GB"/>
        </w:rPr>
        <w:t xml:space="preserve">, only </w:t>
      </w:r>
      <w:r w:rsidRPr="0072701E">
        <w:rPr>
          <w:lang w:val="en-GB"/>
        </w:rPr>
        <w:t>three member</w:t>
      </w:r>
      <w:r w:rsidRPr="00E945B0">
        <w:rPr>
          <w:lang w:val="en-GB"/>
        </w:rPr>
        <w:t xml:space="preserve"> States permit an exception which would allow a married person to gain legal recognition of his or her acquired gender without having to end his or her existing marriage. In twenty-four member States the position is </w:t>
      </w:r>
      <w:r w:rsidR="00E145A8">
        <w:rPr>
          <w:lang w:val="en-GB"/>
        </w:rPr>
        <w:t xml:space="preserve">rather </w:t>
      </w:r>
      <w:r w:rsidRPr="00E945B0">
        <w:rPr>
          <w:lang w:val="en-GB"/>
        </w:rPr>
        <w:t>unclear</w:t>
      </w:r>
      <w:r>
        <w:rPr>
          <w:lang w:val="en-GB"/>
        </w:rPr>
        <w:t>,</w:t>
      </w:r>
      <w:r w:rsidRPr="00E945B0">
        <w:rPr>
          <w:lang w:val="en-GB"/>
        </w:rPr>
        <w:t xml:space="preserve"> given the lack of </w:t>
      </w:r>
      <w:r w:rsidR="00250D55">
        <w:rPr>
          <w:lang w:val="en-GB"/>
        </w:rPr>
        <w:t xml:space="preserve">specific </w:t>
      </w:r>
      <w:r w:rsidRPr="00E945B0">
        <w:rPr>
          <w:lang w:val="en-GB"/>
        </w:rPr>
        <w:t>legal regulations in place.</w:t>
      </w:r>
    </w:p>
    <w:p w:rsidR="00CD49A7" w:rsidRPr="00805A7D" w:rsidRDefault="00CD49A7" w:rsidP="00AF23DA">
      <w:pPr>
        <w:pStyle w:val="ECHRTitle1"/>
        <w:rPr>
          <w:lang w:val="en-GB"/>
        </w:rPr>
      </w:pPr>
      <w:r w:rsidRPr="00805A7D">
        <w:rPr>
          <w:lang w:val="en-GB"/>
        </w:rPr>
        <w:lastRenderedPageBreak/>
        <w:t>THE LAW</w:t>
      </w:r>
    </w:p>
    <w:p w:rsidR="00910348" w:rsidRPr="00E945B0" w:rsidRDefault="00910348" w:rsidP="00910348">
      <w:pPr>
        <w:pStyle w:val="ECHRHeading1"/>
        <w:rPr>
          <w:lang w:val="en-GB"/>
        </w:rPr>
      </w:pPr>
      <w:r w:rsidRPr="00E945B0">
        <w:rPr>
          <w:lang w:val="en-GB"/>
        </w:rPr>
        <w:t>I.  ALLEGED VIOLATION OF ARTICLE 8 OF THE CONVENTION</w:t>
      </w:r>
    </w:p>
    <w:p w:rsidR="00910348" w:rsidRPr="00E945B0" w:rsidRDefault="00910348" w:rsidP="00910348">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34</w:t>
      </w:r>
      <w:r>
        <w:rPr>
          <w:lang w:val="en-GB"/>
        </w:rPr>
        <w:fldChar w:fldCharType="end"/>
      </w:r>
      <w:r>
        <w:rPr>
          <w:lang w:val="en-GB"/>
        </w:rPr>
        <w:t>.  </w:t>
      </w:r>
      <w:r w:rsidRPr="00E945B0">
        <w:rPr>
          <w:lang w:val="en-GB"/>
        </w:rPr>
        <w:t>The applicant complained under Article 8 of the Convention that her right to private and family life had been violated when the full recognition of her new gender was made conditional on the transformation of her marriage into a registered partnership.</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35</w:t>
      </w:r>
      <w:r w:rsidRPr="00E945B0">
        <w:rPr>
          <w:lang w:val="en-GB"/>
        </w:rPr>
        <w:fldChar w:fldCharType="end"/>
      </w:r>
      <w:r w:rsidRPr="00E945B0">
        <w:rPr>
          <w:lang w:val="en-GB"/>
        </w:rPr>
        <w:t>.  Article 8 of the Convention reads as follows:</w:t>
      </w:r>
    </w:p>
    <w:p w:rsidR="00910348" w:rsidRPr="00E945B0" w:rsidRDefault="00910348" w:rsidP="00910348">
      <w:pPr>
        <w:pStyle w:val="ECHRParaQuote"/>
        <w:rPr>
          <w:lang w:val="en-GB"/>
        </w:rPr>
      </w:pPr>
      <w:r w:rsidRPr="00E945B0">
        <w:rPr>
          <w:lang w:val="en-GB"/>
        </w:rPr>
        <w:t>“1.  Everyone has the right to respect for his private and family life, his home and his correspondence.</w:t>
      </w:r>
    </w:p>
    <w:p w:rsidR="00910348" w:rsidRPr="00E945B0" w:rsidRDefault="00910348" w:rsidP="00910348">
      <w:pPr>
        <w:pStyle w:val="ECHRParaQuote"/>
        <w:rPr>
          <w:lang w:val="en-GB"/>
        </w:rPr>
      </w:pPr>
      <w:r w:rsidRPr="00E945B0">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910348" w:rsidRPr="00E945B0" w:rsidRDefault="00910348" w:rsidP="00910348">
      <w:pPr>
        <w:pStyle w:val="ECHRHeading2"/>
        <w:rPr>
          <w:lang w:val="en-GB"/>
        </w:rPr>
      </w:pPr>
      <w:r w:rsidRPr="00E945B0">
        <w:rPr>
          <w:lang w:val="en-GB"/>
        </w:rPr>
        <w:t>A.  The Chamber judgment</w:t>
      </w:r>
    </w:p>
    <w:p w:rsidR="00910348" w:rsidRPr="00E945B0" w:rsidRDefault="00910348" w:rsidP="00910348">
      <w:pPr>
        <w:pStyle w:val="ECHRPara"/>
        <w:rPr>
          <w:lang w:val="en-GB"/>
        </w:rPr>
      </w:pPr>
      <w:r w:rsidRPr="00E945B0">
        <w:rPr>
          <w:rStyle w:val="JuParaCar"/>
          <w:color w:val="000000"/>
          <w:lang w:val="en-GB"/>
        </w:rPr>
        <w:fldChar w:fldCharType="begin"/>
      </w:r>
      <w:r w:rsidRPr="00E945B0">
        <w:rPr>
          <w:rStyle w:val="JuParaCar"/>
          <w:color w:val="000000"/>
          <w:lang w:val="en-GB"/>
        </w:rPr>
        <w:instrText xml:space="preserve"> SEQ level0 \*arabic </w:instrText>
      </w:r>
      <w:r w:rsidRPr="00E945B0">
        <w:rPr>
          <w:rStyle w:val="JuParaCar"/>
          <w:color w:val="000000"/>
          <w:lang w:val="en-GB"/>
        </w:rPr>
        <w:fldChar w:fldCharType="separate"/>
      </w:r>
      <w:r w:rsidR="008B718E">
        <w:rPr>
          <w:rStyle w:val="JuParaCar"/>
          <w:noProof/>
          <w:color w:val="000000"/>
          <w:lang w:val="en-GB"/>
        </w:rPr>
        <w:t>36</w:t>
      </w:r>
      <w:r w:rsidRPr="00E945B0">
        <w:rPr>
          <w:rStyle w:val="JuParaCar"/>
          <w:color w:val="000000"/>
          <w:lang w:val="en-GB"/>
        </w:rPr>
        <w:fldChar w:fldCharType="end"/>
      </w:r>
      <w:r w:rsidRPr="00E945B0">
        <w:rPr>
          <w:lang w:val="en-GB"/>
        </w:rPr>
        <w:t>.  In its judgment of 13 November 2012, the Chamber found that the facts of the case fell within the ambit of Article 8 of the Convention and within the scope of the concept of “private life”. There had been an interference with the applicant</w:t>
      </w:r>
      <w:r w:rsidR="00C17A2C">
        <w:rPr>
          <w:lang w:val="en-GB"/>
        </w:rPr>
        <w:t>’</w:t>
      </w:r>
      <w:r w:rsidRPr="00E945B0">
        <w:rPr>
          <w:lang w:val="en-GB"/>
        </w:rPr>
        <w:t>s right to respect for her private life in that she had not been granted a new female identity number. This interference had a basis in national law, namely</w:t>
      </w:r>
      <w:r>
        <w:rPr>
          <w:lang w:val="en-GB"/>
        </w:rPr>
        <w:t>,</w:t>
      </w:r>
      <w:r w:rsidRPr="00E945B0">
        <w:rPr>
          <w:lang w:val="en-GB"/>
        </w:rPr>
        <w:t xml:space="preserve"> in section 2, subsection 1, of the Transsexual</w:t>
      </w:r>
      <w:r>
        <w:rPr>
          <w:lang w:val="en-GB"/>
        </w:rPr>
        <w:t>s (</w:t>
      </w:r>
      <w:r w:rsidRPr="00E945B0">
        <w:rPr>
          <w:lang w:val="en-GB"/>
        </w:rPr>
        <w:t>Confirmation of Gender</w:t>
      </w:r>
      <w:r>
        <w:rPr>
          <w:lang w:val="en-GB"/>
        </w:rPr>
        <w:t>)</w:t>
      </w:r>
      <w:r w:rsidRPr="00E945B0">
        <w:rPr>
          <w:lang w:val="en-GB"/>
        </w:rPr>
        <w:t xml:space="preserve"> Act. The interference was thus “in accordance with</w:t>
      </w:r>
      <w:r>
        <w:rPr>
          <w:lang w:val="en-GB"/>
        </w:rPr>
        <w:t xml:space="preserve"> the</w:t>
      </w:r>
      <w:r w:rsidRPr="00E945B0">
        <w:rPr>
          <w:lang w:val="en-GB"/>
        </w:rPr>
        <w:t xml:space="preserve"> law” and pursued the legitimate aim of protecting “health and morals” and the “rights and freedoms of others”.</w:t>
      </w:r>
    </w:p>
    <w:p w:rsidR="00910348" w:rsidRPr="00E945B0" w:rsidRDefault="00910348" w:rsidP="00910348">
      <w:pPr>
        <w:pStyle w:val="ECHRPara"/>
        <w:rPr>
          <w:rStyle w:val="sb8d990e2"/>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37</w:t>
      </w:r>
      <w:r w:rsidRPr="00E945B0">
        <w:rPr>
          <w:lang w:val="en-GB"/>
        </w:rPr>
        <w:fldChar w:fldCharType="end"/>
      </w:r>
      <w:r w:rsidRPr="00E945B0">
        <w:rPr>
          <w:lang w:val="en-GB"/>
        </w:rPr>
        <w:t>.  </w:t>
      </w:r>
      <w:r w:rsidRPr="00E945B0">
        <w:rPr>
          <w:rStyle w:val="JuParaCar"/>
          <w:lang w:val="en-GB"/>
        </w:rPr>
        <w:t>As to</w:t>
      </w:r>
      <w:r w:rsidR="006831EC">
        <w:rPr>
          <w:rStyle w:val="JuParaCar"/>
          <w:lang w:val="en-GB"/>
        </w:rPr>
        <w:t xml:space="preserve"> whether</w:t>
      </w:r>
      <w:r w:rsidRPr="00E945B0">
        <w:rPr>
          <w:rStyle w:val="JuParaCar"/>
          <w:lang w:val="en-GB"/>
        </w:rPr>
        <w:t xml:space="preserve"> the impugned measures</w:t>
      </w:r>
      <w:r w:rsidR="006831EC">
        <w:rPr>
          <w:rStyle w:val="JuParaCar"/>
          <w:lang w:val="en-GB"/>
        </w:rPr>
        <w:t xml:space="preserve"> were necessary in a democratic society</w:t>
      </w:r>
      <w:r w:rsidRPr="00E945B0">
        <w:rPr>
          <w:rStyle w:val="JuParaCar"/>
          <w:lang w:val="en-GB"/>
        </w:rPr>
        <w:t xml:space="preserve">, the Chamber noted that the applicant and her spouse were lawfully married under domestic law and that they wished to remain married. In domestic law marriage was only permitted between persons of opposite </w:t>
      </w:r>
      <w:r>
        <w:rPr>
          <w:rStyle w:val="JuParaCar"/>
          <w:lang w:val="en-GB"/>
        </w:rPr>
        <w:t>sex</w:t>
      </w:r>
      <w:r w:rsidRPr="00E945B0">
        <w:rPr>
          <w:rStyle w:val="JuParaCar"/>
          <w:lang w:val="en-GB"/>
        </w:rPr>
        <w:t xml:space="preserve"> and same-sex marriages were not permitted. The applicant could obtain a new identity number as a woman only if her spouse consented to their marriage being turned into a registered partnership</w:t>
      </w:r>
      <w:r w:rsidRPr="00E945B0">
        <w:rPr>
          <w:rStyle w:val="JuParaCar"/>
          <w:color w:val="000000"/>
          <w:lang w:val="en-GB"/>
        </w:rPr>
        <w:t>. If no such consent was obtained, the applicant had a choice between remaining married and tolerating the inconvenience caused by the male identity number, or divorcin</w:t>
      </w:r>
      <w:r w:rsidRPr="00E945B0">
        <w:rPr>
          <w:rStyle w:val="sb8d990e2"/>
          <w:lang w:val="en-GB"/>
        </w:rPr>
        <w:t>g her spouse.</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38</w:t>
      </w:r>
      <w:r w:rsidRPr="00E945B0">
        <w:rPr>
          <w:rStyle w:val="sb8d990e2"/>
          <w:lang w:val="en-GB"/>
        </w:rPr>
        <w:fldChar w:fldCharType="end"/>
      </w:r>
      <w:r w:rsidRPr="00E945B0">
        <w:rPr>
          <w:rStyle w:val="sb8d990e2"/>
          <w:lang w:val="en-GB"/>
        </w:rPr>
        <w:t>.  The Chamber considered that there were two competing rights which needed to be balanced against each other, namely</w:t>
      </w:r>
      <w:r>
        <w:rPr>
          <w:rStyle w:val="sb8d990e2"/>
          <w:lang w:val="en-GB"/>
        </w:rPr>
        <w:t>,</w:t>
      </w:r>
      <w:r w:rsidRPr="00E945B0">
        <w:rPr>
          <w:rStyle w:val="sb8d990e2"/>
          <w:lang w:val="en-GB"/>
        </w:rPr>
        <w:t xml:space="preserve"> the applicant</w:t>
      </w:r>
      <w:r w:rsidR="00C17A2C">
        <w:rPr>
          <w:rStyle w:val="sb8d990e2"/>
          <w:lang w:val="en-GB"/>
        </w:rPr>
        <w:t>’</w:t>
      </w:r>
      <w:r w:rsidRPr="00E945B0">
        <w:rPr>
          <w:rStyle w:val="sb8d990e2"/>
          <w:lang w:val="en-GB"/>
        </w:rPr>
        <w:t>s right to respect for her private life by obtaining a new female identity number and the State</w:t>
      </w:r>
      <w:r w:rsidR="00C17A2C">
        <w:rPr>
          <w:rStyle w:val="sb8d990e2"/>
          <w:lang w:val="en-GB"/>
        </w:rPr>
        <w:t>’</w:t>
      </w:r>
      <w:r w:rsidRPr="00E945B0">
        <w:rPr>
          <w:rStyle w:val="sb8d990e2"/>
          <w:lang w:val="en-GB"/>
        </w:rPr>
        <w:t xml:space="preserve">s interest </w:t>
      </w:r>
      <w:r>
        <w:rPr>
          <w:rStyle w:val="sb8d990e2"/>
          <w:lang w:val="en-GB"/>
        </w:rPr>
        <w:t>in</w:t>
      </w:r>
      <w:r w:rsidRPr="00E945B0">
        <w:rPr>
          <w:rStyle w:val="sb8d990e2"/>
          <w:lang w:val="en-GB"/>
        </w:rPr>
        <w:t xml:space="preserve"> maintain</w:t>
      </w:r>
      <w:r>
        <w:rPr>
          <w:rStyle w:val="sb8d990e2"/>
          <w:lang w:val="en-GB"/>
        </w:rPr>
        <w:t>ing</w:t>
      </w:r>
      <w:r w:rsidRPr="00E945B0">
        <w:rPr>
          <w:rStyle w:val="sb8d990e2"/>
          <w:lang w:val="en-GB"/>
        </w:rPr>
        <w:t xml:space="preserve"> the traditional institution of marriage intact. Obtaining the former while remaining married would imply a same-sex marriage between the applicant and her spouse, which was not allowed </w:t>
      </w:r>
      <w:r w:rsidRPr="00E945B0">
        <w:rPr>
          <w:rStyle w:val="sb8d990e2"/>
          <w:lang w:val="en-GB"/>
        </w:rPr>
        <w:lastRenderedPageBreak/>
        <w:t>by the current legislation in force in Finland. The Chamber reiterated that, according to the Court</w:t>
      </w:r>
      <w:r w:rsidR="00C17A2C">
        <w:rPr>
          <w:rStyle w:val="sb8d990e2"/>
          <w:lang w:val="en-GB"/>
        </w:rPr>
        <w:t>’</w:t>
      </w:r>
      <w:r w:rsidRPr="00E945B0">
        <w:rPr>
          <w:rStyle w:val="sb8d990e2"/>
          <w:lang w:val="en-GB"/>
        </w:rPr>
        <w:t xml:space="preserve">s case-law, Article 12 </w:t>
      </w:r>
      <w:r w:rsidR="00E145A8">
        <w:rPr>
          <w:rStyle w:val="sb8d990e2"/>
          <w:lang w:val="en-GB"/>
        </w:rPr>
        <w:t xml:space="preserve">of the Convention </w:t>
      </w:r>
      <w:r w:rsidRPr="00E945B0">
        <w:rPr>
          <w:rStyle w:val="sb8d990e2"/>
          <w:lang w:val="en-GB"/>
        </w:rPr>
        <w:t>did not impose an obligation on Contracting States to grant same-sex couples access to marriage. Nor could Article 8, a provision of more general purpose and scope, be interpreted as imposing such an obligation. The Court had also held that the matter of regulating the effects of the change of gender in the context of marriage fell within the appreciation of the Contracting State.</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39</w:t>
      </w:r>
      <w:r w:rsidRPr="00E945B0">
        <w:rPr>
          <w:rStyle w:val="sb8d990e2"/>
          <w:lang w:val="en-GB"/>
        </w:rPr>
        <w:fldChar w:fldCharType="end"/>
      </w:r>
      <w:r w:rsidRPr="00E945B0">
        <w:rPr>
          <w:rStyle w:val="sb8d990e2"/>
          <w:lang w:val="en-GB"/>
        </w:rPr>
        <w:t>.  The Chamber noted that</w:t>
      </w:r>
      <w:r>
        <w:rPr>
          <w:rStyle w:val="sb8d990e2"/>
          <w:lang w:val="en-GB"/>
        </w:rPr>
        <w:t xml:space="preserve"> </w:t>
      </w:r>
      <w:r w:rsidRPr="00E945B0">
        <w:rPr>
          <w:rStyle w:val="sb8d990e2"/>
          <w:lang w:val="en-GB"/>
        </w:rPr>
        <w:t>consensus on same-sex marriage</w:t>
      </w:r>
      <w:r w:rsidR="00E145A8">
        <w:rPr>
          <w:rStyle w:val="sb8d990e2"/>
          <w:lang w:val="en-GB"/>
        </w:rPr>
        <w:t>s</w:t>
      </w:r>
      <w:r w:rsidRPr="00E945B0">
        <w:rPr>
          <w:rStyle w:val="sb8d990e2"/>
          <w:lang w:val="en-GB"/>
        </w:rPr>
        <w:t xml:space="preserve"> was evolving in the European context, and that some Council of Europe member States had already included such a possibility in their domestic legislation. In Finland, however, this possibility did not exist</w:t>
      </w:r>
      <w:r>
        <w:rPr>
          <w:rStyle w:val="sb8d990e2"/>
          <w:lang w:val="en-GB"/>
        </w:rPr>
        <w:t>,</w:t>
      </w:r>
      <w:r w:rsidRPr="00E945B0">
        <w:rPr>
          <w:rStyle w:val="sb8d990e2"/>
          <w:lang w:val="en-GB"/>
        </w:rPr>
        <w:t xml:space="preserve"> </w:t>
      </w:r>
      <w:r>
        <w:rPr>
          <w:rStyle w:val="sb8d990e2"/>
          <w:lang w:val="en-GB"/>
        </w:rPr>
        <w:t>al</w:t>
      </w:r>
      <w:r w:rsidRPr="00E945B0">
        <w:rPr>
          <w:rStyle w:val="sb8d990e2"/>
          <w:lang w:val="en-GB"/>
        </w:rPr>
        <w:t xml:space="preserve">though </w:t>
      </w:r>
      <w:r>
        <w:rPr>
          <w:rStyle w:val="sb8d990e2"/>
          <w:lang w:val="en-GB"/>
        </w:rPr>
        <w:t>it</w:t>
      </w:r>
      <w:r w:rsidRPr="00E945B0">
        <w:rPr>
          <w:rStyle w:val="sb8d990e2"/>
          <w:lang w:val="en-GB"/>
        </w:rPr>
        <w:t xml:space="preserve"> was currently being examined by Parliament. On the other hand, the rights of same-sex couples were currently protected by the possibility to register a partnership. While it was true that the applicant faced daily situations in which the incorrect identity number created inconvenience for her, the Chamber considered that t</w:t>
      </w:r>
      <w:r w:rsidRPr="00E945B0">
        <w:rPr>
          <w:rStyle w:val="wordhighlighted"/>
          <w:lang w:val="en-GB"/>
        </w:rPr>
        <w:t>he</w:t>
      </w:r>
      <w:r w:rsidRPr="00E945B0">
        <w:rPr>
          <w:rStyle w:val="sb8d990e2"/>
          <w:lang w:val="en-GB"/>
        </w:rPr>
        <w:t xml:space="preserve"> applicant had a </w:t>
      </w:r>
      <w:r>
        <w:rPr>
          <w:rStyle w:val="sb8d990e2"/>
          <w:lang w:val="en-GB"/>
        </w:rPr>
        <w:t>genuine</w:t>
      </w:r>
      <w:r w:rsidRPr="00E945B0">
        <w:rPr>
          <w:rStyle w:val="sb8d990e2"/>
          <w:lang w:val="en-GB"/>
        </w:rPr>
        <w:t xml:space="preserve"> possibility to change that state of affairs: her marriage could be turned at any time, </w:t>
      </w:r>
      <w:r w:rsidRPr="00855AE4">
        <w:rPr>
          <w:rStyle w:val="s6b621b36"/>
          <w:i/>
          <w:lang w:val="en-GB"/>
        </w:rPr>
        <w:t>ex lege</w:t>
      </w:r>
      <w:r w:rsidRPr="00E945B0">
        <w:rPr>
          <w:rStyle w:val="sb8d990e2"/>
          <w:lang w:val="en-GB"/>
        </w:rPr>
        <w:t>, into a registered partnership with the consent of her spouse. If no such consent was obtained, t</w:t>
      </w:r>
      <w:r w:rsidRPr="00E945B0">
        <w:rPr>
          <w:rStyle w:val="wordhighlighted"/>
          <w:lang w:val="en-GB"/>
        </w:rPr>
        <w:t>he</w:t>
      </w:r>
      <w:r w:rsidRPr="00E945B0">
        <w:rPr>
          <w:rStyle w:val="sb8d990e2"/>
          <w:lang w:val="en-GB"/>
        </w:rPr>
        <w:t xml:space="preserve"> applicant had the possibility to divorce.</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40</w:t>
      </w:r>
      <w:r w:rsidRPr="00E945B0">
        <w:rPr>
          <w:rStyle w:val="sb8d990e2"/>
          <w:lang w:val="en-GB"/>
        </w:rPr>
        <w:fldChar w:fldCharType="end"/>
      </w:r>
      <w:r w:rsidRPr="00E945B0">
        <w:rPr>
          <w:rStyle w:val="sb8d990e2"/>
          <w:lang w:val="en-GB"/>
        </w:rPr>
        <w:t>.  For the Chamber</w:t>
      </w:r>
      <w:r>
        <w:rPr>
          <w:rStyle w:val="sb8d990e2"/>
          <w:lang w:val="en-GB"/>
        </w:rPr>
        <w:t>,</w:t>
      </w:r>
      <w:r w:rsidRPr="00E945B0">
        <w:rPr>
          <w:rStyle w:val="sb8d990e2"/>
          <w:lang w:val="en-GB"/>
        </w:rPr>
        <w:t xml:space="preserve"> it was not disproportionate to require that the spouse gave consent to such a change as her rights were also at stake. Nor was it disproportionate that the applicant</w:t>
      </w:r>
      <w:r w:rsidR="00C17A2C">
        <w:rPr>
          <w:rStyle w:val="sb8d990e2"/>
          <w:lang w:val="en-GB"/>
        </w:rPr>
        <w:t>’</w:t>
      </w:r>
      <w:r w:rsidRPr="00E945B0">
        <w:rPr>
          <w:rStyle w:val="sb8d990e2"/>
          <w:lang w:val="en-GB"/>
        </w:rPr>
        <w:t xml:space="preserve">s marriage be turned into a registered partnership as the latter was a </w:t>
      </w:r>
      <w:r>
        <w:rPr>
          <w:rStyle w:val="sb8d990e2"/>
          <w:lang w:val="en-GB"/>
        </w:rPr>
        <w:t>genuine</w:t>
      </w:r>
      <w:r w:rsidRPr="00E945B0">
        <w:rPr>
          <w:rStyle w:val="sb8d990e2"/>
          <w:lang w:val="en-GB"/>
        </w:rPr>
        <w:t xml:space="preserve"> option which provided legal protection for same-sex couples </w:t>
      </w:r>
      <w:r>
        <w:rPr>
          <w:rStyle w:val="sb8d990e2"/>
          <w:lang w:val="en-GB"/>
        </w:rPr>
        <w:t>that</w:t>
      </w:r>
      <w:r w:rsidRPr="00E945B0">
        <w:rPr>
          <w:rStyle w:val="sb8d990e2"/>
          <w:lang w:val="en-GB"/>
        </w:rPr>
        <w:t xml:space="preserve"> was almost identical to that of marriage. Moreover, although there was a child from the marriage, there was no suggestion that this child, or any other individual, would be adversely affected if the applicant</w:t>
      </w:r>
      <w:r w:rsidR="00C17A2C">
        <w:rPr>
          <w:rStyle w:val="sb8d990e2"/>
          <w:lang w:val="en-GB"/>
        </w:rPr>
        <w:t>’</w:t>
      </w:r>
      <w:r w:rsidRPr="00E945B0">
        <w:rPr>
          <w:rStyle w:val="sb8d990e2"/>
          <w:lang w:val="en-GB"/>
        </w:rPr>
        <w:t>s marriage were turned into a registered partnership. T</w:t>
      </w:r>
      <w:r w:rsidRPr="00E945B0">
        <w:rPr>
          <w:rStyle w:val="wordhighlighted"/>
          <w:lang w:val="en-GB"/>
        </w:rPr>
        <w:t>he</w:t>
      </w:r>
      <w:r w:rsidRPr="00E945B0">
        <w:rPr>
          <w:rStyle w:val="sb8d990e2"/>
          <w:lang w:val="en-GB"/>
        </w:rPr>
        <w:t xml:space="preserve"> applicant</w:t>
      </w:r>
      <w:r w:rsidR="00C17A2C">
        <w:rPr>
          <w:rStyle w:val="sb8d990e2"/>
          <w:lang w:val="en-GB"/>
        </w:rPr>
        <w:t>’</w:t>
      </w:r>
      <w:r w:rsidRPr="00E945B0">
        <w:rPr>
          <w:rStyle w:val="sb8d990e2"/>
          <w:lang w:val="en-GB"/>
        </w:rPr>
        <w:t xml:space="preserve">s rights and obligations arising either from paternity or parenthood would not be altered if her marriage were turned into a registered partnership. </w:t>
      </w:r>
      <w:r>
        <w:rPr>
          <w:rStyle w:val="sb8d990e2"/>
          <w:lang w:val="en-GB"/>
        </w:rPr>
        <w:t>T</w:t>
      </w:r>
      <w:r w:rsidRPr="00E945B0">
        <w:rPr>
          <w:rStyle w:val="sb8d990e2"/>
          <w:lang w:val="en-GB"/>
        </w:rPr>
        <w:t>he Chamber</w:t>
      </w:r>
      <w:r>
        <w:rPr>
          <w:rStyle w:val="sb8d990e2"/>
          <w:lang w:val="en-GB"/>
        </w:rPr>
        <w:t xml:space="preserve"> therefore</w:t>
      </w:r>
      <w:r w:rsidRPr="00E945B0">
        <w:rPr>
          <w:rStyle w:val="sb8d990e2"/>
          <w:lang w:val="en-GB"/>
        </w:rPr>
        <w:t xml:space="preserve"> considered that t</w:t>
      </w:r>
      <w:r w:rsidRPr="00E945B0">
        <w:rPr>
          <w:rStyle w:val="wordhighlighted"/>
          <w:lang w:val="en-GB"/>
        </w:rPr>
        <w:t>he</w:t>
      </w:r>
      <w:r w:rsidRPr="00E945B0">
        <w:rPr>
          <w:rStyle w:val="sb8d990e2"/>
          <w:lang w:val="en-GB"/>
        </w:rPr>
        <w:t xml:space="preserve"> effects of the Finnish system had not been shown to be disproportionate and that a fair balance had been struck between the competing interests. There had accordingly been no violation of Article 8 of the Convention.</w:t>
      </w:r>
    </w:p>
    <w:p w:rsidR="00910348" w:rsidRPr="00E945B0" w:rsidRDefault="00910348" w:rsidP="00910348">
      <w:pPr>
        <w:pStyle w:val="ECHRHeading2"/>
        <w:rPr>
          <w:lang w:val="en-GB"/>
        </w:rPr>
      </w:pPr>
      <w:r w:rsidRPr="00E945B0">
        <w:rPr>
          <w:lang w:val="en-GB"/>
        </w:rPr>
        <w:t>B.  The parties</w:t>
      </w:r>
      <w:r w:rsidR="00C17A2C">
        <w:rPr>
          <w:lang w:val="en-GB"/>
        </w:rPr>
        <w:t>’</w:t>
      </w:r>
      <w:r w:rsidRPr="00E945B0">
        <w:rPr>
          <w:lang w:val="en-GB"/>
        </w:rPr>
        <w:t xml:space="preserve"> submissions</w:t>
      </w:r>
    </w:p>
    <w:p w:rsidR="00910348" w:rsidRPr="00E945B0" w:rsidRDefault="00910348" w:rsidP="00910348">
      <w:pPr>
        <w:pStyle w:val="ECHRHeading3"/>
        <w:rPr>
          <w:lang w:val="en-GB"/>
        </w:rPr>
      </w:pPr>
      <w:r w:rsidRPr="00E945B0">
        <w:rPr>
          <w:lang w:val="en-GB"/>
        </w:rPr>
        <w:t>1.  The applicant</w:t>
      </w:r>
    </w:p>
    <w:p w:rsidR="00910348" w:rsidRPr="007408C2" w:rsidRDefault="00910348" w:rsidP="00910348">
      <w:pPr>
        <w:pStyle w:val="ECHRPara"/>
        <w:rPr>
          <w:szCs w:val="24"/>
          <w:lang w:val="en-GB"/>
        </w:rPr>
      </w:pPr>
      <w:r w:rsidRPr="007408C2">
        <w:rPr>
          <w:szCs w:val="24"/>
          <w:lang w:val="en-GB"/>
        </w:rPr>
        <w:fldChar w:fldCharType="begin"/>
      </w:r>
      <w:r w:rsidRPr="007408C2">
        <w:rPr>
          <w:szCs w:val="24"/>
          <w:lang w:val="en-GB"/>
        </w:rPr>
        <w:instrText xml:space="preserve"> SEQ level0 \*arabic </w:instrText>
      </w:r>
      <w:r w:rsidRPr="007408C2">
        <w:rPr>
          <w:szCs w:val="24"/>
          <w:lang w:val="en-GB"/>
        </w:rPr>
        <w:fldChar w:fldCharType="separate"/>
      </w:r>
      <w:r w:rsidR="008B718E">
        <w:rPr>
          <w:noProof/>
          <w:szCs w:val="24"/>
          <w:lang w:val="en-GB"/>
        </w:rPr>
        <w:t>41</w:t>
      </w:r>
      <w:r w:rsidRPr="007408C2">
        <w:rPr>
          <w:szCs w:val="24"/>
          <w:lang w:val="en-GB"/>
        </w:rPr>
        <w:fldChar w:fldCharType="end"/>
      </w:r>
      <w:r w:rsidRPr="007408C2">
        <w:rPr>
          <w:szCs w:val="24"/>
          <w:lang w:val="en-GB"/>
        </w:rPr>
        <w:t xml:space="preserve">.  The applicant argued </w:t>
      </w:r>
      <w:r w:rsidRPr="0072701E">
        <w:rPr>
          <w:szCs w:val="24"/>
          <w:lang w:val="en-GB"/>
        </w:rPr>
        <w:t>that</w:t>
      </w:r>
      <w:r w:rsidR="007408C2" w:rsidRPr="0072701E">
        <w:rPr>
          <w:szCs w:val="24"/>
          <w:lang w:val="en-GB"/>
        </w:rPr>
        <w:t xml:space="preserve">, </w:t>
      </w:r>
      <w:r w:rsidR="00ED7DAE" w:rsidRPr="00A952B1">
        <w:rPr>
          <w:szCs w:val="24"/>
          <w:lang w:val="en-GB"/>
        </w:rPr>
        <w:t>under</w:t>
      </w:r>
      <w:r w:rsidR="007408C2" w:rsidRPr="00A952B1">
        <w:rPr>
          <w:szCs w:val="24"/>
          <w:lang w:val="en-GB"/>
        </w:rPr>
        <w:t xml:space="preserve"> the domestic law,</w:t>
      </w:r>
      <w:r w:rsidR="007408C2" w:rsidRPr="0072701E">
        <w:rPr>
          <w:szCs w:val="24"/>
          <w:lang w:val="en-GB"/>
        </w:rPr>
        <w:t xml:space="preserve"> </w:t>
      </w:r>
      <w:r w:rsidRPr="0072701E">
        <w:rPr>
          <w:szCs w:val="24"/>
          <w:lang w:val="en-GB"/>
        </w:rPr>
        <w:t>she</w:t>
      </w:r>
      <w:r w:rsidRPr="007408C2">
        <w:rPr>
          <w:szCs w:val="24"/>
          <w:lang w:val="en-GB"/>
        </w:rPr>
        <w:t xml:space="preserve"> was forced to choose between two fundamental rights recognised under the Convention, namely, her right to sexual self-determination and her right to remain married, with the result that she was effectively compelled to forego one of </w:t>
      </w:r>
      <w:r w:rsidRPr="0072701E">
        <w:rPr>
          <w:szCs w:val="24"/>
          <w:lang w:val="en-GB"/>
        </w:rPr>
        <w:t xml:space="preserve">them. </w:t>
      </w:r>
      <w:r w:rsidR="007408C2" w:rsidRPr="00242D29">
        <w:rPr>
          <w:szCs w:val="24"/>
          <w:lang w:val="en-US"/>
        </w:rPr>
        <w:t>Such legislation placed her in a quandary. She referred in th</w:t>
      </w:r>
      <w:r w:rsidR="00ED7DAE" w:rsidRPr="00242D29">
        <w:rPr>
          <w:szCs w:val="24"/>
          <w:lang w:val="en-US"/>
        </w:rPr>
        <w:t>at</w:t>
      </w:r>
      <w:r w:rsidR="007408C2" w:rsidRPr="00242D29">
        <w:rPr>
          <w:szCs w:val="24"/>
          <w:lang w:val="en-US"/>
        </w:rPr>
        <w:t xml:space="preserve"> respect to a judgment of the German</w:t>
      </w:r>
      <w:r w:rsidR="00C31CFB" w:rsidRPr="00242D29">
        <w:rPr>
          <w:szCs w:val="24"/>
          <w:lang w:val="en-US"/>
        </w:rPr>
        <w:t xml:space="preserve"> Federal</w:t>
      </w:r>
      <w:r w:rsidR="007408C2" w:rsidRPr="00242D29">
        <w:rPr>
          <w:szCs w:val="24"/>
          <w:lang w:val="en-US"/>
        </w:rPr>
        <w:t xml:space="preserve"> Constitutional Court of 27</w:t>
      </w:r>
      <w:r w:rsidR="0072701E" w:rsidRPr="00242D29">
        <w:rPr>
          <w:szCs w:val="24"/>
          <w:lang w:val="en-US"/>
        </w:rPr>
        <w:t xml:space="preserve"> </w:t>
      </w:r>
      <w:r w:rsidR="007408C2" w:rsidRPr="00242D29">
        <w:rPr>
          <w:szCs w:val="24"/>
          <w:lang w:val="en-US"/>
        </w:rPr>
        <w:t xml:space="preserve">May 2008. </w:t>
      </w:r>
      <w:r w:rsidRPr="0072701E">
        <w:rPr>
          <w:szCs w:val="24"/>
          <w:lang w:val="en-GB"/>
        </w:rPr>
        <w:lastRenderedPageBreak/>
        <w:t>The object of her application</w:t>
      </w:r>
      <w:r w:rsidRPr="007408C2">
        <w:rPr>
          <w:szCs w:val="24"/>
          <w:lang w:val="en-GB"/>
        </w:rPr>
        <w:t xml:space="preserve"> was not to extend marriage rights to same-sex couples but only to preserve her pre-existing marriage to her spouse. In her case same-sex marriage was an unintended and accidental outcome of legal gender recognition. She sought protection of a pre-acquired right and not the presumptive right to marry a woman.</w:t>
      </w:r>
    </w:p>
    <w:p w:rsidR="00910348" w:rsidRPr="00E945B0" w:rsidRDefault="00910348" w:rsidP="00910348">
      <w:pPr>
        <w:pStyle w:val="ECHRPara"/>
        <w:rPr>
          <w:i/>
          <w:lang w:val="en-GB"/>
        </w:rPr>
      </w:pPr>
      <w:r w:rsidRPr="007408C2">
        <w:rPr>
          <w:szCs w:val="24"/>
          <w:lang w:val="en-GB"/>
        </w:rPr>
        <w:fldChar w:fldCharType="begin"/>
      </w:r>
      <w:r w:rsidRPr="007408C2">
        <w:rPr>
          <w:szCs w:val="24"/>
          <w:lang w:val="en-GB"/>
        </w:rPr>
        <w:instrText xml:space="preserve"> SEQ level0 \*arabic </w:instrText>
      </w:r>
      <w:r w:rsidRPr="007408C2">
        <w:rPr>
          <w:szCs w:val="24"/>
          <w:lang w:val="en-GB"/>
        </w:rPr>
        <w:fldChar w:fldCharType="separate"/>
      </w:r>
      <w:r w:rsidR="008B718E">
        <w:rPr>
          <w:noProof/>
          <w:szCs w:val="24"/>
          <w:lang w:val="en-GB"/>
        </w:rPr>
        <w:t>42</w:t>
      </w:r>
      <w:r w:rsidRPr="007408C2">
        <w:rPr>
          <w:szCs w:val="24"/>
          <w:lang w:val="en-GB"/>
        </w:rPr>
        <w:fldChar w:fldCharType="end"/>
      </w:r>
      <w:r w:rsidRPr="007408C2">
        <w:rPr>
          <w:szCs w:val="24"/>
          <w:lang w:val="en-GB"/>
        </w:rPr>
        <w:t>.  The applicant claimed that there was an interference with both her private life and family life. Following the Court</w:t>
      </w:r>
      <w:r w:rsidR="00C17A2C">
        <w:rPr>
          <w:szCs w:val="24"/>
          <w:lang w:val="en-GB"/>
        </w:rPr>
        <w:t>’</w:t>
      </w:r>
      <w:r w:rsidRPr="007408C2">
        <w:rPr>
          <w:szCs w:val="24"/>
          <w:lang w:val="en-GB"/>
        </w:rPr>
        <w:t xml:space="preserve">s line of reasoning in the cases of </w:t>
      </w:r>
      <w:r w:rsidRPr="007408C2">
        <w:rPr>
          <w:i/>
          <w:szCs w:val="24"/>
          <w:lang w:val="en-GB"/>
        </w:rPr>
        <w:t>Parry v. the United Kingdom</w:t>
      </w:r>
      <w:r w:rsidRPr="007408C2">
        <w:rPr>
          <w:szCs w:val="24"/>
          <w:lang w:val="en-GB"/>
        </w:rPr>
        <w:t xml:space="preserve"> (dec.), no. 42971/05, ECHR 2006</w:t>
      </w:r>
      <w:r w:rsidRPr="007408C2">
        <w:rPr>
          <w:szCs w:val="24"/>
          <w:lang w:val="en-GB"/>
        </w:rPr>
        <w:noBreakHyphen/>
        <w:t xml:space="preserve">XV and </w:t>
      </w:r>
      <w:r w:rsidRPr="007408C2">
        <w:rPr>
          <w:i/>
          <w:szCs w:val="24"/>
          <w:lang w:val="en-GB"/>
        </w:rPr>
        <w:t>Dadouch v. Malta</w:t>
      </w:r>
      <w:r w:rsidRPr="007408C2">
        <w:rPr>
          <w:szCs w:val="24"/>
          <w:lang w:val="en-GB"/>
        </w:rPr>
        <w:t>, no. 38816/07, 20 July 2010, the family-life aspect of the case could not be excluded. The margin of appreciation should be narrower where a particularly important facet of an individual</w:t>
      </w:r>
      <w:r w:rsidR="00C17A2C">
        <w:rPr>
          <w:szCs w:val="24"/>
          <w:lang w:val="en-GB"/>
        </w:rPr>
        <w:t>’</w:t>
      </w:r>
      <w:r w:rsidRPr="007408C2">
        <w:rPr>
          <w:szCs w:val="24"/>
          <w:lang w:val="en-GB"/>
        </w:rPr>
        <w:t>s existence or identity was at stake. In her submiss</w:t>
      </w:r>
      <w:r>
        <w:rPr>
          <w:lang w:val="en-GB"/>
        </w:rPr>
        <w:t>ion, t</w:t>
      </w:r>
      <w:r w:rsidRPr="00E945B0">
        <w:rPr>
          <w:lang w:val="en-GB"/>
        </w:rPr>
        <w:t>he Court should narrow it down even further</w:t>
      </w:r>
      <w:r>
        <w:rPr>
          <w:lang w:val="en-GB"/>
        </w:rPr>
        <w:t xml:space="preserve"> and move</w:t>
      </w:r>
      <w:r w:rsidRPr="00E945B0">
        <w:rPr>
          <w:lang w:val="en-GB"/>
        </w:rPr>
        <w:t xml:space="preserve"> towards removing the divorce requirement in the legal gender recognition context. The margin of appreciation could not extend </w:t>
      </w:r>
      <w:r>
        <w:rPr>
          <w:lang w:val="en-GB"/>
        </w:rPr>
        <w:t>so</w:t>
      </w:r>
      <w:r w:rsidRPr="00E945B0">
        <w:rPr>
          <w:lang w:val="en-GB"/>
        </w:rPr>
        <w:t xml:space="preserve"> far as to allow States to terminate a marriage at their discretion.</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43</w:t>
      </w:r>
      <w:r w:rsidRPr="00E945B0">
        <w:rPr>
          <w:lang w:val="en-GB"/>
        </w:rPr>
        <w:fldChar w:fldCharType="end"/>
      </w:r>
      <w:r w:rsidRPr="00E945B0">
        <w:rPr>
          <w:lang w:val="en-GB"/>
        </w:rPr>
        <w:t>.  The applicant submitted that the divorce requirement imposed by the Transsexual</w:t>
      </w:r>
      <w:r>
        <w:rPr>
          <w:lang w:val="en-GB"/>
        </w:rPr>
        <w:t>s</w:t>
      </w:r>
      <w:r w:rsidRPr="00E945B0">
        <w:rPr>
          <w:lang w:val="en-GB"/>
        </w:rPr>
        <w:t xml:space="preserve"> Act was</w:t>
      </w:r>
      <w:r>
        <w:rPr>
          <w:lang w:val="en-GB"/>
        </w:rPr>
        <w:t xml:space="preserve"> an</w:t>
      </w:r>
      <w:r w:rsidRPr="00E945B0">
        <w:rPr>
          <w:lang w:val="en-GB"/>
        </w:rPr>
        <w:t xml:space="preserve"> unnecessary and disproportionate interference with her Article 8 rights. The balancing act </w:t>
      </w:r>
      <w:r>
        <w:rPr>
          <w:lang w:val="en-GB"/>
        </w:rPr>
        <w:t>carried out</w:t>
      </w:r>
      <w:r w:rsidRPr="00E945B0">
        <w:rPr>
          <w:lang w:val="en-GB"/>
        </w:rPr>
        <w:t xml:space="preserve"> by the Chamber had been fundamentally flawed for several reasons.</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44</w:t>
      </w:r>
      <w:r w:rsidRPr="00E945B0">
        <w:rPr>
          <w:lang w:val="en-GB"/>
        </w:rPr>
        <w:fldChar w:fldCharType="end"/>
      </w:r>
      <w:r w:rsidRPr="00E945B0">
        <w:rPr>
          <w:lang w:val="en-GB"/>
        </w:rPr>
        <w:t>.  First, the Chamber had failed to weigh up in the balancing exercise the applicant</w:t>
      </w:r>
      <w:r w:rsidR="00C17A2C">
        <w:rPr>
          <w:lang w:val="en-GB"/>
        </w:rPr>
        <w:t>’</w:t>
      </w:r>
      <w:r w:rsidRPr="00E945B0">
        <w:rPr>
          <w:lang w:val="en-GB"/>
        </w:rPr>
        <w:t>s and her family</w:t>
      </w:r>
      <w:r w:rsidR="00C17A2C">
        <w:rPr>
          <w:lang w:val="en-GB"/>
        </w:rPr>
        <w:t>’</w:t>
      </w:r>
      <w:r w:rsidRPr="00E945B0">
        <w:rPr>
          <w:lang w:val="en-GB"/>
        </w:rPr>
        <w:t>s acquired right to be married. If the applicant had chosen legal gender recognition, this would have terminated her marriage either through divorce or by conversion into</w:t>
      </w:r>
      <w:r>
        <w:rPr>
          <w:lang w:val="en-GB"/>
        </w:rPr>
        <w:t xml:space="preserve"> a</w:t>
      </w:r>
      <w:r w:rsidRPr="00E945B0">
        <w:rPr>
          <w:lang w:val="en-GB"/>
        </w:rPr>
        <w:t xml:space="preserve"> registered partnership. Both scenarios involved termination of</w:t>
      </w:r>
      <w:r>
        <w:rPr>
          <w:lang w:val="en-GB"/>
        </w:rPr>
        <w:t xml:space="preserve"> the</w:t>
      </w:r>
      <w:r w:rsidRPr="00E945B0">
        <w:rPr>
          <w:lang w:val="en-GB"/>
        </w:rPr>
        <w:t xml:space="preserve"> marriage. </w:t>
      </w:r>
      <w:r>
        <w:rPr>
          <w:lang w:val="en-GB"/>
        </w:rPr>
        <w:t>C</w:t>
      </w:r>
      <w:r w:rsidRPr="00E945B0">
        <w:rPr>
          <w:lang w:val="en-GB"/>
        </w:rPr>
        <w:t xml:space="preserve">onversion into </w:t>
      </w:r>
      <w:r>
        <w:rPr>
          <w:lang w:val="en-GB"/>
        </w:rPr>
        <w:t xml:space="preserve">a </w:t>
      </w:r>
      <w:r w:rsidRPr="00E945B0">
        <w:rPr>
          <w:lang w:val="en-GB"/>
        </w:rPr>
        <w:t>registered partnership was akin to divorce as the consequences of the conversion only applied for the future. As the spouse</w:t>
      </w:r>
      <w:r w:rsidR="00C17A2C">
        <w:rPr>
          <w:lang w:val="en-GB"/>
        </w:rPr>
        <w:t>’</w:t>
      </w:r>
      <w:r w:rsidRPr="00E945B0">
        <w:rPr>
          <w:lang w:val="en-GB"/>
        </w:rPr>
        <w:t>s consent was needed, divorce in these circumstances was “forced” by the State. The compulsory termination of the applicant</w:t>
      </w:r>
      <w:r w:rsidR="00C17A2C">
        <w:rPr>
          <w:lang w:val="en-GB"/>
        </w:rPr>
        <w:t>’</w:t>
      </w:r>
      <w:r w:rsidRPr="00E945B0">
        <w:rPr>
          <w:lang w:val="en-GB"/>
        </w:rPr>
        <w:t xml:space="preserve">s marriage would have substantially undermined her rights under the Convention as well as the rights of her spouse and daughter. Such dissolution of a valid marriage would have contradicted the underlying commitment to permanence in marriage, distinguishing it from other relationships. Marriage continued to qualify for the highest degree of protection under Article 8 of the Convention. The applicant and her wife had been married for seventeen years, </w:t>
      </w:r>
      <w:r>
        <w:rPr>
          <w:lang w:val="en-GB"/>
        </w:rPr>
        <w:t xml:space="preserve">still </w:t>
      </w:r>
      <w:r w:rsidRPr="00E945B0">
        <w:rPr>
          <w:lang w:val="en-GB"/>
        </w:rPr>
        <w:t>lived together and had</w:t>
      </w:r>
      <w:r>
        <w:rPr>
          <w:lang w:val="en-GB"/>
        </w:rPr>
        <w:t xml:space="preserve"> had</w:t>
      </w:r>
      <w:r w:rsidRPr="00E945B0">
        <w:rPr>
          <w:lang w:val="en-GB"/>
        </w:rPr>
        <w:t xml:space="preserve"> a child together. The survival of their relationship, despite the </w:t>
      </w:r>
      <w:r>
        <w:rPr>
          <w:lang w:val="en-GB"/>
        </w:rPr>
        <w:t>gender reassignment</w:t>
      </w:r>
      <w:r w:rsidRPr="00E945B0">
        <w:rPr>
          <w:lang w:val="en-GB"/>
        </w:rPr>
        <w:t xml:space="preserve"> of one spouse, demonstrated</w:t>
      </w:r>
      <w:r>
        <w:rPr>
          <w:lang w:val="en-GB"/>
        </w:rPr>
        <w:t xml:space="preserve"> a</w:t>
      </w:r>
      <w:r w:rsidRPr="00E945B0">
        <w:rPr>
          <w:lang w:val="en-GB"/>
        </w:rPr>
        <w:t xml:space="preserve"> high degree of mutual commitment between the spouses. Important distinctions remained between marriage and</w:t>
      </w:r>
      <w:r>
        <w:rPr>
          <w:lang w:val="en-GB"/>
        </w:rPr>
        <w:t xml:space="preserve"> a</w:t>
      </w:r>
      <w:r w:rsidRPr="00E945B0">
        <w:rPr>
          <w:lang w:val="en-GB"/>
        </w:rPr>
        <w:t xml:space="preserve"> registered partnership: when</w:t>
      </w:r>
      <w:r>
        <w:rPr>
          <w:lang w:val="en-GB"/>
        </w:rPr>
        <w:t xml:space="preserve"> the</w:t>
      </w:r>
      <w:r w:rsidRPr="00E945B0">
        <w:rPr>
          <w:lang w:val="en-GB"/>
        </w:rPr>
        <w:t xml:space="preserve"> female partner in</w:t>
      </w:r>
      <w:r>
        <w:rPr>
          <w:lang w:val="en-GB"/>
        </w:rPr>
        <w:t xml:space="preserve"> a</w:t>
      </w:r>
      <w:r w:rsidRPr="00E945B0">
        <w:rPr>
          <w:lang w:val="en-GB"/>
        </w:rPr>
        <w:t xml:space="preserve"> registered partnership gave birth, both parents did not automatically</w:t>
      </w:r>
      <w:r w:rsidRPr="002A6489">
        <w:rPr>
          <w:lang w:val="en-GB"/>
        </w:rPr>
        <w:t xml:space="preserve"> </w:t>
      </w:r>
      <w:r w:rsidRPr="00E945B0">
        <w:rPr>
          <w:lang w:val="en-GB"/>
        </w:rPr>
        <w:t xml:space="preserve">become parents as in the case of marriage. Nor was adoption possible if neither of the parents was a biological parent of the child to be adopted. The applicant and her family would have lost these rights, which were not insignificant, if they had </w:t>
      </w:r>
      <w:r>
        <w:rPr>
          <w:lang w:val="en-GB"/>
        </w:rPr>
        <w:t>agreed</w:t>
      </w:r>
      <w:r w:rsidRPr="00E945B0">
        <w:rPr>
          <w:lang w:val="en-GB"/>
        </w:rPr>
        <w:t xml:space="preserve"> to enter</w:t>
      </w:r>
      <w:r>
        <w:rPr>
          <w:lang w:val="en-GB"/>
        </w:rPr>
        <w:t xml:space="preserve"> into</w:t>
      </w:r>
      <w:r w:rsidRPr="00E945B0">
        <w:rPr>
          <w:lang w:val="en-GB"/>
        </w:rPr>
        <w:t xml:space="preserve"> a registered partnership. It was also doubtful to what extent the </w:t>
      </w:r>
      <w:r>
        <w:rPr>
          <w:lang w:val="en-GB"/>
        </w:rPr>
        <w:t>legal parent-</w:t>
      </w:r>
      <w:r>
        <w:rPr>
          <w:lang w:val="en-GB"/>
        </w:rPr>
        <w:lastRenderedPageBreak/>
        <w:t>child relationship</w:t>
      </w:r>
      <w:r w:rsidRPr="00E945B0">
        <w:rPr>
          <w:lang w:val="en-GB"/>
        </w:rPr>
        <w:t xml:space="preserve"> between the applicant and her daughter would have survived as there were no provisions to that effect in the Transsexual</w:t>
      </w:r>
      <w:r>
        <w:rPr>
          <w:lang w:val="en-GB"/>
        </w:rPr>
        <w:t>s</w:t>
      </w:r>
      <w:r w:rsidRPr="00E945B0">
        <w:rPr>
          <w:lang w:val="en-GB"/>
        </w:rPr>
        <w:t xml:space="preserve"> Act. The spouses had </w:t>
      </w:r>
      <w:r>
        <w:rPr>
          <w:lang w:val="en-GB"/>
        </w:rPr>
        <w:t>contracted</w:t>
      </w:r>
      <w:r w:rsidRPr="00E945B0">
        <w:rPr>
          <w:lang w:val="en-GB"/>
        </w:rPr>
        <w:t xml:space="preserve"> marriage </w:t>
      </w:r>
      <w:r>
        <w:rPr>
          <w:lang w:val="en-GB"/>
        </w:rPr>
        <w:t>on</w:t>
      </w:r>
      <w:r w:rsidRPr="00E945B0">
        <w:rPr>
          <w:lang w:val="en-GB"/>
        </w:rPr>
        <w:t xml:space="preserve"> the understanding, inspired by their strong religious beliefs, that it would last for life. They were not willing to relinquish their marriage under any circumstances. The applicant</w:t>
      </w:r>
      <w:r w:rsidR="00C17A2C">
        <w:rPr>
          <w:lang w:val="en-GB"/>
        </w:rPr>
        <w:t>’</w:t>
      </w:r>
      <w:r w:rsidRPr="00E945B0">
        <w:rPr>
          <w:lang w:val="en-GB"/>
        </w:rPr>
        <w:t xml:space="preserve">s gender </w:t>
      </w:r>
      <w:r>
        <w:rPr>
          <w:lang w:val="en-GB"/>
        </w:rPr>
        <w:t>reassignment</w:t>
      </w:r>
      <w:r w:rsidRPr="00E945B0">
        <w:rPr>
          <w:lang w:val="en-GB"/>
        </w:rPr>
        <w:t xml:space="preserve"> did not necessarily transform the couple into a homosexual couple. The applicant</w:t>
      </w:r>
      <w:r w:rsidR="00C17A2C">
        <w:rPr>
          <w:lang w:val="en-GB"/>
        </w:rPr>
        <w:t>’</w:t>
      </w:r>
      <w:r w:rsidRPr="00E945B0">
        <w:rPr>
          <w:lang w:val="en-GB"/>
        </w:rPr>
        <w:t>s wife</w:t>
      </w:r>
      <w:r>
        <w:rPr>
          <w:lang w:val="en-GB"/>
        </w:rPr>
        <w:t>,</w:t>
      </w:r>
      <w:r w:rsidRPr="00E945B0">
        <w:rPr>
          <w:lang w:val="en-GB"/>
        </w:rPr>
        <w:t xml:space="preserve"> who had entered into</w:t>
      </w:r>
      <w:r>
        <w:rPr>
          <w:lang w:val="en-GB"/>
        </w:rPr>
        <w:t xml:space="preserve"> the</w:t>
      </w:r>
      <w:r w:rsidRPr="00E945B0">
        <w:rPr>
          <w:lang w:val="en-GB"/>
        </w:rPr>
        <w:t xml:space="preserve"> heterosexual relationship seventeen years ago, continued to be heterosexual. </w:t>
      </w:r>
      <w:r>
        <w:rPr>
          <w:lang w:val="en-GB"/>
        </w:rPr>
        <w:t>Accordingly,</w:t>
      </w:r>
      <w:r w:rsidRPr="00E945B0">
        <w:rPr>
          <w:lang w:val="en-GB"/>
        </w:rPr>
        <w:t xml:space="preserve"> the downgrading of the applicant</w:t>
      </w:r>
      <w:r w:rsidR="00C17A2C">
        <w:rPr>
          <w:lang w:val="en-GB"/>
        </w:rPr>
        <w:t>’</w:t>
      </w:r>
      <w:r w:rsidRPr="00E945B0">
        <w:rPr>
          <w:lang w:val="en-GB"/>
        </w:rPr>
        <w:t xml:space="preserve">s relationship to </w:t>
      </w:r>
      <w:r>
        <w:rPr>
          <w:lang w:val="en-GB"/>
        </w:rPr>
        <w:t xml:space="preserve">a </w:t>
      </w:r>
      <w:r w:rsidRPr="00E945B0">
        <w:rPr>
          <w:lang w:val="en-GB"/>
        </w:rPr>
        <w:t>registered partnership did not reflect the actual reality of the applicant</w:t>
      </w:r>
      <w:r w:rsidR="00C17A2C">
        <w:rPr>
          <w:lang w:val="en-GB"/>
        </w:rPr>
        <w:t>’</w:t>
      </w:r>
      <w:r w:rsidRPr="00E945B0">
        <w:rPr>
          <w:lang w:val="en-GB"/>
        </w:rPr>
        <w:t>s wife</w:t>
      </w:r>
      <w:r w:rsidR="00C17A2C">
        <w:rPr>
          <w:lang w:val="en-GB"/>
        </w:rPr>
        <w:t>’</w:t>
      </w:r>
      <w:r>
        <w:rPr>
          <w:lang w:val="en-GB"/>
        </w:rPr>
        <w:t>s position</w:t>
      </w:r>
      <w:r w:rsidRPr="00E945B0">
        <w:rPr>
          <w:lang w:val="en-GB"/>
        </w:rPr>
        <w:t xml:space="preserve">. She was forced to make an impossible choice </w:t>
      </w:r>
      <w:r>
        <w:rPr>
          <w:lang w:val="en-GB"/>
        </w:rPr>
        <w:t>between</w:t>
      </w:r>
      <w:r w:rsidRPr="00E945B0">
        <w:rPr>
          <w:lang w:val="en-GB"/>
        </w:rPr>
        <w:t xml:space="preserve"> support</w:t>
      </w:r>
      <w:r>
        <w:rPr>
          <w:lang w:val="en-GB"/>
        </w:rPr>
        <w:t>ing</w:t>
      </w:r>
      <w:r w:rsidRPr="00E945B0">
        <w:rPr>
          <w:lang w:val="en-GB"/>
        </w:rPr>
        <w:t xml:space="preserve"> the applicant or </w:t>
      </w:r>
      <w:r>
        <w:rPr>
          <w:lang w:val="en-GB"/>
        </w:rPr>
        <w:t>preserving</w:t>
      </w:r>
      <w:r w:rsidRPr="00E945B0">
        <w:rPr>
          <w:lang w:val="en-GB"/>
        </w:rPr>
        <w:t xml:space="preserve"> their marriage. Their child</w:t>
      </w:r>
      <w:r w:rsidR="00C17A2C">
        <w:rPr>
          <w:lang w:val="en-GB"/>
        </w:rPr>
        <w:t>’</w:t>
      </w:r>
      <w:r w:rsidRPr="00E945B0">
        <w:rPr>
          <w:lang w:val="en-GB"/>
        </w:rPr>
        <w:t>s situation would be similar to that of children born out of wedlock.</w:t>
      </w:r>
    </w:p>
    <w:p w:rsidR="00910348" w:rsidRPr="00E945B0" w:rsidRDefault="00910348" w:rsidP="00910348">
      <w:pPr>
        <w:pStyle w:val="ECHRPara"/>
        <w:rPr>
          <w:i/>
          <w:szCs w:val="24"/>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45</w:t>
      </w:r>
      <w:r w:rsidRPr="00E945B0">
        <w:rPr>
          <w:lang w:val="en-GB"/>
        </w:rPr>
        <w:fldChar w:fldCharType="end"/>
      </w:r>
      <w:r w:rsidRPr="00E945B0">
        <w:rPr>
          <w:lang w:val="en-GB"/>
        </w:rPr>
        <w:t xml:space="preserve">.  Second, the applicant claimed that the Chamber </w:t>
      </w:r>
      <w:r>
        <w:rPr>
          <w:lang w:val="en-GB"/>
        </w:rPr>
        <w:t>had</w:t>
      </w:r>
      <w:r w:rsidRPr="00E945B0">
        <w:rPr>
          <w:lang w:val="en-GB"/>
        </w:rPr>
        <w:t xml:space="preserve"> not give</w:t>
      </w:r>
      <w:r>
        <w:rPr>
          <w:lang w:val="en-GB"/>
        </w:rPr>
        <w:t>n</w:t>
      </w:r>
      <w:r w:rsidRPr="00E945B0">
        <w:rPr>
          <w:lang w:val="en-GB"/>
        </w:rPr>
        <w:t xml:space="preserve"> sufficient weight to her right to sexual self-determination. The lack of legal recognition of the applicant</w:t>
      </w:r>
      <w:r w:rsidR="00C17A2C">
        <w:rPr>
          <w:lang w:val="en-GB"/>
        </w:rPr>
        <w:t>’</w:t>
      </w:r>
      <w:r w:rsidRPr="00E945B0">
        <w:rPr>
          <w:lang w:val="en-GB"/>
        </w:rPr>
        <w:t xml:space="preserve">s female gender had had profound implications for her daily life. She had effectively been forced to reveal her transsexual condition to complete strangers in daily situations that most people took for granted. For example, the applicant travelled extensively in </w:t>
      </w:r>
      <w:r>
        <w:rPr>
          <w:lang w:val="en-GB"/>
        </w:rPr>
        <w:t>connection with</w:t>
      </w:r>
      <w:r w:rsidRPr="00E945B0">
        <w:rPr>
          <w:lang w:val="en-GB"/>
        </w:rPr>
        <w:t xml:space="preserve"> her job but her passport still indicated that she was a man. When she travelled on her</w:t>
      </w:r>
      <w:r>
        <w:rPr>
          <w:lang w:val="en-GB"/>
        </w:rPr>
        <w:t xml:space="preserve"> current</w:t>
      </w:r>
      <w:r w:rsidRPr="00E945B0">
        <w:rPr>
          <w:lang w:val="en-GB"/>
        </w:rPr>
        <w:t xml:space="preserve"> passport, she </w:t>
      </w:r>
      <w:r>
        <w:rPr>
          <w:lang w:val="en-GB"/>
        </w:rPr>
        <w:t>was</w:t>
      </w:r>
      <w:r w:rsidRPr="00E945B0">
        <w:rPr>
          <w:lang w:val="en-GB"/>
        </w:rPr>
        <w:t xml:space="preserve"> forced to buy airline tickets with the title </w:t>
      </w:r>
      <w:r>
        <w:rPr>
          <w:lang w:val="en-GB"/>
        </w:rPr>
        <w:t>“</w:t>
      </w:r>
      <w:r w:rsidRPr="00E945B0">
        <w:rPr>
          <w:lang w:val="en-GB"/>
        </w:rPr>
        <w:t>Mr</w:t>
      </w:r>
      <w:r>
        <w:rPr>
          <w:lang w:val="en-GB"/>
        </w:rPr>
        <w:t>”</w:t>
      </w:r>
      <w:r w:rsidRPr="00E945B0">
        <w:rPr>
          <w:lang w:val="en-GB"/>
        </w:rPr>
        <w:t>. Her appearance with female characteristic</w:t>
      </w:r>
      <w:r>
        <w:rPr>
          <w:lang w:val="en-GB"/>
        </w:rPr>
        <w:t>s</w:t>
      </w:r>
      <w:r w:rsidRPr="00E945B0">
        <w:rPr>
          <w:lang w:val="en-GB"/>
        </w:rPr>
        <w:t xml:space="preserve"> at the airport</w:t>
      </w:r>
      <w:r>
        <w:rPr>
          <w:lang w:val="en-GB"/>
        </w:rPr>
        <w:t>,</w:t>
      </w:r>
      <w:r w:rsidRPr="00E945B0">
        <w:rPr>
          <w:lang w:val="en-GB"/>
        </w:rPr>
        <w:t xml:space="preserve"> </w:t>
      </w:r>
      <w:r>
        <w:rPr>
          <w:lang w:val="en-GB"/>
        </w:rPr>
        <w:t>carrying</w:t>
      </w:r>
      <w:r w:rsidRPr="00E945B0">
        <w:rPr>
          <w:lang w:val="en-GB"/>
        </w:rPr>
        <w:t xml:space="preserve"> a passport which stated her gender as male</w:t>
      </w:r>
      <w:r>
        <w:rPr>
          <w:lang w:val="en-GB"/>
        </w:rPr>
        <w:t>,</w:t>
      </w:r>
      <w:r w:rsidRPr="00713E18">
        <w:rPr>
          <w:lang w:val="en-GB"/>
        </w:rPr>
        <w:t xml:space="preserve"> </w:t>
      </w:r>
      <w:r w:rsidRPr="00E945B0">
        <w:rPr>
          <w:lang w:val="en-GB"/>
        </w:rPr>
        <w:t xml:space="preserve">had inevitably led to intrusive questioning, delays, embarrassment and distress. As Finland had allowed the applicant to change her first names to correspond to her female identity, it </w:t>
      </w:r>
      <w:r>
        <w:rPr>
          <w:lang w:val="en-GB"/>
        </w:rPr>
        <w:t>was</w:t>
      </w:r>
      <w:r w:rsidRPr="00E945B0">
        <w:rPr>
          <w:lang w:val="en-GB"/>
        </w:rPr>
        <w:t xml:space="preserve"> illogical to deny her legal gender recognition at this juncture</w:t>
      </w:r>
      <w:r>
        <w:rPr>
          <w:lang w:val="en-GB"/>
        </w:rPr>
        <w:t xml:space="preserve"> thus</w:t>
      </w:r>
      <w:r w:rsidRPr="00E945B0">
        <w:rPr>
          <w:lang w:val="en-GB"/>
        </w:rPr>
        <w:t xml:space="preserve"> leaving her stranded in the territory between two sexes for </w:t>
      </w:r>
      <w:r>
        <w:rPr>
          <w:lang w:val="en-GB"/>
        </w:rPr>
        <w:t xml:space="preserve">a </w:t>
      </w:r>
      <w:r w:rsidRPr="00E945B0">
        <w:rPr>
          <w:lang w:val="en-GB"/>
        </w:rPr>
        <w:t xml:space="preserve">potentially indeterminate period. The applicant </w:t>
      </w:r>
      <w:r>
        <w:rPr>
          <w:lang w:val="en-GB"/>
        </w:rPr>
        <w:t>had</w:t>
      </w:r>
      <w:r w:rsidRPr="00E945B0">
        <w:rPr>
          <w:lang w:val="en-GB"/>
        </w:rPr>
        <w:t xml:space="preserve"> not cho</w:t>
      </w:r>
      <w:r>
        <w:rPr>
          <w:lang w:val="en-GB"/>
        </w:rPr>
        <w:t>sen</w:t>
      </w:r>
      <w:r w:rsidRPr="00E945B0">
        <w:rPr>
          <w:lang w:val="en-GB"/>
        </w:rPr>
        <w:t xml:space="preserve"> to become transsexual and should therefore not be punished by</w:t>
      </w:r>
      <w:r>
        <w:rPr>
          <w:lang w:val="en-GB"/>
        </w:rPr>
        <w:t xml:space="preserve"> being</w:t>
      </w:r>
      <w:r w:rsidRPr="00E945B0">
        <w:rPr>
          <w:lang w:val="en-GB"/>
        </w:rPr>
        <w:t xml:space="preserve"> depriv</w:t>
      </w:r>
      <w:r>
        <w:rPr>
          <w:lang w:val="en-GB"/>
        </w:rPr>
        <w:t>ed of</w:t>
      </w:r>
      <w:r w:rsidRPr="00E945B0">
        <w:rPr>
          <w:lang w:val="en-GB"/>
        </w:rPr>
        <w:t xml:space="preserve"> her marriage. The express requirement </w:t>
      </w:r>
      <w:r>
        <w:rPr>
          <w:lang w:val="en-GB"/>
        </w:rPr>
        <w:t>that</w:t>
      </w:r>
      <w:r w:rsidRPr="00E945B0">
        <w:rPr>
          <w:lang w:val="en-GB"/>
        </w:rPr>
        <w:t xml:space="preserve"> legal gender recognition </w:t>
      </w:r>
      <w:r>
        <w:rPr>
          <w:lang w:val="en-GB"/>
        </w:rPr>
        <w:t xml:space="preserve">was </w:t>
      </w:r>
      <w:r w:rsidRPr="00E945B0">
        <w:rPr>
          <w:lang w:val="en-GB"/>
        </w:rPr>
        <w:t>contingent on the termination of marriage did not allow the Finnish courts to make an individualised assessment taking into account the applicant</w:t>
      </w:r>
      <w:r w:rsidR="00C17A2C">
        <w:rPr>
          <w:lang w:val="en-GB"/>
        </w:rPr>
        <w:t>’</w:t>
      </w:r>
      <w:r w:rsidRPr="00E945B0">
        <w:rPr>
          <w:lang w:val="en-GB"/>
        </w:rPr>
        <w:t>s circumstances. In the case</w:t>
      </w:r>
      <w:r>
        <w:rPr>
          <w:lang w:val="en-GB"/>
        </w:rPr>
        <w:t xml:space="preserve"> of</w:t>
      </w:r>
      <w:r w:rsidRPr="00E945B0">
        <w:rPr>
          <w:lang w:val="en-GB"/>
        </w:rPr>
        <w:t xml:space="preserve"> </w:t>
      </w:r>
      <w:r w:rsidRPr="00E945B0">
        <w:rPr>
          <w:i/>
          <w:lang w:val="en-GB"/>
        </w:rPr>
        <w:t>Schlumpf v. Switzerland</w:t>
      </w:r>
      <w:r w:rsidRPr="00E945B0">
        <w:rPr>
          <w:lang w:val="en-GB"/>
        </w:rPr>
        <w:t>, no.</w:t>
      </w:r>
      <w:r>
        <w:rPr>
          <w:lang w:val="en-GB"/>
        </w:rPr>
        <w:t xml:space="preserve"> </w:t>
      </w:r>
      <w:r w:rsidRPr="00E945B0">
        <w:rPr>
          <w:lang w:val="en-GB"/>
        </w:rPr>
        <w:t>29002/06, 8 January 2009</w:t>
      </w:r>
      <w:r>
        <w:rPr>
          <w:lang w:val="en-GB"/>
        </w:rPr>
        <w:t>,</w:t>
      </w:r>
      <w:r w:rsidRPr="00E945B0">
        <w:rPr>
          <w:lang w:val="en-GB"/>
        </w:rPr>
        <w:t xml:space="preserve"> the Court </w:t>
      </w:r>
      <w:r>
        <w:rPr>
          <w:lang w:val="en-GB"/>
        </w:rPr>
        <w:t xml:space="preserve">had </w:t>
      </w:r>
      <w:r w:rsidRPr="00E945B0">
        <w:rPr>
          <w:lang w:val="en-GB"/>
        </w:rPr>
        <w:t xml:space="preserve">found a violation in similar circumstances. The domestic courts </w:t>
      </w:r>
      <w:r>
        <w:rPr>
          <w:lang w:val="en-GB"/>
        </w:rPr>
        <w:t xml:space="preserve">had </w:t>
      </w:r>
      <w:r w:rsidRPr="00E945B0">
        <w:rPr>
          <w:lang w:val="en-GB"/>
        </w:rPr>
        <w:t>also failed to consider other alternatives that did not require the termination of marriage.</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46</w:t>
      </w:r>
      <w:r w:rsidRPr="00E945B0">
        <w:rPr>
          <w:lang w:val="en-GB"/>
        </w:rPr>
        <w:fldChar w:fldCharType="end"/>
      </w:r>
      <w:r w:rsidRPr="00E945B0">
        <w:rPr>
          <w:lang w:val="en-GB"/>
        </w:rPr>
        <w:t>.  Third, the applicant argued that the Chamber</w:t>
      </w:r>
      <w:r w:rsidR="00C17A2C">
        <w:rPr>
          <w:lang w:val="en-GB"/>
        </w:rPr>
        <w:t>’</w:t>
      </w:r>
      <w:r w:rsidRPr="00E945B0">
        <w:rPr>
          <w:lang w:val="en-GB"/>
        </w:rPr>
        <w:t>s assumption that the State</w:t>
      </w:r>
      <w:r w:rsidR="00C17A2C">
        <w:rPr>
          <w:lang w:val="en-GB"/>
        </w:rPr>
        <w:t>’</w:t>
      </w:r>
      <w:r w:rsidRPr="00E945B0">
        <w:rPr>
          <w:lang w:val="en-GB"/>
        </w:rPr>
        <w:t>s interest in protecting marriage would be fatally undermined if trans</w:t>
      </w:r>
      <w:r>
        <w:rPr>
          <w:lang w:val="en-GB"/>
        </w:rPr>
        <w:t>sexuals were allowed to</w:t>
      </w:r>
      <w:r w:rsidRPr="00E945B0">
        <w:rPr>
          <w:lang w:val="en-GB"/>
        </w:rPr>
        <w:t xml:space="preserve"> marr</w:t>
      </w:r>
      <w:r>
        <w:rPr>
          <w:lang w:val="en-GB"/>
        </w:rPr>
        <w:t>y</w:t>
      </w:r>
      <w:r w:rsidRPr="00E945B0">
        <w:rPr>
          <w:lang w:val="en-GB"/>
        </w:rPr>
        <w:t xml:space="preserve"> was inaccurate. The Chamber</w:t>
      </w:r>
      <w:r>
        <w:rPr>
          <w:lang w:val="en-GB"/>
        </w:rPr>
        <w:t xml:space="preserve"> had</w:t>
      </w:r>
      <w:r w:rsidRPr="00E945B0">
        <w:rPr>
          <w:lang w:val="en-GB"/>
        </w:rPr>
        <w:t xml:space="preserve"> wrongly assumed that the only interest of public value involved in the case was protecting the heterosexual character of marriage. The applicant did not specifically challenge the importance of preserving heterosexual marriage but claimed that forcing her to divorce in order to achieve legal gender recognition was an unnecessary and disproportionate means </w:t>
      </w:r>
      <w:r>
        <w:rPr>
          <w:lang w:val="en-GB"/>
        </w:rPr>
        <w:t>of</w:t>
      </w:r>
      <w:r w:rsidRPr="00E945B0">
        <w:rPr>
          <w:lang w:val="en-GB"/>
        </w:rPr>
        <w:t xml:space="preserve"> achiev</w:t>
      </w:r>
      <w:r>
        <w:rPr>
          <w:lang w:val="en-GB"/>
        </w:rPr>
        <w:t>ing</w:t>
      </w:r>
      <w:r w:rsidRPr="00E945B0">
        <w:rPr>
          <w:lang w:val="en-GB"/>
        </w:rPr>
        <w:t xml:space="preserve"> </w:t>
      </w:r>
      <w:r w:rsidRPr="00E945B0">
        <w:rPr>
          <w:lang w:val="en-GB"/>
        </w:rPr>
        <w:lastRenderedPageBreak/>
        <w:t>the State</w:t>
      </w:r>
      <w:r w:rsidR="00C17A2C">
        <w:rPr>
          <w:lang w:val="en-GB"/>
        </w:rPr>
        <w:t>’</w:t>
      </w:r>
      <w:r w:rsidRPr="00E945B0">
        <w:rPr>
          <w:lang w:val="en-GB"/>
        </w:rPr>
        <w:t xml:space="preserve">s objective. </w:t>
      </w:r>
      <w:r>
        <w:rPr>
          <w:lang w:val="en-GB"/>
        </w:rPr>
        <w:t>Allowing</w:t>
      </w:r>
      <w:r w:rsidRPr="00E945B0">
        <w:rPr>
          <w:lang w:val="en-GB"/>
        </w:rPr>
        <w:t xml:space="preserve"> trans</w:t>
      </w:r>
      <w:r>
        <w:rPr>
          <w:lang w:val="en-GB"/>
        </w:rPr>
        <w:t>sexuals to</w:t>
      </w:r>
      <w:r w:rsidRPr="00E945B0">
        <w:rPr>
          <w:lang w:val="en-GB"/>
        </w:rPr>
        <w:t xml:space="preserve"> marr</w:t>
      </w:r>
      <w:r>
        <w:rPr>
          <w:lang w:val="en-GB"/>
        </w:rPr>
        <w:t>y</w:t>
      </w:r>
      <w:r w:rsidRPr="00E945B0">
        <w:rPr>
          <w:lang w:val="en-GB"/>
        </w:rPr>
        <w:t xml:space="preserve"> would only marginally affect heterosexual marriage as such cases were extremely rare. </w:t>
      </w:r>
      <w:r w:rsidRPr="00E945B0">
        <w:rPr>
          <w:i/>
          <w:lang w:val="en-GB"/>
        </w:rPr>
        <w:t>De facto</w:t>
      </w:r>
      <w:r w:rsidRPr="00E945B0">
        <w:rPr>
          <w:lang w:val="en-GB"/>
        </w:rPr>
        <w:t xml:space="preserve"> or </w:t>
      </w:r>
      <w:r w:rsidRPr="00E945B0">
        <w:rPr>
          <w:i/>
          <w:lang w:val="en-GB"/>
        </w:rPr>
        <w:t>de jure</w:t>
      </w:r>
      <w:r w:rsidRPr="00E945B0">
        <w:rPr>
          <w:lang w:val="en-GB"/>
        </w:rPr>
        <w:t xml:space="preserve"> same-sex marriages might already exist in Finland as </w:t>
      </w:r>
      <w:r>
        <w:rPr>
          <w:lang w:val="en-GB"/>
        </w:rPr>
        <w:t xml:space="preserve">the </w:t>
      </w:r>
      <w:r w:rsidRPr="00E945B0">
        <w:rPr>
          <w:lang w:val="en-GB"/>
        </w:rPr>
        <w:t xml:space="preserve">marriage of persons in the same situation as the applicant created the appearance of same-sex marriage. Moreover, legal gender recognition </w:t>
      </w:r>
      <w:r>
        <w:rPr>
          <w:lang w:val="en-GB"/>
        </w:rPr>
        <w:t>obtained</w:t>
      </w:r>
      <w:r w:rsidRPr="00E945B0">
        <w:rPr>
          <w:lang w:val="en-GB"/>
        </w:rPr>
        <w:t xml:space="preserve"> in a foreign State was</w:t>
      </w:r>
      <w:r w:rsidRPr="00713E18">
        <w:rPr>
          <w:lang w:val="en-GB"/>
        </w:rPr>
        <w:t xml:space="preserve"> </w:t>
      </w:r>
      <w:r w:rsidRPr="00E945B0">
        <w:rPr>
          <w:lang w:val="en-GB"/>
        </w:rPr>
        <w:t>also valid in Finland.</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47</w:t>
      </w:r>
      <w:r w:rsidRPr="00E945B0">
        <w:rPr>
          <w:lang w:val="en-GB"/>
        </w:rPr>
        <w:fldChar w:fldCharType="end"/>
      </w:r>
      <w:r w:rsidRPr="00E945B0">
        <w:rPr>
          <w:lang w:val="en-GB"/>
        </w:rPr>
        <w:t>.  Moreover, the applicant claimed that the Chamber had failed to take due account of the recent international trends towards abandonment of</w:t>
      </w:r>
      <w:r>
        <w:rPr>
          <w:lang w:val="en-GB"/>
        </w:rPr>
        <w:t xml:space="preserve"> the</w:t>
      </w:r>
      <w:r w:rsidRPr="00E945B0">
        <w:rPr>
          <w:lang w:val="en-GB"/>
        </w:rPr>
        <w:t xml:space="preserve"> compulsory divorce requirement, legalisation of same-sex marriage and divorce by free consent. Abandoning compulsory divorce requirements was achieved </w:t>
      </w:r>
      <w:r>
        <w:rPr>
          <w:lang w:val="en-GB"/>
        </w:rPr>
        <w:t xml:space="preserve">by </w:t>
      </w:r>
      <w:r w:rsidRPr="00E945B0">
        <w:rPr>
          <w:lang w:val="en-GB"/>
        </w:rPr>
        <w:t xml:space="preserve">either explicitly allowing </w:t>
      </w:r>
      <w:r>
        <w:rPr>
          <w:lang w:val="en-GB"/>
        </w:rPr>
        <w:t xml:space="preserve">transsexuals to </w:t>
      </w:r>
      <w:r w:rsidRPr="00E945B0">
        <w:rPr>
          <w:lang w:val="en-GB"/>
        </w:rPr>
        <w:t>marr</w:t>
      </w:r>
      <w:r>
        <w:rPr>
          <w:lang w:val="en-GB"/>
        </w:rPr>
        <w:t>y</w:t>
      </w:r>
      <w:r w:rsidRPr="00E945B0">
        <w:rPr>
          <w:lang w:val="en-GB"/>
        </w:rPr>
        <w:t xml:space="preserve"> or by legalising same-sex marriage. </w:t>
      </w:r>
      <w:r w:rsidR="00E145A8">
        <w:rPr>
          <w:lang w:val="en-GB"/>
        </w:rPr>
        <w:t>The applicant referred to comparative</w:t>
      </w:r>
      <w:r w:rsidR="006D0DEA">
        <w:rPr>
          <w:lang w:val="en-GB"/>
        </w:rPr>
        <w:t>-</w:t>
      </w:r>
      <w:r w:rsidR="00E145A8">
        <w:rPr>
          <w:lang w:val="en-GB"/>
        </w:rPr>
        <w:t>law studies concerning legal gender recognition and mar</w:t>
      </w:r>
      <w:r w:rsidR="00B723D0">
        <w:rPr>
          <w:lang w:val="en-GB"/>
        </w:rPr>
        <w:t>ital</w:t>
      </w:r>
      <w:r w:rsidR="006D0DEA">
        <w:rPr>
          <w:lang w:val="en-GB"/>
        </w:rPr>
        <w:t>-</w:t>
      </w:r>
      <w:r w:rsidR="00B723D0">
        <w:rPr>
          <w:lang w:val="en-GB"/>
        </w:rPr>
        <w:t xml:space="preserve">status </w:t>
      </w:r>
      <w:r w:rsidR="00E145A8">
        <w:rPr>
          <w:lang w:val="en-GB"/>
        </w:rPr>
        <w:t>requirements</w:t>
      </w:r>
      <w:r w:rsidR="00B723D0">
        <w:rPr>
          <w:lang w:val="en-GB"/>
        </w:rPr>
        <w: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48</w:t>
      </w:r>
      <w:r w:rsidRPr="00E945B0">
        <w:rPr>
          <w:lang w:val="en-GB"/>
        </w:rPr>
        <w:fldChar w:fldCharType="end"/>
      </w:r>
      <w:r w:rsidRPr="00E945B0">
        <w:rPr>
          <w:lang w:val="en-GB"/>
        </w:rPr>
        <w:t>.  </w:t>
      </w:r>
      <w:r>
        <w:rPr>
          <w:lang w:val="en-GB"/>
        </w:rPr>
        <w:t>I</w:t>
      </w:r>
      <w:r w:rsidRPr="00E945B0">
        <w:rPr>
          <w:lang w:val="en-GB"/>
        </w:rPr>
        <w:t xml:space="preserve">n Finland there had </w:t>
      </w:r>
      <w:r>
        <w:rPr>
          <w:lang w:val="en-GB"/>
        </w:rPr>
        <w:t xml:space="preserve">also </w:t>
      </w:r>
      <w:r w:rsidRPr="00E945B0">
        <w:rPr>
          <w:lang w:val="en-GB"/>
        </w:rPr>
        <w:t>been</w:t>
      </w:r>
      <w:r>
        <w:rPr>
          <w:lang w:val="en-GB"/>
        </w:rPr>
        <w:t xml:space="preserve"> a</w:t>
      </w:r>
      <w:r w:rsidRPr="00E945B0">
        <w:rPr>
          <w:lang w:val="en-GB"/>
        </w:rPr>
        <w:t xml:space="preserve"> trend towards abolish</w:t>
      </w:r>
      <w:r>
        <w:rPr>
          <w:lang w:val="en-GB"/>
        </w:rPr>
        <w:t>ing the</w:t>
      </w:r>
      <w:r w:rsidRPr="00E945B0">
        <w:rPr>
          <w:lang w:val="en-GB"/>
        </w:rPr>
        <w:t xml:space="preserve"> compulsory divorce requirement. The Ombudsman for Equality had suggested in 2012 that equal marriage</w:t>
      </w:r>
      <w:r w:rsidR="006D0DEA">
        <w:rPr>
          <w:lang w:val="en-GB"/>
        </w:rPr>
        <w:t xml:space="preserve"> rights</w:t>
      </w:r>
      <w:r w:rsidRPr="00E945B0">
        <w:rPr>
          <w:lang w:val="en-GB"/>
        </w:rPr>
        <w:t xml:space="preserve"> for all could be a solution which would allow the continuation of marriage where one spouse was transgender. The Commissioner for Human Rights of the Council of Europe had also called for abolition of the divorce requirement following his visit to Finland in 2012. </w:t>
      </w:r>
      <w:r>
        <w:rPr>
          <w:lang w:val="en-GB"/>
        </w:rPr>
        <w:t>I</w:t>
      </w:r>
      <w:r w:rsidRPr="00E945B0">
        <w:rPr>
          <w:lang w:val="en-GB"/>
        </w:rPr>
        <w:t xml:space="preserve">n that context </w:t>
      </w:r>
      <w:r>
        <w:rPr>
          <w:lang w:val="en-GB"/>
        </w:rPr>
        <w:t>t</w:t>
      </w:r>
      <w:r w:rsidRPr="00E945B0">
        <w:rPr>
          <w:lang w:val="en-GB"/>
        </w:rPr>
        <w:t>he Finnish Government had committed</w:t>
      </w:r>
      <w:r>
        <w:rPr>
          <w:lang w:val="en-GB"/>
        </w:rPr>
        <w:t xml:space="preserve"> themselves</w:t>
      </w:r>
      <w:r w:rsidRPr="00E945B0">
        <w:rPr>
          <w:lang w:val="en-GB"/>
        </w:rPr>
        <w:t xml:space="preserve"> to establish</w:t>
      </w:r>
      <w:r>
        <w:rPr>
          <w:lang w:val="en-GB"/>
        </w:rPr>
        <w:t>ing</w:t>
      </w:r>
      <w:r w:rsidRPr="00E945B0">
        <w:rPr>
          <w:lang w:val="en-GB"/>
        </w:rPr>
        <w:t xml:space="preserve"> a working group to examine the possibility of reforming the impugned legislation. There was also a European and international trend towards allowing same-sex marriages. Ten European States currently allowed same-sex marriage. </w:t>
      </w:r>
      <w:r>
        <w:rPr>
          <w:lang w:val="en-GB"/>
        </w:rPr>
        <w:t>T</w:t>
      </w:r>
      <w:r w:rsidRPr="00E945B0">
        <w:rPr>
          <w:lang w:val="en-GB"/>
        </w:rPr>
        <w:t xml:space="preserve">he situation in Finland was </w:t>
      </w:r>
      <w:r>
        <w:rPr>
          <w:lang w:val="en-GB"/>
        </w:rPr>
        <w:t xml:space="preserve">also </w:t>
      </w:r>
      <w:r w:rsidRPr="00E945B0">
        <w:rPr>
          <w:lang w:val="en-GB"/>
        </w:rPr>
        <w:t xml:space="preserve">expected to change in the near future. In February 2013 the Parliamentary Law Committee </w:t>
      </w:r>
      <w:r>
        <w:rPr>
          <w:lang w:val="en-GB"/>
        </w:rPr>
        <w:t xml:space="preserve">had </w:t>
      </w:r>
      <w:r w:rsidRPr="00E945B0">
        <w:rPr>
          <w:lang w:val="en-GB"/>
        </w:rPr>
        <w:t xml:space="preserve">voted down a draft bill to that effect by a </w:t>
      </w:r>
      <w:r>
        <w:rPr>
          <w:lang w:val="en-GB"/>
        </w:rPr>
        <w:t>narrow</w:t>
      </w:r>
      <w:r w:rsidRPr="00E945B0">
        <w:rPr>
          <w:lang w:val="en-GB"/>
        </w:rPr>
        <w:t xml:space="preserve"> majority of nine votes to eight. </w:t>
      </w:r>
      <w:r>
        <w:rPr>
          <w:lang w:val="en-GB"/>
        </w:rPr>
        <w:t>P</w:t>
      </w:r>
      <w:r w:rsidRPr="00E945B0">
        <w:rPr>
          <w:lang w:val="en-GB"/>
        </w:rPr>
        <w:t>ublic support for same-sex marriage had also grown from 45</w:t>
      </w:r>
      <w:r>
        <w:rPr>
          <w:lang w:val="en-GB"/>
        </w:rPr>
        <w:t>%</w:t>
      </w:r>
      <w:r w:rsidRPr="00E945B0">
        <w:rPr>
          <w:lang w:val="en-GB"/>
        </w:rPr>
        <w:t xml:space="preserve"> in 2006 to 58</w:t>
      </w:r>
      <w:r>
        <w:rPr>
          <w:lang w:val="en-GB"/>
        </w:rPr>
        <w:t>%</w:t>
      </w:r>
      <w:r w:rsidRPr="00E945B0">
        <w:rPr>
          <w:lang w:val="en-GB"/>
        </w:rPr>
        <w:t xml:space="preserve"> in March 2013.</w:t>
      </w:r>
    </w:p>
    <w:p w:rsidR="00910348" w:rsidRPr="00E945B0" w:rsidRDefault="00910348" w:rsidP="00910348">
      <w:pPr>
        <w:pStyle w:val="ECHRHeading3"/>
        <w:rPr>
          <w:lang w:val="en-GB"/>
        </w:rPr>
      </w:pPr>
      <w:r w:rsidRPr="00E945B0">
        <w:rPr>
          <w:lang w:val="en-GB"/>
        </w:rPr>
        <w:t>2.  The Government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49</w:t>
      </w:r>
      <w:r w:rsidRPr="00E945B0">
        <w:rPr>
          <w:lang w:val="en-GB"/>
        </w:rPr>
        <w:fldChar w:fldCharType="end"/>
      </w:r>
      <w:r w:rsidRPr="00E945B0">
        <w:rPr>
          <w:lang w:val="en-GB"/>
        </w:rPr>
        <w:t>.  The Government agreed with the Chamber</w:t>
      </w:r>
      <w:r w:rsidR="00C17A2C">
        <w:rPr>
          <w:lang w:val="en-GB"/>
        </w:rPr>
        <w:t>’</w:t>
      </w:r>
      <w:r w:rsidRPr="00E945B0">
        <w:rPr>
          <w:lang w:val="en-GB"/>
        </w:rPr>
        <w:t xml:space="preserve">s reasoning and conclusion to the effect that there had been no violation of Article 8 of the Convention in the present case. They noted that the impugned legislation had been </w:t>
      </w:r>
      <w:r>
        <w:rPr>
          <w:lang w:val="en-GB"/>
        </w:rPr>
        <w:t>passed</w:t>
      </w:r>
      <w:r w:rsidRPr="00E945B0">
        <w:rPr>
          <w:lang w:val="en-GB"/>
        </w:rPr>
        <w:t xml:space="preserve"> in order to prevent inequality caused by varying administrative practices throughout the country and in order to set coherent preconditions for legal gender recognition. The bill </w:t>
      </w:r>
      <w:r>
        <w:rPr>
          <w:lang w:val="en-GB"/>
        </w:rPr>
        <w:t>had initially</w:t>
      </w:r>
      <w:r w:rsidRPr="00E945B0">
        <w:rPr>
          <w:lang w:val="en-GB"/>
        </w:rPr>
        <w:t xml:space="preserve"> required that the person requesting legal gender recognition </w:t>
      </w:r>
      <w:r>
        <w:rPr>
          <w:lang w:val="en-GB"/>
        </w:rPr>
        <w:t>be</w:t>
      </w:r>
      <w:r w:rsidRPr="00E945B0">
        <w:rPr>
          <w:lang w:val="en-GB"/>
        </w:rPr>
        <w:t xml:space="preserve"> </w:t>
      </w:r>
      <w:r>
        <w:rPr>
          <w:lang w:val="en-GB"/>
        </w:rPr>
        <w:t>un</w:t>
      </w:r>
      <w:r w:rsidRPr="00E945B0">
        <w:rPr>
          <w:lang w:val="en-GB"/>
        </w:rPr>
        <w:t xml:space="preserve">married or </w:t>
      </w:r>
      <w:r>
        <w:rPr>
          <w:lang w:val="en-GB"/>
        </w:rPr>
        <w:t xml:space="preserve">not </w:t>
      </w:r>
      <w:r w:rsidRPr="00E945B0">
        <w:rPr>
          <w:lang w:val="en-GB"/>
        </w:rPr>
        <w:t xml:space="preserve">in a registered partnership </w:t>
      </w:r>
      <w:r>
        <w:rPr>
          <w:lang w:val="en-GB"/>
        </w:rPr>
        <w:t>and had not</w:t>
      </w:r>
      <w:r w:rsidRPr="00E945B0">
        <w:rPr>
          <w:lang w:val="en-GB"/>
        </w:rPr>
        <w:t xml:space="preserve"> allow</w:t>
      </w:r>
      <w:r>
        <w:rPr>
          <w:lang w:val="en-GB"/>
        </w:rPr>
        <w:t>ed</w:t>
      </w:r>
      <w:r w:rsidRPr="00E945B0">
        <w:rPr>
          <w:lang w:val="en-GB"/>
        </w:rPr>
        <w:t xml:space="preserve"> his or her marriage or registered partnership </w:t>
      </w:r>
      <w:r>
        <w:rPr>
          <w:lang w:val="en-GB"/>
        </w:rPr>
        <w:t xml:space="preserve">to continue </w:t>
      </w:r>
      <w:r w:rsidRPr="00E945B0">
        <w:rPr>
          <w:lang w:val="en-GB"/>
        </w:rPr>
        <w:t>in another legally recogni</w:t>
      </w:r>
      <w:r>
        <w:rPr>
          <w:lang w:val="en-GB"/>
        </w:rPr>
        <w:t>s</w:t>
      </w:r>
      <w:r w:rsidRPr="00E945B0">
        <w:rPr>
          <w:lang w:val="en-GB"/>
        </w:rPr>
        <w:t xml:space="preserve">ed form. This </w:t>
      </w:r>
      <w:r>
        <w:rPr>
          <w:lang w:val="en-GB"/>
        </w:rPr>
        <w:t>had been</w:t>
      </w:r>
      <w:r w:rsidRPr="00E945B0">
        <w:rPr>
          <w:lang w:val="en-GB"/>
        </w:rPr>
        <w:t xml:space="preserve"> seen as unreasonable during the legislative procedure and therefore the conversion mechanism </w:t>
      </w:r>
      <w:r>
        <w:rPr>
          <w:lang w:val="en-GB"/>
        </w:rPr>
        <w:t>had been</w:t>
      </w:r>
      <w:r w:rsidRPr="00E945B0">
        <w:rPr>
          <w:lang w:val="en-GB"/>
        </w:rPr>
        <w:t xml:space="preserve"> introduced </w:t>
      </w:r>
      <w:r>
        <w:rPr>
          <w:lang w:val="en-GB"/>
        </w:rPr>
        <w:t>in</w:t>
      </w:r>
      <w:r w:rsidRPr="00E945B0">
        <w:rPr>
          <w:lang w:val="en-GB"/>
        </w:rPr>
        <w:t xml:space="preserve">to the provision. Since the entry into force of the Act, at least </w:t>
      </w:r>
      <w:r>
        <w:rPr>
          <w:lang w:val="en-GB"/>
        </w:rPr>
        <w:t>fifteen</w:t>
      </w:r>
      <w:r w:rsidRPr="00E945B0">
        <w:rPr>
          <w:lang w:val="en-GB"/>
        </w:rPr>
        <w:t xml:space="preserve"> marriages had been turned into registered partnerships and </w:t>
      </w:r>
      <w:r>
        <w:rPr>
          <w:lang w:val="en-GB"/>
        </w:rPr>
        <w:t>sixteen</w:t>
      </w:r>
      <w:r w:rsidRPr="00E945B0">
        <w:rPr>
          <w:lang w:val="en-GB"/>
        </w:rPr>
        <w:t xml:space="preserve"> registered partnerships into marriages. In </w:t>
      </w:r>
      <w:r w:rsidRPr="00E945B0">
        <w:rPr>
          <w:lang w:val="en-GB"/>
        </w:rPr>
        <w:lastRenderedPageBreak/>
        <w:t xml:space="preserve">nine cases the spouses had </w:t>
      </w:r>
      <w:r>
        <w:rPr>
          <w:lang w:val="en-GB"/>
        </w:rPr>
        <w:t xml:space="preserve">had </w:t>
      </w:r>
      <w:r w:rsidRPr="00E945B0">
        <w:rPr>
          <w:lang w:val="en-GB"/>
        </w:rPr>
        <w:t xml:space="preserve">children together and in none of these cases </w:t>
      </w:r>
      <w:r>
        <w:rPr>
          <w:lang w:val="en-GB"/>
        </w:rPr>
        <w:t xml:space="preserve">had </w:t>
      </w:r>
      <w:r w:rsidRPr="00E945B0">
        <w:rPr>
          <w:lang w:val="en-GB"/>
        </w:rPr>
        <w:t xml:space="preserve">the </w:t>
      </w:r>
      <w:r>
        <w:rPr>
          <w:lang w:val="en-GB"/>
        </w:rPr>
        <w:t>legal</w:t>
      </w:r>
      <w:r w:rsidRPr="00E945B0">
        <w:rPr>
          <w:lang w:val="en-GB"/>
        </w:rPr>
        <w:t xml:space="preserve"> parent</w:t>
      </w:r>
      <w:r>
        <w:rPr>
          <w:lang w:val="en-GB"/>
        </w:rPr>
        <w:t>-child relationship</w:t>
      </w:r>
      <w:r w:rsidRPr="00E945B0">
        <w:rPr>
          <w:lang w:val="en-GB"/>
        </w:rPr>
        <w:t xml:space="preserve"> changed.</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50</w:t>
      </w:r>
      <w:r w:rsidRPr="00E945B0">
        <w:rPr>
          <w:lang w:val="en-GB"/>
        </w:rPr>
        <w:fldChar w:fldCharType="end"/>
      </w:r>
      <w:r w:rsidRPr="00E945B0">
        <w:rPr>
          <w:lang w:val="en-GB"/>
        </w:rPr>
        <w:t>.  The Government noted that the applicant had on many occasions in her observations erroneously referred to compulsory divorce legislation. However, if the spouse</w:t>
      </w:r>
      <w:r w:rsidR="00C17A2C">
        <w:rPr>
          <w:lang w:val="en-GB"/>
        </w:rPr>
        <w:t>’</w:t>
      </w:r>
      <w:r w:rsidRPr="00E945B0">
        <w:rPr>
          <w:lang w:val="en-GB"/>
        </w:rPr>
        <w:t xml:space="preserve">s consent was received, the marriage turned automatically, </w:t>
      </w:r>
      <w:r w:rsidRPr="00E945B0">
        <w:rPr>
          <w:i/>
          <w:lang w:val="en-GB"/>
        </w:rPr>
        <w:t>ex lege</w:t>
      </w:r>
      <w:r w:rsidRPr="00E945B0">
        <w:rPr>
          <w:lang w:val="en-GB"/>
        </w:rPr>
        <w:t xml:space="preserve">, into a registered partnership. The expression “turns into” </w:t>
      </w:r>
      <w:r w:rsidR="00F13623">
        <w:rPr>
          <w:lang w:val="en-GB"/>
        </w:rPr>
        <w:t xml:space="preserve">in section 2 of the Act </w:t>
      </w:r>
      <w:r w:rsidRPr="00E945B0">
        <w:rPr>
          <w:lang w:val="en-GB"/>
        </w:rPr>
        <w:t>had been explicitly used to illustrate the fact that the legal relationship continued with only a change of title and minor changes to the content of</w:t>
      </w:r>
      <w:r>
        <w:rPr>
          <w:lang w:val="en-GB"/>
        </w:rPr>
        <w:t xml:space="preserve"> the relationship</w:t>
      </w:r>
      <w:r w:rsidRPr="00E945B0">
        <w:rPr>
          <w:lang w:val="en-GB"/>
        </w:rPr>
        <w:t xml:space="preserve">. This continuity preserved certain derived rights such as </w:t>
      </w:r>
      <w:r>
        <w:rPr>
          <w:lang w:val="en-GB"/>
        </w:rPr>
        <w:t xml:space="preserve">a </w:t>
      </w:r>
      <w:r w:rsidRPr="00E945B0">
        <w:rPr>
          <w:lang w:val="en-GB"/>
        </w:rPr>
        <w:t>widower</w:t>
      </w:r>
      <w:r w:rsidR="00C17A2C">
        <w:rPr>
          <w:lang w:val="en-GB"/>
        </w:rPr>
        <w:t>’</w:t>
      </w:r>
      <w:r w:rsidRPr="00E945B0">
        <w:rPr>
          <w:lang w:val="en-GB"/>
        </w:rPr>
        <w:t xml:space="preserve">s pension and did not create a right or obligation to divide the property between </w:t>
      </w:r>
      <w:r>
        <w:rPr>
          <w:lang w:val="en-GB"/>
        </w:rPr>
        <w:t xml:space="preserve">the </w:t>
      </w:r>
      <w:r w:rsidRPr="00E945B0">
        <w:rPr>
          <w:lang w:val="en-GB"/>
        </w:rPr>
        <w:t>spouses. The length of the partnership was calculated from the beginning of the relationship, not from the change of title of it. Moreover, the rights and obligations pertaining to parenthood did not depend on the gender of the parent. Consequently, there was no obligatory divorce in Finland but, on the contrary, the possibility of divorcing was at the applicant</w:t>
      </w:r>
      <w:r w:rsidR="00C17A2C">
        <w:rPr>
          <w:lang w:val="en-GB"/>
        </w:rPr>
        <w:t>’</w:t>
      </w:r>
      <w:r w:rsidRPr="00E945B0">
        <w:rPr>
          <w:lang w:val="en-GB"/>
        </w:rPr>
        <w:t xml:space="preserve">s own discretion. Finnish legislation offered </w:t>
      </w:r>
      <w:r>
        <w:rPr>
          <w:lang w:val="en-GB"/>
        </w:rPr>
        <w:t>the</w:t>
      </w:r>
      <w:r w:rsidRPr="00E945B0">
        <w:rPr>
          <w:lang w:val="en-GB"/>
        </w:rPr>
        <w:t xml:space="preserve"> chance to reconcile both the right to sexual self-determination and the right to marr</w:t>
      </w:r>
      <w:r>
        <w:rPr>
          <w:lang w:val="en-GB"/>
        </w:rPr>
        <w:t>y</w:t>
      </w:r>
      <w:r w:rsidRPr="00E945B0">
        <w:rPr>
          <w:lang w:val="en-GB"/>
        </w:rPr>
        <w:t>, in the form of a registered partnership.</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51</w:t>
      </w:r>
      <w:r w:rsidRPr="00E945B0">
        <w:rPr>
          <w:lang w:val="en-GB"/>
        </w:rPr>
        <w:fldChar w:fldCharType="end"/>
      </w:r>
      <w:r w:rsidRPr="00E945B0">
        <w:rPr>
          <w:lang w:val="en-GB"/>
        </w:rPr>
        <w:t>.  The Government pointed out that the only differences between marriage and registered partnership appeared in two instances: establishment of paternity on the basis of marriage did not apply to registered partnership</w:t>
      </w:r>
      <w:r>
        <w:rPr>
          <w:lang w:val="en-GB"/>
        </w:rPr>
        <w:t>s</w:t>
      </w:r>
      <w:r w:rsidRPr="00E945B0">
        <w:rPr>
          <w:lang w:val="en-GB"/>
        </w:rPr>
        <w:t xml:space="preserve">, nor did the provisions of the Adoption Act or the Names Act </w:t>
      </w:r>
      <w:r>
        <w:rPr>
          <w:lang w:val="en-GB"/>
        </w:rPr>
        <w:t>regarding</w:t>
      </w:r>
      <w:r w:rsidRPr="00E945B0">
        <w:rPr>
          <w:lang w:val="en-GB"/>
        </w:rPr>
        <w:t xml:space="preserve"> the family name of the spouse. However, a registered partner could adopt the other partner</w:t>
      </w:r>
      <w:r w:rsidR="00C17A2C">
        <w:rPr>
          <w:lang w:val="en-GB"/>
        </w:rPr>
        <w:t>’</w:t>
      </w:r>
      <w:r w:rsidRPr="00E945B0">
        <w:rPr>
          <w:lang w:val="en-GB"/>
        </w:rPr>
        <w:t>s child. Th</w:t>
      </w:r>
      <w:r>
        <w:rPr>
          <w:lang w:val="en-GB"/>
        </w:rPr>
        <w:t>os</w:t>
      </w:r>
      <w:r w:rsidRPr="00E945B0">
        <w:rPr>
          <w:lang w:val="en-GB"/>
        </w:rPr>
        <w:t xml:space="preserve">e exceptions were applicable only to those cases in which parenthood had not been established earlier. Paternity presumed on the basis of marriage or established paternity could not be annulled on the ground that the man later underwent gender reassignment and became a woman. Nor </w:t>
      </w:r>
      <w:r>
        <w:rPr>
          <w:lang w:val="en-GB"/>
        </w:rPr>
        <w:t>did</w:t>
      </w:r>
      <w:r w:rsidRPr="00E945B0">
        <w:rPr>
          <w:lang w:val="en-GB"/>
        </w:rPr>
        <w:t xml:space="preserve"> the father</w:t>
      </w:r>
      <w:r w:rsidR="00C17A2C">
        <w:rPr>
          <w:lang w:val="en-GB"/>
        </w:rPr>
        <w:t>’</w:t>
      </w:r>
      <w:r w:rsidRPr="00E945B0">
        <w:rPr>
          <w:lang w:val="en-GB"/>
        </w:rPr>
        <w:t xml:space="preserve">s gender reassignment </w:t>
      </w:r>
      <w:r>
        <w:rPr>
          <w:lang w:val="en-GB"/>
        </w:rPr>
        <w:t xml:space="preserve">have </w:t>
      </w:r>
      <w:r w:rsidRPr="00E945B0">
        <w:rPr>
          <w:lang w:val="en-GB"/>
        </w:rPr>
        <w:t xml:space="preserve">any legal effects on his </w:t>
      </w:r>
      <w:r>
        <w:rPr>
          <w:lang w:val="en-GB"/>
        </w:rPr>
        <w:t>responsibility</w:t>
      </w:r>
      <w:r w:rsidRPr="00E945B0">
        <w:rPr>
          <w:lang w:val="en-GB"/>
        </w:rPr>
        <w:t xml:space="preserve"> for the care, custody or maintenance of a child as such </w:t>
      </w:r>
      <w:r>
        <w:rPr>
          <w:lang w:val="en-GB"/>
        </w:rPr>
        <w:t>responsibility</w:t>
      </w:r>
      <w:r w:rsidRPr="00E945B0">
        <w:rPr>
          <w:lang w:val="en-GB"/>
        </w:rPr>
        <w:t xml:space="preserve"> was based on parenthood, irrespective of sex or form of partnership. The applicant </w:t>
      </w:r>
      <w:r>
        <w:rPr>
          <w:lang w:val="en-GB"/>
        </w:rPr>
        <w:t>was</w:t>
      </w:r>
      <w:r w:rsidRPr="00E945B0">
        <w:rPr>
          <w:lang w:val="en-GB"/>
        </w:rPr>
        <w:t xml:space="preserve"> not even claim</w:t>
      </w:r>
      <w:r>
        <w:rPr>
          <w:lang w:val="en-GB"/>
        </w:rPr>
        <w:t>ing</w:t>
      </w:r>
      <w:r w:rsidRPr="00E945B0">
        <w:rPr>
          <w:lang w:val="en-GB"/>
        </w:rPr>
        <w:t xml:space="preserve"> that her legal rights and obligations would be reduced were her marriage turned into a registered partnership</w:t>
      </w:r>
      <w:r>
        <w:rPr>
          <w:lang w:val="en-GB"/>
        </w:rPr>
        <w:t>,</w:t>
      </w:r>
      <w:r w:rsidRPr="00E945B0">
        <w:rPr>
          <w:lang w:val="en-GB"/>
        </w:rPr>
        <w:t xml:space="preserve"> but rather relied on the social and symbolic significance of marriage. The Government stressed that the applicant</w:t>
      </w:r>
      <w:r w:rsidR="00C17A2C">
        <w:rPr>
          <w:lang w:val="en-GB"/>
        </w:rPr>
        <w:t>’</w:t>
      </w:r>
      <w:r w:rsidRPr="00E945B0">
        <w:rPr>
          <w:lang w:val="en-GB"/>
        </w:rPr>
        <w:t xml:space="preserve">s legal rights and obligations vis-à-vis her child arising either from paternity or parenthood would not be altered and the applicant had not </w:t>
      </w:r>
      <w:r>
        <w:rPr>
          <w:lang w:val="en-GB"/>
        </w:rPr>
        <w:t>produced</w:t>
      </w:r>
      <w:r w:rsidRPr="00E945B0">
        <w:rPr>
          <w:lang w:val="en-GB"/>
        </w:rPr>
        <w:t xml:space="preserve"> any evidence to the contrary. Finnish law did not impose compulsory divorce on the applicant, nor annulment or dissolution of marriage. Nor was there any evidence of possible implications </w:t>
      </w:r>
      <w:r>
        <w:rPr>
          <w:lang w:val="en-GB"/>
        </w:rPr>
        <w:t>for</w:t>
      </w:r>
      <w:r w:rsidRPr="00E945B0">
        <w:rPr>
          <w:lang w:val="en-GB"/>
        </w:rPr>
        <w:t xml:space="preserve"> the applicant</w:t>
      </w:r>
      <w:r w:rsidR="00C17A2C">
        <w:rPr>
          <w:lang w:val="en-GB"/>
        </w:rPr>
        <w:t>’</w:t>
      </w:r>
      <w:r w:rsidRPr="00E945B0">
        <w:rPr>
          <w:lang w:val="en-GB"/>
        </w:rPr>
        <w:t>s private or family life as she could continue her family life without any interference.</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52</w:t>
      </w:r>
      <w:r w:rsidRPr="00E945B0">
        <w:rPr>
          <w:lang w:val="en-GB"/>
        </w:rPr>
        <w:fldChar w:fldCharType="end"/>
      </w:r>
      <w:r w:rsidRPr="00E945B0">
        <w:rPr>
          <w:lang w:val="en-GB"/>
        </w:rPr>
        <w:t xml:space="preserve">.  The Government noted that while the Federal Constitutional Court of </w:t>
      </w:r>
      <w:r w:rsidRPr="0072701E">
        <w:rPr>
          <w:lang w:val="en-GB"/>
        </w:rPr>
        <w:t>Germany</w:t>
      </w:r>
      <w:r w:rsidR="00ED7DAE" w:rsidRPr="000E4B8F">
        <w:rPr>
          <w:lang w:val="en-GB"/>
        </w:rPr>
        <w:t>,</w:t>
      </w:r>
      <w:r w:rsidRPr="004926A0">
        <w:rPr>
          <w:lang w:val="en-GB"/>
        </w:rPr>
        <w:t xml:space="preserve"> </w:t>
      </w:r>
      <w:r w:rsidR="00C874D2" w:rsidRPr="00A952B1">
        <w:rPr>
          <w:lang w:val="en-GB"/>
        </w:rPr>
        <w:t xml:space="preserve">in its judgment </w:t>
      </w:r>
      <w:r w:rsidR="00C874D2" w:rsidRPr="00242D29">
        <w:rPr>
          <w:szCs w:val="24"/>
          <w:lang w:val="en-US"/>
        </w:rPr>
        <w:t>of 27 May 2008</w:t>
      </w:r>
      <w:r w:rsidR="00ED7DAE" w:rsidRPr="00242D29">
        <w:rPr>
          <w:szCs w:val="24"/>
          <w:lang w:val="en-US"/>
        </w:rPr>
        <w:t>,</w:t>
      </w:r>
      <w:r w:rsidR="00C874D2" w:rsidRPr="00242D29">
        <w:rPr>
          <w:szCs w:val="24"/>
          <w:lang w:val="en-US"/>
        </w:rPr>
        <w:t xml:space="preserve"> </w:t>
      </w:r>
      <w:r w:rsidRPr="004926A0">
        <w:rPr>
          <w:lang w:val="en-GB"/>
        </w:rPr>
        <w:t>had</w:t>
      </w:r>
      <w:r w:rsidRPr="00E945B0">
        <w:rPr>
          <w:lang w:val="en-GB"/>
        </w:rPr>
        <w:t xml:space="preserve"> found a similar situation to be unconstitutional, it had left it to the legislature to decide by what </w:t>
      </w:r>
      <w:r w:rsidRPr="00E945B0">
        <w:rPr>
          <w:lang w:val="en-GB"/>
        </w:rPr>
        <w:lastRenderedPageBreak/>
        <w:t>means to remedy the situation. According to that court, a marriage could be transf</w:t>
      </w:r>
      <w:r>
        <w:rPr>
          <w:lang w:val="en-GB"/>
        </w:rPr>
        <w:t>ormed</w:t>
      </w:r>
      <w:r w:rsidRPr="00E945B0">
        <w:rPr>
          <w:lang w:val="en-GB"/>
        </w:rPr>
        <w:t xml:space="preserve"> </w:t>
      </w:r>
      <w:r>
        <w:rPr>
          <w:lang w:val="en-GB"/>
        </w:rPr>
        <w:t>in</w:t>
      </w:r>
      <w:r w:rsidRPr="00E945B0">
        <w:rPr>
          <w:lang w:val="en-GB"/>
        </w:rPr>
        <w:t xml:space="preserve">to a registered civil partnership or a legally secured civil partnership </w:t>
      </w:r>
      <w:r w:rsidRPr="00E945B0">
        <w:rPr>
          <w:i/>
          <w:lang w:val="en-GB"/>
        </w:rPr>
        <w:t>sui generis</w:t>
      </w:r>
      <w:r w:rsidRPr="00E945B0">
        <w:rPr>
          <w:lang w:val="en-GB"/>
        </w:rPr>
        <w:t xml:space="preserve"> but the rights acquired</w:t>
      </w:r>
      <w:r>
        <w:rPr>
          <w:lang w:val="en-GB"/>
        </w:rPr>
        <w:t xml:space="preserve"> by the couple</w:t>
      </w:r>
      <w:r w:rsidRPr="00E945B0">
        <w:rPr>
          <w:lang w:val="en-GB"/>
        </w:rPr>
        <w:t xml:space="preserve"> and </w:t>
      </w:r>
      <w:r>
        <w:rPr>
          <w:lang w:val="en-GB"/>
        </w:rPr>
        <w:t xml:space="preserve">the </w:t>
      </w:r>
      <w:r w:rsidRPr="00E945B0">
        <w:rPr>
          <w:lang w:val="en-GB"/>
        </w:rPr>
        <w:t xml:space="preserve">duties imposed </w:t>
      </w:r>
      <w:r>
        <w:rPr>
          <w:lang w:val="en-GB"/>
        </w:rPr>
        <w:t>on them by</w:t>
      </w:r>
      <w:r w:rsidRPr="00E945B0">
        <w:rPr>
          <w:lang w:val="en-GB"/>
        </w:rPr>
        <w:t xml:space="preserve"> the marriage</w:t>
      </w:r>
      <w:r>
        <w:rPr>
          <w:lang w:val="en-GB"/>
        </w:rPr>
        <w:t xml:space="preserve"> had to</w:t>
      </w:r>
      <w:r w:rsidRPr="00E945B0">
        <w:rPr>
          <w:lang w:val="en-GB"/>
        </w:rPr>
        <w:t xml:space="preserve"> remain </w:t>
      </w:r>
      <w:r>
        <w:rPr>
          <w:lang w:val="en-GB"/>
        </w:rPr>
        <w:t>intact</w:t>
      </w:r>
      <w:r w:rsidRPr="00E945B0">
        <w:rPr>
          <w:lang w:val="en-GB"/>
        </w:rPr>
        <w:t>. The Finnish provisions were thus in line with the said judgment of the Federal Constitutional Court of Germany.</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53</w:t>
      </w:r>
      <w:r w:rsidRPr="00E945B0">
        <w:rPr>
          <w:lang w:val="en-GB"/>
        </w:rPr>
        <w:fldChar w:fldCharType="end"/>
      </w:r>
      <w:r w:rsidRPr="00E945B0">
        <w:rPr>
          <w:lang w:val="en-GB"/>
        </w:rPr>
        <w:t xml:space="preserve">.  The Government concluded that there was still no European consensus on allowing </w:t>
      </w:r>
      <w:r>
        <w:rPr>
          <w:lang w:val="en-GB"/>
        </w:rPr>
        <w:t xml:space="preserve">a </w:t>
      </w:r>
      <w:r w:rsidRPr="00E945B0">
        <w:rPr>
          <w:lang w:val="en-GB"/>
        </w:rPr>
        <w:t>trans</w:t>
      </w:r>
      <w:r>
        <w:rPr>
          <w:lang w:val="en-GB"/>
        </w:rPr>
        <w:t>sexual</w:t>
      </w:r>
      <w:r w:rsidR="00C17A2C">
        <w:rPr>
          <w:lang w:val="en-GB"/>
        </w:rPr>
        <w:t>’</w:t>
      </w:r>
      <w:r>
        <w:rPr>
          <w:lang w:val="en-GB"/>
        </w:rPr>
        <w:t>s</w:t>
      </w:r>
      <w:r w:rsidRPr="00E945B0">
        <w:rPr>
          <w:lang w:val="en-GB"/>
        </w:rPr>
        <w:t xml:space="preserve"> marriage to subsist </w:t>
      </w:r>
      <w:r>
        <w:rPr>
          <w:lang w:val="en-GB"/>
        </w:rPr>
        <w:t xml:space="preserve">following </w:t>
      </w:r>
      <w:r w:rsidRPr="00E945B0">
        <w:rPr>
          <w:lang w:val="en-GB"/>
        </w:rPr>
        <w:t>post-operative legal gender recognition or allowing same-sex marriages. Consequently, the State</w:t>
      </w:r>
      <w:r w:rsidR="00C17A2C">
        <w:rPr>
          <w:lang w:val="en-GB"/>
        </w:rPr>
        <w:t>’</w:t>
      </w:r>
      <w:r w:rsidRPr="00E945B0">
        <w:rPr>
          <w:lang w:val="en-GB"/>
        </w:rPr>
        <w:t>s margin of appreciation should be wide and it should be able to regulate the effects of the change of gender on pre-existing marriages.</w:t>
      </w:r>
    </w:p>
    <w:p w:rsidR="00910348" w:rsidRPr="00E945B0" w:rsidRDefault="00910348" w:rsidP="00910348">
      <w:pPr>
        <w:pStyle w:val="ECHRHeading3"/>
        <w:rPr>
          <w:lang w:val="en-GB"/>
        </w:rPr>
      </w:pPr>
      <w:r w:rsidRPr="00E945B0">
        <w:rPr>
          <w:lang w:val="en-GB"/>
        </w:rPr>
        <w:t>3.  Third party observations</w:t>
      </w:r>
    </w:p>
    <w:p w:rsidR="00910348" w:rsidRPr="00E945B0" w:rsidRDefault="00910348" w:rsidP="00910348">
      <w:pPr>
        <w:pStyle w:val="ECHRHeading4"/>
        <w:rPr>
          <w:lang w:val="en-GB"/>
        </w:rPr>
      </w:pPr>
      <w:r w:rsidRPr="00E945B0">
        <w:rPr>
          <w:lang w:val="en-GB"/>
        </w:rPr>
        <w:t>(a)  Amnesty International</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54</w:t>
      </w:r>
      <w:r w:rsidRPr="00E945B0">
        <w:rPr>
          <w:lang w:val="en-GB"/>
        </w:rPr>
        <w:fldChar w:fldCharType="end"/>
      </w:r>
      <w:r w:rsidRPr="00E945B0">
        <w:rPr>
          <w:lang w:val="en-GB"/>
        </w:rPr>
        <w:t>.  Amnesty International noted that all human rights treaties should,</w:t>
      </w:r>
      <w:r>
        <w:rPr>
          <w:lang w:val="en-GB"/>
        </w:rPr>
        <w:t xml:space="preserve"> as far as</w:t>
      </w:r>
      <w:r w:rsidRPr="00E945B0">
        <w:rPr>
          <w:lang w:val="en-GB"/>
        </w:rPr>
        <w:t xml:space="preserve"> possible, be interpreted in harmony</w:t>
      </w:r>
      <w:r>
        <w:rPr>
          <w:lang w:val="en-GB"/>
        </w:rPr>
        <w:t xml:space="preserve"> in order</w:t>
      </w:r>
      <w:r w:rsidRPr="00E945B0">
        <w:rPr>
          <w:lang w:val="en-GB"/>
        </w:rPr>
        <w:t xml:space="preserve"> to give rise to a single set of compatible obligations. It was well-established in international human rights law that the general prohibition of discrimination included a prohibition of discrimination on the grounds of sexual orientation. Both gender identity and sexual orientation related to highly subjective notions of self. Often discrimination based on sexual orientation or gender identity found its expression in relation to family relations</w:t>
      </w:r>
      <w:r>
        <w:rPr>
          <w:lang w:val="en-GB"/>
        </w:rPr>
        <w:t>hips</w:t>
      </w:r>
      <w:r w:rsidRPr="00E945B0">
        <w:rPr>
          <w:lang w:val="en-GB"/>
        </w:rPr>
        <w:t xml:space="preserve">. In the vast majority of those cases, the adjudicating bodies concluded that the States had not put forward reasonable, convincing, objective or weighty arguments to justify discrimination against individuals </w:t>
      </w:r>
      <w:r>
        <w:rPr>
          <w:lang w:val="en-GB"/>
        </w:rPr>
        <w:t>on grounds of</w:t>
      </w:r>
      <w:r w:rsidRPr="00E945B0">
        <w:rPr>
          <w:lang w:val="en-GB"/>
        </w:rPr>
        <w:t xml:space="preserve"> their sexual orientation. Stereotypes constituted a form of discrimination when they resulted in differentiated treatment that nullified or impaired the enjoyment of human rights or fundamental freedoms. Many differences in treatment based on sexual orientation had their roots in stereotypes about gender roles.</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55</w:t>
      </w:r>
      <w:r w:rsidRPr="00E945B0">
        <w:rPr>
          <w:lang w:val="en-GB"/>
        </w:rPr>
        <w:fldChar w:fldCharType="end"/>
      </w:r>
      <w:r w:rsidRPr="00E945B0">
        <w:rPr>
          <w:lang w:val="en-GB"/>
        </w:rPr>
        <w:t>.  Same-sex relationships were gaining legal recognition equal to that of different-sex couples in many jurisdictions but the laws in many countries still made many distinctions. If two individuals in a couple identified as women, they were assumed to be lesbian. This conflation affected a person</w:t>
      </w:r>
      <w:r w:rsidR="00C17A2C">
        <w:rPr>
          <w:lang w:val="en-GB"/>
        </w:rPr>
        <w:t>’</w:t>
      </w:r>
      <w:r w:rsidRPr="00E945B0">
        <w:rPr>
          <w:lang w:val="en-GB"/>
        </w:rPr>
        <w:t>s dignity and rights by forcing a gender definition that might not align with the individual</w:t>
      </w:r>
      <w:r w:rsidR="00C17A2C">
        <w:rPr>
          <w:lang w:val="en-GB"/>
        </w:rPr>
        <w:t>’</w:t>
      </w:r>
      <w:r w:rsidRPr="00E945B0">
        <w:rPr>
          <w:lang w:val="en-GB"/>
        </w:rPr>
        <w:t>s sense of self. Such conflation was also unnecessary if the law conferred the same status and rights on all couples. States could not impose one particular vision of rights on those who did not share that vision. Traditions and values could not justify limitation of rights even if these traditions and values were shared by the majority of society.</w:t>
      </w:r>
    </w:p>
    <w:p w:rsidR="00910348" w:rsidRPr="00E945B0" w:rsidRDefault="00910348" w:rsidP="00910348">
      <w:pPr>
        <w:pStyle w:val="ECHRHeading4"/>
        <w:rPr>
          <w:lang w:val="en-GB"/>
        </w:rPr>
      </w:pPr>
      <w:r w:rsidRPr="00E945B0">
        <w:rPr>
          <w:lang w:val="en-GB"/>
        </w:rPr>
        <w:lastRenderedPageBreak/>
        <w:t>(b)  Transgender Europe</w:t>
      </w:r>
    </w:p>
    <w:p w:rsidR="00910348" w:rsidRPr="00E945B0" w:rsidRDefault="00BA54F6" w:rsidP="00910348">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56</w:t>
      </w:r>
      <w:r>
        <w:rPr>
          <w:lang w:val="en-GB"/>
        </w:rPr>
        <w:fldChar w:fldCharType="end"/>
      </w:r>
      <w:r>
        <w:rPr>
          <w:lang w:val="en-GB"/>
        </w:rPr>
        <w:t>.  </w:t>
      </w:r>
      <w:r w:rsidR="00910348" w:rsidRPr="000913C7">
        <w:rPr>
          <w:lang w:val="en-GB"/>
        </w:rPr>
        <w:t>Transgender Europe</w:t>
      </w:r>
      <w:r w:rsidR="00910348" w:rsidRPr="00E945B0">
        <w:rPr>
          <w:lang w:val="en-GB"/>
        </w:rPr>
        <w:t xml:space="preserve"> </w:t>
      </w:r>
      <w:r w:rsidR="006D0DEA">
        <w:rPr>
          <w:lang w:val="en-GB"/>
        </w:rPr>
        <w:t xml:space="preserve">submitted </w:t>
      </w:r>
      <w:r w:rsidR="000913C7">
        <w:rPr>
          <w:lang w:val="en-GB"/>
        </w:rPr>
        <w:t>in its observation</w:t>
      </w:r>
      <w:r w:rsidR="003357CF">
        <w:rPr>
          <w:lang w:val="en-GB"/>
        </w:rPr>
        <w:t>s</w:t>
      </w:r>
      <w:r w:rsidR="000913C7">
        <w:rPr>
          <w:lang w:val="en-GB"/>
        </w:rPr>
        <w:t xml:space="preserve"> comparative information about the situation in different </w:t>
      </w:r>
      <w:r w:rsidR="00910348" w:rsidRPr="00E945B0">
        <w:rPr>
          <w:lang w:val="en-GB"/>
        </w:rPr>
        <w:t xml:space="preserve">Council of Europe member States </w:t>
      </w:r>
      <w:r w:rsidR="000913C7">
        <w:rPr>
          <w:lang w:val="en-GB"/>
        </w:rPr>
        <w:t xml:space="preserve">as far as </w:t>
      </w:r>
      <w:r w:rsidR="00910348" w:rsidRPr="00E945B0">
        <w:rPr>
          <w:lang w:val="en-GB"/>
        </w:rPr>
        <w:t xml:space="preserve">legal recognition of the </w:t>
      </w:r>
      <w:r w:rsidR="000913C7">
        <w:rPr>
          <w:lang w:val="en-GB"/>
        </w:rPr>
        <w:t xml:space="preserve">new </w:t>
      </w:r>
      <w:r w:rsidR="00910348" w:rsidRPr="00E945B0">
        <w:rPr>
          <w:lang w:val="en-GB"/>
        </w:rPr>
        <w:t>gender</w:t>
      </w:r>
      <w:r w:rsidR="000913C7">
        <w:rPr>
          <w:lang w:val="en-GB"/>
        </w:rPr>
        <w:t xml:space="preserve"> of </w:t>
      </w:r>
      <w:r w:rsidR="000913C7" w:rsidRPr="00E945B0">
        <w:rPr>
          <w:lang w:val="en-GB"/>
        </w:rPr>
        <w:t>transgender persons</w:t>
      </w:r>
      <w:r w:rsidR="003357CF">
        <w:rPr>
          <w:lang w:val="en-GB"/>
        </w:rPr>
        <w:t xml:space="preserve"> was concerned. </w:t>
      </w:r>
      <w:r>
        <w:rPr>
          <w:lang w:val="en-GB"/>
        </w:rPr>
        <w:t xml:space="preserve">In some Council of Europe member States transgender persons could not obtain any legal recognition of their gender while in other member States </w:t>
      </w:r>
      <w:r w:rsidRPr="00E945B0">
        <w:rPr>
          <w:lang w:val="en-GB"/>
        </w:rPr>
        <w:t>legal gender recognition</w:t>
      </w:r>
      <w:r w:rsidRPr="00F34515">
        <w:rPr>
          <w:lang w:val="en-GB"/>
        </w:rPr>
        <w:t xml:space="preserve"> </w:t>
      </w:r>
      <w:r>
        <w:rPr>
          <w:lang w:val="en-GB"/>
        </w:rPr>
        <w:t xml:space="preserve">was dealt with </w:t>
      </w:r>
      <w:r w:rsidRPr="00E945B0">
        <w:rPr>
          <w:lang w:val="en-GB"/>
        </w:rPr>
        <w:t xml:space="preserve">in </w:t>
      </w:r>
      <w:r w:rsidR="00D32C3C">
        <w:rPr>
          <w:lang w:val="en-GB"/>
        </w:rPr>
        <w:t xml:space="preserve">a variety of </w:t>
      </w:r>
      <w:r w:rsidRPr="00E945B0">
        <w:rPr>
          <w:lang w:val="en-GB"/>
        </w:rPr>
        <w:t>different ways</w:t>
      </w:r>
      <w:r>
        <w:rPr>
          <w:lang w:val="en-GB"/>
        </w:rPr>
        <w:t xml:space="preserve">. </w:t>
      </w:r>
      <w:r w:rsidR="003357CF">
        <w:rPr>
          <w:lang w:val="en-GB"/>
        </w:rPr>
        <w:t xml:space="preserve">Some of </w:t>
      </w:r>
      <w:r w:rsidR="003357CF" w:rsidRPr="00E945B0">
        <w:rPr>
          <w:lang w:val="en-GB"/>
        </w:rPr>
        <w:t>the member States either allowed same-sex couples to marr</w:t>
      </w:r>
      <w:r w:rsidR="003357CF">
        <w:rPr>
          <w:lang w:val="en-GB"/>
        </w:rPr>
        <w:t>y</w:t>
      </w:r>
      <w:r w:rsidR="003357CF" w:rsidRPr="00E945B0">
        <w:rPr>
          <w:lang w:val="en-GB"/>
        </w:rPr>
        <w:t xml:space="preserve"> or offered the option of a registered partnership</w:t>
      </w:r>
      <w:r w:rsidR="003357CF">
        <w:rPr>
          <w:lang w:val="en-GB"/>
        </w:rPr>
        <w:t xml:space="preserve">. </w:t>
      </w:r>
      <w:r w:rsidRPr="00E945B0">
        <w:rPr>
          <w:lang w:val="en-GB"/>
        </w:rPr>
        <w:t>Of th</w:t>
      </w:r>
      <w:r>
        <w:rPr>
          <w:lang w:val="en-GB"/>
        </w:rPr>
        <w:t>e</w:t>
      </w:r>
      <w:r w:rsidRPr="00E945B0">
        <w:rPr>
          <w:lang w:val="en-GB"/>
        </w:rPr>
        <w:t xml:space="preserve"> States which offered</w:t>
      </w:r>
      <w:r>
        <w:rPr>
          <w:lang w:val="en-GB"/>
        </w:rPr>
        <w:t xml:space="preserve"> the option of a</w:t>
      </w:r>
      <w:r w:rsidRPr="00E945B0">
        <w:rPr>
          <w:lang w:val="en-GB"/>
        </w:rPr>
        <w:t xml:space="preserve"> registered partnership, </w:t>
      </w:r>
      <w:r>
        <w:rPr>
          <w:lang w:val="en-GB"/>
        </w:rPr>
        <w:t xml:space="preserve">some </w:t>
      </w:r>
      <w:r w:rsidRPr="00E945B0">
        <w:rPr>
          <w:lang w:val="en-GB"/>
        </w:rPr>
        <w:t xml:space="preserve">States currently required mandatory termination of marriage while </w:t>
      </w:r>
      <w:r>
        <w:rPr>
          <w:lang w:val="en-GB"/>
        </w:rPr>
        <w:t xml:space="preserve">some other </w:t>
      </w:r>
      <w:r w:rsidRPr="00E945B0">
        <w:rPr>
          <w:lang w:val="en-GB"/>
        </w:rPr>
        <w:t>States did not.</w:t>
      </w:r>
      <w:r w:rsidR="00910348" w:rsidRPr="00E945B0">
        <w:rPr>
          <w:lang w:val="en-GB"/>
        </w:rPr>
        <w:t xml:space="preserve"> </w:t>
      </w:r>
      <w:r w:rsidR="00D64CB3">
        <w:rPr>
          <w:lang w:val="en-GB"/>
        </w:rPr>
        <w:t>Generally, t</w:t>
      </w:r>
      <w:r w:rsidR="00910348" w:rsidRPr="00E945B0">
        <w:rPr>
          <w:lang w:val="en-GB"/>
        </w:rPr>
        <w:t xml:space="preserve">here was a strong tendency among the Council of Europe member States to review their approach as a result of Recommendation (2010)5 of the Committee of </w:t>
      </w:r>
      <w:r w:rsidR="00910348" w:rsidRPr="0072701E">
        <w:rPr>
          <w:lang w:val="en-GB"/>
        </w:rPr>
        <w:t>Ministers</w:t>
      </w:r>
      <w:r w:rsidR="00304463" w:rsidRPr="000E4B8F">
        <w:rPr>
          <w:lang w:val="en-GB"/>
        </w:rPr>
        <w:t xml:space="preserve"> </w:t>
      </w:r>
      <w:r w:rsidR="00304463" w:rsidRPr="00A952B1">
        <w:rPr>
          <w:lang w:val="en-GB"/>
        </w:rPr>
        <w:t>on measures to combat discrimination on grounds of sexual orientation or gender identity, adopted on 31 March 2010</w:t>
      </w:r>
      <w:r w:rsidR="00910348" w:rsidRPr="00A952B1">
        <w:rPr>
          <w:lang w:val="en-GB"/>
        </w:rPr>
        <w:t>.</w:t>
      </w:r>
      <w:r w:rsidR="00910348" w:rsidRPr="0072701E">
        <w:rPr>
          <w:lang w:val="en-GB"/>
        </w:rPr>
        <w:t xml:space="preserve"> Most of the new laws, revisions</w:t>
      </w:r>
      <w:r w:rsidR="00910348" w:rsidRPr="00E945B0">
        <w:rPr>
          <w:lang w:val="en-GB"/>
        </w:rPr>
        <w:t xml:space="preserve"> and </w:t>
      </w:r>
      <w:r w:rsidR="00910348">
        <w:rPr>
          <w:lang w:val="en-GB"/>
        </w:rPr>
        <w:t>current</w:t>
      </w:r>
      <w:r w:rsidR="00910348" w:rsidRPr="00E945B0">
        <w:rPr>
          <w:lang w:val="en-GB"/>
        </w:rPr>
        <w:t xml:space="preserve"> political discussions showed that member States took </w:t>
      </w:r>
      <w:r w:rsidR="00910348">
        <w:rPr>
          <w:lang w:val="en-GB"/>
        </w:rPr>
        <w:t>greater</w:t>
      </w:r>
      <w:r w:rsidR="00910348" w:rsidRPr="00E945B0">
        <w:rPr>
          <w:lang w:val="en-GB"/>
        </w:rPr>
        <w:t xml:space="preserve"> account</w:t>
      </w:r>
      <w:r w:rsidR="00910348">
        <w:rPr>
          <w:lang w:val="en-GB"/>
        </w:rPr>
        <w:t xml:space="preserve"> of</w:t>
      </w:r>
      <w:r w:rsidR="00910348" w:rsidRPr="00E945B0">
        <w:rPr>
          <w:lang w:val="en-GB"/>
        </w:rPr>
        <w:t xml:space="preserve"> the right to self-determination of transgender individuals when designing legislation.</w:t>
      </w:r>
    </w:p>
    <w:p w:rsidR="00910348" w:rsidRPr="00E945B0" w:rsidRDefault="00910348" w:rsidP="00910348">
      <w:pPr>
        <w:pStyle w:val="ECHRHeading2"/>
        <w:rPr>
          <w:lang w:val="en-GB"/>
        </w:rPr>
      </w:pPr>
      <w:r w:rsidRPr="00E945B0">
        <w:rPr>
          <w:lang w:val="en-GB"/>
        </w:rPr>
        <w:t>C.  The Court</w:t>
      </w:r>
      <w:r w:rsidR="00C17A2C">
        <w:rPr>
          <w:lang w:val="en-GB"/>
        </w:rPr>
        <w:t>’</w:t>
      </w:r>
      <w:r w:rsidRPr="00E945B0">
        <w:rPr>
          <w:lang w:val="en-GB"/>
        </w:rPr>
        <w:t>s assessment</w:t>
      </w:r>
    </w:p>
    <w:p w:rsidR="00910348" w:rsidRPr="00E945B0" w:rsidRDefault="00910348" w:rsidP="00910348">
      <w:pPr>
        <w:pStyle w:val="ECHRHeading3"/>
        <w:rPr>
          <w:lang w:val="en-GB"/>
        </w:rPr>
      </w:pPr>
      <w:r w:rsidRPr="00E945B0">
        <w:rPr>
          <w:lang w:val="en-GB"/>
        </w:rPr>
        <w:t>1.  </w:t>
      </w:r>
      <w:r w:rsidRPr="00E945B0">
        <w:rPr>
          <w:rStyle w:val="s1a844bc0"/>
          <w:lang w:val="en-GB"/>
        </w:rPr>
        <w:t>Applicability of Article 8 of the Convention</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57</w:t>
      </w:r>
      <w:r w:rsidRPr="00E945B0">
        <w:rPr>
          <w:rStyle w:val="sb8d990e2"/>
          <w:lang w:val="en-GB"/>
        </w:rPr>
        <w:fldChar w:fldCharType="end"/>
      </w:r>
      <w:r w:rsidRPr="00E945B0">
        <w:rPr>
          <w:rStyle w:val="sb8d990e2"/>
          <w:lang w:val="en-GB"/>
        </w:rPr>
        <w:t>.  In the instant case the applicant formulated her complaint under Article 8 of the Convention and the Government did not dispute the applicability of th</w:t>
      </w:r>
      <w:r>
        <w:rPr>
          <w:rStyle w:val="sb8d990e2"/>
          <w:lang w:val="en-GB"/>
        </w:rPr>
        <w:t>at</w:t>
      </w:r>
      <w:r w:rsidRPr="00E945B0">
        <w:rPr>
          <w:rStyle w:val="sb8d990e2"/>
          <w:lang w:val="en-GB"/>
        </w:rPr>
        <w:t xml:space="preserve"> provision.</w:t>
      </w:r>
    </w:p>
    <w:p w:rsidR="00910348" w:rsidRPr="00E945B0" w:rsidRDefault="00910348" w:rsidP="00910348">
      <w:pPr>
        <w:pStyle w:val="ECHRPara"/>
        <w:rPr>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58</w:t>
      </w:r>
      <w:r w:rsidRPr="00E945B0">
        <w:rPr>
          <w:rStyle w:val="sb8d990e2"/>
          <w:lang w:val="en-GB"/>
        </w:rPr>
        <w:fldChar w:fldCharType="end"/>
      </w:r>
      <w:r w:rsidRPr="00E945B0">
        <w:rPr>
          <w:rStyle w:val="sb8d990e2"/>
          <w:lang w:val="en-GB"/>
        </w:rPr>
        <w:t xml:space="preserve">.  The Court notes that the applicant sought to have her identity </w:t>
      </w:r>
      <w:r w:rsidRPr="00E945B0">
        <w:rPr>
          <w:lang w:val="en-GB"/>
        </w:rPr>
        <w:t xml:space="preserve">number changed from a male to a female one </w:t>
      </w:r>
      <w:r>
        <w:rPr>
          <w:lang w:val="en-GB"/>
        </w:rPr>
        <w:t>because,</w:t>
      </w:r>
      <w:r w:rsidRPr="00E945B0">
        <w:rPr>
          <w:lang w:val="en-GB"/>
        </w:rPr>
        <w:t xml:space="preserve"> having undergone </w:t>
      </w:r>
      <w:r>
        <w:rPr>
          <w:lang w:val="en-GB"/>
        </w:rPr>
        <w:t>male-</w:t>
      </w:r>
      <w:r w:rsidRPr="00E945B0">
        <w:rPr>
          <w:lang w:val="en-GB"/>
        </w:rPr>
        <w:t>to</w:t>
      </w:r>
      <w:r>
        <w:rPr>
          <w:lang w:val="en-GB"/>
        </w:rPr>
        <w:t>-</w:t>
      </w:r>
      <w:r w:rsidRPr="00E945B0">
        <w:rPr>
          <w:lang w:val="en-GB"/>
        </w:rPr>
        <w:t xml:space="preserve">female gender reassignment surgery, her old male identity number no longer corresponded to </w:t>
      </w:r>
      <w:r>
        <w:rPr>
          <w:lang w:val="en-GB"/>
        </w:rPr>
        <w:t xml:space="preserve">the actual </w:t>
      </w:r>
      <w:r w:rsidRPr="00E945B0">
        <w:rPr>
          <w:lang w:val="en-GB"/>
        </w:rPr>
        <w:t>reality.</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59</w:t>
      </w:r>
      <w:r w:rsidRPr="00E945B0">
        <w:rPr>
          <w:rStyle w:val="sb8d990e2"/>
          <w:lang w:val="en-GB"/>
        </w:rPr>
        <w:fldChar w:fldCharType="end"/>
      </w:r>
      <w:r w:rsidRPr="00E945B0">
        <w:rPr>
          <w:rStyle w:val="sb8d990e2"/>
          <w:lang w:val="en-GB"/>
        </w:rPr>
        <w:t>.  The Court has held on numerous occasions that a post-operative trans</w:t>
      </w:r>
      <w:r>
        <w:rPr>
          <w:rStyle w:val="sb8d990e2"/>
          <w:lang w:val="en-GB"/>
        </w:rPr>
        <w:t>sexual</w:t>
      </w:r>
      <w:r w:rsidRPr="00E945B0">
        <w:rPr>
          <w:rStyle w:val="sb8d990e2"/>
          <w:lang w:val="en-GB"/>
        </w:rPr>
        <w:t xml:space="preserve"> may claim to be a victim of a breach of his or her right to respect for private life contrary to Article 8 of the Convention </w:t>
      </w:r>
      <w:r>
        <w:rPr>
          <w:rStyle w:val="sb8d990e2"/>
          <w:lang w:val="en-GB"/>
        </w:rPr>
        <w:t>on account of</w:t>
      </w:r>
      <w:r w:rsidRPr="00E945B0">
        <w:rPr>
          <w:rStyle w:val="sb8d990e2"/>
          <w:lang w:val="en-GB"/>
        </w:rPr>
        <w:t xml:space="preserve"> the lack of legal recognition of his or her change of gender (see</w:t>
      </w:r>
      <w:r>
        <w:rPr>
          <w:rStyle w:val="sb8d990e2"/>
          <w:lang w:val="en-GB"/>
        </w:rPr>
        <w:t>,</w:t>
      </w:r>
      <w:r w:rsidRPr="00E945B0">
        <w:rPr>
          <w:rStyle w:val="sb8d990e2"/>
          <w:lang w:val="en-GB"/>
        </w:rPr>
        <w:t xml:space="preserve"> for example</w:t>
      </w:r>
      <w:r>
        <w:rPr>
          <w:rStyle w:val="sb8d990e2"/>
          <w:lang w:val="en-GB"/>
        </w:rPr>
        <w:t>,</w:t>
      </w:r>
      <w:r w:rsidRPr="00E945B0">
        <w:rPr>
          <w:rStyle w:val="sb8d990e2"/>
          <w:lang w:val="en-GB"/>
        </w:rPr>
        <w:t xml:space="preserve"> </w:t>
      </w:r>
      <w:r w:rsidRPr="00855AE4">
        <w:rPr>
          <w:rStyle w:val="s6b621b36"/>
          <w:i/>
          <w:lang w:val="en-GB"/>
        </w:rPr>
        <w:t>Grant v. the United Kingdom</w:t>
      </w:r>
      <w:r w:rsidRPr="00E945B0">
        <w:rPr>
          <w:rStyle w:val="s6b621b36"/>
          <w:lang w:val="en-GB"/>
        </w:rPr>
        <w:t xml:space="preserve">, </w:t>
      </w:r>
      <w:r w:rsidRPr="00E945B0">
        <w:rPr>
          <w:rStyle w:val="sb8d990e2"/>
          <w:lang w:val="en-GB"/>
        </w:rPr>
        <w:t>no. 32570/03, § 40, ECHR 2006-VII</w:t>
      </w:r>
      <w:r w:rsidR="008630A2">
        <w:rPr>
          <w:rStyle w:val="sb8d990e2"/>
          <w:lang w:val="en-GB"/>
        </w:rPr>
        <w:t>;</w:t>
      </w:r>
      <w:r w:rsidRPr="00E945B0">
        <w:rPr>
          <w:rStyle w:val="sb8d990e2"/>
          <w:lang w:val="en-GB"/>
        </w:rPr>
        <w:t xml:space="preserve"> and </w:t>
      </w:r>
      <w:r w:rsidRPr="00E945B0">
        <w:rPr>
          <w:i/>
          <w:szCs w:val="24"/>
          <w:lang w:val="en-GB"/>
        </w:rPr>
        <w:t>L. v. Lithuania</w:t>
      </w:r>
      <w:r w:rsidRPr="00E945B0">
        <w:rPr>
          <w:szCs w:val="24"/>
          <w:lang w:val="en-GB"/>
        </w:rPr>
        <w:t xml:space="preserve">, no. 27527/03, § 59, </w:t>
      </w:r>
      <w:r w:rsidRPr="00E945B0">
        <w:rPr>
          <w:lang w:val="en-GB"/>
        </w:rPr>
        <w:t>ECHR 2007</w:t>
      </w:r>
      <w:r w:rsidRPr="00E945B0">
        <w:rPr>
          <w:lang w:val="en-GB"/>
        </w:rPr>
        <w:noBreakHyphen/>
        <w:t>IV</w:t>
      </w:r>
      <w:r w:rsidRPr="00E945B0">
        <w:rPr>
          <w:szCs w:val="24"/>
          <w:lang w:val="en-GB"/>
        </w:rPr>
        <w:t>)</w:t>
      </w:r>
      <w:r w:rsidRPr="00E945B0">
        <w:rPr>
          <w:rStyle w:val="sb8d990e2"/>
          <w:lang w:val="en-GB"/>
        </w:rPr>
        <w:t>. In the present case it is not disputed that the applicant</w:t>
      </w:r>
      <w:r w:rsidR="00C17A2C">
        <w:rPr>
          <w:rStyle w:val="sb8d990e2"/>
          <w:lang w:val="en-GB"/>
        </w:rPr>
        <w:t>’</w:t>
      </w:r>
      <w:r w:rsidRPr="00E945B0">
        <w:rPr>
          <w:rStyle w:val="sb8d990e2"/>
          <w:lang w:val="en-GB"/>
        </w:rPr>
        <w:t>s situation falls within the notion of “private life” within the meaning of Article 8 of the Convention.</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60</w:t>
      </w:r>
      <w:r w:rsidRPr="00E945B0">
        <w:rPr>
          <w:rStyle w:val="sb8d990e2"/>
          <w:lang w:val="en-GB"/>
        </w:rPr>
        <w:fldChar w:fldCharType="end"/>
      </w:r>
      <w:r w:rsidRPr="00E945B0">
        <w:rPr>
          <w:rStyle w:val="sb8d990e2"/>
          <w:lang w:val="en-GB"/>
        </w:rPr>
        <w:t>.  The Court notes that the present case also involves issues which may have implications for the applicant</w:t>
      </w:r>
      <w:r w:rsidR="00C17A2C">
        <w:rPr>
          <w:rStyle w:val="sb8d990e2"/>
          <w:lang w:val="en-GB"/>
        </w:rPr>
        <w:t>’</w:t>
      </w:r>
      <w:r w:rsidRPr="00E945B0">
        <w:rPr>
          <w:rStyle w:val="sb8d990e2"/>
          <w:lang w:val="en-GB"/>
        </w:rPr>
        <w:t xml:space="preserve">s family life. </w:t>
      </w:r>
      <w:r>
        <w:rPr>
          <w:rStyle w:val="sb8d990e2"/>
          <w:lang w:val="en-GB"/>
        </w:rPr>
        <w:t>Under</w:t>
      </w:r>
      <w:r w:rsidRPr="00E945B0">
        <w:rPr>
          <w:rStyle w:val="sb8d990e2"/>
          <w:lang w:val="en-GB"/>
        </w:rPr>
        <w:t xml:space="preserve"> the domestic law, the conversion of the applicant</w:t>
      </w:r>
      <w:r w:rsidR="00C17A2C">
        <w:rPr>
          <w:rStyle w:val="sb8d990e2"/>
          <w:lang w:val="en-GB"/>
        </w:rPr>
        <w:t>’</w:t>
      </w:r>
      <w:r w:rsidRPr="00E945B0">
        <w:rPr>
          <w:rStyle w:val="sb8d990e2"/>
          <w:lang w:val="en-GB"/>
        </w:rPr>
        <w:t xml:space="preserve">s existing marriage into a registered partnership requires the consent of her wife. Moreover, the applicant and her wife have a child together. Accordingly, the Court is of the view that the </w:t>
      </w:r>
      <w:r w:rsidRPr="00E945B0">
        <w:rPr>
          <w:rStyle w:val="sb8d990e2"/>
          <w:lang w:val="en-GB"/>
        </w:rPr>
        <w:lastRenderedPageBreak/>
        <w:t>applicant</w:t>
      </w:r>
      <w:r w:rsidR="00C17A2C">
        <w:rPr>
          <w:rStyle w:val="sb8d990e2"/>
          <w:lang w:val="en-GB"/>
        </w:rPr>
        <w:t>’</w:t>
      </w:r>
      <w:r w:rsidRPr="00E945B0">
        <w:rPr>
          <w:rStyle w:val="sb8d990e2"/>
          <w:lang w:val="en-GB"/>
        </w:rPr>
        <w:t xml:space="preserve">s relationship </w:t>
      </w:r>
      <w:r>
        <w:rPr>
          <w:rStyle w:val="sb8d990e2"/>
          <w:lang w:val="en-GB"/>
        </w:rPr>
        <w:t>with</w:t>
      </w:r>
      <w:r w:rsidRPr="00E945B0">
        <w:rPr>
          <w:rStyle w:val="sb8d990e2"/>
          <w:lang w:val="en-GB"/>
        </w:rPr>
        <w:t xml:space="preserve"> her wife and child also falls within the notion of “family life” within the meaning of Article 8 of the Convention.</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61</w:t>
      </w:r>
      <w:r w:rsidRPr="00E945B0">
        <w:rPr>
          <w:rStyle w:val="sb8d990e2"/>
          <w:lang w:val="en-GB"/>
        </w:rPr>
        <w:fldChar w:fldCharType="end"/>
      </w:r>
      <w:r w:rsidRPr="00E945B0">
        <w:rPr>
          <w:rStyle w:val="sb8d990e2"/>
          <w:lang w:val="en-GB"/>
        </w:rPr>
        <w:t xml:space="preserve">.  Article 8 of the Convention therefore applies to the present case under both </w:t>
      </w:r>
      <w:r>
        <w:rPr>
          <w:rStyle w:val="sb8d990e2"/>
          <w:lang w:val="en-GB"/>
        </w:rPr>
        <w:t>its</w:t>
      </w:r>
      <w:r w:rsidRPr="00E945B0">
        <w:rPr>
          <w:rStyle w:val="sb8d990e2"/>
          <w:lang w:val="en-GB"/>
        </w:rPr>
        <w:t xml:space="preserve"> private</w:t>
      </w:r>
      <w:r>
        <w:rPr>
          <w:rStyle w:val="sb8d990e2"/>
          <w:lang w:val="en-GB"/>
        </w:rPr>
        <w:t xml:space="preserve">-life </w:t>
      </w:r>
      <w:r w:rsidRPr="00E945B0">
        <w:rPr>
          <w:rStyle w:val="sb8d990e2"/>
          <w:lang w:val="en-GB"/>
        </w:rPr>
        <w:t>and family</w:t>
      </w:r>
      <w:r>
        <w:rPr>
          <w:rStyle w:val="sb8d990e2"/>
          <w:lang w:val="en-GB"/>
        </w:rPr>
        <w:t>-</w:t>
      </w:r>
      <w:r w:rsidRPr="00E945B0">
        <w:rPr>
          <w:rStyle w:val="sb8d990e2"/>
          <w:lang w:val="en-GB"/>
        </w:rPr>
        <w:t>life aspects.</w:t>
      </w:r>
    </w:p>
    <w:p w:rsidR="00910348" w:rsidRPr="00E945B0" w:rsidRDefault="00910348" w:rsidP="00910348">
      <w:pPr>
        <w:pStyle w:val="ECHRHeading3"/>
        <w:rPr>
          <w:lang w:val="en-GB"/>
        </w:rPr>
      </w:pPr>
      <w:r w:rsidRPr="00E945B0">
        <w:rPr>
          <w:lang w:val="en-GB"/>
        </w:rPr>
        <w:t>2.  </w:t>
      </w:r>
      <w:r w:rsidRPr="00E945B0">
        <w:rPr>
          <w:rStyle w:val="s1a844bc0"/>
          <w:lang w:val="en-GB"/>
        </w:rPr>
        <w:t>Whether the case involves a positive obligation or an interference</w:t>
      </w:r>
    </w:p>
    <w:p w:rsidR="00910348" w:rsidRPr="0049391A" w:rsidRDefault="00910348" w:rsidP="00910348">
      <w:pPr>
        <w:pStyle w:val="ECHRPara"/>
        <w:rPr>
          <w:rStyle w:val="sb8d990e2"/>
          <w:i/>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62</w:t>
      </w:r>
      <w:r w:rsidRPr="00E945B0">
        <w:rPr>
          <w:lang w:val="en-GB"/>
        </w:rPr>
        <w:fldChar w:fldCharType="end"/>
      </w:r>
      <w:r w:rsidRPr="00E945B0">
        <w:rPr>
          <w:lang w:val="en-GB"/>
        </w:rPr>
        <w:t>.  </w:t>
      </w:r>
      <w:r w:rsidRPr="00E945B0">
        <w:rPr>
          <w:rStyle w:val="sb8d990e2"/>
          <w:lang w:val="en-GB"/>
        </w:rPr>
        <w:t xml:space="preserve">While the essential object of Article 8 is to protect individuals against arbitrary interference by public authorities, it may also impose on a State certain positive obligations to ensure effective respect for the rights protected by Article 8 (see, among other authorities, </w:t>
      </w:r>
      <w:r w:rsidRPr="00E945B0">
        <w:rPr>
          <w:i/>
          <w:lang w:val="en-GB"/>
        </w:rPr>
        <w:t>X and Y v. the Netherlands</w:t>
      </w:r>
      <w:r w:rsidRPr="00E945B0">
        <w:rPr>
          <w:lang w:val="en-GB"/>
        </w:rPr>
        <w:t>, 26 March 1985, § 23, Series A no. 91</w:t>
      </w:r>
      <w:r w:rsidR="0049391A">
        <w:rPr>
          <w:lang w:val="en-GB"/>
        </w:rPr>
        <w:t xml:space="preserve">; and </w:t>
      </w:r>
      <w:r w:rsidR="0049391A" w:rsidRPr="00242D29">
        <w:rPr>
          <w:i/>
          <w:lang w:val="en-US"/>
        </w:rPr>
        <w:t>Söderman v. Sweden</w:t>
      </w:r>
      <w:r w:rsidR="0049391A" w:rsidRPr="00242D29">
        <w:rPr>
          <w:lang w:val="en-US"/>
        </w:rPr>
        <w:t xml:space="preserve"> [GC], no. 5786/08</w:t>
      </w:r>
      <w:r w:rsidR="0049391A" w:rsidRPr="00242D29">
        <w:rPr>
          <w:snapToGrid w:val="0"/>
          <w:lang w:val="en-US"/>
        </w:rPr>
        <w:t xml:space="preserve">, § 78, </w:t>
      </w:r>
      <w:r w:rsidR="0049391A" w:rsidRPr="0049391A">
        <w:rPr>
          <w:lang w:val="en-GB"/>
        </w:rPr>
        <w:t>ECHR 2013</w:t>
      </w:r>
      <w:r w:rsidRPr="00E945B0">
        <w:rPr>
          <w:rStyle w:val="sb8d990e2"/>
          <w:lang w:val="en-GB"/>
        </w:rPr>
        <w:t>).</w:t>
      </w:r>
    </w:p>
    <w:p w:rsidR="00910348" w:rsidRPr="00E337B3" w:rsidRDefault="00910348" w:rsidP="00910348">
      <w:pPr>
        <w:pStyle w:val="ECHRPara"/>
        <w:rPr>
          <w:i/>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63</w:t>
      </w:r>
      <w:r w:rsidRPr="00E945B0">
        <w:rPr>
          <w:rStyle w:val="sb8d990e2"/>
          <w:lang w:val="en-GB"/>
        </w:rPr>
        <w:fldChar w:fldCharType="end"/>
      </w:r>
      <w:r w:rsidRPr="00E945B0">
        <w:rPr>
          <w:rStyle w:val="sb8d990e2"/>
          <w:lang w:val="en-GB"/>
        </w:rPr>
        <w:t>.  </w:t>
      </w:r>
      <w:r w:rsidRPr="00E945B0">
        <w:rPr>
          <w:lang w:val="en-GB"/>
        </w:rPr>
        <w:t xml:space="preserve">The Court has previously found </w:t>
      </w:r>
      <w:r>
        <w:rPr>
          <w:lang w:val="en-GB"/>
        </w:rPr>
        <w:t xml:space="preserve">that Article 8 imposes on </w:t>
      </w:r>
      <w:r w:rsidRPr="00E945B0">
        <w:rPr>
          <w:lang w:val="en-GB"/>
        </w:rPr>
        <w:t xml:space="preserve">States a positive obligation to secure to </w:t>
      </w:r>
      <w:r>
        <w:rPr>
          <w:lang w:val="en-GB"/>
        </w:rPr>
        <w:t>their</w:t>
      </w:r>
      <w:r w:rsidRPr="00E945B0">
        <w:rPr>
          <w:lang w:val="en-GB"/>
        </w:rPr>
        <w:t xml:space="preserve"> citizens the right to effective respect for their physical and psychological integrity (see</w:t>
      </w:r>
      <w:r>
        <w:rPr>
          <w:lang w:val="en-GB"/>
        </w:rPr>
        <w:t>,</w:t>
      </w:r>
      <w:r w:rsidRPr="00E945B0">
        <w:rPr>
          <w:lang w:val="en-GB"/>
        </w:rPr>
        <w:t xml:space="preserve"> for example</w:t>
      </w:r>
      <w:r>
        <w:rPr>
          <w:lang w:val="en-GB"/>
        </w:rPr>
        <w:t>,</w:t>
      </w:r>
      <w:r w:rsidRPr="00E945B0">
        <w:rPr>
          <w:lang w:val="en-GB"/>
        </w:rPr>
        <w:t xml:space="preserve"> </w:t>
      </w:r>
      <w:r w:rsidRPr="00E945B0">
        <w:rPr>
          <w:i/>
          <w:lang w:val="en-GB"/>
        </w:rPr>
        <w:t>Nitecki v. Poland</w:t>
      </w:r>
      <w:r w:rsidRPr="00E945B0">
        <w:rPr>
          <w:lang w:val="en-GB"/>
        </w:rPr>
        <w:t xml:space="preserve"> (dec.), no.</w:t>
      </w:r>
      <w:r>
        <w:rPr>
          <w:lang w:val="en-GB"/>
        </w:rPr>
        <w:t xml:space="preserve"> </w:t>
      </w:r>
      <w:hyperlink r:id="rId13" w:anchor="{&quot;appno&quot;:[&quot;65653/01&quot;]}" w:tgtFrame="_blank" w:history="1">
        <w:r w:rsidRPr="00E945B0">
          <w:rPr>
            <w:lang w:val="en-GB"/>
          </w:rPr>
          <w:t>65653/01</w:t>
        </w:r>
      </w:hyperlink>
      <w:r w:rsidRPr="00E945B0">
        <w:rPr>
          <w:lang w:val="en-GB"/>
        </w:rPr>
        <w:t>, 21 March 2002</w:t>
      </w:r>
      <w:r>
        <w:rPr>
          <w:lang w:val="en-GB"/>
        </w:rPr>
        <w:t xml:space="preserve">; </w:t>
      </w:r>
      <w:r w:rsidRPr="00E945B0">
        <w:rPr>
          <w:i/>
          <w:lang w:val="en-GB"/>
        </w:rPr>
        <w:t>Sentges v. the Netherlands</w:t>
      </w:r>
      <w:r w:rsidRPr="00E945B0">
        <w:rPr>
          <w:lang w:val="en-GB"/>
        </w:rPr>
        <w:t xml:space="preserve"> (dec.) no. </w:t>
      </w:r>
      <w:hyperlink r:id="rId14" w:anchor="{&quot;appno&quot;:[&quot;27677/02&quot;]}" w:tgtFrame="_blank" w:history="1">
        <w:r w:rsidRPr="00E945B0">
          <w:rPr>
            <w:lang w:val="en-GB"/>
          </w:rPr>
          <w:t>27677/02</w:t>
        </w:r>
      </w:hyperlink>
      <w:r w:rsidRPr="00E945B0">
        <w:rPr>
          <w:lang w:val="en-GB"/>
        </w:rPr>
        <w:t xml:space="preserve">, 8 July 2003; </w:t>
      </w:r>
      <w:r w:rsidRPr="00E945B0">
        <w:rPr>
          <w:i/>
          <w:lang w:val="en-GB"/>
        </w:rPr>
        <w:t xml:space="preserve">Odièvre v. France </w:t>
      </w:r>
      <w:r w:rsidRPr="00E945B0">
        <w:rPr>
          <w:lang w:val="en-GB"/>
        </w:rPr>
        <w:t>[GC],</w:t>
      </w:r>
      <w:r w:rsidRPr="00E945B0">
        <w:rPr>
          <w:i/>
          <w:lang w:val="en-GB"/>
        </w:rPr>
        <w:t xml:space="preserve"> </w:t>
      </w:r>
      <w:r w:rsidRPr="00E945B0">
        <w:rPr>
          <w:lang w:val="en-GB"/>
        </w:rPr>
        <w:t>no. 42326/98, § 42, ECHR 2003</w:t>
      </w:r>
      <w:r w:rsidRPr="00E945B0">
        <w:rPr>
          <w:lang w:val="en-GB"/>
        </w:rPr>
        <w:noBreakHyphen/>
        <w:t>III</w:t>
      </w:r>
      <w:r>
        <w:rPr>
          <w:lang w:val="en-GB"/>
        </w:rPr>
        <w:t xml:space="preserve">; </w:t>
      </w:r>
      <w:r w:rsidRPr="00E945B0">
        <w:rPr>
          <w:i/>
          <w:lang w:val="en-GB"/>
        </w:rPr>
        <w:t>Glass v. the United Kingdom</w:t>
      </w:r>
      <w:r w:rsidRPr="00E945B0">
        <w:rPr>
          <w:lang w:val="en-GB"/>
        </w:rPr>
        <w:t xml:space="preserve">, no. </w:t>
      </w:r>
      <w:hyperlink r:id="rId15" w:anchor="{&quot;appno&quot;:[&quot;61827/00&quot;]}" w:tgtFrame="_blank" w:history="1">
        <w:r w:rsidRPr="00E945B0">
          <w:rPr>
            <w:lang w:val="en-GB"/>
          </w:rPr>
          <w:t>61827/00</w:t>
        </w:r>
      </w:hyperlink>
      <w:r w:rsidRPr="00E945B0">
        <w:rPr>
          <w:lang w:val="en-GB"/>
        </w:rPr>
        <w:t>, §§ 74-83, ECHR 2004</w:t>
      </w:r>
      <w:r w:rsidRPr="00E945B0">
        <w:rPr>
          <w:lang w:val="en-GB"/>
        </w:rPr>
        <w:noBreakHyphen/>
        <w:t xml:space="preserve">II; </w:t>
      </w:r>
      <w:r>
        <w:rPr>
          <w:lang w:val="en-GB"/>
        </w:rPr>
        <w:t xml:space="preserve">and </w:t>
      </w:r>
      <w:r w:rsidRPr="00E945B0">
        <w:rPr>
          <w:i/>
          <w:lang w:val="en-GB"/>
        </w:rPr>
        <w:t xml:space="preserve">Pentiacova and Others v. Moldova </w:t>
      </w:r>
      <w:r w:rsidRPr="00E945B0">
        <w:rPr>
          <w:lang w:val="en-GB"/>
        </w:rPr>
        <w:t>(dec.), no.</w:t>
      </w:r>
      <w:r>
        <w:rPr>
          <w:lang w:val="en-GB"/>
        </w:rPr>
        <w:t> </w:t>
      </w:r>
      <w:r w:rsidRPr="00E945B0">
        <w:rPr>
          <w:lang w:val="en-GB"/>
        </w:rPr>
        <w:t>14462/03</w:t>
      </w:r>
      <w:r w:rsidRPr="00E945B0">
        <w:rPr>
          <w:szCs w:val="24"/>
          <w:lang w:val="en-GB"/>
        </w:rPr>
        <w:t xml:space="preserve">, </w:t>
      </w:r>
      <w:r w:rsidRPr="00E945B0">
        <w:rPr>
          <w:lang w:val="en-GB"/>
        </w:rPr>
        <w:t>ECHR 2005</w:t>
      </w:r>
      <w:r w:rsidRPr="00E945B0">
        <w:rPr>
          <w:lang w:val="en-GB"/>
        </w:rPr>
        <w:noBreakHyphen/>
        <w:t>I</w:t>
      </w:r>
      <w:r>
        <w:rPr>
          <w:lang w:val="en-GB"/>
        </w:rPr>
        <w:t>)</w:t>
      </w:r>
      <w:r w:rsidRPr="00E945B0">
        <w:rPr>
          <w:lang w:val="en-GB"/>
        </w:rPr>
        <w:t>. In addition, th</w:t>
      </w:r>
      <w:r w:rsidR="00B52BCD">
        <w:rPr>
          <w:lang w:val="en-GB"/>
        </w:rPr>
        <w:t>is</w:t>
      </w:r>
      <w:r w:rsidRPr="00E945B0">
        <w:rPr>
          <w:lang w:val="en-GB"/>
        </w:rPr>
        <w:t xml:space="preserve"> obligation may involve the adoption of </w:t>
      </w:r>
      <w:r>
        <w:rPr>
          <w:lang w:val="en-GB"/>
        </w:rPr>
        <w:t xml:space="preserve">specific </w:t>
      </w:r>
      <w:r w:rsidRPr="00E945B0">
        <w:rPr>
          <w:lang w:val="en-GB"/>
        </w:rPr>
        <w:t xml:space="preserve">measures, </w:t>
      </w:r>
      <w:r w:rsidRPr="00513C63">
        <w:rPr>
          <w:lang w:val="en-GB"/>
        </w:rPr>
        <w:t xml:space="preserve">including the provision of an effective and accessible means of protecting the right to respect for private life (see </w:t>
      </w:r>
      <w:r w:rsidRPr="00513C63">
        <w:rPr>
          <w:i/>
          <w:lang w:val="en-GB"/>
        </w:rPr>
        <w:t>Airey v. Ireland</w:t>
      </w:r>
      <w:r w:rsidRPr="00513C63">
        <w:rPr>
          <w:lang w:val="en-GB"/>
        </w:rPr>
        <w:t>, 9</w:t>
      </w:r>
      <w:r>
        <w:rPr>
          <w:lang w:val="en-GB"/>
        </w:rPr>
        <w:t xml:space="preserve"> </w:t>
      </w:r>
      <w:r w:rsidRPr="00513C63">
        <w:rPr>
          <w:lang w:val="en-GB"/>
        </w:rPr>
        <w:t xml:space="preserve">October 1979, § 33, Series A no. 32; </w:t>
      </w:r>
      <w:r w:rsidRPr="00513C63">
        <w:rPr>
          <w:i/>
          <w:lang w:val="en-GB"/>
        </w:rPr>
        <w:t>McGinley and Egan v. the United Kingdom</w:t>
      </w:r>
      <w:r w:rsidRPr="00513C63">
        <w:rPr>
          <w:lang w:val="en-GB"/>
        </w:rPr>
        <w:t xml:space="preserve">, 9 June 1998, § 101, </w:t>
      </w:r>
      <w:r w:rsidRPr="00513C63">
        <w:rPr>
          <w:i/>
          <w:lang w:val="en-GB"/>
        </w:rPr>
        <w:t>Reports of Judgments and Decisions</w:t>
      </w:r>
      <w:r w:rsidRPr="00513C63">
        <w:rPr>
          <w:lang w:val="en-GB"/>
        </w:rPr>
        <w:t xml:space="preserve"> 1998</w:t>
      </w:r>
      <w:r w:rsidRPr="00513C63">
        <w:rPr>
          <w:lang w:val="en-GB"/>
        </w:rPr>
        <w:noBreakHyphen/>
        <w:t xml:space="preserve">III; and </w:t>
      </w:r>
      <w:bookmarkStart w:id="1" w:name="File4"/>
      <w:bookmarkEnd w:id="1"/>
      <w:r w:rsidRPr="00513C63">
        <w:rPr>
          <w:i/>
          <w:lang w:val="en-GB"/>
        </w:rPr>
        <w:t>Roche v. the United Kingdom</w:t>
      </w:r>
      <w:r w:rsidRPr="00513C63">
        <w:rPr>
          <w:lang w:val="en-GB"/>
        </w:rPr>
        <w:t xml:space="preserve"> [GC], no. </w:t>
      </w:r>
      <w:hyperlink r:id="rId16" w:anchor="{&quot;appno&quot;:[&quot;32555/96&quot;]}" w:tgtFrame="_blank" w:history="1">
        <w:r w:rsidRPr="00513C63">
          <w:rPr>
            <w:lang w:val="en-GB"/>
          </w:rPr>
          <w:t>32555/96</w:t>
        </w:r>
      </w:hyperlink>
      <w:r w:rsidRPr="00513C63">
        <w:rPr>
          <w:lang w:val="en-GB"/>
        </w:rPr>
        <w:t>, § 162, ECHR 2005</w:t>
      </w:r>
      <w:r w:rsidRPr="00513C63">
        <w:rPr>
          <w:lang w:val="en-GB"/>
        </w:rPr>
        <w:noBreakHyphen/>
        <w:t>X)</w:t>
      </w:r>
      <w:r>
        <w:rPr>
          <w:lang w:val="en-GB"/>
        </w:rPr>
        <w:t xml:space="preserve">. Such measures may </w:t>
      </w:r>
      <w:r w:rsidRPr="00513C63">
        <w:rPr>
          <w:lang w:val="en-GB"/>
        </w:rPr>
        <w:t>includ</w:t>
      </w:r>
      <w:r>
        <w:rPr>
          <w:lang w:val="en-GB"/>
        </w:rPr>
        <w:t>e</w:t>
      </w:r>
      <w:r w:rsidRPr="00513C63">
        <w:rPr>
          <w:lang w:val="en-GB"/>
        </w:rPr>
        <w:t xml:space="preserve"> both the provision of a regulatory framework of adjudicatory and enforcement machinery protecting individuals</w:t>
      </w:r>
      <w:r w:rsidR="00C17A2C">
        <w:rPr>
          <w:lang w:val="en-GB"/>
        </w:rPr>
        <w:t>’</w:t>
      </w:r>
      <w:r w:rsidRPr="00513C63">
        <w:rPr>
          <w:lang w:val="en-GB"/>
        </w:rPr>
        <w:t xml:space="preserve"> rights and the implementation, where appropriate, of </w:t>
      </w:r>
      <w:r>
        <w:rPr>
          <w:lang w:val="en-GB"/>
        </w:rPr>
        <w:t xml:space="preserve">these </w:t>
      </w:r>
      <w:r w:rsidRPr="00513C63">
        <w:rPr>
          <w:lang w:val="en-GB"/>
        </w:rPr>
        <w:t>measures</w:t>
      </w:r>
      <w:r>
        <w:rPr>
          <w:lang w:val="en-GB"/>
        </w:rPr>
        <w:t xml:space="preserve"> in different contexts</w:t>
      </w:r>
      <w:r w:rsidRPr="00513C63">
        <w:rPr>
          <w:lang w:val="en-GB"/>
        </w:rPr>
        <w:t xml:space="preserve"> (</w:t>
      </w:r>
      <w:r>
        <w:rPr>
          <w:lang w:val="en-GB"/>
        </w:rPr>
        <w:t xml:space="preserve">see </w:t>
      </w:r>
      <w:r w:rsidRPr="00B668D2">
        <w:rPr>
          <w:i/>
          <w:lang w:val="en-GB"/>
        </w:rPr>
        <w:t>A, B and C v. Ireland</w:t>
      </w:r>
      <w:r w:rsidRPr="00B668D2">
        <w:rPr>
          <w:lang w:val="en-GB"/>
        </w:rPr>
        <w:t xml:space="preserve"> [GC], no. 25579/05, § </w:t>
      </w:r>
      <w:r>
        <w:rPr>
          <w:lang w:val="en-GB"/>
        </w:rPr>
        <w:t>245</w:t>
      </w:r>
      <w:r w:rsidRPr="00B668D2">
        <w:rPr>
          <w:lang w:val="en-GB"/>
        </w:rPr>
        <w:t>, ECHR 2010</w:t>
      </w:r>
      <w:r w:rsidRPr="00513C63">
        <w:rPr>
          <w:lang w:val="en-GB"/>
        </w:rPr>
        <w:t>)</w:t>
      </w:r>
      <w:r>
        <w:rPr>
          <w:lang w:val="en-GB"/>
        </w:rPr>
        <w: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64</w:t>
      </w:r>
      <w:r w:rsidRPr="00E945B0">
        <w:rPr>
          <w:lang w:val="en-GB"/>
        </w:rPr>
        <w:fldChar w:fldCharType="end"/>
      </w:r>
      <w:r w:rsidRPr="00E945B0">
        <w:rPr>
          <w:lang w:val="en-GB"/>
        </w:rPr>
        <w:t>.  The Court observes that it is common ground between the parties that there has been an interference with the applicant</w:t>
      </w:r>
      <w:r w:rsidR="00C17A2C">
        <w:rPr>
          <w:lang w:val="en-GB"/>
        </w:rPr>
        <w:t>’</w:t>
      </w:r>
      <w:r w:rsidRPr="00E945B0">
        <w:rPr>
          <w:lang w:val="en-GB"/>
        </w:rPr>
        <w:t xml:space="preserve">s right to respect for her private life in that she was not granted a new </w:t>
      </w:r>
      <w:r>
        <w:rPr>
          <w:lang w:val="en-GB"/>
        </w:rPr>
        <w:t xml:space="preserve">– </w:t>
      </w:r>
      <w:r w:rsidRPr="00E945B0">
        <w:rPr>
          <w:lang w:val="en-GB"/>
        </w:rPr>
        <w:t xml:space="preserve">female </w:t>
      </w:r>
      <w:r>
        <w:rPr>
          <w:lang w:val="en-GB"/>
        </w:rPr>
        <w:t xml:space="preserve">– </w:t>
      </w:r>
      <w:r w:rsidRPr="00E945B0">
        <w:rPr>
          <w:lang w:val="en-GB"/>
        </w:rPr>
        <w:t>identity number. The Chamber also examined the case from th</w:t>
      </w:r>
      <w:r>
        <w:rPr>
          <w:lang w:val="en-GB"/>
        </w:rPr>
        <w:t>at</w:t>
      </w:r>
      <w:r w:rsidRPr="00E945B0">
        <w:rPr>
          <w:lang w:val="en-GB"/>
        </w:rPr>
        <w:t xml:space="preserve"> point of view. </w:t>
      </w:r>
      <w:r w:rsidR="00452B94">
        <w:rPr>
          <w:lang w:val="en-GB"/>
        </w:rPr>
        <w:t xml:space="preserve">The Grand Chamber, however, </w:t>
      </w:r>
      <w:r w:rsidR="00D32C3C">
        <w:rPr>
          <w:lang w:val="en-GB"/>
        </w:rPr>
        <w:t xml:space="preserve">is of the opinion </w:t>
      </w:r>
      <w:r w:rsidR="00452B94">
        <w:rPr>
          <w:lang w:val="en-GB"/>
        </w:rPr>
        <w:t xml:space="preserve">that </w:t>
      </w:r>
      <w:r w:rsidRPr="00E945B0">
        <w:rPr>
          <w:rStyle w:val="sb8d990e2"/>
          <w:lang w:val="en-GB"/>
        </w:rPr>
        <w:t xml:space="preserve">the question to </w:t>
      </w:r>
      <w:r>
        <w:rPr>
          <w:rStyle w:val="sb8d990e2"/>
          <w:lang w:val="en-GB"/>
        </w:rPr>
        <w:t>be</w:t>
      </w:r>
      <w:r w:rsidRPr="00E945B0">
        <w:rPr>
          <w:rStyle w:val="sb8d990e2"/>
          <w:lang w:val="en-GB"/>
        </w:rPr>
        <w:t xml:space="preserve"> determined by the Court is whether </w:t>
      </w:r>
      <w:r>
        <w:rPr>
          <w:rStyle w:val="sb8d990e2"/>
          <w:lang w:val="en-GB"/>
        </w:rPr>
        <w:t>respect for the applicant</w:t>
      </w:r>
      <w:r w:rsidR="00C17A2C">
        <w:rPr>
          <w:rStyle w:val="sb8d990e2"/>
          <w:lang w:val="en-GB"/>
        </w:rPr>
        <w:t>’</w:t>
      </w:r>
      <w:r>
        <w:rPr>
          <w:rStyle w:val="sb8d990e2"/>
          <w:lang w:val="en-GB"/>
        </w:rPr>
        <w:t xml:space="preserve">s private and family life entails </w:t>
      </w:r>
      <w:r w:rsidRPr="00E945B0">
        <w:rPr>
          <w:rStyle w:val="sb8d990e2"/>
          <w:lang w:val="en-GB"/>
        </w:rPr>
        <w:t xml:space="preserve">a positive obligation on the State to provide an effective and accessible procedure allowing the applicant to have her new gender legally recognised </w:t>
      </w:r>
      <w:r>
        <w:rPr>
          <w:rStyle w:val="sb8d990e2"/>
          <w:lang w:val="en-GB"/>
        </w:rPr>
        <w:t>while remaining married</w:t>
      </w:r>
      <w:r w:rsidRPr="00E945B0">
        <w:rPr>
          <w:rStyle w:val="sb8d990e2"/>
          <w:lang w:val="en-GB"/>
        </w:rPr>
        <w:t>.</w:t>
      </w:r>
      <w:r w:rsidR="0049391A">
        <w:rPr>
          <w:rStyle w:val="sb8d990e2"/>
          <w:lang w:val="en-GB"/>
        </w:rPr>
        <w:t xml:space="preserve"> </w:t>
      </w:r>
      <w:r w:rsidR="0049391A" w:rsidRPr="00E945B0">
        <w:rPr>
          <w:lang w:val="en-GB"/>
        </w:rPr>
        <w:t>The Grand Chamber</w:t>
      </w:r>
      <w:r w:rsidR="00452B94">
        <w:rPr>
          <w:lang w:val="en-GB"/>
        </w:rPr>
        <w:t xml:space="preserve"> therefore</w:t>
      </w:r>
      <w:r w:rsidR="0049391A" w:rsidRPr="00E945B0">
        <w:rPr>
          <w:lang w:val="en-GB"/>
        </w:rPr>
        <w:t xml:space="preserve"> </w:t>
      </w:r>
      <w:r w:rsidR="0049391A" w:rsidRPr="00E945B0">
        <w:rPr>
          <w:rStyle w:val="sb8d990e2"/>
          <w:lang w:val="en-GB"/>
        </w:rPr>
        <w:t>considers</w:t>
      </w:r>
      <w:r w:rsidR="0049391A">
        <w:rPr>
          <w:rStyle w:val="sb8d990e2"/>
          <w:lang w:val="en-GB"/>
        </w:rPr>
        <w:t xml:space="preserve"> it more appropriate to analyse</w:t>
      </w:r>
      <w:r w:rsidR="0049391A" w:rsidRPr="00E945B0">
        <w:rPr>
          <w:rStyle w:val="sb8d990e2"/>
          <w:lang w:val="en-GB"/>
        </w:rPr>
        <w:t xml:space="preserve"> the applicant</w:t>
      </w:r>
      <w:r w:rsidR="00C17A2C">
        <w:rPr>
          <w:rStyle w:val="sb8d990e2"/>
          <w:lang w:val="en-GB"/>
        </w:rPr>
        <w:t>’</w:t>
      </w:r>
      <w:r w:rsidR="0049391A" w:rsidRPr="00E945B0">
        <w:rPr>
          <w:rStyle w:val="sb8d990e2"/>
          <w:lang w:val="en-GB"/>
        </w:rPr>
        <w:t xml:space="preserve">s complaint </w:t>
      </w:r>
      <w:r w:rsidR="0049391A">
        <w:rPr>
          <w:rStyle w:val="sb8d990e2"/>
          <w:lang w:val="en-GB"/>
        </w:rPr>
        <w:t>with regard to</w:t>
      </w:r>
      <w:r w:rsidR="0049391A" w:rsidRPr="00E945B0">
        <w:rPr>
          <w:rStyle w:val="sb8d990e2"/>
          <w:lang w:val="en-GB"/>
        </w:rPr>
        <w:t xml:space="preserve"> the positive aspect of Article 8 of the Convention.</w:t>
      </w:r>
    </w:p>
    <w:p w:rsidR="00910348" w:rsidRPr="00E945B0" w:rsidRDefault="00910348" w:rsidP="00910348">
      <w:pPr>
        <w:pStyle w:val="ECHRHeading3"/>
        <w:rPr>
          <w:lang w:val="en-GB"/>
        </w:rPr>
      </w:pPr>
      <w:r w:rsidRPr="00E945B0">
        <w:rPr>
          <w:lang w:val="en-GB"/>
        </w:rPr>
        <w:lastRenderedPageBreak/>
        <w:t>3.  </w:t>
      </w:r>
      <w:r w:rsidRPr="00E945B0">
        <w:rPr>
          <w:rStyle w:val="sdfc50a6a"/>
          <w:lang w:val="en-GB"/>
        </w:rPr>
        <w:t>General principles applicable to assessing a State</w:t>
      </w:r>
      <w:r w:rsidR="00C17A2C">
        <w:rPr>
          <w:rStyle w:val="sdfc50a6a"/>
          <w:lang w:val="en-GB"/>
        </w:rPr>
        <w:t>’</w:t>
      </w:r>
      <w:r w:rsidRPr="00E945B0">
        <w:rPr>
          <w:rStyle w:val="sdfc50a6a"/>
          <w:lang w:val="en-GB"/>
        </w:rPr>
        <w:t>s positive obligations</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65</w:t>
      </w:r>
      <w:r w:rsidRPr="00E945B0">
        <w:rPr>
          <w:rStyle w:val="sb8d990e2"/>
          <w:lang w:val="en-GB"/>
        </w:rPr>
        <w:fldChar w:fldCharType="end"/>
      </w:r>
      <w:r w:rsidRPr="00E945B0">
        <w:rPr>
          <w:rStyle w:val="sb8d990e2"/>
          <w:lang w:val="en-GB"/>
        </w:rPr>
        <w:t>.  The principles applicable to assessing a State</w:t>
      </w:r>
      <w:r w:rsidR="00C17A2C">
        <w:rPr>
          <w:rStyle w:val="sb8d990e2"/>
          <w:lang w:val="en-GB"/>
        </w:rPr>
        <w:t>’</w:t>
      </w:r>
      <w:r w:rsidRPr="00E945B0">
        <w:rPr>
          <w:rStyle w:val="sb8d990e2"/>
          <w:lang w:val="en-GB"/>
        </w:rPr>
        <w:t xml:space="preserve">s positive and negative obligations under the Convention are similar. Regard must be had to the fair balance that has to be struck between the competing interests of the individual and of the community as a whole, the aims in the second paragraph of Article 8 being of a certain relevance (see </w:t>
      </w:r>
      <w:r w:rsidRPr="00493258">
        <w:rPr>
          <w:rStyle w:val="s6b621b36"/>
          <w:i/>
          <w:lang w:val="en-GB"/>
        </w:rPr>
        <w:t>Gaskin v. the United Kingdom</w:t>
      </w:r>
      <w:r w:rsidRPr="00E945B0">
        <w:rPr>
          <w:rStyle w:val="sb8d990e2"/>
          <w:lang w:val="en-GB"/>
        </w:rPr>
        <w:t>, 7 July 1989, § 42, Series A no. 160</w:t>
      </w:r>
      <w:r w:rsidR="0031194C">
        <w:rPr>
          <w:rStyle w:val="sb8d990e2"/>
          <w:lang w:val="en-GB"/>
        </w:rPr>
        <w:t>;</w:t>
      </w:r>
      <w:r w:rsidRPr="00E945B0">
        <w:rPr>
          <w:rStyle w:val="sb8d990e2"/>
          <w:lang w:val="en-GB"/>
        </w:rPr>
        <w:t xml:space="preserve"> and </w:t>
      </w:r>
      <w:r w:rsidRPr="00493258">
        <w:rPr>
          <w:rStyle w:val="s6b621b36"/>
          <w:i/>
          <w:lang w:val="en-GB"/>
        </w:rPr>
        <w:t>Roche v. the United Kingdom</w:t>
      </w:r>
      <w:r w:rsidRPr="00E945B0">
        <w:rPr>
          <w:rStyle w:val="s6b621b36"/>
          <w:lang w:val="en-GB"/>
        </w:rPr>
        <w:t xml:space="preserve"> </w:t>
      </w:r>
      <w:r w:rsidRPr="00E945B0">
        <w:rPr>
          <w:rStyle w:val="sb8d990e2"/>
          <w:lang w:val="en-GB"/>
        </w:rPr>
        <w:t>[GC], cited above, § 157).</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66</w:t>
      </w:r>
      <w:r w:rsidRPr="00E945B0">
        <w:rPr>
          <w:rStyle w:val="sb8d990e2"/>
          <w:lang w:val="en-GB"/>
        </w:rPr>
        <w:fldChar w:fldCharType="end"/>
      </w:r>
      <w:r w:rsidRPr="00E945B0">
        <w:rPr>
          <w:rStyle w:val="sb8d990e2"/>
          <w:lang w:val="en-GB"/>
        </w:rPr>
        <w:t>.  The notion of “respect” is not clear cut especially as far as positive obligations are concerned: having regard to the diversity of the practices followed and the situations obtaining in the Contracting States, the notion</w:t>
      </w:r>
      <w:r w:rsidR="00C17A2C">
        <w:rPr>
          <w:rStyle w:val="sb8d990e2"/>
          <w:lang w:val="en-GB"/>
        </w:rPr>
        <w:t>’</w:t>
      </w:r>
      <w:r w:rsidRPr="00E945B0">
        <w:rPr>
          <w:rStyle w:val="sb8d990e2"/>
          <w:lang w:val="en-GB"/>
        </w:rPr>
        <w:t xml:space="preserve">s requirements will vary considerably from case to case (see </w:t>
      </w:r>
      <w:r w:rsidRPr="00493258">
        <w:rPr>
          <w:rStyle w:val="s6b621b36"/>
          <w:i/>
          <w:lang w:val="en-GB"/>
        </w:rPr>
        <w:t xml:space="preserve">Christine </w:t>
      </w:r>
      <w:r w:rsidRPr="00493258">
        <w:rPr>
          <w:rStyle w:val="wordhighlighted"/>
          <w:i/>
          <w:lang w:val="en-GB"/>
        </w:rPr>
        <w:t>Goodwin</w:t>
      </w:r>
      <w:r w:rsidRPr="00493258">
        <w:rPr>
          <w:rStyle w:val="s6b621b36"/>
          <w:i/>
          <w:lang w:val="en-GB"/>
        </w:rPr>
        <w:t xml:space="preserve"> v. the United Kingdom</w:t>
      </w:r>
      <w:r w:rsidRPr="00E945B0">
        <w:rPr>
          <w:rStyle w:val="sb8d990e2"/>
          <w:lang w:val="en-GB"/>
        </w:rPr>
        <w:t xml:space="preserve"> [GC], </w:t>
      </w:r>
      <w:r w:rsidRPr="00081659">
        <w:rPr>
          <w:lang w:val="en-GB"/>
        </w:rPr>
        <w:t xml:space="preserve">no. 28957/95, § </w:t>
      </w:r>
      <w:r>
        <w:rPr>
          <w:lang w:val="en-GB"/>
        </w:rPr>
        <w:t>72</w:t>
      </w:r>
      <w:r w:rsidRPr="00081659">
        <w:rPr>
          <w:lang w:val="en-GB"/>
        </w:rPr>
        <w:t>, ECHR 2002</w:t>
      </w:r>
      <w:r w:rsidRPr="00081659">
        <w:rPr>
          <w:lang w:val="en-GB"/>
        </w:rPr>
        <w:noBreakHyphen/>
        <w:t>VI</w:t>
      </w:r>
      <w:r w:rsidRPr="00E945B0">
        <w:rPr>
          <w:rStyle w:val="sb8d990e2"/>
          <w:lang w:val="en-GB"/>
        </w:rPr>
        <w:t xml:space="preserve">). Nonetheless, certain factors have been considered relevant for the assessment of the content of those positive obligations on States. Some </w:t>
      </w:r>
      <w:r>
        <w:rPr>
          <w:rStyle w:val="sb8d990e2"/>
          <w:lang w:val="en-GB"/>
        </w:rPr>
        <w:t>of them</w:t>
      </w:r>
      <w:r w:rsidRPr="00E945B0">
        <w:rPr>
          <w:rStyle w:val="sb8d990e2"/>
          <w:lang w:val="en-GB"/>
        </w:rPr>
        <w:t xml:space="preserve"> </w:t>
      </w:r>
      <w:r>
        <w:rPr>
          <w:rStyle w:val="sb8d990e2"/>
          <w:lang w:val="en-GB"/>
        </w:rPr>
        <w:t xml:space="preserve">relate to </w:t>
      </w:r>
      <w:r w:rsidRPr="00E945B0">
        <w:rPr>
          <w:rStyle w:val="sb8d990e2"/>
          <w:lang w:val="en-GB"/>
        </w:rPr>
        <w:t>the applicant</w:t>
      </w:r>
      <w:r>
        <w:rPr>
          <w:rStyle w:val="sb8d990e2"/>
          <w:lang w:val="en-GB"/>
        </w:rPr>
        <w:t>.</w:t>
      </w:r>
      <w:r w:rsidRPr="00E945B0">
        <w:rPr>
          <w:rStyle w:val="sb8d990e2"/>
          <w:lang w:val="en-GB"/>
        </w:rPr>
        <w:t xml:space="preserve"> </w:t>
      </w:r>
      <w:r>
        <w:rPr>
          <w:rStyle w:val="sb8d990e2"/>
          <w:lang w:val="en-GB"/>
        </w:rPr>
        <w:t xml:space="preserve">They concern </w:t>
      </w:r>
      <w:r w:rsidRPr="00E945B0">
        <w:rPr>
          <w:rStyle w:val="sb8d990e2"/>
          <w:lang w:val="en-GB"/>
        </w:rPr>
        <w:t xml:space="preserve">the importance of the interest at stake and whether “fundamental values” or “essential aspects” of private life are in issue (see </w:t>
      </w:r>
      <w:r w:rsidRPr="00493258">
        <w:rPr>
          <w:rStyle w:val="s6b621b36"/>
          <w:i/>
          <w:lang w:val="en-GB"/>
        </w:rPr>
        <w:t>X and Y v. the Netherlands</w:t>
      </w:r>
      <w:r w:rsidRPr="00E945B0">
        <w:rPr>
          <w:rStyle w:val="sb8d990e2"/>
          <w:lang w:val="en-GB"/>
        </w:rPr>
        <w:t>, cited above, § 27</w:t>
      </w:r>
      <w:r w:rsidR="0031194C">
        <w:rPr>
          <w:rStyle w:val="sb8d990e2"/>
          <w:lang w:val="en-GB"/>
        </w:rPr>
        <w:t>;</w:t>
      </w:r>
      <w:r w:rsidRPr="00E945B0">
        <w:rPr>
          <w:rStyle w:val="sb8d990e2"/>
          <w:lang w:val="en-GB"/>
        </w:rPr>
        <w:t xml:space="preserve"> and </w:t>
      </w:r>
      <w:r w:rsidRPr="00493258">
        <w:rPr>
          <w:rStyle w:val="s6b621b36"/>
          <w:i/>
          <w:lang w:val="en-GB"/>
        </w:rPr>
        <w:t>Gaskin v. the United Kingdom</w:t>
      </w:r>
      <w:r w:rsidRPr="00E945B0">
        <w:rPr>
          <w:rStyle w:val="sb8d990e2"/>
          <w:lang w:val="en-GB"/>
        </w:rPr>
        <w:t>, cited above, § 49)</w:t>
      </w:r>
      <w:r>
        <w:rPr>
          <w:rStyle w:val="sb8d990e2"/>
          <w:lang w:val="en-GB"/>
        </w:rPr>
        <w:t xml:space="preserve"> or</w:t>
      </w:r>
      <w:r w:rsidRPr="00E945B0">
        <w:rPr>
          <w:rStyle w:val="sb8d990e2"/>
          <w:lang w:val="en-GB"/>
        </w:rPr>
        <w:t xml:space="preserve"> the impact on an applicant of a discordance between the social reality and the law, the coherence of the administrative and legal practices within the domestic system being regarded as an important factor in the assessment carried out under Article 8 (see </w:t>
      </w:r>
      <w:r w:rsidRPr="00493258">
        <w:rPr>
          <w:rStyle w:val="s6b621b36"/>
          <w:i/>
          <w:lang w:val="en-GB"/>
        </w:rPr>
        <w:t>B. v. France</w:t>
      </w:r>
      <w:r w:rsidRPr="00E945B0">
        <w:rPr>
          <w:rStyle w:val="sb8d990e2"/>
          <w:lang w:val="en-GB"/>
        </w:rPr>
        <w:t>, 25 March 1992, § 63, Series A no. 232</w:t>
      </w:r>
      <w:r w:rsidRPr="00E945B0">
        <w:rPr>
          <w:rStyle w:val="sb8d990e2"/>
          <w:lang w:val="en-GB"/>
        </w:rPr>
        <w:noBreakHyphen/>
        <w:t>C</w:t>
      </w:r>
      <w:r w:rsidR="0031194C">
        <w:rPr>
          <w:rStyle w:val="sb8d990e2"/>
          <w:lang w:val="en-GB"/>
        </w:rPr>
        <w:t>;</w:t>
      </w:r>
      <w:r w:rsidRPr="00E945B0">
        <w:rPr>
          <w:rStyle w:val="sb8d990e2"/>
          <w:lang w:val="en-GB"/>
        </w:rPr>
        <w:t xml:space="preserve"> and </w:t>
      </w:r>
      <w:r w:rsidRPr="00493258">
        <w:rPr>
          <w:rStyle w:val="s6b621b36"/>
          <w:i/>
          <w:lang w:val="en-GB"/>
        </w:rPr>
        <w:t xml:space="preserve">Christine </w:t>
      </w:r>
      <w:r w:rsidRPr="00493258">
        <w:rPr>
          <w:rStyle w:val="wordhighlighted"/>
          <w:i/>
          <w:lang w:val="en-GB"/>
        </w:rPr>
        <w:t>Goodwin</w:t>
      </w:r>
      <w:r w:rsidRPr="00493258">
        <w:rPr>
          <w:rStyle w:val="s6b621b36"/>
          <w:i/>
          <w:lang w:val="en-GB"/>
        </w:rPr>
        <w:t xml:space="preserve"> v. the United Kingdom</w:t>
      </w:r>
      <w:r w:rsidRPr="00E945B0">
        <w:rPr>
          <w:rStyle w:val="sb8d990e2"/>
          <w:lang w:val="en-GB"/>
        </w:rPr>
        <w:t xml:space="preserve"> [GC], cited above, §§ 77-78). </w:t>
      </w:r>
      <w:r>
        <w:rPr>
          <w:rStyle w:val="sb8d990e2"/>
          <w:lang w:val="en-GB"/>
        </w:rPr>
        <w:t>Other</w:t>
      </w:r>
      <w:r w:rsidRPr="00E945B0">
        <w:rPr>
          <w:rStyle w:val="sb8d990e2"/>
          <w:lang w:val="en-GB"/>
        </w:rPr>
        <w:t xml:space="preserve"> factors </w:t>
      </w:r>
      <w:r>
        <w:rPr>
          <w:rStyle w:val="sb8d990e2"/>
          <w:lang w:val="en-GB"/>
        </w:rPr>
        <w:t xml:space="preserve">relate to the impact of the alleged positive obligation at stake on </w:t>
      </w:r>
      <w:r w:rsidRPr="00E945B0">
        <w:rPr>
          <w:rStyle w:val="sb8d990e2"/>
          <w:lang w:val="en-GB"/>
        </w:rPr>
        <w:t>the State</w:t>
      </w:r>
      <w:r>
        <w:rPr>
          <w:rStyle w:val="sb8d990e2"/>
          <w:lang w:val="en-GB"/>
        </w:rPr>
        <w:t xml:space="preserve"> concerned. The question here is </w:t>
      </w:r>
      <w:r w:rsidRPr="00E945B0">
        <w:rPr>
          <w:rStyle w:val="sb8d990e2"/>
          <w:lang w:val="en-GB"/>
        </w:rPr>
        <w:t xml:space="preserve">whether the alleged obligation is narrow and </w:t>
      </w:r>
      <w:r>
        <w:rPr>
          <w:rStyle w:val="sb8d990e2"/>
          <w:lang w:val="en-GB"/>
        </w:rPr>
        <w:t xml:space="preserve">precise </w:t>
      </w:r>
      <w:r w:rsidRPr="00E945B0">
        <w:rPr>
          <w:rStyle w:val="sb8d990e2"/>
          <w:lang w:val="en-GB"/>
        </w:rPr>
        <w:t xml:space="preserve">or broad and indeterminate (see </w:t>
      </w:r>
      <w:r w:rsidRPr="005D4A7D">
        <w:rPr>
          <w:rStyle w:val="s6b621b36"/>
          <w:i/>
          <w:lang w:val="en-GB"/>
        </w:rPr>
        <w:t>Botta v. Italy</w:t>
      </w:r>
      <w:r w:rsidR="00846DB9">
        <w:rPr>
          <w:rStyle w:val="sb8d990e2"/>
          <w:lang w:val="en-GB"/>
        </w:rPr>
        <w:t>, 24 February </w:t>
      </w:r>
      <w:r w:rsidRPr="00E945B0">
        <w:rPr>
          <w:rStyle w:val="sb8d990e2"/>
          <w:lang w:val="en-GB"/>
        </w:rPr>
        <w:t xml:space="preserve">1998, § 35, </w:t>
      </w:r>
      <w:r w:rsidRPr="0072701E">
        <w:rPr>
          <w:rStyle w:val="s6b621b36"/>
          <w:i/>
          <w:lang w:val="en-GB"/>
        </w:rPr>
        <w:t xml:space="preserve">Reports </w:t>
      </w:r>
      <w:r w:rsidRPr="0072701E">
        <w:rPr>
          <w:rStyle w:val="sb8d990e2"/>
          <w:lang w:val="en-GB"/>
        </w:rPr>
        <w:t>1998</w:t>
      </w:r>
      <w:r w:rsidRPr="0072701E">
        <w:rPr>
          <w:rStyle w:val="sb8d990e2"/>
          <w:lang w:val="en-GB"/>
        </w:rPr>
        <w:noBreakHyphen/>
        <w:t>I) or</w:t>
      </w:r>
      <w:r>
        <w:rPr>
          <w:rStyle w:val="sb8d990e2"/>
          <w:lang w:val="en-GB"/>
        </w:rPr>
        <w:t xml:space="preserve"> about </w:t>
      </w:r>
      <w:r w:rsidRPr="00E945B0">
        <w:rPr>
          <w:rStyle w:val="sb8d990e2"/>
          <w:lang w:val="en-GB"/>
        </w:rPr>
        <w:t xml:space="preserve">the extent of any burden the obligation would impose on the State (see </w:t>
      </w:r>
      <w:r w:rsidRPr="005D4A7D">
        <w:rPr>
          <w:rStyle w:val="s6b621b36"/>
          <w:i/>
          <w:lang w:val="en-GB"/>
        </w:rPr>
        <w:t>Rees v. the United Kingdom</w:t>
      </w:r>
      <w:r w:rsidR="005D4A7D">
        <w:rPr>
          <w:rStyle w:val="sb8d990e2"/>
          <w:lang w:val="en-GB"/>
        </w:rPr>
        <w:t xml:space="preserve">, 17 </w:t>
      </w:r>
      <w:r w:rsidRPr="00E945B0">
        <w:rPr>
          <w:rStyle w:val="sb8d990e2"/>
          <w:lang w:val="en-GB"/>
        </w:rPr>
        <w:t>October 1986, §§ 43-44, Series A no. 106</w:t>
      </w:r>
      <w:r w:rsidR="0031194C">
        <w:rPr>
          <w:rStyle w:val="sb8d990e2"/>
          <w:lang w:val="en-GB"/>
        </w:rPr>
        <w:t>;</w:t>
      </w:r>
      <w:r w:rsidRPr="00E945B0">
        <w:rPr>
          <w:rStyle w:val="sb8d990e2"/>
          <w:lang w:val="en-GB"/>
        </w:rPr>
        <w:t xml:space="preserve"> and </w:t>
      </w:r>
      <w:r w:rsidRPr="005D4A7D">
        <w:rPr>
          <w:rStyle w:val="s6b621b36"/>
          <w:i/>
          <w:lang w:val="en-GB"/>
        </w:rPr>
        <w:t xml:space="preserve">Christine </w:t>
      </w:r>
      <w:r w:rsidRPr="005D4A7D">
        <w:rPr>
          <w:rStyle w:val="wordhighlighted"/>
          <w:i/>
          <w:lang w:val="en-GB"/>
        </w:rPr>
        <w:t>Goodwin</w:t>
      </w:r>
      <w:r w:rsidRPr="005D4A7D">
        <w:rPr>
          <w:rStyle w:val="s6b621b36"/>
          <w:i/>
          <w:lang w:val="en-GB"/>
        </w:rPr>
        <w:t xml:space="preserve"> v. the United Kingdom</w:t>
      </w:r>
      <w:r w:rsidRPr="00E945B0">
        <w:rPr>
          <w:rStyle w:val="sb8d990e2"/>
          <w:lang w:val="en-GB"/>
        </w:rPr>
        <w:t xml:space="preserve"> [GC], cited above, §§ 86-88).</w:t>
      </w:r>
    </w:p>
    <w:p w:rsidR="00910348" w:rsidRPr="00304463" w:rsidRDefault="00910348" w:rsidP="00910348">
      <w:pPr>
        <w:pStyle w:val="ECHRPara"/>
        <w:rPr>
          <w:rStyle w:val="sb8d990e2"/>
          <w:i/>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67</w:t>
      </w:r>
      <w:r w:rsidRPr="00E945B0">
        <w:rPr>
          <w:rStyle w:val="sb8d990e2"/>
          <w:lang w:val="en-GB"/>
        </w:rPr>
        <w:fldChar w:fldCharType="end"/>
      </w:r>
      <w:r w:rsidRPr="00E945B0">
        <w:rPr>
          <w:rStyle w:val="sb8d990e2"/>
          <w:lang w:val="en-GB"/>
        </w:rPr>
        <w:t>.  </w:t>
      </w:r>
      <w:r>
        <w:rPr>
          <w:rStyle w:val="sb8d990e2"/>
          <w:lang w:val="en-GB"/>
        </w:rPr>
        <w:t xml:space="preserve">In implementing their positive obligation under Article 8 the States enjoy a certain margin of appreciation. </w:t>
      </w:r>
      <w:r w:rsidRPr="00E945B0">
        <w:rPr>
          <w:rStyle w:val="sb8d990e2"/>
          <w:lang w:val="en-GB"/>
        </w:rPr>
        <w:t xml:space="preserve">A number of factors must be taken into account when determining the breadth of </w:t>
      </w:r>
      <w:r>
        <w:rPr>
          <w:rStyle w:val="sb8d990e2"/>
          <w:lang w:val="en-GB"/>
        </w:rPr>
        <w:t xml:space="preserve">that </w:t>
      </w:r>
      <w:r w:rsidRPr="00E945B0">
        <w:rPr>
          <w:rStyle w:val="sb8d990e2"/>
          <w:lang w:val="en-GB"/>
        </w:rPr>
        <w:t>margin. Where a particularly important facet of an individual</w:t>
      </w:r>
      <w:r w:rsidR="00C17A2C">
        <w:rPr>
          <w:rStyle w:val="sb8d990e2"/>
          <w:lang w:val="en-GB"/>
        </w:rPr>
        <w:t>’</w:t>
      </w:r>
      <w:r w:rsidRPr="00E945B0">
        <w:rPr>
          <w:rStyle w:val="sb8d990e2"/>
          <w:lang w:val="en-GB"/>
        </w:rPr>
        <w:t xml:space="preserve">s existence or identity is at stake, the margin allowed to the State will be restricted (see, for example, </w:t>
      </w:r>
      <w:r w:rsidRPr="005D4A7D">
        <w:rPr>
          <w:rStyle w:val="s6b621b36"/>
          <w:i/>
          <w:lang w:val="en-GB"/>
        </w:rPr>
        <w:t>X and Y v. the Netherlands</w:t>
      </w:r>
      <w:r w:rsidRPr="00E945B0">
        <w:rPr>
          <w:rStyle w:val="sb8d990e2"/>
          <w:lang w:val="en-GB"/>
        </w:rPr>
        <w:t xml:space="preserve">, cited above, §§ 24 and 27; </w:t>
      </w:r>
      <w:r w:rsidRPr="005D4A7D">
        <w:rPr>
          <w:rStyle w:val="s6b621b36"/>
          <w:i/>
          <w:lang w:val="en-GB"/>
        </w:rPr>
        <w:t>Christine Goodwin v. the United Kingdom</w:t>
      </w:r>
      <w:r w:rsidRPr="00E945B0">
        <w:rPr>
          <w:rStyle w:val="sb8d990e2"/>
          <w:lang w:val="en-GB"/>
        </w:rPr>
        <w:t xml:space="preserve"> [GC], cited above, § 90; see also </w:t>
      </w:r>
      <w:r w:rsidRPr="005D4A7D">
        <w:rPr>
          <w:rStyle w:val="s6b621b36"/>
          <w:i/>
          <w:lang w:val="en-GB"/>
        </w:rPr>
        <w:t>Pretty v. the United Kingdom</w:t>
      </w:r>
      <w:r w:rsidRPr="00E945B0">
        <w:rPr>
          <w:rStyle w:val="sb8d990e2"/>
          <w:lang w:val="en-GB"/>
        </w:rPr>
        <w:t xml:space="preserve">, </w:t>
      </w:r>
      <w:r w:rsidRPr="00E945B0">
        <w:rPr>
          <w:lang w:val="en-GB"/>
        </w:rPr>
        <w:t>no. 2346/02, § 71, ECHR 2002</w:t>
      </w:r>
      <w:r w:rsidRPr="00E945B0">
        <w:rPr>
          <w:lang w:val="en-GB"/>
        </w:rPr>
        <w:noBreakHyphen/>
        <w:t>III</w:t>
      </w:r>
      <w:r w:rsidRPr="00E945B0">
        <w:rPr>
          <w:rStyle w:val="sb8d990e2"/>
          <w:lang w:val="en-GB"/>
        </w:rPr>
        <w:t xml:space="preserve">). Where, however, there is no consensus within the member States of the Council of Europe, either as to the relative importance of the interest at stake or as to the best means of protecting it, particularly where the case raises sensitive moral or ethical issues, the margin will be wider (see </w:t>
      </w:r>
      <w:r w:rsidRPr="005D4A7D">
        <w:rPr>
          <w:rStyle w:val="s6b621b36"/>
          <w:i/>
          <w:lang w:val="en-GB"/>
        </w:rPr>
        <w:t>X, Y and Z v. the United Kingdom</w:t>
      </w:r>
      <w:r w:rsidRPr="00E945B0">
        <w:rPr>
          <w:rStyle w:val="sb8d990e2"/>
          <w:lang w:val="en-GB"/>
        </w:rPr>
        <w:t xml:space="preserve">, </w:t>
      </w:r>
      <w:r w:rsidRPr="00E945B0">
        <w:rPr>
          <w:rStyle w:val="sb8d990e2"/>
          <w:lang w:val="en-GB"/>
        </w:rPr>
        <w:lastRenderedPageBreak/>
        <w:t>22</w:t>
      </w:r>
      <w:r>
        <w:rPr>
          <w:rStyle w:val="sb8d990e2"/>
          <w:lang w:val="en-GB"/>
        </w:rPr>
        <w:t> </w:t>
      </w:r>
      <w:r w:rsidRPr="00E945B0">
        <w:rPr>
          <w:rStyle w:val="sb8d990e2"/>
          <w:lang w:val="en-GB"/>
        </w:rPr>
        <w:t xml:space="preserve">April 1997, § 44, </w:t>
      </w:r>
      <w:r w:rsidRPr="0072701E">
        <w:rPr>
          <w:rStyle w:val="s6b621b36"/>
          <w:i/>
          <w:lang w:val="en-GB"/>
        </w:rPr>
        <w:t xml:space="preserve">Reports </w:t>
      </w:r>
      <w:r w:rsidRPr="0072701E">
        <w:rPr>
          <w:rStyle w:val="sb8d990e2"/>
          <w:lang w:val="en-GB"/>
        </w:rPr>
        <w:t>1997</w:t>
      </w:r>
      <w:r w:rsidRPr="00E945B0">
        <w:rPr>
          <w:rStyle w:val="sb8d990e2"/>
          <w:lang w:val="en-GB"/>
        </w:rPr>
        <w:t xml:space="preserve">-II; </w:t>
      </w:r>
      <w:r w:rsidRPr="005D4A7D">
        <w:rPr>
          <w:rStyle w:val="s6b621b36"/>
          <w:i/>
          <w:lang w:val="en-GB"/>
        </w:rPr>
        <w:t>Fretté v. France</w:t>
      </w:r>
      <w:r w:rsidRPr="00E945B0">
        <w:rPr>
          <w:rStyle w:val="sb8d990e2"/>
          <w:lang w:val="en-GB"/>
        </w:rPr>
        <w:t>,</w:t>
      </w:r>
      <w:r w:rsidRPr="00E945B0">
        <w:rPr>
          <w:rStyle w:val="s6b621b36"/>
          <w:lang w:val="en-GB"/>
        </w:rPr>
        <w:t xml:space="preserve"> </w:t>
      </w:r>
      <w:r w:rsidRPr="00E945B0">
        <w:rPr>
          <w:rStyle w:val="sb8d990e2"/>
          <w:lang w:val="en-GB"/>
        </w:rPr>
        <w:t xml:space="preserve">no. </w:t>
      </w:r>
      <w:hyperlink r:id="rId17" w:anchor="{&quot;appno&quot;:[&quot;36515/97&quot;]}" w:tgtFrame="_blank" w:history="1">
        <w:r w:rsidRPr="00E945B0">
          <w:rPr>
            <w:rStyle w:val="Hipercze"/>
            <w:color w:val="auto"/>
            <w:u w:val="none"/>
            <w:lang w:val="en-GB"/>
          </w:rPr>
          <w:t>36515/97</w:t>
        </w:r>
      </w:hyperlink>
      <w:r w:rsidRPr="00E945B0">
        <w:rPr>
          <w:rStyle w:val="sb8d990e2"/>
          <w:lang w:val="en-GB"/>
        </w:rPr>
        <w:t xml:space="preserve">, § 41, ECHR 2002-I; and </w:t>
      </w:r>
      <w:r w:rsidRPr="005D4A7D">
        <w:rPr>
          <w:rStyle w:val="s6b621b36"/>
          <w:i/>
          <w:lang w:val="en-GB"/>
        </w:rPr>
        <w:t>Christine Goodwin v. the United Kingdom</w:t>
      </w:r>
      <w:r w:rsidRPr="00E945B0">
        <w:rPr>
          <w:rStyle w:val="sb8d990e2"/>
          <w:lang w:val="en-GB"/>
        </w:rPr>
        <w:t xml:space="preserve"> [GC],</w:t>
      </w:r>
      <w:r w:rsidRPr="00E945B0">
        <w:rPr>
          <w:rStyle w:val="s6b621b36"/>
          <w:lang w:val="en-GB"/>
        </w:rPr>
        <w:t xml:space="preserve"> </w:t>
      </w:r>
      <w:r w:rsidRPr="00E945B0">
        <w:rPr>
          <w:rStyle w:val="sb8d990e2"/>
          <w:lang w:val="en-GB"/>
        </w:rPr>
        <w:t xml:space="preserve">cited above, § 85). There will also usually be a wide margin if the State is required to strike a balance between competing private and public interests or Convention rights (see </w:t>
      </w:r>
      <w:r w:rsidR="00C558EA" w:rsidRPr="005D4A7D">
        <w:rPr>
          <w:rStyle w:val="s6b621b36"/>
          <w:i/>
          <w:lang w:val="en-GB"/>
        </w:rPr>
        <w:t>Fretté</w:t>
      </w:r>
      <w:r w:rsidR="00C558EA" w:rsidRPr="005D4A7D">
        <w:rPr>
          <w:i/>
          <w:lang w:val="en-GB"/>
        </w:rPr>
        <w:t xml:space="preserve"> v. France</w:t>
      </w:r>
      <w:r w:rsidR="00C558EA" w:rsidRPr="00E945B0">
        <w:rPr>
          <w:rStyle w:val="sb8d990e2"/>
          <w:lang w:val="en-GB"/>
        </w:rPr>
        <w:t>,</w:t>
      </w:r>
      <w:r w:rsidR="00C558EA" w:rsidRPr="00E945B0">
        <w:rPr>
          <w:rStyle w:val="s6b621b36"/>
          <w:lang w:val="en-GB"/>
        </w:rPr>
        <w:t xml:space="preserve"> cited above, </w:t>
      </w:r>
      <w:r w:rsidR="00C558EA">
        <w:rPr>
          <w:rStyle w:val="sb8d990e2"/>
          <w:lang w:val="en-GB"/>
        </w:rPr>
        <w:t xml:space="preserve">§ </w:t>
      </w:r>
      <w:r w:rsidR="00C558EA" w:rsidRPr="00E945B0">
        <w:rPr>
          <w:rStyle w:val="sb8d990e2"/>
          <w:lang w:val="en-GB"/>
        </w:rPr>
        <w:t>42</w:t>
      </w:r>
      <w:r w:rsidR="00C558EA">
        <w:rPr>
          <w:rStyle w:val="sb8d990e2"/>
          <w:lang w:val="en-GB"/>
        </w:rPr>
        <w:t xml:space="preserve">; </w:t>
      </w:r>
      <w:r w:rsidRPr="005D4A7D">
        <w:rPr>
          <w:rStyle w:val="s6b621b36"/>
          <w:i/>
          <w:lang w:val="en-GB"/>
        </w:rPr>
        <w:t xml:space="preserve">Odièvre </w:t>
      </w:r>
      <w:r w:rsidRPr="005D4A7D">
        <w:rPr>
          <w:i/>
          <w:lang w:val="en-GB"/>
        </w:rPr>
        <w:t>v. France</w:t>
      </w:r>
      <w:r w:rsidRPr="00E945B0">
        <w:rPr>
          <w:i/>
          <w:lang w:val="en-GB"/>
        </w:rPr>
        <w:t xml:space="preserve"> </w:t>
      </w:r>
      <w:r w:rsidRPr="00E945B0">
        <w:rPr>
          <w:lang w:val="en-GB"/>
        </w:rPr>
        <w:t>[GC],</w:t>
      </w:r>
      <w:r w:rsidRPr="00E945B0">
        <w:rPr>
          <w:rStyle w:val="sb8d990e2"/>
          <w:lang w:val="en-GB"/>
        </w:rPr>
        <w:t xml:space="preserve"> cited above, §§ 44-</w:t>
      </w:r>
      <w:r w:rsidRPr="0072701E">
        <w:rPr>
          <w:rStyle w:val="sb8d990e2"/>
          <w:lang w:val="en-GB"/>
        </w:rPr>
        <w:t>49</w:t>
      </w:r>
      <w:r w:rsidR="00304463" w:rsidRPr="0072701E">
        <w:rPr>
          <w:rStyle w:val="sb8d990e2"/>
          <w:lang w:val="en-GB"/>
        </w:rPr>
        <w:t xml:space="preserve">; </w:t>
      </w:r>
      <w:r w:rsidR="00304463" w:rsidRPr="00A952B1">
        <w:rPr>
          <w:i/>
          <w:szCs w:val="24"/>
          <w:lang w:val="en-GB"/>
        </w:rPr>
        <w:t>Evans v. the United Kingdom</w:t>
      </w:r>
      <w:r w:rsidR="00304463" w:rsidRPr="00A952B1">
        <w:rPr>
          <w:szCs w:val="24"/>
          <w:lang w:val="en-GB"/>
        </w:rPr>
        <w:t xml:space="preserve"> [GC], no. 6339/05</w:t>
      </w:r>
      <w:r w:rsidR="00304463" w:rsidRPr="00A952B1">
        <w:rPr>
          <w:lang w:val="en-GB"/>
        </w:rPr>
        <w:t>, § 77, ECHR 2007</w:t>
      </w:r>
      <w:r w:rsidR="00304463" w:rsidRPr="00A952B1">
        <w:rPr>
          <w:lang w:val="en-GB"/>
        </w:rPr>
        <w:noBreakHyphen/>
        <w:t xml:space="preserve">I; </w:t>
      </w:r>
      <w:r w:rsidR="00304463" w:rsidRPr="00A952B1">
        <w:rPr>
          <w:i/>
          <w:lang w:val="en-GB"/>
        </w:rPr>
        <w:t xml:space="preserve">Dickson v. the United Kingdom </w:t>
      </w:r>
      <w:r w:rsidR="00304463" w:rsidRPr="00A952B1">
        <w:rPr>
          <w:lang w:val="en-GB"/>
        </w:rPr>
        <w:t>[GC], no. 44362/04, § 78, ECHR 2007</w:t>
      </w:r>
      <w:r w:rsidR="00304463" w:rsidRPr="00A952B1">
        <w:rPr>
          <w:lang w:val="en-GB"/>
        </w:rPr>
        <w:noBreakHyphen/>
        <w:t xml:space="preserve">V; and </w:t>
      </w:r>
      <w:r w:rsidR="00304463" w:rsidRPr="00A952B1">
        <w:rPr>
          <w:i/>
          <w:lang w:val="en-GB"/>
        </w:rPr>
        <w:t xml:space="preserve">S.H. and Others v. Austria </w:t>
      </w:r>
      <w:r w:rsidR="00304463" w:rsidRPr="00A952B1">
        <w:rPr>
          <w:lang w:val="en-GB"/>
        </w:rPr>
        <w:t>[GC], no. 57813/00, § 94, ECHR 2011</w:t>
      </w:r>
      <w:r w:rsidRPr="0072701E">
        <w:rPr>
          <w:rStyle w:val="sb8d990e2"/>
          <w:lang w:val="en-GB"/>
        </w:rPr>
        <w:t>).</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68</w:t>
      </w:r>
      <w:r w:rsidRPr="00E945B0">
        <w:rPr>
          <w:rStyle w:val="sb8d990e2"/>
          <w:lang w:val="en-GB"/>
        </w:rPr>
        <w:fldChar w:fldCharType="end"/>
      </w:r>
      <w:r w:rsidRPr="00E945B0">
        <w:rPr>
          <w:rStyle w:val="sb8d990e2"/>
          <w:lang w:val="en-GB"/>
        </w:rPr>
        <w:t>.  </w:t>
      </w:r>
      <w:r w:rsidRPr="00E945B0">
        <w:rPr>
          <w:lang w:val="en-GB"/>
        </w:rPr>
        <w:t>T</w:t>
      </w:r>
      <w:r w:rsidRPr="00E945B0">
        <w:rPr>
          <w:rStyle w:val="sb8d990e2"/>
          <w:lang w:val="en-GB"/>
        </w:rPr>
        <w:t xml:space="preserve">he Court has </w:t>
      </w:r>
      <w:r>
        <w:rPr>
          <w:rStyle w:val="sb8d990e2"/>
          <w:lang w:val="en-GB"/>
        </w:rPr>
        <w:t xml:space="preserve">already </w:t>
      </w:r>
      <w:r w:rsidRPr="00E945B0">
        <w:rPr>
          <w:rStyle w:val="sb8d990e2"/>
          <w:lang w:val="en-GB"/>
        </w:rPr>
        <w:t>examined severa</w:t>
      </w:r>
      <w:r w:rsidRPr="00E945B0">
        <w:rPr>
          <w:rStyle w:val="wordhighlighted"/>
          <w:lang w:val="en-GB"/>
        </w:rPr>
        <w:t xml:space="preserve">l </w:t>
      </w:r>
      <w:r w:rsidRPr="00E945B0">
        <w:rPr>
          <w:rStyle w:val="sb8d990e2"/>
          <w:lang w:val="en-GB"/>
        </w:rPr>
        <w:t xml:space="preserve">cases </w:t>
      </w:r>
      <w:r>
        <w:rPr>
          <w:rStyle w:val="sb8d990e2"/>
          <w:lang w:val="en-GB"/>
        </w:rPr>
        <w:t>relating to the lack of legal recognition of gender reassignment surgery</w:t>
      </w:r>
      <w:r w:rsidRPr="00E945B0">
        <w:rPr>
          <w:rStyle w:val="sb8d990e2"/>
          <w:lang w:val="en-GB"/>
        </w:rPr>
        <w:t xml:space="preserve"> (see, for examp</w:t>
      </w:r>
      <w:r w:rsidRPr="00E945B0">
        <w:rPr>
          <w:rStyle w:val="wordhighlighted"/>
          <w:lang w:val="en-GB"/>
        </w:rPr>
        <w:t>le</w:t>
      </w:r>
      <w:r w:rsidRPr="00E945B0">
        <w:rPr>
          <w:rStyle w:val="sb8d990e2"/>
          <w:lang w:val="en-GB"/>
        </w:rPr>
        <w:t xml:space="preserve">, </w:t>
      </w:r>
      <w:r w:rsidRPr="005D4A7D">
        <w:rPr>
          <w:rStyle w:val="s6b621b36"/>
          <w:i/>
          <w:lang w:val="en-GB"/>
        </w:rPr>
        <w:t>Christine Goodwin v. the United Kingdom</w:t>
      </w:r>
      <w:r w:rsidRPr="00E945B0">
        <w:rPr>
          <w:rStyle w:val="sb8d990e2"/>
          <w:lang w:val="en-GB"/>
        </w:rPr>
        <w:t xml:space="preserve"> [GC], cited above; </w:t>
      </w:r>
      <w:r w:rsidRPr="005D4A7D">
        <w:rPr>
          <w:rStyle w:val="s6b621b36"/>
          <w:i/>
          <w:lang w:val="en-GB"/>
        </w:rPr>
        <w:t>Van Kück v. Germany</w:t>
      </w:r>
      <w:r w:rsidRPr="00E945B0">
        <w:rPr>
          <w:rStyle w:val="sb8d990e2"/>
          <w:lang w:val="en-GB"/>
        </w:rPr>
        <w:t>,</w:t>
      </w:r>
      <w:r w:rsidRPr="00E945B0">
        <w:rPr>
          <w:rStyle w:val="s6b621b36"/>
          <w:lang w:val="en-GB"/>
        </w:rPr>
        <w:t xml:space="preserve"> </w:t>
      </w:r>
      <w:r w:rsidRPr="00E945B0">
        <w:rPr>
          <w:rStyle w:val="sb8d990e2"/>
          <w:lang w:val="en-GB"/>
        </w:rPr>
        <w:t>no. 35968/97, ECHR 2003</w:t>
      </w:r>
      <w:r w:rsidRPr="00E945B0">
        <w:rPr>
          <w:rStyle w:val="sb8d990e2"/>
          <w:lang w:val="en-GB"/>
        </w:rPr>
        <w:noBreakHyphen/>
        <w:t xml:space="preserve">VII; </w:t>
      </w:r>
      <w:r w:rsidRPr="005D4A7D">
        <w:rPr>
          <w:rStyle w:val="s6b621b36"/>
          <w:i/>
          <w:lang w:val="en-GB"/>
        </w:rPr>
        <w:t>Grant v. the United Kingdom</w:t>
      </w:r>
      <w:r w:rsidRPr="00E945B0">
        <w:rPr>
          <w:rStyle w:val="sb8d990e2"/>
          <w:lang w:val="en-GB"/>
        </w:rPr>
        <w:t xml:space="preserve">, cited above; and </w:t>
      </w:r>
      <w:r w:rsidRPr="00E945B0">
        <w:rPr>
          <w:i/>
          <w:szCs w:val="24"/>
          <w:lang w:val="en-GB"/>
        </w:rPr>
        <w:t>L. v. Lithuania</w:t>
      </w:r>
      <w:r w:rsidRPr="00E945B0">
        <w:rPr>
          <w:szCs w:val="24"/>
          <w:lang w:val="en-GB"/>
        </w:rPr>
        <w:t xml:space="preserve">, cited above, </w:t>
      </w:r>
      <w:r w:rsidRPr="00D32625">
        <w:rPr>
          <w:szCs w:val="24"/>
          <w:lang w:val="en-GB"/>
        </w:rPr>
        <w:t>§ 56</w:t>
      </w:r>
      <w:r w:rsidRPr="00E945B0">
        <w:rPr>
          <w:rStyle w:val="sb8d990e2"/>
          <w:lang w:val="en-GB"/>
        </w:rPr>
        <w:t>). Whi</w:t>
      </w:r>
      <w:r w:rsidRPr="00E945B0">
        <w:rPr>
          <w:rStyle w:val="wordhighlighted"/>
          <w:lang w:val="en-GB"/>
        </w:rPr>
        <w:t>ls</w:t>
      </w:r>
      <w:r w:rsidRPr="00E945B0">
        <w:rPr>
          <w:rStyle w:val="sb8d990e2"/>
          <w:lang w:val="en-GB"/>
        </w:rPr>
        <w:t>t affording a certain margin of appreciation to States in this fie</w:t>
      </w:r>
      <w:r w:rsidRPr="00E945B0">
        <w:rPr>
          <w:rStyle w:val="wordhighlighted"/>
          <w:lang w:val="en-GB"/>
        </w:rPr>
        <w:t>ld</w:t>
      </w:r>
      <w:r w:rsidRPr="00E945B0">
        <w:rPr>
          <w:rStyle w:val="sb8d990e2"/>
          <w:lang w:val="en-GB"/>
        </w:rPr>
        <w:t xml:space="preserve">, </w:t>
      </w:r>
      <w:r>
        <w:rPr>
          <w:rStyle w:val="sb8d990e2"/>
          <w:lang w:val="en-GB"/>
        </w:rPr>
        <w:t xml:space="preserve">it </w:t>
      </w:r>
      <w:r w:rsidRPr="00E945B0">
        <w:rPr>
          <w:rStyle w:val="sb8d990e2"/>
          <w:lang w:val="en-GB"/>
        </w:rPr>
        <w:t>has he</w:t>
      </w:r>
      <w:r w:rsidRPr="00E945B0">
        <w:rPr>
          <w:rStyle w:val="wordhighlighted"/>
          <w:lang w:val="en-GB"/>
        </w:rPr>
        <w:t>ld</w:t>
      </w:r>
      <w:r w:rsidRPr="00E945B0">
        <w:rPr>
          <w:rStyle w:val="sb8d990e2"/>
          <w:lang w:val="en-GB"/>
        </w:rPr>
        <w:t xml:space="preserve"> that States are required, </w:t>
      </w:r>
      <w:r>
        <w:rPr>
          <w:rStyle w:val="sb8d990e2"/>
          <w:lang w:val="en-GB"/>
        </w:rPr>
        <w:t>in accordance with</w:t>
      </w:r>
      <w:r w:rsidRPr="00E945B0">
        <w:rPr>
          <w:rStyle w:val="sb8d990e2"/>
          <w:lang w:val="en-GB"/>
        </w:rPr>
        <w:t xml:space="preserve"> their positive ob</w:t>
      </w:r>
      <w:r w:rsidRPr="00E945B0">
        <w:rPr>
          <w:rStyle w:val="wordhighlighted"/>
          <w:lang w:val="en-GB"/>
        </w:rPr>
        <w:t>li</w:t>
      </w:r>
      <w:r w:rsidRPr="00E945B0">
        <w:rPr>
          <w:rStyle w:val="sb8d990e2"/>
          <w:lang w:val="en-GB"/>
        </w:rPr>
        <w:t>gation under Artic</w:t>
      </w:r>
      <w:r w:rsidRPr="00E945B0">
        <w:rPr>
          <w:rStyle w:val="wordhighlighted"/>
          <w:lang w:val="en-GB"/>
        </w:rPr>
        <w:t>le</w:t>
      </w:r>
      <w:r w:rsidRPr="00E945B0">
        <w:rPr>
          <w:rStyle w:val="sb8d990e2"/>
          <w:lang w:val="en-GB"/>
        </w:rPr>
        <w:t xml:space="preserve"> 8, to recogni</w:t>
      </w:r>
      <w:r>
        <w:rPr>
          <w:rStyle w:val="sb8d990e2"/>
          <w:lang w:val="en-GB"/>
        </w:rPr>
        <w:t>ze</w:t>
      </w:r>
      <w:r w:rsidRPr="00E945B0">
        <w:rPr>
          <w:rStyle w:val="sb8d990e2"/>
          <w:lang w:val="en-GB"/>
        </w:rPr>
        <w:t xml:space="preserve"> the change </w:t>
      </w:r>
      <w:r>
        <w:rPr>
          <w:rStyle w:val="sb8d990e2"/>
          <w:lang w:val="en-GB"/>
        </w:rPr>
        <w:t xml:space="preserve">of gender undergone by </w:t>
      </w:r>
      <w:r w:rsidRPr="00E945B0">
        <w:rPr>
          <w:rStyle w:val="sb8d990e2"/>
          <w:lang w:val="en-GB"/>
        </w:rPr>
        <w:t>post-operative trans</w:t>
      </w:r>
      <w:r>
        <w:rPr>
          <w:rStyle w:val="sb8d990e2"/>
          <w:lang w:val="en-GB"/>
        </w:rPr>
        <w:t>sexual</w:t>
      </w:r>
      <w:r w:rsidRPr="00E945B0">
        <w:rPr>
          <w:rStyle w:val="sb8d990e2"/>
          <w:lang w:val="en-GB"/>
        </w:rPr>
        <w:t xml:space="preserve">s through, </w:t>
      </w:r>
      <w:r w:rsidRPr="005D4A7D">
        <w:rPr>
          <w:rStyle w:val="s6b621b36"/>
          <w:i/>
          <w:lang w:val="en-GB"/>
        </w:rPr>
        <w:t>inter a</w:t>
      </w:r>
      <w:r w:rsidRPr="005D4A7D">
        <w:rPr>
          <w:rStyle w:val="wordhighlighted"/>
          <w:i/>
          <w:lang w:val="en-GB"/>
        </w:rPr>
        <w:t>li</w:t>
      </w:r>
      <w:r w:rsidRPr="005D4A7D">
        <w:rPr>
          <w:rStyle w:val="s6b621b36"/>
          <w:i/>
          <w:lang w:val="en-GB"/>
        </w:rPr>
        <w:t>a</w:t>
      </w:r>
      <w:r w:rsidRPr="00E945B0">
        <w:rPr>
          <w:rStyle w:val="sb8d990e2"/>
          <w:lang w:val="en-GB"/>
        </w:rPr>
        <w:t xml:space="preserve">, </w:t>
      </w:r>
      <w:r>
        <w:rPr>
          <w:rStyle w:val="sb8d990e2"/>
          <w:lang w:val="en-GB"/>
        </w:rPr>
        <w:t xml:space="preserve">the possibility to </w:t>
      </w:r>
      <w:r w:rsidRPr="00E945B0">
        <w:rPr>
          <w:rStyle w:val="sb8d990e2"/>
          <w:lang w:val="en-GB"/>
        </w:rPr>
        <w:t xml:space="preserve">amend </w:t>
      </w:r>
      <w:r>
        <w:rPr>
          <w:rStyle w:val="sb8d990e2"/>
          <w:lang w:val="en-GB"/>
        </w:rPr>
        <w:t xml:space="preserve">the data relating to </w:t>
      </w:r>
      <w:r w:rsidRPr="00E945B0">
        <w:rPr>
          <w:rStyle w:val="sb8d990e2"/>
          <w:lang w:val="en-GB"/>
        </w:rPr>
        <w:t>their civi</w:t>
      </w:r>
      <w:r w:rsidRPr="00E945B0">
        <w:rPr>
          <w:rStyle w:val="wordhighlighted"/>
          <w:lang w:val="en-GB"/>
        </w:rPr>
        <w:t>l</w:t>
      </w:r>
      <w:r>
        <w:rPr>
          <w:rStyle w:val="sb8d990e2"/>
          <w:lang w:val="en-GB"/>
        </w:rPr>
        <w:t xml:space="preserve"> </w:t>
      </w:r>
      <w:r w:rsidRPr="00E945B0">
        <w:rPr>
          <w:rStyle w:val="sb8d990e2"/>
          <w:lang w:val="en-GB"/>
        </w:rPr>
        <w:t>status</w:t>
      </w:r>
      <w:r>
        <w:rPr>
          <w:rStyle w:val="sb8d990e2"/>
          <w:lang w:val="en-GB"/>
        </w:rPr>
        <w:t>,</w:t>
      </w:r>
      <w:r w:rsidRPr="00E945B0">
        <w:rPr>
          <w:rStyle w:val="sb8d990e2"/>
          <w:lang w:val="en-GB"/>
        </w:rPr>
        <w:t xml:space="preserve"> </w:t>
      </w:r>
      <w:r>
        <w:rPr>
          <w:rStyle w:val="sb8d990e2"/>
          <w:lang w:val="en-GB"/>
        </w:rPr>
        <w:t xml:space="preserve">and the </w:t>
      </w:r>
      <w:r w:rsidRPr="00E945B0">
        <w:rPr>
          <w:rStyle w:val="sb8d990e2"/>
          <w:lang w:val="en-GB"/>
        </w:rPr>
        <w:t>ensuing consequences (see, for examp</w:t>
      </w:r>
      <w:r w:rsidRPr="00E945B0">
        <w:rPr>
          <w:rStyle w:val="wordhighlighted"/>
          <w:lang w:val="en-GB"/>
        </w:rPr>
        <w:t>le</w:t>
      </w:r>
      <w:r w:rsidRPr="00E945B0">
        <w:rPr>
          <w:rStyle w:val="sb8d990e2"/>
          <w:lang w:val="en-GB"/>
        </w:rPr>
        <w:t xml:space="preserve">, </w:t>
      </w:r>
      <w:r w:rsidRPr="005D4A7D">
        <w:rPr>
          <w:rStyle w:val="s6b621b36"/>
          <w:i/>
          <w:lang w:val="en-GB"/>
        </w:rPr>
        <w:t>Christine Goodwin v. the United Kingdom</w:t>
      </w:r>
      <w:r w:rsidRPr="00E945B0">
        <w:rPr>
          <w:rStyle w:val="sb8d990e2"/>
          <w:lang w:val="en-GB"/>
        </w:rPr>
        <w:t xml:space="preserve"> [GC], cited above, §§ 71-93</w:t>
      </w:r>
      <w:r w:rsidR="00DE022A">
        <w:rPr>
          <w:rStyle w:val="sb8d990e2"/>
          <w:lang w:val="en-GB"/>
        </w:rPr>
        <w:t>;</w:t>
      </w:r>
      <w:r w:rsidRPr="00E945B0">
        <w:rPr>
          <w:rStyle w:val="sb8d990e2"/>
          <w:lang w:val="en-GB"/>
        </w:rPr>
        <w:t xml:space="preserve"> and </w:t>
      </w:r>
      <w:r w:rsidRPr="005D4A7D">
        <w:rPr>
          <w:rStyle w:val="s6b621b36"/>
          <w:i/>
          <w:lang w:val="en-GB"/>
        </w:rPr>
        <w:t>Grant v. the United Kingdom</w:t>
      </w:r>
      <w:r w:rsidRPr="00E945B0">
        <w:rPr>
          <w:rStyle w:val="s6b621b36"/>
          <w:lang w:val="en-GB"/>
        </w:rPr>
        <w:t>, cited above</w:t>
      </w:r>
      <w:r w:rsidRPr="00E945B0">
        <w:rPr>
          <w:rStyle w:val="sb8d990e2"/>
          <w:lang w:val="en-GB"/>
        </w:rPr>
        <w:t>,</w:t>
      </w:r>
      <w:r w:rsidRPr="00E945B0">
        <w:rPr>
          <w:rStyle w:val="s6b621b36"/>
          <w:lang w:val="en-GB"/>
        </w:rPr>
        <w:t xml:space="preserve"> </w:t>
      </w:r>
      <w:r w:rsidRPr="00E945B0">
        <w:rPr>
          <w:rStyle w:val="sb8d990e2"/>
          <w:lang w:val="en-GB"/>
        </w:rPr>
        <w:t>§§ 39-44).</w:t>
      </w:r>
    </w:p>
    <w:p w:rsidR="00910348" w:rsidRPr="00E945B0" w:rsidRDefault="00910348" w:rsidP="00910348">
      <w:pPr>
        <w:pStyle w:val="ECHRHeading3"/>
        <w:rPr>
          <w:highlight w:val="yellow"/>
          <w:lang w:val="en-GB"/>
        </w:rPr>
      </w:pPr>
      <w:r w:rsidRPr="00E945B0">
        <w:rPr>
          <w:rStyle w:val="sdfc50a6a"/>
          <w:lang w:val="en-GB"/>
        </w:rPr>
        <w:t>4.  Application of the general principles to the applicant</w:t>
      </w:r>
      <w:r w:rsidR="00C17A2C">
        <w:rPr>
          <w:rStyle w:val="sdfc50a6a"/>
          <w:lang w:val="en-GB"/>
        </w:rPr>
        <w:t>’</w:t>
      </w:r>
      <w:r w:rsidRPr="00E945B0">
        <w:rPr>
          <w:rStyle w:val="sdfc50a6a"/>
          <w:lang w:val="en-GB"/>
        </w:rPr>
        <w:t>s case</w:t>
      </w:r>
    </w:p>
    <w:p w:rsidR="00910348"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69</w:t>
      </w:r>
      <w:r w:rsidRPr="00E945B0">
        <w:rPr>
          <w:rStyle w:val="sb8d990e2"/>
          <w:lang w:val="en-GB"/>
        </w:rPr>
        <w:fldChar w:fldCharType="end"/>
      </w:r>
      <w:r w:rsidRPr="00E945B0">
        <w:rPr>
          <w:rStyle w:val="sb8d990e2"/>
          <w:lang w:val="en-GB"/>
        </w:rPr>
        <w:t xml:space="preserve">.  The Court notes </w:t>
      </w:r>
      <w:r>
        <w:rPr>
          <w:rStyle w:val="sb8d990e2"/>
          <w:lang w:val="en-GB"/>
        </w:rPr>
        <w:t xml:space="preserve">first of all </w:t>
      </w:r>
      <w:r w:rsidRPr="00E945B0">
        <w:rPr>
          <w:rStyle w:val="sb8d990e2"/>
          <w:lang w:val="en-GB"/>
        </w:rPr>
        <w:t xml:space="preserve">that the applicant and her spouse were lawfully married under domestic law in 1996 and that they wish to remain married. </w:t>
      </w:r>
      <w:r>
        <w:rPr>
          <w:rStyle w:val="sb8d990e2"/>
          <w:lang w:val="en-GB"/>
        </w:rPr>
        <w:t>Under</w:t>
      </w:r>
      <w:r w:rsidRPr="00E945B0">
        <w:rPr>
          <w:rStyle w:val="sb8d990e2"/>
          <w:lang w:val="en-GB"/>
        </w:rPr>
        <w:t xml:space="preserve"> domestic law</w:t>
      </w:r>
      <w:r>
        <w:rPr>
          <w:rStyle w:val="sb8d990e2"/>
          <w:lang w:val="en-GB"/>
        </w:rPr>
        <w:t>,</w:t>
      </w:r>
      <w:r w:rsidRPr="00E945B0">
        <w:rPr>
          <w:rStyle w:val="sb8d990e2"/>
          <w:lang w:val="en-GB"/>
        </w:rPr>
        <w:t xml:space="preserve"> marriage is only permitted between persons of opposite </w:t>
      </w:r>
      <w:r>
        <w:rPr>
          <w:rStyle w:val="sb8d990e2"/>
          <w:lang w:val="en-GB"/>
        </w:rPr>
        <w:t>sex</w:t>
      </w:r>
      <w:r w:rsidRPr="00E945B0">
        <w:rPr>
          <w:rStyle w:val="sb8d990e2"/>
          <w:lang w:val="en-GB"/>
        </w:rPr>
        <w:t xml:space="preserve">. </w:t>
      </w:r>
      <w:r>
        <w:rPr>
          <w:rStyle w:val="sb8d990e2"/>
          <w:lang w:val="en-GB"/>
        </w:rPr>
        <w:t>S</w:t>
      </w:r>
      <w:r w:rsidRPr="00E945B0">
        <w:rPr>
          <w:rStyle w:val="sb8d990e2"/>
          <w:lang w:val="en-GB"/>
        </w:rPr>
        <w:t>ame-sex marriages are not</w:t>
      </w:r>
      <w:r>
        <w:rPr>
          <w:rStyle w:val="sb8d990e2"/>
          <w:lang w:val="en-GB"/>
        </w:rPr>
        <w:t>, for the time being,</w:t>
      </w:r>
      <w:r w:rsidRPr="00E945B0">
        <w:rPr>
          <w:rStyle w:val="sb8d990e2"/>
          <w:lang w:val="en-GB"/>
        </w:rPr>
        <w:t xml:space="preserve"> permitted </w:t>
      </w:r>
      <w:r>
        <w:rPr>
          <w:rStyle w:val="sb8d990e2"/>
          <w:lang w:val="en-GB"/>
        </w:rPr>
        <w:t>i</w:t>
      </w:r>
      <w:r w:rsidRPr="00E945B0">
        <w:rPr>
          <w:rStyle w:val="sb8d990e2"/>
          <w:lang w:val="en-GB"/>
        </w:rPr>
        <w:t xml:space="preserve">n Finland </w:t>
      </w:r>
      <w:r>
        <w:rPr>
          <w:rStyle w:val="sb8d990e2"/>
          <w:lang w:val="en-GB"/>
        </w:rPr>
        <w:t>al</w:t>
      </w:r>
      <w:r w:rsidRPr="00E945B0">
        <w:rPr>
          <w:rStyle w:val="sb8d990e2"/>
          <w:lang w:val="en-GB"/>
        </w:rPr>
        <w:t xml:space="preserve">though </w:t>
      </w:r>
      <w:r>
        <w:rPr>
          <w:rStyle w:val="sb8d990e2"/>
          <w:lang w:val="en-GB"/>
        </w:rPr>
        <w:t>that</w:t>
      </w:r>
      <w:r w:rsidRPr="00E945B0">
        <w:rPr>
          <w:rStyle w:val="sb8d990e2"/>
          <w:lang w:val="en-GB"/>
        </w:rPr>
        <w:t xml:space="preserve"> possibility is currently being examined by Parliament. On the other hand, the rights of same-sex couples are currently protected by the possibility of contracting a registered partnership.</w:t>
      </w:r>
    </w:p>
    <w:p w:rsidR="00910348" w:rsidRPr="00242D29" w:rsidRDefault="00910348" w:rsidP="00910348">
      <w:pPr>
        <w:pStyle w:val="ECHRPara"/>
        <w:rPr>
          <w:lang w:val="en-US"/>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70</w:t>
      </w:r>
      <w:r>
        <w:rPr>
          <w:rStyle w:val="sb8d990e2"/>
          <w:lang w:val="en-GB"/>
        </w:rPr>
        <w:fldChar w:fldCharType="end"/>
      </w:r>
      <w:r>
        <w:rPr>
          <w:rStyle w:val="sb8d990e2"/>
          <w:lang w:val="en-GB"/>
        </w:rPr>
        <w:t>.  The Court is mindful of the fact that the applicant is not advocating same-sex marriage in general but merely wants to preserve her own marriage. However, it considers that the applicant</w:t>
      </w:r>
      <w:r w:rsidR="00C17A2C">
        <w:rPr>
          <w:rStyle w:val="sb8d990e2"/>
          <w:lang w:val="en-GB"/>
        </w:rPr>
        <w:t>’</w:t>
      </w:r>
      <w:r>
        <w:rPr>
          <w:rStyle w:val="sb8d990e2"/>
          <w:lang w:val="en-GB"/>
        </w:rPr>
        <w:t xml:space="preserve">s </w:t>
      </w:r>
      <w:r w:rsidRPr="006779D0">
        <w:rPr>
          <w:lang w:val="en-US"/>
        </w:rPr>
        <w:t xml:space="preserve">claim, if accepted, would in practice lead to a situation in which two persons of the same sex could be married to each other. </w:t>
      </w:r>
      <w:r w:rsidRPr="00242D29">
        <w:rPr>
          <w:lang w:val="en-US"/>
        </w:rPr>
        <w:t>As already stated above, no such right currently exists in Finland. Therefore the Court must first examine whether the recognition of such a right is required in the circumstances by Article 8 of the Convention.</w:t>
      </w:r>
    </w:p>
    <w:p w:rsidR="00910348" w:rsidRPr="00242D29" w:rsidRDefault="00910348" w:rsidP="00910348">
      <w:pPr>
        <w:pStyle w:val="ECHRPara"/>
        <w:rPr>
          <w:rStyle w:val="sb8d990e2"/>
          <w:lang w:val="en-US"/>
        </w:rPr>
      </w:pPr>
      <w:r>
        <w:rPr>
          <w:lang w:val="en-GB"/>
        </w:rPr>
        <w:fldChar w:fldCharType="begin"/>
      </w:r>
      <w:r>
        <w:rPr>
          <w:lang w:val="en-GB"/>
        </w:rPr>
        <w:instrText xml:space="preserve"> SEQ level0 \*arabic </w:instrText>
      </w:r>
      <w:r>
        <w:rPr>
          <w:lang w:val="en-GB"/>
        </w:rPr>
        <w:fldChar w:fldCharType="separate"/>
      </w:r>
      <w:r w:rsidR="008B718E">
        <w:rPr>
          <w:noProof/>
          <w:lang w:val="en-GB"/>
        </w:rPr>
        <w:t>71</w:t>
      </w:r>
      <w:r>
        <w:rPr>
          <w:lang w:val="en-GB"/>
        </w:rPr>
        <w:fldChar w:fldCharType="end"/>
      </w:r>
      <w:r>
        <w:rPr>
          <w:lang w:val="en-GB"/>
        </w:rPr>
        <w:t>.  </w:t>
      </w:r>
      <w:r w:rsidRPr="00242D29">
        <w:rPr>
          <w:lang w:val="en-US"/>
        </w:rPr>
        <w:t xml:space="preserve">The Court reiterates its case-law according to which </w:t>
      </w:r>
      <w:r w:rsidRPr="009D4BA1">
        <w:rPr>
          <w:rStyle w:val="sb8d990e2"/>
          <w:lang w:val="en-GB"/>
        </w:rPr>
        <w:t xml:space="preserve">Article 8 of the Convention cannot be interpreted as imposing an obligation on Contracting States to grant same-sex couples access to marriage (see </w:t>
      </w:r>
      <w:r w:rsidRPr="009D4BA1">
        <w:rPr>
          <w:i/>
          <w:lang w:val="en-GB"/>
        </w:rPr>
        <w:t>Schalk and Kopf v. Austria</w:t>
      </w:r>
      <w:r w:rsidRPr="009D4BA1">
        <w:rPr>
          <w:lang w:val="en-GB"/>
        </w:rPr>
        <w:t>, no. 30141/04, § 101, ECHR 2010)</w:t>
      </w:r>
      <w:r w:rsidRPr="009D4BA1">
        <w:rPr>
          <w:rStyle w:val="sb8d990e2"/>
          <w:lang w:val="en-GB"/>
        </w:rPr>
        <w:t xml:space="preserve">. </w:t>
      </w:r>
      <w:r w:rsidRPr="005B2AAF">
        <w:rPr>
          <w:rStyle w:val="sb8d990e2"/>
          <w:lang w:val="en-GB"/>
        </w:rPr>
        <w:t>The Court has also held that the regulati</w:t>
      </w:r>
      <w:r w:rsidR="00666BDA">
        <w:rPr>
          <w:rStyle w:val="sb8d990e2"/>
          <w:lang w:val="en-GB"/>
        </w:rPr>
        <w:t>on of</w:t>
      </w:r>
      <w:r w:rsidRPr="005B2AAF">
        <w:rPr>
          <w:rStyle w:val="sb8d990e2"/>
          <w:lang w:val="en-GB"/>
        </w:rPr>
        <w:t xml:space="preserve"> the effects of a change of gender in the context of marriage falls</w:t>
      </w:r>
      <w:r w:rsidR="00666BDA">
        <w:rPr>
          <w:rStyle w:val="sb8d990e2"/>
          <w:lang w:val="en-GB"/>
        </w:rPr>
        <w:t xml:space="preserve"> to a large </w:t>
      </w:r>
      <w:r w:rsidR="00666BDA" w:rsidRPr="0072701E">
        <w:rPr>
          <w:rStyle w:val="sb8d990e2"/>
          <w:lang w:val="en-GB"/>
        </w:rPr>
        <w:t>extent</w:t>
      </w:r>
      <w:r w:rsidR="00BF799B" w:rsidRPr="0072701E">
        <w:rPr>
          <w:rStyle w:val="sb8d990e2"/>
          <w:lang w:val="en-GB"/>
        </w:rPr>
        <w:t xml:space="preserve">, </w:t>
      </w:r>
      <w:r w:rsidR="00182A39" w:rsidRPr="00A952B1">
        <w:rPr>
          <w:rStyle w:val="sb8d990e2"/>
          <w:lang w:val="en-GB"/>
        </w:rPr>
        <w:t xml:space="preserve">though </w:t>
      </w:r>
      <w:r w:rsidR="00BF799B" w:rsidRPr="00A952B1">
        <w:rPr>
          <w:rStyle w:val="sb8d990e2"/>
          <w:lang w:val="en-GB"/>
        </w:rPr>
        <w:t xml:space="preserve">not entirely, </w:t>
      </w:r>
      <w:r w:rsidRPr="0072701E">
        <w:rPr>
          <w:rStyle w:val="sb8d990e2"/>
          <w:lang w:val="en-GB"/>
        </w:rPr>
        <w:t xml:space="preserve">within the </w:t>
      </w:r>
      <w:r w:rsidR="0028648E" w:rsidRPr="0072701E">
        <w:rPr>
          <w:rStyle w:val="sb8d990e2"/>
          <w:lang w:val="en-GB"/>
        </w:rPr>
        <w:t>margin</w:t>
      </w:r>
      <w:r w:rsidR="0028648E" w:rsidRPr="005B2AAF">
        <w:rPr>
          <w:rStyle w:val="sb8d990e2"/>
          <w:lang w:val="en-GB"/>
        </w:rPr>
        <w:t xml:space="preserve"> of </w:t>
      </w:r>
      <w:r w:rsidRPr="005B2AAF">
        <w:rPr>
          <w:rStyle w:val="sb8d990e2"/>
          <w:lang w:val="en-GB"/>
        </w:rPr>
        <w:t xml:space="preserve">appreciation </w:t>
      </w:r>
      <w:r w:rsidRPr="005B2AAF">
        <w:rPr>
          <w:rStyle w:val="sb8d990e2"/>
          <w:lang w:val="en-GB"/>
        </w:rPr>
        <w:lastRenderedPageBreak/>
        <w:t>of the Contracting State (</w:t>
      </w:r>
      <w:r w:rsidRPr="0072701E">
        <w:rPr>
          <w:rStyle w:val="sb8d990e2"/>
          <w:lang w:val="en-GB"/>
        </w:rPr>
        <w:t xml:space="preserve">see </w:t>
      </w:r>
      <w:r w:rsidRPr="0072701E">
        <w:rPr>
          <w:rStyle w:val="s6b621b36"/>
          <w:i/>
          <w:lang w:val="en-GB"/>
        </w:rPr>
        <w:t>Christine Goodwin v. the United Kingdom</w:t>
      </w:r>
      <w:r w:rsidRPr="0072701E">
        <w:rPr>
          <w:rStyle w:val="sb8d990e2"/>
          <w:lang w:val="en-GB"/>
        </w:rPr>
        <w:t xml:space="preserve"> [GC], cited</w:t>
      </w:r>
      <w:r w:rsidRPr="0072701E">
        <w:rPr>
          <w:rStyle w:val="s6b621b36"/>
          <w:lang w:val="en-GB"/>
        </w:rPr>
        <w:t xml:space="preserve"> </w:t>
      </w:r>
      <w:r w:rsidRPr="0072701E">
        <w:rPr>
          <w:rStyle w:val="sb8d990e2"/>
          <w:lang w:val="en-GB"/>
        </w:rPr>
        <w:t xml:space="preserve">above, § 103). </w:t>
      </w:r>
      <w:r w:rsidR="00DF5307" w:rsidRPr="00A952B1">
        <w:rPr>
          <w:rStyle w:val="sb8d990e2"/>
          <w:lang w:val="en-GB"/>
        </w:rPr>
        <w:t>Furthermore, t</w:t>
      </w:r>
      <w:r w:rsidR="0028648E" w:rsidRPr="00A952B1">
        <w:rPr>
          <w:rStyle w:val="sb8d990e2"/>
          <w:lang w:val="en-GB"/>
        </w:rPr>
        <w:t xml:space="preserve">he </w:t>
      </w:r>
      <w:r w:rsidRPr="00242D29">
        <w:rPr>
          <w:lang w:val="en-US"/>
        </w:rPr>
        <w:t xml:space="preserve">Convention </w:t>
      </w:r>
      <w:r w:rsidR="0028648E" w:rsidRPr="00242D29">
        <w:rPr>
          <w:lang w:val="en-US"/>
        </w:rPr>
        <w:t xml:space="preserve">does not </w:t>
      </w:r>
      <w:r w:rsidRPr="00242D29">
        <w:rPr>
          <w:lang w:val="en-US"/>
        </w:rPr>
        <w:t xml:space="preserve">require that any further special arrangements be put in place for situations such as the present one. The Court found in 2006 in the case of </w:t>
      </w:r>
      <w:r w:rsidRPr="00242D29">
        <w:rPr>
          <w:i/>
          <w:lang w:val="en-US"/>
        </w:rPr>
        <w:t>Parry v. the United Kingdom</w:t>
      </w:r>
      <w:r w:rsidRPr="00242D29">
        <w:rPr>
          <w:lang w:val="en-US"/>
        </w:rPr>
        <w:t xml:space="preserve"> (</w:t>
      </w:r>
      <w:r w:rsidRPr="000E4B8F">
        <w:rPr>
          <w:lang w:val="en-GB"/>
        </w:rPr>
        <w:t xml:space="preserve">(dec.), </w:t>
      </w:r>
      <w:r w:rsidR="002D4900" w:rsidRPr="00A952B1">
        <w:rPr>
          <w:lang w:val="en-GB"/>
        </w:rPr>
        <w:t>cited above</w:t>
      </w:r>
      <w:r w:rsidRPr="0072701E">
        <w:rPr>
          <w:lang w:val="en-GB"/>
        </w:rPr>
        <w:t>)</w:t>
      </w:r>
      <w:r w:rsidRPr="00242D29">
        <w:rPr>
          <w:lang w:val="en-US"/>
        </w:rPr>
        <w:t xml:space="preserve"> that even if same-sex marriage was not allowed at the time in English law, </w:t>
      </w:r>
      <w:r w:rsidRPr="00242D29">
        <w:rPr>
          <w:rStyle w:val="sb8d990e2"/>
          <w:lang w:val="en-US"/>
        </w:rPr>
        <w:t>the applicants could continue their relationship in all its essentials and could also give it a legal status akin, if not identical, to marriage, through a civil partnership which carried with it almost all the same legal rights and obligations. The Court thus regarded civil partnership as an adequate option.</w:t>
      </w:r>
    </w:p>
    <w:p w:rsidR="00910348"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72</w:t>
      </w:r>
      <w:r w:rsidRPr="00E945B0">
        <w:rPr>
          <w:rStyle w:val="sb8d990e2"/>
          <w:lang w:val="en-GB"/>
        </w:rPr>
        <w:fldChar w:fldCharType="end"/>
      </w:r>
      <w:r w:rsidRPr="00E945B0">
        <w:rPr>
          <w:rStyle w:val="sb8d990e2"/>
          <w:lang w:val="en-GB"/>
        </w:rPr>
        <w:t xml:space="preserve">.  The </w:t>
      </w:r>
      <w:r>
        <w:rPr>
          <w:rStyle w:val="sb8d990e2"/>
          <w:lang w:val="en-GB"/>
        </w:rPr>
        <w:t>Court observes that the present case involves issues which are subject to constant developments in the Council of Europe member States. It</w:t>
      </w:r>
      <w:r w:rsidRPr="00E945B0">
        <w:rPr>
          <w:rStyle w:val="sb8d990e2"/>
          <w:lang w:val="en-GB"/>
        </w:rPr>
        <w:t xml:space="preserve"> </w:t>
      </w:r>
      <w:r>
        <w:rPr>
          <w:rStyle w:val="sb8d990e2"/>
          <w:lang w:val="en-GB"/>
        </w:rPr>
        <w:t xml:space="preserve">will therefore examine the situation </w:t>
      </w:r>
      <w:r w:rsidRPr="00E945B0">
        <w:rPr>
          <w:rStyle w:val="sb8d990e2"/>
          <w:lang w:val="en-GB"/>
        </w:rPr>
        <w:t>in other C</w:t>
      </w:r>
      <w:r>
        <w:rPr>
          <w:rStyle w:val="sb8d990e2"/>
          <w:lang w:val="en-GB"/>
        </w:rPr>
        <w:t>ouncil of Europe member States in respect of the issues at stake in the present case.</w:t>
      </w:r>
    </w:p>
    <w:p w:rsidR="00910348" w:rsidRPr="00E945B0" w:rsidRDefault="00910348" w:rsidP="00910348">
      <w:pPr>
        <w:pStyle w:val="ECHRPara"/>
        <w:rPr>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73</w:t>
      </w:r>
      <w:r>
        <w:rPr>
          <w:rStyle w:val="sb8d990e2"/>
          <w:lang w:val="en-GB"/>
        </w:rPr>
        <w:fldChar w:fldCharType="end"/>
      </w:r>
      <w:r w:rsidRPr="0072701E">
        <w:rPr>
          <w:rStyle w:val="sb8d990e2"/>
          <w:lang w:val="en-GB"/>
        </w:rPr>
        <w:t>.  </w:t>
      </w:r>
      <w:r w:rsidR="00DF5307" w:rsidRPr="00A952B1">
        <w:rPr>
          <w:rStyle w:val="sb8d990e2"/>
          <w:lang w:val="en-GB"/>
        </w:rPr>
        <w:t>From the information available to the Court (see paragraph 31 above),</w:t>
      </w:r>
      <w:r w:rsidR="00DF5307" w:rsidRPr="0072701E">
        <w:rPr>
          <w:rStyle w:val="sb8d990e2"/>
          <w:lang w:val="en-GB"/>
        </w:rPr>
        <w:t xml:space="preserve"> it</w:t>
      </w:r>
      <w:r w:rsidRPr="0072701E">
        <w:rPr>
          <w:rStyle w:val="sb8d990e2"/>
          <w:lang w:val="en-GB"/>
        </w:rPr>
        <w:t xml:space="preserve"> appears that currently ten member States allow same-sex marriage. </w:t>
      </w:r>
      <w:r w:rsidR="00C874D2" w:rsidRPr="00A952B1">
        <w:rPr>
          <w:rStyle w:val="sb8d990e2"/>
          <w:lang w:val="en-GB"/>
        </w:rPr>
        <w:t>Moreover,</w:t>
      </w:r>
      <w:r w:rsidR="00C874D2" w:rsidRPr="0072701E">
        <w:rPr>
          <w:rStyle w:val="sb8d990e2"/>
          <w:lang w:val="en-GB"/>
        </w:rPr>
        <w:t xml:space="preserve"> </w:t>
      </w:r>
      <w:r w:rsidRPr="0072701E">
        <w:rPr>
          <w:rStyle w:val="sb8d990e2"/>
          <w:lang w:val="en-GB"/>
        </w:rPr>
        <w:t>in the majority</w:t>
      </w:r>
      <w:r w:rsidRPr="00E945B0">
        <w:rPr>
          <w:rStyle w:val="sb8d990e2"/>
          <w:lang w:val="en-GB"/>
        </w:rPr>
        <w:t xml:space="preserve"> of the member States </w:t>
      </w:r>
      <w:r>
        <w:rPr>
          <w:rStyle w:val="sb8d990e2"/>
          <w:lang w:val="en-GB"/>
        </w:rPr>
        <w:t xml:space="preserve">not allowing same-sex marriage </w:t>
      </w:r>
      <w:r w:rsidRPr="00E945B0">
        <w:rPr>
          <w:lang w:val="en-GB"/>
        </w:rPr>
        <w:t>there is</w:t>
      </w:r>
      <w:r w:rsidR="00ED7DAE">
        <w:rPr>
          <w:lang w:val="en-GB"/>
        </w:rPr>
        <w:t xml:space="preserve"> either</w:t>
      </w:r>
      <w:r w:rsidRPr="00E945B0">
        <w:rPr>
          <w:lang w:val="en-GB"/>
        </w:rPr>
        <w:t xml:space="preserve"> no </w:t>
      </w:r>
      <w:r w:rsidR="000B4207">
        <w:rPr>
          <w:lang w:val="en-GB"/>
        </w:rPr>
        <w:t xml:space="preserve">clear </w:t>
      </w:r>
      <w:r w:rsidRPr="00E945B0">
        <w:rPr>
          <w:lang w:val="en-GB"/>
        </w:rPr>
        <w:t xml:space="preserve">legal framework for legal gender recognition </w:t>
      </w:r>
      <w:r w:rsidR="00452B94">
        <w:rPr>
          <w:lang w:val="en-GB"/>
        </w:rPr>
        <w:t>or</w:t>
      </w:r>
      <w:r w:rsidRPr="00E945B0">
        <w:rPr>
          <w:lang w:val="en-GB"/>
        </w:rPr>
        <w:t xml:space="preserve"> no legal provisions specifically deal</w:t>
      </w:r>
      <w:r>
        <w:rPr>
          <w:lang w:val="en-GB"/>
        </w:rPr>
        <w:t>ing</w:t>
      </w:r>
      <w:r w:rsidRPr="00E945B0">
        <w:rPr>
          <w:lang w:val="en-GB"/>
        </w:rPr>
        <w:t xml:space="preserve"> with the status of married persons who have undergone gender reassignment. Only </w:t>
      </w:r>
      <w:r w:rsidRPr="0072701E">
        <w:rPr>
          <w:lang w:val="en-GB"/>
        </w:rPr>
        <w:t>in six member States</w:t>
      </w:r>
      <w:r w:rsidRPr="000E4B8F">
        <w:rPr>
          <w:lang w:val="en-GB"/>
        </w:rPr>
        <w:t xml:space="preserve"> which do not allow same-sex marriage does</w:t>
      </w:r>
      <w:r w:rsidRPr="00E945B0">
        <w:rPr>
          <w:lang w:val="en-GB"/>
        </w:rPr>
        <w:t xml:space="preserve"> relevant legislation on gender recognition exist. In th</w:t>
      </w:r>
      <w:r>
        <w:rPr>
          <w:lang w:val="en-GB"/>
        </w:rPr>
        <w:t>o</w:t>
      </w:r>
      <w:r w:rsidRPr="00E945B0">
        <w:rPr>
          <w:lang w:val="en-GB"/>
        </w:rPr>
        <w:t>se States</w:t>
      </w:r>
      <w:r>
        <w:rPr>
          <w:lang w:val="en-GB"/>
        </w:rPr>
        <w:t xml:space="preserve"> either</w:t>
      </w:r>
      <w:r w:rsidRPr="00E945B0">
        <w:rPr>
          <w:lang w:val="en-GB"/>
        </w:rPr>
        <w:t xml:space="preserve"> the legislation specifically require</w:t>
      </w:r>
      <w:r>
        <w:rPr>
          <w:lang w:val="en-GB"/>
        </w:rPr>
        <w:t>s</w:t>
      </w:r>
      <w:r w:rsidRPr="00E945B0">
        <w:rPr>
          <w:lang w:val="en-GB"/>
        </w:rPr>
        <w:t xml:space="preserve"> that a person be single or divorced or there are general provisions stating that after a change of sex any existing marriage is declared null and void or dissolved. </w:t>
      </w:r>
      <w:r w:rsidR="00EF3DB7">
        <w:rPr>
          <w:lang w:val="en-GB"/>
        </w:rPr>
        <w:t>E</w:t>
      </w:r>
      <w:r w:rsidRPr="00E945B0">
        <w:rPr>
          <w:lang w:val="en-GB"/>
        </w:rPr>
        <w:t>xceptions allow</w:t>
      </w:r>
      <w:r>
        <w:rPr>
          <w:lang w:val="en-GB"/>
        </w:rPr>
        <w:t>ing</w:t>
      </w:r>
      <w:r w:rsidRPr="00E945B0">
        <w:rPr>
          <w:lang w:val="en-GB"/>
        </w:rPr>
        <w:t xml:space="preserve"> a married person to gain legal recognition of his or her acquired gender without having to end a pre-existing marriage seem to exist in</w:t>
      </w:r>
      <w:r w:rsidRPr="004C3550">
        <w:rPr>
          <w:lang w:val="en-GB"/>
        </w:rPr>
        <w:t xml:space="preserve"> </w:t>
      </w:r>
      <w:r w:rsidRPr="00E945B0">
        <w:rPr>
          <w:lang w:val="en-GB"/>
        </w:rPr>
        <w:t xml:space="preserve">only </w:t>
      </w:r>
      <w:r w:rsidRPr="006B2B58">
        <w:rPr>
          <w:lang w:val="en-GB"/>
        </w:rPr>
        <w:t>three</w:t>
      </w:r>
      <w:r w:rsidRPr="00E945B0">
        <w:rPr>
          <w:lang w:val="en-GB"/>
        </w:rPr>
        <w:t xml:space="preserve"> member States</w:t>
      </w:r>
      <w:r>
        <w:rPr>
          <w:lang w:val="en-GB"/>
        </w:rPr>
        <w:t xml:space="preserve"> (see </w:t>
      </w:r>
      <w:r w:rsidRPr="0072701E">
        <w:rPr>
          <w:lang w:val="en-GB"/>
        </w:rPr>
        <w:t xml:space="preserve">paragraphs </w:t>
      </w:r>
      <w:r w:rsidR="00452B94" w:rsidRPr="00A952B1">
        <w:rPr>
          <w:lang w:val="en-GB"/>
        </w:rPr>
        <w:t>31-33</w:t>
      </w:r>
      <w:r w:rsidRPr="0072701E">
        <w:rPr>
          <w:lang w:val="en-GB"/>
        </w:rPr>
        <w:t xml:space="preserve"> above</w:t>
      </w:r>
      <w:r>
        <w:rPr>
          <w:lang w:val="en-GB"/>
        </w:rPr>
        <w:t>)</w:t>
      </w:r>
      <w:r w:rsidRPr="00E945B0">
        <w:rPr>
          <w:lang w:val="en-GB"/>
        </w:rPr>
        <w:t>.</w:t>
      </w:r>
    </w:p>
    <w:p w:rsidR="00910348"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74</w:t>
      </w:r>
      <w:r w:rsidRPr="00E945B0">
        <w:rPr>
          <w:rStyle w:val="sb8d990e2"/>
          <w:lang w:val="en-GB"/>
        </w:rPr>
        <w:fldChar w:fldCharType="end"/>
      </w:r>
      <w:r w:rsidRPr="00E945B0">
        <w:rPr>
          <w:rStyle w:val="sb8d990e2"/>
          <w:lang w:val="en-GB"/>
        </w:rPr>
        <w:t>.  </w:t>
      </w:r>
      <w:r>
        <w:rPr>
          <w:rStyle w:val="sb8d990e2"/>
          <w:lang w:val="en-GB"/>
        </w:rPr>
        <w:t xml:space="preserve">Thus, </w:t>
      </w:r>
      <w:r w:rsidRPr="00E945B0">
        <w:rPr>
          <w:rStyle w:val="sb8d990e2"/>
          <w:lang w:val="en-GB"/>
        </w:rPr>
        <w:t>it cannot be said that there exist</w:t>
      </w:r>
      <w:r>
        <w:rPr>
          <w:rStyle w:val="sb8d990e2"/>
          <w:lang w:val="en-GB"/>
        </w:rPr>
        <w:t>s</w:t>
      </w:r>
      <w:r w:rsidRPr="00E945B0">
        <w:rPr>
          <w:rStyle w:val="sb8d990e2"/>
          <w:lang w:val="en-GB"/>
        </w:rPr>
        <w:t xml:space="preserve"> any European consensus on </w:t>
      </w:r>
      <w:r>
        <w:rPr>
          <w:rStyle w:val="sb8d990e2"/>
          <w:lang w:val="en-GB"/>
        </w:rPr>
        <w:t>allowing same-sex marriages. Nor is there any consensus in those States which do not allow same-sex marriages as to how to deal with gender recognition in the case of a pre-existing marriage</w:t>
      </w:r>
      <w:r w:rsidRPr="00E945B0">
        <w:rPr>
          <w:rStyle w:val="sb8d990e2"/>
          <w:lang w:val="en-GB"/>
        </w:rPr>
        <w:t xml:space="preserve">. The majority of the member States do not have any kind of legislation </w:t>
      </w:r>
      <w:r w:rsidRPr="00E945B0">
        <w:rPr>
          <w:lang w:val="en-GB"/>
        </w:rPr>
        <w:t xml:space="preserve">on gender recognition </w:t>
      </w:r>
      <w:r w:rsidRPr="00E945B0">
        <w:rPr>
          <w:rStyle w:val="sb8d990e2"/>
          <w:lang w:val="en-GB"/>
        </w:rPr>
        <w:t>in place. In addition to Finland, such legislation appears to exist in only six other States. The exceptions afforded to married trans</w:t>
      </w:r>
      <w:r>
        <w:rPr>
          <w:rStyle w:val="sb8d990e2"/>
          <w:lang w:val="en-GB"/>
        </w:rPr>
        <w:t>sexual</w:t>
      </w:r>
      <w:r w:rsidRPr="00E945B0">
        <w:rPr>
          <w:rStyle w:val="sb8d990e2"/>
          <w:lang w:val="en-GB"/>
        </w:rPr>
        <w:t xml:space="preserve">s are even fewer. </w:t>
      </w:r>
      <w:r>
        <w:rPr>
          <w:rStyle w:val="sb8d990e2"/>
          <w:lang w:val="en-GB"/>
        </w:rPr>
        <w:t xml:space="preserve">Thus, there are no signs that the situation in the Council of Europe member States has changed significantly since the Court </w:t>
      </w:r>
      <w:r w:rsidRPr="000E4B8F">
        <w:rPr>
          <w:rStyle w:val="sb8d990e2"/>
          <w:lang w:val="en-GB"/>
        </w:rPr>
        <w:t xml:space="preserve">delivered its latest </w:t>
      </w:r>
      <w:r w:rsidR="0028648E" w:rsidRPr="00A952B1">
        <w:rPr>
          <w:rStyle w:val="sb8d990e2"/>
          <w:lang w:val="en-GB"/>
        </w:rPr>
        <w:t>rulings</w:t>
      </w:r>
      <w:r w:rsidRPr="000E4B8F">
        <w:rPr>
          <w:rStyle w:val="sb8d990e2"/>
          <w:lang w:val="en-GB"/>
        </w:rPr>
        <w:t xml:space="preserve"> on these issues.</w:t>
      </w:r>
    </w:p>
    <w:p w:rsidR="00910348" w:rsidRDefault="00910348" w:rsidP="00910348">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75</w:t>
      </w:r>
      <w:r>
        <w:rPr>
          <w:rStyle w:val="sb8d990e2"/>
          <w:lang w:val="en-GB"/>
        </w:rPr>
        <w:fldChar w:fldCharType="end"/>
      </w:r>
      <w:r>
        <w:rPr>
          <w:rStyle w:val="sb8d990e2"/>
          <w:lang w:val="en-GB"/>
        </w:rPr>
        <w:t>.  </w:t>
      </w:r>
      <w:r w:rsidRPr="00E945B0">
        <w:rPr>
          <w:rStyle w:val="sb8d990e2"/>
          <w:lang w:val="en-GB"/>
        </w:rPr>
        <w:t xml:space="preserve">In the absence of </w:t>
      </w:r>
      <w:r>
        <w:rPr>
          <w:rStyle w:val="sb8d990e2"/>
          <w:lang w:val="en-GB"/>
        </w:rPr>
        <w:t xml:space="preserve">a </w:t>
      </w:r>
      <w:r w:rsidRPr="00E945B0">
        <w:rPr>
          <w:rStyle w:val="sb8d990e2"/>
          <w:lang w:val="en-GB"/>
        </w:rPr>
        <w:t xml:space="preserve">European consensus and taking into account that the case at stake undoubtedly raises sensitive moral or ethical issues, the Court considers that the margin of appreciation to be afforded to the respondent State must </w:t>
      </w:r>
      <w:r>
        <w:rPr>
          <w:rStyle w:val="sb8d990e2"/>
          <w:lang w:val="en-GB"/>
        </w:rPr>
        <w:t xml:space="preserve">still </w:t>
      </w:r>
      <w:r w:rsidRPr="00E945B0">
        <w:rPr>
          <w:rStyle w:val="sb8d990e2"/>
          <w:lang w:val="en-GB"/>
        </w:rPr>
        <w:t xml:space="preserve">be a wide one (see </w:t>
      </w:r>
      <w:r w:rsidRPr="005D4A7D">
        <w:rPr>
          <w:rStyle w:val="s6b621b36"/>
          <w:i/>
          <w:lang w:val="en-GB"/>
        </w:rPr>
        <w:t>X, Y and Z v. the United Kingdom</w:t>
      </w:r>
      <w:r w:rsidRPr="00E945B0">
        <w:rPr>
          <w:rStyle w:val="sb8d990e2"/>
          <w:lang w:val="en-GB"/>
        </w:rPr>
        <w:t xml:space="preserve">, cited above, § 44). </w:t>
      </w:r>
      <w:r>
        <w:rPr>
          <w:rStyle w:val="sb8d990e2"/>
          <w:lang w:val="en-GB"/>
        </w:rPr>
        <w:t>T</w:t>
      </w:r>
      <w:r w:rsidRPr="00E945B0">
        <w:rPr>
          <w:rStyle w:val="sb8d990e2"/>
          <w:lang w:val="en-GB"/>
        </w:rPr>
        <w:t>h</w:t>
      </w:r>
      <w:r>
        <w:rPr>
          <w:rStyle w:val="sb8d990e2"/>
          <w:lang w:val="en-GB"/>
        </w:rPr>
        <w:t>is</w:t>
      </w:r>
      <w:r w:rsidRPr="00E945B0">
        <w:rPr>
          <w:rStyle w:val="sb8d990e2"/>
          <w:lang w:val="en-GB"/>
        </w:rPr>
        <w:t xml:space="preserve"> margin must in principle extend both to the State</w:t>
      </w:r>
      <w:r w:rsidR="00C17A2C">
        <w:rPr>
          <w:rStyle w:val="sb8d990e2"/>
          <w:lang w:val="en-GB"/>
        </w:rPr>
        <w:t>’</w:t>
      </w:r>
      <w:r w:rsidRPr="00E945B0">
        <w:rPr>
          <w:rStyle w:val="sb8d990e2"/>
          <w:lang w:val="en-GB"/>
        </w:rPr>
        <w:t xml:space="preserve">s decision whether or not to enact legislation concerning legal </w:t>
      </w:r>
      <w:r w:rsidRPr="00E945B0">
        <w:rPr>
          <w:rStyle w:val="sb8d990e2"/>
          <w:lang w:val="en-GB"/>
        </w:rPr>
        <w:lastRenderedPageBreak/>
        <w:t>recognition of the new gender of post-operat</w:t>
      </w:r>
      <w:r>
        <w:rPr>
          <w:rStyle w:val="sb8d990e2"/>
          <w:lang w:val="en-GB"/>
        </w:rPr>
        <w:t>ive</w:t>
      </w:r>
      <w:r w:rsidRPr="00E945B0">
        <w:rPr>
          <w:rStyle w:val="sb8d990e2"/>
          <w:lang w:val="en-GB"/>
        </w:rPr>
        <w:t xml:space="preserve"> trans</w:t>
      </w:r>
      <w:r>
        <w:rPr>
          <w:rStyle w:val="sb8d990e2"/>
          <w:lang w:val="en-GB"/>
        </w:rPr>
        <w:t>sexual</w:t>
      </w:r>
      <w:r w:rsidRPr="00E945B0">
        <w:rPr>
          <w:rStyle w:val="sb8d990e2"/>
          <w:lang w:val="en-GB"/>
        </w:rPr>
        <w:t>s and, having intervened, to the rules it lays down in order to achieve a balance between the competing public and private interests.</w:t>
      </w:r>
    </w:p>
    <w:p w:rsidR="00910348" w:rsidRPr="00E945B0" w:rsidRDefault="00910348" w:rsidP="00910348">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76</w:t>
      </w:r>
      <w:r>
        <w:rPr>
          <w:rStyle w:val="sb8d990e2"/>
          <w:lang w:val="en-GB"/>
        </w:rPr>
        <w:fldChar w:fldCharType="end"/>
      </w:r>
      <w:r>
        <w:rPr>
          <w:rStyle w:val="sb8d990e2"/>
          <w:lang w:val="en-GB"/>
        </w:rPr>
        <w:t>.  </w:t>
      </w:r>
      <w:r w:rsidRPr="00E945B0">
        <w:rPr>
          <w:rStyle w:val="sb8d990e2"/>
          <w:lang w:val="en-GB"/>
        </w:rPr>
        <w:t>T</w:t>
      </w:r>
      <w:r>
        <w:rPr>
          <w:rStyle w:val="sb8d990e2"/>
          <w:lang w:val="en-GB"/>
        </w:rPr>
        <w:t>urning now to the domestic system, t</w:t>
      </w:r>
      <w:r w:rsidRPr="00E945B0">
        <w:rPr>
          <w:rStyle w:val="sb8d990e2"/>
          <w:lang w:val="en-GB"/>
        </w:rPr>
        <w:t xml:space="preserve">he Court </w:t>
      </w:r>
      <w:r>
        <w:rPr>
          <w:rStyle w:val="sb8d990e2"/>
          <w:lang w:val="en-GB"/>
        </w:rPr>
        <w:t>finds</w:t>
      </w:r>
      <w:r w:rsidRPr="00E945B0">
        <w:rPr>
          <w:rStyle w:val="sb8d990e2"/>
          <w:lang w:val="en-GB"/>
        </w:rPr>
        <w:t xml:space="preserve"> that Finnish domestic law currently provides the applicant with several options</w:t>
      </w:r>
      <w:r>
        <w:rPr>
          <w:rStyle w:val="sb8d990e2"/>
          <w:lang w:val="en-GB"/>
        </w:rPr>
        <w:t>. F</w:t>
      </w:r>
      <w:r w:rsidRPr="00E945B0">
        <w:rPr>
          <w:rStyle w:val="sb8d990e2"/>
          <w:lang w:val="en-GB"/>
        </w:rPr>
        <w:t xml:space="preserve">irst of all, she can maintain the status quo of her legal situation by remaining married and tolerating the inconvenience caused by the male identity number. The Court finds it established that in the Finnish system a legally contracted marriage between a different-sex couple is not annulled or dissolved </w:t>
      </w:r>
      <w:r>
        <w:rPr>
          <w:rStyle w:val="sb8d990e2"/>
          <w:lang w:val="en-GB"/>
        </w:rPr>
        <w:t>on account of</w:t>
      </w:r>
      <w:r w:rsidRPr="00E945B0">
        <w:rPr>
          <w:rStyle w:val="sb8d990e2"/>
          <w:lang w:val="en-GB"/>
        </w:rPr>
        <w:t xml:space="preserve"> the fact that one of the spouses has undergone </w:t>
      </w:r>
      <w:r w:rsidRPr="00E945B0">
        <w:rPr>
          <w:lang w:val="en-GB"/>
        </w:rPr>
        <w:t xml:space="preserve">reassignment surgery and is thus subsequently of the same sex as his or her spouse. Contrary to the situation in some other countries, in Finland a </w:t>
      </w:r>
      <w:r>
        <w:rPr>
          <w:lang w:val="en-GB"/>
        </w:rPr>
        <w:t xml:space="preserve">pre-existing </w:t>
      </w:r>
      <w:r w:rsidRPr="00E945B0">
        <w:rPr>
          <w:lang w:val="en-GB"/>
        </w:rPr>
        <w:t xml:space="preserve">marriage cannot be unilaterally annulled or dissolved by the domestic authorities. </w:t>
      </w:r>
      <w:r>
        <w:rPr>
          <w:lang w:val="en-GB"/>
        </w:rPr>
        <w:t>Accordingly, n</w:t>
      </w:r>
      <w:r w:rsidRPr="00E945B0">
        <w:rPr>
          <w:lang w:val="en-GB"/>
        </w:rPr>
        <w:t>othing prevents the applicant from continuing her marriage.</w:t>
      </w:r>
    </w:p>
    <w:p w:rsidR="00910348" w:rsidRDefault="00910348" w:rsidP="00910348">
      <w:pPr>
        <w:pStyle w:val="ECHRPara"/>
        <w:rPr>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77</w:t>
      </w:r>
      <w:r w:rsidRPr="00E945B0">
        <w:rPr>
          <w:rStyle w:val="sb8d990e2"/>
          <w:lang w:val="en-GB"/>
        </w:rPr>
        <w:fldChar w:fldCharType="end"/>
      </w:r>
      <w:r w:rsidRPr="00E945B0">
        <w:rPr>
          <w:rStyle w:val="sb8d990e2"/>
          <w:lang w:val="en-GB"/>
        </w:rPr>
        <w:t xml:space="preserve">.  Secondly, if the applicant wishes </w:t>
      </w:r>
      <w:r>
        <w:rPr>
          <w:rStyle w:val="sb8d990e2"/>
          <w:lang w:val="en-GB"/>
        </w:rPr>
        <w:t xml:space="preserve">both </w:t>
      </w:r>
      <w:r w:rsidRPr="00E945B0">
        <w:rPr>
          <w:rStyle w:val="sb8d990e2"/>
          <w:lang w:val="en-GB"/>
        </w:rPr>
        <w:t xml:space="preserve">to obtain legal recognition of her new gender and </w:t>
      </w:r>
      <w:r>
        <w:rPr>
          <w:rStyle w:val="sb8d990e2"/>
          <w:lang w:val="en-GB"/>
        </w:rPr>
        <w:t xml:space="preserve">to have </w:t>
      </w:r>
      <w:r w:rsidRPr="00E945B0">
        <w:rPr>
          <w:rStyle w:val="sb8d990e2"/>
          <w:lang w:val="en-GB"/>
        </w:rPr>
        <w:t xml:space="preserve">her relationship </w:t>
      </w:r>
      <w:r>
        <w:rPr>
          <w:rStyle w:val="sb8d990e2"/>
          <w:lang w:val="en-GB"/>
        </w:rPr>
        <w:t>with</w:t>
      </w:r>
      <w:r w:rsidRPr="00E945B0">
        <w:rPr>
          <w:rStyle w:val="sb8d990e2"/>
          <w:lang w:val="en-GB"/>
        </w:rPr>
        <w:t xml:space="preserve"> her wife</w:t>
      </w:r>
      <w:r>
        <w:rPr>
          <w:rStyle w:val="sb8d990e2"/>
          <w:lang w:val="en-GB"/>
        </w:rPr>
        <w:t xml:space="preserve"> </w:t>
      </w:r>
      <w:r w:rsidRPr="00E945B0">
        <w:rPr>
          <w:rStyle w:val="sb8d990e2"/>
          <w:lang w:val="en-GB"/>
        </w:rPr>
        <w:t>legal</w:t>
      </w:r>
      <w:r>
        <w:rPr>
          <w:rStyle w:val="sb8d990e2"/>
          <w:lang w:val="en-GB"/>
        </w:rPr>
        <w:t>ly</w:t>
      </w:r>
      <w:r w:rsidRPr="00E945B0">
        <w:rPr>
          <w:rStyle w:val="sb8d990e2"/>
          <w:lang w:val="en-GB"/>
        </w:rPr>
        <w:t xml:space="preserve"> protect</w:t>
      </w:r>
      <w:r>
        <w:rPr>
          <w:rStyle w:val="sb8d990e2"/>
          <w:lang w:val="en-GB"/>
        </w:rPr>
        <w:t>ed</w:t>
      </w:r>
      <w:r w:rsidRPr="00E945B0">
        <w:rPr>
          <w:rStyle w:val="sb8d990e2"/>
          <w:lang w:val="en-GB"/>
        </w:rPr>
        <w:t xml:space="preserve">, Finnish legislation provides for a possibility to convert their marriage into a registered partnership, with the consent of the </w:t>
      </w:r>
      <w:r>
        <w:rPr>
          <w:rStyle w:val="sb8d990e2"/>
          <w:lang w:val="en-GB"/>
        </w:rPr>
        <w:t>applicant</w:t>
      </w:r>
      <w:r w:rsidR="00C17A2C">
        <w:rPr>
          <w:rStyle w:val="sb8d990e2"/>
          <w:lang w:val="en-GB"/>
        </w:rPr>
        <w:t>’</w:t>
      </w:r>
      <w:r>
        <w:rPr>
          <w:rStyle w:val="sb8d990e2"/>
          <w:lang w:val="en-GB"/>
        </w:rPr>
        <w:t xml:space="preserve">s </w:t>
      </w:r>
      <w:r w:rsidRPr="00E945B0">
        <w:rPr>
          <w:rStyle w:val="sb8d990e2"/>
          <w:lang w:val="en-GB"/>
        </w:rPr>
        <w:t>wife.</w:t>
      </w:r>
      <w:r w:rsidRPr="00E945B0">
        <w:rPr>
          <w:lang w:val="en-GB"/>
        </w:rPr>
        <w:t xml:space="preserve"> </w:t>
      </w:r>
      <w:r>
        <w:rPr>
          <w:lang w:val="en-GB"/>
        </w:rPr>
        <w:t>Under</w:t>
      </w:r>
      <w:r w:rsidRPr="00E945B0">
        <w:rPr>
          <w:lang w:val="en-GB"/>
        </w:rPr>
        <w:t xml:space="preserve"> the domestic law, if the spouse</w:t>
      </w:r>
      <w:r w:rsidR="00C17A2C">
        <w:rPr>
          <w:lang w:val="en-GB"/>
        </w:rPr>
        <w:t>’</w:t>
      </w:r>
      <w:r w:rsidRPr="00E945B0">
        <w:rPr>
          <w:lang w:val="en-GB"/>
        </w:rPr>
        <w:t xml:space="preserve">s consent </w:t>
      </w:r>
      <w:r>
        <w:rPr>
          <w:lang w:val="en-GB"/>
        </w:rPr>
        <w:t xml:space="preserve">to the change of gender </w:t>
      </w:r>
      <w:r w:rsidRPr="00E945B0">
        <w:rPr>
          <w:lang w:val="en-GB"/>
        </w:rPr>
        <w:t xml:space="preserve">is received, a marriage turns automatically, </w:t>
      </w:r>
      <w:r w:rsidRPr="00E945B0">
        <w:rPr>
          <w:i/>
          <w:lang w:val="en-GB"/>
        </w:rPr>
        <w:t>ex lege</w:t>
      </w:r>
      <w:r w:rsidRPr="00E945B0">
        <w:rPr>
          <w:lang w:val="en-GB"/>
        </w:rPr>
        <w:t xml:space="preserve">, into a registered partnership and a registered partnership into a </w:t>
      </w:r>
      <w:r>
        <w:rPr>
          <w:lang w:val="en-GB"/>
        </w:rPr>
        <w:t xml:space="preserve">marriage, depending on </w:t>
      </w:r>
      <w:r w:rsidRPr="000E4B8F">
        <w:rPr>
          <w:lang w:val="en-GB"/>
        </w:rPr>
        <w:t xml:space="preserve">the </w:t>
      </w:r>
      <w:r w:rsidRPr="004926A0">
        <w:rPr>
          <w:lang w:val="en-GB"/>
        </w:rPr>
        <w:t>situation</w:t>
      </w:r>
      <w:r>
        <w:rPr>
          <w:lang w:val="en-GB"/>
        </w:rPr>
        <w:t>.</w:t>
      </w:r>
    </w:p>
    <w:p w:rsidR="00910348" w:rsidRPr="00E945B0" w:rsidRDefault="00910348" w:rsidP="00910348">
      <w:pPr>
        <w:pStyle w:val="ECHRPara"/>
        <w:rPr>
          <w:rStyle w:val="sb8d990e2"/>
          <w:highlight w:val="yellow"/>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78</w:t>
      </w:r>
      <w:r w:rsidRPr="00E945B0">
        <w:rPr>
          <w:rStyle w:val="sb8d990e2"/>
          <w:lang w:val="en-GB"/>
        </w:rPr>
        <w:fldChar w:fldCharType="end"/>
      </w:r>
      <w:r w:rsidRPr="00E945B0">
        <w:rPr>
          <w:rStyle w:val="sb8d990e2"/>
          <w:lang w:val="en-GB"/>
        </w:rPr>
        <w:t xml:space="preserve">.  The third option provided by the domestic law is the option of divorce. </w:t>
      </w:r>
      <w:r>
        <w:rPr>
          <w:rStyle w:val="sb8d990e2"/>
          <w:lang w:val="en-GB"/>
        </w:rPr>
        <w:t>As</w:t>
      </w:r>
      <w:r w:rsidRPr="00E945B0">
        <w:rPr>
          <w:rStyle w:val="sb8d990e2"/>
          <w:lang w:val="en-GB"/>
        </w:rPr>
        <w:t xml:space="preserve"> for any other married couple, this option is also open to the applicant if she so wishes. Contrary to the applicant</w:t>
      </w:r>
      <w:r w:rsidR="00C17A2C">
        <w:rPr>
          <w:rStyle w:val="sb8d990e2"/>
          <w:lang w:val="en-GB"/>
        </w:rPr>
        <w:t>’</w:t>
      </w:r>
      <w:r>
        <w:rPr>
          <w:rStyle w:val="sb8d990e2"/>
          <w:lang w:val="en-GB"/>
        </w:rPr>
        <w:t>s assertions</w:t>
      </w:r>
      <w:r w:rsidRPr="00E945B0">
        <w:rPr>
          <w:rStyle w:val="sb8d990e2"/>
          <w:lang w:val="en-GB"/>
        </w:rPr>
        <w:t xml:space="preserve">, the Court considers that there is nothing in the Finnish legal system which </w:t>
      </w:r>
      <w:r>
        <w:rPr>
          <w:rStyle w:val="sb8d990e2"/>
          <w:lang w:val="en-GB"/>
        </w:rPr>
        <w:t>can</w:t>
      </w:r>
      <w:r w:rsidRPr="00E945B0">
        <w:rPr>
          <w:rStyle w:val="sb8d990e2"/>
          <w:lang w:val="en-GB"/>
        </w:rPr>
        <w:t xml:space="preserve"> be understood as implying that the applicant</w:t>
      </w:r>
      <w:r>
        <w:rPr>
          <w:rStyle w:val="sb8d990e2"/>
          <w:lang w:val="en-GB"/>
        </w:rPr>
        <w:t xml:space="preserve"> must divorce</w:t>
      </w:r>
      <w:r w:rsidRPr="00E945B0">
        <w:rPr>
          <w:lang w:val="en-GB"/>
        </w:rPr>
        <w:t xml:space="preserve"> against her will. </w:t>
      </w:r>
      <w:r>
        <w:rPr>
          <w:lang w:val="en-GB"/>
        </w:rPr>
        <w:t>O</w:t>
      </w:r>
      <w:r w:rsidRPr="00E945B0">
        <w:rPr>
          <w:lang w:val="en-GB"/>
        </w:rPr>
        <w:t>n the contrary,</w:t>
      </w:r>
      <w:r>
        <w:rPr>
          <w:lang w:val="en-GB"/>
        </w:rPr>
        <w:t xml:space="preserve"> t</w:t>
      </w:r>
      <w:r w:rsidRPr="00E945B0">
        <w:rPr>
          <w:lang w:val="en-GB"/>
        </w:rPr>
        <w:t xml:space="preserve">he Court finds that </w:t>
      </w:r>
      <w:r>
        <w:rPr>
          <w:lang w:val="en-GB"/>
        </w:rPr>
        <w:t>in the Finnish legal system</w:t>
      </w:r>
      <w:r w:rsidRPr="00094132">
        <w:rPr>
          <w:lang w:val="en-GB"/>
        </w:rPr>
        <w:t xml:space="preserve"> </w:t>
      </w:r>
      <w:r w:rsidRPr="00E945B0">
        <w:rPr>
          <w:lang w:val="en-GB"/>
        </w:rPr>
        <w:t>the possibility of divorcing</w:t>
      </w:r>
      <w:r>
        <w:rPr>
          <w:lang w:val="en-GB"/>
        </w:rPr>
        <w:t xml:space="preserve"> </w:t>
      </w:r>
      <w:r w:rsidRPr="00E945B0">
        <w:rPr>
          <w:lang w:val="en-GB"/>
        </w:rPr>
        <w:t>is at the applicant</w:t>
      </w:r>
      <w:r w:rsidR="00C17A2C">
        <w:rPr>
          <w:lang w:val="en-GB"/>
        </w:rPr>
        <w:t>’</w:t>
      </w:r>
      <w:r w:rsidRPr="00E945B0">
        <w:rPr>
          <w:lang w:val="en-GB"/>
        </w:rPr>
        <w:t>s own discretion.</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79</w:t>
      </w:r>
      <w:r w:rsidRPr="00E945B0">
        <w:rPr>
          <w:rStyle w:val="sb8d990e2"/>
          <w:lang w:val="en-GB"/>
        </w:rPr>
        <w:fldChar w:fldCharType="end"/>
      </w:r>
      <w:r w:rsidRPr="00E945B0">
        <w:rPr>
          <w:rStyle w:val="sb8d990e2"/>
          <w:lang w:val="en-GB"/>
        </w:rPr>
        <w:t xml:space="preserve">.  Leaving aside the options of </w:t>
      </w:r>
      <w:r>
        <w:rPr>
          <w:rStyle w:val="sb8d990e2"/>
          <w:lang w:val="en-GB"/>
        </w:rPr>
        <w:t xml:space="preserve">maintaining the </w:t>
      </w:r>
      <w:r w:rsidRPr="00E945B0">
        <w:rPr>
          <w:rStyle w:val="sb8d990e2"/>
          <w:lang w:val="en-GB"/>
        </w:rPr>
        <w:t xml:space="preserve">status quo </w:t>
      </w:r>
      <w:r>
        <w:rPr>
          <w:rStyle w:val="sb8d990e2"/>
          <w:lang w:val="en-GB"/>
        </w:rPr>
        <w:t>or</w:t>
      </w:r>
      <w:r w:rsidRPr="00E945B0">
        <w:rPr>
          <w:rStyle w:val="sb8d990e2"/>
          <w:lang w:val="en-GB"/>
        </w:rPr>
        <w:t xml:space="preserve"> divorc</w:t>
      </w:r>
      <w:r>
        <w:rPr>
          <w:rStyle w:val="sb8d990e2"/>
          <w:lang w:val="en-GB"/>
        </w:rPr>
        <w:t>ing</w:t>
      </w:r>
      <w:r w:rsidRPr="00E945B0">
        <w:rPr>
          <w:rStyle w:val="sb8d990e2"/>
          <w:lang w:val="en-GB"/>
        </w:rPr>
        <w:t>, the applicant</w:t>
      </w:r>
      <w:r w:rsidR="00C17A2C">
        <w:rPr>
          <w:rStyle w:val="sb8d990e2"/>
          <w:lang w:val="en-GB"/>
        </w:rPr>
        <w:t>’</w:t>
      </w:r>
      <w:r w:rsidRPr="00E945B0">
        <w:rPr>
          <w:rStyle w:val="sb8d990e2"/>
          <w:lang w:val="en-GB"/>
        </w:rPr>
        <w:t xml:space="preserve">s complaint is primarily </w:t>
      </w:r>
      <w:r>
        <w:rPr>
          <w:rStyle w:val="sb8d990e2"/>
          <w:lang w:val="en-GB"/>
        </w:rPr>
        <w:t>directed</w:t>
      </w:r>
      <w:r w:rsidRPr="00E945B0">
        <w:rPr>
          <w:rStyle w:val="sb8d990e2"/>
          <w:lang w:val="en-GB"/>
        </w:rPr>
        <w:t xml:space="preserve"> at the second option</w:t>
      </w:r>
      <w:r>
        <w:rPr>
          <w:rStyle w:val="sb8d990e2"/>
          <w:lang w:val="en-GB"/>
        </w:rPr>
        <w:t>:</w:t>
      </w:r>
      <w:r w:rsidRPr="00E945B0">
        <w:rPr>
          <w:rStyle w:val="sb8d990e2"/>
          <w:lang w:val="en-GB"/>
        </w:rPr>
        <w:t xml:space="preserve"> providing legal recognition of </w:t>
      </w:r>
      <w:r>
        <w:rPr>
          <w:rStyle w:val="sb8d990e2"/>
          <w:lang w:val="en-GB"/>
        </w:rPr>
        <w:t>the</w:t>
      </w:r>
      <w:r w:rsidRPr="00E945B0">
        <w:rPr>
          <w:rStyle w:val="sb8d990e2"/>
          <w:lang w:val="en-GB"/>
        </w:rPr>
        <w:t xml:space="preserve"> new gender while at the same time legally protecting an existing relationship. </w:t>
      </w:r>
      <w:r>
        <w:rPr>
          <w:rStyle w:val="sb8d990e2"/>
          <w:lang w:val="en-GB"/>
        </w:rPr>
        <w:t xml:space="preserve">Thus, </w:t>
      </w:r>
      <w:r w:rsidRPr="00E945B0">
        <w:rPr>
          <w:rStyle w:val="sb8d990e2"/>
          <w:lang w:val="en-GB"/>
        </w:rPr>
        <w:t>the key question in the present case is whether the Finnish system</w:t>
      </w:r>
      <w:r w:rsidRPr="00094132">
        <w:rPr>
          <w:rStyle w:val="sb8d990e2"/>
          <w:lang w:val="en-GB"/>
        </w:rPr>
        <w:t xml:space="preserve"> </w:t>
      </w:r>
      <w:r w:rsidRPr="00E945B0">
        <w:rPr>
          <w:rStyle w:val="sb8d990e2"/>
          <w:lang w:val="en-GB"/>
        </w:rPr>
        <w:t>current</w:t>
      </w:r>
      <w:r>
        <w:rPr>
          <w:rStyle w:val="sb8d990e2"/>
          <w:lang w:val="en-GB"/>
        </w:rPr>
        <w:t>ly</w:t>
      </w:r>
      <w:r w:rsidRPr="00E945B0">
        <w:rPr>
          <w:rStyle w:val="sb8d990e2"/>
          <w:lang w:val="en-GB"/>
        </w:rPr>
        <w:t xml:space="preserve"> fulfils the positive obligation o</w:t>
      </w:r>
      <w:r>
        <w:rPr>
          <w:rStyle w:val="sb8d990e2"/>
          <w:lang w:val="en-GB"/>
        </w:rPr>
        <w:t>n</w:t>
      </w:r>
      <w:r w:rsidRPr="00E945B0">
        <w:rPr>
          <w:rStyle w:val="sb8d990e2"/>
          <w:lang w:val="en-GB"/>
        </w:rPr>
        <w:t xml:space="preserve"> the State in this respect or whether the applicant should be allowed to remain married while at the same time obtain</w:t>
      </w:r>
      <w:r>
        <w:rPr>
          <w:rStyle w:val="sb8d990e2"/>
          <w:lang w:val="en-GB"/>
        </w:rPr>
        <w:t>ing</w:t>
      </w:r>
      <w:r w:rsidRPr="00E945B0">
        <w:rPr>
          <w:rStyle w:val="sb8d990e2"/>
          <w:lang w:val="en-GB"/>
        </w:rPr>
        <w:t xml:space="preserve"> legal recognition of </w:t>
      </w:r>
      <w:r>
        <w:rPr>
          <w:rStyle w:val="sb8d990e2"/>
          <w:lang w:val="en-GB"/>
        </w:rPr>
        <w:t>her</w:t>
      </w:r>
      <w:r w:rsidRPr="00E945B0">
        <w:rPr>
          <w:rStyle w:val="sb8d990e2"/>
          <w:lang w:val="en-GB"/>
        </w:rPr>
        <w:t xml:space="preserve"> new gender even if th</w:t>
      </w:r>
      <w:r>
        <w:rPr>
          <w:rStyle w:val="sb8d990e2"/>
          <w:lang w:val="en-GB"/>
        </w:rPr>
        <w:t>at</w:t>
      </w:r>
      <w:r w:rsidRPr="00E945B0">
        <w:rPr>
          <w:rStyle w:val="sb8d990e2"/>
          <w:lang w:val="en-GB"/>
        </w:rPr>
        <w:t xml:space="preserve"> option would imply a same-sex marriage between the applicant and her spouse</w:t>
      </w:r>
      <w:r>
        <w:rPr>
          <w:rStyle w:val="sb8d990e2"/>
          <w:lang w:val="en-GB"/>
        </w:rPr>
        <w:t>.</w:t>
      </w:r>
    </w:p>
    <w:p w:rsidR="00910348"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80</w:t>
      </w:r>
      <w:r w:rsidRPr="00E945B0">
        <w:rPr>
          <w:rStyle w:val="sb8d990e2"/>
          <w:lang w:val="en-GB"/>
        </w:rPr>
        <w:fldChar w:fldCharType="end"/>
      </w:r>
      <w:r w:rsidRPr="00E945B0">
        <w:rPr>
          <w:rStyle w:val="sb8d990e2"/>
          <w:lang w:val="en-GB"/>
        </w:rPr>
        <w:t>.  The Court note</w:t>
      </w:r>
      <w:r>
        <w:rPr>
          <w:rStyle w:val="sb8d990e2"/>
          <w:lang w:val="en-GB"/>
        </w:rPr>
        <w:t xml:space="preserve">s </w:t>
      </w:r>
      <w:r w:rsidRPr="00E945B0">
        <w:rPr>
          <w:rStyle w:val="sb8d990e2"/>
          <w:lang w:val="en-GB"/>
        </w:rPr>
        <w:t>that, contrary to the majority of the Council of Europe member States, there exists a legal framework</w:t>
      </w:r>
      <w:r w:rsidR="006D0DEA" w:rsidRPr="006D0DEA">
        <w:rPr>
          <w:rStyle w:val="sb8d990e2"/>
          <w:lang w:val="en-GB"/>
        </w:rPr>
        <w:t xml:space="preserve"> </w:t>
      </w:r>
      <w:r w:rsidR="006D0DEA" w:rsidRPr="00E945B0">
        <w:rPr>
          <w:rStyle w:val="sb8d990e2"/>
          <w:lang w:val="en-GB"/>
        </w:rPr>
        <w:t>in Finland</w:t>
      </w:r>
      <w:r w:rsidRPr="00E945B0">
        <w:rPr>
          <w:rStyle w:val="sb8d990e2"/>
          <w:lang w:val="en-GB"/>
        </w:rPr>
        <w:t xml:space="preserve"> </w:t>
      </w:r>
      <w:r>
        <w:rPr>
          <w:rStyle w:val="sb8d990e2"/>
          <w:lang w:val="en-GB"/>
        </w:rPr>
        <w:t xml:space="preserve">designed to </w:t>
      </w:r>
      <w:r w:rsidRPr="00E945B0">
        <w:rPr>
          <w:rStyle w:val="sb8d990e2"/>
          <w:lang w:val="en-GB"/>
        </w:rPr>
        <w:t>provid</w:t>
      </w:r>
      <w:r>
        <w:rPr>
          <w:rStyle w:val="sb8d990e2"/>
          <w:lang w:val="en-GB"/>
        </w:rPr>
        <w:t>e</w:t>
      </w:r>
      <w:r w:rsidRPr="00E945B0">
        <w:rPr>
          <w:rStyle w:val="sb8d990e2"/>
          <w:lang w:val="en-GB"/>
        </w:rPr>
        <w:t xml:space="preserve"> legal recognition for the change of gender. </w:t>
      </w:r>
      <w:r>
        <w:rPr>
          <w:rStyle w:val="sb8d990e2"/>
          <w:lang w:val="en-GB"/>
        </w:rPr>
        <w:t>T</w:t>
      </w:r>
      <w:r w:rsidRPr="00E945B0">
        <w:rPr>
          <w:rStyle w:val="sb8d990e2"/>
          <w:lang w:val="en-GB"/>
        </w:rPr>
        <w:t xml:space="preserve">he Court </w:t>
      </w:r>
      <w:r>
        <w:rPr>
          <w:rStyle w:val="sb8d990e2"/>
          <w:lang w:val="en-GB"/>
        </w:rPr>
        <w:t>observes</w:t>
      </w:r>
      <w:r w:rsidRPr="00E945B0">
        <w:rPr>
          <w:rStyle w:val="sb8d990e2"/>
          <w:lang w:val="en-GB"/>
        </w:rPr>
        <w:t xml:space="preserve"> that the aim of the impugned </w:t>
      </w:r>
      <w:r>
        <w:rPr>
          <w:rStyle w:val="sb8d990e2"/>
          <w:lang w:val="en-GB"/>
        </w:rPr>
        <w:t xml:space="preserve">legislation, as explained by the Government, </w:t>
      </w:r>
      <w:r w:rsidRPr="00E945B0">
        <w:rPr>
          <w:rStyle w:val="sb8d990e2"/>
          <w:lang w:val="en-GB"/>
        </w:rPr>
        <w:t xml:space="preserve">was to unify the varying practices applied in different parts of the country and to </w:t>
      </w:r>
      <w:r>
        <w:rPr>
          <w:rStyle w:val="sb8d990e2"/>
          <w:lang w:val="en-GB"/>
        </w:rPr>
        <w:t>establish</w:t>
      </w:r>
      <w:r w:rsidRPr="00E945B0">
        <w:rPr>
          <w:rStyle w:val="sb8d990e2"/>
          <w:lang w:val="en-GB"/>
        </w:rPr>
        <w:t xml:space="preserve"> </w:t>
      </w:r>
      <w:r w:rsidRPr="00E945B0">
        <w:rPr>
          <w:lang w:val="en-GB"/>
        </w:rPr>
        <w:t xml:space="preserve">coherent </w:t>
      </w:r>
      <w:r>
        <w:rPr>
          <w:lang w:val="en-GB"/>
        </w:rPr>
        <w:t>requirements</w:t>
      </w:r>
      <w:r w:rsidRPr="00E945B0">
        <w:rPr>
          <w:lang w:val="en-GB"/>
        </w:rPr>
        <w:t xml:space="preserve"> for legal gender recognition. If the </w:t>
      </w:r>
      <w:r w:rsidRPr="00E945B0">
        <w:rPr>
          <w:lang w:val="en-GB"/>
        </w:rPr>
        <w:lastRenderedPageBreak/>
        <w:t xml:space="preserve">consent of the spouse is received, the system provides both for </w:t>
      </w:r>
      <w:r w:rsidRPr="00E945B0">
        <w:rPr>
          <w:rStyle w:val="sb8d990e2"/>
          <w:lang w:val="en-GB"/>
        </w:rPr>
        <w:t xml:space="preserve">legal recognition of </w:t>
      </w:r>
      <w:r>
        <w:rPr>
          <w:rStyle w:val="sb8d990e2"/>
          <w:lang w:val="en-GB"/>
        </w:rPr>
        <w:t>the</w:t>
      </w:r>
      <w:r w:rsidRPr="00E945B0">
        <w:rPr>
          <w:rStyle w:val="sb8d990e2"/>
          <w:lang w:val="en-GB"/>
        </w:rPr>
        <w:t xml:space="preserve"> new gender and legal protection </w:t>
      </w:r>
      <w:r>
        <w:rPr>
          <w:rStyle w:val="sb8d990e2"/>
          <w:lang w:val="en-GB"/>
        </w:rPr>
        <w:t>of</w:t>
      </w:r>
      <w:r w:rsidRPr="00E945B0">
        <w:rPr>
          <w:rStyle w:val="sb8d990e2"/>
          <w:lang w:val="en-GB"/>
        </w:rPr>
        <w:t xml:space="preserve"> the relationship. The system works both ways, thus providing not only</w:t>
      </w:r>
      <w:r>
        <w:rPr>
          <w:rStyle w:val="sb8d990e2"/>
          <w:lang w:val="en-GB"/>
        </w:rPr>
        <w:t xml:space="preserve"> for</w:t>
      </w:r>
      <w:r w:rsidRPr="00E945B0">
        <w:rPr>
          <w:rStyle w:val="sb8d990e2"/>
          <w:lang w:val="en-GB"/>
        </w:rPr>
        <w:t xml:space="preserve"> a marriage to be </w:t>
      </w:r>
      <w:r>
        <w:rPr>
          <w:rStyle w:val="sb8d990e2"/>
          <w:lang w:val="en-GB"/>
        </w:rPr>
        <w:t xml:space="preserve">converted </w:t>
      </w:r>
      <w:r w:rsidRPr="00E945B0">
        <w:rPr>
          <w:rStyle w:val="sb8d990e2"/>
          <w:lang w:val="en-GB"/>
        </w:rPr>
        <w:t>into a registered partnership but also</w:t>
      </w:r>
      <w:r>
        <w:rPr>
          <w:rStyle w:val="sb8d990e2"/>
          <w:lang w:val="en-GB"/>
        </w:rPr>
        <w:t xml:space="preserve"> for</w:t>
      </w:r>
      <w:r w:rsidRPr="00E945B0">
        <w:rPr>
          <w:rStyle w:val="sb8d990e2"/>
          <w:lang w:val="en-GB"/>
        </w:rPr>
        <w:t xml:space="preserve"> a registered partnership to be </w:t>
      </w:r>
      <w:r>
        <w:rPr>
          <w:rStyle w:val="sb8d990e2"/>
          <w:lang w:val="en-GB"/>
        </w:rPr>
        <w:t xml:space="preserve">converted </w:t>
      </w:r>
      <w:r w:rsidRPr="00E945B0">
        <w:rPr>
          <w:rStyle w:val="sb8d990e2"/>
          <w:lang w:val="en-GB"/>
        </w:rPr>
        <w:t>into a marriage</w:t>
      </w:r>
      <w:r>
        <w:rPr>
          <w:rStyle w:val="sb8d990e2"/>
          <w:lang w:val="en-GB"/>
        </w:rPr>
        <w:t xml:space="preserve">, </w:t>
      </w:r>
      <w:r>
        <w:rPr>
          <w:lang w:val="en-GB"/>
        </w:rPr>
        <w:t xml:space="preserve">depending on whether the gender reassignment surgery has the effect of turning the existing relationship into a same-sex or a heterosexual partnership. </w:t>
      </w:r>
      <w:r w:rsidRPr="00E945B0">
        <w:rPr>
          <w:rStyle w:val="sb8d990e2"/>
          <w:lang w:val="en-GB"/>
        </w:rPr>
        <w:t xml:space="preserve">According to the information received from the Government, thirty-one such </w:t>
      </w:r>
      <w:r>
        <w:rPr>
          <w:rStyle w:val="sb8d990e2"/>
          <w:lang w:val="en-GB"/>
        </w:rPr>
        <w:t>conversions</w:t>
      </w:r>
      <w:r w:rsidRPr="00E945B0">
        <w:rPr>
          <w:rStyle w:val="sb8d990e2"/>
          <w:lang w:val="en-GB"/>
        </w:rPr>
        <w:t xml:space="preserve"> have </w:t>
      </w:r>
      <w:r>
        <w:rPr>
          <w:rStyle w:val="sb8d990e2"/>
          <w:lang w:val="en-GB"/>
        </w:rPr>
        <w:t>occurred</w:t>
      </w:r>
      <w:r w:rsidRPr="00E945B0">
        <w:rPr>
          <w:rStyle w:val="sb8d990e2"/>
          <w:lang w:val="en-GB"/>
        </w:rPr>
        <w:t xml:space="preserve"> so far concerning both</w:t>
      </w:r>
      <w:r w:rsidR="00666BDA">
        <w:rPr>
          <w:rStyle w:val="sb8d990e2"/>
          <w:lang w:val="en-GB"/>
        </w:rPr>
        <w:t xml:space="preserve"> the</w:t>
      </w:r>
      <w:r w:rsidRPr="00E945B0">
        <w:rPr>
          <w:rStyle w:val="sb8d990e2"/>
          <w:lang w:val="en-GB"/>
        </w:rPr>
        <w:t xml:space="preserve"> above-mentioned </w:t>
      </w:r>
      <w:r w:rsidRPr="000E4B8F">
        <w:rPr>
          <w:rStyle w:val="sb8d990e2"/>
          <w:lang w:val="en-GB"/>
        </w:rPr>
        <w:t>situa</w:t>
      </w:r>
      <w:r w:rsidRPr="004926A0">
        <w:rPr>
          <w:rStyle w:val="sb8d990e2"/>
          <w:lang w:val="en-GB"/>
        </w:rPr>
        <w:t>tions</w:t>
      </w:r>
      <w:r w:rsidR="00666BDA" w:rsidRPr="004926A0">
        <w:rPr>
          <w:rStyle w:val="sb8d990e2"/>
          <w:lang w:val="en-GB"/>
        </w:rPr>
        <w:t xml:space="preserve"> in</w:t>
      </w:r>
      <w:r w:rsidRPr="00CA1816">
        <w:rPr>
          <w:rStyle w:val="sb8d990e2"/>
          <w:lang w:val="en-GB"/>
        </w:rPr>
        <w:t xml:space="preserve"> </w:t>
      </w:r>
      <w:r w:rsidR="00DF5307" w:rsidRPr="00A952B1">
        <w:rPr>
          <w:rStyle w:val="sb8d990e2"/>
          <w:lang w:val="en-GB"/>
        </w:rPr>
        <w:t>almost</w:t>
      </w:r>
      <w:r w:rsidR="00DF5307" w:rsidRPr="000E4B8F">
        <w:rPr>
          <w:rStyle w:val="sb8d990e2"/>
          <w:lang w:val="en-GB"/>
        </w:rPr>
        <w:t xml:space="preserve"> </w:t>
      </w:r>
      <w:r w:rsidRPr="004926A0">
        <w:rPr>
          <w:rStyle w:val="sb8d990e2"/>
          <w:lang w:val="en-GB"/>
        </w:rPr>
        <w:t>equal</w:t>
      </w:r>
      <w:r w:rsidR="00666BDA">
        <w:rPr>
          <w:rStyle w:val="sb8d990e2"/>
          <w:lang w:val="en-GB"/>
        </w:rPr>
        <w:t xml:space="preserve"> measure</w:t>
      </w:r>
      <w:r w:rsidRPr="00E945B0">
        <w:rPr>
          <w:rStyle w:val="sb8d990e2"/>
          <w:lang w:val="en-GB"/>
        </w:rPr>
        <w:t>.</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81</w:t>
      </w:r>
      <w:r w:rsidRPr="00E945B0">
        <w:rPr>
          <w:rStyle w:val="sb8d990e2"/>
          <w:lang w:val="en-GB"/>
        </w:rPr>
        <w:fldChar w:fldCharType="end"/>
      </w:r>
      <w:r w:rsidRPr="00E945B0">
        <w:rPr>
          <w:rStyle w:val="sb8d990e2"/>
          <w:lang w:val="en-GB"/>
        </w:rPr>
        <w:t>.  </w:t>
      </w:r>
      <w:r>
        <w:rPr>
          <w:rStyle w:val="sb8d990e2"/>
          <w:lang w:val="en-GB"/>
        </w:rPr>
        <w:t xml:space="preserve">In devising this legal framework, the Finnish legislature has opted for reserving marriage to heterosexual couples, this rule being capable of no exceptions. </w:t>
      </w:r>
      <w:r w:rsidRPr="00E945B0">
        <w:rPr>
          <w:rStyle w:val="sb8d990e2"/>
          <w:lang w:val="en-GB"/>
        </w:rPr>
        <w:t xml:space="preserve">It </w:t>
      </w:r>
      <w:r>
        <w:rPr>
          <w:rStyle w:val="sb8d990e2"/>
          <w:lang w:val="en-GB"/>
        </w:rPr>
        <w:t xml:space="preserve">therefore </w:t>
      </w:r>
      <w:r w:rsidRPr="00E945B0">
        <w:rPr>
          <w:rStyle w:val="sb8d990e2"/>
          <w:lang w:val="en-GB"/>
        </w:rPr>
        <w:t xml:space="preserve">remains for the Court to determine whether, in the circumstances </w:t>
      </w:r>
      <w:r w:rsidRPr="00107735">
        <w:rPr>
          <w:rStyle w:val="sb8d990e2"/>
          <w:lang w:val="en-GB"/>
        </w:rPr>
        <w:t>of the case, the Finnish system current</w:t>
      </w:r>
      <w:r>
        <w:rPr>
          <w:rStyle w:val="sb8d990e2"/>
          <w:lang w:val="en-GB"/>
        </w:rPr>
        <w:t>ly</w:t>
      </w:r>
      <w:r w:rsidRPr="00107735">
        <w:rPr>
          <w:rStyle w:val="sb8d990e2"/>
          <w:lang w:val="en-GB"/>
        </w:rPr>
        <w:t xml:space="preserve"> strikes a fair balance between the</w:t>
      </w:r>
      <w:r w:rsidRPr="00E945B0">
        <w:rPr>
          <w:rStyle w:val="sb8d990e2"/>
          <w:lang w:val="en-GB"/>
        </w:rPr>
        <w:t xml:space="preserve"> competing interests</w:t>
      </w:r>
      <w:r>
        <w:rPr>
          <w:rStyle w:val="sb8d990e2"/>
          <w:lang w:val="en-GB"/>
        </w:rPr>
        <w:t xml:space="preserve"> and satisfies the proportionality test</w:t>
      </w:r>
      <w:r w:rsidRPr="00E945B0">
        <w:rPr>
          <w:rStyle w:val="sb8d990e2"/>
          <w:lang w:val="en-GB"/>
        </w:rPr>
        <w:t>.</w:t>
      </w:r>
    </w:p>
    <w:p w:rsidR="00910348" w:rsidRDefault="00910348" w:rsidP="00910348">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82</w:t>
      </w:r>
      <w:r>
        <w:rPr>
          <w:rStyle w:val="sb8d990e2"/>
          <w:lang w:val="en-GB"/>
        </w:rPr>
        <w:fldChar w:fldCharType="end"/>
      </w:r>
      <w:r>
        <w:rPr>
          <w:rStyle w:val="sb8d990e2"/>
          <w:lang w:val="en-GB"/>
        </w:rPr>
        <w:t>.  One of the applicant</w:t>
      </w:r>
      <w:r w:rsidR="00C17A2C">
        <w:rPr>
          <w:rStyle w:val="sb8d990e2"/>
          <w:lang w:val="en-GB"/>
        </w:rPr>
        <w:t>’</w:t>
      </w:r>
      <w:r>
        <w:rPr>
          <w:rStyle w:val="sb8d990e2"/>
          <w:lang w:val="en-GB"/>
        </w:rPr>
        <w:t>s concerns relates to the requirement of the spouse</w:t>
      </w:r>
      <w:r w:rsidR="00C17A2C">
        <w:rPr>
          <w:rStyle w:val="sb8d990e2"/>
          <w:lang w:val="en-GB"/>
        </w:rPr>
        <w:t>’</w:t>
      </w:r>
      <w:r>
        <w:rPr>
          <w:rStyle w:val="sb8d990e2"/>
          <w:lang w:val="en-GB"/>
        </w:rPr>
        <w:t>s consent, which she sees as a “forced” divorce. However, the Court</w:t>
      </w:r>
      <w:r w:rsidR="0055719C">
        <w:rPr>
          <w:rStyle w:val="sb8d990e2"/>
          <w:lang w:val="en-GB"/>
        </w:rPr>
        <w:t xml:space="preserve"> </w:t>
      </w:r>
      <w:r w:rsidR="000B4207">
        <w:rPr>
          <w:rStyle w:val="sb8d990e2"/>
          <w:lang w:val="en-GB"/>
        </w:rPr>
        <w:t xml:space="preserve">considers </w:t>
      </w:r>
      <w:r w:rsidR="0055719C">
        <w:rPr>
          <w:rStyle w:val="sb8d990e2"/>
          <w:lang w:val="en-GB"/>
        </w:rPr>
        <w:t>that</w:t>
      </w:r>
      <w:r>
        <w:rPr>
          <w:rStyle w:val="sb8d990e2"/>
          <w:lang w:val="en-GB"/>
        </w:rPr>
        <w:t xml:space="preserve"> </w:t>
      </w:r>
      <w:r w:rsidR="006D0DEA">
        <w:rPr>
          <w:rStyle w:val="sb8d990e2"/>
          <w:lang w:val="en-GB"/>
        </w:rPr>
        <w:t>as</w:t>
      </w:r>
      <w:r w:rsidR="000B4207">
        <w:rPr>
          <w:rStyle w:val="sb8d990e2"/>
          <w:lang w:val="en-GB"/>
        </w:rPr>
        <w:t xml:space="preserve"> the conversion </w:t>
      </w:r>
      <w:r w:rsidR="006D0DEA">
        <w:rPr>
          <w:rStyle w:val="sb8d990e2"/>
          <w:lang w:val="en-GB"/>
        </w:rPr>
        <w:t xml:space="preserve">is automatic </w:t>
      </w:r>
      <w:r w:rsidR="000B4207">
        <w:rPr>
          <w:rStyle w:val="sb8d990e2"/>
          <w:lang w:val="en-GB"/>
        </w:rPr>
        <w:t>under the Finnish system, the spouse</w:t>
      </w:r>
      <w:r w:rsidR="00C17A2C">
        <w:rPr>
          <w:rStyle w:val="sb8d990e2"/>
          <w:lang w:val="en-GB"/>
        </w:rPr>
        <w:t>’</w:t>
      </w:r>
      <w:r w:rsidR="000B4207">
        <w:rPr>
          <w:rStyle w:val="sb8d990e2"/>
          <w:lang w:val="en-GB"/>
        </w:rPr>
        <w:t xml:space="preserve">s consent to the registration of a change of gender </w:t>
      </w:r>
      <w:r>
        <w:rPr>
          <w:rStyle w:val="sb8d990e2"/>
          <w:lang w:val="en-GB"/>
        </w:rPr>
        <w:t xml:space="preserve">is an elementary requirement </w:t>
      </w:r>
      <w:r w:rsidR="000B4207">
        <w:rPr>
          <w:rStyle w:val="sb8d990e2"/>
          <w:lang w:val="en-GB"/>
        </w:rPr>
        <w:t xml:space="preserve">designed to </w:t>
      </w:r>
      <w:r w:rsidR="000B4207" w:rsidRPr="000B4207">
        <w:rPr>
          <w:rStyle w:val="sb8d990e2"/>
          <w:lang w:val="en-GB"/>
        </w:rPr>
        <w:t>protect each spouse from the effects of unilateral decisions taken by the other.</w:t>
      </w:r>
      <w:r w:rsidR="000B4207">
        <w:rPr>
          <w:rStyle w:val="sb8d990e2"/>
          <w:lang w:val="en-GB"/>
        </w:rPr>
        <w:t xml:space="preserve"> </w:t>
      </w:r>
      <w:r>
        <w:rPr>
          <w:rStyle w:val="sb8d990e2"/>
          <w:lang w:val="en-GB"/>
        </w:rPr>
        <w:t>The requirement of consent is thus clearly an important safeguard which protects the spouse who is not seeking gender recognition. In this context, it is worth noting that consent is also needed when a registered partnership is to be converted into a marriage. This requirement thus applies also for the benefit of the institution of</w:t>
      </w:r>
      <w:r w:rsidRPr="00094132">
        <w:rPr>
          <w:rStyle w:val="sb8d990e2"/>
          <w:lang w:val="en-GB"/>
        </w:rPr>
        <w:t xml:space="preserve"> </w:t>
      </w:r>
      <w:r>
        <w:rPr>
          <w:rStyle w:val="sb8d990e2"/>
          <w:lang w:val="en-GB"/>
        </w:rPr>
        <w:t>marriage.</w:t>
      </w:r>
    </w:p>
    <w:p w:rsidR="00910348" w:rsidRDefault="00910348" w:rsidP="00910348">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83</w:t>
      </w:r>
      <w:r>
        <w:rPr>
          <w:lang w:val="en-GB"/>
        </w:rPr>
        <w:fldChar w:fldCharType="end"/>
      </w:r>
      <w:r>
        <w:rPr>
          <w:lang w:val="en-GB"/>
        </w:rPr>
        <w:t xml:space="preserve">.  Also of concern to the applicant are the differences between a marriage and a registered partnership. As the Government explained, these differences concern the </w:t>
      </w:r>
      <w:r w:rsidRPr="00E945B0">
        <w:rPr>
          <w:lang w:val="en-GB"/>
        </w:rPr>
        <w:t>establishment of paternity</w:t>
      </w:r>
      <w:r>
        <w:rPr>
          <w:lang w:val="en-GB"/>
        </w:rPr>
        <w:t>, adoption outside of the family and t</w:t>
      </w:r>
      <w:r w:rsidRPr="00E945B0">
        <w:rPr>
          <w:lang w:val="en-GB"/>
        </w:rPr>
        <w:t>he family name</w:t>
      </w:r>
      <w:r>
        <w:rPr>
          <w:lang w:val="en-GB"/>
        </w:rPr>
        <w:t>.</w:t>
      </w:r>
      <w:r w:rsidRPr="00E945B0">
        <w:rPr>
          <w:lang w:val="en-GB"/>
        </w:rPr>
        <w:t xml:space="preserve"> </w:t>
      </w:r>
      <w:r>
        <w:rPr>
          <w:lang w:val="en-GB"/>
        </w:rPr>
        <w:t>However, t</w:t>
      </w:r>
      <w:r w:rsidRPr="00E945B0">
        <w:rPr>
          <w:lang w:val="en-GB"/>
        </w:rPr>
        <w:t>he</w:t>
      </w:r>
      <w:r>
        <w:rPr>
          <w:lang w:val="en-GB"/>
        </w:rPr>
        <w:t xml:space="preserve">se </w:t>
      </w:r>
      <w:r w:rsidRPr="00E945B0">
        <w:rPr>
          <w:lang w:val="en-GB"/>
        </w:rPr>
        <w:t xml:space="preserve">exceptions </w:t>
      </w:r>
      <w:r>
        <w:rPr>
          <w:lang w:val="en-GB"/>
        </w:rPr>
        <w:t>a</w:t>
      </w:r>
      <w:r w:rsidRPr="00E945B0">
        <w:rPr>
          <w:lang w:val="en-GB"/>
        </w:rPr>
        <w:t xml:space="preserve">re applicable only to </w:t>
      </w:r>
      <w:r>
        <w:rPr>
          <w:lang w:val="en-GB"/>
        </w:rPr>
        <w:t>the extent that t</w:t>
      </w:r>
      <w:r w:rsidRPr="00E945B0">
        <w:rPr>
          <w:lang w:val="en-GB"/>
        </w:rPr>
        <w:t>h</w:t>
      </w:r>
      <w:r>
        <w:rPr>
          <w:lang w:val="en-GB"/>
        </w:rPr>
        <w:t>o</w:t>
      </w:r>
      <w:r w:rsidRPr="00E945B0">
        <w:rPr>
          <w:lang w:val="en-GB"/>
        </w:rPr>
        <w:t xml:space="preserve">se </w:t>
      </w:r>
      <w:r>
        <w:rPr>
          <w:lang w:val="en-GB"/>
        </w:rPr>
        <w:t xml:space="preserve">issues have not been settled beforehand. </w:t>
      </w:r>
      <w:r w:rsidR="00797FF5">
        <w:rPr>
          <w:lang w:val="en-GB"/>
        </w:rPr>
        <w:t>The</w:t>
      </w:r>
      <w:r w:rsidR="000B4207">
        <w:rPr>
          <w:lang w:val="en-GB"/>
        </w:rPr>
        <w:t>y</w:t>
      </w:r>
      <w:r w:rsidR="00797FF5">
        <w:rPr>
          <w:lang w:val="en-GB"/>
        </w:rPr>
        <w:t xml:space="preserve"> are th</w:t>
      </w:r>
      <w:r w:rsidR="000B4207">
        <w:rPr>
          <w:lang w:val="en-GB"/>
        </w:rPr>
        <w:t xml:space="preserve">erefore </w:t>
      </w:r>
      <w:r w:rsidR="00797FF5">
        <w:rPr>
          <w:lang w:val="en-GB"/>
        </w:rPr>
        <w:t xml:space="preserve">not applicable to the present case. Consequently, </w:t>
      </w:r>
      <w:r>
        <w:rPr>
          <w:lang w:val="en-GB"/>
        </w:rPr>
        <w:t>the Court</w:t>
      </w:r>
      <w:r w:rsidR="00797FF5">
        <w:rPr>
          <w:lang w:val="en-GB"/>
        </w:rPr>
        <w:t xml:space="preserve"> considers that </w:t>
      </w:r>
      <w:r>
        <w:rPr>
          <w:lang w:val="en-GB"/>
        </w:rPr>
        <w:t>the differences between a marriage and a registered partnership are not such as to involve an essential change in the applicant</w:t>
      </w:r>
      <w:r w:rsidR="00C17A2C">
        <w:rPr>
          <w:lang w:val="en-GB"/>
        </w:rPr>
        <w:t>’</w:t>
      </w:r>
      <w:r>
        <w:rPr>
          <w:lang w:val="en-GB"/>
        </w:rPr>
        <w:t xml:space="preserve">s legal situation. The applicant would thus be able to continue enjoying in essence, and in practice, the same legal protection under a registered partnership as afforded by marriage (see, </w:t>
      </w:r>
      <w:r w:rsidRPr="00E337B3">
        <w:rPr>
          <w:i/>
          <w:lang w:val="en-GB"/>
        </w:rPr>
        <w:t>mutatis mutandis</w:t>
      </w:r>
      <w:r>
        <w:rPr>
          <w:lang w:val="en-GB"/>
        </w:rPr>
        <w:t xml:space="preserve">, </w:t>
      </w:r>
      <w:r w:rsidRPr="00683DFE">
        <w:rPr>
          <w:i/>
          <w:lang w:val="en-GB"/>
        </w:rPr>
        <w:t>Schalk and Kopf v. Austria</w:t>
      </w:r>
      <w:r w:rsidRPr="00683DFE">
        <w:rPr>
          <w:lang w:val="en-GB"/>
        </w:rPr>
        <w:t>, cited above</w:t>
      </w:r>
      <w:r>
        <w:rPr>
          <w:lang w:val="en-GB"/>
        </w:rPr>
        <w:t>, § 109).</w:t>
      </w:r>
    </w:p>
    <w:p w:rsidR="00910348" w:rsidRDefault="00910348" w:rsidP="00910348">
      <w:pPr>
        <w:pStyle w:val="ECHRPara"/>
        <w:rPr>
          <w:lang w:val="en-GB"/>
        </w:rPr>
      </w:pPr>
      <w:r w:rsidRPr="006A6355">
        <w:rPr>
          <w:lang w:val="en-GB"/>
        </w:rPr>
        <w:fldChar w:fldCharType="begin"/>
      </w:r>
      <w:r w:rsidRPr="006A6355">
        <w:rPr>
          <w:lang w:val="en-GB"/>
        </w:rPr>
        <w:instrText xml:space="preserve"> SEQ level0 \*arabic </w:instrText>
      </w:r>
      <w:r w:rsidRPr="006A6355">
        <w:rPr>
          <w:lang w:val="en-GB"/>
        </w:rPr>
        <w:fldChar w:fldCharType="separate"/>
      </w:r>
      <w:r w:rsidR="008B718E">
        <w:rPr>
          <w:noProof/>
          <w:lang w:val="en-GB"/>
        </w:rPr>
        <w:t>84</w:t>
      </w:r>
      <w:r w:rsidRPr="006A6355">
        <w:rPr>
          <w:lang w:val="en-GB"/>
        </w:rPr>
        <w:fldChar w:fldCharType="end"/>
      </w:r>
      <w:r w:rsidRPr="006A6355">
        <w:rPr>
          <w:lang w:val="en-GB"/>
        </w:rPr>
        <w:t xml:space="preserve">.  Moreover, the applicant and her wife </w:t>
      </w:r>
      <w:r>
        <w:rPr>
          <w:lang w:val="en-GB"/>
        </w:rPr>
        <w:t>would</w:t>
      </w:r>
      <w:r w:rsidRPr="006A6355">
        <w:rPr>
          <w:lang w:val="en-GB"/>
        </w:rPr>
        <w:t xml:space="preserve"> not lose any </w:t>
      </w:r>
      <w:r>
        <w:rPr>
          <w:lang w:val="en-GB"/>
        </w:rPr>
        <w:t>other</w:t>
      </w:r>
      <w:r w:rsidRPr="006A6355">
        <w:rPr>
          <w:lang w:val="en-GB"/>
        </w:rPr>
        <w:t xml:space="preserve"> rights</w:t>
      </w:r>
      <w:r>
        <w:rPr>
          <w:lang w:val="en-GB"/>
        </w:rPr>
        <w:t xml:space="preserve"> if</w:t>
      </w:r>
      <w:r w:rsidRPr="006A6355">
        <w:rPr>
          <w:lang w:val="en-GB"/>
        </w:rPr>
        <w:t xml:space="preserve"> their marriage </w:t>
      </w:r>
      <w:r>
        <w:rPr>
          <w:lang w:val="en-GB"/>
        </w:rPr>
        <w:t>were</w:t>
      </w:r>
      <w:r w:rsidRPr="006A6355">
        <w:rPr>
          <w:lang w:val="en-GB"/>
        </w:rPr>
        <w:t xml:space="preserve"> </w:t>
      </w:r>
      <w:r>
        <w:rPr>
          <w:lang w:val="en-GB"/>
        </w:rPr>
        <w:t xml:space="preserve">converted </w:t>
      </w:r>
      <w:r w:rsidRPr="006A6355">
        <w:rPr>
          <w:lang w:val="en-GB"/>
        </w:rPr>
        <w:t xml:space="preserve">into a registered partnership. As convincingly explained by the Government, the expression “turns into” </w:t>
      </w:r>
      <w:r w:rsidR="00EF3DB7">
        <w:rPr>
          <w:lang w:val="en-GB"/>
        </w:rPr>
        <w:t xml:space="preserve">in section 2 of the </w:t>
      </w:r>
      <w:r w:rsidR="00EF3DB7" w:rsidRPr="00E945B0">
        <w:rPr>
          <w:lang w:val="en-GB"/>
        </w:rPr>
        <w:t>Transsexual</w:t>
      </w:r>
      <w:r w:rsidR="00EF3DB7">
        <w:rPr>
          <w:lang w:val="en-GB"/>
        </w:rPr>
        <w:t>s (</w:t>
      </w:r>
      <w:r w:rsidR="00EF3DB7" w:rsidRPr="00E945B0">
        <w:rPr>
          <w:lang w:val="en-GB"/>
        </w:rPr>
        <w:t>Confirmation of Gender</w:t>
      </w:r>
      <w:r w:rsidR="00EF3DB7">
        <w:rPr>
          <w:lang w:val="en-GB"/>
        </w:rPr>
        <w:t>)</w:t>
      </w:r>
      <w:r w:rsidR="00EF3DB7" w:rsidRPr="00E945B0">
        <w:rPr>
          <w:lang w:val="en-GB"/>
        </w:rPr>
        <w:t xml:space="preserve"> Act</w:t>
      </w:r>
      <w:r w:rsidR="00EF3DB7" w:rsidRPr="006A6355">
        <w:rPr>
          <w:lang w:val="en-GB"/>
        </w:rPr>
        <w:t xml:space="preserve"> </w:t>
      </w:r>
      <w:r w:rsidRPr="006A6355">
        <w:rPr>
          <w:lang w:val="en-GB"/>
        </w:rPr>
        <w:t>is explicitly used to illustrate the fact that the original legal relationship continues with only a change of title and minor changes to the content</w:t>
      </w:r>
      <w:r>
        <w:rPr>
          <w:lang w:val="en-GB"/>
        </w:rPr>
        <w:t xml:space="preserve"> of the relationship</w:t>
      </w:r>
      <w:r w:rsidRPr="006A6355">
        <w:rPr>
          <w:lang w:val="en-GB"/>
        </w:rPr>
        <w:t>. The length of the partnership is thus calculated from the date</w:t>
      </w:r>
      <w:r>
        <w:rPr>
          <w:lang w:val="en-GB"/>
        </w:rPr>
        <w:t xml:space="preserve"> on which it </w:t>
      </w:r>
      <w:r>
        <w:rPr>
          <w:lang w:val="en-GB"/>
        </w:rPr>
        <w:lastRenderedPageBreak/>
        <w:t>was contracted and</w:t>
      </w:r>
      <w:r w:rsidRPr="006A6355">
        <w:rPr>
          <w:lang w:val="en-GB"/>
        </w:rPr>
        <w:t xml:space="preserve"> not from the change of </w:t>
      </w:r>
      <w:r>
        <w:rPr>
          <w:lang w:val="en-GB"/>
        </w:rPr>
        <w:t xml:space="preserve">its </w:t>
      </w:r>
      <w:r w:rsidRPr="006A6355">
        <w:rPr>
          <w:lang w:val="en-GB"/>
        </w:rPr>
        <w:t xml:space="preserve">title. This may be important </w:t>
      </w:r>
      <w:r>
        <w:rPr>
          <w:lang w:val="en-GB"/>
        </w:rPr>
        <w:t xml:space="preserve">in situations in which </w:t>
      </w:r>
      <w:r w:rsidRPr="006A6355">
        <w:rPr>
          <w:lang w:val="en-GB"/>
        </w:rPr>
        <w:t xml:space="preserve">the length of the relationship </w:t>
      </w:r>
      <w:r>
        <w:rPr>
          <w:lang w:val="en-GB"/>
        </w:rPr>
        <w:t xml:space="preserve">is </w:t>
      </w:r>
      <w:r w:rsidRPr="006A6355">
        <w:rPr>
          <w:lang w:val="en-GB"/>
        </w:rPr>
        <w:t>relevant</w:t>
      </w:r>
      <w:r>
        <w:rPr>
          <w:lang w:val="en-GB"/>
        </w:rPr>
        <w:t xml:space="preserve"> in the domestic legislation, for example when calculating a </w:t>
      </w:r>
      <w:r w:rsidRPr="00E945B0">
        <w:rPr>
          <w:lang w:val="en-GB"/>
        </w:rPr>
        <w:t>widower</w:t>
      </w:r>
      <w:r w:rsidR="00C17A2C">
        <w:rPr>
          <w:lang w:val="en-GB"/>
        </w:rPr>
        <w:t>’</w:t>
      </w:r>
      <w:r w:rsidRPr="00E945B0">
        <w:rPr>
          <w:lang w:val="en-GB"/>
        </w:rPr>
        <w:t>s pension</w:t>
      </w:r>
      <w:r w:rsidRPr="006A6355">
        <w:rPr>
          <w:lang w:val="en-GB"/>
        </w:rPr>
        <w:t>.</w:t>
      </w:r>
      <w:r>
        <w:rPr>
          <w:lang w:val="en-GB"/>
        </w:rPr>
        <w:t xml:space="preserve"> </w:t>
      </w:r>
      <w:r w:rsidRPr="00E945B0">
        <w:rPr>
          <w:lang w:val="en-GB"/>
        </w:rPr>
        <w:t xml:space="preserve">The </w:t>
      </w:r>
      <w:r>
        <w:rPr>
          <w:lang w:val="en-GB"/>
        </w:rPr>
        <w:t>Court cannot therefore uphold the applicant</w:t>
      </w:r>
      <w:r w:rsidR="00C17A2C">
        <w:rPr>
          <w:lang w:val="en-GB"/>
        </w:rPr>
        <w:t>’</w:t>
      </w:r>
      <w:r>
        <w:rPr>
          <w:lang w:val="en-GB"/>
        </w:rPr>
        <w:t xml:space="preserve">s complaint that the </w:t>
      </w:r>
      <w:r w:rsidRPr="00E945B0">
        <w:rPr>
          <w:lang w:val="en-GB"/>
        </w:rPr>
        <w:t xml:space="preserve">conversion </w:t>
      </w:r>
      <w:r>
        <w:rPr>
          <w:lang w:val="en-GB"/>
        </w:rPr>
        <w:t xml:space="preserve">of a marriage </w:t>
      </w:r>
      <w:r w:rsidRPr="00E945B0">
        <w:rPr>
          <w:lang w:val="en-GB"/>
        </w:rPr>
        <w:t xml:space="preserve">into </w:t>
      </w:r>
      <w:r>
        <w:rPr>
          <w:lang w:val="en-GB"/>
        </w:rPr>
        <w:t xml:space="preserve">a </w:t>
      </w:r>
      <w:r w:rsidRPr="00E945B0">
        <w:rPr>
          <w:lang w:val="en-GB"/>
        </w:rPr>
        <w:t>registered partnership w</w:t>
      </w:r>
      <w:r>
        <w:rPr>
          <w:lang w:val="en-GB"/>
        </w:rPr>
        <w:t xml:space="preserve">ould be </w:t>
      </w:r>
      <w:r w:rsidRPr="00E945B0">
        <w:rPr>
          <w:lang w:val="en-GB"/>
        </w:rPr>
        <w:t xml:space="preserve">akin to </w:t>
      </w:r>
      <w:r>
        <w:rPr>
          <w:lang w:val="en-GB"/>
        </w:rPr>
        <w:t xml:space="preserve">a </w:t>
      </w:r>
      <w:r w:rsidRPr="00E945B0">
        <w:rPr>
          <w:lang w:val="en-GB"/>
        </w:rPr>
        <w:t>divorce.</w:t>
      </w:r>
    </w:p>
    <w:p w:rsidR="00910348" w:rsidRDefault="00910348" w:rsidP="00910348">
      <w:pPr>
        <w:pStyle w:val="ECHRPara"/>
        <w:rPr>
          <w:lang w:val="en-GB"/>
        </w:rPr>
      </w:pPr>
      <w:r w:rsidRPr="00A952B1">
        <w:rPr>
          <w:lang w:val="en-GB"/>
        </w:rPr>
        <w:fldChar w:fldCharType="begin"/>
      </w:r>
      <w:r w:rsidRPr="000E4B8F">
        <w:rPr>
          <w:lang w:val="en-GB"/>
        </w:rPr>
        <w:instrText xml:space="preserve"> SEQ level0 \*arabic </w:instrText>
      </w:r>
      <w:r w:rsidRPr="00A952B1">
        <w:rPr>
          <w:lang w:val="en-GB"/>
        </w:rPr>
        <w:fldChar w:fldCharType="separate"/>
      </w:r>
      <w:r w:rsidR="008B718E">
        <w:rPr>
          <w:noProof/>
          <w:lang w:val="en-GB"/>
        </w:rPr>
        <w:t>85</w:t>
      </w:r>
      <w:r w:rsidRPr="00A952B1">
        <w:rPr>
          <w:lang w:val="en-GB"/>
        </w:rPr>
        <w:fldChar w:fldCharType="end"/>
      </w:r>
      <w:r w:rsidRPr="000E4B8F">
        <w:rPr>
          <w:lang w:val="en-GB"/>
        </w:rPr>
        <w:t>.  </w:t>
      </w:r>
      <w:r w:rsidR="0028648E" w:rsidRPr="00A952B1">
        <w:rPr>
          <w:lang w:val="en-GB"/>
        </w:rPr>
        <w:t>Furthermore,</w:t>
      </w:r>
      <w:r w:rsidRPr="000E4B8F">
        <w:rPr>
          <w:lang w:val="en-GB"/>
        </w:rPr>
        <w:t xml:space="preserve"> </w:t>
      </w:r>
      <w:r w:rsidRPr="004926A0">
        <w:rPr>
          <w:lang w:val="en-GB"/>
        </w:rPr>
        <w:t>the Co</w:t>
      </w:r>
      <w:r>
        <w:rPr>
          <w:lang w:val="en-GB"/>
        </w:rPr>
        <w:t>urt considers that the effects of the conversion of the applicant</w:t>
      </w:r>
      <w:r w:rsidR="00C17A2C">
        <w:rPr>
          <w:lang w:val="en-GB"/>
        </w:rPr>
        <w:t>’</w:t>
      </w:r>
      <w:r>
        <w:rPr>
          <w:lang w:val="en-GB"/>
        </w:rPr>
        <w:t>s marriage into a registered partnership would be minimal or non-existent as far as the applicant</w:t>
      </w:r>
      <w:r w:rsidR="00C17A2C">
        <w:rPr>
          <w:lang w:val="en-GB"/>
        </w:rPr>
        <w:t>’</w:t>
      </w:r>
      <w:r>
        <w:rPr>
          <w:lang w:val="en-GB"/>
        </w:rPr>
        <w:t>s family life is concerned. The Court stresses that Article 8 also protects the family life of same-sex partners</w:t>
      </w:r>
      <w:r w:rsidRPr="00683DFE">
        <w:rPr>
          <w:lang w:val="en-GB"/>
        </w:rPr>
        <w:t xml:space="preserve"> </w:t>
      </w:r>
      <w:r>
        <w:rPr>
          <w:lang w:val="en-GB"/>
        </w:rPr>
        <w:t xml:space="preserve">and their children </w:t>
      </w:r>
      <w:r w:rsidRPr="00683DFE">
        <w:rPr>
          <w:lang w:val="en-GB"/>
        </w:rPr>
        <w:t xml:space="preserve">(see </w:t>
      </w:r>
      <w:r w:rsidRPr="00683DFE">
        <w:rPr>
          <w:i/>
          <w:lang w:val="en-GB"/>
        </w:rPr>
        <w:t>Schalk and Kopf v. Austria</w:t>
      </w:r>
      <w:r w:rsidRPr="00683DFE">
        <w:rPr>
          <w:lang w:val="en-GB"/>
        </w:rPr>
        <w:t>, cited above, §§</w:t>
      </w:r>
      <w:r w:rsidR="008A4E08">
        <w:rPr>
          <w:lang w:val="en-GB"/>
        </w:rPr>
        <w:t xml:space="preserve"> </w:t>
      </w:r>
      <w:r w:rsidRPr="00683DFE">
        <w:rPr>
          <w:lang w:val="en-GB"/>
        </w:rPr>
        <w:t>91 and 94). It does not</w:t>
      </w:r>
      <w:r>
        <w:rPr>
          <w:lang w:val="en-GB"/>
        </w:rPr>
        <w:t xml:space="preserve"> therefore matter, from the point of view of the protection afforded to family life, whether the applicant</w:t>
      </w:r>
      <w:r w:rsidR="00C17A2C">
        <w:rPr>
          <w:lang w:val="en-GB"/>
        </w:rPr>
        <w:t>’</w:t>
      </w:r>
      <w:r>
        <w:rPr>
          <w:lang w:val="en-GB"/>
        </w:rPr>
        <w:t>s relationship with her family is based on marriage or a registered partnership.</w:t>
      </w:r>
    </w:p>
    <w:p w:rsidR="00910348" w:rsidRDefault="00910348" w:rsidP="00910348">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86</w:t>
      </w:r>
      <w:r>
        <w:rPr>
          <w:lang w:val="en-GB"/>
        </w:rPr>
        <w:fldChar w:fldCharType="end"/>
      </w:r>
      <w:r>
        <w:rPr>
          <w:lang w:val="en-GB"/>
        </w:rPr>
        <w:t>.  The family-life aspects are also present in the applicant</w:t>
      </w:r>
      <w:r w:rsidR="00C17A2C">
        <w:rPr>
          <w:lang w:val="en-GB"/>
        </w:rPr>
        <w:t>’</w:t>
      </w:r>
      <w:r>
        <w:rPr>
          <w:lang w:val="en-GB"/>
        </w:rPr>
        <w:t>s relationship with her daughter. As the applicant</w:t>
      </w:r>
      <w:r w:rsidR="00C17A2C">
        <w:rPr>
          <w:lang w:val="en-GB"/>
        </w:rPr>
        <w:t>’</w:t>
      </w:r>
      <w:r>
        <w:rPr>
          <w:lang w:val="en-GB"/>
        </w:rPr>
        <w:t>s paternity of her daughter has already been validly established during the marriage, the Court is satisfied that under current Finnish law the subsequent conversion of the marriage into a registered partnership would not have any effect on the paternity of the applicant</w:t>
      </w:r>
      <w:r w:rsidR="00C17A2C">
        <w:rPr>
          <w:lang w:val="en-GB"/>
        </w:rPr>
        <w:t>’</w:t>
      </w:r>
      <w:r>
        <w:rPr>
          <w:lang w:val="en-GB"/>
        </w:rPr>
        <w:t>s child. She would thus continue to be considered as born within wedlock. Moreover, as the Government noted, in the Finnish system p</w:t>
      </w:r>
      <w:r w:rsidRPr="00E945B0">
        <w:rPr>
          <w:lang w:val="en-GB"/>
        </w:rPr>
        <w:t>aternity presumed on the basis of marriage or established paternity c</w:t>
      </w:r>
      <w:r>
        <w:rPr>
          <w:lang w:val="en-GB"/>
        </w:rPr>
        <w:t>an</w:t>
      </w:r>
      <w:r w:rsidRPr="00E945B0">
        <w:rPr>
          <w:lang w:val="en-GB"/>
        </w:rPr>
        <w:t>not be annulled on the ground that the man later under</w:t>
      </w:r>
      <w:r>
        <w:rPr>
          <w:lang w:val="en-GB"/>
        </w:rPr>
        <w:t>goes g</w:t>
      </w:r>
      <w:r w:rsidRPr="00E945B0">
        <w:rPr>
          <w:lang w:val="en-GB"/>
        </w:rPr>
        <w:t>ender reassignment and bec</w:t>
      </w:r>
      <w:r>
        <w:rPr>
          <w:lang w:val="en-GB"/>
        </w:rPr>
        <w:t>o</w:t>
      </w:r>
      <w:r w:rsidRPr="00E945B0">
        <w:rPr>
          <w:lang w:val="en-GB"/>
        </w:rPr>
        <w:t>me</w:t>
      </w:r>
      <w:r>
        <w:rPr>
          <w:lang w:val="en-GB"/>
        </w:rPr>
        <w:t>s</w:t>
      </w:r>
      <w:r w:rsidRPr="00E945B0">
        <w:rPr>
          <w:lang w:val="en-GB"/>
        </w:rPr>
        <w:t xml:space="preserve"> a woman. </w:t>
      </w:r>
      <w:r>
        <w:rPr>
          <w:lang w:val="en-GB"/>
        </w:rPr>
        <w:t xml:space="preserve">This is confirmed by the fact that, as the Government have observed, in none of the </w:t>
      </w:r>
      <w:r w:rsidRPr="00E945B0">
        <w:rPr>
          <w:lang w:val="en-GB"/>
        </w:rPr>
        <w:t xml:space="preserve">cases </w:t>
      </w:r>
      <w:r>
        <w:rPr>
          <w:lang w:val="en-GB"/>
        </w:rPr>
        <w:t xml:space="preserve">in which conversion has already taken place in Finland has </w:t>
      </w:r>
      <w:r w:rsidRPr="00E945B0">
        <w:rPr>
          <w:lang w:val="en-GB"/>
        </w:rPr>
        <w:t xml:space="preserve">the </w:t>
      </w:r>
      <w:r>
        <w:rPr>
          <w:lang w:val="en-GB"/>
        </w:rPr>
        <w:t>legal parent-</w:t>
      </w:r>
      <w:r w:rsidRPr="00E945B0">
        <w:rPr>
          <w:lang w:val="en-GB"/>
        </w:rPr>
        <w:t>child</w:t>
      </w:r>
      <w:r>
        <w:rPr>
          <w:lang w:val="en-GB"/>
        </w:rPr>
        <w:t xml:space="preserve"> relationship</w:t>
      </w:r>
      <w:r w:rsidRPr="00E945B0">
        <w:rPr>
          <w:lang w:val="en-GB"/>
        </w:rPr>
        <w:t xml:space="preserve"> changed.</w:t>
      </w:r>
      <w:r>
        <w:rPr>
          <w:lang w:val="en-GB"/>
        </w:rPr>
        <w:t xml:space="preserve"> </w:t>
      </w:r>
      <w:r w:rsidRPr="00E945B0">
        <w:rPr>
          <w:lang w:val="en-GB"/>
        </w:rPr>
        <w:t xml:space="preserve">Nor </w:t>
      </w:r>
      <w:r>
        <w:rPr>
          <w:lang w:val="en-GB"/>
        </w:rPr>
        <w:t>does</w:t>
      </w:r>
      <w:r w:rsidRPr="00E945B0">
        <w:rPr>
          <w:lang w:val="en-GB"/>
        </w:rPr>
        <w:t xml:space="preserve"> the father</w:t>
      </w:r>
      <w:r w:rsidR="00C17A2C">
        <w:rPr>
          <w:lang w:val="en-GB"/>
        </w:rPr>
        <w:t>’</w:t>
      </w:r>
      <w:r w:rsidRPr="00E945B0">
        <w:rPr>
          <w:lang w:val="en-GB"/>
        </w:rPr>
        <w:t xml:space="preserve">s gender reassignment </w:t>
      </w:r>
      <w:r>
        <w:rPr>
          <w:lang w:val="en-GB"/>
        </w:rPr>
        <w:t xml:space="preserve">have </w:t>
      </w:r>
      <w:r w:rsidRPr="00E945B0">
        <w:rPr>
          <w:lang w:val="en-GB"/>
        </w:rPr>
        <w:t>any legal effects on th</w:t>
      </w:r>
      <w:r>
        <w:rPr>
          <w:lang w:val="en-GB"/>
        </w:rPr>
        <w:t>e responsibility</w:t>
      </w:r>
      <w:r w:rsidRPr="00E945B0">
        <w:rPr>
          <w:lang w:val="en-GB"/>
        </w:rPr>
        <w:t xml:space="preserve"> for the care, custody or maintenance of a child as</w:t>
      </w:r>
      <w:r w:rsidRPr="0034147D">
        <w:rPr>
          <w:lang w:val="en-GB"/>
        </w:rPr>
        <w:t xml:space="preserve"> </w:t>
      </w:r>
      <w:r>
        <w:rPr>
          <w:lang w:val="en-GB"/>
        </w:rPr>
        <w:t>in Finland</w:t>
      </w:r>
      <w:r w:rsidRPr="00E945B0">
        <w:rPr>
          <w:lang w:val="en-GB"/>
        </w:rPr>
        <w:t xml:space="preserve"> </w:t>
      </w:r>
      <w:r>
        <w:rPr>
          <w:lang w:val="en-GB"/>
        </w:rPr>
        <w:t>that responsibility</w:t>
      </w:r>
      <w:r w:rsidRPr="00E945B0">
        <w:rPr>
          <w:lang w:val="en-GB"/>
        </w:rPr>
        <w:t xml:space="preserve"> </w:t>
      </w:r>
      <w:r>
        <w:rPr>
          <w:lang w:val="en-GB"/>
        </w:rPr>
        <w:t>i</w:t>
      </w:r>
      <w:r w:rsidRPr="00E945B0">
        <w:rPr>
          <w:lang w:val="en-GB"/>
        </w:rPr>
        <w:t>s based</w:t>
      </w:r>
      <w:r>
        <w:rPr>
          <w:lang w:val="en-GB"/>
        </w:rPr>
        <w:t xml:space="preserve"> </w:t>
      </w:r>
      <w:r w:rsidRPr="00E945B0">
        <w:rPr>
          <w:lang w:val="en-GB"/>
        </w:rPr>
        <w:t>on parenthood, irrespective of sex or form of partnership.</w:t>
      </w:r>
      <w:r>
        <w:rPr>
          <w:lang w:val="en-GB"/>
        </w:rPr>
        <w:t xml:space="preserve"> The Court therefore finds it established that the conversion of the applicant</w:t>
      </w:r>
      <w:r w:rsidR="00C17A2C">
        <w:rPr>
          <w:lang w:val="en-GB"/>
        </w:rPr>
        <w:t>’</w:t>
      </w:r>
      <w:r>
        <w:rPr>
          <w:lang w:val="en-GB"/>
        </w:rPr>
        <w:t>s marriage into a registered partnership would have no implications for her family life, as protected by Article 8 of the Convention.</w:t>
      </w:r>
    </w:p>
    <w:p w:rsidR="00910348" w:rsidRDefault="00910348" w:rsidP="00910348">
      <w:pPr>
        <w:pStyle w:val="ECHRPara"/>
        <w:rPr>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8B718E">
        <w:rPr>
          <w:rStyle w:val="sb8d990e2"/>
          <w:noProof/>
          <w:lang w:val="en-GB"/>
        </w:rPr>
        <w:t>87</w:t>
      </w:r>
      <w:r>
        <w:rPr>
          <w:rStyle w:val="sb8d990e2"/>
          <w:lang w:val="en-GB"/>
        </w:rPr>
        <w:fldChar w:fldCharType="end"/>
      </w:r>
      <w:r>
        <w:rPr>
          <w:rStyle w:val="sb8d990e2"/>
          <w:lang w:val="en-GB"/>
        </w:rPr>
        <w:t>.  </w:t>
      </w:r>
      <w:r w:rsidRPr="003C6C28">
        <w:rPr>
          <w:rStyle w:val="sb8d990e2"/>
          <w:lang w:val="en-GB"/>
        </w:rPr>
        <w:t xml:space="preserve">While it is </w:t>
      </w:r>
      <w:r>
        <w:rPr>
          <w:rStyle w:val="sb8d990e2"/>
          <w:lang w:val="en-GB"/>
        </w:rPr>
        <w:t xml:space="preserve">regrettable </w:t>
      </w:r>
      <w:r w:rsidRPr="003C6C28">
        <w:rPr>
          <w:rStyle w:val="sb8d990e2"/>
          <w:lang w:val="en-GB"/>
        </w:rPr>
        <w:t xml:space="preserve">that the applicant faces daily situations in which the incorrect identity number creates inconvenience for her, the Court considers that the applicant has a </w:t>
      </w:r>
      <w:r>
        <w:rPr>
          <w:rStyle w:val="sb8d990e2"/>
          <w:lang w:val="en-GB"/>
        </w:rPr>
        <w:t>genuine</w:t>
      </w:r>
      <w:r w:rsidRPr="003C6C28">
        <w:rPr>
          <w:rStyle w:val="sb8d990e2"/>
          <w:lang w:val="en-GB"/>
        </w:rPr>
        <w:t xml:space="preserve"> possibility </w:t>
      </w:r>
      <w:r>
        <w:rPr>
          <w:rStyle w:val="sb8d990e2"/>
          <w:lang w:val="en-GB"/>
        </w:rPr>
        <w:t>of</w:t>
      </w:r>
      <w:r w:rsidRPr="003C6C28">
        <w:rPr>
          <w:rStyle w:val="sb8d990e2"/>
          <w:lang w:val="en-GB"/>
        </w:rPr>
        <w:t xml:space="preserve"> chang</w:t>
      </w:r>
      <w:r>
        <w:rPr>
          <w:rStyle w:val="sb8d990e2"/>
          <w:lang w:val="en-GB"/>
        </w:rPr>
        <w:t>ing</w:t>
      </w:r>
      <w:r w:rsidRPr="003C6C28">
        <w:rPr>
          <w:rStyle w:val="sb8d990e2"/>
          <w:lang w:val="en-GB"/>
        </w:rPr>
        <w:t xml:space="preserve"> that state of affairs: her marriage can be </w:t>
      </w:r>
      <w:r>
        <w:rPr>
          <w:rStyle w:val="sb8d990e2"/>
          <w:lang w:val="en-GB"/>
        </w:rPr>
        <w:t xml:space="preserve">converted </w:t>
      </w:r>
      <w:r w:rsidRPr="003C6C28">
        <w:rPr>
          <w:rStyle w:val="sb8d990e2"/>
          <w:lang w:val="en-GB"/>
        </w:rPr>
        <w:t xml:space="preserve">at any time, </w:t>
      </w:r>
      <w:r w:rsidRPr="003C6C28">
        <w:rPr>
          <w:rStyle w:val="sb8d990e2"/>
          <w:i/>
          <w:lang w:val="en-GB"/>
        </w:rPr>
        <w:t>ex lege</w:t>
      </w:r>
      <w:r w:rsidRPr="003C6C28">
        <w:rPr>
          <w:rStyle w:val="sb8d990e2"/>
          <w:lang w:val="en-GB"/>
        </w:rPr>
        <w:t xml:space="preserve">, into a registered partnership with the consent of her spouse. If no such consent is obtained, the possibility of divorce, </w:t>
      </w:r>
      <w:r>
        <w:rPr>
          <w:rStyle w:val="sb8d990e2"/>
          <w:lang w:val="en-GB"/>
        </w:rPr>
        <w:t>as</w:t>
      </w:r>
      <w:r w:rsidRPr="003C6C28">
        <w:rPr>
          <w:rStyle w:val="sb8d990e2"/>
          <w:lang w:val="en-GB"/>
        </w:rPr>
        <w:t xml:space="preserve"> in any marriage, is always open to her.</w:t>
      </w:r>
      <w:r>
        <w:rPr>
          <w:rStyle w:val="sb8d990e2"/>
          <w:lang w:val="en-GB"/>
        </w:rPr>
        <w:t xml:space="preserve"> In</w:t>
      </w:r>
      <w:r w:rsidRPr="003C6C28">
        <w:rPr>
          <w:rStyle w:val="sb8d990e2"/>
          <w:lang w:val="en-GB"/>
        </w:rPr>
        <w:t xml:space="preserve"> the Court</w:t>
      </w:r>
      <w:r w:rsidR="00C17A2C">
        <w:rPr>
          <w:rStyle w:val="sb8d990e2"/>
          <w:lang w:val="en-GB"/>
        </w:rPr>
        <w:t>’</w:t>
      </w:r>
      <w:r>
        <w:rPr>
          <w:rStyle w:val="sb8d990e2"/>
          <w:lang w:val="en-GB"/>
        </w:rPr>
        <w:t>s view,</w:t>
      </w:r>
      <w:r w:rsidRPr="003C6C28">
        <w:rPr>
          <w:rStyle w:val="sb8d990e2"/>
          <w:lang w:val="en-GB"/>
        </w:rPr>
        <w:t xml:space="preserve"> i</w:t>
      </w:r>
      <w:r w:rsidRPr="003C6C28">
        <w:rPr>
          <w:lang w:val="en-GB"/>
        </w:rPr>
        <w:t>t is not disproportionate to require</w:t>
      </w:r>
      <w:r>
        <w:rPr>
          <w:lang w:val="en-GB"/>
        </w:rPr>
        <w:t>, as a precondition to legal recognition of an acquired gender,</w:t>
      </w:r>
      <w:r w:rsidRPr="003C6C28">
        <w:rPr>
          <w:lang w:val="en-GB"/>
        </w:rPr>
        <w:t xml:space="preserve"> that the applicant</w:t>
      </w:r>
      <w:r w:rsidR="00C17A2C">
        <w:rPr>
          <w:lang w:val="en-GB"/>
        </w:rPr>
        <w:t>’</w:t>
      </w:r>
      <w:r w:rsidRPr="003C6C28">
        <w:rPr>
          <w:lang w:val="en-GB"/>
        </w:rPr>
        <w:t xml:space="preserve">s marriage be </w:t>
      </w:r>
      <w:r>
        <w:rPr>
          <w:lang w:val="en-GB"/>
        </w:rPr>
        <w:t xml:space="preserve">converted </w:t>
      </w:r>
      <w:r w:rsidRPr="003C6C28">
        <w:rPr>
          <w:lang w:val="en-GB"/>
        </w:rPr>
        <w:t>into a registered partnership as th</w:t>
      </w:r>
      <w:r>
        <w:rPr>
          <w:lang w:val="en-GB"/>
        </w:rPr>
        <w:t>at</w:t>
      </w:r>
      <w:r w:rsidRPr="003C6C28">
        <w:rPr>
          <w:lang w:val="en-GB"/>
        </w:rPr>
        <w:t xml:space="preserve"> is a </w:t>
      </w:r>
      <w:r>
        <w:rPr>
          <w:lang w:val="en-GB"/>
        </w:rPr>
        <w:t>genuine</w:t>
      </w:r>
      <w:r w:rsidRPr="003C6C28">
        <w:rPr>
          <w:lang w:val="en-GB"/>
        </w:rPr>
        <w:t xml:space="preserve"> option which provides legal protection for same-sex couples </w:t>
      </w:r>
      <w:r>
        <w:rPr>
          <w:lang w:val="en-GB"/>
        </w:rPr>
        <w:t>that</w:t>
      </w:r>
      <w:r w:rsidRPr="003C6C28">
        <w:rPr>
          <w:lang w:val="en-GB"/>
        </w:rPr>
        <w:t xml:space="preserve"> is almost identical to that of marriage</w:t>
      </w:r>
      <w:r>
        <w:rPr>
          <w:lang w:val="en-GB"/>
        </w:rPr>
        <w:t xml:space="preserve"> (see </w:t>
      </w:r>
      <w:r w:rsidRPr="006779D0">
        <w:rPr>
          <w:i/>
          <w:lang w:val="en-US"/>
        </w:rPr>
        <w:t>Parry v. the United Kingdom</w:t>
      </w:r>
      <w:r w:rsidRPr="006779D0">
        <w:rPr>
          <w:lang w:val="en-US"/>
        </w:rPr>
        <w:t xml:space="preserve"> (dec.), cited above)</w:t>
      </w:r>
      <w:r w:rsidRPr="003C6C28">
        <w:rPr>
          <w:lang w:val="en-GB"/>
        </w:rPr>
        <w:t>.</w:t>
      </w:r>
      <w:r>
        <w:rPr>
          <w:lang w:val="en-GB"/>
        </w:rPr>
        <w:t xml:space="preserve"> The minor differences between these two legal concepts are not </w:t>
      </w:r>
      <w:r>
        <w:rPr>
          <w:lang w:val="en-GB"/>
        </w:rPr>
        <w:lastRenderedPageBreak/>
        <w:t>capable of rendering the current Finnish system deficient from the point of view of the State</w:t>
      </w:r>
      <w:r w:rsidR="00C17A2C">
        <w:rPr>
          <w:lang w:val="en-GB"/>
        </w:rPr>
        <w:t>’</w:t>
      </w:r>
      <w:r>
        <w:rPr>
          <w:lang w:val="en-GB"/>
        </w:rPr>
        <w:t>s positive obligation.</w:t>
      </w:r>
    </w:p>
    <w:p w:rsidR="00910348" w:rsidRPr="003C6C28" w:rsidRDefault="00910348" w:rsidP="00910348">
      <w:pPr>
        <w:pStyle w:val="ECHRPara"/>
        <w:rPr>
          <w:rStyle w:val="sb8d990e2"/>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88</w:t>
      </w:r>
      <w:r>
        <w:rPr>
          <w:lang w:val="en-GB"/>
        </w:rPr>
        <w:fldChar w:fldCharType="end"/>
      </w:r>
      <w:r>
        <w:rPr>
          <w:lang w:val="en-GB"/>
        </w:rPr>
        <w:t xml:space="preserve">.  In conclusion, </w:t>
      </w:r>
      <w:r w:rsidRPr="00511E53">
        <w:rPr>
          <w:rStyle w:val="sb8d990e2"/>
          <w:lang w:val="en-GB"/>
        </w:rPr>
        <w:t xml:space="preserve">the Court considers that the </w:t>
      </w:r>
      <w:r>
        <w:rPr>
          <w:rStyle w:val="sb8d990e2"/>
          <w:lang w:val="en-GB"/>
        </w:rPr>
        <w:t xml:space="preserve">current </w:t>
      </w:r>
      <w:r w:rsidRPr="00511E53">
        <w:rPr>
          <w:rStyle w:val="sb8d990e2"/>
          <w:lang w:val="en-GB"/>
        </w:rPr>
        <w:t xml:space="preserve">Finnish system </w:t>
      </w:r>
      <w:r>
        <w:rPr>
          <w:rStyle w:val="sb8d990e2"/>
          <w:lang w:val="en-GB"/>
        </w:rPr>
        <w:t xml:space="preserve">as a whole </w:t>
      </w:r>
      <w:r w:rsidRPr="00511E53">
        <w:rPr>
          <w:rStyle w:val="sb8d990e2"/>
          <w:lang w:val="en-GB"/>
        </w:rPr>
        <w:t xml:space="preserve">has not been shown to be disproportionate </w:t>
      </w:r>
      <w:r>
        <w:rPr>
          <w:rStyle w:val="sb8d990e2"/>
          <w:lang w:val="en-GB"/>
        </w:rPr>
        <w:t xml:space="preserve">in its effects on the applicant </w:t>
      </w:r>
      <w:r w:rsidRPr="00511E53">
        <w:rPr>
          <w:rStyle w:val="sb8d990e2"/>
          <w:lang w:val="en-GB"/>
        </w:rPr>
        <w:t>and that a fair balance has been struck between the competing</w:t>
      </w:r>
      <w:r w:rsidR="005D4A7D">
        <w:rPr>
          <w:rStyle w:val="sb8d990e2"/>
          <w:lang w:val="en-GB"/>
        </w:rPr>
        <w:t xml:space="preserve"> interests in the present case.</w:t>
      </w:r>
    </w:p>
    <w:p w:rsidR="00910348" w:rsidRPr="00E945B0" w:rsidRDefault="00910348" w:rsidP="00910348">
      <w:pPr>
        <w:pStyle w:val="ECHRPara"/>
        <w:rPr>
          <w:lang w:val="en-GB"/>
        </w:rPr>
      </w:pPr>
      <w:r w:rsidRPr="00511E53">
        <w:rPr>
          <w:lang w:val="en-GB"/>
        </w:rPr>
        <w:fldChar w:fldCharType="begin"/>
      </w:r>
      <w:r w:rsidRPr="00511E53">
        <w:rPr>
          <w:lang w:val="en-GB"/>
        </w:rPr>
        <w:instrText xml:space="preserve"> SEQ level0 \*arabic </w:instrText>
      </w:r>
      <w:r w:rsidRPr="00511E53">
        <w:rPr>
          <w:lang w:val="en-GB"/>
        </w:rPr>
        <w:fldChar w:fldCharType="separate"/>
      </w:r>
      <w:r w:rsidR="008B718E">
        <w:rPr>
          <w:noProof/>
          <w:lang w:val="en-GB"/>
        </w:rPr>
        <w:t>89</w:t>
      </w:r>
      <w:r w:rsidRPr="00511E53">
        <w:rPr>
          <w:lang w:val="en-GB"/>
        </w:rPr>
        <w:fldChar w:fldCharType="end"/>
      </w:r>
      <w:r w:rsidRPr="00511E53">
        <w:rPr>
          <w:lang w:val="en-GB"/>
        </w:rPr>
        <w:t>.  </w:t>
      </w:r>
      <w:r>
        <w:rPr>
          <w:lang w:val="en-GB"/>
        </w:rPr>
        <w:t>A</w:t>
      </w:r>
      <w:r w:rsidRPr="00511E53">
        <w:rPr>
          <w:lang w:val="en-GB"/>
        </w:rPr>
        <w:t>ccordingly</w:t>
      </w:r>
      <w:r>
        <w:rPr>
          <w:lang w:val="en-GB"/>
        </w:rPr>
        <w:t>,</w:t>
      </w:r>
      <w:r w:rsidRPr="00511E53">
        <w:rPr>
          <w:lang w:val="en-GB"/>
        </w:rPr>
        <w:t xml:space="preserve"> </w:t>
      </w:r>
      <w:r>
        <w:rPr>
          <w:lang w:val="en-GB"/>
        </w:rPr>
        <w:t>t</w:t>
      </w:r>
      <w:r w:rsidRPr="00511E53">
        <w:rPr>
          <w:lang w:val="en-GB"/>
        </w:rPr>
        <w:t>here has been no violation of Article 8 of the Convention.</w:t>
      </w:r>
    </w:p>
    <w:p w:rsidR="00910348" w:rsidRPr="00E945B0" w:rsidRDefault="00910348" w:rsidP="00910348">
      <w:pPr>
        <w:pStyle w:val="ECHRHeading1"/>
        <w:rPr>
          <w:lang w:val="en-GB"/>
        </w:rPr>
      </w:pPr>
      <w:r w:rsidRPr="00E945B0">
        <w:rPr>
          <w:lang w:val="en-GB"/>
        </w:rPr>
        <w:t>II.  ALLEGED VIOLATION OF ARTICLE 12 OF THE CONVENTION</w:t>
      </w:r>
    </w:p>
    <w:p w:rsidR="00910348" w:rsidRPr="00E945B0" w:rsidRDefault="00910348" w:rsidP="00910348">
      <w:pPr>
        <w:pStyle w:val="ECHRPara"/>
        <w:rPr>
          <w:lang w:val="en-GB"/>
        </w:rPr>
      </w:pPr>
      <w:r>
        <w:rPr>
          <w:lang w:val="en-GB"/>
        </w:rPr>
        <w:fldChar w:fldCharType="begin"/>
      </w:r>
      <w:r>
        <w:rPr>
          <w:lang w:val="en-GB"/>
        </w:rPr>
        <w:instrText xml:space="preserve"> SEQ level0 \*arabic </w:instrText>
      </w:r>
      <w:r>
        <w:rPr>
          <w:lang w:val="en-GB"/>
        </w:rPr>
        <w:fldChar w:fldCharType="separate"/>
      </w:r>
      <w:r w:rsidR="008B718E">
        <w:rPr>
          <w:noProof/>
          <w:lang w:val="en-GB"/>
        </w:rPr>
        <w:t>90</w:t>
      </w:r>
      <w:r>
        <w:rPr>
          <w:lang w:val="en-GB"/>
        </w:rPr>
        <w:fldChar w:fldCharType="end"/>
      </w:r>
      <w:r>
        <w:rPr>
          <w:lang w:val="en-GB"/>
        </w:rPr>
        <w:t>.  </w:t>
      </w:r>
      <w:r w:rsidRPr="00E945B0">
        <w:rPr>
          <w:lang w:val="en-GB"/>
        </w:rPr>
        <w:t xml:space="preserve">The applicant did not initially </w:t>
      </w:r>
      <w:r>
        <w:rPr>
          <w:lang w:val="en-GB"/>
        </w:rPr>
        <w:t xml:space="preserve">invoke </w:t>
      </w:r>
      <w:r w:rsidRPr="00E945B0">
        <w:rPr>
          <w:lang w:val="en-GB"/>
        </w:rPr>
        <w:t>Article 12 of the Convention in her application to the Court</w:t>
      </w:r>
      <w:r>
        <w:rPr>
          <w:lang w:val="en-GB"/>
        </w:rPr>
        <w:t>.</w:t>
      </w:r>
      <w:r w:rsidRPr="00E945B0">
        <w:rPr>
          <w:lang w:val="en-GB"/>
        </w:rPr>
        <w:t xml:space="preserve"> However, on </w:t>
      </w:r>
      <w:r w:rsidRPr="00E945B0">
        <w:rPr>
          <w:szCs w:val="24"/>
          <w:lang w:val="en-GB"/>
        </w:rPr>
        <w:t>23 March 2010</w:t>
      </w:r>
      <w:r w:rsidRPr="00E945B0">
        <w:rPr>
          <w:lang w:val="en-GB"/>
        </w:rPr>
        <w:t xml:space="preserve"> the </w:t>
      </w:r>
      <w:r>
        <w:rPr>
          <w:lang w:val="en-GB"/>
        </w:rPr>
        <w:t>Chamber</w:t>
      </w:r>
      <w:r w:rsidRPr="00E945B0">
        <w:rPr>
          <w:lang w:val="en-GB"/>
        </w:rPr>
        <w:t xml:space="preserve"> decided</w:t>
      </w:r>
      <w:r>
        <w:rPr>
          <w:lang w:val="en-GB"/>
        </w:rPr>
        <w:t>,</w:t>
      </w:r>
      <w:r w:rsidRPr="00E945B0">
        <w:rPr>
          <w:lang w:val="en-GB"/>
        </w:rPr>
        <w:t xml:space="preserve"> </w:t>
      </w:r>
      <w:r>
        <w:rPr>
          <w:lang w:val="en-GB"/>
        </w:rPr>
        <w:t xml:space="preserve">of its own motion, </w:t>
      </w:r>
      <w:r w:rsidRPr="00E945B0">
        <w:rPr>
          <w:lang w:val="en-GB"/>
        </w:rPr>
        <w:t>to communicate the application under Article 12 of the Convention</w:t>
      </w:r>
      <w:r>
        <w:rPr>
          <w:lang w:val="en-GB"/>
        </w:rPr>
        <w:t xml:space="preserve"> as well</w:t>
      </w:r>
      <w:r w:rsidRPr="00E945B0">
        <w:rPr>
          <w:lang w:val="en-GB"/>
        </w:rPr>
        <w: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91</w:t>
      </w:r>
      <w:r w:rsidRPr="00E945B0">
        <w:rPr>
          <w:lang w:val="en-GB"/>
        </w:rPr>
        <w:fldChar w:fldCharType="end"/>
      </w:r>
      <w:r w:rsidRPr="00E945B0">
        <w:rPr>
          <w:lang w:val="en-GB"/>
        </w:rPr>
        <w:t>.  Article 12 of the Convention reads as follows:</w:t>
      </w:r>
    </w:p>
    <w:p w:rsidR="00910348" w:rsidRPr="00E945B0" w:rsidRDefault="00910348" w:rsidP="00910348">
      <w:pPr>
        <w:pStyle w:val="ECHRParaQuote"/>
        <w:rPr>
          <w:lang w:val="en-GB"/>
        </w:rPr>
      </w:pPr>
      <w:r w:rsidRPr="00E945B0">
        <w:rPr>
          <w:lang w:val="en-GB"/>
        </w:rPr>
        <w:t>“Men and women of marriageable age have the right to marry and to found a family, according to the national laws governing the exercise of this right.”</w:t>
      </w:r>
    </w:p>
    <w:p w:rsidR="00910348" w:rsidRPr="00E945B0" w:rsidRDefault="00910348" w:rsidP="00910348">
      <w:pPr>
        <w:pStyle w:val="ECHRHeading2"/>
        <w:rPr>
          <w:lang w:val="en-GB"/>
        </w:rPr>
      </w:pPr>
      <w:r w:rsidRPr="00E945B0">
        <w:rPr>
          <w:lang w:val="en-GB"/>
        </w:rPr>
        <w:t>A.  The Chamber judgment</w:t>
      </w:r>
    </w:p>
    <w:p w:rsidR="00910348" w:rsidRPr="00E945B0" w:rsidRDefault="00910348" w:rsidP="00910348">
      <w:pPr>
        <w:pStyle w:val="ECHRPara"/>
        <w:rPr>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92</w:t>
      </w:r>
      <w:r w:rsidRPr="00E945B0">
        <w:rPr>
          <w:rStyle w:val="sb8d990e2"/>
          <w:lang w:val="en-GB"/>
        </w:rPr>
        <w:fldChar w:fldCharType="end"/>
      </w:r>
      <w:r w:rsidRPr="00E945B0">
        <w:rPr>
          <w:rStyle w:val="sb8d990e2"/>
          <w:lang w:val="en-GB"/>
        </w:rPr>
        <w:t>.  </w:t>
      </w:r>
      <w:r w:rsidRPr="00E945B0">
        <w:rPr>
          <w:lang w:val="en-GB"/>
        </w:rPr>
        <w:t xml:space="preserve">In its judgment of 13 November 2012, the </w:t>
      </w:r>
      <w:r w:rsidRPr="00E945B0">
        <w:rPr>
          <w:rStyle w:val="sb8d990e2"/>
          <w:lang w:val="en-GB"/>
        </w:rPr>
        <w:t>Chamber observed that the issue at stake in the present case did not as such involve any issue under Article 12 of the Convention</w:t>
      </w:r>
      <w:r>
        <w:rPr>
          <w:rStyle w:val="sb8d990e2"/>
          <w:lang w:val="en-GB"/>
        </w:rPr>
        <w:t>,</w:t>
      </w:r>
      <w:r w:rsidRPr="00E945B0">
        <w:rPr>
          <w:rStyle w:val="sb8d990e2"/>
          <w:lang w:val="en-GB"/>
        </w:rPr>
        <w:t xml:space="preserve"> which guaranteed a right to marry. The applicant had been legally married since 1996. The issue at stake rather concerned the consequences of the applicant</w:t>
      </w:r>
      <w:r w:rsidR="00C17A2C">
        <w:rPr>
          <w:rStyle w:val="sb8d990e2"/>
          <w:lang w:val="en-GB"/>
        </w:rPr>
        <w:t>’</w:t>
      </w:r>
      <w:r w:rsidRPr="00E945B0">
        <w:rPr>
          <w:rStyle w:val="sb8d990e2"/>
          <w:lang w:val="en-GB"/>
        </w:rPr>
        <w:t xml:space="preserve">s change of gender for the existing marriage between her and her spouse, which </w:t>
      </w:r>
      <w:r w:rsidRPr="00E945B0">
        <w:rPr>
          <w:rStyle w:val="wordhighlighted"/>
          <w:lang w:val="en-GB"/>
        </w:rPr>
        <w:t>had</w:t>
      </w:r>
      <w:r w:rsidRPr="00E945B0">
        <w:rPr>
          <w:rStyle w:val="sb8d990e2"/>
          <w:lang w:val="en-GB"/>
        </w:rPr>
        <w:t xml:space="preserve"> already been examined under Article 8 of the Convention. In view of those findings</w:t>
      </w:r>
      <w:r>
        <w:rPr>
          <w:rStyle w:val="sb8d990e2"/>
          <w:lang w:val="en-GB"/>
        </w:rPr>
        <w:t>,</w:t>
      </w:r>
      <w:r w:rsidRPr="00E945B0">
        <w:rPr>
          <w:rStyle w:val="sb8d990e2"/>
          <w:lang w:val="en-GB"/>
        </w:rPr>
        <w:t xml:space="preserve"> the Chamber found it unnecessary to examine the facts of the case separately under Article 12 of the Convention.</w:t>
      </w:r>
    </w:p>
    <w:p w:rsidR="00910348" w:rsidRPr="00E945B0" w:rsidRDefault="00910348" w:rsidP="00910348">
      <w:pPr>
        <w:pStyle w:val="ECHRHeading2"/>
        <w:rPr>
          <w:lang w:val="en-GB"/>
        </w:rPr>
      </w:pPr>
      <w:r w:rsidRPr="00E945B0">
        <w:rPr>
          <w:lang w:val="en-GB"/>
        </w:rPr>
        <w:t>B.  The parties</w:t>
      </w:r>
      <w:r w:rsidR="00C17A2C">
        <w:rPr>
          <w:lang w:val="en-GB"/>
        </w:rPr>
        <w:t>’</w:t>
      </w:r>
      <w:r w:rsidRPr="00E945B0">
        <w:rPr>
          <w:lang w:val="en-GB"/>
        </w:rPr>
        <w:t xml:space="preserve"> submissions</w:t>
      </w:r>
    </w:p>
    <w:p w:rsidR="00910348" w:rsidRPr="00E945B0" w:rsidRDefault="00910348" w:rsidP="00910348">
      <w:pPr>
        <w:pStyle w:val="ECHRHeading3"/>
        <w:rPr>
          <w:lang w:val="en-GB"/>
        </w:rPr>
      </w:pPr>
      <w:r w:rsidRPr="00E945B0">
        <w:rPr>
          <w:lang w:val="en-GB"/>
        </w:rPr>
        <w:t>1.  The applicant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93</w:t>
      </w:r>
      <w:r w:rsidRPr="00E945B0">
        <w:rPr>
          <w:lang w:val="en-GB"/>
        </w:rPr>
        <w:fldChar w:fldCharType="end"/>
      </w:r>
      <w:r w:rsidRPr="00E945B0">
        <w:rPr>
          <w:lang w:val="en-GB"/>
        </w:rPr>
        <w:t xml:space="preserve">.  The applicant claimed that the Chamber had adopted a “pick and choose” approach to Article 12 of the Convention. An analysis under Article 12 would have been important as it required a different test </w:t>
      </w:r>
      <w:r>
        <w:rPr>
          <w:lang w:val="en-GB"/>
        </w:rPr>
        <w:t>from</w:t>
      </w:r>
      <w:r w:rsidRPr="00E945B0">
        <w:rPr>
          <w:lang w:val="en-GB"/>
        </w:rPr>
        <w:t xml:space="preserve"> Article 8, namely whether the compulsory termination of marriage affected “the substance of the right to marry” in line with the Court</w:t>
      </w:r>
      <w:r w:rsidR="00C17A2C">
        <w:rPr>
          <w:lang w:val="en-GB"/>
        </w:rPr>
        <w:t>’</w:t>
      </w:r>
      <w:r w:rsidRPr="00E945B0">
        <w:rPr>
          <w:lang w:val="en-GB"/>
        </w:rPr>
        <w:t xml:space="preserve">s </w:t>
      </w:r>
      <w:r>
        <w:rPr>
          <w:lang w:val="en-GB"/>
        </w:rPr>
        <w:t>case-law</w:t>
      </w:r>
      <w:r w:rsidRPr="00E945B0">
        <w:rPr>
          <w:lang w:val="en-GB"/>
        </w:rPr>
        <w:t xml:space="preserve">. It could also have corrected the </w:t>
      </w:r>
      <w:r>
        <w:rPr>
          <w:lang w:val="en-GB"/>
        </w:rPr>
        <w:t>failure</w:t>
      </w:r>
      <w:r w:rsidRPr="00E945B0">
        <w:rPr>
          <w:lang w:val="en-GB"/>
        </w:rPr>
        <w:t xml:space="preserve"> to consider the applicant</w:t>
      </w:r>
      <w:r w:rsidR="00C17A2C">
        <w:rPr>
          <w:lang w:val="en-GB"/>
        </w:rPr>
        <w:t>’</w:t>
      </w:r>
      <w:r w:rsidRPr="00E945B0">
        <w:rPr>
          <w:lang w:val="en-GB"/>
        </w:rPr>
        <w:t>s family rights under Article 8 of the Convention.</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94</w:t>
      </w:r>
      <w:r w:rsidRPr="00E945B0">
        <w:rPr>
          <w:lang w:val="en-GB"/>
        </w:rPr>
        <w:fldChar w:fldCharType="end"/>
      </w:r>
      <w:r w:rsidRPr="00E945B0">
        <w:rPr>
          <w:lang w:val="en-GB"/>
        </w:rPr>
        <w:t>.  The applicant claimed that Article 12 of the Convention should either be interpreted restrict</w:t>
      </w:r>
      <w:r>
        <w:rPr>
          <w:lang w:val="en-GB"/>
        </w:rPr>
        <w:t>iv</w:t>
      </w:r>
      <w:r w:rsidRPr="00E945B0">
        <w:rPr>
          <w:lang w:val="en-GB"/>
        </w:rPr>
        <w:t xml:space="preserve">ely to cover only the contracting of marriage </w:t>
      </w:r>
      <w:r w:rsidRPr="00E945B0">
        <w:rPr>
          <w:lang w:val="en-GB"/>
        </w:rPr>
        <w:lastRenderedPageBreak/>
        <w:t xml:space="preserve">or more broadly to cover also the continued existence of a marriage. In the former case, Article 12 would not </w:t>
      </w:r>
      <w:r>
        <w:rPr>
          <w:lang w:val="en-GB"/>
        </w:rPr>
        <w:t>be relevant to</w:t>
      </w:r>
      <w:r w:rsidRPr="00E945B0">
        <w:rPr>
          <w:lang w:val="en-GB"/>
        </w:rPr>
        <w:t xml:space="preserve"> the applicant</w:t>
      </w:r>
      <w:r w:rsidR="00C17A2C">
        <w:rPr>
          <w:lang w:val="en-GB"/>
        </w:rPr>
        <w:t>’</w:t>
      </w:r>
      <w:r w:rsidRPr="00E945B0">
        <w:rPr>
          <w:lang w:val="en-GB"/>
        </w:rPr>
        <w:t xml:space="preserve">s situation as her marriage to her wife </w:t>
      </w:r>
      <w:r>
        <w:rPr>
          <w:lang w:val="en-GB"/>
        </w:rPr>
        <w:t>had been</w:t>
      </w:r>
      <w:r w:rsidRPr="00E945B0">
        <w:rPr>
          <w:lang w:val="en-GB"/>
        </w:rPr>
        <w:t xml:space="preserve"> contracted when they were a different-sex couple. In the latter </w:t>
      </w:r>
      <w:r>
        <w:rPr>
          <w:lang w:val="en-GB"/>
        </w:rPr>
        <w:t>case</w:t>
      </w:r>
      <w:r w:rsidRPr="00E945B0">
        <w:rPr>
          <w:lang w:val="en-GB"/>
        </w:rPr>
        <w:t xml:space="preserve">, however, the test whether the </w:t>
      </w:r>
      <w:r>
        <w:rPr>
          <w:lang w:val="en-GB"/>
        </w:rPr>
        <w:t>“</w:t>
      </w:r>
      <w:r w:rsidRPr="00E945B0">
        <w:rPr>
          <w:lang w:val="en-GB"/>
        </w:rPr>
        <w:t>forced</w:t>
      </w:r>
      <w:r>
        <w:rPr>
          <w:lang w:val="en-GB"/>
        </w:rPr>
        <w:t>”</w:t>
      </w:r>
      <w:r w:rsidRPr="00E945B0">
        <w:rPr>
          <w:lang w:val="en-GB"/>
        </w:rPr>
        <w:t xml:space="preserve"> </w:t>
      </w:r>
      <w:r>
        <w:rPr>
          <w:lang w:val="en-GB"/>
        </w:rPr>
        <w:t>divorce</w:t>
      </w:r>
      <w:r w:rsidRPr="00E945B0">
        <w:rPr>
          <w:lang w:val="en-GB"/>
        </w:rPr>
        <w:t xml:space="preserve"> injured “the very substance of the right to marry” would have to be satisfied. </w:t>
      </w:r>
      <w:r>
        <w:rPr>
          <w:lang w:val="en-GB"/>
        </w:rPr>
        <w:t>In</w:t>
      </w:r>
      <w:r w:rsidRPr="00E945B0">
        <w:rPr>
          <w:lang w:val="en-GB"/>
        </w:rPr>
        <w:t xml:space="preserve"> the applicant</w:t>
      </w:r>
      <w:r w:rsidR="00C17A2C">
        <w:rPr>
          <w:lang w:val="en-GB"/>
        </w:rPr>
        <w:t>’</w:t>
      </w:r>
      <w:r>
        <w:rPr>
          <w:lang w:val="en-GB"/>
        </w:rPr>
        <w:t>s submission, the latter interpretation applied since</w:t>
      </w:r>
      <w:r w:rsidRPr="00E945B0">
        <w:rPr>
          <w:lang w:val="en-GB"/>
        </w:rPr>
        <w:t xml:space="preserve"> the Government</w:t>
      </w:r>
      <w:r w:rsidR="00C17A2C">
        <w:rPr>
          <w:lang w:val="en-GB"/>
        </w:rPr>
        <w:t>’</w:t>
      </w:r>
      <w:r>
        <w:rPr>
          <w:lang w:val="en-GB"/>
        </w:rPr>
        <w:t xml:space="preserve">s </w:t>
      </w:r>
      <w:r w:rsidRPr="00E945B0">
        <w:rPr>
          <w:lang w:val="en-GB"/>
        </w:rPr>
        <w:t xml:space="preserve">ability to interfere </w:t>
      </w:r>
      <w:r>
        <w:rPr>
          <w:lang w:val="en-GB"/>
        </w:rPr>
        <w:t>with</w:t>
      </w:r>
      <w:r w:rsidRPr="00E945B0">
        <w:rPr>
          <w:lang w:val="en-GB"/>
        </w:rPr>
        <w:t xml:space="preserve"> a marriage in a manner</w:t>
      </w:r>
      <w:r w:rsidRPr="00F71254">
        <w:rPr>
          <w:lang w:val="en-GB"/>
        </w:rPr>
        <w:t xml:space="preserve"> </w:t>
      </w:r>
      <w:r w:rsidRPr="00E945B0">
        <w:rPr>
          <w:lang w:val="en-GB"/>
        </w:rPr>
        <w:t>such as in the present case would render the right to marry largely ineffective. Thus construed, Article 12 of the Convention would apply to the</w:t>
      </w:r>
      <w:r>
        <w:rPr>
          <w:lang w:val="en-GB"/>
        </w:rPr>
        <w:t xml:space="preserve"> present</w:t>
      </w:r>
      <w:r w:rsidRPr="00E945B0">
        <w:rPr>
          <w:lang w:val="en-GB"/>
        </w:rPr>
        <w:t xml:space="preserve"> case and require an examination under that Article.</w:t>
      </w:r>
    </w:p>
    <w:p w:rsidR="00910348" w:rsidRPr="00E945B0" w:rsidRDefault="00910348" w:rsidP="00910348">
      <w:pPr>
        <w:pStyle w:val="ECHRHeading3"/>
        <w:rPr>
          <w:lang w:val="en-GB"/>
        </w:rPr>
      </w:pPr>
      <w:r w:rsidRPr="00E945B0">
        <w:rPr>
          <w:lang w:val="en-GB"/>
        </w:rPr>
        <w:t>2.  The Government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95</w:t>
      </w:r>
      <w:r w:rsidRPr="00E945B0">
        <w:rPr>
          <w:lang w:val="en-GB"/>
        </w:rPr>
        <w:fldChar w:fldCharType="end"/>
      </w:r>
      <w:r w:rsidRPr="00E945B0">
        <w:rPr>
          <w:lang w:val="en-GB"/>
        </w:rPr>
        <w:t>.  The Government shared the Chamber</w:t>
      </w:r>
      <w:r w:rsidR="00C17A2C">
        <w:rPr>
          <w:lang w:val="en-GB"/>
        </w:rPr>
        <w:t>’</w:t>
      </w:r>
      <w:r w:rsidRPr="00E945B0">
        <w:rPr>
          <w:lang w:val="en-GB"/>
        </w:rPr>
        <w:t>s view that it was unnecessary to examine the facts of the case separately under Article 12 of the Convention. The Court</w:t>
      </w:r>
      <w:r w:rsidR="00C17A2C">
        <w:rPr>
          <w:lang w:val="en-GB"/>
        </w:rPr>
        <w:t>’</w:t>
      </w:r>
      <w:r w:rsidRPr="00E945B0">
        <w:rPr>
          <w:lang w:val="en-GB"/>
        </w:rPr>
        <w:t>s case-law did not protect the applicant</w:t>
      </w:r>
      <w:r w:rsidR="00C17A2C">
        <w:rPr>
          <w:lang w:val="en-GB"/>
        </w:rPr>
        <w:t>’</w:t>
      </w:r>
      <w:r w:rsidRPr="00E945B0">
        <w:rPr>
          <w:lang w:val="en-GB"/>
        </w:rPr>
        <w:t>s wish to remain married to her female spouse after the confirmation of her new gender</w:t>
      </w:r>
      <w:r>
        <w:rPr>
          <w:lang w:val="en-GB"/>
        </w:rPr>
        <w:t>,</w:t>
      </w:r>
      <w:r w:rsidRPr="00E945B0">
        <w:rPr>
          <w:lang w:val="en-GB"/>
        </w:rPr>
        <w:t xml:space="preserve"> and the matter of how to regulate the effects of the gender change fell </w:t>
      </w:r>
      <w:r w:rsidRPr="000E4B8F">
        <w:rPr>
          <w:lang w:val="en-GB"/>
        </w:rPr>
        <w:t xml:space="preserve">within the </w:t>
      </w:r>
      <w:r w:rsidR="0028648E" w:rsidRPr="00A952B1">
        <w:rPr>
          <w:lang w:val="en-GB"/>
        </w:rPr>
        <w:t>margin of</w:t>
      </w:r>
      <w:r w:rsidR="0028648E" w:rsidRPr="000E4B8F">
        <w:rPr>
          <w:lang w:val="en-GB"/>
        </w:rPr>
        <w:t xml:space="preserve"> </w:t>
      </w:r>
      <w:r w:rsidRPr="004926A0">
        <w:rPr>
          <w:lang w:val="en-GB"/>
        </w:rPr>
        <w:t>appreciation</w:t>
      </w:r>
      <w:r w:rsidRPr="00E945B0">
        <w:rPr>
          <w:lang w:val="en-GB"/>
        </w:rPr>
        <w:t xml:space="preserve"> of the Contracting State. The Supreme Administrative Court had found in the present case that</w:t>
      </w:r>
      <w:r>
        <w:rPr>
          <w:lang w:val="en-GB"/>
        </w:rPr>
        <w:t xml:space="preserve"> the</w:t>
      </w:r>
      <w:r w:rsidRPr="00E945B0">
        <w:rPr>
          <w:lang w:val="en-GB"/>
        </w:rPr>
        <w:t xml:space="preserve"> domestic legislation did not aim </w:t>
      </w:r>
      <w:r>
        <w:rPr>
          <w:lang w:val="en-GB"/>
        </w:rPr>
        <w:t>to</w:t>
      </w:r>
      <w:r w:rsidRPr="00E945B0">
        <w:rPr>
          <w:lang w:val="en-GB"/>
        </w:rPr>
        <w:t xml:space="preserve"> chang</w:t>
      </w:r>
      <w:r>
        <w:rPr>
          <w:lang w:val="en-GB"/>
        </w:rPr>
        <w:t>e</w:t>
      </w:r>
      <w:r w:rsidRPr="00E945B0">
        <w:rPr>
          <w:lang w:val="en-GB"/>
        </w:rPr>
        <w:t xml:space="preserve"> the fact that only a man and a woman could marry but rather allowed the relationship to continue as </w:t>
      </w:r>
      <w:r>
        <w:rPr>
          <w:lang w:val="en-GB"/>
        </w:rPr>
        <w:t xml:space="preserve">a </w:t>
      </w:r>
      <w:r w:rsidRPr="00E945B0">
        <w:rPr>
          <w:lang w:val="en-GB"/>
        </w:rPr>
        <w:t>registered partnership</w:t>
      </w:r>
      <w:r>
        <w:rPr>
          <w:lang w:val="en-GB"/>
        </w:rPr>
        <w:t xml:space="preserve"> that was</w:t>
      </w:r>
      <w:r w:rsidRPr="00E945B0">
        <w:rPr>
          <w:lang w:val="en-GB"/>
        </w:rPr>
        <w:t xml:space="preserve"> legally protected and comparable to marriage. Transform</w:t>
      </w:r>
      <w:r>
        <w:rPr>
          <w:lang w:val="en-GB"/>
        </w:rPr>
        <w:t>ation of</w:t>
      </w:r>
      <w:r w:rsidRPr="00E945B0">
        <w:rPr>
          <w:lang w:val="en-GB"/>
        </w:rPr>
        <w:t xml:space="preserve"> the institution </w:t>
      </w:r>
      <w:r>
        <w:rPr>
          <w:lang w:val="en-GB"/>
        </w:rPr>
        <w:t xml:space="preserve">of </w:t>
      </w:r>
      <w:r w:rsidRPr="00E945B0">
        <w:rPr>
          <w:lang w:val="en-GB"/>
        </w:rPr>
        <w:t xml:space="preserve">marriage into a gender-neutral one </w:t>
      </w:r>
      <w:r>
        <w:rPr>
          <w:lang w:val="en-GB"/>
        </w:rPr>
        <w:t xml:space="preserve">required the </w:t>
      </w:r>
      <w:r w:rsidRPr="00E945B0">
        <w:rPr>
          <w:lang w:val="en-GB"/>
        </w:rPr>
        <w:t>enact</w:t>
      </w:r>
      <w:r>
        <w:rPr>
          <w:lang w:val="en-GB"/>
        </w:rPr>
        <w:t>ment of an Act of</w:t>
      </w:r>
      <w:r w:rsidRPr="00E945B0">
        <w:rPr>
          <w:lang w:val="en-GB"/>
        </w:rPr>
        <w:t xml:space="preserve"> Parliament.</w:t>
      </w:r>
    </w:p>
    <w:p w:rsidR="00910348" w:rsidRPr="00E945B0" w:rsidRDefault="00910348" w:rsidP="00910348">
      <w:pPr>
        <w:pStyle w:val="ECHRHeading2"/>
        <w:rPr>
          <w:lang w:val="en-GB"/>
        </w:rPr>
      </w:pPr>
      <w:r w:rsidRPr="00E945B0">
        <w:rPr>
          <w:lang w:val="en-GB"/>
        </w:rPr>
        <w:t>C.  The Court</w:t>
      </w:r>
      <w:r w:rsidR="00C17A2C">
        <w:rPr>
          <w:lang w:val="en-GB"/>
        </w:rPr>
        <w:t>’</w:t>
      </w:r>
      <w:r w:rsidRPr="00E945B0">
        <w:rPr>
          <w:lang w:val="en-GB"/>
        </w:rPr>
        <w:t>s assessment</w:t>
      </w:r>
    </w:p>
    <w:p w:rsidR="00910348" w:rsidRPr="00E945B0" w:rsidRDefault="00910348" w:rsidP="00910348">
      <w:pPr>
        <w:pStyle w:val="ECHRHeading3"/>
        <w:rPr>
          <w:lang w:val="en-GB"/>
        </w:rPr>
      </w:pPr>
      <w:r w:rsidRPr="00E945B0">
        <w:rPr>
          <w:lang w:val="en-GB"/>
        </w:rPr>
        <w:t>1.  General principles</w:t>
      </w:r>
    </w:p>
    <w:p w:rsidR="00910348" w:rsidRPr="00E945B0" w:rsidRDefault="00910348" w:rsidP="00910348">
      <w:pPr>
        <w:pStyle w:val="ECHRPara"/>
        <w:rPr>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96</w:t>
      </w:r>
      <w:r w:rsidRPr="00E945B0">
        <w:rPr>
          <w:rStyle w:val="sb8d990e2"/>
          <w:lang w:val="en-GB"/>
        </w:rPr>
        <w:fldChar w:fldCharType="end"/>
      </w:r>
      <w:r w:rsidRPr="00E945B0">
        <w:rPr>
          <w:rStyle w:val="sb8d990e2"/>
          <w:lang w:val="en-GB"/>
        </w:rPr>
        <w:t xml:space="preserve">.  The Court reiterates that Article 12 of the Convention is a </w:t>
      </w:r>
      <w:r w:rsidRPr="00910348">
        <w:rPr>
          <w:rStyle w:val="s6b621b36"/>
          <w:i/>
          <w:lang w:val="en-GB"/>
        </w:rPr>
        <w:t>lex specialis</w:t>
      </w:r>
      <w:r w:rsidRPr="00E945B0">
        <w:rPr>
          <w:rStyle w:val="sb8d990e2"/>
          <w:lang w:val="en-GB"/>
        </w:rPr>
        <w:t xml:space="preserve"> for the right to marry. It secures the fundamental right of a man and woman to marry and to found a family. Article 12 expressly provides for regulation of marriage by national law. </w:t>
      </w:r>
      <w:r>
        <w:rPr>
          <w:rStyle w:val="sb8d990e2"/>
          <w:lang w:val="en-GB"/>
        </w:rPr>
        <w:t xml:space="preserve">It </w:t>
      </w:r>
      <w:r w:rsidRPr="00E945B0">
        <w:rPr>
          <w:rStyle w:val="sb8d990e2"/>
          <w:lang w:val="en-GB"/>
        </w:rPr>
        <w:t xml:space="preserve">enshrines the traditional concept of marriage as being between a man and a woman (see </w:t>
      </w:r>
      <w:r w:rsidRPr="00E945B0">
        <w:rPr>
          <w:i/>
          <w:lang w:val="en-GB"/>
        </w:rPr>
        <w:t>Rees v. the United Kingdom</w:t>
      </w:r>
      <w:r w:rsidRPr="00E945B0">
        <w:rPr>
          <w:lang w:val="en-GB"/>
        </w:rPr>
        <w:t xml:space="preserve">, </w:t>
      </w:r>
      <w:r>
        <w:rPr>
          <w:lang w:val="en-GB"/>
        </w:rPr>
        <w:t>cited above</w:t>
      </w:r>
      <w:r w:rsidRPr="00E945B0">
        <w:rPr>
          <w:lang w:val="en-GB"/>
        </w:rPr>
        <w:t>, § 49</w:t>
      </w:r>
      <w:r w:rsidRPr="00E945B0">
        <w:rPr>
          <w:rStyle w:val="sb8d990e2"/>
          <w:lang w:val="en-GB"/>
        </w:rPr>
        <w:t xml:space="preserve">). While it is true that some Contracting States have extended marriage to same-sex partners, </w:t>
      </w:r>
      <w:r>
        <w:rPr>
          <w:rStyle w:val="sb8d990e2"/>
          <w:lang w:val="en-GB"/>
        </w:rPr>
        <w:t>Article 12 cannot be construed as imposing an obligation on the Contracting States to grant access to marriage to same-sex couples</w:t>
      </w:r>
      <w:r w:rsidRPr="00E945B0">
        <w:rPr>
          <w:rStyle w:val="sb8d990e2"/>
          <w:lang w:val="en-GB"/>
        </w:rPr>
        <w:t xml:space="preserve"> (see </w:t>
      </w:r>
      <w:r w:rsidRPr="00E945B0">
        <w:rPr>
          <w:i/>
          <w:lang w:val="en-GB"/>
        </w:rPr>
        <w:t>Schalk and Kopf v. Austria</w:t>
      </w:r>
      <w:r w:rsidRPr="00E945B0">
        <w:rPr>
          <w:lang w:val="en-GB"/>
        </w:rPr>
        <w:t xml:space="preserve">, </w:t>
      </w:r>
      <w:r>
        <w:rPr>
          <w:lang w:val="en-GB"/>
        </w:rPr>
        <w:t>cited above</w:t>
      </w:r>
      <w:r w:rsidRPr="00E945B0">
        <w:rPr>
          <w:lang w:val="en-GB"/>
        </w:rPr>
        <w:t xml:space="preserve">, § </w:t>
      </w:r>
      <w:r>
        <w:rPr>
          <w:lang w:val="en-GB"/>
        </w:rPr>
        <w:t>63</w:t>
      </w:r>
      <w:r w:rsidRPr="00E945B0">
        <w:rPr>
          <w:rStyle w:val="sb8d990e2"/>
          <w:lang w:val="en-GB"/>
        </w:rPr>
        <w:t>).</w:t>
      </w:r>
    </w:p>
    <w:p w:rsidR="00910348" w:rsidRPr="00E945B0" w:rsidRDefault="00910348" w:rsidP="00910348">
      <w:pPr>
        <w:pStyle w:val="ECHRHeading3"/>
        <w:rPr>
          <w:lang w:val="en-GB"/>
        </w:rPr>
      </w:pPr>
      <w:r w:rsidRPr="00E945B0">
        <w:rPr>
          <w:lang w:val="en-GB"/>
        </w:rPr>
        <w:t>2.  Application of the above-mentioned principles to the present case</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97</w:t>
      </w:r>
      <w:r w:rsidRPr="00E945B0">
        <w:rPr>
          <w:lang w:val="en-GB"/>
        </w:rPr>
        <w:fldChar w:fldCharType="end"/>
      </w:r>
      <w:r w:rsidRPr="00E945B0">
        <w:rPr>
          <w:lang w:val="en-GB"/>
        </w:rPr>
        <w:t>.  The issue at stake concerns the consequences of the applicant</w:t>
      </w:r>
      <w:r w:rsidR="00C17A2C">
        <w:rPr>
          <w:lang w:val="en-GB"/>
        </w:rPr>
        <w:t>’</w:t>
      </w:r>
      <w:r w:rsidRPr="00E945B0">
        <w:rPr>
          <w:lang w:val="en-GB"/>
        </w:rPr>
        <w:t xml:space="preserve">s change of gender for the existing marriage between her and her spouse. The Grand Chamber finds, as did the Chamber, that this question has already </w:t>
      </w:r>
      <w:r w:rsidRPr="00E945B0">
        <w:rPr>
          <w:lang w:val="en-GB"/>
        </w:rPr>
        <w:lastRenderedPageBreak/>
        <w:t xml:space="preserve">been examined above under Article 8 of the Convention and resulted in the finding of no violation of that Article. </w:t>
      </w:r>
      <w:r w:rsidRPr="00E945B0">
        <w:rPr>
          <w:rStyle w:val="sb8d990e2"/>
          <w:lang w:val="en-GB"/>
        </w:rPr>
        <w:t xml:space="preserve">In these circumstances, the Court considers that no separate issue arises under Article 12 of the Convention and </w:t>
      </w:r>
      <w:r>
        <w:rPr>
          <w:rStyle w:val="sb8d990e2"/>
          <w:lang w:val="en-GB"/>
        </w:rPr>
        <w:t>accordingly</w:t>
      </w:r>
      <w:r w:rsidRPr="00E945B0">
        <w:rPr>
          <w:rStyle w:val="sb8d990e2"/>
          <w:lang w:val="en-GB"/>
        </w:rPr>
        <w:t xml:space="preserve"> makes no separate finding under that Article.</w:t>
      </w:r>
    </w:p>
    <w:p w:rsidR="00910348" w:rsidRPr="00E945B0" w:rsidRDefault="00910348" w:rsidP="00910348">
      <w:pPr>
        <w:pStyle w:val="ECHRHeading1"/>
        <w:rPr>
          <w:lang w:val="en-GB"/>
        </w:rPr>
      </w:pPr>
      <w:r w:rsidRPr="00E945B0">
        <w:rPr>
          <w:lang w:val="en-GB"/>
        </w:rPr>
        <w:t xml:space="preserve">III.  ALLEGED VIOLATION OF ARTICLE 14 </w:t>
      </w:r>
      <w:r w:rsidRPr="00E945B0">
        <w:rPr>
          <w:rStyle w:val="sb8d990e2"/>
          <w:lang w:val="en-GB"/>
        </w:rPr>
        <w:t xml:space="preserve">TAKEN IN CONJUNCTION WITH ARTICLES 8 AND 12 </w:t>
      </w:r>
      <w:r w:rsidRPr="00E945B0">
        <w:rPr>
          <w:lang w:val="en-GB"/>
        </w:rPr>
        <w:t>OF THE CONVENTION</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98</w:t>
      </w:r>
      <w:r w:rsidRPr="00E945B0">
        <w:rPr>
          <w:lang w:val="en-GB"/>
        </w:rPr>
        <w:fldChar w:fldCharType="end"/>
      </w:r>
      <w:r w:rsidRPr="00E945B0">
        <w:rPr>
          <w:lang w:val="en-GB"/>
        </w:rPr>
        <w:t xml:space="preserve">.  The applicant complained under Article 14 of the Convention that by refusing to give her a female identity number which corresponded to </w:t>
      </w:r>
      <w:r>
        <w:rPr>
          <w:lang w:val="en-GB"/>
        </w:rPr>
        <w:t xml:space="preserve">her </w:t>
      </w:r>
      <w:r w:rsidRPr="00E945B0">
        <w:rPr>
          <w:lang w:val="en-GB"/>
        </w:rPr>
        <w:t xml:space="preserve">actual </w:t>
      </w:r>
      <w:r>
        <w:rPr>
          <w:lang w:val="en-GB"/>
        </w:rPr>
        <w:t>gender</w:t>
      </w:r>
      <w:r w:rsidRPr="00E945B0">
        <w:rPr>
          <w:lang w:val="en-GB"/>
        </w:rPr>
        <w:t xml:space="preserve">, the State was discriminating against her. The fact that she had been denied a female identity number revealed the confidential information </w:t>
      </w:r>
      <w:r>
        <w:rPr>
          <w:lang w:val="en-GB"/>
        </w:rPr>
        <w:t>that she was</w:t>
      </w:r>
      <w:r w:rsidRPr="00E945B0">
        <w:rPr>
          <w:lang w:val="en-GB"/>
        </w:rPr>
        <w:t xml:space="preserve"> </w:t>
      </w:r>
      <w:r>
        <w:rPr>
          <w:lang w:val="en-GB"/>
        </w:rPr>
        <w:t>a transsexual</w:t>
      </w:r>
      <w:r w:rsidRPr="00E945B0">
        <w:rPr>
          <w:lang w:val="en-GB"/>
        </w:rPr>
        <w:t xml:space="preserve"> because, unlike any other person, she had to explain this difference when</w:t>
      </w:r>
      <w:r>
        <w:rPr>
          <w:lang w:val="en-GB"/>
        </w:rPr>
        <w:t>ever</w:t>
      </w:r>
      <w:r w:rsidRPr="00E945B0">
        <w:rPr>
          <w:lang w:val="en-GB"/>
        </w:rPr>
        <w:t xml:space="preserve"> the identity number was required.</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99</w:t>
      </w:r>
      <w:r w:rsidRPr="00E945B0">
        <w:rPr>
          <w:lang w:val="en-GB"/>
        </w:rPr>
        <w:fldChar w:fldCharType="end"/>
      </w:r>
      <w:r w:rsidRPr="00E945B0">
        <w:rPr>
          <w:lang w:val="en-GB"/>
        </w:rPr>
        <w:t>.  Article 14 of the Convention reads as follows:</w:t>
      </w:r>
    </w:p>
    <w:p w:rsidR="00910348" w:rsidRPr="00E945B0" w:rsidRDefault="00910348" w:rsidP="00910348">
      <w:pPr>
        <w:pStyle w:val="ECHRParaQuote"/>
        <w:rPr>
          <w:highlight w:val="yellow"/>
          <w:lang w:val="en-GB"/>
        </w:rPr>
      </w:pPr>
      <w:r w:rsidRPr="00E945B0">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910348" w:rsidRPr="00E945B0" w:rsidRDefault="00910348" w:rsidP="00910348">
      <w:pPr>
        <w:pStyle w:val="ECHRHeading2"/>
        <w:rPr>
          <w:lang w:val="en-GB"/>
        </w:rPr>
      </w:pPr>
      <w:r w:rsidRPr="00E945B0">
        <w:rPr>
          <w:lang w:val="en-GB"/>
        </w:rPr>
        <w:t>A.  The Chamber judgment</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100</w:t>
      </w:r>
      <w:r w:rsidRPr="00E945B0">
        <w:rPr>
          <w:rStyle w:val="sb8d990e2"/>
          <w:lang w:val="en-GB"/>
        </w:rPr>
        <w:fldChar w:fldCharType="end"/>
      </w:r>
      <w:r w:rsidRPr="00E945B0">
        <w:rPr>
          <w:rStyle w:val="sb8d990e2"/>
          <w:lang w:val="en-GB"/>
        </w:rPr>
        <w:t>.  </w:t>
      </w:r>
      <w:r w:rsidRPr="00E945B0">
        <w:rPr>
          <w:lang w:val="en-GB"/>
        </w:rPr>
        <w:t>In its judgment of 13 November 2012, the</w:t>
      </w:r>
      <w:r w:rsidRPr="00E945B0">
        <w:rPr>
          <w:rStyle w:val="sb8d990e2"/>
          <w:lang w:val="en-GB"/>
        </w:rPr>
        <w:t xml:space="preserve"> Chamber noted that Article 14 of the Convention, taken in conjunction with Article 8 of the Convention, was applicable.</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101</w:t>
      </w:r>
      <w:r w:rsidRPr="00E945B0">
        <w:rPr>
          <w:rStyle w:val="sb8d990e2"/>
          <w:lang w:val="en-GB"/>
        </w:rPr>
        <w:fldChar w:fldCharType="end"/>
      </w:r>
      <w:r w:rsidRPr="00E945B0">
        <w:rPr>
          <w:rStyle w:val="sb8d990e2"/>
          <w:lang w:val="en-GB"/>
        </w:rPr>
        <w:t>.  The Chamber noted that the applicant</w:t>
      </w:r>
      <w:r w:rsidR="00C17A2C">
        <w:rPr>
          <w:rStyle w:val="sb8d990e2"/>
          <w:lang w:val="en-GB"/>
        </w:rPr>
        <w:t>’</w:t>
      </w:r>
      <w:r w:rsidRPr="00E945B0">
        <w:rPr>
          <w:rStyle w:val="sb8d990e2"/>
          <w:lang w:val="en-GB"/>
        </w:rPr>
        <w:t>s complaints under Article 14 of the Convention related to the impossibility of obtaining a female identity number. T</w:t>
      </w:r>
      <w:r w:rsidRPr="00E945B0">
        <w:rPr>
          <w:rStyle w:val="wordhighlighted"/>
          <w:lang w:val="en-GB"/>
        </w:rPr>
        <w:t>he</w:t>
      </w:r>
      <w:r w:rsidRPr="00E945B0">
        <w:rPr>
          <w:rStyle w:val="sb8d990e2"/>
          <w:lang w:val="en-GB"/>
        </w:rPr>
        <w:t xml:space="preserve"> applicant compar</w:t>
      </w:r>
      <w:r>
        <w:rPr>
          <w:rStyle w:val="sb8d990e2"/>
          <w:lang w:val="en-GB"/>
        </w:rPr>
        <w:t>ed</w:t>
      </w:r>
      <w:r w:rsidRPr="00E945B0">
        <w:rPr>
          <w:rStyle w:val="sb8d990e2"/>
          <w:lang w:val="en-GB"/>
        </w:rPr>
        <w:t xml:space="preserve"> her situation to th</w:t>
      </w:r>
      <w:r>
        <w:rPr>
          <w:rStyle w:val="sb8d990e2"/>
          <w:lang w:val="en-GB"/>
        </w:rPr>
        <w:t>at</w:t>
      </w:r>
      <w:r w:rsidRPr="00E945B0">
        <w:rPr>
          <w:rStyle w:val="sb8d990e2"/>
          <w:lang w:val="en-GB"/>
        </w:rPr>
        <w:t xml:space="preserve"> of any other person, including </w:t>
      </w:r>
      <w:r>
        <w:rPr>
          <w:rStyle w:val="sb8d990e2"/>
          <w:lang w:val="en-GB"/>
        </w:rPr>
        <w:t>cissexual</w:t>
      </w:r>
      <w:r w:rsidRPr="00E945B0">
        <w:rPr>
          <w:rStyle w:val="sb8d990e2"/>
          <w:lang w:val="en-GB"/>
        </w:rPr>
        <w:t>s and unmarried trans</w:t>
      </w:r>
      <w:r>
        <w:rPr>
          <w:rStyle w:val="sb8d990e2"/>
          <w:lang w:val="en-GB"/>
        </w:rPr>
        <w:t>sexual</w:t>
      </w:r>
      <w:r w:rsidRPr="00E945B0">
        <w:rPr>
          <w:rStyle w:val="sb8d990e2"/>
          <w:lang w:val="en-GB"/>
        </w:rPr>
        <w:t>s. For the Chamber</w:t>
      </w:r>
      <w:r>
        <w:rPr>
          <w:rStyle w:val="sb8d990e2"/>
          <w:lang w:val="en-GB"/>
        </w:rPr>
        <w:t>,</w:t>
      </w:r>
      <w:r w:rsidRPr="00E945B0">
        <w:rPr>
          <w:rStyle w:val="sb8d990e2"/>
          <w:lang w:val="en-GB"/>
        </w:rPr>
        <w:t xml:space="preserve"> these situations were not sufficiently similar to be compared </w:t>
      </w:r>
      <w:r>
        <w:rPr>
          <w:rStyle w:val="sb8d990e2"/>
          <w:lang w:val="en-GB"/>
        </w:rPr>
        <w:t>with</w:t>
      </w:r>
      <w:r w:rsidRPr="00E945B0">
        <w:rPr>
          <w:rStyle w:val="sb8d990e2"/>
          <w:lang w:val="en-GB"/>
        </w:rPr>
        <w:t xml:space="preserve"> each other. The applicant could not therefore claim to be in the same situation as the other category of persons relied on.</w:t>
      </w:r>
    </w:p>
    <w:p w:rsidR="00910348" w:rsidRPr="00E945B0" w:rsidRDefault="00910348" w:rsidP="00910348">
      <w:pPr>
        <w:pStyle w:val="ECHRPara"/>
        <w:rPr>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102</w:t>
      </w:r>
      <w:r w:rsidRPr="00E945B0">
        <w:rPr>
          <w:rStyle w:val="sb8d990e2"/>
          <w:lang w:val="en-GB"/>
        </w:rPr>
        <w:fldChar w:fldCharType="end"/>
      </w:r>
      <w:r w:rsidRPr="00E945B0">
        <w:rPr>
          <w:rStyle w:val="sb8d990e2"/>
          <w:lang w:val="en-GB"/>
        </w:rPr>
        <w:t>.  Moreover, the Chamber noted that in essence the problem in the present case was caused by t</w:t>
      </w:r>
      <w:r w:rsidRPr="00E945B0">
        <w:rPr>
          <w:rStyle w:val="wordhighlighted"/>
          <w:lang w:val="en-GB"/>
        </w:rPr>
        <w:t>he</w:t>
      </w:r>
      <w:r w:rsidRPr="00E945B0">
        <w:rPr>
          <w:rStyle w:val="sb8d990e2"/>
          <w:lang w:val="en-GB"/>
        </w:rPr>
        <w:t xml:space="preserve"> fact that Finnish law did not allow same-sex marriages. According to the Court</w:t>
      </w:r>
      <w:r w:rsidR="00C17A2C">
        <w:rPr>
          <w:rStyle w:val="sb8d990e2"/>
          <w:lang w:val="en-GB"/>
        </w:rPr>
        <w:t>’</w:t>
      </w:r>
      <w:r w:rsidRPr="00E945B0">
        <w:rPr>
          <w:rStyle w:val="sb8d990e2"/>
          <w:lang w:val="en-GB"/>
        </w:rPr>
        <w:t xml:space="preserve">s case-law, Articles 8 and 12 of the Convention did not impose an obligation on Contracting States to grant same-sex couples access to marriage. Nor could Article 14 of the Convention, taken in conjunction with Article 8 of the Convention, be interpreted as imposing an obligation on Contracting States to grant same-sex couples a right to remain married. Therefore, it could not be said that the applicant had been discriminated against vis-à-vis other persons when </w:t>
      </w:r>
      <w:r>
        <w:rPr>
          <w:rStyle w:val="sb8d990e2"/>
          <w:lang w:val="en-GB"/>
        </w:rPr>
        <w:t>she had been</w:t>
      </w:r>
      <w:r w:rsidRPr="00E945B0">
        <w:rPr>
          <w:rStyle w:val="sb8d990e2"/>
          <w:lang w:val="en-GB"/>
        </w:rPr>
        <w:t xml:space="preserve"> </w:t>
      </w:r>
      <w:r>
        <w:rPr>
          <w:rStyle w:val="sb8d990e2"/>
          <w:lang w:val="en-GB"/>
        </w:rPr>
        <w:t>un</w:t>
      </w:r>
      <w:r w:rsidRPr="00E945B0">
        <w:rPr>
          <w:rStyle w:val="sb8d990e2"/>
          <w:lang w:val="en-GB"/>
        </w:rPr>
        <w:t xml:space="preserve">able to obtain a female identity number, even assuming that she could be considered to be in a similar position to them. The Chamber found </w:t>
      </w:r>
      <w:r w:rsidRPr="00E945B0">
        <w:rPr>
          <w:rStyle w:val="sb8d990e2"/>
          <w:lang w:val="en-GB"/>
        </w:rPr>
        <w:lastRenderedPageBreak/>
        <w:t>that there had been no violation of Article 14 of the Convention taken in conjunction with Article 8 of the Convention.</w:t>
      </w:r>
    </w:p>
    <w:p w:rsidR="00910348" w:rsidRPr="00E945B0" w:rsidRDefault="00910348" w:rsidP="00910348">
      <w:pPr>
        <w:pStyle w:val="ECHRHeading2"/>
        <w:rPr>
          <w:lang w:val="en-GB"/>
        </w:rPr>
      </w:pPr>
      <w:r w:rsidRPr="00E945B0">
        <w:rPr>
          <w:lang w:val="en-GB"/>
        </w:rPr>
        <w:t>B.  The parties</w:t>
      </w:r>
      <w:r w:rsidR="00C17A2C">
        <w:rPr>
          <w:lang w:val="en-GB"/>
        </w:rPr>
        <w:t>’</w:t>
      </w:r>
      <w:r w:rsidRPr="00E945B0">
        <w:rPr>
          <w:lang w:val="en-GB"/>
        </w:rPr>
        <w:t xml:space="preserve"> submissions</w:t>
      </w:r>
    </w:p>
    <w:p w:rsidR="00910348" w:rsidRPr="00E945B0" w:rsidRDefault="00910348" w:rsidP="00910348">
      <w:pPr>
        <w:pStyle w:val="ECHRHeading3"/>
        <w:rPr>
          <w:lang w:val="en-GB"/>
        </w:rPr>
      </w:pPr>
      <w:r w:rsidRPr="00E945B0">
        <w:rPr>
          <w:lang w:val="en-GB"/>
        </w:rPr>
        <w:t>1.  The applicant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103</w:t>
      </w:r>
      <w:r w:rsidRPr="00E945B0">
        <w:rPr>
          <w:lang w:val="en-GB"/>
        </w:rPr>
        <w:fldChar w:fldCharType="end"/>
      </w:r>
      <w:r w:rsidRPr="00E945B0">
        <w:rPr>
          <w:lang w:val="en-GB"/>
        </w:rPr>
        <w:t>.  The applicant argued under Article 14 of the Convention that she had been discriminated against on two counts.</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104</w:t>
      </w:r>
      <w:r w:rsidRPr="00E945B0">
        <w:rPr>
          <w:lang w:val="en-GB"/>
        </w:rPr>
        <w:fldChar w:fldCharType="end"/>
      </w:r>
      <w:r w:rsidRPr="00E945B0">
        <w:rPr>
          <w:lang w:val="en-GB"/>
        </w:rPr>
        <w:t xml:space="preserve">.  Firstly, she had to comply with an additional requirement of terminating her marriage in order to </w:t>
      </w:r>
      <w:r>
        <w:rPr>
          <w:lang w:val="en-GB"/>
        </w:rPr>
        <w:t>obtain</w:t>
      </w:r>
      <w:r w:rsidRPr="00E945B0">
        <w:rPr>
          <w:lang w:val="en-GB"/>
        </w:rPr>
        <w:t xml:space="preserve"> legal gender recognition. She had therefore been discriminated</w:t>
      </w:r>
      <w:r>
        <w:rPr>
          <w:lang w:val="en-GB"/>
        </w:rPr>
        <w:t xml:space="preserve"> against</w:t>
      </w:r>
      <w:r w:rsidRPr="00E945B0">
        <w:rPr>
          <w:lang w:val="en-GB"/>
        </w:rPr>
        <w:t xml:space="preserve"> vis-à-vis cis</w:t>
      </w:r>
      <w:r>
        <w:rPr>
          <w:lang w:val="en-GB"/>
        </w:rPr>
        <w:t>sexu</w:t>
      </w:r>
      <w:r w:rsidRPr="00E945B0">
        <w:rPr>
          <w:lang w:val="en-GB"/>
        </w:rPr>
        <w:t>als</w:t>
      </w:r>
      <w:r>
        <w:rPr>
          <w:lang w:val="en-GB"/>
        </w:rPr>
        <w:t>,</w:t>
      </w:r>
      <w:r w:rsidRPr="00E945B0">
        <w:rPr>
          <w:lang w:val="en-GB"/>
        </w:rPr>
        <w:t xml:space="preserve"> who </w:t>
      </w:r>
      <w:r>
        <w:rPr>
          <w:lang w:val="en-GB"/>
        </w:rPr>
        <w:t>obtained</w:t>
      </w:r>
      <w:r w:rsidRPr="00E945B0">
        <w:rPr>
          <w:lang w:val="en-GB"/>
        </w:rPr>
        <w:t xml:space="preserve"> legal gender recognition automatically at birth without</w:t>
      </w:r>
      <w:r>
        <w:rPr>
          <w:lang w:val="en-GB"/>
        </w:rPr>
        <w:t xml:space="preserve"> any</w:t>
      </w:r>
      <w:r w:rsidRPr="00E945B0">
        <w:rPr>
          <w:lang w:val="en-GB"/>
        </w:rPr>
        <w:t xml:space="preserve"> additional requirement. She had been facing daily problems </w:t>
      </w:r>
      <w:r>
        <w:rPr>
          <w:lang w:val="en-GB"/>
        </w:rPr>
        <w:t>on account of</w:t>
      </w:r>
      <w:r w:rsidRPr="00E945B0">
        <w:rPr>
          <w:lang w:val="en-GB"/>
        </w:rPr>
        <w:t xml:space="preserve"> th</w:t>
      </w:r>
      <w:r>
        <w:rPr>
          <w:lang w:val="en-GB"/>
        </w:rPr>
        <w:t>at</w:t>
      </w:r>
      <w:r w:rsidRPr="00E945B0">
        <w:rPr>
          <w:lang w:val="en-GB"/>
        </w:rPr>
        <w:t xml:space="preserve"> </w:t>
      </w:r>
      <w:r>
        <w:rPr>
          <w:lang w:val="en-GB"/>
        </w:rPr>
        <w:t>difference in treatment</w:t>
      </w:r>
      <w:r w:rsidRPr="00E945B0">
        <w:rPr>
          <w:lang w:val="en-GB"/>
        </w:rPr>
        <w: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105</w:t>
      </w:r>
      <w:r w:rsidRPr="00E945B0">
        <w:rPr>
          <w:lang w:val="en-GB"/>
        </w:rPr>
        <w:fldChar w:fldCharType="end"/>
      </w:r>
      <w:r w:rsidRPr="00E945B0">
        <w:rPr>
          <w:lang w:val="en-GB"/>
        </w:rPr>
        <w:t xml:space="preserve">.  Secondly, the applicant, her wife and child had received less protection than persons in heterosexual marriages </w:t>
      </w:r>
      <w:r>
        <w:rPr>
          <w:lang w:val="en-GB"/>
        </w:rPr>
        <w:t>owing to</w:t>
      </w:r>
      <w:r w:rsidRPr="00E945B0">
        <w:rPr>
          <w:lang w:val="en-GB"/>
        </w:rPr>
        <w:t xml:space="preserve"> stereotypical views associated with the applicant</w:t>
      </w:r>
      <w:r w:rsidR="00C17A2C">
        <w:rPr>
          <w:lang w:val="en-GB"/>
        </w:rPr>
        <w:t>’</w:t>
      </w:r>
      <w:r w:rsidRPr="00E945B0">
        <w:rPr>
          <w:lang w:val="en-GB"/>
        </w:rPr>
        <w:t>s gender identity. Cis</w:t>
      </w:r>
      <w:r>
        <w:rPr>
          <w:lang w:val="en-GB"/>
        </w:rPr>
        <w:t>sexual</w:t>
      </w:r>
      <w:r w:rsidRPr="00E945B0">
        <w:rPr>
          <w:lang w:val="en-GB"/>
        </w:rPr>
        <w:t>s</w:t>
      </w:r>
      <w:r w:rsidR="00C17A2C">
        <w:rPr>
          <w:lang w:val="en-GB"/>
        </w:rPr>
        <w:t>’</w:t>
      </w:r>
      <w:r w:rsidRPr="00E945B0">
        <w:rPr>
          <w:lang w:val="en-GB"/>
        </w:rPr>
        <w:t xml:space="preserve"> marriages did not run the risk of </w:t>
      </w:r>
      <w:r>
        <w:rPr>
          <w:lang w:val="en-GB"/>
        </w:rPr>
        <w:t>“</w:t>
      </w:r>
      <w:r w:rsidRPr="00E945B0">
        <w:rPr>
          <w:lang w:val="en-GB"/>
        </w:rPr>
        <w:t>forced</w:t>
      </w:r>
      <w:r>
        <w:rPr>
          <w:lang w:val="en-GB"/>
        </w:rPr>
        <w:t>”</w:t>
      </w:r>
      <w:r w:rsidRPr="00E945B0">
        <w:rPr>
          <w:lang w:val="en-GB"/>
        </w:rPr>
        <w:t xml:space="preserve"> divorce in the way </w:t>
      </w:r>
      <w:r>
        <w:rPr>
          <w:lang w:val="en-GB"/>
        </w:rPr>
        <w:t>that</w:t>
      </w:r>
      <w:r w:rsidRPr="00E945B0">
        <w:rPr>
          <w:lang w:val="en-GB"/>
        </w:rPr>
        <w:t xml:space="preserve"> the applicant</w:t>
      </w:r>
      <w:r w:rsidR="00C17A2C">
        <w:rPr>
          <w:lang w:val="en-GB"/>
        </w:rPr>
        <w:t>’</w:t>
      </w:r>
      <w:r w:rsidRPr="00E945B0">
        <w:rPr>
          <w:lang w:val="en-GB"/>
        </w:rPr>
        <w:t xml:space="preserve">s marriage did. However, gender identity was now commonly recognised as a ground </w:t>
      </w:r>
      <w:r>
        <w:rPr>
          <w:lang w:val="en-GB"/>
        </w:rPr>
        <w:t xml:space="preserve">that attracted protection </w:t>
      </w:r>
      <w:r w:rsidRPr="00E945B0">
        <w:rPr>
          <w:lang w:val="en-GB"/>
        </w:rPr>
        <w:t>for the purposes of prohibiting discrimination.</w:t>
      </w:r>
    </w:p>
    <w:p w:rsidR="00910348" w:rsidRPr="00E945B0" w:rsidRDefault="00910348" w:rsidP="00910348">
      <w:pPr>
        <w:pStyle w:val="ECHRHeading3"/>
        <w:rPr>
          <w:lang w:val="en-GB"/>
        </w:rPr>
      </w:pPr>
      <w:r w:rsidRPr="00E945B0">
        <w:rPr>
          <w:lang w:val="en-GB"/>
        </w:rPr>
        <w:t>2.  The Government</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106</w:t>
      </w:r>
      <w:r w:rsidRPr="00E945B0">
        <w:rPr>
          <w:lang w:val="en-GB"/>
        </w:rPr>
        <w:fldChar w:fldCharType="end"/>
      </w:r>
      <w:r w:rsidRPr="00E945B0">
        <w:rPr>
          <w:lang w:val="en-GB"/>
        </w:rPr>
        <w:t xml:space="preserve">.  The Government agreed that Article 14 of the Convention was applicable </w:t>
      </w:r>
      <w:r>
        <w:rPr>
          <w:lang w:val="en-GB"/>
        </w:rPr>
        <w:t>here</w:t>
      </w:r>
      <w:r w:rsidRPr="00E945B0">
        <w:rPr>
          <w:lang w:val="en-GB"/>
        </w:rPr>
        <w:t xml:space="preserve"> as the case fell within the scope of Article 8 of the Convention</w:t>
      </w:r>
      <w:r>
        <w:rPr>
          <w:lang w:val="en-GB"/>
        </w:rPr>
        <w:t>,</w:t>
      </w:r>
      <w:r w:rsidRPr="00E945B0">
        <w:rPr>
          <w:lang w:val="en-GB"/>
        </w:rPr>
        <w:t xml:space="preserve"> but </w:t>
      </w:r>
      <w:r>
        <w:rPr>
          <w:lang w:val="en-GB"/>
        </w:rPr>
        <w:t>argued</w:t>
      </w:r>
      <w:r w:rsidRPr="00E945B0">
        <w:rPr>
          <w:lang w:val="en-GB"/>
        </w:rPr>
        <w:t xml:space="preserve"> that there was no separate issue under Article 14. Were the Court to have a</w:t>
      </w:r>
      <w:r>
        <w:rPr>
          <w:lang w:val="en-GB"/>
        </w:rPr>
        <w:t xml:space="preserve"> different</w:t>
      </w:r>
      <w:r w:rsidRPr="00E945B0">
        <w:rPr>
          <w:lang w:val="en-GB"/>
        </w:rPr>
        <w:t xml:space="preserve"> opinion, </w:t>
      </w:r>
      <w:r>
        <w:rPr>
          <w:lang w:val="en-GB"/>
        </w:rPr>
        <w:t xml:space="preserve">the Government pointed out that </w:t>
      </w:r>
      <w:r w:rsidRPr="00E945B0">
        <w:rPr>
          <w:lang w:val="en-GB"/>
        </w:rPr>
        <w:t>cis</w:t>
      </w:r>
      <w:r>
        <w:rPr>
          <w:lang w:val="en-GB"/>
        </w:rPr>
        <w:t>sexual</w:t>
      </w:r>
      <w:r w:rsidRPr="00E945B0">
        <w:rPr>
          <w:lang w:val="en-GB"/>
        </w:rPr>
        <w:t xml:space="preserve">s were not in a similar situation </w:t>
      </w:r>
      <w:r>
        <w:rPr>
          <w:lang w:val="en-GB"/>
        </w:rPr>
        <w:t>to</w:t>
      </w:r>
      <w:r w:rsidRPr="00E945B0">
        <w:rPr>
          <w:lang w:val="en-GB"/>
        </w:rPr>
        <w:t xml:space="preserve"> the applicant because they were not applying for </w:t>
      </w:r>
      <w:r>
        <w:rPr>
          <w:lang w:val="en-GB"/>
        </w:rPr>
        <w:t>a</w:t>
      </w:r>
      <w:r w:rsidRPr="00E945B0">
        <w:rPr>
          <w:lang w:val="en-GB"/>
        </w:rPr>
        <w:t xml:space="preserve"> change of their gender. In any event, there had been an objective and reasonable justification. The Finnish legal system prohibited discrimination based on transsexualism.</w:t>
      </w:r>
    </w:p>
    <w:p w:rsidR="00910348" w:rsidRPr="00E945B0" w:rsidRDefault="00910348" w:rsidP="00910348">
      <w:pPr>
        <w:pStyle w:val="ECHRHeading2"/>
        <w:rPr>
          <w:lang w:val="en-GB"/>
        </w:rPr>
      </w:pPr>
      <w:r w:rsidRPr="00E945B0">
        <w:rPr>
          <w:lang w:val="en-GB"/>
        </w:rPr>
        <w:t>C.  The Court</w:t>
      </w:r>
      <w:r w:rsidR="00C17A2C">
        <w:rPr>
          <w:lang w:val="en-GB"/>
        </w:rPr>
        <w:t>’</w:t>
      </w:r>
      <w:r w:rsidRPr="00E945B0">
        <w:rPr>
          <w:lang w:val="en-GB"/>
        </w:rPr>
        <w:t>s assessment</w:t>
      </w:r>
    </w:p>
    <w:p w:rsidR="00910348" w:rsidRPr="00E945B0" w:rsidRDefault="00910348" w:rsidP="00910348">
      <w:pPr>
        <w:pStyle w:val="ECHRHeading3"/>
        <w:rPr>
          <w:lang w:val="en-GB"/>
        </w:rPr>
      </w:pPr>
      <w:r w:rsidRPr="00E945B0">
        <w:rPr>
          <w:lang w:val="en-GB"/>
        </w:rPr>
        <w:t>1.  General principles</w:t>
      </w:r>
    </w:p>
    <w:p w:rsidR="00910348" w:rsidRPr="0028648E" w:rsidRDefault="00910348" w:rsidP="00910348">
      <w:pPr>
        <w:pStyle w:val="ECHRPara"/>
        <w:rPr>
          <w:rStyle w:val="sb8d990e2"/>
          <w:i/>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107</w:t>
      </w:r>
      <w:r w:rsidRPr="00E945B0">
        <w:rPr>
          <w:lang w:val="en-GB"/>
        </w:rPr>
        <w:fldChar w:fldCharType="end"/>
      </w:r>
      <w:r w:rsidRPr="00E945B0">
        <w:rPr>
          <w:lang w:val="en-GB"/>
        </w:rPr>
        <w:t xml:space="preserve">.  The Court notes that </w:t>
      </w:r>
      <w:r w:rsidRPr="00E945B0">
        <w:rPr>
          <w:rStyle w:val="sb8d990e2"/>
          <w:lang w:val="en-GB"/>
        </w:rPr>
        <w:t xml:space="preserve">Article 14 of the Convention complements the other substantive provisions of the Convention and its Protocols. It has no independent existence since it has effect solely in relation to “the enjoyment of the rights and freedoms” safeguarded by those provisions. Although the application of Article 14 does not presuppose a breach of those provisions, and to this extent it is autonomous, there can be no room for its application unless the facts at issue fall within the ambit of one or more of the latter (see, for instance, </w:t>
      </w:r>
      <w:r w:rsidRPr="00E945B0">
        <w:rPr>
          <w:i/>
          <w:lang w:val="en-GB"/>
        </w:rPr>
        <w:t>E.B. v. France</w:t>
      </w:r>
      <w:r w:rsidRPr="00E945B0">
        <w:rPr>
          <w:lang w:val="en-GB"/>
        </w:rPr>
        <w:t xml:space="preserve"> [GC], no. 43546/02, § 47, </w:t>
      </w:r>
      <w:r w:rsidRPr="00E945B0">
        <w:rPr>
          <w:lang w:val="en-GB"/>
        </w:rPr>
        <w:lastRenderedPageBreak/>
        <w:t>22</w:t>
      </w:r>
      <w:r w:rsidR="00846DB9">
        <w:rPr>
          <w:lang w:val="en-GB"/>
        </w:rPr>
        <w:t> </w:t>
      </w:r>
      <w:r w:rsidRPr="00E945B0">
        <w:rPr>
          <w:lang w:val="en-GB"/>
        </w:rPr>
        <w:t>January</w:t>
      </w:r>
      <w:r w:rsidR="00846DB9">
        <w:rPr>
          <w:lang w:val="en-GB"/>
        </w:rPr>
        <w:t> </w:t>
      </w:r>
      <w:r w:rsidRPr="000E4B8F">
        <w:rPr>
          <w:lang w:val="en-GB"/>
        </w:rPr>
        <w:t>2008</w:t>
      </w:r>
      <w:r w:rsidR="000E4B8F">
        <w:rPr>
          <w:lang w:val="en-GB"/>
        </w:rPr>
        <w:t>;</w:t>
      </w:r>
      <w:r w:rsidRPr="000E4B8F">
        <w:rPr>
          <w:rStyle w:val="sb8d990e2"/>
          <w:lang w:val="en-GB"/>
        </w:rPr>
        <w:t xml:space="preserve"> </w:t>
      </w:r>
      <w:r w:rsidR="0028648E" w:rsidRPr="00A952B1">
        <w:rPr>
          <w:lang w:val="en-GB"/>
        </w:rPr>
        <w:t xml:space="preserve">and </w:t>
      </w:r>
      <w:r w:rsidR="0028648E" w:rsidRPr="00242D29">
        <w:rPr>
          <w:bCs/>
          <w:i/>
          <w:color w:val="000000"/>
          <w:lang w:val="en-US"/>
        </w:rPr>
        <w:t>Vallianatos</w:t>
      </w:r>
      <w:r w:rsidR="0028648E" w:rsidRPr="00242D29">
        <w:rPr>
          <w:b/>
          <w:bCs/>
          <w:i/>
          <w:color w:val="000000"/>
          <w:lang w:val="en-US"/>
        </w:rPr>
        <w:t xml:space="preserve"> </w:t>
      </w:r>
      <w:r w:rsidR="0028648E" w:rsidRPr="00242D29">
        <w:rPr>
          <w:i/>
          <w:lang w:val="en-US"/>
        </w:rPr>
        <w:t xml:space="preserve">and Others v. Greece </w:t>
      </w:r>
      <w:r w:rsidR="0028648E" w:rsidRPr="00242D29">
        <w:rPr>
          <w:lang w:val="en-US"/>
        </w:rPr>
        <w:t>[GC], nos. 29381/09 and 32684/09</w:t>
      </w:r>
      <w:r w:rsidR="0028648E" w:rsidRPr="00242D29">
        <w:rPr>
          <w:snapToGrid w:val="0"/>
          <w:lang w:val="en-US"/>
        </w:rPr>
        <w:t xml:space="preserve">, § 72, </w:t>
      </w:r>
      <w:r w:rsidR="0028648E" w:rsidRPr="00A952B1">
        <w:rPr>
          <w:lang w:val="en-GB"/>
        </w:rPr>
        <w:t>ECHR 2013</w:t>
      </w:r>
      <w:r w:rsidRPr="00A952B1">
        <w:rPr>
          <w:rStyle w:val="sb8d990e2"/>
          <w:lang w:val="en-GB"/>
        </w:rPr>
        <w:t>).</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108</w:t>
      </w:r>
      <w:r w:rsidRPr="00E945B0">
        <w:rPr>
          <w:rStyle w:val="sb8d990e2"/>
          <w:lang w:val="en-GB"/>
        </w:rPr>
        <w:fldChar w:fldCharType="end"/>
      </w:r>
      <w:r w:rsidRPr="00E945B0">
        <w:rPr>
          <w:rStyle w:val="sb8d990e2"/>
          <w:lang w:val="en-GB"/>
        </w:rPr>
        <w:t xml:space="preserve">.  The Court has established in its case-law that in order for an issue to arise under Article 14 there must be a difference in treatment of persons in relevantly similar situations. Such a difference of treatment is discriminatory if it has no objective and reasonable justification; in other words, if it does not pursue a legitimate aim or if there is not a reasonable relationship of proportionality between the means employed and the aim sought to be realised. The Contracting States enjoy a margin of appreciation in assessing whether and to what extent differences in otherwise similar situations justify a difference in treatment (see </w:t>
      </w:r>
      <w:r w:rsidRPr="00E945B0">
        <w:rPr>
          <w:i/>
          <w:lang w:val="en-GB"/>
        </w:rPr>
        <w:t>Burden v. the United Kingdom</w:t>
      </w:r>
      <w:r w:rsidRPr="00E945B0">
        <w:rPr>
          <w:lang w:val="en-GB"/>
        </w:rPr>
        <w:t xml:space="preserve"> [GC], no. 13378/05, § 60, ECHR 2008</w:t>
      </w:r>
      <w:r w:rsidRPr="00E945B0">
        <w:rPr>
          <w:rStyle w:val="sb8d990e2"/>
          <w:lang w:val="en-GB"/>
        </w:rPr>
        <w:t>).</w:t>
      </w:r>
    </w:p>
    <w:p w:rsidR="00910348" w:rsidRPr="002F7270" w:rsidRDefault="00910348" w:rsidP="00910348">
      <w:pPr>
        <w:pStyle w:val="ECHRPara"/>
        <w:rPr>
          <w:i/>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109</w:t>
      </w:r>
      <w:r w:rsidRPr="00E945B0">
        <w:rPr>
          <w:rStyle w:val="sb8d990e2"/>
          <w:lang w:val="en-GB"/>
        </w:rPr>
        <w:fldChar w:fldCharType="end"/>
      </w:r>
      <w:r w:rsidRPr="00E945B0">
        <w:rPr>
          <w:rStyle w:val="sb8d990e2"/>
          <w:lang w:val="en-GB"/>
        </w:rPr>
        <w:t xml:space="preserve">.  On the one hand the Court has held repeatedly </w:t>
      </w:r>
      <w:r w:rsidRPr="000E4B8F">
        <w:rPr>
          <w:rStyle w:val="sb8d990e2"/>
          <w:lang w:val="en-GB"/>
        </w:rPr>
        <w:t>that</w:t>
      </w:r>
      <w:r w:rsidR="000E4B8F" w:rsidRPr="000E4B8F">
        <w:rPr>
          <w:rStyle w:val="sb8d990e2"/>
          <w:lang w:val="en-GB"/>
        </w:rPr>
        <w:t xml:space="preserve"> </w:t>
      </w:r>
      <w:r w:rsidRPr="000E4B8F">
        <w:rPr>
          <w:rStyle w:val="sb8d990e2"/>
          <w:lang w:val="en-GB"/>
        </w:rPr>
        <w:t>differences</w:t>
      </w:r>
      <w:r w:rsidRPr="00E945B0">
        <w:rPr>
          <w:rStyle w:val="sb8d990e2"/>
          <w:lang w:val="en-GB"/>
        </w:rPr>
        <w:t xml:space="preserve"> based </w:t>
      </w:r>
      <w:r w:rsidRPr="000E4B8F">
        <w:rPr>
          <w:rStyle w:val="sb8d990e2"/>
          <w:lang w:val="en-GB"/>
        </w:rPr>
        <w:t xml:space="preserve">on </w:t>
      </w:r>
      <w:r w:rsidR="00C558EA" w:rsidRPr="00A952B1">
        <w:rPr>
          <w:rStyle w:val="sb8d990e2"/>
          <w:lang w:val="en-GB"/>
        </w:rPr>
        <w:t>gender or</w:t>
      </w:r>
      <w:r w:rsidR="00C558EA" w:rsidRPr="000E4B8F">
        <w:rPr>
          <w:rStyle w:val="sb8d990e2"/>
          <w:lang w:val="en-GB"/>
        </w:rPr>
        <w:t xml:space="preserve"> </w:t>
      </w:r>
      <w:r w:rsidRPr="000E4B8F">
        <w:rPr>
          <w:rStyle w:val="sb8d990e2"/>
          <w:lang w:val="en-GB"/>
        </w:rPr>
        <w:t>sexual</w:t>
      </w:r>
      <w:r w:rsidRPr="00E945B0">
        <w:rPr>
          <w:rStyle w:val="sb8d990e2"/>
          <w:lang w:val="en-GB"/>
        </w:rPr>
        <w:t xml:space="preserve"> orientation require particularly serious reasons by way of justification (see </w:t>
      </w:r>
      <w:r w:rsidR="00C558EA" w:rsidRPr="00E945B0">
        <w:rPr>
          <w:i/>
          <w:lang w:val="en-GB"/>
        </w:rPr>
        <w:t>Smith and Grady v. the United Kingdom</w:t>
      </w:r>
      <w:r w:rsidR="00C558EA" w:rsidRPr="00E945B0">
        <w:rPr>
          <w:lang w:val="en-GB"/>
        </w:rPr>
        <w:t>, nos. 33985/96 and 33986/96, § 90, ECHR 1999</w:t>
      </w:r>
      <w:r w:rsidR="00C558EA" w:rsidRPr="00E945B0">
        <w:rPr>
          <w:lang w:val="en-GB"/>
        </w:rPr>
        <w:noBreakHyphen/>
        <w:t>VI</w:t>
      </w:r>
      <w:r w:rsidR="00C558EA">
        <w:rPr>
          <w:lang w:val="en-GB"/>
        </w:rPr>
        <w:t xml:space="preserve">; </w:t>
      </w:r>
      <w:r w:rsidR="00C558EA" w:rsidRPr="00E945B0">
        <w:rPr>
          <w:i/>
          <w:lang w:val="en-GB"/>
        </w:rPr>
        <w:t>L. and V. v. Austria</w:t>
      </w:r>
      <w:r w:rsidR="00C558EA" w:rsidRPr="00E945B0">
        <w:rPr>
          <w:lang w:val="en-GB"/>
        </w:rPr>
        <w:t>, nos. 39392/98 and 39829/98, § 45, ECHR 2003</w:t>
      </w:r>
      <w:r w:rsidR="00C558EA" w:rsidRPr="00E945B0">
        <w:rPr>
          <w:lang w:val="en-GB"/>
        </w:rPr>
        <w:noBreakHyphen/>
        <w:t>I</w:t>
      </w:r>
      <w:r w:rsidR="00C558EA" w:rsidRPr="00E945B0">
        <w:rPr>
          <w:rStyle w:val="sb8d990e2"/>
          <w:lang w:val="en-GB"/>
        </w:rPr>
        <w:t>;</w:t>
      </w:r>
      <w:r w:rsidR="00C558EA" w:rsidRPr="00E945B0">
        <w:rPr>
          <w:i/>
          <w:lang w:val="en-GB"/>
        </w:rPr>
        <w:t xml:space="preserve"> </w:t>
      </w:r>
      <w:r w:rsidRPr="00E945B0">
        <w:rPr>
          <w:i/>
          <w:lang w:val="en-GB"/>
        </w:rPr>
        <w:t xml:space="preserve">Karner v. </w:t>
      </w:r>
      <w:r w:rsidRPr="000E4B8F">
        <w:rPr>
          <w:i/>
          <w:lang w:val="en-GB"/>
        </w:rPr>
        <w:t>Austria</w:t>
      </w:r>
      <w:r w:rsidRPr="000E4B8F">
        <w:rPr>
          <w:rStyle w:val="sb8d990e2"/>
          <w:lang w:val="en-GB"/>
        </w:rPr>
        <w:t xml:space="preserve">, </w:t>
      </w:r>
      <w:r w:rsidR="00C558EA" w:rsidRPr="00A952B1">
        <w:rPr>
          <w:lang w:val="en-GB"/>
        </w:rPr>
        <w:t>no. 40016/98, § 37, ECHR 2003</w:t>
      </w:r>
      <w:r w:rsidR="00C558EA" w:rsidRPr="00A952B1">
        <w:rPr>
          <w:lang w:val="en-GB"/>
        </w:rPr>
        <w:noBreakHyphen/>
        <w:t>IX</w:t>
      </w:r>
      <w:r w:rsidR="00C558EA" w:rsidRPr="00A952B1">
        <w:rPr>
          <w:rStyle w:val="sb8d990e2"/>
          <w:lang w:val="en-GB"/>
        </w:rPr>
        <w:t>;</w:t>
      </w:r>
      <w:r w:rsidRPr="000E4B8F">
        <w:rPr>
          <w:rStyle w:val="sb8d990e2"/>
          <w:lang w:val="en-GB"/>
        </w:rPr>
        <w:t xml:space="preserve"> </w:t>
      </w:r>
      <w:r w:rsidR="00D3686B" w:rsidRPr="00A952B1">
        <w:rPr>
          <w:i/>
          <w:lang w:val="en-GB"/>
        </w:rPr>
        <w:t xml:space="preserve">Konstantin Markin </w:t>
      </w:r>
      <w:r w:rsidR="00D3686B" w:rsidRPr="00A952B1">
        <w:rPr>
          <w:i/>
          <w:snapToGrid w:val="0"/>
          <w:lang w:val="en-GB"/>
        </w:rPr>
        <w:t>v. Russia</w:t>
      </w:r>
      <w:r w:rsidR="00D3686B" w:rsidRPr="00A952B1">
        <w:rPr>
          <w:i/>
          <w:lang w:val="en-GB"/>
        </w:rPr>
        <w:t xml:space="preserve"> </w:t>
      </w:r>
      <w:r w:rsidR="00D3686B" w:rsidRPr="00A952B1">
        <w:rPr>
          <w:lang w:val="en-GB"/>
        </w:rPr>
        <w:t>[GC]</w:t>
      </w:r>
      <w:r w:rsidR="00D3686B" w:rsidRPr="00A952B1">
        <w:rPr>
          <w:snapToGrid w:val="0"/>
          <w:lang w:val="en-GB"/>
        </w:rPr>
        <w:t>, no.</w:t>
      </w:r>
      <w:r w:rsidR="00D3686B" w:rsidRPr="00A952B1">
        <w:rPr>
          <w:lang w:val="en-GB"/>
        </w:rPr>
        <w:t xml:space="preserve"> 30078/06</w:t>
      </w:r>
      <w:r w:rsidR="00D3686B" w:rsidRPr="00A952B1">
        <w:rPr>
          <w:snapToGrid w:val="0"/>
          <w:szCs w:val="24"/>
          <w:lang w:val="en-GB"/>
        </w:rPr>
        <w:t xml:space="preserve">, § 127, </w:t>
      </w:r>
      <w:r w:rsidR="00D3686B" w:rsidRPr="00A952B1">
        <w:rPr>
          <w:snapToGrid w:val="0"/>
          <w:lang w:val="en-GB"/>
        </w:rPr>
        <w:t xml:space="preserve">ECHR 2012 (extracts); </w:t>
      </w:r>
      <w:r w:rsidR="00797FF5" w:rsidRPr="000E4B8F">
        <w:rPr>
          <w:i/>
          <w:lang w:val="en-GB"/>
        </w:rPr>
        <w:t xml:space="preserve">X and Others v. Austria </w:t>
      </w:r>
      <w:r w:rsidR="00797FF5" w:rsidRPr="000E4B8F">
        <w:rPr>
          <w:lang w:val="en-GB"/>
        </w:rPr>
        <w:t>[GC], no. 19010/07</w:t>
      </w:r>
      <w:r w:rsidR="00797FF5" w:rsidRPr="000E4B8F">
        <w:rPr>
          <w:snapToGrid w:val="0"/>
          <w:lang w:val="en-GB"/>
        </w:rPr>
        <w:t xml:space="preserve">, § </w:t>
      </w:r>
      <w:r w:rsidR="00797FF5" w:rsidRPr="004926A0">
        <w:rPr>
          <w:snapToGrid w:val="0"/>
          <w:lang w:val="en-GB"/>
        </w:rPr>
        <w:t>99</w:t>
      </w:r>
      <w:r w:rsidR="00797FF5" w:rsidRPr="00CA1816">
        <w:rPr>
          <w:snapToGrid w:val="0"/>
          <w:lang w:val="en-GB"/>
        </w:rPr>
        <w:t xml:space="preserve">, </w:t>
      </w:r>
      <w:r w:rsidR="00797FF5" w:rsidRPr="00CA1816">
        <w:rPr>
          <w:lang w:val="en-GB"/>
        </w:rPr>
        <w:t>ECHR 2013</w:t>
      </w:r>
      <w:r w:rsidR="0028648E" w:rsidRPr="00CA1816">
        <w:rPr>
          <w:lang w:val="en-GB"/>
        </w:rPr>
        <w:t>;</w:t>
      </w:r>
      <w:r w:rsidR="00C558EA" w:rsidRPr="00A952B1">
        <w:rPr>
          <w:snapToGrid w:val="0"/>
          <w:lang w:val="en-GB"/>
        </w:rPr>
        <w:t xml:space="preserve"> and </w:t>
      </w:r>
      <w:r w:rsidR="0028648E" w:rsidRPr="00242D29">
        <w:rPr>
          <w:bCs/>
          <w:i/>
          <w:color w:val="000000"/>
          <w:lang w:val="en-US"/>
        </w:rPr>
        <w:t>Vallianatos</w:t>
      </w:r>
      <w:r w:rsidR="0028648E" w:rsidRPr="00242D29">
        <w:rPr>
          <w:b/>
          <w:bCs/>
          <w:i/>
          <w:color w:val="000000"/>
          <w:lang w:val="en-US"/>
        </w:rPr>
        <w:t xml:space="preserve"> </w:t>
      </w:r>
      <w:r w:rsidR="0028648E" w:rsidRPr="00242D29">
        <w:rPr>
          <w:i/>
          <w:lang w:val="en-US"/>
        </w:rPr>
        <w:t xml:space="preserve">and Others v. Greece </w:t>
      </w:r>
      <w:r w:rsidR="0028648E" w:rsidRPr="00242D29">
        <w:rPr>
          <w:lang w:val="en-US"/>
        </w:rPr>
        <w:t xml:space="preserve">[GC], cited above, § </w:t>
      </w:r>
      <w:r w:rsidR="00D408F4" w:rsidRPr="00242D29">
        <w:rPr>
          <w:lang w:val="en-US"/>
        </w:rPr>
        <w:t>77</w:t>
      </w:r>
      <w:r w:rsidR="00C558EA" w:rsidRPr="00242D29">
        <w:rPr>
          <w:lang w:val="en-US"/>
        </w:rPr>
        <w:t>)</w:t>
      </w:r>
      <w:r w:rsidRPr="000E4B8F">
        <w:rPr>
          <w:rStyle w:val="sb8d990e2"/>
          <w:lang w:val="en-GB"/>
        </w:rPr>
        <w:t>. On the other hand, a wide margin is usually</w:t>
      </w:r>
      <w:r w:rsidRPr="00E945B0">
        <w:rPr>
          <w:rStyle w:val="sb8d990e2"/>
          <w:lang w:val="en-GB"/>
        </w:rPr>
        <w:t xml:space="preserve"> allowed to the State under the Convention when it comes to general measures of economic or social </w:t>
      </w:r>
      <w:r w:rsidRPr="000E4B8F">
        <w:rPr>
          <w:rStyle w:val="sb8d990e2"/>
          <w:lang w:val="en-GB"/>
        </w:rPr>
        <w:t>strategy</w:t>
      </w:r>
      <w:r w:rsidR="00666BDA" w:rsidRPr="00A952B1">
        <w:rPr>
          <w:rStyle w:val="sb8d990e2"/>
          <w:lang w:val="en-GB"/>
        </w:rPr>
        <w:t xml:space="preserve"> for example</w:t>
      </w:r>
      <w:r w:rsidRPr="000E4B8F">
        <w:rPr>
          <w:rStyle w:val="sb8d990e2"/>
          <w:lang w:val="en-GB"/>
        </w:rPr>
        <w:t xml:space="preserve"> (see, for</w:t>
      </w:r>
      <w:r w:rsidRPr="00E945B0">
        <w:rPr>
          <w:rStyle w:val="sb8d990e2"/>
          <w:lang w:val="en-GB"/>
        </w:rPr>
        <w:t xml:space="preserve"> instance, </w:t>
      </w:r>
      <w:r w:rsidRPr="00166419">
        <w:rPr>
          <w:rStyle w:val="s6b621b36"/>
          <w:i/>
          <w:lang w:val="en-GB"/>
        </w:rPr>
        <w:t>Stec and Others v. the United Kingdom</w:t>
      </w:r>
      <w:r w:rsidRPr="00166419">
        <w:rPr>
          <w:rStyle w:val="sb8d990e2"/>
          <w:i/>
          <w:lang w:val="en-GB"/>
        </w:rPr>
        <w:t xml:space="preserve"> </w:t>
      </w:r>
      <w:r w:rsidRPr="00E945B0">
        <w:rPr>
          <w:rStyle w:val="sb8d990e2"/>
          <w:lang w:val="en-GB"/>
        </w:rPr>
        <w:t>[GC], no</w:t>
      </w:r>
      <w:r w:rsidR="00B52BCD">
        <w:rPr>
          <w:rStyle w:val="sb8d990e2"/>
          <w:lang w:val="en-GB"/>
        </w:rPr>
        <w:t>s</w:t>
      </w:r>
      <w:r w:rsidRPr="00E945B0">
        <w:rPr>
          <w:rStyle w:val="sb8d990e2"/>
          <w:lang w:val="en-GB"/>
        </w:rPr>
        <w:t>. 65731/01</w:t>
      </w:r>
      <w:r w:rsidR="00B52BCD">
        <w:rPr>
          <w:rStyle w:val="sb8d990e2"/>
          <w:lang w:val="en-GB"/>
        </w:rPr>
        <w:t xml:space="preserve"> and 65900/01</w:t>
      </w:r>
      <w:r w:rsidRPr="00E945B0">
        <w:rPr>
          <w:rStyle w:val="sb8d990e2"/>
          <w:lang w:val="en-GB"/>
        </w:rPr>
        <w:t>, § 52, ECHR 2006</w:t>
      </w:r>
      <w:r w:rsidRPr="00E945B0">
        <w:rPr>
          <w:rStyle w:val="sb8d990e2"/>
          <w:lang w:val="en-GB"/>
        </w:rPr>
        <w:noBreakHyphen/>
        <w:t xml:space="preserve">VI). The scope of the margin of appreciation will vary according to the circumstances, the subject matter and its background; in this respect, one of the relevant factors may be the existence or non-existence of common </w:t>
      </w:r>
      <w:r w:rsidRPr="000E4B8F">
        <w:rPr>
          <w:rStyle w:val="sb8d990e2"/>
          <w:lang w:val="en-GB"/>
        </w:rPr>
        <w:t xml:space="preserve">ground between the laws of the Contracting States (see </w:t>
      </w:r>
      <w:r w:rsidRPr="004926A0">
        <w:rPr>
          <w:i/>
          <w:lang w:val="en-GB"/>
        </w:rPr>
        <w:t>Petrovic v. Austria</w:t>
      </w:r>
      <w:r w:rsidRPr="00CA1816">
        <w:rPr>
          <w:rStyle w:val="sb8d990e2"/>
          <w:lang w:val="en-GB"/>
        </w:rPr>
        <w:t xml:space="preserve">, </w:t>
      </w:r>
      <w:r w:rsidR="00C558EA" w:rsidRPr="00A952B1">
        <w:rPr>
          <w:lang w:val="en-GB"/>
        </w:rPr>
        <w:t xml:space="preserve">27 March 1998, § 38, </w:t>
      </w:r>
      <w:r w:rsidR="00C558EA" w:rsidRPr="00A952B1">
        <w:rPr>
          <w:i/>
          <w:lang w:val="en-GB"/>
        </w:rPr>
        <w:t xml:space="preserve">Reports </w:t>
      </w:r>
      <w:r w:rsidR="00C558EA" w:rsidRPr="00A952B1">
        <w:rPr>
          <w:lang w:val="en-GB"/>
        </w:rPr>
        <w:t>1998</w:t>
      </w:r>
      <w:r w:rsidR="00C558EA" w:rsidRPr="00A952B1">
        <w:rPr>
          <w:lang w:val="en-GB"/>
        </w:rPr>
        <w:noBreakHyphen/>
        <w:t>II</w:t>
      </w:r>
      <w:r w:rsidRPr="000E4B8F">
        <w:rPr>
          <w:rStyle w:val="sb8d990e2"/>
          <w:lang w:val="en-GB"/>
        </w:rPr>
        <w:t>).</w:t>
      </w:r>
    </w:p>
    <w:p w:rsidR="00910348" w:rsidRPr="00E945B0" w:rsidRDefault="00910348" w:rsidP="00910348">
      <w:pPr>
        <w:pStyle w:val="ECHRHeading3"/>
        <w:rPr>
          <w:lang w:val="en-GB"/>
        </w:rPr>
      </w:pPr>
      <w:r w:rsidRPr="00E945B0">
        <w:rPr>
          <w:lang w:val="en-GB"/>
        </w:rPr>
        <w:t>2.  Application of the above-mentioned principles to the present case</w:t>
      </w:r>
    </w:p>
    <w:p w:rsidR="00910348" w:rsidRPr="00E945B0" w:rsidRDefault="00910348" w:rsidP="00910348">
      <w:pPr>
        <w:pStyle w:val="ECHRPara"/>
        <w:rPr>
          <w:rStyle w:val="sb8d990e2"/>
          <w:lang w:val="en-GB"/>
        </w:rPr>
      </w:pPr>
      <w:r w:rsidRPr="00E945B0">
        <w:rPr>
          <w:rStyle w:val="sb8d990e2"/>
          <w:lang w:val="en-GB"/>
        </w:rPr>
        <w:fldChar w:fldCharType="begin"/>
      </w:r>
      <w:r w:rsidRPr="00E945B0">
        <w:rPr>
          <w:rStyle w:val="sb8d990e2"/>
          <w:lang w:val="en-GB"/>
        </w:rPr>
        <w:instrText xml:space="preserve"> SEQ level0 \*arabic </w:instrText>
      </w:r>
      <w:r w:rsidRPr="00E945B0">
        <w:rPr>
          <w:rStyle w:val="sb8d990e2"/>
          <w:lang w:val="en-GB"/>
        </w:rPr>
        <w:fldChar w:fldCharType="separate"/>
      </w:r>
      <w:r w:rsidR="008B718E">
        <w:rPr>
          <w:rStyle w:val="sb8d990e2"/>
          <w:noProof/>
          <w:lang w:val="en-GB"/>
        </w:rPr>
        <w:t>110</w:t>
      </w:r>
      <w:r w:rsidRPr="00E945B0">
        <w:rPr>
          <w:rStyle w:val="sb8d990e2"/>
          <w:lang w:val="en-GB"/>
        </w:rPr>
        <w:fldChar w:fldCharType="end"/>
      </w:r>
      <w:r w:rsidRPr="00E945B0">
        <w:rPr>
          <w:rStyle w:val="sb8d990e2"/>
          <w:lang w:val="en-GB"/>
        </w:rPr>
        <w:t>.  It is undisputed in the present case that the applicant</w:t>
      </w:r>
      <w:r w:rsidR="00C17A2C">
        <w:rPr>
          <w:rStyle w:val="sb8d990e2"/>
          <w:lang w:val="en-GB"/>
        </w:rPr>
        <w:t>’</w:t>
      </w:r>
      <w:r w:rsidRPr="00E945B0">
        <w:rPr>
          <w:rStyle w:val="sb8d990e2"/>
          <w:lang w:val="en-GB"/>
        </w:rPr>
        <w:t>s situation falls within the notion of “private life” and “family life” within the meaning of Article 8 of the Convention as well as within the scope of Article 12 of the Convention. Consequently, Article 14</w:t>
      </w:r>
      <w:r>
        <w:rPr>
          <w:rStyle w:val="sb8d990e2"/>
          <w:lang w:val="en-GB"/>
        </w:rPr>
        <w:t>,</w:t>
      </w:r>
      <w:r w:rsidRPr="00E945B0">
        <w:rPr>
          <w:rStyle w:val="sb8d990e2"/>
          <w:lang w:val="en-GB"/>
        </w:rPr>
        <w:t xml:space="preserve"> taken in conjunction with Articles 8 and 12 of the Convention</w:t>
      </w:r>
      <w:r>
        <w:rPr>
          <w:rStyle w:val="sb8d990e2"/>
          <w:lang w:val="en-GB"/>
        </w:rPr>
        <w:t>,</w:t>
      </w:r>
      <w:r w:rsidRPr="00E945B0">
        <w:rPr>
          <w:rStyle w:val="sb8d990e2"/>
          <w:lang w:val="en-GB"/>
        </w:rPr>
        <w:t xml:space="preserve"> applies.</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111</w:t>
      </w:r>
      <w:r w:rsidRPr="00E945B0">
        <w:rPr>
          <w:lang w:val="en-GB"/>
        </w:rPr>
        <w:fldChar w:fldCharType="end"/>
      </w:r>
      <w:r w:rsidRPr="00E945B0">
        <w:rPr>
          <w:lang w:val="en-GB"/>
        </w:rPr>
        <w:t>.  The Court notes that the applicant</w:t>
      </w:r>
      <w:r w:rsidR="00C17A2C">
        <w:rPr>
          <w:lang w:val="en-GB"/>
        </w:rPr>
        <w:t>’</w:t>
      </w:r>
      <w:r w:rsidRPr="00E945B0">
        <w:rPr>
          <w:lang w:val="en-GB"/>
        </w:rPr>
        <w:t xml:space="preserve">s complaints under Article 14 of the Convention relate to </w:t>
      </w:r>
      <w:r>
        <w:rPr>
          <w:lang w:val="en-GB"/>
        </w:rPr>
        <w:t>her request for</w:t>
      </w:r>
      <w:r w:rsidRPr="00E945B0">
        <w:rPr>
          <w:lang w:val="en-GB"/>
        </w:rPr>
        <w:t xml:space="preserve"> a female identity number and to the problems </w:t>
      </w:r>
      <w:r>
        <w:rPr>
          <w:lang w:val="en-GB"/>
        </w:rPr>
        <w:t xml:space="preserve">she has </w:t>
      </w:r>
      <w:r w:rsidRPr="00E945B0">
        <w:rPr>
          <w:lang w:val="en-GB"/>
        </w:rPr>
        <w:t>experienced in that respect. In her complaints the applicant compar</w:t>
      </w:r>
      <w:r>
        <w:rPr>
          <w:lang w:val="en-GB"/>
        </w:rPr>
        <w:t>ed</w:t>
      </w:r>
      <w:r w:rsidRPr="00E945B0">
        <w:rPr>
          <w:lang w:val="en-GB"/>
        </w:rPr>
        <w:t xml:space="preserve"> her situation to th</w:t>
      </w:r>
      <w:r>
        <w:rPr>
          <w:lang w:val="en-GB"/>
        </w:rPr>
        <w:t>at</w:t>
      </w:r>
      <w:r w:rsidRPr="00E945B0">
        <w:rPr>
          <w:lang w:val="en-GB"/>
        </w:rPr>
        <w:t xml:space="preserve"> of </w:t>
      </w:r>
      <w:r>
        <w:rPr>
          <w:lang w:val="en-GB"/>
        </w:rPr>
        <w:t>cissexual</w:t>
      </w:r>
      <w:r w:rsidRPr="00E945B0">
        <w:rPr>
          <w:lang w:val="en-GB"/>
        </w:rPr>
        <w:t>s</w:t>
      </w:r>
      <w:r>
        <w:rPr>
          <w:lang w:val="en-GB"/>
        </w:rPr>
        <w:t>,</w:t>
      </w:r>
      <w:r w:rsidRPr="00E945B0">
        <w:rPr>
          <w:lang w:val="en-GB"/>
        </w:rPr>
        <w:t xml:space="preserve"> who ha</w:t>
      </w:r>
      <w:r>
        <w:rPr>
          <w:lang w:val="en-GB"/>
        </w:rPr>
        <w:t>d</w:t>
      </w:r>
      <w:r w:rsidRPr="00E945B0">
        <w:rPr>
          <w:lang w:val="en-GB"/>
        </w:rPr>
        <w:t xml:space="preserve"> </w:t>
      </w:r>
      <w:r>
        <w:rPr>
          <w:lang w:val="en-GB"/>
        </w:rPr>
        <w:t>obtained</w:t>
      </w:r>
      <w:r w:rsidRPr="00E945B0">
        <w:rPr>
          <w:lang w:val="en-GB"/>
        </w:rPr>
        <w:t xml:space="preserve"> legal gender recognition automatically at birth and whose marriages, according to the applicant, </w:t>
      </w:r>
      <w:r>
        <w:rPr>
          <w:lang w:val="en-GB"/>
        </w:rPr>
        <w:t>did</w:t>
      </w:r>
      <w:r w:rsidRPr="00E945B0">
        <w:rPr>
          <w:lang w:val="en-GB"/>
        </w:rPr>
        <w:t xml:space="preserve"> not run the risk of </w:t>
      </w:r>
      <w:r>
        <w:rPr>
          <w:lang w:val="en-GB"/>
        </w:rPr>
        <w:t>“</w:t>
      </w:r>
      <w:r w:rsidRPr="00E945B0">
        <w:rPr>
          <w:lang w:val="en-GB"/>
        </w:rPr>
        <w:t>forced</w:t>
      </w:r>
      <w:r>
        <w:rPr>
          <w:lang w:val="en-GB"/>
        </w:rPr>
        <w:t>”</w:t>
      </w:r>
      <w:r w:rsidRPr="00E945B0">
        <w:rPr>
          <w:lang w:val="en-GB"/>
        </w:rPr>
        <w:t xml:space="preserve"> divorce in the way </w:t>
      </w:r>
      <w:r>
        <w:rPr>
          <w:lang w:val="en-GB"/>
        </w:rPr>
        <w:t>that</w:t>
      </w:r>
      <w:r w:rsidRPr="00E945B0">
        <w:rPr>
          <w:lang w:val="en-GB"/>
        </w:rPr>
        <w:t xml:space="preserve"> her</w:t>
      </w:r>
      <w:r>
        <w:rPr>
          <w:lang w:val="en-GB"/>
        </w:rPr>
        <w:t>s</w:t>
      </w:r>
      <w:r w:rsidRPr="00E945B0">
        <w:rPr>
          <w:lang w:val="en-GB"/>
        </w:rPr>
        <w:t xml:space="preserve"> </w:t>
      </w:r>
      <w:r>
        <w:rPr>
          <w:lang w:val="en-GB"/>
        </w:rPr>
        <w:t>did</w:t>
      </w:r>
      <w:r w:rsidRPr="00E945B0">
        <w:rPr>
          <w:lang w:val="en-GB"/>
        </w:rPr>
        <w:t>.</w:t>
      </w:r>
    </w:p>
    <w:p w:rsidR="00910348" w:rsidRPr="00E945B0" w:rsidRDefault="00910348" w:rsidP="00910348">
      <w:pPr>
        <w:pStyle w:val="ECHRPara"/>
        <w:rPr>
          <w:lang w:val="en-GB"/>
        </w:rPr>
      </w:pPr>
      <w:r w:rsidRPr="00E945B0">
        <w:rPr>
          <w:lang w:val="en-GB"/>
        </w:rPr>
        <w:lastRenderedPageBreak/>
        <w:fldChar w:fldCharType="begin"/>
      </w:r>
      <w:r w:rsidRPr="00E945B0">
        <w:rPr>
          <w:lang w:val="en-GB"/>
        </w:rPr>
        <w:instrText xml:space="preserve"> SEQ level0 \*arabic </w:instrText>
      </w:r>
      <w:r w:rsidRPr="00E945B0">
        <w:rPr>
          <w:lang w:val="en-GB"/>
        </w:rPr>
        <w:fldChar w:fldCharType="separate"/>
      </w:r>
      <w:r w:rsidR="008B718E">
        <w:rPr>
          <w:noProof/>
          <w:lang w:val="en-GB"/>
        </w:rPr>
        <w:t>112</w:t>
      </w:r>
      <w:r w:rsidRPr="00E945B0">
        <w:rPr>
          <w:lang w:val="en-GB"/>
        </w:rPr>
        <w:fldChar w:fldCharType="end"/>
      </w:r>
      <w:r w:rsidRPr="00E945B0">
        <w:rPr>
          <w:lang w:val="en-GB"/>
        </w:rPr>
        <w:t>.  The Grand Chamber agrees with the Chamber that the applicant</w:t>
      </w:r>
      <w:r w:rsidR="00C17A2C">
        <w:rPr>
          <w:lang w:val="en-GB"/>
        </w:rPr>
        <w:t>’</w:t>
      </w:r>
      <w:r w:rsidRPr="00E945B0">
        <w:rPr>
          <w:lang w:val="en-GB"/>
        </w:rPr>
        <w:t xml:space="preserve">s situation and the situations of </w:t>
      </w:r>
      <w:r>
        <w:rPr>
          <w:lang w:val="en-GB"/>
        </w:rPr>
        <w:t>ci</w:t>
      </w:r>
      <w:r w:rsidRPr="00E945B0">
        <w:rPr>
          <w:lang w:val="en-GB"/>
        </w:rPr>
        <w:t>s</w:t>
      </w:r>
      <w:r>
        <w:rPr>
          <w:lang w:val="en-GB"/>
        </w:rPr>
        <w:t>sexual</w:t>
      </w:r>
      <w:r w:rsidRPr="00E945B0">
        <w:rPr>
          <w:lang w:val="en-GB"/>
        </w:rPr>
        <w:t xml:space="preserve">s are not sufficiently similar to be compared </w:t>
      </w:r>
      <w:r>
        <w:rPr>
          <w:lang w:val="en-GB"/>
        </w:rPr>
        <w:t>with</w:t>
      </w:r>
      <w:r w:rsidRPr="00E945B0">
        <w:rPr>
          <w:lang w:val="en-GB"/>
        </w:rPr>
        <w:t xml:space="preserve"> each other. The applicant cannot therefore claim to be in the same situation as </w:t>
      </w:r>
      <w:r>
        <w:rPr>
          <w:lang w:val="en-GB"/>
        </w:rPr>
        <w:t>cissexual</w:t>
      </w:r>
      <w:r w:rsidRPr="00E945B0">
        <w:rPr>
          <w:lang w:val="en-GB"/>
        </w:rPr>
        <w:t>s.</w:t>
      </w:r>
    </w:p>
    <w:p w:rsidR="00910348" w:rsidRPr="00E945B0" w:rsidRDefault="00910348" w:rsidP="00910348">
      <w:pPr>
        <w:pStyle w:val="ECHRPara"/>
        <w:rPr>
          <w:lang w:val="en-GB"/>
        </w:rPr>
      </w:pPr>
      <w:r w:rsidRPr="00E945B0">
        <w:rPr>
          <w:lang w:val="en-GB"/>
        </w:rPr>
        <w:fldChar w:fldCharType="begin"/>
      </w:r>
      <w:r w:rsidRPr="00E945B0">
        <w:rPr>
          <w:lang w:val="en-GB"/>
        </w:rPr>
        <w:instrText xml:space="preserve"> SEQ level0 \*arabic </w:instrText>
      </w:r>
      <w:r w:rsidRPr="00E945B0">
        <w:rPr>
          <w:lang w:val="en-GB"/>
        </w:rPr>
        <w:fldChar w:fldCharType="separate"/>
      </w:r>
      <w:r w:rsidR="008B718E">
        <w:rPr>
          <w:noProof/>
          <w:lang w:val="en-GB"/>
        </w:rPr>
        <w:t>113</w:t>
      </w:r>
      <w:r w:rsidRPr="00E945B0">
        <w:rPr>
          <w:lang w:val="en-GB"/>
        </w:rPr>
        <w:fldChar w:fldCharType="end"/>
      </w:r>
      <w:r w:rsidRPr="00E945B0">
        <w:rPr>
          <w:lang w:val="en-GB"/>
        </w:rPr>
        <w:t>.  </w:t>
      </w:r>
      <w:r w:rsidRPr="00E945B0">
        <w:rPr>
          <w:rStyle w:val="sb8d990e2"/>
          <w:lang w:val="en-GB"/>
        </w:rPr>
        <w:t>In conclusion, the Court finds that there has been no violation of Article 14 of the Convention taken in conjunction with Articles 8 and 12 of the Convention.</w:t>
      </w:r>
    </w:p>
    <w:p w:rsidR="00990C94" w:rsidRDefault="00CD49A7" w:rsidP="00AF23DA">
      <w:pPr>
        <w:pStyle w:val="ECHRTitle1"/>
        <w:rPr>
          <w:lang w:val="en-GB"/>
        </w:rPr>
      </w:pPr>
      <w:r w:rsidRPr="00805A7D">
        <w:rPr>
          <w:lang w:val="en-GB"/>
        </w:rPr>
        <w:t>FOR THESE REASONS, THE COURT</w:t>
      </w:r>
    </w:p>
    <w:p w:rsidR="00910348" w:rsidRDefault="00910348" w:rsidP="00910348">
      <w:pPr>
        <w:pStyle w:val="JuList"/>
        <w:rPr>
          <w:lang w:val="en-GB"/>
        </w:rPr>
      </w:pPr>
      <w:r w:rsidRPr="00E945B0">
        <w:rPr>
          <w:lang w:val="en-GB"/>
        </w:rPr>
        <w:t>1.  </w:t>
      </w:r>
      <w:r w:rsidRPr="00E945B0">
        <w:rPr>
          <w:i/>
          <w:lang w:val="en-GB"/>
        </w:rPr>
        <w:t>Holds</w:t>
      </w:r>
      <w:r w:rsidR="00846DB9" w:rsidRPr="00846DB9">
        <w:rPr>
          <w:lang w:val="en-GB"/>
        </w:rPr>
        <w:t>,</w:t>
      </w:r>
      <w:r w:rsidR="00846DB9">
        <w:rPr>
          <w:i/>
          <w:lang w:val="en-GB"/>
        </w:rPr>
        <w:t xml:space="preserve"> </w:t>
      </w:r>
      <w:r w:rsidR="00846DB9">
        <w:rPr>
          <w:lang w:val="en-GB"/>
        </w:rPr>
        <w:t>by fourteen votes to three,</w:t>
      </w:r>
      <w:r w:rsidRPr="00E945B0">
        <w:rPr>
          <w:lang w:val="en-GB"/>
        </w:rPr>
        <w:t xml:space="preserve"> that there has been no violation of Article 8 of the Convention;</w:t>
      </w:r>
    </w:p>
    <w:p w:rsidR="00910348" w:rsidRDefault="00910348" w:rsidP="00910348">
      <w:pPr>
        <w:pStyle w:val="JuList"/>
        <w:rPr>
          <w:lang w:val="en-GB"/>
        </w:rPr>
      </w:pPr>
    </w:p>
    <w:p w:rsidR="00910348" w:rsidRDefault="00910348" w:rsidP="00910348">
      <w:pPr>
        <w:pStyle w:val="JuList"/>
        <w:rPr>
          <w:lang w:val="en-GB"/>
        </w:rPr>
      </w:pPr>
      <w:r>
        <w:rPr>
          <w:lang w:val="en-GB"/>
        </w:rPr>
        <w:t>2</w:t>
      </w:r>
      <w:r w:rsidRPr="00E945B0">
        <w:rPr>
          <w:lang w:val="en-GB"/>
        </w:rPr>
        <w:t>.  </w:t>
      </w:r>
      <w:r w:rsidRPr="00E945B0">
        <w:rPr>
          <w:i/>
          <w:lang w:val="en-GB"/>
        </w:rPr>
        <w:t>Holds</w:t>
      </w:r>
      <w:r w:rsidR="00846DB9" w:rsidRPr="00846DB9">
        <w:rPr>
          <w:lang w:val="en-GB"/>
        </w:rPr>
        <w:t>, by</w:t>
      </w:r>
      <w:r w:rsidR="00846DB9">
        <w:rPr>
          <w:i/>
          <w:lang w:val="en-GB"/>
        </w:rPr>
        <w:t xml:space="preserve"> </w:t>
      </w:r>
      <w:r w:rsidR="00846DB9" w:rsidRPr="00846DB9">
        <w:rPr>
          <w:lang w:val="en-GB"/>
        </w:rPr>
        <w:t>fourteen votes to three,</w:t>
      </w:r>
      <w:r w:rsidR="00846DB9">
        <w:rPr>
          <w:i/>
          <w:lang w:val="en-GB"/>
        </w:rPr>
        <w:t xml:space="preserve"> </w:t>
      </w:r>
      <w:r w:rsidRPr="00E945B0">
        <w:rPr>
          <w:lang w:val="en-GB"/>
        </w:rPr>
        <w:t>that there is no need to examine the case under Article 12 of the Convention</w:t>
      </w:r>
      <w:r>
        <w:rPr>
          <w:lang w:val="en-GB"/>
        </w:rPr>
        <w:t>;</w:t>
      </w:r>
    </w:p>
    <w:p w:rsidR="00910348" w:rsidRDefault="00910348" w:rsidP="00910348">
      <w:pPr>
        <w:pStyle w:val="JuList"/>
        <w:rPr>
          <w:lang w:val="en-GB"/>
        </w:rPr>
      </w:pPr>
    </w:p>
    <w:p w:rsidR="00910348" w:rsidRPr="00E945B0" w:rsidRDefault="00910348" w:rsidP="00166419">
      <w:pPr>
        <w:pStyle w:val="JuList"/>
        <w:rPr>
          <w:lang w:val="en-GB"/>
        </w:rPr>
      </w:pPr>
      <w:r>
        <w:rPr>
          <w:lang w:val="en-GB"/>
        </w:rPr>
        <w:t>3</w:t>
      </w:r>
      <w:r w:rsidRPr="00E945B0">
        <w:rPr>
          <w:lang w:val="en-GB"/>
        </w:rPr>
        <w:t>.  </w:t>
      </w:r>
      <w:r w:rsidRPr="00E945B0">
        <w:rPr>
          <w:i/>
          <w:lang w:val="en-GB"/>
        </w:rPr>
        <w:t>Holds</w:t>
      </w:r>
      <w:r w:rsidR="00846DB9">
        <w:rPr>
          <w:lang w:val="en-GB"/>
        </w:rPr>
        <w:t>, by fourteen votes to three</w:t>
      </w:r>
      <w:r w:rsidRPr="00E945B0">
        <w:rPr>
          <w:lang w:val="en-GB"/>
        </w:rPr>
        <w:t xml:space="preserve">, that there has been no violation of Article 14 </w:t>
      </w:r>
      <w:r w:rsidRPr="00E945B0">
        <w:rPr>
          <w:rStyle w:val="sb8d990e2"/>
          <w:lang w:val="en-GB"/>
        </w:rPr>
        <w:t xml:space="preserve">taken in conjunction with Articles 8 and 12 </w:t>
      </w:r>
      <w:r w:rsidRPr="00E945B0">
        <w:rPr>
          <w:lang w:val="en-GB"/>
        </w:rPr>
        <w:t>of the Convention</w:t>
      </w:r>
      <w:r>
        <w:rPr>
          <w:lang w:val="en-GB"/>
        </w:rPr>
        <w:t>.</w:t>
      </w:r>
    </w:p>
    <w:p w:rsidR="005A1233" w:rsidRDefault="00CD49A7" w:rsidP="00D362F8">
      <w:pPr>
        <w:pStyle w:val="JuParaLast"/>
        <w:rPr>
          <w:lang w:val="en-GB"/>
        </w:rPr>
      </w:pPr>
      <w:r w:rsidRPr="00805A7D">
        <w:rPr>
          <w:lang w:val="en-GB"/>
        </w:rPr>
        <w:t>Done in English</w:t>
      </w:r>
      <w:r w:rsidR="00990C94" w:rsidRPr="00805A7D">
        <w:rPr>
          <w:lang w:val="en-GB"/>
        </w:rPr>
        <w:t xml:space="preserve"> and in French</w:t>
      </w:r>
      <w:r w:rsidRPr="00805A7D">
        <w:rPr>
          <w:lang w:val="en-GB"/>
        </w:rPr>
        <w:t>, and delivered at a public hearing in the Human Rights Building, Strasbourg, on</w:t>
      </w:r>
      <w:r w:rsidR="00846DB9">
        <w:rPr>
          <w:lang w:val="en-GB"/>
        </w:rPr>
        <w:t xml:space="preserve"> 16 July 2014</w:t>
      </w:r>
      <w:r w:rsidRPr="00805A7D">
        <w:rPr>
          <w:lang w:val="en-GB"/>
        </w:rPr>
        <w:t>.</w:t>
      </w:r>
    </w:p>
    <w:p w:rsidR="005F0A59" w:rsidRPr="00805A7D" w:rsidRDefault="00864049" w:rsidP="00D362F8">
      <w:pPr>
        <w:pStyle w:val="JuSigned"/>
        <w:keepNext/>
        <w:keepLines/>
        <w:rPr>
          <w:lang w:val="en-GB"/>
        </w:rPr>
      </w:pPr>
      <w:r>
        <w:rPr>
          <w:lang w:val="en-GB"/>
        </w:rPr>
        <w:tab/>
      </w:r>
      <w:r w:rsidR="00D362F8">
        <w:rPr>
          <w:lang w:val="en-GB"/>
        </w:rPr>
        <w:t>Johan Callewaert</w:t>
      </w:r>
      <w:r w:rsidR="00D362F8" w:rsidRPr="00814C79">
        <w:rPr>
          <w:lang w:val="en-GB"/>
        </w:rPr>
        <w:tab/>
      </w:r>
      <w:r w:rsidR="00D362F8" w:rsidRPr="00814C79">
        <w:rPr>
          <w:szCs w:val="24"/>
          <w:lang w:val="en-GB"/>
        </w:rPr>
        <w:t>Dean Spielmann</w:t>
      </w:r>
      <w:r w:rsidR="00D362F8">
        <w:rPr>
          <w:szCs w:val="24"/>
          <w:lang w:val="en-GB"/>
        </w:rPr>
        <w:br/>
      </w:r>
      <w:r w:rsidR="00D362F8" w:rsidRPr="00814C79">
        <w:rPr>
          <w:lang w:val="en-GB"/>
        </w:rPr>
        <w:tab/>
      </w:r>
      <w:r w:rsidR="00D362F8">
        <w:rPr>
          <w:lang w:val="en-GB"/>
        </w:rPr>
        <w:t>Deputy to the Registrar</w:t>
      </w:r>
      <w:r w:rsidR="00D362F8" w:rsidRPr="00814C79">
        <w:rPr>
          <w:lang w:val="en-GB"/>
        </w:rPr>
        <w:tab/>
        <w:t>President</w:t>
      </w:r>
    </w:p>
    <w:p w:rsidR="00A756D3" w:rsidRPr="00C26014" w:rsidRDefault="00CD49A7" w:rsidP="00A756D3">
      <w:pPr>
        <w:pStyle w:val="JuParaLast"/>
        <w:rPr>
          <w:lang w:val="en-GB"/>
        </w:rPr>
      </w:pPr>
      <w:r w:rsidRPr="00805A7D">
        <w:rPr>
          <w:lang w:val="en-GB"/>
        </w:rPr>
        <w:t>In accordance with Article 45 § 2 of the Convention an</w:t>
      </w:r>
      <w:r w:rsidR="00001804" w:rsidRPr="00805A7D">
        <w:rPr>
          <w:lang w:val="en-GB"/>
        </w:rPr>
        <w:t xml:space="preserve">d Rule 74 </w:t>
      </w:r>
      <w:r w:rsidRPr="00805A7D">
        <w:rPr>
          <w:lang w:val="en-GB"/>
        </w:rPr>
        <w:t>§ 2 of the Rules of Court, the following separate</w:t>
      </w:r>
      <w:r w:rsidR="00044C37" w:rsidRPr="00805A7D">
        <w:rPr>
          <w:lang w:val="en-GB"/>
        </w:rPr>
        <w:t xml:space="preserve"> opinions are</w:t>
      </w:r>
      <w:r w:rsidR="00846DB9">
        <w:rPr>
          <w:lang w:val="en-GB"/>
        </w:rPr>
        <w:t xml:space="preserve"> </w:t>
      </w:r>
      <w:r w:rsidRPr="00805A7D">
        <w:rPr>
          <w:lang w:val="en-GB"/>
        </w:rPr>
        <w:t>annexed to this judgment:</w:t>
      </w:r>
    </w:p>
    <w:p w:rsidR="00A756D3" w:rsidRPr="00C26014" w:rsidRDefault="00A756D3" w:rsidP="00A756D3">
      <w:pPr>
        <w:pStyle w:val="JuParaLast"/>
        <w:rPr>
          <w:lang w:val="en-GB"/>
        </w:rPr>
      </w:pPr>
      <w:r>
        <w:rPr>
          <w:lang w:val="en-GB"/>
        </w:rPr>
        <w:t>(a)  </w:t>
      </w:r>
      <w:r w:rsidRPr="00C26014">
        <w:rPr>
          <w:lang w:val="en-GB"/>
        </w:rPr>
        <w:t>concurring opinion of Judge</w:t>
      </w:r>
      <w:r>
        <w:rPr>
          <w:lang w:val="en-GB"/>
        </w:rPr>
        <w:t xml:space="preserve"> Ziemele</w:t>
      </w:r>
      <w:r w:rsidRPr="00C26014">
        <w:rPr>
          <w:lang w:val="en-GB"/>
        </w:rPr>
        <w:t>;</w:t>
      </w:r>
    </w:p>
    <w:p w:rsidR="0081067D" w:rsidRPr="0081067D" w:rsidRDefault="00A756D3" w:rsidP="006804BF">
      <w:pPr>
        <w:pStyle w:val="ECHRPara"/>
        <w:rPr>
          <w:lang w:val="en-US"/>
        </w:rPr>
      </w:pPr>
      <w:r>
        <w:rPr>
          <w:lang w:val="en-GB"/>
        </w:rPr>
        <w:t xml:space="preserve">(b)  joint </w:t>
      </w:r>
      <w:r w:rsidRPr="00C26014">
        <w:rPr>
          <w:lang w:val="en-GB"/>
        </w:rPr>
        <w:t>dissent</w:t>
      </w:r>
      <w:r>
        <w:rPr>
          <w:lang w:val="en-GB"/>
        </w:rPr>
        <w:t xml:space="preserve">ing opinion of Judges </w:t>
      </w:r>
      <w:r w:rsidRPr="0081067D">
        <w:rPr>
          <w:lang w:val="en-US"/>
        </w:rPr>
        <w:t>Sajó, Keller and Lemmens</w:t>
      </w:r>
      <w:r w:rsidR="00911E7A">
        <w:rPr>
          <w:lang w:val="en-GB"/>
        </w:rPr>
        <w:t>.</w:t>
      </w:r>
    </w:p>
    <w:p w:rsidR="00242D29" w:rsidRDefault="00911E7A" w:rsidP="006804BF">
      <w:pPr>
        <w:pStyle w:val="JuInitialled"/>
        <w:rPr>
          <w:lang w:val="en-US"/>
        </w:rPr>
      </w:pPr>
      <w:r w:rsidRPr="00242D29">
        <w:rPr>
          <w:lang w:val="en-US"/>
        </w:rPr>
        <w:t>D.S.</w:t>
      </w:r>
      <w:r w:rsidRPr="00242D29">
        <w:rPr>
          <w:lang w:val="en-US"/>
        </w:rPr>
        <w:br/>
        <w:t>J.C</w:t>
      </w:r>
      <w:r w:rsidR="00A1359E" w:rsidRPr="00242D29">
        <w:rPr>
          <w:lang w:val="en-US"/>
        </w:rPr>
        <w:t>.</w:t>
      </w:r>
    </w:p>
    <w:p w:rsidR="00BD5E06" w:rsidRPr="00242D29" w:rsidRDefault="00CD0853" w:rsidP="006804BF">
      <w:pPr>
        <w:pStyle w:val="JuInitialled"/>
        <w:rPr>
          <w:lang w:val="en-US"/>
        </w:rPr>
        <w:sectPr w:rsidR="00BD5E06" w:rsidRPr="00242D29">
          <w:headerReference w:type="even" r:id="rId18"/>
          <w:headerReference w:type="default" r:id="rId19"/>
          <w:footerReference w:type="default" r:id="rId20"/>
          <w:footnotePr>
            <w:numRestart w:val="eachPage"/>
          </w:footnotePr>
          <w:pgSz w:w="11906" w:h="16838" w:code="9"/>
          <w:pgMar w:top="2274" w:right="2274" w:bottom="2274" w:left="2274" w:header="1701" w:footer="720" w:gutter="0"/>
          <w:pgNumType w:start="1"/>
          <w:cols w:space="720"/>
        </w:sectPr>
      </w:pPr>
      <w:r w:rsidRPr="00242D29">
        <w:rPr>
          <w:lang w:val="en-US"/>
        </w:rPr>
        <w:t xml:space="preserve"> </w:t>
      </w:r>
    </w:p>
    <w:p w:rsidR="00A1359E" w:rsidRPr="00242D29" w:rsidRDefault="00A1359E" w:rsidP="00A1359E">
      <w:pPr>
        <w:pStyle w:val="ECHRTitleCentre1"/>
        <w:rPr>
          <w:lang w:val="en-US"/>
        </w:rPr>
      </w:pPr>
      <w:r w:rsidRPr="00242D29">
        <w:rPr>
          <w:lang w:val="en-US"/>
        </w:rPr>
        <w:lastRenderedPageBreak/>
        <w:t>CONCURRING OPINION OF JUDGE ZIEMELE</w:t>
      </w:r>
    </w:p>
    <w:p w:rsidR="00A1359E" w:rsidRPr="006779D0" w:rsidRDefault="00A1359E" w:rsidP="00A1359E">
      <w:pPr>
        <w:pStyle w:val="OpiPara"/>
        <w:rPr>
          <w:lang w:val="en-US"/>
        </w:rPr>
      </w:pPr>
      <w:r w:rsidRPr="00242D29">
        <w:rPr>
          <w:lang w:val="en-US"/>
        </w:rPr>
        <w:t xml:space="preserve">1.  I voted with the majority in this case. However, I would like to add a few comments on the methodology used in the judgment. I find that in this case in particular the methodological choices were the tricky points. </w:t>
      </w:r>
      <w:r w:rsidRPr="006779D0">
        <w:rPr>
          <w:lang w:val="en-US"/>
        </w:rPr>
        <w:t>The case concerns an alleged right to remain married and a right to change one</w:t>
      </w:r>
      <w:r w:rsidR="00C17A2C">
        <w:rPr>
          <w:lang w:val="en-US"/>
        </w:rPr>
        <w:t>’</w:t>
      </w:r>
      <w:r w:rsidRPr="006779D0">
        <w:rPr>
          <w:lang w:val="en-US"/>
        </w:rPr>
        <w:t xml:space="preserve">s gender. </w:t>
      </w:r>
      <w:r w:rsidRPr="00242D29">
        <w:rPr>
          <w:lang w:val="en-US"/>
        </w:rPr>
        <w:t xml:space="preserve">The Chamber approached the case as a right to privacy case and examined it from the point of view of an interference with the right to privacy. It had regard to the absence of a common view in Europe on same-sex marriages when examining the proportionality of this interference. </w:t>
      </w:r>
      <w:r w:rsidRPr="006779D0">
        <w:rPr>
          <w:lang w:val="en-US"/>
        </w:rPr>
        <w:t>The Grand Chamber took note of the Chamber</w:t>
      </w:r>
      <w:r w:rsidR="00C17A2C">
        <w:rPr>
          <w:lang w:val="en-US"/>
        </w:rPr>
        <w:t>’</w:t>
      </w:r>
      <w:r w:rsidRPr="006779D0">
        <w:rPr>
          <w:lang w:val="en-US"/>
        </w:rPr>
        <w:t xml:space="preserve">s approach but decided that the case was one of positive obligations (see paragraph 64 of the judgment). </w:t>
      </w:r>
      <w:r w:rsidRPr="00242D29">
        <w:rPr>
          <w:lang w:val="en-US"/>
        </w:rPr>
        <w:t xml:space="preserve">It is true that the Court has always emphasized that it is difficult to draw a clear line between negative and positive obligations. However, I wonder whether this is indeed difficult or whether it is the choice of the Court to leave the issue rather open. This case shows how the difference might be quite important, because the Grand Chamber chose to take a different approach from that of the Chamber. </w:t>
      </w:r>
      <w:r w:rsidRPr="006779D0">
        <w:rPr>
          <w:lang w:val="en-US"/>
        </w:rPr>
        <w:t>Recently, in another case, the Grand Chamber decided that the Chamber</w:t>
      </w:r>
      <w:r w:rsidR="00C17A2C">
        <w:rPr>
          <w:lang w:val="en-US"/>
        </w:rPr>
        <w:t>’</w:t>
      </w:r>
      <w:r w:rsidRPr="006779D0">
        <w:rPr>
          <w:lang w:val="en-US"/>
        </w:rPr>
        <w:t xml:space="preserve">s approach, which had decided the case as one of interference, should be changed to one of positive obligations (see, for example, </w:t>
      </w:r>
      <w:r w:rsidRPr="006779D0">
        <w:rPr>
          <w:i/>
          <w:lang w:val="en-US"/>
        </w:rPr>
        <w:t>Fernández Martínez</w:t>
      </w:r>
      <w:r w:rsidRPr="006779D0">
        <w:rPr>
          <w:lang w:val="en-US"/>
        </w:rPr>
        <w:t xml:space="preserve"> </w:t>
      </w:r>
      <w:r w:rsidRPr="006779D0">
        <w:rPr>
          <w:i/>
          <w:lang w:val="en-US"/>
        </w:rPr>
        <w:t xml:space="preserve">v. Spain </w:t>
      </w:r>
      <w:r w:rsidRPr="006779D0">
        <w:rPr>
          <w:lang w:val="en-US"/>
        </w:rPr>
        <w:t>[GC], no. 56030/07</w:t>
      </w:r>
      <w:r w:rsidRPr="006779D0">
        <w:rPr>
          <w:snapToGrid w:val="0"/>
          <w:lang w:val="en-US"/>
        </w:rPr>
        <w:t>, 1</w:t>
      </w:r>
      <w:r w:rsidRPr="006779D0">
        <w:rPr>
          <w:lang w:val="en-US"/>
        </w:rPr>
        <w:t>2</w:t>
      </w:r>
      <w:r w:rsidRPr="006779D0">
        <w:rPr>
          <w:snapToGrid w:val="0"/>
          <w:lang w:val="en-US"/>
        </w:rPr>
        <w:t> June 2014</w:t>
      </w:r>
      <w:r w:rsidRPr="006779D0">
        <w:rPr>
          <w:lang w:val="en-US"/>
        </w:rPr>
        <w:t>).</w:t>
      </w:r>
    </w:p>
    <w:p w:rsidR="00A1359E" w:rsidRPr="00242D29" w:rsidRDefault="00A1359E" w:rsidP="00A1359E">
      <w:pPr>
        <w:pStyle w:val="OpiPara"/>
        <w:rPr>
          <w:lang w:val="en-US"/>
        </w:rPr>
      </w:pPr>
      <w:r w:rsidRPr="00242D29">
        <w:rPr>
          <w:lang w:val="en-US"/>
        </w:rPr>
        <w:t xml:space="preserve">2.  In the context of Article 8, the Court referred to its case-law according to which there is no obligation to grant same-sex couples access to marriage (see paragraph 71 of the judgment). Indeed, the Court has repeatedly said that, in view of the absence of clear practice in Europe and the ongoing debate in many European societies, it cannot interpret Article 8 as imposing such an obligation. For the purposes of this case, the Court once again ventures into an examination of the so-called European consensus. Has anything changed since its last case? This basically means that the Court tries to establish what the domestic law and practice is in, if possible, 47 member States and thus attempts to determine whether a subsequent State practice may have emerged leading to a new interpretation, or even an amendment, of a treaty (see Vienna Convention on the Law of Treaties, Article 31), or possibly confirming the existence of </w:t>
      </w:r>
      <w:r w:rsidRPr="00242D29">
        <w:rPr>
          <w:i/>
          <w:iCs/>
          <w:lang w:val="en-US"/>
        </w:rPr>
        <w:t>opinio juris</w:t>
      </w:r>
      <w:r w:rsidRPr="00242D29">
        <w:rPr>
          <w:lang w:val="en-US"/>
        </w:rPr>
        <w:t xml:space="preserve"> (see I. Ziemele, “Customary International Law in the Case-Law of the European Court of Human Rights – The Method”, in </w:t>
      </w:r>
      <w:r w:rsidRPr="00242D29">
        <w:rPr>
          <w:i/>
          <w:iCs/>
          <w:lang w:val="en-US"/>
        </w:rPr>
        <w:t>The Judge and International Custom</w:t>
      </w:r>
      <w:r w:rsidRPr="00242D29">
        <w:rPr>
          <w:lang w:val="en-US"/>
        </w:rPr>
        <w:t xml:space="preserve"> (Council of Europe, 2012) pp. 75-83</w:t>
      </w:r>
      <w:r w:rsidR="00DE022A" w:rsidRPr="00242D29">
        <w:rPr>
          <w:lang w:val="en-US"/>
        </w:rPr>
        <w:t>)</w:t>
      </w:r>
      <w:r w:rsidRPr="00242D29">
        <w:rPr>
          <w:lang w:val="en-US"/>
        </w:rPr>
        <w:t>.</w:t>
      </w:r>
    </w:p>
    <w:p w:rsidR="00A1359E" w:rsidRPr="00242D29" w:rsidRDefault="00A1359E" w:rsidP="00A1359E">
      <w:pPr>
        <w:pStyle w:val="OpiPara"/>
        <w:rPr>
          <w:lang w:val="en-US"/>
        </w:rPr>
      </w:pPr>
      <w:r w:rsidRPr="00242D29">
        <w:rPr>
          <w:lang w:val="en-US"/>
        </w:rPr>
        <w:t xml:space="preserve">3.  However, I wonder to what extent and in what way the above-mentioned analysis was necessary for the present case. </w:t>
      </w:r>
      <w:r w:rsidRPr="006779D0">
        <w:rPr>
          <w:lang w:val="en-US"/>
        </w:rPr>
        <w:t>This analysis appears to be linked to the Court</w:t>
      </w:r>
      <w:r w:rsidR="00C17A2C">
        <w:rPr>
          <w:lang w:val="en-US"/>
        </w:rPr>
        <w:t>’</w:t>
      </w:r>
      <w:r w:rsidRPr="006779D0">
        <w:rPr>
          <w:lang w:val="en-US"/>
        </w:rPr>
        <w:t xml:space="preserve">s choice to examine the case from the perspective of positive obligations. </w:t>
      </w:r>
      <w:r w:rsidRPr="00242D29">
        <w:rPr>
          <w:lang w:val="en-US"/>
        </w:rPr>
        <w:t xml:space="preserve">In paragraph 79 of the judgment the Court reiterates that “the key question in the present case is whether the Finnish system currently fulfils the positive obligation or whether the </w:t>
      </w:r>
      <w:r w:rsidRPr="00242D29">
        <w:rPr>
          <w:lang w:val="en-US"/>
        </w:rPr>
        <w:lastRenderedPageBreak/>
        <w:t>applicant should be allowed to remain married while at the same time obtaining legal recognition of her new gender even if that option would imply a same-sex marriage between the applicant and her spouse.” The only point at which a reference to the data provided by the comparative-law study appears to be relevant is the observation that in any event Finland already belongs to a minority group of States which recognize the relevant legal consequences of a gender change. This seems to imply that Finland is rather advanced in its internal processes as compared with the other societies and probably does comply with positive obligations in so far as they can be deduced to exist.</w:t>
      </w:r>
    </w:p>
    <w:p w:rsidR="00704721" w:rsidRPr="006779D0" w:rsidRDefault="00A1359E" w:rsidP="00704721">
      <w:pPr>
        <w:pStyle w:val="OpiPara"/>
        <w:rPr>
          <w:lang w:val="en-US"/>
        </w:rPr>
      </w:pPr>
      <w:r w:rsidRPr="00242D29">
        <w:rPr>
          <w:lang w:val="en-US"/>
        </w:rPr>
        <w:t xml:space="preserve">4.  In this regard the fact that Finland is not under a specific Convention obligation to provide for same-sex marriage does not assist the Court in addressing the problem in this case (see paragraph 79 of the judgment). </w:t>
      </w:r>
      <w:r w:rsidRPr="00C02C78">
        <w:rPr>
          <w:lang w:val="en-US"/>
        </w:rPr>
        <w:t xml:space="preserve">The applicant cannot maintain that she is entitled to remain married as a matter of Convention law. She does not argue that. Her submission is that the change imposed on her interferes with her right to privacy. However, it is not shown that her family life within the meaning of Article 8 would be somehow affected by her change of gender. The real task of the Court in the present case is the assessment of an interference with privacy matters and therefore, in terms of methodology I would also have followed the line taken by the dissenting judges while disagreeing with their conclusion. </w:t>
      </w:r>
      <w:r w:rsidRPr="006779D0">
        <w:rPr>
          <w:lang w:val="en-US"/>
        </w:rPr>
        <w:t>I see a logical flaw in the Court</w:t>
      </w:r>
      <w:r w:rsidR="00C17A2C">
        <w:rPr>
          <w:lang w:val="en-US"/>
        </w:rPr>
        <w:t>’</w:t>
      </w:r>
      <w:r w:rsidRPr="006779D0">
        <w:rPr>
          <w:lang w:val="en-US"/>
        </w:rPr>
        <w:t xml:space="preserve">s conclusion that there has been no violation on account of the absence of a specific positive obligation to introduce legislation on same-sex marriages. </w:t>
      </w:r>
      <w:r w:rsidRPr="00C02C78">
        <w:rPr>
          <w:lang w:val="en-US"/>
        </w:rPr>
        <w:t xml:space="preserve">If the case were about positive obligations the Court could probably have stopped at paragraph 80, in which it notes the progress made by Finland among other States. I also note that for the most part the reasoning in fact follows the arguments relevant to an assessment of the proportionality of an interference (see paragraphs 81 and 84 </w:t>
      </w:r>
      <w:r w:rsidRPr="00C02C78">
        <w:rPr>
          <w:i/>
          <w:lang w:val="en-US"/>
        </w:rPr>
        <w:t>et seq.</w:t>
      </w:r>
      <w:r w:rsidRPr="00C02C78">
        <w:rPr>
          <w:lang w:val="en-US"/>
        </w:rPr>
        <w:t xml:space="preserve">). </w:t>
      </w:r>
      <w:r w:rsidRPr="006779D0">
        <w:rPr>
          <w:lang w:val="en-US"/>
        </w:rPr>
        <w:t>Unlike the judges in the minority, I consider that the protection of morals remains a relevant justification for the interference with the applicant</w:t>
      </w:r>
      <w:r w:rsidR="00C17A2C">
        <w:rPr>
          <w:lang w:val="en-US"/>
        </w:rPr>
        <w:t>’</w:t>
      </w:r>
      <w:r w:rsidRPr="006779D0">
        <w:rPr>
          <w:lang w:val="en-US"/>
        </w:rPr>
        <w:t>s right to privacy in so far as it concerns the status of her marriage and is viewed in the context of the wide margin of appreciation left to the States.</w:t>
      </w:r>
    </w:p>
    <w:p w:rsidR="00704721" w:rsidRDefault="00704721">
      <w:pPr>
        <w:jc w:val="left"/>
      </w:pPr>
      <w:r>
        <w:br w:type="page"/>
      </w:r>
    </w:p>
    <w:p w:rsidR="00704721" w:rsidRPr="00553D55" w:rsidRDefault="00704721" w:rsidP="00704721">
      <w:pPr>
        <w:pStyle w:val="ECHRTitleCentre1"/>
        <w:rPr>
          <w:lang w:val="en-GB"/>
        </w:rPr>
      </w:pPr>
      <w:r w:rsidRPr="00553D55">
        <w:rPr>
          <w:lang w:val="en-GB"/>
        </w:rPr>
        <w:lastRenderedPageBreak/>
        <w:t>JOINT DISSENTING OPINION OF JUDGES SAJÓ, KELLER AND LEMMENS</w:t>
      </w:r>
    </w:p>
    <w:p w:rsidR="00704721" w:rsidRPr="00242D29" w:rsidRDefault="008D6F6E" w:rsidP="00704721">
      <w:pPr>
        <w:pStyle w:val="OpiPara"/>
        <w:rPr>
          <w:lang w:val="en-US"/>
        </w:rPr>
      </w:pPr>
      <w:r w:rsidRPr="008B718E">
        <w:rPr>
          <w:lang w:val="en-GB"/>
        </w:rPr>
        <w:fldChar w:fldCharType="begin"/>
      </w:r>
      <w:r w:rsidRPr="008B718E">
        <w:rPr>
          <w:lang w:val="en-GB"/>
        </w:rPr>
        <w:instrText xml:space="preserve"> SEQ level0 \*arabic \r1</w:instrText>
      </w:r>
      <w:r w:rsidR="00704721" w:rsidRPr="008B718E">
        <w:rPr>
          <w:lang w:val="en-GB"/>
        </w:rPr>
        <w:fldChar w:fldCharType="begin"/>
      </w:r>
      <w:r w:rsidR="00704721" w:rsidRPr="008B718E">
        <w:rPr>
          <w:lang w:val="en-GB"/>
        </w:rPr>
        <w:instrText xml:space="preserve"> </w:instrText>
      </w:r>
      <w:r w:rsidRPr="008B718E">
        <w:rPr>
          <w:lang w:val="en-GB"/>
        </w:rPr>
        <w:instrText>.  </w:instrText>
      </w:r>
      <w:r w:rsidR="00704721" w:rsidRPr="008B718E">
        <w:rPr>
          <w:lang w:val="en-GB"/>
        </w:rPr>
        <w:instrText xml:space="preserve">SEQ level0 \*arabic </w:instrText>
      </w:r>
      <w:r w:rsidR="00704721" w:rsidRPr="008B718E">
        <w:rPr>
          <w:lang w:val="en-GB"/>
        </w:rPr>
        <w:fldChar w:fldCharType="separate"/>
      </w:r>
      <w:r w:rsidR="005A1233" w:rsidRPr="008B718E">
        <w:rPr>
          <w:noProof/>
          <w:lang w:val="en-GB"/>
        </w:rPr>
        <w:instrText>114</w:instrText>
      </w:r>
      <w:r w:rsidR="00704721" w:rsidRPr="008B718E">
        <w:rPr>
          <w:lang w:val="en-GB"/>
        </w:rPr>
        <w:fldChar w:fldCharType="end"/>
      </w:r>
      <w:r w:rsidR="00704721" w:rsidRPr="008B718E">
        <w:rPr>
          <w:lang w:val="en-GB"/>
        </w:rPr>
        <w:instrText>.  </w:instrText>
      </w:r>
      <w:r w:rsidRPr="008B718E">
        <w:rPr>
          <w:lang w:val="en-GB"/>
        </w:rPr>
        <w:instrText xml:space="preserve"> </w:instrText>
      </w:r>
      <w:r w:rsidRPr="008B718E">
        <w:rPr>
          <w:lang w:val="en-GB"/>
        </w:rPr>
        <w:fldChar w:fldCharType="separate"/>
      </w:r>
      <w:r w:rsidR="008B718E" w:rsidRPr="008B718E">
        <w:rPr>
          <w:noProof/>
          <w:lang w:val="en-GB"/>
        </w:rPr>
        <w:t>1</w:t>
      </w:r>
      <w:r w:rsidRPr="008B718E">
        <w:rPr>
          <w:lang w:val="en-GB"/>
        </w:rPr>
        <w:fldChar w:fldCharType="end"/>
      </w:r>
      <w:r w:rsidR="00A47B4B" w:rsidRPr="008B718E">
        <w:rPr>
          <w:lang w:val="en-GB"/>
        </w:rPr>
        <w:t>.</w:t>
      </w:r>
      <w:r w:rsidR="00A47B4B">
        <w:rPr>
          <w:lang w:val="en-GB"/>
        </w:rPr>
        <w:t>  </w:t>
      </w:r>
      <w:r w:rsidR="00704721" w:rsidRPr="00553D55">
        <w:rPr>
          <w:lang w:val="en-GB"/>
        </w:rPr>
        <w:t>To our regret, we cannot agree with the majority</w:t>
      </w:r>
      <w:r w:rsidR="00C17A2C">
        <w:rPr>
          <w:lang w:val="en-GB"/>
        </w:rPr>
        <w:t>’</w:t>
      </w:r>
      <w:r w:rsidR="00704721" w:rsidRPr="00553D55">
        <w:rPr>
          <w:lang w:val="en-GB"/>
        </w:rPr>
        <w:t xml:space="preserve">s finding that </w:t>
      </w:r>
      <w:r w:rsidR="00704721">
        <w:rPr>
          <w:lang w:val="en-GB"/>
        </w:rPr>
        <w:t xml:space="preserve">there has been no violation of </w:t>
      </w:r>
      <w:r w:rsidR="00704721" w:rsidRPr="00553D55">
        <w:rPr>
          <w:lang w:val="en-GB"/>
        </w:rPr>
        <w:t>Article 8 of the Convention</w:t>
      </w:r>
      <w:r w:rsidR="00704721">
        <w:rPr>
          <w:lang w:val="en-GB"/>
        </w:rPr>
        <w:t xml:space="preserve"> in the present case</w:t>
      </w:r>
      <w:r w:rsidR="00704721" w:rsidRPr="00553D55">
        <w:rPr>
          <w:lang w:val="en-GB"/>
        </w:rPr>
        <w:t xml:space="preserve">. </w:t>
      </w:r>
      <w:r w:rsidR="00704721">
        <w:rPr>
          <w:lang w:val="en-GB"/>
        </w:rPr>
        <w:t>W</w:t>
      </w:r>
      <w:r w:rsidR="00704721" w:rsidRPr="00553D55">
        <w:rPr>
          <w:lang w:val="en-GB"/>
        </w:rPr>
        <w:t>e</w:t>
      </w:r>
      <w:r w:rsidR="00704721">
        <w:rPr>
          <w:lang w:val="en-GB"/>
        </w:rPr>
        <w:t xml:space="preserve"> will</w:t>
      </w:r>
      <w:r w:rsidR="00704721" w:rsidRPr="00553D55">
        <w:rPr>
          <w:lang w:val="en-GB"/>
        </w:rPr>
        <w:t xml:space="preserve"> concentrate our reasoning on Article 8 of the Convention. However, we believe that the case should also have been dealt with differently </w:t>
      </w:r>
      <w:r w:rsidR="00704721">
        <w:rPr>
          <w:lang w:val="en-GB"/>
        </w:rPr>
        <w:t>with</w:t>
      </w:r>
      <w:r w:rsidR="00704721" w:rsidRPr="00553D55">
        <w:rPr>
          <w:lang w:val="en-GB"/>
        </w:rPr>
        <w:t xml:space="preserve"> regard to</w:t>
      </w:r>
      <w:r w:rsidR="00704721">
        <w:rPr>
          <w:lang w:val="en-GB"/>
        </w:rPr>
        <w:t xml:space="preserve"> both</w:t>
      </w:r>
      <w:r w:rsidR="00704721" w:rsidRPr="00553D55">
        <w:rPr>
          <w:lang w:val="en-GB"/>
        </w:rPr>
        <w:t xml:space="preserve"> Article 12 and Article 14 in conjunction with Article 8.</w:t>
      </w:r>
    </w:p>
    <w:p w:rsidR="00704721" w:rsidRPr="00242D29" w:rsidRDefault="00704721" w:rsidP="00704721">
      <w:pPr>
        <w:pStyle w:val="ECHRHeading2"/>
        <w:rPr>
          <w:lang w:val="en-US"/>
        </w:rPr>
      </w:pPr>
      <w:r w:rsidRPr="00242D29">
        <w:rPr>
          <w:lang w:val="en-US"/>
        </w:rPr>
        <w:t>I.  Preliminary remarks</w:t>
      </w:r>
    </w:p>
    <w:p w:rsidR="00704721" w:rsidRPr="00112C80" w:rsidRDefault="00704721" w:rsidP="00704721">
      <w:pPr>
        <w:pStyle w:val="OpiPara"/>
        <w:rPr>
          <w:lang w:val="en-GB"/>
        </w:rPr>
      </w:pPr>
      <w:r w:rsidRPr="008B718E">
        <w:rPr>
          <w:lang w:val="en-GB"/>
        </w:rPr>
        <w:fldChar w:fldCharType="begin"/>
      </w:r>
      <w:r w:rsidRPr="008B718E">
        <w:rPr>
          <w:lang w:val="en-GB"/>
        </w:rPr>
        <w:instrText xml:space="preserve"> SEQ level0 \*arabic </w:instrText>
      </w:r>
      <w:r w:rsidRPr="008B718E">
        <w:rPr>
          <w:lang w:val="en-GB"/>
        </w:rPr>
        <w:fldChar w:fldCharType="separate"/>
      </w:r>
      <w:r w:rsidR="008B718E" w:rsidRPr="008B718E">
        <w:rPr>
          <w:noProof/>
          <w:lang w:val="en-GB"/>
        </w:rPr>
        <w:t>2</w:t>
      </w:r>
      <w:r w:rsidRPr="008B718E">
        <w:rPr>
          <w:lang w:val="en-GB"/>
        </w:rPr>
        <w:fldChar w:fldCharType="end"/>
      </w:r>
      <w:r w:rsidRPr="008B718E">
        <w:rPr>
          <w:lang w:val="en-GB"/>
        </w:rPr>
        <w:t>.  </w:t>
      </w:r>
      <w:r w:rsidRPr="00553D55">
        <w:rPr>
          <w:lang w:val="en-GB"/>
        </w:rPr>
        <w:t>The starting point for the examination of the applicant</w:t>
      </w:r>
      <w:r w:rsidR="00C17A2C">
        <w:rPr>
          <w:lang w:val="en-GB"/>
        </w:rPr>
        <w:t>’</w:t>
      </w:r>
      <w:r w:rsidRPr="00553D55">
        <w:rPr>
          <w:lang w:val="en-GB"/>
        </w:rPr>
        <w:t>s claim under Article 8 of the Convention is that one</w:t>
      </w:r>
      <w:r w:rsidR="00C17A2C">
        <w:rPr>
          <w:lang w:val="en-GB"/>
        </w:rPr>
        <w:t>’</w:t>
      </w:r>
      <w:r w:rsidRPr="00553D55">
        <w:rPr>
          <w:lang w:val="en-GB"/>
        </w:rPr>
        <w:t>s gender identity is a particularly important facet of individual existence and that States are required to recogni</w:t>
      </w:r>
      <w:r>
        <w:rPr>
          <w:lang w:val="en-GB"/>
        </w:rPr>
        <w:t>s</w:t>
      </w:r>
      <w:r w:rsidRPr="00553D55">
        <w:rPr>
          <w:lang w:val="en-GB"/>
        </w:rPr>
        <w:t xml:space="preserve">e the change of gender undergone by post-operative transsexual individuals (see </w:t>
      </w:r>
      <w:r>
        <w:rPr>
          <w:lang w:val="en-GB"/>
        </w:rPr>
        <w:t>paragraphs</w:t>
      </w:r>
      <w:r w:rsidRPr="00553D55">
        <w:rPr>
          <w:lang w:val="en-GB"/>
        </w:rPr>
        <w:t xml:space="preserve"> 67 and 68 of the judgment). In this context, the Court held in 2002 that, </w:t>
      </w:r>
      <w:r>
        <w:rPr>
          <w:lang w:val="en-GB"/>
        </w:rPr>
        <w:t xml:space="preserve">in the </w:t>
      </w:r>
      <w:r w:rsidRPr="00553D55">
        <w:rPr>
          <w:lang w:val="en-GB"/>
        </w:rPr>
        <w:t>absen</w:t>
      </w:r>
      <w:r>
        <w:rPr>
          <w:lang w:val="en-GB"/>
        </w:rPr>
        <w:t>ce of</w:t>
      </w:r>
      <w:r w:rsidRPr="00553D55">
        <w:rPr>
          <w:lang w:val="en-GB"/>
        </w:rPr>
        <w:t xml:space="preserve"> any “c</w:t>
      </w:r>
      <w:r w:rsidRPr="00553D55">
        <w:rPr>
          <w:rStyle w:val="sb8d990e2"/>
          <w:lang w:val="en-GB"/>
        </w:rPr>
        <w:t xml:space="preserve">oncrete or substantial hardship or detriment to the public interest” </w:t>
      </w:r>
      <w:r>
        <w:rPr>
          <w:rStyle w:val="sb8d990e2"/>
          <w:lang w:val="en-GB"/>
        </w:rPr>
        <w:t>arising</w:t>
      </w:r>
      <w:r w:rsidRPr="00553D55">
        <w:rPr>
          <w:rStyle w:val="sb8d990e2"/>
          <w:lang w:val="en-GB"/>
        </w:rPr>
        <w:t xml:space="preserve"> from the legal acknowledgment of the post-transition gender of a transsexual person, “society may reasonably be expected to tolerate a certain inconvenience to enable individuals to live in dignity and worth in accordance with the sexual identity chosen by them at great personal cost” (</w:t>
      </w:r>
      <w:r>
        <w:rPr>
          <w:rStyle w:val="sb8d990e2"/>
          <w:lang w:val="en-GB"/>
        </w:rPr>
        <w:t xml:space="preserve">see </w:t>
      </w:r>
      <w:r w:rsidRPr="00112C80">
        <w:rPr>
          <w:i/>
          <w:lang w:val="en-GB"/>
        </w:rPr>
        <w:t>Christine Goodwin v. the United Kingdom</w:t>
      </w:r>
      <w:r w:rsidRPr="00112C80">
        <w:rPr>
          <w:lang w:val="en-GB"/>
        </w:rPr>
        <w:t xml:space="preserve"> [GC], no. 28957/95, § </w:t>
      </w:r>
      <w:r>
        <w:rPr>
          <w:lang w:val="en-GB"/>
        </w:rPr>
        <w:t>91</w:t>
      </w:r>
      <w:r w:rsidRPr="00112C80">
        <w:rPr>
          <w:lang w:val="en-GB"/>
        </w:rPr>
        <w:t>, ECHR 2002</w:t>
      </w:r>
      <w:r w:rsidRPr="00112C80">
        <w:rPr>
          <w:lang w:val="en-GB"/>
        </w:rPr>
        <w:noBreakHyphen/>
        <w:t>VI</w:t>
      </w:r>
      <w:r w:rsidRPr="00553D55">
        <w:rPr>
          <w:rStyle w:val="sb8d990e2"/>
          <w:lang w:val="en-GB"/>
        </w:rPr>
        <w:t xml:space="preserve">). </w:t>
      </w:r>
      <w:r>
        <w:rPr>
          <w:rStyle w:val="sb8d990e2"/>
          <w:lang w:val="en-GB"/>
        </w:rPr>
        <w:t>O</w:t>
      </w:r>
      <w:r w:rsidRPr="00553D55">
        <w:rPr>
          <w:lang w:val="en-GB"/>
        </w:rPr>
        <w:t>n th</w:t>
      </w:r>
      <w:r>
        <w:rPr>
          <w:lang w:val="en-GB"/>
        </w:rPr>
        <w:t>at</w:t>
      </w:r>
      <w:r w:rsidRPr="00553D55">
        <w:rPr>
          <w:lang w:val="en-GB"/>
        </w:rPr>
        <w:t xml:space="preserve"> point we agree with the majority.</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3</w:t>
      </w:r>
      <w:r w:rsidRPr="00553D55">
        <w:rPr>
          <w:lang w:val="en-GB"/>
        </w:rPr>
        <w:fldChar w:fldCharType="end"/>
      </w:r>
      <w:r w:rsidRPr="00553D55">
        <w:rPr>
          <w:lang w:val="en-GB"/>
        </w:rPr>
        <w:t>.  In our view, however, the majority based its reasoning on three assumptions that we do not sh</w:t>
      </w:r>
      <w:r>
        <w:rPr>
          <w:lang w:val="en-GB"/>
        </w:rPr>
        <w:t>are.</w:t>
      </w:r>
    </w:p>
    <w:p w:rsidR="00704721" w:rsidRPr="00112C80" w:rsidRDefault="00704721" w:rsidP="00704721">
      <w:pPr>
        <w:pStyle w:val="OpiPara"/>
        <w:rPr>
          <w:i/>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4</w:t>
      </w:r>
      <w:r w:rsidRPr="00553D55">
        <w:rPr>
          <w:lang w:val="en-GB"/>
        </w:rPr>
        <w:fldChar w:fldCharType="end"/>
      </w:r>
      <w:r w:rsidRPr="00553D55">
        <w:rPr>
          <w:lang w:val="en-GB"/>
        </w:rPr>
        <w:t>.  First, the majority held that the complaint must be analysed from the perspective of a positive obligation (</w:t>
      </w:r>
      <w:r>
        <w:rPr>
          <w:lang w:val="en-GB"/>
        </w:rPr>
        <w:t>see paragraphs</w:t>
      </w:r>
      <w:r w:rsidRPr="00553D55">
        <w:rPr>
          <w:lang w:val="en-GB"/>
        </w:rPr>
        <w:t xml:space="preserve"> 62</w:t>
      </w:r>
      <w:r>
        <w:rPr>
          <w:lang w:val="en-GB"/>
        </w:rPr>
        <w:t>-</w:t>
      </w:r>
      <w:r w:rsidRPr="00553D55">
        <w:rPr>
          <w:lang w:val="en-GB"/>
        </w:rPr>
        <w:t>64</w:t>
      </w:r>
      <w:r>
        <w:rPr>
          <w:lang w:val="en-GB"/>
        </w:rPr>
        <w:t xml:space="preserve"> </w:t>
      </w:r>
      <w:r w:rsidRPr="00553D55">
        <w:rPr>
          <w:lang w:val="en-GB"/>
        </w:rPr>
        <w:t xml:space="preserve">of the judgment). This choice is important because the Court grants States a wider margin of appreciation concerning their positive obligations than their negative ones (see </w:t>
      </w:r>
      <w:r w:rsidRPr="00112C80">
        <w:rPr>
          <w:i/>
          <w:szCs w:val="24"/>
          <w:lang w:val="it-IT"/>
        </w:rPr>
        <w:t>Fadeyeva v. Russia</w:t>
      </w:r>
      <w:r w:rsidRPr="00112C80">
        <w:rPr>
          <w:szCs w:val="24"/>
          <w:lang w:val="it-IT"/>
        </w:rPr>
        <w:t xml:space="preserve">, no. 55723/00, § </w:t>
      </w:r>
      <w:r>
        <w:rPr>
          <w:szCs w:val="24"/>
          <w:lang w:val="it-IT"/>
        </w:rPr>
        <w:t>96</w:t>
      </w:r>
      <w:r w:rsidRPr="00112C80">
        <w:rPr>
          <w:szCs w:val="24"/>
          <w:lang w:val="it-IT"/>
        </w:rPr>
        <w:t>, ECHR 2005</w:t>
      </w:r>
      <w:r w:rsidRPr="00112C80">
        <w:rPr>
          <w:szCs w:val="24"/>
          <w:lang w:val="it-IT"/>
        </w:rPr>
        <w:noBreakHyphen/>
        <w:t>IV</w:t>
      </w:r>
      <w:r w:rsidR="00AC7EB0">
        <w:rPr>
          <w:szCs w:val="24"/>
          <w:lang w:val="it-IT"/>
        </w:rPr>
        <w:t>;</w:t>
      </w:r>
      <w:r w:rsidRPr="00553D55">
        <w:rPr>
          <w:lang w:val="en-GB"/>
        </w:rPr>
        <w:t xml:space="preserve"> and </w:t>
      </w:r>
      <w:r w:rsidRPr="00112C80">
        <w:rPr>
          <w:i/>
          <w:lang w:val="en-GB"/>
        </w:rPr>
        <w:t>A, B and C v. Ireland</w:t>
      </w:r>
      <w:r w:rsidRPr="00112C80">
        <w:rPr>
          <w:lang w:val="en-GB"/>
        </w:rPr>
        <w:t xml:space="preserve"> [GC], no. 25579/05, §</w:t>
      </w:r>
      <w:r>
        <w:rPr>
          <w:lang w:val="en-GB"/>
        </w:rPr>
        <w:t>§</w:t>
      </w:r>
      <w:r w:rsidRPr="00112C80">
        <w:rPr>
          <w:lang w:val="en-GB"/>
        </w:rPr>
        <w:t xml:space="preserve"> </w:t>
      </w:r>
      <w:r>
        <w:rPr>
          <w:lang w:val="en-GB"/>
        </w:rPr>
        <w:t>248-</w:t>
      </w:r>
      <w:r w:rsidRPr="00553D55">
        <w:rPr>
          <w:lang w:val="en-GB"/>
        </w:rPr>
        <w:t>49 and 266</w:t>
      </w:r>
      <w:r>
        <w:rPr>
          <w:lang w:val="en-GB"/>
        </w:rPr>
        <w:t xml:space="preserve">, </w:t>
      </w:r>
      <w:r w:rsidRPr="00112C80">
        <w:rPr>
          <w:lang w:val="en-GB"/>
        </w:rPr>
        <w:t>ECHR 2010</w:t>
      </w:r>
      <w:r w:rsidRPr="00553D55">
        <w:rPr>
          <w:lang w:val="en-GB"/>
        </w:rPr>
        <w:t>). However, the State</w:t>
      </w:r>
      <w:r w:rsidR="00C17A2C">
        <w:rPr>
          <w:lang w:val="en-GB"/>
        </w:rPr>
        <w:t>’</w:t>
      </w:r>
      <w:r w:rsidRPr="00553D55">
        <w:rPr>
          <w:lang w:val="en-GB"/>
        </w:rPr>
        <w:t>s refusal to grant the applicant a new identity card reflecting her acquired gender should, in our view, be examined as a potential breach of a negative obligation, for it neither requires any major steps by the State authorities nor entails important social or economic implications. In other words, the majority held that the interference by the State authorities should be understood simply as its refusal to unlink the issue of a new identity card from the civil status of the applicant. On this point, we disagree in doctrinal terms.</w:t>
      </w:r>
    </w:p>
    <w:p w:rsidR="00704721" w:rsidRPr="00112C80" w:rsidRDefault="00704721" w:rsidP="00704721">
      <w:pPr>
        <w:pStyle w:val="OpiPara"/>
        <w:rPr>
          <w:i/>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5</w:t>
      </w:r>
      <w:r w:rsidRPr="00553D55">
        <w:rPr>
          <w:lang w:val="en-GB"/>
        </w:rPr>
        <w:fldChar w:fldCharType="end"/>
      </w:r>
      <w:r w:rsidRPr="00553D55">
        <w:rPr>
          <w:lang w:val="en-GB"/>
        </w:rPr>
        <w:t>.  </w:t>
      </w:r>
      <w:r w:rsidRPr="004B0582">
        <w:rPr>
          <w:lang w:val="en-GB"/>
        </w:rPr>
        <w:t>Second, a decisive argument for the majority</w:t>
      </w:r>
      <w:r w:rsidR="00C17A2C">
        <w:rPr>
          <w:lang w:val="en-GB"/>
        </w:rPr>
        <w:t>’</w:t>
      </w:r>
      <w:r w:rsidRPr="004B0582">
        <w:rPr>
          <w:lang w:val="en-GB"/>
        </w:rPr>
        <w:t xml:space="preserve">s finding is the fact that there is no consensus among the member States of the Council of Europe on issues concerning transgender persons (see paragraph 74 of the judgment). In our view, this is not the correct approach, not least because it is contrary </w:t>
      </w:r>
      <w:r w:rsidRPr="004B0582">
        <w:rPr>
          <w:lang w:val="en-GB"/>
        </w:rPr>
        <w:lastRenderedPageBreak/>
        <w:t>to the Court</w:t>
      </w:r>
      <w:r w:rsidR="00C17A2C">
        <w:rPr>
          <w:lang w:val="en-GB"/>
        </w:rPr>
        <w:t>’</w:t>
      </w:r>
      <w:r w:rsidRPr="004B0582">
        <w:rPr>
          <w:lang w:val="en-GB"/>
        </w:rPr>
        <w:t xml:space="preserve">s previous case-law. The Court should have recourse to general consensus as one of a set of tools or criteria for determining the width of the State margin of appreciation in a given area (see </w:t>
      </w:r>
      <w:r w:rsidRPr="004B0582">
        <w:rPr>
          <w:i/>
          <w:lang w:val="en-GB"/>
        </w:rPr>
        <w:t xml:space="preserve">X and Others v. Austria </w:t>
      </w:r>
      <w:r w:rsidRPr="004B0582">
        <w:rPr>
          <w:lang w:val="en-GB"/>
        </w:rPr>
        <w:t>[GC], no. 19010/07</w:t>
      </w:r>
      <w:r w:rsidRPr="004B0582">
        <w:rPr>
          <w:snapToGrid w:val="0"/>
          <w:lang w:val="en-GB"/>
        </w:rPr>
        <w:t xml:space="preserve">, § 148, </w:t>
      </w:r>
      <w:r w:rsidRPr="004B0582">
        <w:rPr>
          <w:lang w:val="en-GB"/>
        </w:rPr>
        <w:t>ECHR 2013). In other words, the existence of a consensus is not the only factor that influences the width of the State</w:t>
      </w:r>
      <w:r w:rsidR="00C17A2C">
        <w:rPr>
          <w:lang w:val="en-GB"/>
        </w:rPr>
        <w:t>’</w:t>
      </w:r>
      <w:r w:rsidRPr="004B0582">
        <w:rPr>
          <w:lang w:val="en-GB"/>
        </w:rPr>
        <w:t xml:space="preserve">s margin of appreciation: that same margin is restricted where “a </w:t>
      </w:r>
      <w:r w:rsidRPr="004B0582">
        <w:rPr>
          <w:rStyle w:val="sb8d990e2"/>
          <w:lang w:val="en-GB"/>
        </w:rPr>
        <w:t>particularly important facet of an individual</w:t>
      </w:r>
      <w:r w:rsidR="00C17A2C">
        <w:rPr>
          <w:rStyle w:val="sb8d990e2"/>
          <w:lang w:val="en-GB"/>
        </w:rPr>
        <w:t>’</w:t>
      </w:r>
      <w:r w:rsidRPr="004B0582">
        <w:rPr>
          <w:rStyle w:val="sb8d990e2"/>
          <w:lang w:val="en-GB"/>
        </w:rPr>
        <w:t xml:space="preserve">s existence or identity is at stake” (see </w:t>
      </w:r>
      <w:r w:rsidRPr="004B0582">
        <w:rPr>
          <w:i/>
          <w:lang w:val="en-GB"/>
        </w:rPr>
        <w:t xml:space="preserve">S.H. and Others v. Austria </w:t>
      </w:r>
      <w:r w:rsidRPr="004B0582">
        <w:rPr>
          <w:lang w:val="en-GB"/>
        </w:rPr>
        <w:t>[GC], no. 57813/00, § 94, ECHR 2011</w:t>
      </w:r>
      <w:r w:rsidRPr="004B0582">
        <w:rPr>
          <w:rStyle w:val="sb8d990e2"/>
          <w:lang w:val="en-GB"/>
        </w:rPr>
        <w:t>)</w:t>
      </w:r>
      <w:r w:rsidRPr="004B0582">
        <w:rPr>
          <w:lang w:val="en-GB"/>
        </w:rPr>
        <w:t>.</w:t>
      </w:r>
      <w:r w:rsidRPr="004B0582">
        <w:rPr>
          <w:rStyle w:val="Odwoanieprzypisudolnego"/>
          <w:szCs w:val="24"/>
          <w:lang w:val="en-GB"/>
        </w:rPr>
        <w:footnoteReference w:id="1"/>
      </w:r>
      <w:r w:rsidRPr="004B0582">
        <w:rPr>
          <w:lang w:val="en-GB"/>
        </w:rPr>
        <w:t xml:space="preserve"> As a general rule, where a particularly important aspect of a Convention right is concerned, the Court should therefore examine individual cases with strict scrutiny and, if there has been an interference incompatible with Convention standards, rule accordingly – even if many Contracting States are potentially concerned. This rule applies to the present case: a particularly important facet of the applicant</w:t>
      </w:r>
      <w:r w:rsidR="00C17A2C">
        <w:rPr>
          <w:lang w:val="en-GB"/>
        </w:rPr>
        <w:t>’</w:t>
      </w:r>
      <w:r w:rsidRPr="004B0582">
        <w:rPr>
          <w:lang w:val="en-GB"/>
        </w:rPr>
        <w:t>s identity is at stake here, hence the narrower margin of appreciation afforded to the State. Mindful of past criticism of the consensus approach, which has been considered a potential instrument of retrogression and of allowing the “lowest common denominator” among the member States to prevail, we consider that the Court</w:t>
      </w:r>
      <w:r w:rsidR="00C17A2C">
        <w:rPr>
          <w:lang w:val="en-GB"/>
        </w:rPr>
        <w:t>’</w:t>
      </w:r>
      <w:r w:rsidRPr="004B0582">
        <w:rPr>
          <w:lang w:val="en-GB"/>
        </w:rPr>
        <w:t>s deference to this approach must have its limits, and find that the absence of a consensus cannot serve to widen the State</w:t>
      </w:r>
      <w:r w:rsidR="00C17A2C">
        <w:rPr>
          <w:lang w:val="en-GB"/>
        </w:rPr>
        <w:t>’</w:t>
      </w:r>
      <w:r w:rsidRPr="004B0582">
        <w:rPr>
          <w:lang w:val="en-GB"/>
        </w:rPr>
        <w:t>s narrowed margin of appreciation in the present case.</w:t>
      </w:r>
      <w:r w:rsidRPr="004B0582">
        <w:rPr>
          <w:rStyle w:val="Odwoanieprzypisudolnego"/>
          <w:szCs w:val="24"/>
          <w:lang w:val="en-GB"/>
        </w:rPr>
        <w:footnoteReference w:id="2"/>
      </w:r>
      <w:r w:rsidRPr="004B0582">
        <w:rPr>
          <w:lang w:val="en-GB"/>
        </w:rPr>
        <w:t xml:space="preserve"> In this context, we note that proof of the existence of a consensus, when adduced, must not depend on the existence of a common approach in a super-majority of States: the Court has some discretion regarding its acknowledgment of trends (compare </w:t>
      </w:r>
      <w:r w:rsidRPr="00242D29">
        <w:rPr>
          <w:bCs/>
          <w:i/>
          <w:color w:val="000000"/>
          <w:lang w:val="en-US"/>
        </w:rPr>
        <w:t>Vallianatos</w:t>
      </w:r>
      <w:r w:rsidRPr="00242D29">
        <w:rPr>
          <w:b/>
          <w:bCs/>
          <w:i/>
          <w:color w:val="000000"/>
          <w:lang w:val="en-US"/>
        </w:rPr>
        <w:t xml:space="preserve"> </w:t>
      </w:r>
      <w:r w:rsidRPr="00242D29">
        <w:rPr>
          <w:i/>
          <w:lang w:val="en-US"/>
        </w:rPr>
        <w:t xml:space="preserve">and Others v. Greece </w:t>
      </w:r>
      <w:r w:rsidRPr="00242D29">
        <w:rPr>
          <w:lang w:val="en-US"/>
        </w:rPr>
        <w:t>[GC], nos. 29381/09 and 32684/09</w:t>
      </w:r>
      <w:r w:rsidRPr="00242D29">
        <w:rPr>
          <w:snapToGrid w:val="0"/>
          <w:lang w:val="en-US"/>
        </w:rPr>
        <w:t xml:space="preserve">, § 91, </w:t>
      </w:r>
      <w:r w:rsidRPr="004B0582">
        <w:rPr>
          <w:lang w:val="en-GB"/>
        </w:rPr>
        <w:t>ECHR 2013).</w:t>
      </w:r>
      <w:r w:rsidRPr="004B0582">
        <w:rPr>
          <w:rStyle w:val="Odwoanieprzypisudolnego"/>
          <w:szCs w:val="24"/>
          <w:lang w:val="en-GB"/>
        </w:rPr>
        <w:footnoteReference w:id="3"/>
      </w:r>
      <w:r w:rsidRPr="004B0582">
        <w:rPr>
          <w:lang w:val="en-GB"/>
        </w:rPr>
        <w:t xml:space="preserve"> We also note that, in the landmark </w:t>
      </w:r>
      <w:r w:rsidRPr="004B0582">
        <w:rPr>
          <w:i/>
          <w:lang w:val="en-GB"/>
        </w:rPr>
        <w:t>Christine Goodwin</w:t>
      </w:r>
      <w:r w:rsidRPr="004B0582">
        <w:rPr>
          <w:lang w:val="en-GB"/>
        </w:rPr>
        <w:t xml:space="preserve"> judgment, cited above, regarding the absence of a consensus on the legal acknowledgment of acquired gender among the member States, the Court held that “</w:t>
      </w:r>
      <w:r w:rsidRPr="004B0582">
        <w:rPr>
          <w:rStyle w:val="sb8d990e2"/>
          <w:lang w:val="en-GB"/>
        </w:rPr>
        <w:t xml:space="preserve">the lack of such a common approach among forty-three Contracting States with widely diverse legal systems and traditions is hardly surprising. The Court accordingly attaches less importance to the lack of evidence of a common European approach to the resolution of the legal and practical problems posed, than to the clear and uncontested evidence of a continuing international trend in favour not only of increased social acceptance of </w:t>
      </w:r>
      <w:r w:rsidRPr="004B0582">
        <w:rPr>
          <w:rStyle w:val="sb8d990e2"/>
          <w:lang w:val="en-GB"/>
        </w:rPr>
        <w:lastRenderedPageBreak/>
        <w:t>transsexuals but of legal recognition of the new sexual identity of post-operative transsexuals”</w:t>
      </w:r>
      <w:r w:rsidRPr="004B0582">
        <w:rPr>
          <w:lang w:val="en-GB"/>
        </w:rPr>
        <w:t xml:space="preserve"> (see </w:t>
      </w:r>
      <w:r w:rsidRPr="004B0582">
        <w:rPr>
          <w:i/>
          <w:lang w:val="en-GB"/>
        </w:rPr>
        <w:t>Christine Goodwin,</w:t>
      </w:r>
      <w:r w:rsidRPr="004B0582">
        <w:rPr>
          <w:lang w:val="en-GB"/>
        </w:rPr>
        <w:t xml:space="preserve"> cited above, § 85). The Court went on to hold that the question of allowing legal recognition of acquired gender no longer fell within the State</w:t>
      </w:r>
      <w:r w:rsidR="00C17A2C">
        <w:rPr>
          <w:lang w:val="en-GB"/>
        </w:rPr>
        <w:t>’</w:t>
      </w:r>
      <w:r w:rsidRPr="004B0582">
        <w:rPr>
          <w:lang w:val="en-GB"/>
        </w:rPr>
        <w:t xml:space="preserve">s margin of appreciation (see </w:t>
      </w:r>
      <w:r w:rsidRPr="004B0582">
        <w:rPr>
          <w:i/>
          <w:lang w:val="en-GB"/>
        </w:rPr>
        <w:t>Christine Goodwin</w:t>
      </w:r>
      <w:r w:rsidRPr="004B0582">
        <w:rPr>
          <w:lang w:val="en-GB"/>
        </w:rPr>
        <w:t>, cited above, § 93). As concerns this “trend”, we note that legal recognition of the rights of transsexual and intersex persons is being steadily strengthened worldwide.</w:t>
      </w:r>
      <w:r w:rsidR="006C361E">
        <w:rPr>
          <w:rStyle w:val="Odwoanieprzypisudolnego"/>
          <w:lang w:val="en-GB"/>
        </w:rPr>
        <w:footnoteReference w:customMarkFollows="1" w:id="4"/>
        <w:t>4</w:t>
      </w:r>
      <w:r w:rsidRPr="004B0582">
        <w:rPr>
          <w:lang w:val="en-GB"/>
        </w:rPr>
        <w:t xml:space="preserve"> Regarding the significance of the lack of consensus among the member States, we therefore disagree with the majority from a methodological point of view.</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6</w:t>
      </w:r>
      <w:r w:rsidRPr="00553D55">
        <w:rPr>
          <w:lang w:val="en-GB"/>
        </w:rPr>
        <w:fldChar w:fldCharType="end"/>
      </w:r>
      <w:r w:rsidRPr="00553D55">
        <w:rPr>
          <w:lang w:val="en-GB"/>
        </w:rPr>
        <w:t>.  Third, the majority</w:t>
      </w:r>
      <w:r w:rsidR="00C17A2C">
        <w:rPr>
          <w:lang w:val="en-GB"/>
        </w:rPr>
        <w:t>’</w:t>
      </w:r>
      <w:r w:rsidRPr="00553D55">
        <w:rPr>
          <w:lang w:val="en-GB"/>
        </w:rPr>
        <w:t>s starting point is the assumption that the applicant had a real choice between maintaining her marriage and obtaining a female identity number (</w:t>
      </w:r>
      <w:r>
        <w:rPr>
          <w:lang w:val="en-GB"/>
        </w:rPr>
        <w:t>see paragraphs</w:t>
      </w:r>
      <w:r w:rsidRPr="00553D55">
        <w:rPr>
          <w:lang w:val="en-GB"/>
        </w:rPr>
        <w:t xml:space="preserve"> 76</w:t>
      </w:r>
      <w:r>
        <w:rPr>
          <w:lang w:val="en-GB"/>
        </w:rPr>
        <w:t>-</w:t>
      </w:r>
      <w:r w:rsidRPr="00553D55">
        <w:rPr>
          <w:lang w:val="en-GB"/>
        </w:rPr>
        <w:t>78</w:t>
      </w:r>
      <w:r>
        <w:rPr>
          <w:lang w:val="en-GB"/>
        </w:rPr>
        <w:t xml:space="preserve"> </w:t>
      </w:r>
      <w:r w:rsidRPr="00553D55">
        <w:rPr>
          <w:lang w:val="en-GB"/>
        </w:rPr>
        <w:t>of the judgment). We believe that it is highly problematic to pit two human rights – in this case, the right to recognition of one</w:t>
      </w:r>
      <w:r w:rsidR="00C17A2C">
        <w:rPr>
          <w:lang w:val="en-GB"/>
        </w:rPr>
        <w:t>’</w:t>
      </w:r>
      <w:r w:rsidRPr="00553D55">
        <w:rPr>
          <w:lang w:val="en-GB"/>
        </w:rPr>
        <w:t>s gender identity and the right to maint</w:t>
      </w:r>
      <w:r>
        <w:rPr>
          <w:lang w:val="en-GB"/>
        </w:rPr>
        <w:t>ain</w:t>
      </w:r>
      <w:r w:rsidRPr="00553D55">
        <w:rPr>
          <w:lang w:val="en-GB"/>
        </w:rPr>
        <w:t xml:space="preserve"> one</w:t>
      </w:r>
      <w:r w:rsidR="00C17A2C">
        <w:rPr>
          <w:lang w:val="en-GB"/>
        </w:rPr>
        <w:t>’</w:t>
      </w:r>
      <w:r w:rsidRPr="00553D55">
        <w:rPr>
          <w:lang w:val="en-GB"/>
        </w:rPr>
        <w:t>s civil status – against each other. Furthermore, it is our view that the majority did not sufficiently take into account the fact that the applicant and her spouse are deeply religious (</w:t>
      </w:r>
      <w:r>
        <w:rPr>
          <w:lang w:val="en-GB"/>
        </w:rPr>
        <w:t>see paragraph</w:t>
      </w:r>
      <w:r w:rsidRPr="00553D55">
        <w:rPr>
          <w:lang w:val="en-GB"/>
        </w:rPr>
        <w:t xml:space="preserve"> 44</w:t>
      </w:r>
      <w:r>
        <w:rPr>
          <w:lang w:val="en-GB"/>
        </w:rPr>
        <w:t xml:space="preserve"> </w:t>
      </w:r>
      <w:r w:rsidRPr="00553D55">
        <w:rPr>
          <w:lang w:val="en-GB"/>
        </w:rPr>
        <w:t xml:space="preserve">of the judgment). The couple accordingly believes that their marriage will last for life. </w:t>
      </w:r>
      <w:r>
        <w:rPr>
          <w:lang w:val="en-GB"/>
        </w:rPr>
        <w:t>Lastly</w:t>
      </w:r>
      <w:r w:rsidRPr="00553D55">
        <w:rPr>
          <w:lang w:val="en-GB"/>
        </w:rPr>
        <w:t>, the applicant</w:t>
      </w:r>
      <w:r w:rsidR="00C17A2C">
        <w:rPr>
          <w:lang w:val="en-GB"/>
        </w:rPr>
        <w:t>’</w:t>
      </w:r>
      <w:r w:rsidRPr="00553D55">
        <w:rPr>
          <w:lang w:val="en-GB"/>
        </w:rPr>
        <w:t>s spouse continues to identify as heterosexual. Given their religious background, the applicant and her spouse cannot simply change their marriage into a same-sex partnership, as this would contradict their religious beliefs. In this regard, we believe that the majority did not take important factual information sufficiently into account.</w:t>
      </w:r>
    </w:p>
    <w:p w:rsidR="00704721" w:rsidRPr="00242D29" w:rsidRDefault="00704721" w:rsidP="00704721">
      <w:pPr>
        <w:pStyle w:val="OpiPara"/>
        <w:rPr>
          <w:lang w:val="en-US"/>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7</w:t>
      </w:r>
      <w:r w:rsidRPr="00553D55">
        <w:rPr>
          <w:lang w:val="en-GB"/>
        </w:rPr>
        <w:fldChar w:fldCharType="end"/>
      </w:r>
      <w:r w:rsidRPr="00553D55">
        <w:rPr>
          <w:lang w:val="en-GB"/>
        </w:rPr>
        <w:t xml:space="preserve">.  At this juncture, we would like to emphasise that the Court should have examined the </w:t>
      </w:r>
      <w:r>
        <w:rPr>
          <w:lang w:val="en-GB"/>
        </w:rPr>
        <w:t>complaint</w:t>
      </w:r>
      <w:r w:rsidRPr="00553D55">
        <w:rPr>
          <w:lang w:val="en-GB"/>
        </w:rPr>
        <w:t xml:space="preserve"> under Article 8</w:t>
      </w:r>
      <w:r>
        <w:rPr>
          <w:lang w:val="en-GB"/>
        </w:rPr>
        <w:t xml:space="preserve"> with regard to</w:t>
      </w:r>
      <w:r w:rsidRPr="00553D55">
        <w:rPr>
          <w:lang w:val="en-GB"/>
        </w:rPr>
        <w:t xml:space="preserve"> the particular importance of gender identity to an individual</w:t>
      </w:r>
      <w:r>
        <w:rPr>
          <w:lang w:val="en-GB"/>
        </w:rPr>
        <w:t xml:space="preserve"> and</w:t>
      </w:r>
      <w:r w:rsidRPr="00553D55">
        <w:rPr>
          <w:lang w:val="en-GB"/>
        </w:rPr>
        <w:t xml:space="preserve"> the </w:t>
      </w:r>
      <w:r>
        <w:rPr>
          <w:lang w:val="en-GB"/>
        </w:rPr>
        <w:t>narrow</w:t>
      </w:r>
      <w:r w:rsidRPr="00553D55">
        <w:rPr>
          <w:lang w:val="en-GB"/>
        </w:rPr>
        <w:t xml:space="preserve"> margin of appreciation that States therefore enjoy in this field</w:t>
      </w:r>
      <w:r>
        <w:rPr>
          <w:lang w:val="en-GB"/>
        </w:rPr>
        <w:t>, as well as to</w:t>
      </w:r>
      <w:r w:rsidRPr="00553D55">
        <w:rPr>
          <w:lang w:val="en-GB"/>
        </w:rPr>
        <w:t xml:space="preserve"> the strong religious convictions of the applicant</w:t>
      </w:r>
      <w:r w:rsidRPr="00553D55">
        <w:rPr>
          <w:szCs w:val="24"/>
          <w:lang w:val="en-GB"/>
        </w:rPr>
        <w:t xml:space="preserve"> and her spouse</w:t>
      </w:r>
      <w:r>
        <w:rPr>
          <w:szCs w:val="24"/>
          <w:lang w:val="en-GB"/>
        </w:rPr>
        <w:t xml:space="preserve"> in respect of their marriage</w:t>
      </w:r>
      <w:r w:rsidRPr="00553D55">
        <w:rPr>
          <w:szCs w:val="24"/>
          <w:lang w:val="en-GB"/>
        </w:rPr>
        <w:t>.</w:t>
      </w:r>
    </w:p>
    <w:p w:rsidR="00704721" w:rsidRPr="00242D29" w:rsidRDefault="00704721" w:rsidP="00704721">
      <w:pPr>
        <w:pStyle w:val="ECHRHeading2"/>
        <w:rPr>
          <w:lang w:val="en-US"/>
        </w:rPr>
      </w:pPr>
      <w:r w:rsidRPr="00242D29">
        <w:rPr>
          <w:lang w:val="en-US"/>
        </w:rPr>
        <w:t>II.  Article 8 of the Convention</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8</w:t>
      </w:r>
      <w:r w:rsidRPr="00553D55">
        <w:rPr>
          <w:lang w:val="en-GB"/>
        </w:rPr>
        <w:fldChar w:fldCharType="end"/>
      </w:r>
      <w:r w:rsidRPr="00553D55">
        <w:rPr>
          <w:lang w:val="en-GB"/>
        </w:rPr>
        <w:t xml:space="preserve">.  The applicant has an interest in being granted a female identification number because otherwise she will be required to identify herself as transgender – and thus reveal an aspect of her personality belonging to her </w:t>
      </w:r>
      <w:r w:rsidRPr="00553D55">
        <w:rPr>
          <w:lang w:val="en-GB"/>
        </w:rPr>
        <w:lastRenderedPageBreak/>
        <w:t>most intimate sphere – every time the discrepancy between her gender presentation and her identity card has to be explained. We believe that this amounts to more than a regrettable “inconvenience” (</w:t>
      </w:r>
      <w:r>
        <w:rPr>
          <w:lang w:val="en-GB"/>
        </w:rPr>
        <w:t>see paragraph</w:t>
      </w:r>
      <w:r w:rsidRPr="00553D55">
        <w:rPr>
          <w:lang w:val="en-GB"/>
        </w:rPr>
        <w:t xml:space="preserve"> 87</w:t>
      </w:r>
      <w:r>
        <w:rPr>
          <w:lang w:val="en-GB"/>
        </w:rPr>
        <w:t xml:space="preserve"> </w:t>
      </w:r>
      <w:r w:rsidRPr="00553D55">
        <w:rPr>
          <w:lang w:val="en-GB"/>
        </w:rPr>
        <w:t>of the judgment). In this</w:t>
      </w:r>
      <w:r>
        <w:rPr>
          <w:lang w:val="en-GB"/>
        </w:rPr>
        <w:t xml:space="preserve"> connection</w:t>
      </w:r>
      <w:r w:rsidRPr="00553D55">
        <w:rPr>
          <w:lang w:val="en-GB"/>
        </w:rPr>
        <w:t xml:space="preserve"> we </w:t>
      </w:r>
      <w:r>
        <w:rPr>
          <w:lang w:val="en-GB"/>
        </w:rPr>
        <w:t>again refer to</w:t>
      </w:r>
      <w:r w:rsidRPr="00553D55">
        <w:rPr>
          <w:lang w:val="en-GB"/>
        </w:rPr>
        <w:t xml:space="preserve"> the judgment in </w:t>
      </w:r>
      <w:r w:rsidRPr="00553D55">
        <w:rPr>
          <w:i/>
          <w:lang w:val="en-GB"/>
        </w:rPr>
        <w:t>Christine Goodwin</w:t>
      </w:r>
      <w:r w:rsidRPr="00553D55">
        <w:rPr>
          <w:lang w:val="en-GB"/>
        </w:rPr>
        <w:t xml:space="preserve">, in which the Grand Chamber held that </w:t>
      </w:r>
      <w:r w:rsidRPr="00553D55">
        <w:rPr>
          <w:rStyle w:val="sb8d990e2"/>
          <w:szCs w:val="24"/>
          <w:lang w:val="en-GB"/>
        </w:rPr>
        <w:t>“[t]he stress and alienation arising from a discordance between the position in society assumed by a post-operative transsexual and the status imposed by law which refuses to recognise the change</w:t>
      </w:r>
      <w:r>
        <w:rPr>
          <w:rStyle w:val="sb8d990e2"/>
          <w:szCs w:val="24"/>
          <w:lang w:val="en-GB"/>
        </w:rPr>
        <w:t xml:space="preserve"> of gender cannot, in the Court</w:t>
      </w:r>
      <w:r w:rsidR="00C17A2C">
        <w:rPr>
          <w:rStyle w:val="sb8d990e2"/>
          <w:szCs w:val="24"/>
          <w:lang w:val="en-GB"/>
        </w:rPr>
        <w:t>’</w:t>
      </w:r>
      <w:r w:rsidRPr="00553D55">
        <w:rPr>
          <w:rStyle w:val="sb8d990e2"/>
          <w:szCs w:val="24"/>
          <w:lang w:val="en-GB"/>
        </w:rPr>
        <w:t>s view, be regarded as a minor inconvenience arising from a formality. A conflict between social reality and law arises which places the transsexual in an anomalous position, in which he or she may experience feelings of vulnerability, humiliation and anxiety” (</w:t>
      </w:r>
      <w:r>
        <w:rPr>
          <w:rStyle w:val="sb8d990e2"/>
          <w:szCs w:val="24"/>
          <w:lang w:val="en-GB"/>
        </w:rPr>
        <w:t xml:space="preserve">see </w:t>
      </w:r>
      <w:r w:rsidRPr="00553D55">
        <w:rPr>
          <w:rStyle w:val="sb8d990e2"/>
          <w:i/>
          <w:szCs w:val="24"/>
          <w:lang w:val="en-GB"/>
        </w:rPr>
        <w:t>Christine Goodwin</w:t>
      </w:r>
      <w:r w:rsidRPr="00553D55">
        <w:rPr>
          <w:rStyle w:val="sb8d990e2"/>
          <w:szCs w:val="24"/>
          <w:lang w:val="en-GB"/>
        </w:rPr>
        <w:t xml:space="preserve">, </w:t>
      </w:r>
      <w:r>
        <w:rPr>
          <w:rStyle w:val="sb8d990e2"/>
          <w:szCs w:val="24"/>
          <w:lang w:val="en-GB"/>
        </w:rPr>
        <w:t>cited above</w:t>
      </w:r>
      <w:r w:rsidRPr="00553D55">
        <w:rPr>
          <w:rStyle w:val="sb8d990e2"/>
          <w:szCs w:val="24"/>
          <w:lang w:val="en-GB"/>
        </w:rPr>
        <w:t xml:space="preserve">, § 77). </w:t>
      </w:r>
      <w:r w:rsidRPr="00553D55">
        <w:rPr>
          <w:lang w:val="en-GB"/>
        </w:rPr>
        <w:t>Second, the alternative offered to the applicant, namely the conversion of her marriage into a same-sex partnership, is – as mentioned above – not an option, because the couple, who ha</w:t>
      </w:r>
      <w:r>
        <w:rPr>
          <w:lang w:val="en-GB"/>
        </w:rPr>
        <w:t>ve</w:t>
      </w:r>
      <w:r w:rsidRPr="00553D55">
        <w:rPr>
          <w:lang w:val="en-GB"/>
        </w:rPr>
        <w:t xml:space="preserve"> been married since 1996, feels united by a religious conviction which does not allow the transformation of their relationship into a same-sex partnership. The couple</w:t>
      </w:r>
      <w:r w:rsidR="00C17A2C">
        <w:rPr>
          <w:lang w:val="en-GB"/>
        </w:rPr>
        <w:t>’</w:t>
      </w:r>
      <w:r w:rsidRPr="00553D55">
        <w:rPr>
          <w:lang w:val="en-GB"/>
        </w:rPr>
        <w:t xml:space="preserve">s history of </w:t>
      </w:r>
      <w:r>
        <w:rPr>
          <w:lang w:val="en-GB"/>
        </w:rPr>
        <w:t>seventeen</w:t>
      </w:r>
      <w:r w:rsidRPr="00553D55">
        <w:rPr>
          <w:lang w:val="en-GB"/>
        </w:rPr>
        <w:t xml:space="preserve"> years of marriage, in which the assistance and support provided by the applicant</w:t>
      </w:r>
      <w:r w:rsidR="00C17A2C">
        <w:rPr>
          <w:lang w:val="en-GB"/>
        </w:rPr>
        <w:t>’</w:t>
      </w:r>
      <w:r w:rsidRPr="00553D55">
        <w:rPr>
          <w:lang w:val="en-GB"/>
        </w:rPr>
        <w:t>s wife was a crucial element not only for their relationship but also for the applicant</w:t>
      </w:r>
      <w:r w:rsidR="00C17A2C">
        <w:rPr>
          <w:lang w:val="en-GB"/>
        </w:rPr>
        <w:t>’</w:t>
      </w:r>
      <w:r w:rsidRPr="00553D55">
        <w:rPr>
          <w:lang w:val="en-GB"/>
        </w:rPr>
        <w:t>s difficult process of transition from male to female, gives us no reason to doubt the deep commitment of the applicant and her heterosexual spouse to the marriage. As the present judgment shows, the applicant is forced to choose between the continuation of her marriage, which falls under “family life” for the purposes of Article 8, and the legal recognition of her acquired gender identity, which falls under “private life” for the purposes of Article 8 (</w:t>
      </w:r>
      <w:r>
        <w:rPr>
          <w:lang w:val="en-GB"/>
        </w:rPr>
        <w:t>see paragraphs</w:t>
      </w:r>
      <w:r w:rsidRPr="00553D55">
        <w:rPr>
          <w:lang w:val="en-GB"/>
        </w:rPr>
        <w:t xml:space="preserve"> </w:t>
      </w:r>
      <w:r>
        <w:rPr>
          <w:lang w:val="en-GB"/>
        </w:rPr>
        <w:t>57-</w:t>
      </w:r>
      <w:r w:rsidRPr="00553D55">
        <w:rPr>
          <w:lang w:val="en-GB"/>
        </w:rPr>
        <w:t>61 of the judgment). On this basis, we are unable to agree with the majority</w:t>
      </w:r>
      <w:r w:rsidR="00C17A2C">
        <w:rPr>
          <w:lang w:val="en-GB"/>
        </w:rPr>
        <w:t>’</w:t>
      </w:r>
      <w:r w:rsidRPr="00553D55">
        <w:rPr>
          <w:lang w:val="en-GB"/>
        </w:rPr>
        <w:t xml:space="preserve">s finding that the applicant </w:t>
      </w:r>
      <w:r>
        <w:rPr>
          <w:lang w:val="en-GB"/>
        </w:rPr>
        <w:t>has</w:t>
      </w:r>
      <w:r w:rsidRPr="00553D55">
        <w:rPr>
          <w:lang w:val="en-GB"/>
        </w:rPr>
        <w:t xml:space="preserve"> several acceptable options (</w:t>
      </w:r>
      <w:r>
        <w:rPr>
          <w:lang w:val="en-GB"/>
        </w:rPr>
        <w:t>see paragraphs</w:t>
      </w:r>
      <w:r w:rsidRPr="00553D55">
        <w:rPr>
          <w:lang w:val="en-GB"/>
        </w:rPr>
        <w:t xml:space="preserve"> </w:t>
      </w:r>
      <w:r>
        <w:rPr>
          <w:lang w:val="en-GB"/>
        </w:rPr>
        <w:t>76-</w:t>
      </w:r>
      <w:r w:rsidRPr="00553D55">
        <w:rPr>
          <w:lang w:val="en-GB"/>
        </w:rPr>
        <w:t xml:space="preserve">77 of the judgment), and must conclude that she will </w:t>
      </w:r>
      <w:r>
        <w:rPr>
          <w:lang w:val="en-GB"/>
        </w:rPr>
        <w:t>suffer</w:t>
      </w:r>
      <w:r w:rsidRPr="00553D55">
        <w:rPr>
          <w:lang w:val="en-GB"/>
        </w:rPr>
        <w:t xml:space="preserve"> an interference with her rights under Article 8 no matter which of these “options” she chooses.</w:t>
      </w:r>
    </w:p>
    <w:p w:rsidR="00704721" w:rsidRPr="00DA47EB" w:rsidRDefault="00704721" w:rsidP="00704721">
      <w:pPr>
        <w:pStyle w:val="OpiPara"/>
        <w:rPr>
          <w:i/>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9</w:t>
      </w:r>
      <w:r w:rsidRPr="00553D55">
        <w:rPr>
          <w:lang w:val="en-GB"/>
        </w:rPr>
        <w:fldChar w:fldCharType="end"/>
      </w:r>
      <w:r w:rsidRPr="00553D55">
        <w:rPr>
          <w:lang w:val="en-GB"/>
        </w:rPr>
        <w:t>.  A classic examination of the alleged interference with the applicant</w:t>
      </w:r>
      <w:r w:rsidR="00C17A2C">
        <w:rPr>
          <w:lang w:val="en-GB"/>
        </w:rPr>
        <w:t>’</w:t>
      </w:r>
      <w:r w:rsidRPr="00553D55">
        <w:rPr>
          <w:lang w:val="en-GB"/>
        </w:rPr>
        <w:t xml:space="preserve">s rights under Article 8 would </w:t>
      </w:r>
      <w:r>
        <w:rPr>
          <w:lang w:val="en-GB"/>
        </w:rPr>
        <w:t>assess</w:t>
      </w:r>
      <w:r w:rsidRPr="00553D55">
        <w:rPr>
          <w:lang w:val="en-GB"/>
        </w:rPr>
        <w:t xml:space="preserve"> whether the interference was in accordance with the law and was necessary in a democratic society for the protection of one or more of the legitimate aims listed in Article</w:t>
      </w:r>
      <w:r>
        <w:rPr>
          <w:lang w:val="en-GB"/>
        </w:rPr>
        <w:t> </w:t>
      </w:r>
      <w:r w:rsidRPr="00553D55">
        <w:rPr>
          <w:lang w:val="en-GB"/>
        </w:rPr>
        <w:t>8</w:t>
      </w:r>
      <w:r>
        <w:rPr>
          <w:lang w:val="en-GB"/>
        </w:rPr>
        <w:t> </w:t>
      </w:r>
      <w:r w:rsidRPr="00553D55">
        <w:rPr>
          <w:lang w:val="en-GB"/>
        </w:rPr>
        <w:t>§</w:t>
      </w:r>
      <w:r>
        <w:rPr>
          <w:lang w:val="en-GB"/>
        </w:rPr>
        <w:t> </w:t>
      </w:r>
      <w:r w:rsidRPr="00553D55">
        <w:rPr>
          <w:lang w:val="en-GB"/>
        </w:rPr>
        <w:t xml:space="preserve">2. The first of these two requirements is certainly fulfilled. Regarding the pursuit of a legitimate aim, in the context of its </w:t>
      </w:r>
      <w:r>
        <w:rPr>
          <w:lang w:val="en-GB"/>
        </w:rPr>
        <w:t>case-law</w:t>
      </w:r>
      <w:r w:rsidRPr="00553D55">
        <w:rPr>
          <w:lang w:val="en-GB"/>
        </w:rPr>
        <w:t xml:space="preserve"> under Article 14 in conjunction with Article 8 of the Convention, the Court has accepted that States have a legitimate interest in protecting marriage in the traditional sense by legally reserving marriage to heterosexual partners, and that this interest can justify a difference in treatment (</w:t>
      </w:r>
      <w:r>
        <w:rPr>
          <w:lang w:val="en-GB"/>
        </w:rPr>
        <w:t xml:space="preserve">see </w:t>
      </w:r>
      <w:r w:rsidRPr="00DA47EB">
        <w:rPr>
          <w:i/>
          <w:lang w:val="it-IT"/>
        </w:rPr>
        <w:t>Karner v. Austria</w:t>
      </w:r>
      <w:r w:rsidRPr="00DA47EB">
        <w:rPr>
          <w:lang w:val="it-IT"/>
        </w:rPr>
        <w:t>,</w:t>
      </w:r>
      <w:r w:rsidRPr="00DA47EB">
        <w:rPr>
          <w:i/>
          <w:lang w:val="it-IT"/>
        </w:rPr>
        <w:t xml:space="preserve"> </w:t>
      </w:r>
      <w:r w:rsidRPr="00DA47EB">
        <w:rPr>
          <w:lang w:val="it-IT"/>
        </w:rPr>
        <w:t xml:space="preserve">no. 40016/98, § </w:t>
      </w:r>
      <w:r>
        <w:rPr>
          <w:lang w:val="it-IT"/>
        </w:rPr>
        <w:t>40</w:t>
      </w:r>
      <w:r w:rsidRPr="00DA47EB">
        <w:rPr>
          <w:lang w:val="it-IT"/>
        </w:rPr>
        <w:t>, ECHR 2003</w:t>
      </w:r>
      <w:r w:rsidRPr="00DA47EB">
        <w:rPr>
          <w:lang w:val="it-IT"/>
        </w:rPr>
        <w:noBreakHyphen/>
        <w:t>IX</w:t>
      </w:r>
      <w:r w:rsidRPr="00553D55">
        <w:rPr>
          <w:lang w:val="en-GB"/>
        </w:rPr>
        <w:t xml:space="preserve">; </w:t>
      </w:r>
      <w:r w:rsidRPr="00DA47EB">
        <w:rPr>
          <w:i/>
          <w:lang w:val="en-GB"/>
        </w:rPr>
        <w:t>Parry v. the United Kingdom</w:t>
      </w:r>
      <w:r w:rsidRPr="00DA47EB">
        <w:rPr>
          <w:lang w:val="en-GB"/>
        </w:rPr>
        <w:t xml:space="preserve"> (dec.), no. 42971/05</w:t>
      </w:r>
      <w:r w:rsidRPr="00DA47EB">
        <w:rPr>
          <w:szCs w:val="24"/>
          <w:lang w:val="en-GB"/>
        </w:rPr>
        <w:t xml:space="preserve">, </w:t>
      </w:r>
      <w:r w:rsidRPr="00DA47EB">
        <w:rPr>
          <w:lang w:val="en-GB"/>
        </w:rPr>
        <w:t>ECHR 2006</w:t>
      </w:r>
      <w:r w:rsidRPr="00DA47EB">
        <w:rPr>
          <w:lang w:val="en-GB"/>
        </w:rPr>
        <w:noBreakHyphen/>
        <w:t>XV</w:t>
      </w:r>
      <w:r w:rsidRPr="00553D55">
        <w:rPr>
          <w:lang w:val="en-GB"/>
        </w:rPr>
        <w:t xml:space="preserve">; </w:t>
      </w:r>
      <w:r w:rsidRPr="00DA47EB">
        <w:rPr>
          <w:i/>
          <w:lang w:val="en-GB"/>
        </w:rPr>
        <w:t>Schalk and Kopf v. Austria</w:t>
      </w:r>
      <w:r w:rsidRPr="00DA47EB">
        <w:rPr>
          <w:lang w:val="en-GB"/>
        </w:rPr>
        <w:t xml:space="preserve">, no. 30141/04, </w:t>
      </w:r>
      <w:r>
        <w:rPr>
          <w:lang w:val="en-GB"/>
        </w:rPr>
        <w:t>§</w:t>
      </w:r>
      <w:r w:rsidRPr="00DA47EB">
        <w:rPr>
          <w:lang w:val="en-GB"/>
        </w:rPr>
        <w:t>§</w:t>
      </w:r>
      <w:r w:rsidR="00CA1D8E">
        <w:rPr>
          <w:lang w:val="en-GB"/>
        </w:rPr>
        <w:t> </w:t>
      </w:r>
      <w:r w:rsidRPr="00553D55">
        <w:rPr>
          <w:lang w:val="en-GB"/>
        </w:rPr>
        <w:t>61</w:t>
      </w:r>
      <w:r>
        <w:rPr>
          <w:lang w:val="en-GB"/>
        </w:rPr>
        <w:t>-</w:t>
      </w:r>
      <w:r w:rsidRPr="00553D55">
        <w:rPr>
          <w:lang w:val="en-GB"/>
        </w:rPr>
        <w:t>62</w:t>
      </w:r>
      <w:r w:rsidRPr="00DA47EB">
        <w:rPr>
          <w:lang w:val="en-GB"/>
        </w:rPr>
        <w:t>, ECHR 2010</w:t>
      </w:r>
      <w:r w:rsidRPr="00553D55">
        <w:rPr>
          <w:lang w:val="en-GB"/>
        </w:rPr>
        <w:t xml:space="preserve">; </w:t>
      </w:r>
      <w:r>
        <w:rPr>
          <w:lang w:val="en-GB"/>
        </w:rPr>
        <w:t xml:space="preserve">and </w:t>
      </w:r>
      <w:r w:rsidRPr="00242D29">
        <w:rPr>
          <w:bCs/>
          <w:i/>
          <w:color w:val="000000"/>
          <w:lang w:val="en-US"/>
        </w:rPr>
        <w:t>Vallianatos</w:t>
      </w:r>
      <w:r w:rsidRPr="00242D29">
        <w:rPr>
          <w:b/>
          <w:bCs/>
          <w:i/>
          <w:color w:val="000000"/>
          <w:lang w:val="en-US"/>
        </w:rPr>
        <w:t xml:space="preserve"> </w:t>
      </w:r>
      <w:r w:rsidRPr="00242D29">
        <w:rPr>
          <w:i/>
          <w:lang w:val="en-US"/>
        </w:rPr>
        <w:t>and Others</w:t>
      </w:r>
      <w:r w:rsidRPr="00242D29">
        <w:rPr>
          <w:lang w:val="en-US"/>
        </w:rPr>
        <w:t>, cited above</w:t>
      </w:r>
      <w:r w:rsidRPr="00242D29">
        <w:rPr>
          <w:snapToGrid w:val="0"/>
          <w:lang w:val="en-US"/>
        </w:rPr>
        <w:t>, §§ 83-85</w:t>
      </w:r>
      <w:r w:rsidRPr="00553D55">
        <w:rPr>
          <w:lang w:val="en-GB"/>
        </w:rPr>
        <w:t xml:space="preserve">). </w:t>
      </w:r>
      <w:r w:rsidRPr="00553D55">
        <w:rPr>
          <w:lang w:val="en-GB"/>
        </w:rPr>
        <w:lastRenderedPageBreak/>
        <w:t xml:space="preserve">When examining Article 8 separately, however, the Court must examine not whether a justification for a difference in treatment exists, but whether a restriction of rights is permissible in pursuit of one of the aims listed in Article 8 § 2. As the restriction in question is clearly not necessary in order to protect Finnish national security, public safety, or economic well-being, to prevent disorder or crime, or to protect health, the only two possible grounds for restriction are the protection of the rights and freedoms of others or </w:t>
      </w:r>
      <w:r>
        <w:rPr>
          <w:lang w:val="en-GB"/>
        </w:rPr>
        <w:t>of morals.</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10</w:t>
      </w:r>
      <w:r w:rsidRPr="00553D55">
        <w:rPr>
          <w:lang w:val="en-GB"/>
        </w:rPr>
        <w:fldChar w:fldCharType="end"/>
      </w:r>
      <w:r w:rsidRPr="00553D55">
        <w:rPr>
          <w:lang w:val="en-GB"/>
        </w:rPr>
        <w:t>.  We submit that the rights and freedoms of others would in no way be affected if the applicant and her wife were permitted to remain married despite the applicant</w:t>
      </w:r>
      <w:r w:rsidR="00C17A2C">
        <w:rPr>
          <w:lang w:val="en-GB"/>
        </w:rPr>
        <w:t>’</w:t>
      </w:r>
      <w:r w:rsidRPr="00553D55">
        <w:rPr>
          <w:lang w:val="en-GB"/>
        </w:rPr>
        <w:t>s legal change of gender. Their continued marital relationship would not have detrimental effects for the right of others to marry, or for existing marriages.</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11</w:t>
      </w:r>
      <w:r w:rsidRPr="00553D55">
        <w:rPr>
          <w:lang w:val="en-GB"/>
        </w:rPr>
        <w:fldChar w:fldCharType="end"/>
      </w:r>
      <w:r w:rsidRPr="00553D55">
        <w:rPr>
          <w:lang w:val="en-GB"/>
        </w:rPr>
        <w:t>.  Secondly, while we acknowledge that the protection of the traditional family may be justified by certain moral concerns, we consider that the protection of morals does not provide sufficient justification for the restriction of the applicant</w:t>
      </w:r>
      <w:r w:rsidR="00C17A2C">
        <w:rPr>
          <w:lang w:val="en-GB"/>
        </w:rPr>
        <w:t>’</w:t>
      </w:r>
      <w:r w:rsidRPr="00553D55">
        <w:rPr>
          <w:lang w:val="en-GB"/>
        </w:rPr>
        <w:t>s rights in this case. In order for this aim to justify the present interference with Article 8 in terms of its second paragraph, the interference must be necessary in a democratic society. The Court must accordingly determine whether the interference was justified by the existence of a pressing social need and was proportionate to the legitimate aim pursued. It must thereby determine whether a fair balance was struck between the competing interests</w:t>
      </w:r>
      <w:r>
        <w:rPr>
          <w:lang w:val="en-GB"/>
        </w:rPr>
        <w:t xml:space="preserve"> in question</w:t>
      </w:r>
      <w:r w:rsidRPr="00553D55">
        <w:rPr>
          <w:lang w:val="en-GB"/>
        </w:rPr>
        <w:t>, an issue which entails a certain margin of appreciation on the part of the State (</w:t>
      </w:r>
      <w:r>
        <w:rPr>
          <w:lang w:val="en-GB"/>
        </w:rPr>
        <w:t xml:space="preserve">see </w:t>
      </w:r>
      <w:r w:rsidRPr="00112C80">
        <w:rPr>
          <w:i/>
          <w:lang w:val="en-GB"/>
        </w:rPr>
        <w:t>A, B and C v. Ireland</w:t>
      </w:r>
      <w:r w:rsidRPr="00553D55">
        <w:rPr>
          <w:lang w:val="en-GB"/>
        </w:rPr>
        <w:t xml:space="preserve">, </w:t>
      </w:r>
      <w:r>
        <w:rPr>
          <w:lang w:val="en-GB"/>
        </w:rPr>
        <w:t xml:space="preserve">cited above, </w:t>
      </w:r>
      <w:r w:rsidRPr="00553D55">
        <w:rPr>
          <w:lang w:val="en-GB"/>
        </w:rPr>
        <w:t>§ 229).</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12</w:t>
      </w:r>
      <w:r w:rsidRPr="00553D55">
        <w:rPr>
          <w:lang w:val="en-GB"/>
        </w:rPr>
        <w:fldChar w:fldCharType="end"/>
      </w:r>
      <w:r w:rsidRPr="00553D55">
        <w:rPr>
          <w:lang w:val="en-GB"/>
        </w:rPr>
        <w:t>.  The Government ha</w:t>
      </w:r>
      <w:r>
        <w:rPr>
          <w:lang w:val="en-GB"/>
        </w:rPr>
        <w:t>ve</w:t>
      </w:r>
      <w:r w:rsidRPr="00553D55">
        <w:rPr>
          <w:lang w:val="en-GB"/>
        </w:rPr>
        <w:t xml:space="preserve"> not argued that there would be significant practical difficulties if married</w:t>
      </w:r>
      <w:r w:rsidRPr="00553D55">
        <w:rPr>
          <w:szCs w:val="24"/>
          <w:lang w:val="en-GB"/>
        </w:rPr>
        <w:t xml:space="preserve"> transgender individuals were allowed to obtain legal recognition of their post-transition gender. The only interest </w:t>
      </w:r>
      <w:r>
        <w:rPr>
          <w:szCs w:val="24"/>
          <w:lang w:val="en-GB"/>
        </w:rPr>
        <w:t>in</w:t>
      </w:r>
      <w:r w:rsidRPr="00553D55">
        <w:rPr>
          <w:szCs w:val="24"/>
          <w:lang w:val="en-GB"/>
        </w:rPr>
        <w:t xml:space="preserve"> issue is, in plain terms, the public interest in keeping the institution of marriage free of same-sex couples. While we do not purport to deny the legitimacy of the State</w:t>
      </w:r>
      <w:r w:rsidR="00C17A2C">
        <w:rPr>
          <w:szCs w:val="24"/>
          <w:lang w:val="en-GB"/>
        </w:rPr>
        <w:t>’</w:t>
      </w:r>
      <w:r w:rsidRPr="00553D55">
        <w:rPr>
          <w:szCs w:val="24"/>
          <w:lang w:val="en-GB"/>
        </w:rPr>
        <w:t xml:space="preserve">s interest in protecting the institution of marriage, we do consider that the weight to be afforded to this argument is a different question and one that must be considered separately. In our view, the institution of marriage would not be endangered by a small number of couples who may wish to remain married in a situation such as that of the applicant. </w:t>
      </w:r>
      <w:r w:rsidRPr="00553D55">
        <w:rPr>
          <w:lang w:val="en-GB"/>
        </w:rPr>
        <w:t xml:space="preserve">In </w:t>
      </w:r>
      <w:r>
        <w:rPr>
          <w:lang w:val="en-GB"/>
        </w:rPr>
        <w:t xml:space="preserve">the </w:t>
      </w:r>
      <w:r w:rsidRPr="00553D55">
        <w:rPr>
          <w:lang w:val="en-GB"/>
        </w:rPr>
        <w:t>light of the above, we are not able to conclude that the respondent State can invoke a pressing social need to refuse the applicant the right to remain married after the legal recognition of her acquired gender.</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13</w:t>
      </w:r>
      <w:r w:rsidRPr="00553D55">
        <w:rPr>
          <w:lang w:val="en-GB"/>
        </w:rPr>
        <w:fldChar w:fldCharType="end"/>
      </w:r>
      <w:r w:rsidRPr="00553D55">
        <w:rPr>
          <w:lang w:val="en-GB"/>
        </w:rPr>
        <w:t>.  </w:t>
      </w:r>
      <w:r>
        <w:rPr>
          <w:lang w:val="en-GB"/>
        </w:rPr>
        <w:t>With respect, more specifically,</w:t>
      </w:r>
      <w:r w:rsidRPr="00C56341">
        <w:rPr>
          <w:lang w:val="en-GB"/>
        </w:rPr>
        <w:t xml:space="preserve"> </w:t>
      </w:r>
      <w:r>
        <w:rPr>
          <w:lang w:val="en-GB"/>
        </w:rPr>
        <w:t>to</w:t>
      </w:r>
      <w:r w:rsidRPr="00553D55">
        <w:rPr>
          <w:lang w:val="en-GB"/>
        </w:rPr>
        <w:t xml:space="preserve"> the proportionality of the interference, we note that the State has a certain margin of appreciation regarding whether a fair balance was struck between the competing interests</w:t>
      </w:r>
      <w:r>
        <w:rPr>
          <w:lang w:val="en-GB"/>
        </w:rPr>
        <w:t xml:space="preserve"> in question</w:t>
      </w:r>
      <w:r w:rsidRPr="00553D55">
        <w:rPr>
          <w:lang w:val="en-GB"/>
        </w:rPr>
        <w:t>. Taking this into consideration, we nevertheless find that the Government ha</w:t>
      </w:r>
      <w:r>
        <w:rPr>
          <w:lang w:val="en-GB"/>
        </w:rPr>
        <w:t>ve</w:t>
      </w:r>
      <w:r w:rsidRPr="00553D55">
        <w:rPr>
          <w:lang w:val="en-GB"/>
        </w:rPr>
        <w:t xml:space="preserve"> not shown that the danger to morals is substantial enough </w:t>
      </w:r>
      <w:r w:rsidRPr="00553D55">
        <w:rPr>
          <w:lang w:val="en-GB"/>
        </w:rPr>
        <w:lastRenderedPageBreak/>
        <w:t xml:space="preserve">to warrant the interference </w:t>
      </w:r>
      <w:r>
        <w:rPr>
          <w:lang w:val="en-GB"/>
        </w:rPr>
        <w:t>in</w:t>
      </w:r>
      <w:r w:rsidRPr="00553D55">
        <w:rPr>
          <w:lang w:val="en-GB"/>
        </w:rPr>
        <w:t xml:space="preserve"> issue. In this vein, we note that, since the applicant and her wife continue to be married at the time of this judgment, they currently present themselves to the outside world as two individuals with female gender expression who are united in a legally valid marriage. In other words, they continue to live together as a married couple, </w:t>
      </w:r>
      <w:r>
        <w:rPr>
          <w:lang w:val="en-GB"/>
        </w:rPr>
        <w:t xml:space="preserve">perfectly in accordance with Finnish law, </w:t>
      </w:r>
      <w:r w:rsidRPr="00553D55">
        <w:rPr>
          <w:lang w:val="en-GB"/>
        </w:rPr>
        <w:t>notwithstanding the fact that in the eyes of many people they are a same-sex couple. The applicant</w:t>
      </w:r>
      <w:r w:rsidR="00C17A2C">
        <w:rPr>
          <w:lang w:val="en-GB"/>
        </w:rPr>
        <w:t>’</w:t>
      </w:r>
      <w:r w:rsidRPr="00553D55">
        <w:rPr>
          <w:lang w:val="en-GB"/>
        </w:rPr>
        <w:t xml:space="preserve">s change in gender identity being a </w:t>
      </w:r>
      <w:r w:rsidRPr="002F7C9F">
        <w:rPr>
          <w:i/>
          <w:lang w:val="en-GB"/>
        </w:rPr>
        <w:t>fait accompli</w:t>
      </w:r>
      <w:r w:rsidRPr="00553D55">
        <w:rPr>
          <w:lang w:val="en-GB"/>
        </w:rPr>
        <w:t>, it is difficult to comprehend why the legal recognition of her acquired gender will have any significant (additional) impact on public morals. Furthermore, we refer to the recent judgment of the Indian Supreme Court, which noted that society ill-treats transgender individuals while “forgetting the fact that the moral failure lies in the society</w:t>
      </w:r>
      <w:r w:rsidR="00C17A2C">
        <w:rPr>
          <w:lang w:val="en-GB"/>
        </w:rPr>
        <w:t>’</w:t>
      </w:r>
      <w:r w:rsidRPr="00553D55">
        <w:rPr>
          <w:lang w:val="en-GB"/>
        </w:rPr>
        <w:t>s unwillingness to contain or embrace different gender identities and expressions, a mind-set which we have to change”</w:t>
      </w:r>
      <w:r>
        <w:rPr>
          <w:lang w:val="en-GB"/>
        </w:rPr>
        <w:t>.</w:t>
      </w:r>
      <w:r>
        <w:rPr>
          <w:rStyle w:val="Odwoanieprzypisudolnego"/>
          <w:lang w:val="en-GB"/>
        </w:rPr>
        <w:footnoteReference w:customMarkFollows="1" w:id="5"/>
        <w:t>5</w:t>
      </w:r>
      <w:r w:rsidRPr="00553D55">
        <w:rPr>
          <w:lang w:val="en-GB"/>
        </w:rPr>
        <w:t xml:space="preserve"> As one author has put it, society</w:t>
      </w:r>
      <w:r w:rsidR="00C17A2C">
        <w:rPr>
          <w:lang w:val="en-GB"/>
        </w:rPr>
        <w:t>’</w:t>
      </w:r>
      <w:r w:rsidRPr="00553D55">
        <w:rPr>
          <w:lang w:val="en-GB"/>
        </w:rPr>
        <w:t>s problematic “yuk factor” concerning transgender individuals is not a normative idea that should be supported by the law.</w:t>
      </w:r>
      <w:r>
        <w:rPr>
          <w:rStyle w:val="Odwoanieprzypisudolnego"/>
          <w:lang w:val="en-GB"/>
        </w:rPr>
        <w:footnoteReference w:customMarkFollows="1" w:id="6"/>
        <w:t>6</w:t>
      </w:r>
    </w:p>
    <w:p w:rsidR="00704721" w:rsidRPr="00242D29" w:rsidRDefault="00704721" w:rsidP="00704721">
      <w:pPr>
        <w:pStyle w:val="OpiPara"/>
        <w:rPr>
          <w:lang w:val="en-US"/>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14</w:t>
      </w:r>
      <w:r w:rsidRPr="00553D55">
        <w:rPr>
          <w:lang w:val="en-GB"/>
        </w:rPr>
        <w:fldChar w:fldCharType="end"/>
      </w:r>
      <w:r w:rsidRPr="00553D55">
        <w:rPr>
          <w:lang w:val="en-GB"/>
        </w:rPr>
        <w:t>.  In</w:t>
      </w:r>
      <w:r>
        <w:rPr>
          <w:lang w:val="en-GB"/>
        </w:rPr>
        <w:t xml:space="preserve"> the</w:t>
      </w:r>
      <w:r w:rsidRPr="00553D55">
        <w:rPr>
          <w:lang w:val="en-GB"/>
        </w:rPr>
        <w:t xml:space="preserve"> light of the above considerations, in examining whether the restriction of the applicant</w:t>
      </w:r>
      <w:r w:rsidR="00C17A2C">
        <w:rPr>
          <w:lang w:val="en-GB"/>
        </w:rPr>
        <w:t>’</w:t>
      </w:r>
      <w:r w:rsidRPr="00553D55">
        <w:rPr>
          <w:lang w:val="en-GB"/>
        </w:rPr>
        <w:t xml:space="preserve">s rights under Article 8 is justified </w:t>
      </w:r>
      <w:r>
        <w:rPr>
          <w:lang w:val="en-GB"/>
        </w:rPr>
        <w:t>in accordance with</w:t>
      </w:r>
      <w:r w:rsidRPr="00553D55">
        <w:rPr>
          <w:lang w:val="en-GB"/>
        </w:rPr>
        <w:t xml:space="preserve"> paragraph 2 of that provision, we cannot but conclude that the interference with the</w:t>
      </w:r>
      <w:r>
        <w:rPr>
          <w:lang w:val="en-GB"/>
        </w:rPr>
        <w:t>se</w:t>
      </w:r>
      <w:r w:rsidRPr="00553D55">
        <w:rPr>
          <w:szCs w:val="24"/>
          <w:lang w:val="en-GB"/>
        </w:rPr>
        <w:t xml:space="preserve"> rights is not necessary in a democratic society. We therefore consider that </w:t>
      </w:r>
      <w:r>
        <w:rPr>
          <w:szCs w:val="24"/>
          <w:lang w:val="en-GB"/>
        </w:rPr>
        <w:t xml:space="preserve">there has been a violation of </w:t>
      </w:r>
      <w:r w:rsidRPr="00553D55">
        <w:rPr>
          <w:szCs w:val="24"/>
          <w:lang w:val="en-GB"/>
        </w:rPr>
        <w:t>Article 8.</w:t>
      </w:r>
    </w:p>
    <w:p w:rsidR="00704721" w:rsidRPr="00242D29" w:rsidRDefault="00704721" w:rsidP="00704721">
      <w:pPr>
        <w:pStyle w:val="ECHRHeading2"/>
        <w:rPr>
          <w:lang w:val="en-US"/>
        </w:rPr>
      </w:pPr>
      <w:r w:rsidRPr="00242D29">
        <w:rPr>
          <w:lang w:val="en-US"/>
        </w:rPr>
        <w:t>III.  Article 12 of the Convention</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15</w:t>
      </w:r>
      <w:r w:rsidRPr="00553D55">
        <w:rPr>
          <w:lang w:val="en-GB"/>
        </w:rPr>
        <w:fldChar w:fldCharType="end"/>
      </w:r>
      <w:r w:rsidRPr="00553D55">
        <w:rPr>
          <w:lang w:val="en-GB"/>
        </w:rPr>
        <w:t>.  </w:t>
      </w:r>
      <w:r>
        <w:rPr>
          <w:lang w:val="en-GB"/>
        </w:rPr>
        <w:t>Since we</w:t>
      </w:r>
      <w:r w:rsidRPr="00553D55">
        <w:rPr>
          <w:lang w:val="en-GB"/>
        </w:rPr>
        <w:t xml:space="preserve"> conclude that </w:t>
      </w:r>
      <w:r>
        <w:rPr>
          <w:lang w:val="en-GB"/>
        </w:rPr>
        <w:t xml:space="preserve">there has been a violation of </w:t>
      </w:r>
      <w:r w:rsidRPr="00553D55">
        <w:rPr>
          <w:lang w:val="en-GB"/>
        </w:rPr>
        <w:t>Article 8, we consider that there is no separate issue unde</w:t>
      </w:r>
      <w:r>
        <w:rPr>
          <w:lang w:val="en-GB"/>
        </w:rPr>
        <w:t>r Article 12.</w:t>
      </w:r>
    </w:p>
    <w:p w:rsidR="00704721" w:rsidRPr="00242D29" w:rsidRDefault="00704721" w:rsidP="00704721">
      <w:pPr>
        <w:pStyle w:val="OpiPara"/>
        <w:rPr>
          <w:lang w:val="en-US"/>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16</w:t>
      </w:r>
      <w:r w:rsidRPr="00553D55">
        <w:rPr>
          <w:lang w:val="en-GB"/>
        </w:rPr>
        <w:fldChar w:fldCharType="end"/>
      </w:r>
      <w:r w:rsidRPr="00553D55">
        <w:rPr>
          <w:lang w:val="en-GB"/>
        </w:rPr>
        <w:t>.  </w:t>
      </w:r>
      <w:r>
        <w:rPr>
          <w:lang w:val="en-GB"/>
        </w:rPr>
        <w:t>We would like to note, however, that t</w:t>
      </w:r>
      <w:r w:rsidRPr="00553D55">
        <w:rPr>
          <w:lang w:val="en-GB"/>
        </w:rPr>
        <w:t xml:space="preserve">he question of whether an issue arises under Article 12 becomes more difficult after a </w:t>
      </w:r>
      <w:r>
        <w:rPr>
          <w:lang w:val="en-GB"/>
        </w:rPr>
        <w:t>finding</w:t>
      </w:r>
      <w:r w:rsidRPr="00553D55">
        <w:rPr>
          <w:lang w:val="en-GB"/>
        </w:rPr>
        <w:t xml:space="preserve">, such as that of the majority, that </w:t>
      </w:r>
      <w:r>
        <w:rPr>
          <w:lang w:val="en-GB"/>
        </w:rPr>
        <w:t xml:space="preserve">there has not been a violation of </w:t>
      </w:r>
      <w:r w:rsidRPr="00553D55">
        <w:rPr>
          <w:lang w:val="en-GB"/>
        </w:rPr>
        <w:t xml:space="preserve">Article 8. We believe that the majority should have examined the issue of whether Article 12 guarantees not only a right to marry, but also a right to remain married unless compelling reasons justify an interference with the civil status of the spouses. We do not consider the gender reassignment undergone by one spouse to be a compelling reason justifying the dissolution of a marriage where both spouses expressly wish to continue in their pre-existing </w:t>
      </w:r>
      <w:r>
        <w:rPr>
          <w:lang w:val="en-GB"/>
        </w:rPr>
        <w:t>marital</w:t>
      </w:r>
      <w:r w:rsidRPr="00553D55">
        <w:rPr>
          <w:lang w:val="en-GB"/>
        </w:rPr>
        <w:t xml:space="preserve"> relationship. This argument is supported by Principle 3 of the Yogyakarta </w:t>
      </w:r>
      <w:r w:rsidRPr="00553D55">
        <w:rPr>
          <w:lang w:val="en-GB"/>
        </w:rPr>
        <w:lastRenderedPageBreak/>
        <w:t>Principles</w:t>
      </w:r>
      <w:r>
        <w:rPr>
          <w:rStyle w:val="Odwoanieprzypisudolnego"/>
          <w:lang w:val="en-GB"/>
        </w:rPr>
        <w:footnoteReference w:customMarkFollows="1" w:id="7"/>
        <w:t>7</w:t>
      </w:r>
      <w:r w:rsidRPr="00553D55">
        <w:rPr>
          <w:lang w:val="en-GB"/>
        </w:rPr>
        <w:t xml:space="preserve"> and recent judgments of the Constitutional Courts of Austria</w:t>
      </w:r>
      <w:r>
        <w:rPr>
          <w:lang w:val="en-GB"/>
        </w:rPr>
        <w:t xml:space="preserve">, </w:t>
      </w:r>
      <w:r w:rsidRPr="00553D55">
        <w:rPr>
          <w:lang w:val="en-GB"/>
        </w:rPr>
        <w:t>Germany</w:t>
      </w:r>
      <w:r>
        <w:rPr>
          <w:lang w:val="en-GB"/>
        </w:rPr>
        <w:t xml:space="preserve"> and Italy</w:t>
      </w:r>
      <w:r w:rsidRPr="00553D55">
        <w:rPr>
          <w:lang w:val="en-GB"/>
        </w:rPr>
        <w:t xml:space="preserve">, which have </w:t>
      </w:r>
      <w:r>
        <w:rPr>
          <w:lang w:val="en-GB"/>
        </w:rPr>
        <w:t>all three</w:t>
      </w:r>
      <w:r w:rsidRPr="00553D55">
        <w:rPr>
          <w:lang w:val="en-GB"/>
        </w:rPr>
        <w:t xml:space="preserve"> overturned decisions requiring the dissolution of pre-existing marriages as a precondition for the legal acknowledgment of acquired gender.</w:t>
      </w:r>
      <w:r w:rsidRPr="00242D29">
        <w:rPr>
          <w:rStyle w:val="Odwoanieprzypisudolnego"/>
          <w:lang w:val="en-US"/>
        </w:rPr>
        <w:footnoteReference w:customMarkFollows="1" w:id="8"/>
        <w:t>8</w:t>
      </w:r>
    </w:p>
    <w:p w:rsidR="00704721" w:rsidRPr="00242D29" w:rsidRDefault="00704721" w:rsidP="00704721">
      <w:pPr>
        <w:pStyle w:val="ECHRHeading2"/>
        <w:rPr>
          <w:lang w:val="en-US"/>
        </w:rPr>
      </w:pPr>
      <w:r w:rsidRPr="00242D29">
        <w:rPr>
          <w:lang w:val="en-US"/>
        </w:rPr>
        <w:t>IV.  Article 14 in conjunction with Article 8 of the Convention</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17</w:t>
      </w:r>
      <w:r w:rsidRPr="00553D55">
        <w:rPr>
          <w:lang w:val="en-GB"/>
        </w:rPr>
        <w:fldChar w:fldCharType="end"/>
      </w:r>
      <w:r w:rsidRPr="00553D55">
        <w:rPr>
          <w:lang w:val="en-GB"/>
        </w:rPr>
        <w:t>.  Undoubtedly, the issues raised by the present case fall under the notions of</w:t>
      </w:r>
      <w:r w:rsidRPr="00C56341">
        <w:rPr>
          <w:lang w:val="en-GB"/>
        </w:rPr>
        <w:t xml:space="preserve"> </w:t>
      </w:r>
      <w:r w:rsidRPr="00553D55">
        <w:rPr>
          <w:lang w:val="en-GB"/>
        </w:rPr>
        <w:t xml:space="preserve">both private life and family life </w:t>
      </w:r>
      <w:r>
        <w:rPr>
          <w:lang w:val="en-GB"/>
        </w:rPr>
        <w:t>within</w:t>
      </w:r>
      <w:r w:rsidRPr="00553D55">
        <w:rPr>
          <w:lang w:val="en-GB"/>
        </w:rPr>
        <w:t xml:space="preserve"> the </w:t>
      </w:r>
      <w:r>
        <w:rPr>
          <w:lang w:val="en-GB"/>
        </w:rPr>
        <w:t>meaning</w:t>
      </w:r>
      <w:r w:rsidRPr="00553D55">
        <w:rPr>
          <w:lang w:val="en-GB"/>
        </w:rPr>
        <w:t xml:space="preserve"> of Article 8 (</w:t>
      </w:r>
      <w:r>
        <w:rPr>
          <w:lang w:val="en-GB"/>
        </w:rPr>
        <w:t>see paragraphs</w:t>
      </w:r>
      <w:r w:rsidRPr="00553D55">
        <w:rPr>
          <w:lang w:val="en-GB"/>
        </w:rPr>
        <w:t xml:space="preserve"> 59 and 60 of the judgment and </w:t>
      </w:r>
      <w:r>
        <w:rPr>
          <w:lang w:val="en-GB"/>
        </w:rPr>
        <w:t>point 8 above</w:t>
      </w:r>
      <w:r w:rsidRPr="00553D55">
        <w:rPr>
          <w:lang w:val="en-GB"/>
        </w:rPr>
        <w:t>). Furthermore, the applicant has been subjected to a difference in treatment on the basis of her gender (and not on the basis of her sexual orientation, which is a distinct and separate matter). The majority rightly points out that it is the Court</w:t>
      </w:r>
      <w:r w:rsidR="00C17A2C">
        <w:rPr>
          <w:lang w:val="en-GB"/>
        </w:rPr>
        <w:t>’</w:t>
      </w:r>
      <w:r w:rsidRPr="00553D55">
        <w:rPr>
          <w:lang w:val="en-GB"/>
        </w:rPr>
        <w:t>s well-established case</w:t>
      </w:r>
      <w:r>
        <w:rPr>
          <w:lang w:val="en-GB"/>
        </w:rPr>
        <w:t>-</w:t>
      </w:r>
      <w:r w:rsidRPr="00553D55">
        <w:rPr>
          <w:lang w:val="en-GB"/>
        </w:rPr>
        <w:t>law that differences based on gender require particularly serious reasons by way of justification (</w:t>
      </w:r>
      <w:r>
        <w:rPr>
          <w:lang w:val="en-GB"/>
        </w:rPr>
        <w:t>see paragraph</w:t>
      </w:r>
      <w:r w:rsidRPr="00553D55">
        <w:rPr>
          <w:lang w:val="en-GB"/>
        </w:rPr>
        <w:t xml:space="preserve"> 109 of the judgment</w:t>
      </w:r>
      <w:r>
        <w:rPr>
          <w:lang w:val="en-GB"/>
        </w:rPr>
        <w:t>). In our opinion there is no need to refer also to the Court</w:t>
      </w:r>
      <w:r w:rsidR="00C17A2C">
        <w:rPr>
          <w:lang w:val="en-GB"/>
        </w:rPr>
        <w:t>’</w:t>
      </w:r>
      <w:r>
        <w:rPr>
          <w:lang w:val="en-GB"/>
        </w:rPr>
        <w:t>s case-law on sexual orientation</w:t>
      </w:r>
      <w:r w:rsidRPr="00553D55">
        <w:rPr>
          <w:lang w:val="en-GB"/>
        </w:rPr>
        <w:t>.</w:t>
      </w:r>
    </w:p>
    <w:p w:rsidR="00704721" w:rsidRPr="00553D55" w:rsidRDefault="00704721" w:rsidP="00704721">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18</w:t>
      </w:r>
      <w:r w:rsidRPr="00553D55">
        <w:rPr>
          <w:lang w:val="en-GB"/>
        </w:rPr>
        <w:fldChar w:fldCharType="end"/>
      </w:r>
      <w:r w:rsidRPr="00553D55">
        <w:rPr>
          <w:lang w:val="en-GB"/>
        </w:rPr>
        <w:t xml:space="preserve">.  The difficult question in this case concerns the identification of the group to which the applicant and her spouse can be compared. The applicant argues that she has been treated differently </w:t>
      </w:r>
      <w:r w:rsidRPr="002F7C9F">
        <w:rPr>
          <w:i/>
          <w:lang w:val="en-GB"/>
        </w:rPr>
        <w:t>vis-à-vis</w:t>
      </w:r>
      <w:r w:rsidRPr="00553D55">
        <w:rPr>
          <w:lang w:val="en-GB"/>
        </w:rPr>
        <w:t xml:space="preserve"> cissexuals</w:t>
      </w:r>
      <w:r>
        <w:rPr>
          <w:lang w:val="en-GB"/>
        </w:rPr>
        <w:t>,</w:t>
      </w:r>
      <w:r w:rsidRPr="00553D55">
        <w:rPr>
          <w:lang w:val="en-GB"/>
        </w:rPr>
        <w:t xml:space="preserve"> with regard to the refusal</w:t>
      </w:r>
      <w:r>
        <w:rPr>
          <w:lang w:val="en-GB"/>
        </w:rPr>
        <w:t xml:space="preserve"> to issue her with</w:t>
      </w:r>
      <w:r w:rsidRPr="00553D55">
        <w:rPr>
          <w:lang w:val="en-GB"/>
        </w:rPr>
        <w:t xml:space="preserve"> a new identity card</w:t>
      </w:r>
      <w:r>
        <w:rPr>
          <w:lang w:val="en-GB"/>
        </w:rPr>
        <w:t>,</w:t>
      </w:r>
      <w:r w:rsidRPr="00553D55">
        <w:rPr>
          <w:lang w:val="en-GB"/>
        </w:rPr>
        <w:t xml:space="preserve"> and</w:t>
      </w:r>
      <w:r>
        <w:rPr>
          <w:lang w:val="en-GB"/>
        </w:rPr>
        <w:t xml:space="preserve"> also</w:t>
      </w:r>
      <w:r w:rsidRPr="00553D55">
        <w:rPr>
          <w:lang w:val="en-GB"/>
        </w:rPr>
        <w:t xml:space="preserve"> </w:t>
      </w:r>
      <w:r w:rsidRPr="002F7C9F">
        <w:rPr>
          <w:i/>
          <w:lang w:val="en-GB"/>
        </w:rPr>
        <w:t>vis-à-vis</w:t>
      </w:r>
      <w:r w:rsidRPr="00553D55">
        <w:rPr>
          <w:lang w:val="en-GB"/>
        </w:rPr>
        <w:t xml:space="preserve"> heterosexuals</w:t>
      </w:r>
      <w:r>
        <w:rPr>
          <w:lang w:val="en-GB"/>
        </w:rPr>
        <w:t>,</w:t>
      </w:r>
      <w:r w:rsidRPr="00553D55">
        <w:rPr>
          <w:lang w:val="en-GB"/>
        </w:rPr>
        <w:t xml:space="preserve"> with regard to the protection of her marriage </w:t>
      </w:r>
      <w:r>
        <w:rPr>
          <w:lang w:val="en-GB"/>
        </w:rPr>
        <w:t>to</w:t>
      </w:r>
      <w:r w:rsidRPr="00553D55">
        <w:rPr>
          <w:lang w:val="en-GB"/>
        </w:rPr>
        <w:t xml:space="preserve"> a heterosexual spouse.</w:t>
      </w:r>
    </w:p>
    <w:p w:rsidR="00704721" w:rsidRPr="00A13DE9" w:rsidRDefault="00704721" w:rsidP="00704721">
      <w:pPr>
        <w:pStyle w:val="OpiPara"/>
        <w:rPr>
          <w:i/>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19</w:t>
      </w:r>
      <w:r w:rsidRPr="00553D55">
        <w:rPr>
          <w:lang w:val="en-GB"/>
        </w:rPr>
        <w:fldChar w:fldCharType="end"/>
      </w:r>
      <w:r w:rsidRPr="00553D55">
        <w:rPr>
          <w:lang w:val="en-GB"/>
        </w:rPr>
        <w:t>.  We regret that the majority rejects these issues simply on the grounds that the applicant</w:t>
      </w:r>
      <w:r w:rsidR="00C17A2C">
        <w:rPr>
          <w:lang w:val="en-GB"/>
        </w:rPr>
        <w:t>’</w:t>
      </w:r>
      <w:r w:rsidRPr="00553D55">
        <w:rPr>
          <w:lang w:val="en-GB"/>
        </w:rPr>
        <w:t>s situation is not similar enough to th</w:t>
      </w:r>
      <w:r>
        <w:rPr>
          <w:lang w:val="en-GB"/>
        </w:rPr>
        <w:t>at</w:t>
      </w:r>
      <w:r w:rsidRPr="00553D55">
        <w:rPr>
          <w:lang w:val="en-GB"/>
        </w:rPr>
        <w:t xml:space="preserve"> of cissexuals</w:t>
      </w:r>
      <w:r>
        <w:rPr>
          <w:lang w:val="en-GB"/>
        </w:rPr>
        <w:t xml:space="preserve"> (see paragraph 112 of the judgment)</w:t>
      </w:r>
      <w:r w:rsidRPr="00553D55">
        <w:rPr>
          <w:lang w:val="en-GB"/>
        </w:rPr>
        <w:t xml:space="preserve">. The majority does not deal with the issue of whether the applicant </w:t>
      </w:r>
      <w:r>
        <w:rPr>
          <w:lang w:val="en-GB"/>
        </w:rPr>
        <w:t>has been</w:t>
      </w:r>
      <w:r w:rsidRPr="00553D55">
        <w:rPr>
          <w:lang w:val="en-GB"/>
        </w:rPr>
        <w:t xml:space="preserve"> subjected to discriminatory treatment </w:t>
      </w:r>
      <w:r w:rsidRPr="002F7C9F">
        <w:rPr>
          <w:i/>
          <w:lang w:val="en-GB"/>
        </w:rPr>
        <w:t>vis-à-vis</w:t>
      </w:r>
      <w:r w:rsidRPr="00553D55">
        <w:rPr>
          <w:lang w:val="en-GB"/>
        </w:rPr>
        <w:t xml:space="preserve"> heterosexuals (</w:t>
      </w:r>
      <w:r>
        <w:rPr>
          <w:lang w:val="en-GB"/>
        </w:rPr>
        <w:t>see paragraph </w:t>
      </w:r>
      <w:r w:rsidRPr="00553D55">
        <w:rPr>
          <w:lang w:val="en-GB"/>
        </w:rPr>
        <w:t>105</w:t>
      </w:r>
      <w:r>
        <w:rPr>
          <w:lang w:val="en-GB"/>
        </w:rPr>
        <w:t xml:space="preserve"> </w:t>
      </w:r>
      <w:r w:rsidRPr="00553D55">
        <w:rPr>
          <w:lang w:val="en-GB"/>
        </w:rPr>
        <w:t xml:space="preserve">of the judgment). We cannot think of any situation – </w:t>
      </w:r>
      <w:r>
        <w:rPr>
          <w:lang w:val="en-GB"/>
        </w:rPr>
        <w:t>other than</w:t>
      </w:r>
      <w:r w:rsidRPr="00553D55">
        <w:rPr>
          <w:lang w:val="en-GB"/>
        </w:rPr>
        <w:t xml:space="preserve"> cases of fictitious or unconsummated marriage, which are a different matter – in which a legally </w:t>
      </w:r>
      <w:r w:rsidRPr="00553D55">
        <w:rPr>
          <w:lang w:val="en-GB"/>
        </w:rPr>
        <w:lastRenderedPageBreak/>
        <w:t xml:space="preserve">married cisgender heterosexual couple would be required to choose between </w:t>
      </w:r>
      <w:r>
        <w:rPr>
          <w:lang w:val="en-GB"/>
        </w:rPr>
        <w:t>maintaining</w:t>
      </w:r>
      <w:r w:rsidRPr="00553D55">
        <w:rPr>
          <w:lang w:val="en-GB"/>
        </w:rPr>
        <w:t xml:space="preserve"> their civil status and obtaining identity cards reflecting the gender with which they identify. </w:t>
      </w:r>
      <w:r w:rsidRPr="00553D55">
        <w:rPr>
          <w:rStyle w:val="hps"/>
          <w:lang w:val="en-GB"/>
        </w:rPr>
        <w:t>While States enjoy</w:t>
      </w:r>
      <w:r w:rsidRPr="00553D55">
        <w:rPr>
          <w:lang w:val="en-GB"/>
        </w:rPr>
        <w:t xml:space="preserve"> </w:t>
      </w:r>
      <w:r w:rsidRPr="00553D55">
        <w:rPr>
          <w:rStyle w:val="hps"/>
          <w:lang w:val="en-GB"/>
        </w:rPr>
        <w:t>a certain margin</w:t>
      </w:r>
      <w:r w:rsidRPr="00553D55">
        <w:rPr>
          <w:lang w:val="en-GB"/>
        </w:rPr>
        <w:t xml:space="preserve"> </w:t>
      </w:r>
      <w:r w:rsidRPr="00553D55">
        <w:rPr>
          <w:rStyle w:val="hps"/>
          <w:lang w:val="en-GB"/>
        </w:rPr>
        <w:t>of appreciation in determining</w:t>
      </w:r>
      <w:r w:rsidRPr="00553D55">
        <w:rPr>
          <w:lang w:val="en-GB"/>
        </w:rPr>
        <w:t xml:space="preserve"> </w:t>
      </w:r>
      <w:r w:rsidRPr="00553D55">
        <w:rPr>
          <w:rStyle w:val="hps"/>
          <w:lang w:val="en-GB"/>
        </w:rPr>
        <w:t>whether and to what</w:t>
      </w:r>
      <w:r w:rsidRPr="00553D55">
        <w:rPr>
          <w:lang w:val="en-GB"/>
        </w:rPr>
        <w:t xml:space="preserve"> </w:t>
      </w:r>
      <w:r w:rsidRPr="00553D55">
        <w:rPr>
          <w:rStyle w:val="hps"/>
          <w:lang w:val="en-GB"/>
        </w:rPr>
        <w:t>extent differences in</w:t>
      </w:r>
      <w:r w:rsidRPr="00553D55">
        <w:rPr>
          <w:lang w:val="en-GB"/>
        </w:rPr>
        <w:t xml:space="preserve"> </w:t>
      </w:r>
      <w:r w:rsidRPr="00553D55">
        <w:rPr>
          <w:rStyle w:val="hps"/>
          <w:lang w:val="en-GB"/>
        </w:rPr>
        <w:t>otherwise similar</w:t>
      </w:r>
      <w:r w:rsidRPr="00553D55">
        <w:rPr>
          <w:lang w:val="en-GB"/>
        </w:rPr>
        <w:t xml:space="preserve"> </w:t>
      </w:r>
      <w:r w:rsidRPr="00553D55">
        <w:rPr>
          <w:rStyle w:val="hps"/>
          <w:lang w:val="en-GB"/>
        </w:rPr>
        <w:t>situations</w:t>
      </w:r>
      <w:r w:rsidRPr="00553D55">
        <w:rPr>
          <w:lang w:val="en-GB"/>
        </w:rPr>
        <w:t xml:space="preserve"> </w:t>
      </w:r>
      <w:r w:rsidRPr="00553D55">
        <w:rPr>
          <w:rStyle w:val="hps"/>
          <w:lang w:val="en-GB"/>
        </w:rPr>
        <w:t>justify</w:t>
      </w:r>
      <w:r w:rsidRPr="00553D55">
        <w:rPr>
          <w:lang w:val="en-GB"/>
        </w:rPr>
        <w:t xml:space="preserve"> </w:t>
      </w:r>
      <w:r w:rsidRPr="00553D55">
        <w:rPr>
          <w:rStyle w:val="hps"/>
          <w:lang w:val="en-GB"/>
        </w:rPr>
        <w:t>differential treatment</w:t>
      </w:r>
      <w:r w:rsidRPr="00553D55">
        <w:rPr>
          <w:lang w:val="en-GB"/>
        </w:rPr>
        <w:t xml:space="preserve"> </w:t>
      </w:r>
      <w:r w:rsidRPr="00553D55">
        <w:rPr>
          <w:rStyle w:val="hps"/>
          <w:lang w:val="en-GB"/>
        </w:rPr>
        <w:t>(</w:t>
      </w:r>
      <w:r>
        <w:rPr>
          <w:rStyle w:val="hps"/>
          <w:lang w:val="en-GB"/>
        </w:rPr>
        <w:t xml:space="preserve">see </w:t>
      </w:r>
      <w:r w:rsidRPr="00553D55">
        <w:rPr>
          <w:rStyle w:val="hps"/>
          <w:i/>
          <w:lang w:val="en-GB"/>
        </w:rPr>
        <w:t>X</w:t>
      </w:r>
      <w:r w:rsidRPr="00553D55">
        <w:rPr>
          <w:i/>
          <w:lang w:val="en-GB"/>
        </w:rPr>
        <w:t xml:space="preserve"> </w:t>
      </w:r>
      <w:r w:rsidRPr="00553D55">
        <w:rPr>
          <w:rStyle w:val="hps"/>
          <w:i/>
          <w:lang w:val="en-GB"/>
        </w:rPr>
        <w:t>and Others v.</w:t>
      </w:r>
      <w:r w:rsidRPr="00553D55">
        <w:rPr>
          <w:i/>
          <w:lang w:val="en-GB"/>
        </w:rPr>
        <w:t xml:space="preserve"> </w:t>
      </w:r>
      <w:r w:rsidRPr="00553D55">
        <w:rPr>
          <w:rStyle w:val="hps"/>
          <w:i/>
          <w:lang w:val="en-GB"/>
        </w:rPr>
        <w:t>Austria</w:t>
      </w:r>
      <w:r w:rsidRPr="00553D55">
        <w:rPr>
          <w:lang w:val="en-GB"/>
        </w:rPr>
        <w:t xml:space="preserve">, </w:t>
      </w:r>
      <w:r>
        <w:rPr>
          <w:lang w:val="en-GB"/>
        </w:rPr>
        <w:t>cited above</w:t>
      </w:r>
      <w:r w:rsidRPr="00553D55">
        <w:rPr>
          <w:lang w:val="en-GB"/>
        </w:rPr>
        <w:t xml:space="preserve">, </w:t>
      </w:r>
      <w:r w:rsidRPr="00553D55">
        <w:rPr>
          <w:rStyle w:val="hps"/>
          <w:lang w:val="en-GB"/>
        </w:rPr>
        <w:t>§</w:t>
      </w:r>
      <w:r w:rsidRPr="00553D55">
        <w:rPr>
          <w:lang w:val="en-GB"/>
        </w:rPr>
        <w:t xml:space="preserve"> </w:t>
      </w:r>
      <w:r w:rsidRPr="00553D55">
        <w:rPr>
          <w:rStyle w:val="hps"/>
          <w:lang w:val="en-GB"/>
        </w:rPr>
        <w:t>98</w:t>
      </w:r>
      <w:r w:rsidRPr="00553D55">
        <w:rPr>
          <w:lang w:val="en-GB"/>
        </w:rPr>
        <w:t xml:space="preserve">; </w:t>
      </w:r>
      <w:r w:rsidRPr="00553D55">
        <w:rPr>
          <w:rStyle w:val="hps"/>
          <w:i/>
          <w:lang w:val="en-GB"/>
        </w:rPr>
        <w:t>Vallianatos</w:t>
      </w:r>
      <w:r>
        <w:rPr>
          <w:rStyle w:val="hps"/>
          <w:i/>
          <w:lang w:val="en-GB"/>
        </w:rPr>
        <w:t xml:space="preserve"> and Others</w:t>
      </w:r>
      <w:r w:rsidRPr="00553D55">
        <w:rPr>
          <w:rStyle w:val="hps"/>
          <w:lang w:val="en-GB"/>
        </w:rPr>
        <w:t xml:space="preserve">, </w:t>
      </w:r>
      <w:r>
        <w:rPr>
          <w:rStyle w:val="hps"/>
          <w:lang w:val="en-GB"/>
        </w:rPr>
        <w:t>cited above</w:t>
      </w:r>
      <w:r w:rsidRPr="00553D55">
        <w:rPr>
          <w:lang w:val="en-GB"/>
        </w:rPr>
        <w:t xml:space="preserve">, </w:t>
      </w:r>
      <w:r w:rsidRPr="00553D55">
        <w:rPr>
          <w:rStyle w:val="hps"/>
          <w:lang w:val="en-GB"/>
        </w:rPr>
        <w:t>§</w:t>
      </w:r>
      <w:r w:rsidRPr="00553D55">
        <w:rPr>
          <w:lang w:val="en-GB"/>
        </w:rPr>
        <w:t xml:space="preserve"> </w:t>
      </w:r>
      <w:r w:rsidRPr="00553D55">
        <w:rPr>
          <w:rStyle w:val="hps"/>
          <w:lang w:val="en-GB"/>
        </w:rPr>
        <w:t xml:space="preserve">76; </w:t>
      </w:r>
      <w:r>
        <w:rPr>
          <w:rStyle w:val="hps"/>
          <w:lang w:val="en-GB"/>
        </w:rPr>
        <w:t xml:space="preserve">and </w:t>
      </w:r>
      <w:r w:rsidRPr="00A13DE9">
        <w:rPr>
          <w:i/>
          <w:lang w:val="en-GB"/>
        </w:rPr>
        <w:t xml:space="preserve">Konstantin Markin </w:t>
      </w:r>
      <w:r w:rsidRPr="00A13DE9">
        <w:rPr>
          <w:i/>
          <w:snapToGrid w:val="0"/>
          <w:lang w:val="en-GB"/>
        </w:rPr>
        <w:t>v. Russia</w:t>
      </w:r>
      <w:r w:rsidRPr="00A13DE9">
        <w:rPr>
          <w:i/>
          <w:lang w:val="en-GB"/>
        </w:rPr>
        <w:t xml:space="preserve"> </w:t>
      </w:r>
      <w:r w:rsidRPr="00A13DE9">
        <w:rPr>
          <w:lang w:val="en-GB"/>
        </w:rPr>
        <w:t>[GC]</w:t>
      </w:r>
      <w:r w:rsidRPr="00A13DE9">
        <w:rPr>
          <w:snapToGrid w:val="0"/>
          <w:lang w:val="en-GB"/>
        </w:rPr>
        <w:t>, no.</w:t>
      </w:r>
      <w:r w:rsidRPr="00A13DE9">
        <w:rPr>
          <w:lang w:val="en-GB"/>
        </w:rPr>
        <w:t xml:space="preserve"> 30078/06</w:t>
      </w:r>
      <w:r w:rsidRPr="00A13DE9">
        <w:rPr>
          <w:snapToGrid w:val="0"/>
          <w:szCs w:val="24"/>
          <w:lang w:val="en-GB"/>
        </w:rPr>
        <w:t xml:space="preserve">, § </w:t>
      </w:r>
      <w:r>
        <w:rPr>
          <w:snapToGrid w:val="0"/>
          <w:szCs w:val="24"/>
          <w:lang w:val="en-GB"/>
        </w:rPr>
        <w:t>126</w:t>
      </w:r>
      <w:r w:rsidRPr="00A13DE9">
        <w:rPr>
          <w:snapToGrid w:val="0"/>
          <w:szCs w:val="24"/>
          <w:lang w:val="en-GB"/>
        </w:rPr>
        <w:t xml:space="preserve">, </w:t>
      </w:r>
      <w:r w:rsidRPr="00A13DE9">
        <w:rPr>
          <w:snapToGrid w:val="0"/>
          <w:lang w:val="en-GB"/>
        </w:rPr>
        <w:t>ECHR 2012 (extracts)</w:t>
      </w:r>
      <w:r w:rsidRPr="00553D55">
        <w:rPr>
          <w:rStyle w:val="hps"/>
          <w:lang w:val="en-GB"/>
        </w:rPr>
        <w:t>)</w:t>
      </w:r>
      <w:r w:rsidRPr="00553D55">
        <w:rPr>
          <w:lang w:val="en-GB"/>
        </w:rPr>
        <w:t xml:space="preserve">, </w:t>
      </w:r>
      <w:r w:rsidRPr="00553D55">
        <w:rPr>
          <w:rStyle w:val="hps"/>
          <w:lang w:val="en-GB"/>
        </w:rPr>
        <w:t>it is</w:t>
      </w:r>
      <w:r w:rsidRPr="005623B6">
        <w:rPr>
          <w:rStyle w:val="hps"/>
          <w:lang w:val="en-GB"/>
        </w:rPr>
        <w:t xml:space="preserve"> </w:t>
      </w:r>
      <w:r w:rsidRPr="00553D55">
        <w:rPr>
          <w:rStyle w:val="hps"/>
          <w:lang w:val="en-GB"/>
        </w:rPr>
        <w:t>ultimately for the</w:t>
      </w:r>
      <w:r w:rsidRPr="00553D55">
        <w:rPr>
          <w:lang w:val="en-GB"/>
        </w:rPr>
        <w:t xml:space="preserve"> </w:t>
      </w:r>
      <w:r w:rsidRPr="00553D55">
        <w:rPr>
          <w:rStyle w:val="hps"/>
          <w:lang w:val="en-GB"/>
        </w:rPr>
        <w:t>Court to determine whether</w:t>
      </w:r>
      <w:r w:rsidRPr="00553D55">
        <w:rPr>
          <w:lang w:val="en-GB"/>
        </w:rPr>
        <w:t xml:space="preserve"> </w:t>
      </w:r>
      <w:r w:rsidRPr="00553D55">
        <w:rPr>
          <w:rStyle w:val="hps"/>
          <w:lang w:val="en-GB"/>
        </w:rPr>
        <w:t>the requirements</w:t>
      </w:r>
      <w:r w:rsidRPr="00553D55">
        <w:rPr>
          <w:lang w:val="en-GB"/>
        </w:rPr>
        <w:t xml:space="preserve"> </w:t>
      </w:r>
      <w:r w:rsidRPr="00553D55">
        <w:rPr>
          <w:rStyle w:val="hps"/>
          <w:lang w:val="en-GB"/>
        </w:rPr>
        <w:t>of the Convention have been met (</w:t>
      </w:r>
      <w:r>
        <w:rPr>
          <w:rStyle w:val="hps"/>
          <w:lang w:val="en-GB"/>
        </w:rPr>
        <w:t xml:space="preserve">see </w:t>
      </w:r>
      <w:r w:rsidRPr="00553D55">
        <w:rPr>
          <w:rStyle w:val="hps"/>
          <w:i/>
          <w:lang w:val="en-GB"/>
        </w:rPr>
        <w:t>Konstantin Markin</w:t>
      </w:r>
      <w:r w:rsidRPr="00553D55">
        <w:rPr>
          <w:rStyle w:val="hps"/>
          <w:lang w:val="en-GB"/>
        </w:rPr>
        <w:t xml:space="preserve">, </w:t>
      </w:r>
      <w:r>
        <w:rPr>
          <w:rStyle w:val="hps"/>
          <w:lang w:val="en-GB"/>
        </w:rPr>
        <w:t>cited above</w:t>
      </w:r>
      <w:r w:rsidRPr="00553D55">
        <w:rPr>
          <w:rStyle w:val="hps"/>
          <w:lang w:val="en-GB"/>
        </w:rPr>
        <w:t>, § 126).</w:t>
      </w:r>
      <w:r w:rsidRPr="00553D55">
        <w:rPr>
          <w:lang w:val="en-GB"/>
        </w:rPr>
        <w:t xml:space="preserve"> Therefore, we consider that the Court should have examined this question.</w:t>
      </w:r>
    </w:p>
    <w:p w:rsidR="00704721" w:rsidRPr="00242D29" w:rsidRDefault="00704721" w:rsidP="00704721">
      <w:pPr>
        <w:pStyle w:val="OpiPara"/>
        <w:rPr>
          <w:lang w:val="en-US"/>
        </w:rPr>
      </w:pPr>
      <w:r w:rsidRPr="00553D55">
        <w:rPr>
          <w:szCs w:val="24"/>
          <w:lang w:val="en-GB"/>
        </w:rPr>
        <w:fldChar w:fldCharType="begin"/>
      </w:r>
      <w:r w:rsidRPr="00553D55">
        <w:rPr>
          <w:szCs w:val="24"/>
          <w:lang w:val="en-GB"/>
        </w:rPr>
        <w:instrText xml:space="preserve"> SEQ level0 \*arabic </w:instrText>
      </w:r>
      <w:r w:rsidRPr="00553D55">
        <w:rPr>
          <w:szCs w:val="24"/>
          <w:lang w:val="en-GB"/>
        </w:rPr>
        <w:fldChar w:fldCharType="separate"/>
      </w:r>
      <w:r w:rsidR="008B718E">
        <w:rPr>
          <w:noProof/>
          <w:szCs w:val="24"/>
          <w:lang w:val="en-GB"/>
        </w:rPr>
        <w:t>20</w:t>
      </w:r>
      <w:r w:rsidRPr="00553D55">
        <w:rPr>
          <w:szCs w:val="24"/>
          <w:lang w:val="en-GB"/>
        </w:rPr>
        <w:fldChar w:fldCharType="end"/>
      </w:r>
      <w:r w:rsidRPr="00553D55">
        <w:rPr>
          <w:szCs w:val="24"/>
          <w:lang w:val="en-GB"/>
        </w:rPr>
        <w:t xml:space="preserve">.  Last but </w:t>
      </w:r>
      <w:r w:rsidRPr="00553D55">
        <w:rPr>
          <w:lang w:val="en-GB"/>
        </w:rPr>
        <w:t>not least, we submit that the applicant and her spouse are the victims of discrimination because the authorities fail to differentiate between their situation and that of homosexual couples (</w:t>
      </w:r>
      <w:r>
        <w:rPr>
          <w:lang w:val="en-GB"/>
        </w:rPr>
        <w:t>see</w:t>
      </w:r>
      <w:r w:rsidRPr="00553D55">
        <w:rPr>
          <w:lang w:val="en-GB"/>
        </w:rPr>
        <w:t xml:space="preserve">, </w:t>
      </w:r>
      <w:r w:rsidRPr="002F7C9F">
        <w:rPr>
          <w:i/>
          <w:lang w:val="en-GB"/>
        </w:rPr>
        <w:t>mutatis mutandis</w:t>
      </w:r>
      <w:r w:rsidRPr="00553D55">
        <w:rPr>
          <w:lang w:val="en-GB"/>
        </w:rPr>
        <w:t xml:space="preserve">, </w:t>
      </w:r>
      <w:r w:rsidRPr="00A13DE9">
        <w:rPr>
          <w:i/>
          <w:lang w:val="en-GB"/>
        </w:rPr>
        <w:t>Thlimmenos v. Greece</w:t>
      </w:r>
      <w:r w:rsidRPr="00A13DE9">
        <w:rPr>
          <w:lang w:val="en-GB"/>
        </w:rPr>
        <w:t xml:space="preserve"> [GC], no. 34369/97, § </w:t>
      </w:r>
      <w:r>
        <w:rPr>
          <w:lang w:val="en-GB"/>
        </w:rPr>
        <w:t>44</w:t>
      </w:r>
      <w:r w:rsidRPr="00A13DE9">
        <w:rPr>
          <w:lang w:val="en-GB"/>
        </w:rPr>
        <w:t>, ECHR 2000</w:t>
      </w:r>
      <w:r w:rsidRPr="00A13DE9">
        <w:rPr>
          <w:lang w:val="en-GB"/>
        </w:rPr>
        <w:noBreakHyphen/>
        <w:t>IV</w:t>
      </w:r>
      <w:r w:rsidRPr="00553D55">
        <w:rPr>
          <w:lang w:val="en-GB"/>
        </w:rPr>
        <w:t>). In fact, the national</w:t>
      </w:r>
      <w:r w:rsidRPr="00553D55">
        <w:rPr>
          <w:szCs w:val="24"/>
          <w:lang w:val="en-GB"/>
        </w:rPr>
        <w:t xml:space="preserve"> legal order treats their situation like that of homosexuals. However, at least at the time of their entry into marriage, the applicant and her spouse were not homosexual partners. Even after the applicant</w:t>
      </w:r>
      <w:r w:rsidR="00C17A2C">
        <w:rPr>
          <w:szCs w:val="24"/>
          <w:lang w:val="en-GB"/>
        </w:rPr>
        <w:t>’</w:t>
      </w:r>
      <w:r w:rsidRPr="00553D55">
        <w:rPr>
          <w:szCs w:val="24"/>
          <w:lang w:val="en-GB"/>
        </w:rPr>
        <w:t xml:space="preserve">s </w:t>
      </w:r>
      <w:r>
        <w:rPr>
          <w:szCs w:val="24"/>
          <w:lang w:val="en-GB"/>
        </w:rPr>
        <w:t>gender reassignment</w:t>
      </w:r>
      <w:r w:rsidRPr="00553D55">
        <w:rPr>
          <w:szCs w:val="24"/>
          <w:lang w:val="en-GB"/>
        </w:rPr>
        <w:t xml:space="preserve">, it is an oversimplification of the situation to treat her relationship as a homosexual one. In our view, the crucial question </w:t>
      </w:r>
      <w:r>
        <w:rPr>
          <w:szCs w:val="24"/>
          <w:lang w:val="en-GB"/>
        </w:rPr>
        <w:t>regarding</w:t>
      </w:r>
      <w:r w:rsidRPr="00553D55">
        <w:rPr>
          <w:szCs w:val="24"/>
          <w:lang w:val="en-GB"/>
        </w:rPr>
        <w:t xml:space="preserve"> the discrimination issue is whether the State has failed to differentiate between the applicant</w:t>
      </w:r>
      <w:r w:rsidR="00C17A2C">
        <w:rPr>
          <w:szCs w:val="24"/>
          <w:lang w:val="en-GB"/>
        </w:rPr>
        <w:t>’</w:t>
      </w:r>
      <w:r w:rsidRPr="00553D55">
        <w:rPr>
          <w:szCs w:val="24"/>
          <w:lang w:val="en-GB"/>
        </w:rPr>
        <w:t>s situation and that of a homosexual couple</w:t>
      </w:r>
      <w:r w:rsidRPr="00553D55">
        <w:rPr>
          <w:rStyle w:val="sb8d990e2"/>
          <w:lang w:val="en-GB"/>
        </w:rPr>
        <w:t xml:space="preserve"> by failing to introduce appropriate exceptions to the rule </w:t>
      </w:r>
      <w:r>
        <w:rPr>
          <w:rStyle w:val="sb8d990e2"/>
          <w:lang w:val="en-GB"/>
        </w:rPr>
        <w:t>de</w:t>
      </w:r>
      <w:r w:rsidRPr="00553D55">
        <w:rPr>
          <w:rStyle w:val="sb8d990e2"/>
          <w:lang w:val="en-GB"/>
        </w:rPr>
        <w:t>barring same-sex couples from the institution of marriage (</w:t>
      </w:r>
      <w:r>
        <w:rPr>
          <w:rStyle w:val="sb8d990e2"/>
          <w:lang w:val="en-GB"/>
        </w:rPr>
        <w:t xml:space="preserve">see, </w:t>
      </w:r>
      <w:r w:rsidRPr="002F7C9F">
        <w:rPr>
          <w:rStyle w:val="sb8d990e2"/>
          <w:i/>
          <w:lang w:val="en-GB"/>
        </w:rPr>
        <w:t>mutatis mutandis</w:t>
      </w:r>
      <w:r>
        <w:rPr>
          <w:rStyle w:val="sb8d990e2"/>
          <w:lang w:val="en-GB"/>
        </w:rPr>
        <w:t>,</w:t>
      </w:r>
      <w:r w:rsidRPr="00553D55">
        <w:rPr>
          <w:rStyle w:val="sb8d990e2"/>
          <w:lang w:val="en-GB"/>
        </w:rPr>
        <w:t xml:space="preserve"> </w:t>
      </w:r>
      <w:r w:rsidRPr="00A13DE9">
        <w:rPr>
          <w:i/>
          <w:lang w:val="en-GB"/>
        </w:rPr>
        <w:t>Thlimmenos</w:t>
      </w:r>
      <w:r w:rsidRPr="00553D55">
        <w:rPr>
          <w:rStyle w:val="sb8d990e2"/>
          <w:lang w:val="en-GB"/>
        </w:rPr>
        <w:t xml:space="preserve">, </w:t>
      </w:r>
      <w:r>
        <w:rPr>
          <w:rStyle w:val="sb8d990e2"/>
          <w:lang w:val="en-GB"/>
        </w:rPr>
        <w:t>cited above</w:t>
      </w:r>
      <w:r w:rsidRPr="00553D55">
        <w:rPr>
          <w:rStyle w:val="sb8d990e2"/>
          <w:lang w:val="en-GB"/>
        </w:rPr>
        <w:t>, §</w:t>
      </w:r>
      <w:r>
        <w:rPr>
          <w:rStyle w:val="sb8d990e2"/>
          <w:lang w:val="en-GB"/>
        </w:rPr>
        <w:t> </w:t>
      </w:r>
      <w:r w:rsidRPr="00553D55">
        <w:rPr>
          <w:rStyle w:val="sb8d990e2"/>
          <w:lang w:val="en-GB"/>
        </w:rPr>
        <w:t xml:space="preserve">48). </w:t>
      </w:r>
      <w:r w:rsidRPr="00553D55">
        <w:rPr>
          <w:szCs w:val="24"/>
          <w:lang w:val="en-GB"/>
        </w:rPr>
        <w:t xml:space="preserve">We regret that this issue </w:t>
      </w:r>
      <w:r>
        <w:rPr>
          <w:szCs w:val="24"/>
          <w:lang w:val="en-GB"/>
        </w:rPr>
        <w:t>w</w:t>
      </w:r>
      <w:r w:rsidRPr="00553D55">
        <w:rPr>
          <w:szCs w:val="24"/>
          <w:lang w:val="en-GB"/>
        </w:rPr>
        <w:t>as not raised.</w:t>
      </w:r>
    </w:p>
    <w:p w:rsidR="00704721" w:rsidRPr="00553D55" w:rsidRDefault="00704721" w:rsidP="00704721">
      <w:pPr>
        <w:pStyle w:val="ECHRHeading2"/>
        <w:rPr>
          <w:lang w:val="en-GB"/>
        </w:rPr>
      </w:pPr>
      <w:r w:rsidRPr="00242D29">
        <w:rPr>
          <w:lang w:val="en-US"/>
        </w:rPr>
        <w:t>V.  Conclusion</w:t>
      </w:r>
    </w:p>
    <w:p w:rsidR="00CD49A7" w:rsidRPr="00805A7D" w:rsidRDefault="00704721" w:rsidP="00410A59">
      <w:pPr>
        <w:pStyle w:val="OpiPara"/>
        <w:rPr>
          <w:lang w:val="en-GB"/>
        </w:rPr>
      </w:pPr>
      <w:r w:rsidRPr="00553D55">
        <w:rPr>
          <w:lang w:val="en-GB"/>
        </w:rPr>
        <w:fldChar w:fldCharType="begin"/>
      </w:r>
      <w:r w:rsidRPr="00553D55">
        <w:rPr>
          <w:lang w:val="en-GB"/>
        </w:rPr>
        <w:instrText xml:space="preserve"> SEQ level0 \*arabic </w:instrText>
      </w:r>
      <w:r w:rsidRPr="00553D55">
        <w:rPr>
          <w:lang w:val="en-GB"/>
        </w:rPr>
        <w:fldChar w:fldCharType="separate"/>
      </w:r>
      <w:r w:rsidR="008B718E">
        <w:rPr>
          <w:noProof/>
          <w:lang w:val="en-GB"/>
        </w:rPr>
        <w:t>21</w:t>
      </w:r>
      <w:r w:rsidRPr="00553D55">
        <w:rPr>
          <w:lang w:val="en-GB"/>
        </w:rPr>
        <w:fldChar w:fldCharType="end"/>
      </w:r>
      <w:r w:rsidRPr="00553D55">
        <w:rPr>
          <w:lang w:val="en-GB"/>
        </w:rPr>
        <w:t>.  To conclude, we disagree with the majority</w:t>
      </w:r>
      <w:r w:rsidR="00C17A2C">
        <w:rPr>
          <w:lang w:val="en-GB"/>
        </w:rPr>
        <w:t>’</w:t>
      </w:r>
      <w:r w:rsidRPr="00553D55">
        <w:rPr>
          <w:lang w:val="en-GB"/>
        </w:rPr>
        <w:t>s findings on several points. First, we do not agree with the majority regarding the nature of the obligation in question, the methodology regarding the level of scrutiny, and the finding that the applicant had a real choice between continuing her marriage and obtaining legal recognition of her acquired gender. Secondly, regarding the justification of the interference with the applicant</w:t>
      </w:r>
      <w:r w:rsidR="00C17A2C">
        <w:rPr>
          <w:lang w:val="en-GB"/>
        </w:rPr>
        <w:t>’</w:t>
      </w:r>
      <w:r w:rsidRPr="00553D55">
        <w:rPr>
          <w:lang w:val="en-GB"/>
        </w:rPr>
        <w:t>s rights under Article 8, we argue that the legitimate aim of protecti</w:t>
      </w:r>
      <w:r>
        <w:rPr>
          <w:lang w:val="en-GB"/>
        </w:rPr>
        <w:t>ng</w:t>
      </w:r>
      <w:r w:rsidRPr="00553D55">
        <w:rPr>
          <w:lang w:val="en-GB"/>
        </w:rPr>
        <w:t xml:space="preserve"> the traditional family would not be compromised if individuals in a situation analogous to that of the applicant and her wife were permitted to remain married after the acknowledgment of </w:t>
      </w:r>
      <w:r>
        <w:rPr>
          <w:lang w:val="en-GB"/>
        </w:rPr>
        <w:t>the</w:t>
      </w:r>
      <w:r w:rsidRPr="00553D55">
        <w:rPr>
          <w:lang w:val="en-GB"/>
        </w:rPr>
        <w:t xml:space="preserve"> acquired gender</w:t>
      </w:r>
      <w:r>
        <w:rPr>
          <w:lang w:val="en-GB"/>
        </w:rPr>
        <w:t xml:space="preserve"> of one of the parties to the marriage</w:t>
      </w:r>
      <w:r w:rsidRPr="00553D55">
        <w:rPr>
          <w:lang w:val="en-GB"/>
        </w:rPr>
        <w:t xml:space="preserve">. </w:t>
      </w:r>
      <w:r>
        <w:rPr>
          <w:lang w:val="en-GB"/>
        </w:rPr>
        <w:t>As</w:t>
      </w:r>
      <w:r w:rsidRPr="00553D55">
        <w:rPr>
          <w:lang w:val="en-GB"/>
        </w:rPr>
        <w:t xml:space="preserve"> there was no pressing social need for the interference</w:t>
      </w:r>
      <w:r>
        <w:rPr>
          <w:lang w:val="en-GB"/>
        </w:rPr>
        <w:t xml:space="preserve"> in question</w:t>
      </w:r>
      <w:r w:rsidRPr="00553D55">
        <w:rPr>
          <w:lang w:val="en-GB"/>
        </w:rPr>
        <w:t>, which was accordingly not necessary in a democratic society, we consider that the applicant has suffered a violation of her rights under Article 8. Third, we argue that</w:t>
      </w:r>
      <w:r>
        <w:rPr>
          <w:lang w:val="en-GB"/>
        </w:rPr>
        <w:t>, in the light of the majority</w:t>
      </w:r>
      <w:r w:rsidR="00C17A2C">
        <w:rPr>
          <w:lang w:val="en-GB"/>
        </w:rPr>
        <w:t>’</w:t>
      </w:r>
      <w:r>
        <w:rPr>
          <w:lang w:val="en-GB"/>
        </w:rPr>
        <w:t>s conclusion under Article 8,</w:t>
      </w:r>
      <w:r w:rsidRPr="00553D55">
        <w:rPr>
          <w:lang w:val="en-GB"/>
        </w:rPr>
        <w:t xml:space="preserve"> the issues </w:t>
      </w:r>
      <w:r>
        <w:rPr>
          <w:lang w:val="en-GB"/>
        </w:rPr>
        <w:t>raised</w:t>
      </w:r>
      <w:r w:rsidRPr="00553D55">
        <w:rPr>
          <w:lang w:val="en-GB"/>
        </w:rPr>
        <w:t xml:space="preserve"> under Article 12 should have been examined. Lastly, we are not convinced that the applicant has not been </w:t>
      </w:r>
      <w:r w:rsidRPr="00553D55">
        <w:rPr>
          <w:lang w:val="en-GB"/>
        </w:rPr>
        <w:lastRenderedPageBreak/>
        <w:t>subjected to discrimination contrary to Article 14 in conjunction with Article 8 of the Convention, and consider that the Court</w:t>
      </w:r>
      <w:r w:rsidR="00C17A2C">
        <w:rPr>
          <w:lang w:val="en-GB"/>
        </w:rPr>
        <w:t>’</w:t>
      </w:r>
      <w:r w:rsidRPr="00553D55">
        <w:rPr>
          <w:lang w:val="en-GB"/>
        </w:rPr>
        <w:t>s examination should have gone into more depth in this regard.</w:t>
      </w:r>
    </w:p>
    <w:sectPr w:rsidR="00CD49A7" w:rsidRPr="00805A7D" w:rsidSect="00584F9D">
      <w:headerReference w:type="even" r:id="rId21"/>
      <w:headerReference w:type="default" r:id="rId22"/>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4A7" w:rsidRDefault="000854A7">
      <w:r>
        <w:separator/>
      </w:r>
    </w:p>
  </w:endnote>
  <w:endnote w:type="continuationSeparator" w:id="0">
    <w:p w:rsidR="000854A7" w:rsidRDefault="00085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241F9A" w:rsidRDefault="00242D29" w:rsidP="008D6F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4A7" w:rsidRDefault="000854A7">
      <w:r>
        <w:separator/>
      </w:r>
    </w:p>
  </w:footnote>
  <w:footnote w:type="continuationSeparator" w:id="0">
    <w:p w:rsidR="000854A7" w:rsidRDefault="000854A7">
      <w:r>
        <w:continuationSeparator/>
      </w:r>
    </w:p>
  </w:footnote>
  <w:footnote w:id="1">
    <w:p w:rsidR="00242D29" w:rsidRPr="003F72C3" w:rsidRDefault="00242D29" w:rsidP="00704721">
      <w:pPr>
        <w:pStyle w:val="Tekstprzypisudolnego"/>
      </w:pPr>
      <w:r>
        <w:rPr>
          <w:rStyle w:val="Odwoanieprzypisudolnego"/>
        </w:rPr>
        <w:footnoteRef/>
      </w:r>
      <w:r>
        <w:t>  See Luzius</w:t>
      </w:r>
      <w:r w:rsidRPr="002706ED">
        <w:t xml:space="preserve"> </w:t>
      </w:r>
      <w:r>
        <w:t>Wildhaber, Arnaldur</w:t>
      </w:r>
      <w:r w:rsidRPr="002706ED">
        <w:t xml:space="preserve"> </w:t>
      </w:r>
      <w:r>
        <w:t>Hjartarson and Stephen</w:t>
      </w:r>
      <w:r w:rsidRPr="002706ED">
        <w:t xml:space="preserve"> </w:t>
      </w:r>
      <w:r>
        <w:t xml:space="preserve">Donnelly, “No Consensus on Consensus? The Practice of the European Court of Human Rights”, Vol. 33 </w:t>
      </w:r>
      <w:r w:rsidRPr="003F72C3">
        <w:rPr>
          <w:i/>
        </w:rPr>
        <w:t>Human Rights Law Journal</w:t>
      </w:r>
      <w:r>
        <w:rPr>
          <w:i/>
        </w:rPr>
        <w:t xml:space="preserve"> </w:t>
      </w:r>
      <w:r w:rsidRPr="003F72C3">
        <w:t>(2013),</w:t>
      </w:r>
      <w:r>
        <w:t xml:space="preserve"> pp. </w:t>
      </w:r>
      <w:r w:rsidRPr="00665001">
        <w:t>248-63</w:t>
      </w:r>
      <w:r>
        <w:t>, at p. 252.</w:t>
      </w:r>
    </w:p>
  </w:footnote>
  <w:footnote w:id="2">
    <w:p w:rsidR="00242D29" w:rsidRPr="00B5598A" w:rsidRDefault="00242D29" w:rsidP="00704721">
      <w:pPr>
        <w:pStyle w:val="Tekstprzypisudolnego"/>
      </w:pPr>
      <w:r>
        <w:rPr>
          <w:rStyle w:val="Odwoanieprzypisudolnego"/>
        </w:rPr>
        <w:footnoteRef/>
      </w:r>
      <w:r>
        <w:t>  Paul</w:t>
      </w:r>
      <w:r w:rsidRPr="002706ED">
        <w:t xml:space="preserve"> </w:t>
      </w:r>
      <w:r>
        <w:t xml:space="preserve">Martens, “Perplexity of the National Judge Faced with the Vagaries of European Consensus”, in </w:t>
      </w:r>
      <w:r w:rsidRPr="00B5598A">
        <w:rPr>
          <w:i/>
        </w:rPr>
        <w:t>Dialogue between Judges</w:t>
      </w:r>
      <w:r>
        <w:t xml:space="preserve"> (Council of Europe, 2008), pp. 77-98, at p. 95. See also Eyal Benvenisti, “Margin of Appreciation, Consensus, and Universal Standards”, Vol. 31 </w:t>
      </w:r>
      <w:r w:rsidRPr="00945041">
        <w:rPr>
          <w:i/>
        </w:rPr>
        <w:t>N</w:t>
      </w:r>
      <w:r>
        <w:rPr>
          <w:i/>
        </w:rPr>
        <w:t>ew York University</w:t>
      </w:r>
      <w:r w:rsidRPr="00945041">
        <w:rPr>
          <w:i/>
        </w:rPr>
        <w:t xml:space="preserve"> Journal of International Law and Politics</w:t>
      </w:r>
      <w:r>
        <w:t xml:space="preserve"> (1999), pp. 843-</w:t>
      </w:r>
      <w:r w:rsidRPr="00665001">
        <w:t>54,</w:t>
      </w:r>
      <w:r>
        <w:t xml:space="preserve"> at p. 852.</w:t>
      </w:r>
    </w:p>
  </w:footnote>
  <w:footnote w:id="3">
    <w:p w:rsidR="00242D29" w:rsidRPr="007C7329" w:rsidRDefault="00242D29" w:rsidP="00704721">
      <w:pPr>
        <w:pStyle w:val="Tekstprzypisudolnego"/>
      </w:pPr>
      <w:r>
        <w:rPr>
          <w:rStyle w:val="Odwoanieprzypisudolnego"/>
        </w:rPr>
        <w:footnoteRef/>
      </w:r>
      <w:r>
        <w:t>  In this regard, see the analysis of the Court’s case-law by Laurence R. Helfer and Erik</w:t>
      </w:r>
      <w:r w:rsidRPr="002706ED">
        <w:t xml:space="preserve"> </w:t>
      </w:r>
      <w:r>
        <w:t xml:space="preserve">Voeten, “International Courts as Agents of Legal Change: Evidence from LGBT Rights in Europe”, Vol. 68 </w:t>
      </w:r>
      <w:r w:rsidRPr="007C7329">
        <w:rPr>
          <w:i/>
        </w:rPr>
        <w:t>International Organization</w:t>
      </w:r>
      <w:r>
        <w:t xml:space="preserve"> (2014), pp. 77-110, at p. 93.</w:t>
      </w:r>
    </w:p>
  </w:footnote>
  <w:footnote w:id="4">
    <w:p w:rsidR="00242D29" w:rsidRPr="00ED6518" w:rsidRDefault="00242D29" w:rsidP="00704721">
      <w:pPr>
        <w:pStyle w:val="Tekstprzypisudolnego"/>
      </w:pPr>
      <w:r>
        <w:rPr>
          <w:rStyle w:val="Odwoanieprzypisudolnego"/>
        </w:rPr>
        <w:t>4</w:t>
      </w:r>
      <w:r>
        <w:t xml:space="preserve">  We note that, within the Council of Europe, the existence of a “third gender” has been acknowledged by the German federal legislature (§ 22(3) </w:t>
      </w:r>
      <w:r w:rsidRPr="00665001">
        <w:rPr>
          <w:i/>
        </w:rPr>
        <w:t>Personenstandsgesetz</w:t>
      </w:r>
      <w:r>
        <w:t xml:space="preserve"> (PStG), in force since</w:t>
      </w:r>
      <w:r w:rsidRPr="0032594E">
        <w:t xml:space="preserve"> 19 </w:t>
      </w:r>
      <w:r w:rsidRPr="008A64B6">
        <w:t>February</w:t>
      </w:r>
      <w:r>
        <w:t xml:space="preserve"> 2007 (BGBl. I p</w:t>
      </w:r>
      <w:r w:rsidRPr="008A64B6">
        <w:t xml:space="preserve">. 122), amended by </w:t>
      </w:r>
      <w:r>
        <w:t>section</w:t>
      </w:r>
      <w:r w:rsidRPr="008A64B6">
        <w:t xml:space="preserve"> 3 of the Law of 28</w:t>
      </w:r>
      <w:r>
        <w:t> </w:t>
      </w:r>
      <w:r w:rsidRPr="0032594E">
        <w:t>August</w:t>
      </w:r>
      <w:r>
        <w:t xml:space="preserve"> </w:t>
      </w:r>
      <w:r w:rsidRPr="0032594E">
        <w:t>2013</w:t>
      </w:r>
      <w:r>
        <w:t xml:space="preserve"> (BGBl. I p. 3458)). Outside the Council of Europe, the supreme courts of some countries have come to the same conclusion (Supreme Court of Nepal, </w:t>
      </w:r>
      <w:r w:rsidRPr="00892D90">
        <w:rPr>
          <w:i/>
        </w:rPr>
        <w:t>Sunil Babu Pant and Others v. Nepal</w:t>
      </w:r>
      <w:r>
        <w:t xml:space="preserve">, Writ No. 917, judgment of 21 December 2007; High Court of Australia, </w:t>
      </w:r>
      <w:r w:rsidRPr="0032594E">
        <w:rPr>
          <w:i/>
        </w:rPr>
        <w:t>NSW Registrar of Births, Deaths and Marriages v</w:t>
      </w:r>
      <w:r>
        <w:rPr>
          <w:i/>
        </w:rPr>
        <w:t>.</w:t>
      </w:r>
      <w:r w:rsidRPr="0032594E">
        <w:rPr>
          <w:i/>
        </w:rPr>
        <w:t xml:space="preserve"> Norrie</w:t>
      </w:r>
      <w:r w:rsidRPr="0032594E">
        <w:t xml:space="preserve"> [2014] HCA 11 (2</w:t>
      </w:r>
      <w:r>
        <w:t> </w:t>
      </w:r>
      <w:r w:rsidRPr="0032594E">
        <w:t>April 2014)</w:t>
      </w:r>
      <w:r>
        <w:t xml:space="preserve">; and Supreme Court of India, </w:t>
      </w:r>
      <w:r w:rsidRPr="00EB09F4">
        <w:rPr>
          <w:i/>
        </w:rPr>
        <w:t xml:space="preserve">National Legal Services Authority v. Union of India and </w:t>
      </w:r>
      <w:r>
        <w:rPr>
          <w:i/>
        </w:rPr>
        <w:t>O</w:t>
      </w:r>
      <w:r w:rsidRPr="00EB09F4">
        <w:rPr>
          <w:i/>
        </w:rPr>
        <w:t>thers</w:t>
      </w:r>
      <w:r w:rsidRPr="00493234">
        <w:t>,</w:t>
      </w:r>
      <w:r>
        <w:t xml:space="preserve"> </w:t>
      </w:r>
      <w:r w:rsidRPr="00493234">
        <w:t>Writ Pe</w:t>
      </w:r>
      <w:r>
        <w:t>tition (Civil) No. 400 of 2012, judgment of</w:t>
      </w:r>
      <w:r w:rsidRPr="00493234">
        <w:t xml:space="preserve"> 15 April 2014</w:t>
      </w:r>
      <w:r>
        <w:t>).</w:t>
      </w:r>
    </w:p>
  </w:footnote>
  <w:footnote w:id="5">
    <w:p w:rsidR="00242D29" w:rsidRPr="00493234" w:rsidRDefault="00242D29" w:rsidP="00704721">
      <w:pPr>
        <w:pStyle w:val="Tekstprzypisudolnego"/>
        <w:rPr>
          <w:i/>
        </w:rPr>
      </w:pPr>
      <w:r w:rsidRPr="00665001">
        <w:rPr>
          <w:rStyle w:val="Odwoanieprzypisudolnego"/>
        </w:rPr>
        <w:t>5</w:t>
      </w:r>
      <w:r w:rsidRPr="00665001">
        <w:rPr>
          <w:i/>
        </w:rPr>
        <w:t> </w:t>
      </w:r>
      <w:r>
        <w:t> Supreme Court of India, judgment of</w:t>
      </w:r>
      <w:r w:rsidRPr="00493234">
        <w:t xml:space="preserve"> 15 April 2014, </w:t>
      </w:r>
      <w:r>
        <w:t xml:space="preserve">cited above at </w:t>
      </w:r>
      <w:r w:rsidRPr="00116F84">
        <w:t>footnote 4</w:t>
      </w:r>
      <w:r w:rsidRPr="00493234">
        <w:t>.</w:t>
      </w:r>
    </w:p>
  </w:footnote>
  <w:footnote w:id="6">
    <w:p w:rsidR="00242D29" w:rsidRPr="00F421C5" w:rsidRDefault="00242D29" w:rsidP="00704721">
      <w:pPr>
        <w:pStyle w:val="Tekstprzypisudolnego"/>
      </w:pPr>
      <w:r w:rsidRPr="00665001">
        <w:rPr>
          <w:rStyle w:val="Odwoanieprzypisudolnego"/>
        </w:rPr>
        <w:t>6</w:t>
      </w:r>
      <w:r>
        <w:t>  Alex</w:t>
      </w:r>
      <w:r w:rsidRPr="00DC2E5C">
        <w:t xml:space="preserve"> </w:t>
      </w:r>
      <w:r>
        <w:t xml:space="preserve">Sharpe, “Transgender Marriage and the Legal Obligation to Disclose Gender History”, Vol. 75, </w:t>
      </w:r>
      <w:r w:rsidRPr="00F421C5">
        <w:rPr>
          <w:i/>
        </w:rPr>
        <w:t>The Modern Law Review</w:t>
      </w:r>
      <w:r>
        <w:t xml:space="preserve"> (2012), pp. 33-53, at p. 39.</w:t>
      </w:r>
    </w:p>
  </w:footnote>
  <w:footnote w:id="7">
    <w:p w:rsidR="00242D29" w:rsidRPr="001A223F" w:rsidRDefault="00242D29" w:rsidP="00676D3F">
      <w:pPr>
        <w:pStyle w:val="Tekstprzypisudolnego"/>
        <w:keepNext/>
        <w:keepLines/>
      </w:pPr>
      <w:r w:rsidRPr="00665001">
        <w:rPr>
          <w:rStyle w:val="Odwoanieprzypisudolnego"/>
        </w:rPr>
        <w:t>7</w:t>
      </w:r>
      <w:r>
        <w:t>  </w:t>
      </w:r>
      <w:r w:rsidRPr="0031614F">
        <w:t xml:space="preserve">International Commission of Jurists, </w:t>
      </w:r>
      <w:r w:rsidRPr="0031614F">
        <w:rPr>
          <w:i/>
        </w:rPr>
        <w:t xml:space="preserve">Yogyakarta Principles on the Application of </w:t>
      </w:r>
      <w:r w:rsidRPr="008A7DA1">
        <w:rPr>
          <w:i/>
        </w:rPr>
        <w:t xml:space="preserve">International Human </w:t>
      </w:r>
      <w:r w:rsidRPr="00EE3A36">
        <w:rPr>
          <w:i/>
        </w:rPr>
        <w:t>Rights Law in Relation to Sexual Orientation and Gender Identity</w:t>
      </w:r>
      <w:r w:rsidRPr="00EE3A36">
        <w:t xml:space="preserve">, March 2007, available at </w:t>
      </w:r>
      <w:r w:rsidRPr="00214F1B">
        <w:t>http://www.yogyakartaprinciples.org/principles_en.htm</w:t>
      </w:r>
      <w:r>
        <w:t>.</w:t>
      </w:r>
      <w:r w:rsidRPr="00EE3A36">
        <w:t xml:space="preserve"> Principle 3</w:t>
      </w:r>
      <w:r>
        <w:t xml:space="preserve">, </w:t>
      </w:r>
      <w:r w:rsidRPr="00642A12">
        <w:t xml:space="preserve">which concerns the right to recognition before the law, states among other things: </w:t>
      </w:r>
      <w:r w:rsidRPr="001A223F">
        <w:t>“</w:t>
      </w:r>
      <w:r w:rsidRPr="001A223F">
        <w:rPr>
          <w:rStyle w:val="Pogrubienie"/>
          <w:b w:val="0"/>
          <w:color w:val="000000"/>
          <w:lang w:val="en-GB"/>
        </w:rPr>
        <w:t>No status, such as marriage or parenthood, may be invoked as such to prevent the legal recognition of a person’s gender identity”</w:t>
      </w:r>
      <w:r w:rsidRPr="001A223F">
        <w:t>.</w:t>
      </w:r>
    </w:p>
  </w:footnote>
  <w:footnote w:id="8">
    <w:p w:rsidR="00242D29" w:rsidRPr="00F52FC1" w:rsidRDefault="00242D29" w:rsidP="00704721">
      <w:pPr>
        <w:pStyle w:val="Tekstprzypisudolnego"/>
      </w:pPr>
      <w:r w:rsidRPr="00665001">
        <w:rPr>
          <w:rStyle w:val="Odwoanieprzypisudolnego"/>
        </w:rPr>
        <w:t>8</w:t>
      </w:r>
      <w:r>
        <w:t>  </w:t>
      </w:r>
      <w:r w:rsidRPr="00F53AD8">
        <w:t>Constitutional Court of Austria, V 4/06-7, 8 June 2006, at IV.2; Federal Constitutional Court of Germany, 1 BvL 10/05, 27 May 2008, § 49</w:t>
      </w:r>
      <w:r>
        <w:t>; Constitutional Court of Italy, no. 170/2014, 11 June 2014 (the latter decision delivered after the adoption by the Grand Chamber</w:t>
      </w:r>
      <w:r w:rsidRPr="00341B4C">
        <w:t xml:space="preserve"> </w:t>
      </w:r>
      <w:r>
        <w:t>of the present judgment)</w:t>
      </w:r>
      <w:r w:rsidRPr="00F53AD8">
        <w:t xml:space="preserve">. </w:t>
      </w:r>
      <w:r>
        <w:t>We acknowledge</w:t>
      </w:r>
      <w:r w:rsidRPr="00F53AD8">
        <w:t xml:space="preserve">, however, that the </w:t>
      </w:r>
      <w:r>
        <w:t>Austrian</w:t>
      </w:r>
      <w:r w:rsidRPr="00F53AD8">
        <w:t xml:space="preserve"> </w:t>
      </w:r>
      <w:r>
        <w:t>court</w:t>
      </w:r>
      <w:r w:rsidRPr="00F53AD8">
        <w:t xml:space="preserve"> considered only the fact that a legal change of gender was not possible for persons who were married, and did not examine the consequences of this change for the person’s civil status.</w:t>
      </w:r>
      <w:r>
        <w:t xml:space="preserve"> </w:t>
      </w:r>
      <w:r w:rsidRPr="00F53AD8">
        <w:t xml:space="preserve">The </w:t>
      </w:r>
      <w:r>
        <w:t>German</w:t>
      </w:r>
      <w:r w:rsidRPr="00F53AD8">
        <w:t xml:space="preserve"> </w:t>
      </w:r>
      <w:r>
        <w:t xml:space="preserve">and Italian </w:t>
      </w:r>
      <w:r w:rsidRPr="00F53AD8">
        <w:t>court</w:t>
      </w:r>
      <w:r>
        <w:t>s</w:t>
      </w:r>
      <w:r w:rsidRPr="00F53AD8">
        <w:t xml:space="preserve"> considered that the dissolution of marriages in these cases was </w:t>
      </w:r>
      <w:r>
        <w:t>forbidden</w:t>
      </w:r>
      <w:r w:rsidRPr="00F53AD8">
        <w:t xml:space="preserve"> because – unlike in the</w:t>
      </w:r>
      <w:r>
        <w:t xml:space="preserve"> present</w:t>
      </w:r>
      <w:r w:rsidRPr="00F53AD8">
        <w:t xml:space="preserve"> case – the domestic regulation provided no possibility of continuing the relationship in another form (i.e. as a registered partnership)</w:t>
      </w:r>
      <w:r>
        <w:t>, and the rights and duties of the spouses would therefore be diminished</w:t>
      </w:r>
      <w:r w:rsidRPr="00F53AD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A45145" w:rsidRDefault="00242D29" w:rsidP="00846DB9">
    <w:pPr>
      <w:jc w:val="center"/>
    </w:pPr>
    <w:r>
      <w:rPr>
        <w:noProof/>
        <w:lang w:val="pl-PL" w:eastAsia="pl-PL"/>
      </w:rPr>
      <w:drawing>
        <wp:inline distT="0" distB="0" distL="0" distR="0" wp14:anchorId="5C97F439" wp14:editId="4C8105A0">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42D29" w:rsidRPr="0035700F" w:rsidRDefault="00242D29" w:rsidP="00FD2D30">
    <w:pPr>
      <w:pStyle w:val="ECHRHeader"/>
      <w:jc w:val="center"/>
      <w:rPr>
        <w:rStyle w:val="Numerstrony"/>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AC7C1A" w:rsidRDefault="00242D29" w:rsidP="008D6F6E">
    <w:pPr>
      <w:pStyle w:val="ECHRHeader"/>
    </w:pPr>
    <w:r>
      <w:rPr>
        <w:rStyle w:val="Numerstrony"/>
      </w:rPr>
      <w:fldChar w:fldCharType="begin"/>
    </w:r>
    <w:r w:rsidRPr="00AC7C1A">
      <w:rPr>
        <w:rStyle w:val="Numerstrony"/>
      </w:rPr>
      <w:instrText xml:space="preserve"> PAGE </w:instrText>
    </w:r>
    <w:r>
      <w:rPr>
        <w:rStyle w:val="Numerstrony"/>
      </w:rPr>
      <w:fldChar w:fldCharType="separate"/>
    </w:r>
    <w:r w:rsidR="000B0191">
      <w:rPr>
        <w:rStyle w:val="Numerstrony"/>
        <w:noProof/>
      </w:rPr>
      <w:t>28</w:t>
    </w:r>
    <w:r>
      <w:rPr>
        <w:rStyle w:val="Numerstrony"/>
      </w:rPr>
      <w:fldChar w:fldCharType="end"/>
    </w:r>
    <w:r>
      <w:tab/>
      <w:t>HÄMÄLÄINEN v. FINLAND</w:t>
    </w:r>
    <w:r w:rsidRPr="00AC7C1A">
      <w:t xml:space="preserve"> </w:t>
    </w:r>
    <w: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47015D" w:rsidRDefault="00242D29" w:rsidP="008D6F6E">
    <w:pPr>
      <w:pStyle w:val="ECHRHeader"/>
    </w:pPr>
    <w:r>
      <w:tab/>
      <w:t>HÄMÄLÄINEN v. FINLAND JUDGMENT</w:t>
    </w:r>
    <w:r>
      <w:tab/>
    </w:r>
    <w:r>
      <w:rPr>
        <w:rStyle w:val="Numerstrony"/>
      </w:rPr>
      <w:fldChar w:fldCharType="begin"/>
    </w:r>
    <w:r>
      <w:rPr>
        <w:rStyle w:val="Numerstrony"/>
      </w:rPr>
      <w:instrText xml:space="preserve"> PAGE </w:instrText>
    </w:r>
    <w:r>
      <w:rPr>
        <w:rStyle w:val="Numerstrony"/>
      </w:rPr>
      <w:fldChar w:fldCharType="separate"/>
    </w:r>
    <w:r w:rsidR="000B0191">
      <w:rPr>
        <w:rStyle w:val="Numerstrony"/>
        <w:noProof/>
      </w:rPr>
      <w:t>27</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DF7FBE" w:rsidRDefault="00242D29" w:rsidP="00517A22">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0B0191">
      <w:rPr>
        <w:rStyle w:val="Numerstrony"/>
        <w:noProof/>
        <w:szCs w:val="18"/>
      </w:rPr>
      <w:t>38</w:t>
    </w:r>
    <w:r>
      <w:rPr>
        <w:rStyle w:val="Numerstrony"/>
        <w:szCs w:val="18"/>
      </w:rPr>
      <w:fldChar w:fldCharType="end"/>
    </w:r>
    <w:r w:rsidRPr="0035700F">
      <w:tab/>
    </w:r>
    <w:r>
      <w:t>HÄMÄLÄINEN v. FINLAND</w:t>
    </w:r>
    <w:r w:rsidRPr="0035700F">
      <w:t xml:space="preserve"> </w:t>
    </w:r>
    <w:r>
      <w:t>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29" w:rsidRPr="0035700F" w:rsidRDefault="00242D29" w:rsidP="00517A22">
    <w:pPr>
      <w:pStyle w:val="ECHRHeader"/>
      <w:rPr>
        <w:rStyle w:val="Numerstrony"/>
        <w:szCs w:val="18"/>
      </w:rPr>
    </w:pPr>
    <w:r w:rsidRPr="00DF7FBE">
      <w:tab/>
    </w:r>
    <w:r>
      <w:t>HÄMÄLÄINEN v. FINLAND</w:t>
    </w:r>
    <w:r w:rsidRPr="0035700F">
      <w:t xml:space="preserve"> </w:t>
    </w:r>
    <w:r>
      <w:t>JUDGMENT –</w:t>
    </w:r>
    <w:r w:rsidRPr="00AC7C1A">
      <w:t xml:space="preserve"> </w:t>
    </w:r>
    <w:r>
      <w:t>SEPARATE OPINIONS</w:t>
    </w:r>
    <w:r w:rsidRPr="0035700F">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0B0191">
      <w:rPr>
        <w:rStyle w:val="Numerstrony"/>
        <w:noProof/>
        <w:szCs w:val="18"/>
      </w:rPr>
      <w:t>39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3C5E70B0"/>
    <w:lvl w:ilvl="0">
      <w:start w:val="1"/>
      <w:numFmt w:val="decimal"/>
      <w:pStyle w:val="Listanumerowana"/>
      <w:lvlText w:val="%1."/>
      <w:lvlJc w:val="left"/>
      <w:pPr>
        <w:tabs>
          <w:tab w:val="num" w:pos="360"/>
        </w:tabs>
        <w:ind w:left="360" w:hanging="360"/>
      </w:pPr>
    </w:lvl>
  </w:abstractNum>
  <w:abstractNum w:abstractNumId="9">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8"/>
  </w:num>
  <w:num w:numId="5">
    <w:abstractNumId w:val="11"/>
  </w:num>
  <w:num w:numId="6">
    <w:abstractNumId w:val="10"/>
  </w:num>
  <w:num w:numId="7">
    <w:abstractNumId w:val="9"/>
  </w:num>
  <w:num w:numId="8">
    <w:abstractNumId w:val="13"/>
  </w:num>
  <w:num w:numId="9">
    <w:abstractNumId w:val="5"/>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990C94"/>
    <w:rsid w:val="000012DA"/>
    <w:rsid w:val="00001804"/>
    <w:rsid w:val="0000381A"/>
    <w:rsid w:val="00006519"/>
    <w:rsid w:val="00016FDB"/>
    <w:rsid w:val="000202F9"/>
    <w:rsid w:val="0003498F"/>
    <w:rsid w:val="000425BD"/>
    <w:rsid w:val="00044C37"/>
    <w:rsid w:val="00047717"/>
    <w:rsid w:val="00053416"/>
    <w:rsid w:val="00060021"/>
    <w:rsid w:val="00060CBF"/>
    <w:rsid w:val="00071EE3"/>
    <w:rsid w:val="0007238A"/>
    <w:rsid w:val="00072F1F"/>
    <w:rsid w:val="00085109"/>
    <w:rsid w:val="000854A7"/>
    <w:rsid w:val="0008642A"/>
    <w:rsid w:val="000913C7"/>
    <w:rsid w:val="000B0191"/>
    <w:rsid w:val="000B4207"/>
    <w:rsid w:val="000C5228"/>
    <w:rsid w:val="000C64E5"/>
    <w:rsid w:val="000D37A7"/>
    <w:rsid w:val="000D3982"/>
    <w:rsid w:val="000E4B8F"/>
    <w:rsid w:val="000E4CBF"/>
    <w:rsid w:val="000F493F"/>
    <w:rsid w:val="000F5643"/>
    <w:rsid w:val="000F5861"/>
    <w:rsid w:val="001155A2"/>
    <w:rsid w:val="00124DE8"/>
    <w:rsid w:val="00131DA1"/>
    <w:rsid w:val="00136071"/>
    <w:rsid w:val="00146CA7"/>
    <w:rsid w:val="001535ED"/>
    <w:rsid w:val="00157C7F"/>
    <w:rsid w:val="001628F8"/>
    <w:rsid w:val="00166419"/>
    <w:rsid w:val="00175D81"/>
    <w:rsid w:val="0017707A"/>
    <w:rsid w:val="00181A66"/>
    <w:rsid w:val="00182A39"/>
    <w:rsid w:val="00185C22"/>
    <w:rsid w:val="00190605"/>
    <w:rsid w:val="00190B1B"/>
    <w:rsid w:val="001A223F"/>
    <w:rsid w:val="001B0482"/>
    <w:rsid w:val="001C352B"/>
    <w:rsid w:val="001C7887"/>
    <w:rsid w:val="001D0B38"/>
    <w:rsid w:val="001D3CDA"/>
    <w:rsid w:val="001E44AA"/>
    <w:rsid w:val="001F1727"/>
    <w:rsid w:val="001F3507"/>
    <w:rsid w:val="002019CE"/>
    <w:rsid w:val="0021006A"/>
    <w:rsid w:val="0022776E"/>
    <w:rsid w:val="00227E1E"/>
    <w:rsid w:val="002318FB"/>
    <w:rsid w:val="0023304C"/>
    <w:rsid w:val="0024038E"/>
    <w:rsid w:val="00242D29"/>
    <w:rsid w:val="0025045D"/>
    <w:rsid w:val="00250556"/>
    <w:rsid w:val="00250D55"/>
    <w:rsid w:val="00252AE3"/>
    <w:rsid w:val="00255C6B"/>
    <w:rsid w:val="00256D9C"/>
    <w:rsid w:val="0026086B"/>
    <w:rsid w:val="00262291"/>
    <w:rsid w:val="002656DF"/>
    <w:rsid w:val="002673D2"/>
    <w:rsid w:val="00267BF8"/>
    <w:rsid w:val="00270A7B"/>
    <w:rsid w:val="00271B22"/>
    <w:rsid w:val="00274F58"/>
    <w:rsid w:val="00283F8B"/>
    <w:rsid w:val="0028648E"/>
    <w:rsid w:val="00293724"/>
    <w:rsid w:val="00293D1F"/>
    <w:rsid w:val="0029745A"/>
    <w:rsid w:val="002A1733"/>
    <w:rsid w:val="002A5CBA"/>
    <w:rsid w:val="002B67B3"/>
    <w:rsid w:val="002C1DE0"/>
    <w:rsid w:val="002C3E13"/>
    <w:rsid w:val="002C605E"/>
    <w:rsid w:val="002D4900"/>
    <w:rsid w:val="002D4E51"/>
    <w:rsid w:val="002D5258"/>
    <w:rsid w:val="002D6A32"/>
    <w:rsid w:val="002E3A10"/>
    <w:rsid w:val="002E77A6"/>
    <w:rsid w:val="002F6C4A"/>
    <w:rsid w:val="002F7270"/>
    <w:rsid w:val="0030022B"/>
    <w:rsid w:val="00304463"/>
    <w:rsid w:val="00304D87"/>
    <w:rsid w:val="00305DA9"/>
    <w:rsid w:val="00310A22"/>
    <w:rsid w:val="0031194C"/>
    <w:rsid w:val="00316886"/>
    <w:rsid w:val="0032554A"/>
    <w:rsid w:val="00327DED"/>
    <w:rsid w:val="003357CF"/>
    <w:rsid w:val="00342A7E"/>
    <w:rsid w:val="00351F60"/>
    <w:rsid w:val="00352356"/>
    <w:rsid w:val="003536AC"/>
    <w:rsid w:val="0035700F"/>
    <w:rsid w:val="0037633E"/>
    <w:rsid w:val="0039117A"/>
    <w:rsid w:val="00394858"/>
    <w:rsid w:val="003B4B1C"/>
    <w:rsid w:val="003D0A66"/>
    <w:rsid w:val="003D566B"/>
    <w:rsid w:val="003D7F53"/>
    <w:rsid w:val="003E5B66"/>
    <w:rsid w:val="003F367B"/>
    <w:rsid w:val="003F557C"/>
    <w:rsid w:val="00400163"/>
    <w:rsid w:val="004041D6"/>
    <w:rsid w:val="004058E5"/>
    <w:rsid w:val="00410A59"/>
    <w:rsid w:val="00410F17"/>
    <w:rsid w:val="00414215"/>
    <w:rsid w:val="00414543"/>
    <w:rsid w:val="00423C5E"/>
    <w:rsid w:val="0042622A"/>
    <w:rsid w:val="00427331"/>
    <w:rsid w:val="00430FDF"/>
    <w:rsid w:val="00444788"/>
    <w:rsid w:val="00452B94"/>
    <w:rsid w:val="00456713"/>
    <w:rsid w:val="00460054"/>
    <w:rsid w:val="00460CE2"/>
    <w:rsid w:val="004619A0"/>
    <w:rsid w:val="00467839"/>
    <w:rsid w:val="00473D47"/>
    <w:rsid w:val="004821FC"/>
    <w:rsid w:val="004859DB"/>
    <w:rsid w:val="00487699"/>
    <w:rsid w:val="004926A0"/>
    <w:rsid w:val="00493258"/>
    <w:rsid w:val="0049391A"/>
    <w:rsid w:val="00496C82"/>
    <w:rsid w:val="004B1F87"/>
    <w:rsid w:val="004B3152"/>
    <w:rsid w:val="004B54D0"/>
    <w:rsid w:val="004B57AC"/>
    <w:rsid w:val="004B66CC"/>
    <w:rsid w:val="004C499E"/>
    <w:rsid w:val="004C61F3"/>
    <w:rsid w:val="004D4F4E"/>
    <w:rsid w:val="004E6CB1"/>
    <w:rsid w:val="004F1902"/>
    <w:rsid w:val="004F1FB8"/>
    <w:rsid w:val="004F58B9"/>
    <w:rsid w:val="005053D8"/>
    <w:rsid w:val="00511C90"/>
    <w:rsid w:val="00517A22"/>
    <w:rsid w:val="00523907"/>
    <w:rsid w:val="00540E35"/>
    <w:rsid w:val="005465A0"/>
    <w:rsid w:val="00550565"/>
    <w:rsid w:val="00552586"/>
    <w:rsid w:val="00553DBB"/>
    <w:rsid w:val="0055719C"/>
    <w:rsid w:val="00557E10"/>
    <w:rsid w:val="00577F05"/>
    <w:rsid w:val="005803E1"/>
    <w:rsid w:val="005804B2"/>
    <w:rsid w:val="00580A33"/>
    <w:rsid w:val="005843F2"/>
    <w:rsid w:val="00584F9D"/>
    <w:rsid w:val="00587536"/>
    <w:rsid w:val="005877BE"/>
    <w:rsid w:val="00590D71"/>
    <w:rsid w:val="00592392"/>
    <w:rsid w:val="005A1233"/>
    <w:rsid w:val="005A2423"/>
    <w:rsid w:val="005A7761"/>
    <w:rsid w:val="005B056A"/>
    <w:rsid w:val="005B2AAF"/>
    <w:rsid w:val="005B3D3C"/>
    <w:rsid w:val="005C094F"/>
    <w:rsid w:val="005C1D48"/>
    <w:rsid w:val="005C65CB"/>
    <w:rsid w:val="005C699F"/>
    <w:rsid w:val="005D42AD"/>
    <w:rsid w:val="005D4341"/>
    <w:rsid w:val="005D4A7D"/>
    <w:rsid w:val="005F03C3"/>
    <w:rsid w:val="005F0A59"/>
    <w:rsid w:val="005F3E7F"/>
    <w:rsid w:val="005F4BC9"/>
    <w:rsid w:val="0060220C"/>
    <w:rsid w:val="0062020D"/>
    <w:rsid w:val="00635FC3"/>
    <w:rsid w:val="0064000E"/>
    <w:rsid w:val="006409C9"/>
    <w:rsid w:val="00643B61"/>
    <w:rsid w:val="0065258F"/>
    <w:rsid w:val="0065411D"/>
    <w:rsid w:val="00663C4A"/>
    <w:rsid w:val="006647B4"/>
    <w:rsid w:val="00666BDA"/>
    <w:rsid w:val="00676D3F"/>
    <w:rsid w:val="00676FCF"/>
    <w:rsid w:val="006779D0"/>
    <w:rsid w:val="006804BF"/>
    <w:rsid w:val="00682202"/>
    <w:rsid w:val="006831EC"/>
    <w:rsid w:val="006873BD"/>
    <w:rsid w:val="006978CE"/>
    <w:rsid w:val="00697C99"/>
    <w:rsid w:val="006A5A8E"/>
    <w:rsid w:val="006B0ADE"/>
    <w:rsid w:val="006B2B58"/>
    <w:rsid w:val="006B4FE9"/>
    <w:rsid w:val="006C361E"/>
    <w:rsid w:val="006D0DEA"/>
    <w:rsid w:val="006D4073"/>
    <w:rsid w:val="006E5350"/>
    <w:rsid w:val="006E62DC"/>
    <w:rsid w:val="006E764E"/>
    <w:rsid w:val="006F7AB6"/>
    <w:rsid w:val="00700D07"/>
    <w:rsid w:val="00704721"/>
    <w:rsid w:val="0070655C"/>
    <w:rsid w:val="007128DC"/>
    <w:rsid w:val="00716079"/>
    <w:rsid w:val="00720A1A"/>
    <w:rsid w:val="00723C2F"/>
    <w:rsid w:val="0072701E"/>
    <w:rsid w:val="0072703B"/>
    <w:rsid w:val="007408C2"/>
    <w:rsid w:val="0074595F"/>
    <w:rsid w:val="00750D73"/>
    <w:rsid w:val="00760A90"/>
    <w:rsid w:val="007663F7"/>
    <w:rsid w:val="00770057"/>
    <w:rsid w:val="00771DC8"/>
    <w:rsid w:val="00775D70"/>
    <w:rsid w:val="007815D2"/>
    <w:rsid w:val="0078365E"/>
    <w:rsid w:val="00783969"/>
    <w:rsid w:val="00785FA1"/>
    <w:rsid w:val="007950E2"/>
    <w:rsid w:val="0079559F"/>
    <w:rsid w:val="00797FF5"/>
    <w:rsid w:val="007A069F"/>
    <w:rsid w:val="007C6D14"/>
    <w:rsid w:val="007C6F0F"/>
    <w:rsid w:val="007C7DC7"/>
    <w:rsid w:val="007D2285"/>
    <w:rsid w:val="007D2983"/>
    <w:rsid w:val="007D36E2"/>
    <w:rsid w:val="007D3B79"/>
    <w:rsid w:val="007D3D2D"/>
    <w:rsid w:val="007D551E"/>
    <w:rsid w:val="007E10F3"/>
    <w:rsid w:val="007E2A35"/>
    <w:rsid w:val="007E77F4"/>
    <w:rsid w:val="007F27E8"/>
    <w:rsid w:val="007F320A"/>
    <w:rsid w:val="008029CD"/>
    <w:rsid w:val="008039BB"/>
    <w:rsid w:val="00804042"/>
    <w:rsid w:val="00804C95"/>
    <w:rsid w:val="00805A7D"/>
    <w:rsid w:val="008070B1"/>
    <w:rsid w:val="00807C96"/>
    <w:rsid w:val="008104EB"/>
    <w:rsid w:val="0081067D"/>
    <w:rsid w:val="00816CC6"/>
    <w:rsid w:val="00823BFA"/>
    <w:rsid w:val="008278B9"/>
    <w:rsid w:val="0083211E"/>
    <w:rsid w:val="0083220B"/>
    <w:rsid w:val="00832EE3"/>
    <w:rsid w:val="008379CA"/>
    <w:rsid w:val="0084088E"/>
    <w:rsid w:val="008430ED"/>
    <w:rsid w:val="00844691"/>
    <w:rsid w:val="00846DB9"/>
    <w:rsid w:val="00851FEA"/>
    <w:rsid w:val="00855AE4"/>
    <w:rsid w:val="00857A6B"/>
    <w:rsid w:val="008630A2"/>
    <w:rsid w:val="00864049"/>
    <w:rsid w:val="00867D03"/>
    <w:rsid w:val="00870608"/>
    <w:rsid w:val="00871BC7"/>
    <w:rsid w:val="00871CCB"/>
    <w:rsid w:val="0087245E"/>
    <w:rsid w:val="00880F59"/>
    <w:rsid w:val="008901C4"/>
    <w:rsid w:val="00894027"/>
    <w:rsid w:val="008A01D0"/>
    <w:rsid w:val="008A4635"/>
    <w:rsid w:val="008A4E08"/>
    <w:rsid w:val="008B0F21"/>
    <w:rsid w:val="008B718E"/>
    <w:rsid w:val="008B72C1"/>
    <w:rsid w:val="008C30D1"/>
    <w:rsid w:val="008D5528"/>
    <w:rsid w:val="008D6D17"/>
    <w:rsid w:val="008D6F6E"/>
    <w:rsid w:val="008E36F2"/>
    <w:rsid w:val="008E3E37"/>
    <w:rsid w:val="008F005F"/>
    <w:rsid w:val="008F247B"/>
    <w:rsid w:val="00910348"/>
    <w:rsid w:val="00910AB6"/>
    <w:rsid w:val="009113FC"/>
    <w:rsid w:val="00911E7A"/>
    <w:rsid w:val="00916D98"/>
    <w:rsid w:val="00920BC2"/>
    <w:rsid w:val="009341BD"/>
    <w:rsid w:val="00945500"/>
    <w:rsid w:val="0094557B"/>
    <w:rsid w:val="009607CB"/>
    <w:rsid w:val="00961205"/>
    <w:rsid w:val="0096205E"/>
    <w:rsid w:val="009711A6"/>
    <w:rsid w:val="0097387D"/>
    <w:rsid w:val="00973CA6"/>
    <w:rsid w:val="00974FC3"/>
    <w:rsid w:val="0097701E"/>
    <w:rsid w:val="00977925"/>
    <w:rsid w:val="009807B8"/>
    <w:rsid w:val="009822EA"/>
    <w:rsid w:val="00986C30"/>
    <w:rsid w:val="00990C94"/>
    <w:rsid w:val="00991B36"/>
    <w:rsid w:val="009A0233"/>
    <w:rsid w:val="009A1235"/>
    <w:rsid w:val="009A1AA3"/>
    <w:rsid w:val="009B298D"/>
    <w:rsid w:val="009B2CB5"/>
    <w:rsid w:val="009C77FB"/>
    <w:rsid w:val="009E613F"/>
    <w:rsid w:val="009F4C41"/>
    <w:rsid w:val="00A040EE"/>
    <w:rsid w:val="00A13306"/>
    <w:rsid w:val="00A1359E"/>
    <w:rsid w:val="00A16917"/>
    <w:rsid w:val="00A23050"/>
    <w:rsid w:val="00A25F58"/>
    <w:rsid w:val="00A27D16"/>
    <w:rsid w:val="00A30535"/>
    <w:rsid w:val="00A35E40"/>
    <w:rsid w:val="00A47B4B"/>
    <w:rsid w:val="00A53A1D"/>
    <w:rsid w:val="00A5569F"/>
    <w:rsid w:val="00A719E6"/>
    <w:rsid w:val="00A75508"/>
    <w:rsid w:val="00A756D3"/>
    <w:rsid w:val="00A76514"/>
    <w:rsid w:val="00A76F5E"/>
    <w:rsid w:val="00A811CB"/>
    <w:rsid w:val="00A8260C"/>
    <w:rsid w:val="00A85CDA"/>
    <w:rsid w:val="00A869CB"/>
    <w:rsid w:val="00A952B1"/>
    <w:rsid w:val="00A97810"/>
    <w:rsid w:val="00AA0884"/>
    <w:rsid w:val="00AA1FDD"/>
    <w:rsid w:val="00AA5C1D"/>
    <w:rsid w:val="00AB11DE"/>
    <w:rsid w:val="00AB193C"/>
    <w:rsid w:val="00AB5A4B"/>
    <w:rsid w:val="00AC23C3"/>
    <w:rsid w:val="00AC5A72"/>
    <w:rsid w:val="00AC6958"/>
    <w:rsid w:val="00AC7EB0"/>
    <w:rsid w:val="00AD5065"/>
    <w:rsid w:val="00AD5C55"/>
    <w:rsid w:val="00AD62FB"/>
    <w:rsid w:val="00AE52FC"/>
    <w:rsid w:val="00AF139E"/>
    <w:rsid w:val="00AF23DA"/>
    <w:rsid w:val="00AF28D1"/>
    <w:rsid w:val="00AF3F83"/>
    <w:rsid w:val="00AF6641"/>
    <w:rsid w:val="00B01DB6"/>
    <w:rsid w:val="00B03FC0"/>
    <w:rsid w:val="00B1169F"/>
    <w:rsid w:val="00B14B81"/>
    <w:rsid w:val="00B17EC7"/>
    <w:rsid w:val="00B23185"/>
    <w:rsid w:val="00B37FA5"/>
    <w:rsid w:val="00B52BCD"/>
    <w:rsid w:val="00B57C11"/>
    <w:rsid w:val="00B61A5C"/>
    <w:rsid w:val="00B70591"/>
    <w:rsid w:val="00B71C55"/>
    <w:rsid w:val="00B723D0"/>
    <w:rsid w:val="00B76BBA"/>
    <w:rsid w:val="00B81113"/>
    <w:rsid w:val="00B82942"/>
    <w:rsid w:val="00B922E3"/>
    <w:rsid w:val="00B92B67"/>
    <w:rsid w:val="00B9571C"/>
    <w:rsid w:val="00B97214"/>
    <w:rsid w:val="00BA26C1"/>
    <w:rsid w:val="00BA30DB"/>
    <w:rsid w:val="00BA32DE"/>
    <w:rsid w:val="00BA54F6"/>
    <w:rsid w:val="00BD116D"/>
    <w:rsid w:val="00BD3E16"/>
    <w:rsid w:val="00BD5E06"/>
    <w:rsid w:val="00BE0BC6"/>
    <w:rsid w:val="00BE0FFC"/>
    <w:rsid w:val="00BE1C18"/>
    <w:rsid w:val="00BE276A"/>
    <w:rsid w:val="00BF2D33"/>
    <w:rsid w:val="00BF799B"/>
    <w:rsid w:val="00C01C1C"/>
    <w:rsid w:val="00C02C78"/>
    <w:rsid w:val="00C10EDE"/>
    <w:rsid w:val="00C17A2C"/>
    <w:rsid w:val="00C220C9"/>
    <w:rsid w:val="00C26DD2"/>
    <w:rsid w:val="00C31CFB"/>
    <w:rsid w:val="00C44E7A"/>
    <w:rsid w:val="00C51932"/>
    <w:rsid w:val="00C558EA"/>
    <w:rsid w:val="00C605C4"/>
    <w:rsid w:val="00C60BA6"/>
    <w:rsid w:val="00C62B4A"/>
    <w:rsid w:val="00C66EF2"/>
    <w:rsid w:val="00C73472"/>
    <w:rsid w:val="00C7631F"/>
    <w:rsid w:val="00C874D2"/>
    <w:rsid w:val="00C87E9D"/>
    <w:rsid w:val="00C91856"/>
    <w:rsid w:val="00C96A0A"/>
    <w:rsid w:val="00C96A6B"/>
    <w:rsid w:val="00CA1816"/>
    <w:rsid w:val="00CA1D8E"/>
    <w:rsid w:val="00CA5694"/>
    <w:rsid w:val="00CB037D"/>
    <w:rsid w:val="00CB1A13"/>
    <w:rsid w:val="00CC43E5"/>
    <w:rsid w:val="00CC477E"/>
    <w:rsid w:val="00CD0853"/>
    <w:rsid w:val="00CD37B2"/>
    <w:rsid w:val="00CD42D3"/>
    <w:rsid w:val="00CD49A7"/>
    <w:rsid w:val="00CD789B"/>
    <w:rsid w:val="00CE1D18"/>
    <w:rsid w:val="00CE293A"/>
    <w:rsid w:val="00CF5FC5"/>
    <w:rsid w:val="00D011E4"/>
    <w:rsid w:val="00D02611"/>
    <w:rsid w:val="00D07A96"/>
    <w:rsid w:val="00D16B8C"/>
    <w:rsid w:val="00D22249"/>
    <w:rsid w:val="00D2681F"/>
    <w:rsid w:val="00D32625"/>
    <w:rsid w:val="00D32C3C"/>
    <w:rsid w:val="00D35E1B"/>
    <w:rsid w:val="00D362F8"/>
    <w:rsid w:val="00D3686B"/>
    <w:rsid w:val="00D3714B"/>
    <w:rsid w:val="00D408F4"/>
    <w:rsid w:val="00D42058"/>
    <w:rsid w:val="00D4351B"/>
    <w:rsid w:val="00D436F6"/>
    <w:rsid w:val="00D50E6B"/>
    <w:rsid w:val="00D64171"/>
    <w:rsid w:val="00D645AB"/>
    <w:rsid w:val="00D64CB3"/>
    <w:rsid w:val="00D71E5E"/>
    <w:rsid w:val="00D71FB9"/>
    <w:rsid w:val="00D72F85"/>
    <w:rsid w:val="00D739DB"/>
    <w:rsid w:val="00D751F4"/>
    <w:rsid w:val="00D76569"/>
    <w:rsid w:val="00D81361"/>
    <w:rsid w:val="00D90F55"/>
    <w:rsid w:val="00D920C6"/>
    <w:rsid w:val="00DA6748"/>
    <w:rsid w:val="00DA6C22"/>
    <w:rsid w:val="00DB111C"/>
    <w:rsid w:val="00DB26CC"/>
    <w:rsid w:val="00DB78DE"/>
    <w:rsid w:val="00DC20FF"/>
    <w:rsid w:val="00DC6EDC"/>
    <w:rsid w:val="00DD45F0"/>
    <w:rsid w:val="00DE022A"/>
    <w:rsid w:val="00DE1C50"/>
    <w:rsid w:val="00DE2A62"/>
    <w:rsid w:val="00DE5D14"/>
    <w:rsid w:val="00DF2D26"/>
    <w:rsid w:val="00DF3B78"/>
    <w:rsid w:val="00DF5307"/>
    <w:rsid w:val="00DF5572"/>
    <w:rsid w:val="00DF775B"/>
    <w:rsid w:val="00DF7FBE"/>
    <w:rsid w:val="00E12322"/>
    <w:rsid w:val="00E145A8"/>
    <w:rsid w:val="00E21EFE"/>
    <w:rsid w:val="00E26575"/>
    <w:rsid w:val="00E351F4"/>
    <w:rsid w:val="00E362B4"/>
    <w:rsid w:val="00E367B2"/>
    <w:rsid w:val="00E52128"/>
    <w:rsid w:val="00E55830"/>
    <w:rsid w:val="00E65334"/>
    <w:rsid w:val="00E73F63"/>
    <w:rsid w:val="00E80894"/>
    <w:rsid w:val="00E829B5"/>
    <w:rsid w:val="00E869C4"/>
    <w:rsid w:val="00E914AE"/>
    <w:rsid w:val="00E9311D"/>
    <w:rsid w:val="00E95550"/>
    <w:rsid w:val="00EA041E"/>
    <w:rsid w:val="00EA482B"/>
    <w:rsid w:val="00EB3472"/>
    <w:rsid w:val="00EB61E0"/>
    <w:rsid w:val="00EB78E4"/>
    <w:rsid w:val="00EC1F72"/>
    <w:rsid w:val="00EC72DF"/>
    <w:rsid w:val="00ED7DAE"/>
    <w:rsid w:val="00EE152A"/>
    <w:rsid w:val="00EF3DB7"/>
    <w:rsid w:val="00F0092E"/>
    <w:rsid w:val="00F13623"/>
    <w:rsid w:val="00F16FE9"/>
    <w:rsid w:val="00F251B0"/>
    <w:rsid w:val="00F30697"/>
    <w:rsid w:val="00F30DB2"/>
    <w:rsid w:val="00F42695"/>
    <w:rsid w:val="00F43833"/>
    <w:rsid w:val="00F47D0F"/>
    <w:rsid w:val="00F5160F"/>
    <w:rsid w:val="00F53D95"/>
    <w:rsid w:val="00F60772"/>
    <w:rsid w:val="00F661E4"/>
    <w:rsid w:val="00F6653C"/>
    <w:rsid w:val="00F70BE0"/>
    <w:rsid w:val="00F72A00"/>
    <w:rsid w:val="00F72AD6"/>
    <w:rsid w:val="00F843B7"/>
    <w:rsid w:val="00F85762"/>
    <w:rsid w:val="00F87F77"/>
    <w:rsid w:val="00F910A9"/>
    <w:rsid w:val="00F92A55"/>
    <w:rsid w:val="00FA2467"/>
    <w:rsid w:val="00FA2F7F"/>
    <w:rsid w:val="00FA439A"/>
    <w:rsid w:val="00FA6817"/>
    <w:rsid w:val="00FB3302"/>
    <w:rsid w:val="00FB4A91"/>
    <w:rsid w:val="00FD2D30"/>
    <w:rsid w:val="00FE032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footnote text" w:uiPriority="0"/>
    <w:lsdException w:name="annotation text" w:uiPriority="0"/>
    <w:lsdException w:name="header" w:uiPriority="48"/>
    <w:lsdException w:name="footer" w:uiPriority="0"/>
    <w:lsdException w:name="caption" w:qFormat="1"/>
    <w:lsdException w:name="footnote reference" w:uiPriority="0"/>
    <w:lsdException w:name="annotation reference" w:uiPriority="0"/>
    <w:lsdException w:name="page number" w:uiPriority="0"/>
    <w:lsdException w:name="endnote tex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804BF"/>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20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20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205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205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804BF"/>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4205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804BF"/>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6804BF"/>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6804BF"/>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Para"/>
    <w:basedOn w:val="Normalny"/>
    <w:link w:val="JuParaCar"/>
    <w:uiPriority w:val="12"/>
    <w:qFormat/>
    <w:rsid w:val="006804BF"/>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Nagwek1"/>
    <w:next w:val="ECHRPara"/>
    <w:uiPriority w:val="19"/>
    <w:qFormat/>
    <w:rsid w:val="006804BF"/>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6804BF"/>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semiHidden/>
    <w:rsid w:val="00D42058"/>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Nagwek2"/>
    <w:next w:val="ECHRPara"/>
    <w:link w:val="JuHAChar"/>
    <w:uiPriority w:val="20"/>
    <w:qFormat/>
    <w:rsid w:val="006804BF"/>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6804BF"/>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6804BF"/>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6804BF"/>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ny"/>
    <w:next w:val="ECHRPara"/>
    <w:uiPriority w:val="10"/>
    <w:rsid w:val="00D42058"/>
    <w:pPr>
      <w:ind w:firstLine="284"/>
    </w:pPr>
    <w:rPr>
      <w:b/>
    </w:rPr>
  </w:style>
  <w:style w:type="paragraph" w:customStyle="1" w:styleId="JuList">
    <w:name w:val="Ju_List"/>
    <w:basedOn w:val="Normalny"/>
    <w:link w:val="JuListChar"/>
    <w:uiPriority w:val="28"/>
    <w:qFormat/>
    <w:rsid w:val="006804BF"/>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Nagwek3"/>
    <w:next w:val="ECHRPara"/>
    <w:link w:val="JuH1Char"/>
    <w:uiPriority w:val="21"/>
    <w:qFormat/>
    <w:rsid w:val="006804BF"/>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uiPriority w:val="99"/>
    <w:semiHidden/>
    <w:rsid w:val="00F43833"/>
    <w:rPr>
      <w:b/>
      <w:bCs/>
    </w:rPr>
  </w:style>
  <w:style w:type="paragraph" w:styleId="Tekstkomentarza">
    <w:name w:val="annotation text"/>
    <w:basedOn w:val="Normalny"/>
    <w:semiHidden/>
    <w:rPr>
      <w:sz w:val="20"/>
    </w:rPr>
  </w:style>
  <w:style w:type="paragraph" w:customStyle="1" w:styleId="JuCourt">
    <w:name w:val="Ju_Court"/>
    <w:basedOn w:val="Normalny"/>
    <w:next w:val="Normalny"/>
    <w:uiPriority w:val="16"/>
    <w:qFormat/>
    <w:rsid w:val="006804BF"/>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D42058"/>
    <w:rPr>
      <w:sz w:val="20"/>
      <w:szCs w:val="20"/>
    </w:rPr>
  </w:style>
  <w:style w:type="character" w:styleId="Odwoanieprzypisudolnego">
    <w:name w:val="footnote reference"/>
    <w:basedOn w:val="Domylnaczcionkaakapitu"/>
    <w:semiHidden/>
    <w:rsid w:val="00D42058"/>
    <w:rPr>
      <w:vertAlign w:val="superscript"/>
    </w:rPr>
  </w:style>
  <w:style w:type="paragraph" w:styleId="Nagwek">
    <w:name w:val="header"/>
    <w:basedOn w:val="Normalny"/>
    <w:link w:val="NagwekZnak"/>
    <w:uiPriority w:val="48"/>
    <w:semiHidden/>
    <w:rsid w:val="00D42058"/>
    <w:pPr>
      <w:tabs>
        <w:tab w:val="center" w:pos="4536"/>
        <w:tab w:val="right" w:pos="9072"/>
      </w:tabs>
    </w:pPr>
    <w:rPr>
      <w:rFonts w:eastAsiaTheme="minorHAnsi"/>
    </w:rPr>
  </w:style>
  <w:style w:type="character" w:styleId="Numerstrony">
    <w:name w:val="page number"/>
    <w:semiHidden/>
    <w:rsid w:val="006978CE"/>
    <w:rPr>
      <w:sz w:val="18"/>
    </w:rPr>
  </w:style>
  <w:style w:type="paragraph" w:customStyle="1" w:styleId="JuLista">
    <w:name w:val="Ju_List_a"/>
    <w:basedOn w:val="JuList"/>
    <w:uiPriority w:val="28"/>
    <w:qFormat/>
    <w:rsid w:val="006804BF"/>
    <w:pPr>
      <w:ind w:left="346" w:firstLine="0"/>
    </w:pPr>
  </w:style>
  <w:style w:type="paragraph" w:customStyle="1" w:styleId="JuListi">
    <w:name w:val="Ju_List_i"/>
    <w:basedOn w:val="Normalny"/>
    <w:next w:val="JuLista"/>
    <w:uiPriority w:val="28"/>
    <w:qFormat/>
    <w:rsid w:val="006804BF"/>
    <w:pPr>
      <w:ind w:left="794"/>
    </w:pPr>
    <w:rPr>
      <w:lang w:val="fr-FR" w:eastAsia="fr-FR"/>
    </w:rPr>
  </w:style>
  <w:style w:type="character" w:styleId="Odwoaniedokomentarza">
    <w:name w:val="annotation reference"/>
    <w:semiHidden/>
    <w:rPr>
      <w:sz w:val="16"/>
    </w:rPr>
  </w:style>
  <w:style w:type="paragraph" w:customStyle="1" w:styleId="JuInitialled">
    <w:name w:val="Ju_Initialled"/>
    <w:basedOn w:val="Normalny"/>
    <w:uiPriority w:val="31"/>
    <w:qFormat/>
    <w:rsid w:val="006804BF"/>
    <w:pPr>
      <w:tabs>
        <w:tab w:val="center" w:pos="6407"/>
      </w:tabs>
      <w:spacing w:before="720"/>
      <w:jc w:val="right"/>
    </w:pPr>
    <w:rPr>
      <w:lang w:val="fr-FR" w:eastAsia="fr-FR"/>
    </w:rPr>
  </w:style>
  <w:style w:type="paragraph" w:styleId="Tekstdymka">
    <w:name w:val="Balloon Text"/>
    <w:basedOn w:val="Normalny"/>
    <w:link w:val="TekstdymkaZnak"/>
    <w:uiPriority w:val="99"/>
    <w:semiHidden/>
    <w:rsid w:val="00D42058"/>
    <w:rPr>
      <w:rFonts w:ascii="Tahoma" w:hAnsi="Tahoma" w:cs="Tahoma"/>
      <w:sz w:val="16"/>
      <w:szCs w:val="16"/>
    </w:rPr>
  </w:style>
  <w:style w:type="character" w:styleId="Odwoanieprzypisukocowego">
    <w:name w:val="endnote reference"/>
    <w:uiPriority w:val="99"/>
    <w:semiHidden/>
    <w:rsid w:val="006978CE"/>
    <w:rPr>
      <w:vertAlign w:val="superscript"/>
    </w:rPr>
  </w:style>
  <w:style w:type="paragraph" w:styleId="Tekstprzypisukocowego">
    <w:name w:val="endnote text"/>
    <w:basedOn w:val="Normalny"/>
    <w:link w:val="TekstprzypisukocowegoZnak"/>
    <w:semiHidden/>
    <w:rsid w:val="006978CE"/>
    <w:rPr>
      <w:sz w:val="20"/>
    </w:rPr>
  </w:style>
  <w:style w:type="character" w:styleId="UyteHipercze">
    <w:name w:val="FollowedHyperlink"/>
    <w:uiPriority w:val="99"/>
    <w:semiHidden/>
    <w:rsid w:val="006978CE"/>
    <w:rPr>
      <w:color w:val="800080"/>
      <w:u w:val="single"/>
    </w:rPr>
  </w:style>
  <w:style w:type="character" w:styleId="Hipercze">
    <w:name w:val="Hyperlink"/>
    <w:basedOn w:val="Domylnaczcionkaakapitu"/>
    <w:uiPriority w:val="99"/>
    <w:semiHidden/>
    <w:rsid w:val="00D42058"/>
    <w:rPr>
      <w:color w:val="0072BC" w:themeColor="hyperlink"/>
      <w:u w:val="single"/>
    </w:rPr>
  </w:style>
  <w:style w:type="paragraph" w:styleId="Mapadokumentu">
    <w:name w:val="Document Map"/>
    <w:basedOn w:val="Normalny"/>
    <w:uiPriority w:val="99"/>
    <w:semiHidden/>
    <w:rsid w:val="00AF23DA"/>
    <w:pPr>
      <w:shd w:val="clear" w:color="auto" w:fill="000080"/>
    </w:pPr>
    <w:rPr>
      <w:rFonts w:ascii="Tahoma" w:hAnsi="Tahoma" w:cs="Tahoma"/>
      <w:sz w:val="20"/>
    </w:rPr>
  </w:style>
  <w:style w:type="paragraph" w:styleId="Listapunktowana">
    <w:name w:val="List Bullet"/>
    <w:basedOn w:val="Normalny"/>
    <w:uiPriority w:val="99"/>
    <w:semiHidden/>
    <w:rsid w:val="00271B22"/>
    <w:pPr>
      <w:numPr>
        <w:numId w:val="5"/>
      </w:numPr>
    </w:pPr>
  </w:style>
  <w:style w:type="character" w:customStyle="1" w:styleId="JuITMark">
    <w:name w:val="Ju_ITMark"/>
    <w:basedOn w:val="Domylnaczcionkaakapitu"/>
    <w:uiPriority w:val="38"/>
    <w:qFormat/>
    <w:rsid w:val="006804BF"/>
    <w:rPr>
      <w:vanish w:val="0"/>
      <w:color w:val="auto"/>
      <w:sz w:val="14"/>
    </w:rPr>
  </w:style>
  <w:style w:type="character" w:customStyle="1" w:styleId="Nagwek1Znak">
    <w:name w:val="Nagłówek 1 Znak"/>
    <w:basedOn w:val="Domylnaczcionkaakapitu"/>
    <w:link w:val="Nagwek1"/>
    <w:uiPriority w:val="99"/>
    <w:semiHidden/>
    <w:rsid w:val="00D42058"/>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2058"/>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2058"/>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2058"/>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2058"/>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2058"/>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2058"/>
    <w:pPr>
      <w:jc w:val="left"/>
    </w:pPr>
    <w:rPr>
      <w:sz w:val="8"/>
    </w:rPr>
  </w:style>
  <w:style w:type="paragraph" w:customStyle="1" w:styleId="ECHRFooterLine">
    <w:name w:val="ECHR_Footer_Line"/>
    <w:aliases w:val="Footer_Line"/>
    <w:basedOn w:val="Normalny"/>
    <w:next w:val="ECHRFooter"/>
    <w:uiPriority w:val="57"/>
    <w:semiHidden/>
    <w:rsid w:val="00D42058"/>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D42058"/>
    <w:rPr>
      <w:sz w:val="24"/>
      <w:lang w:val="en-US" w:eastAsia="en-US"/>
    </w:rPr>
  </w:style>
  <w:style w:type="paragraph" w:customStyle="1" w:styleId="ECHRHeader">
    <w:name w:val="ECHR_Header"/>
    <w:aliases w:val="Ju_Header"/>
    <w:basedOn w:val="Nagwek"/>
    <w:uiPriority w:val="4"/>
    <w:qFormat/>
    <w:rsid w:val="006804BF"/>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rsid w:val="00D42058"/>
    <w:rPr>
      <w:sz w:val="24"/>
      <w:lang w:val="en-US" w:eastAsia="en-US"/>
    </w:rPr>
  </w:style>
  <w:style w:type="character" w:customStyle="1" w:styleId="TekstprzypisudolnegoZnak">
    <w:name w:val="Tekst przypisu dolnego Znak"/>
    <w:basedOn w:val="Domylnaczcionkaakapitu"/>
    <w:link w:val="Tekstprzypisudolnego"/>
    <w:semiHidden/>
    <w:rsid w:val="00D42058"/>
    <w:rPr>
      <w:rFonts w:eastAsiaTheme="minorEastAsia"/>
      <w:sz w:val="20"/>
      <w:szCs w:val="20"/>
      <w:lang w:val="en-US" w:eastAsia="en-US"/>
    </w:rPr>
  </w:style>
  <w:style w:type="paragraph" w:customStyle="1" w:styleId="JuAppQuestion">
    <w:name w:val="Ju_App_Question"/>
    <w:basedOn w:val="Normalny"/>
    <w:rsid w:val="00D42058"/>
    <w:pPr>
      <w:numPr>
        <w:numId w:val="14"/>
      </w:numPr>
      <w:jc w:val="left"/>
    </w:pPr>
    <w:rPr>
      <w:b/>
    </w:rPr>
  </w:style>
  <w:style w:type="paragraph" w:customStyle="1" w:styleId="OpiPara">
    <w:name w:val="Opi_Para"/>
    <w:basedOn w:val="ECHRPara"/>
    <w:uiPriority w:val="46"/>
    <w:qFormat/>
    <w:rsid w:val="006804BF"/>
  </w:style>
  <w:style w:type="paragraph" w:customStyle="1" w:styleId="JuParaSub">
    <w:name w:val="Ju_Para_Sub"/>
    <w:basedOn w:val="ECHRPara"/>
    <w:uiPriority w:val="13"/>
    <w:qFormat/>
    <w:rsid w:val="006804BF"/>
    <w:pPr>
      <w:ind w:left="284"/>
    </w:pPr>
  </w:style>
  <w:style w:type="paragraph" w:customStyle="1" w:styleId="OpiParaSub">
    <w:name w:val="Opi_Para_Sub"/>
    <w:basedOn w:val="JuParaSub"/>
    <w:uiPriority w:val="47"/>
    <w:qFormat/>
    <w:rsid w:val="006804BF"/>
  </w:style>
  <w:style w:type="paragraph" w:customStyle="1" w:styleId="OpiQuot">
    <w:name w:val="Opi_Quot"/>
    <w:basedOn w:val="ECHRParaQuote"/>
    <w:uiPriority w:val="48"/>
    <w:qFormat/>
    <w:rsid w:val="006804BF"/>
  </w:style>
  <w:style w:type="paragraph" w:customStyle="1" w:styleId="OpiQuotSub">
    <w:name w:val="Opi_Quot_Sub"/>
    <w:basedOn w:val="JuQuotSub"/>
    <w:uiPriority w:val="49"/>
    <w:qFormat/>
    <w:rsid w:val="006804BF"/>
  </w:style>
  <w:style w:type="paragraph" w:customStyle="1" w:styleId="ECHRTitleCentre3">
    <w:name w:val="ECHR_Title_Centre_3"/>
    <w:aliases w:val="Ju_H_Article"/>
    <w:basedOn w:val="Normalny"/>
    <w:next w:val="ECHRParaQuote"/>
    <w:uiPriority w:val="27"/>
    <w:qFormat/>
    <w:rsid w:val="006804BF"/>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42058"/>
    <w:pPr>
      <w:spacing w:after="240"/>
      <w:jc w:val="center"/>
      <w:outlineLvl w:val="0"/>
    </w:pPr>
    <w:rPr>
      <w:rFonts w:asciiTheme="majorHAnsi" w:hAnsiTheme="majorHAnsi"/>
      <w:i/>
    </w:rPr>
  </w:style>
  <w:style w:type="character" w:customStyle="1" w:styleId="Nagwek5Znak">
    <w:name w:val="Nagłówek 5 Znak"/>
    <w:basedOn w:val="Domylnaczcionkaakapitu"/>
    <w:link w:val="Nagwek5"/>
    <w:uiPriority w:val="99"/>
    <w:semiHidden/>
    <w:rsid w:val="006804BF"/>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6804B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804B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804BF"/>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6804BF"/>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6804BF"/>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6804BF"/>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6804BF"/>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6804BF"/>
    <w:rPr>
      <w:b/>
      <w:bCs/>
    </w:rPr>
  </w:style>
  <w:style w:type="character" w:styleId="Uwydatnienie">
    <w:name w:val="Emphasis"/>
    <w:uiPriority w:val="99"/>
    <w:semiHidden/>
    <w:qFormat/>
    <w:rsid w:val="006804BF"/>
    <w:rPr>
      <w:b/>
      <w:bCs/>
      <w:i/>
      <w:iCs/>
      <w:spacing w:val="10"/>
      <w:bdr w:val="none" w:sz="0" w:space="0" w:color="auto"/>
      <w:shd w:val="clear" w:color="auto" w:fill="auto"/>
    </w:rPr>
  </w:style>
  <w:style w:type="paragraph" w:styleId="Bezodstpw">
    <w:name w:val="No Spacing"/>
    <w:basedOn w:val="Normalny"/>
    <w:link w:val="BezodstpwZnak"/>
    <w:semiHidden/>
    <w:qFormat/>
    <w:rsid w:val="006804BF"/>
    <w:rPr>
      <w:sz w:val="22"/>
      <w:lang w:val="fr-FR" w:eastAsia="fr-FR"/>
    </w:rPr>
  </w:style>
  <w:style w:type="character" w:customStyle="1" w:styleId="BezodstpwZnak">
    <w:name w:val="Bez odstępów Znak"/>
    <w:basedOn w:val="Domylnaczcionkaakapitu"/>
    <w:link w:val="Bezodstpw"/>
    <w:semiHidden/>
    <w:rsid w:val="006804BF"/>
    <w:rPr>
      <w:rFonts w:eastAsiaTheme="minorEastAsia"/>
    </w:rPr>
  </w:style>
  <w:style w:type="paragraph" w:styleId="Akapitzlist">
    <w:name w:val="List Paragraph"/>
    <w:basedOn w:val="Normalny"/>
    <w:uiPriority w:val="99"/>
    <w:semiHidden/>
    <w:qFormat/>
    <w:rsid w:val="006804BF"/>
    <w:pPr>
      <w:ind w:left="720"/>
      <w:contextualSpacing/>
    </w:pPr>
    <w:rPr>
      <w:lang w:val="fr-FR" w:eastAsia="fr-FR"/>
    </w:rPr>
  </w:style>
  <w:style w:type="paragraph" w:styleId="Cytat">
    <w:name w:val="Quote"/>
    <w:basedOn w:val="Normalny"/>
    <w:next w:val="Normalny"/>
    <w:link w:val="CytatZnak"/>
    <w:uiPriority w:val="99"/>
    <w:semiHidden/>
    <w:qFormat/>
    <w:rsid w:val="006804BF"/>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6804BF"/>
    <w:rPr>
      <w:rFonts w:eastAsiaTheme="minorEastAsia"/>
      <w:i/>
      <w:iCs/>
      <w:lang w:bidi="en-US"/>
    </w:rPr>
  </w:style>
  <w:style w:type="paragraph" w:styleId="Cytatintensywny">
    <w:name w:val="Intense Quote"/>
    <w:basedOn w:val="Normalny"/>
    <w:next w:val="Normalny"/>
    <w:link w:val="CytatintensywnyZnak"/>
    <w:uiPriority w:val="99"/>
    <w:semiHidden/>
    <w:qFormat/>
    <w:rsid w:val="006804BF"/>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6804BF"/>
    <w:rPr>
      <w:rFonts w:eastAsiaTheme="minorEastAsia"/>
      <w:b/>
      <w:bCs/>
      <w:i/>
      <w:iCs/>
      <w:lang w:bidi="en-US"/>
    </w:rPr>
  </w:style>
  <w:style w:type="character" w:styleId="Wyrnieniedelikatne">
    <w:name w:val="Subtle Emphasis"/>
    <w:uiPriority w:val="99"/>
    <w:semiHidden/>
    <w:qFormat/>
    <w:rsid w:val="006804BF"/>
    <w:rPr>
      <w:i/>
      <w:iCs/>
    </w:rPr>
  </w:style>
  <w:style w:type="character" w:styleId="Wyrnienieintensywne">
    <w:name w:val="Intense Emphasis"/>
    <w:uiPriority w:val="99"/>
    <w:semiHidden/>
    <w:qFormat/>
    <w:rsid w:val="006804BF"/>
    <w:rPr>
      <w:b/>
      <w:bCs/>
    </w:rPr>
  </w:style>
  <w:style w:type="character" w:styleId="Odwoaniedelikatne">
    <w:name w:val="Subtle Reference"/>
    <w:uiPriority w:val="99"/>
    <w:semiHidden/>
    <w:qFormat/>
    <w:rsid w:val="006804BF"/>
    <w:rPr>
      <w:smallCaps/>
    </w:rPr>
  </w:style>
  <w:style w:type="character" w:styleId="Odwoanieintensywne">
    <w:name w:val="Intense Reference"/>
    <w:uiPriority w:val="99"/>
    <w:semiHidden/>
    <w:qFormat/>
    <w:rsid w:val="006804BF"/>
    <w:rPr>
      <w:smallCaps/>
      <w:spacing w:val="5"/>
      <w:u w:val="single"/>
    </w:rPr>
  </w:style>
  <w:style w:type="character" w:styleId="Tytuksiki">
    <w:name w:val="Book Title"/>
    <w:uiPriority w:val="99"/>
    <w:semiHidden/>
    <w:qFormat/>
    <w:rsid w:val="006804BF"/>
    <w:rPr>
      <w:i/>
      <w:iCs/>
      <w:smallCaps/>
      <w:spacing w:val="5"/>
    </w:rPr>
  </w:style>
  <w:style w:type="paragraph" w:styleId="Nagwekspisutreci">
    <w:name w:val="TOC Heading"/>
    <w:basedOn w:val="Nagwek1"/>
    <w:next w:val="Normalny"/>
    <w:uiPriority w:val="99"/>
    <w:semiHidden/>
    <w:qFormat/>
    <w:rsid w:val="006804BF"/>
    <w:pPr>
      <w:outlineLvl w:val="9"/>
    </w:pPr>
    <w:rPr>
      <w:color w:val="474747" w:themeColor="accent3" w:themeShade="BF"/>
      <w:lang w:val="fr-FR" w:eastAsia="fr-FR"/>
    </w:rPr>
  </w:style>
  <w:style w:type="numbering" w:styleId="111111">
    <w:name w:val="Outline List 2"/>
    <w:basedOn w:val="Bezlisty"/>
    <w:uiPriority w:val="99"/>
    <w:semiHidden/>
    <w:rsid w:val="00F910A9"/>
    <w:pPr>
      <w:numPr>
        <w:numId w:val="6"/>
      </w:numPr>
    </w:pPr>
  </w:style>
  <w:style w:type="numbering" w:styleId="1ai">
    <w:name w:val="Outline List 1"/>
    <w:basedOn w:val="Bezlisty"/>
    <w:uiPriority w:val="99"/>
    <w:semiHidden/>
    <w:rsid w:val="00F910A9"/>
    <w:pPr>
      <w:numPr>
        <w:numId w:val="7"/>
      </w:numPr>
    </w:pPr>
  </w:style>
  <w:style w:type="numbering" w:styleId="Artykusekcja">
    <w:name w:val="Outline List 3"/>
    <w:basedOn w:val="Bezlisty"/>
    <w:uiPriority w:val="99"/>
    <w:semiHidden/>
    <w:rsid w:val="00F910A9"/>
    <w:pPr>
      <w:numPr>
        <w:numId w:val="8"/>
      </w:numPr>
    </w:pPr>
  </w:style>
  <w:style w:type="paragraph" w:styleId="Bibliografia">
    <w:name w:val="Bibliography"/>
    <w:basedOn w:val="Normalny"/>
    <w:next w:val="Normalny"/>
    <w:uiPriority w:val="99"/>
    <w:semiHidden/>
    <w:unhideWhenUsed/>
    <w:rsid w:val="00F910A9"/>
  </w:style>
  <w:style w:type="paragraph" w:styleId="Tekstblokowy">
    <w:name w:val="Block Text"/>
    <w:basedOn w:val="Normalny"/>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F910A9"/>
    <w:pPr>
      <w:spacing w:after="120"/>
    </w:pPr>
  </w:style>
  <w:style w:type="character" w:customStyle="1" w:styleId="TekstpodstawowyZnak">
    <w:name w:val="Tekst podstawowy Znak"/>
    <w:basedOn w:val="Domylnaczcionkaakapitu"/>
    <w:link w:val="Tekstpodstawowy"/>
    <w:rsid w:val="00F910A9"/>
    <w:rPr>
      <w:sz w:val="24"/>
      <w:lang w:val="en-GB"/>
    </w:rPr>
  </w:style>
  <w:style w:type="paragraph" w:styleId="Tekstpodstawowy2">
    <w:name w:val="Body Text 2"/>
    <w:basedOn w:val="Normalny"/>
    <w:link w:val="Tekstpodstawowy2Znak"/>
    <w:uiPriority w:val="99"/>
    <w:semiHidden/>
    <w:rsid w:val="00F910A9"/>
    <w:pPr>
      <w:spacing w:after="120" w:line="480" w:lineRule="auto"/>
    </w:pPr>
  </w:style>
  <w:style w:type="character" w:customStyle="1" w:styleId="Tekstpodstawowy2Znak">
    <w:name w:val="Tekst podstawowy 2 Znak"/>
    <w:basedOn w:val="Domylnaczcionkaakapitu"/>
    <w:link w:val="Tekstpodstawowy2"/>
    <w:rsid w:val="00F910A9"/>
    <w:rPr>
      <w:sz w:val="24"/>
      <w:lang w:val="en-GB"/>
    </w:rPr>
  </w:style>
  <w:style w:type="paragraph" w:styleId="Tekstpodstawowy3">
    <w:name w:val="Body Text 3"/>
    <w:basedOn w:val="Normalny"/>
    <w:link w:val="Tekstpodstawowy3Znak"/>
    <w:uiPriority w:val="99"/>
    <w:semiHidden/>
    <w:rsid w:val="00F910A9"/>
    <w:pPr>
      <w:spacing w:after="120"/>
    </w:pPr>
    <w:rPr>
      <w:sz w:val="16"/>
      <w:szCs w:val="16"/>
    </w:rPr>
  </w:style>
  <w:style w:type="character" w:customStyle="1" w:styleId="Tekstpodstawowy3Znak">
    <w:name w:val="Tekst podstawowy 3 Znak"/>
    <w:basedOn w:val="Domylnaczcionkaakapitu"/>
    <w:link w:val="Tekstpodstawowy3"/>
    <w:rsid w:val="00F910A9"/>
    <w:rPr>
      <w:sz w:val="16"/>
      <w:szCs w:val="16"/>
      <w:lang w:val="en-GB"/>
    </w:rPr>
  </w:style>
  <w:style w:type="paragraph" w:styleId="Tekstpodstawowyzwciciem">
    <w:name w:val="Body Text First Indent"/>
    <w:basedOn w:val="Tekstpodstawowy"/>
    <w:link w:val="TekstpodstawowyzwciciemZnak"/>
    <w:uiPriority w:val="99"/>
    <w:semiHidden/>
    <w:rsid w:val="00F910A9"/>
    <w:pPr>
      <w:spacing w:after="0"/>
      <w:ind w:firstLine="360"/>
    </w:pPr>
  </w:style>
  <w:style w:type="character" w:customStyle="1" w:styleId="TekstpodstawowyzwciciemZnak">
    <w:name w:val="Tekst podstawowy z wcięciem Znak"/>
    <w:basedOn w:val="TekstpodstawowyZnak"/>
    <w:link w:val="Tekstpodstawowyzwciciem"/>
    <w:rsid w:val="00F910A9"/>
    <w:rPr>
      <w:sz w:val="24"/>
      <w:lang w:val="en-GB"/>
    </w:rPr>
  </w:style>
  <w:style w:type="paragraph" w:styleId="Tekstpodstawowywcity">
    <w:name w:val="Body Text Indent"/>
    <w:basedOn w:val="Normalny"/>
    <w:link w:val="TekstpodstawowywcityZnak"/>
    <w:uiPriority w:val="99"/>
    <w:semiHidden/>
    <w:rsid w:val="00F910A9"/>
    <w:pPr>
      <w:spacing w:after="120"/>
      <w:ind w:left="283"/>
    </w:pPr>
  </w:style>
  <w:style w:type="character" w:customStyle="1" w:styleId="TekstpodstawowywcityZnak">
    <w:name w:val="Tekst podstawowy wcięty Znak"/>
    <w:basedOn w:val="Domylnaczcionkaakapitu"/>
    <w:link w:val="Tekstpodstawowywcity"/>
    <w:rsid w:val="00F910A9"/>
    <w:rPr>
      <w:sz w:val="24"/>
      <w:lang w:val="en-GB"/>
    </w:rPr>
  </w:style>
  <w:style w:type="paragraph" w:styleId="Tekstpodstawowyzwciciem2">
    <w:name w:val="Body Text First Indent 2"/>
    <w:basedOn w:val="Tekstpodstawowywcity"/>
    <w:link w:val="Tekstpodstawowyzwciciem2Znak"/>
    <w:uiPriority w:val="99"/>
    <w:semiHidden/>
    <w:rsid w:val="00F910A9"/>
    <w:pPr>
      <w:spacing w:after="0"/>
      <w:ind w:left="360" w:firstLine="360"/>
    </w:pPr>
  </w:style>
  <w:style w:type="character" w:customStyle="1" w:styleId="Tekstpodstawowyzwciciem2Znak">
    <w:name w:val="Tekst podstawowy z wcięciem 2 Znak"/>
    <w:basedOn w:val="TekstpodstawowywcityZnak"/>
    <w:link w:val="Tekstpodstawowyzwciciem2"/>
    <w:rsid w:val="00F910A9"/>
    <w:rPr>
      <w:sz w:val="24"/>
      <w:lang w:val="en-GB"/>
    </w:rPr>
  </w:style>
  <w:style w:type="paragraph" w:styleId="Tekstpodstawowywcity2">
    <w:name w:val="Body Text Indent 2"/>
    <w:basedOn w:val="Normalny"/>
    <w:link w:val="Tekstpodstawowywcity2Znak"/>
    <w:uiPriority w:val="99"/>
    <w:semiHidden/>
    <w:rsid w:val="00F910A9"/>
    <w:pPr>
      <w:spacing w:after="120" w:line="480" w:lineRule="auto"/>
      <w:ind w:left="283"/>
    </w:pPr>
  </w:style>
  <w:style w:type="character" w:customStyle="1" w:styleId="Tekstpodstawowywcity2Znak">
    <w:name w:val="Tekst podstawowy wcięty 2 Znak"/>
    <w:basedOn w:val="Domylnaczcionkaakapitu"/>
    <w:link w:val="Tekstpodstawowywcity2"/>
    <w:rsid w:val="00F910A9"/>
    <w:rPr>
      <w:sz w:val="24"/>
      <w:lang w:val="en-GB"/>
    </w:rPr>
  </w:style>
  <w:style w:type="paragraph" w:styleId="Tekstpodstawowywcity3">
    <w:name w:val="Body Text Indent 3"/>
    <w:basedOn w:val="Normalny"/>
    <w:link w:val="Tekstpodstawowywcity3Znak"/>
    <w:uiPriority w:val="99"/>
    <w:semiHidden/>
    <w:rsid w:val="00F910A9"/>
    <w:pPr>
      <w:spacing w:after="120"/>
      <w:ind w:left="283"/>
    </w:pPr>
    <w:rPr>
      <w:sz w:val="16"/>
      <w:szCs w:val="16"/>
    </w:rPr>
  </w:style>
  <w:style w:type="character" w:customStyle="1" w:styleId="Tekstpodstawowywcity3Znak">
    <w:name w:val="Tekst podstawowy wcięty 3 Znak"/>
    <w:basedOn w:val="Domylnaczcionkaakapitu"/>
    <w:link w:val="Tekstpodstawowywcity3"/>
    <w:rsid w:val="00F910A9"/>
    <w:rPr>
      <w:sz w:val="16"/>
      <w:szCs w:val="16"/>
      <w:lang w:val="en-GB"/>
    </w:rPr>
  </w:style>
  <w:style w:type="paragraph" w:styleId="Legenda">
    <w:name w:val="caption"/>
    <w:basedOn w:val="Normalny"/>
    <w:next w:val="Normalny"/>
    <w:uiPriority w:val="99"/>
    <w:semiHidden/>
    <w:qFormat/>
    <w:rsid w:val="00F910A9"/>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10A9"/>
    <w:pPr>
      <w:ind w:left="4252"/>
    </w:pPr>
  </w:style>
  <w:style w:type="character" w:customStyle="1" w:styleId="ZwrotpoegnalnyZnak">
    <w:name w:val="Zwrot pożegnalny Znak"/>
    <w:basedOn w:val="Domylnaczcionkaakapitu"/>
    <w:link w:val="Zwrotpoegnalny"/>
    <w:rsid w:val="00F910A9"/>
    <w:rPr>
      <w:sz w:val="24"/>
      <w:lang w:val="en-GB"/>
    </w:rPr>
  </w:style>
  <w:style w:type="table" w:styleId="Kolorowasiatka">
    <w:name w:val="Colorful Grid"/>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10A9"/>
  </w:style>
  <w:style w:type="character" w:customStyle="1" w:styleId="DataZnak">
    <w:name w:val="Data Znak"/>
    <w:basedOn w:val="Domylnaczcionkaakapitu"/>
    <w:link w:val="Data"/>
    <w:rsid w:val="00F910A9"/>
    <w:rPr>
      <w:sz w:val="24"/>
      <w:lang w:val="en-GB"/>
    </w:rPr>
  </w:style>
  <w:style w:type="paragraph" w:styleId="Podpise-mail">
    <w:name w:val="E-mail Signature"/>
    <w:basedOn w:val="Normalny"/>
    <w:link w:val="Podpise-mailZnak"/>
    <w:uiPriority w:val="99"/>
    <w:semiHidden/>
    <w:rsid w:val="00F910A9"/>
  </w:style>
  <w:style w:type="character" w:customStyle="1" w:styleId="Podpise-mailZnak">
    <w:name w:val="Podpis e-mail Znak"/>
    <w:basedOn w:val="Domylnaczcionkaakapitu"/>
    <w:link w:val="Podpise-mail"/>
    <w:rsid w:val="00F910A9"/>
    <w:rPr>
      <w:sz w:val="24"/>
      <w:lang w:val="en-GB"/>
    </w:rPr>
  </w:style>
  <w:style w:type="paragraph" w:styleId="Adresnakopercie">
    <w:name w:val="envelope address"/>
    <w:basedOn w:val="Normalny"/>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10A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10A9"/>
  </w:style>
  <w:style w:type="paragraph" w:styleId="HTML-adres">
    <w:name w:val="HTML Address"/>
    <w:basedOn w:val="Normalny"/>
    <w:link w:val="HTML-adresZnak"/>
    <w:uiPriority w:val="99"/>
    <w:semiHidden/>
    <w:rsid w:val="00F910A9"/>
    <w:rPr>
      <w:i/>
      <w:iCs/>
    </w:rPr>
  </w:style>
  <w:style w:type="character" w:customStyle="1" w:styleId="HTML-adresZnak">
    <w:name w:val="HTML - adres Znak"/>
    <w:basedOn w:val="Domylnaczcionkaakapitu"/>
    <w:link w:val="HTML-adres"/>
    <w:rsid w:val="00F910A9"/>
    <w:rPr>
      <w:i/>
      <w:iCs/>
      <w:sz w:val="24"/>
      <w:lang w:val="en-GB"/>
    </w:rPr>
  </w:style>
  <w:style w:type="character" w:styleId="HTML-cytat">
    <w:name w:val="HTML Cite"/>
    <w:basedOn w:val="Domylnaczcionkaakapitu"/>
    <w:uiPriority w:val="99"/>
    <w:semiHidden/>
    <w:rsid w:val="00F910A9"/>
    <w:rPr>
      <w:i/>
      <w:iCs/>
    </w:rPr>
  </w:style>
  <w:style w:type="character" w:styleId="HTML-kod">
    <w:name w:val="HTML Code"/>
    <w:basedOn w:val="Domylnaczcionkaakapitu"/>
    <w:uiPriority w:val="99"/>
    <w:semiHidden/>
    <w:rsid w:val="00F910A9"/>
    <w:rPr>
      <w:rFonts w:ascii="Consolas" w:hAnsi="Consolas" w:cs="Consolas"/>
      <w:sz w:val="20"/>
      <w:szCs w:val="20"/>
    </w:rPr>
  </w:style>
  <w:style w:type="character" w:styleId="HTML-definicja">
    <w:name w:val="HTML Definition"/>
    <w:basedOn w:val="Domylnaczcionkaakapitu"/>
    <w:uiPriority w:val="99"/>
    <w:semiHidden/>
    <w:rsid w:val="00F910A9"/>
    <w:rPr>
      <w:i/>
      <w:iCs/>
    </w:rPr>
  </w:style>
  <w:style w:type="character" w:styleId="HTML-klawiatura">
    <w:name w:val="HTML Keyboard"/>
    <w:basedOn w:val="Domylnaczcionkaakapitu"/>
    <w:uiPriority w:val="99"/>
    <w:semiHidden/>
    <w:rsid w:val="00F910A9"/>
    <w:rPr>
      <w:rFonts w:ascii="Consolas" w:hAnsi="Consolas" w:cs="Consolas"/>
      <w:sz w:val="20"/>
      <w:szCs w:val="20"/>
    </w:rPr>
  </w:style>
  <w:style w:type="paragraph" w:styleId="HTML-wstpniesformatowany">
    <w:name w:val="HTML Preformatted"/>
    <w:basedOn w:val="Normalny"/>
    <w:link w:val="HTML-wstpniesformatowanyZnak"/>
    <w:uiPriority w:val="99"/>
    <w:semiHidden/>
    <w:rsid w:val="00F910A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F910A9"/>
    <w:rPr>
      <w:rFonts w:ascii="Consolas" w:hAnsi="Consolas" w:cs="Consolas"/>
      <w:sz w:val="20"/>
      <w:szCs w:val="20"/>
      <w:lang w:val="en-GB"/>
    </w:rPr>
  </w:style>
  <w:style w:type="character" w:styleId="HTML-przykad">
    <w:name w:val="HTML Sample"/>
    <w:basedOn w:val="Domylnaczcionkaakapitu"/>
    <w:uiPriority w:val="99"/>
    <w:semiHidden/>
    <w:rsid w:val="00F910A9"/>
    <w:rPr>
      <w:rFonts w:ascii="Consolas" w:hAnsi="Consolas" w:cs="Consolas"/>
      <w:sz w:val="24"/>
      <w:szCs w:val="24"/>
    </w:rPr>
  </w:style>
  <w:style w:type="character" w:styleId="HTML-staaszeroko">
    <w:name w:val="HTML Typewriter"/>
    <w:basedOn w:val="Domylnaczcionkaakapitu"/>
    <w:uiPriority w:val="99"/>
    <w:semiHidden/>
    <w:rsid w:val="00F910A9"/>
    <w:rPr>
      <w:rFonts w:ascii="Consolas" w:hAnsi="Consolas" w:cs="Consolas"/>
      <w:sz w:val="20"/>
      <w:szCs w:val="20"/>
    </w:rPr>
  </w:style>
  <w:style w:type="character" w:styleId="HTML-zmienna">
    <w:name w:val="HTML Variable"/>
    <w:basedOn w:val="Domylnaczcionkaakapitu"/>
    <w:uiPriority w:val="99"/>
    <w:semiHidden/>
    <w:rsid w:val="00F910A9"/>
    <w:rPr>
      <w:i/>
      <w:iCs/>
    </w:rPr>
  </w:style>
  <w:style w:type="paragraph" w:styleId="Indeks1">
    <w:name w:val="index 1"/>
    <w:basedOn w:val="Normalny"/>
    <w:next w:val="Normalny"/>
    <w:autoRedefine/>
    <w:uiPriority w:val="99"/>
    <w:semiHidden/>
    <w:rsid w:val="00F910A9"/>
    <w:pPr>
      <w:ind w:left="240" w:hanging="240"/>
    </w:pPr>
  </w:style>
  <w:style w:type="paragraph" w:styleId="Indeks2">
    <w:name w:val="index 2"/>
    <w:basedOn w:val="Normalny"/>
    <w:next w:val="Normalny"/>
    <w:autoRedefine/>
    <w:uiPriority w:val="99"/>
    <w:semiHidden/>
    <w:rsid w:val="00F910A9"/>
    <w:pPr>
      <w:ind w:left="480" w:hanging="240"/>
    </w:pPr>
  </w:style>
  <w:style w:type="paragraph" w:styleId="Indeks3">
    <w:name w:val="index 3"/>
    <w:basedOn w:val="Normalny"/>
    <w:next w:val="Normalny"/>
    <w:autoRedefine/>
    <w:uiPriority w:val="99"/>
    <w:semiHidden/>
    <w:rsid w:val="00F910A9"/>
    <w:pPr>
      <w:ind w:left="720" w:hanging="240"/>
    </w:pPr>
  </w:style>
  <w:style w:type="paragraph" w:styleId="Indeks4">
    <w:name w:val="index 4"/>
    <w:basedOn w:val="Normalny"/>
    <w:next w:val="Normalny"/>
    <w:autoRedefine/>
    <w:uiPriority w:val="99"/>
    <w:semiHidden/>
    <w:rsid w:val="00F910A9"/>
    <w:pPr>
      <w:ind w:left="960" w:hanging="240"/>
    </w:pPr>
  </w:style>
  <w:style w:type="paragraph" w:styleId="Indeks5">
    <w:name w:val="index 5"/>
    <w:basedOn w:val="Normalny"/>
    <w:next w:val="Normalny"/>
    <w:autoRedefine/>
    <w:uiPriority w:val="99"/>
    <w:semiHidden/>
    <w:rsid w:val="00F910A9"/>
    <w:pPr>
      <w:ind w:left="1200" w:hanging="240"/>
    </w:pPr>
  </w:style>
  <w:style w:type="paragraph" w:styleId="Indeks6">
    <w:name w:val="index 6"/>
    <w:basedOn w:val="Normalny"/>
    <w:next w:val="Normalny"/>
    <w:autoRedefine/>
    <w:uiPriority w:val="99"/>
    <w:semiHidden/>
    <w:rsid w:val="00F910A9"/>
    <w:pPr>
      <w:ind w:left="1440" w:hanging="240"/>
    </w:pPr>
  </w:style>
  <w:style w:type="paragraph" w:styleId="Indeks7">
    <w:name w:val="index 7"/>
    <w:basedOn w:val="Normalny"/>
    <w:next w:val="Normalny"/>
    <w:autoRedefine/>
    <w:uiPriority w:val="99"/>
    <w:semiHidden/>
    <w:rsid w:val="00F910A9"/>
    <w:pPr>
      <w:ind w:left="1680" w:hanging="240"/>
    </w:pPr>
  </w:style>
  <w:style w:type="paragraph" w:styleId="Indeks8">
    <w:name w:val="index 8"/>
    <w:basedOn w:val="Normalny"/>
    <w:next w:val="Normalny"/>
    <w:autoRedefine/>
    <w:uiPriority w:val="99"/>
    <w:semiHidden/>
    <w:rsid w:val="00F910A9"/>
    <w:pPr>
      <w:ind w:left="1920" w:hanging="240"/>
    </w:pPr>
  </w:style>
  <w:style w:type="paragraph" w:styleId="Indeks9">
    <w:name w:val="index 9"/>
    <w:basedOn w:val="Normalny"/>
    <w:next w:val="Normalny"/>
    <w:autoRedefine/>
    <w:uiPriority w:val="99"/>
    <w:semiHidden/>
    <w:rsid w:val="00F910A9"/>
    <w:pPr>
      <w:ind w:left="2160" w:hanging="240"/>
    </w:pPr>
  </w:style>
  <w:style w:type="paragraph" w:styleId="Nagwekindeksu">
    <w:name w:val="index heading"/>
    <w:basedOn w:val="Normalny"/>
    <w:next w:val="Indeks1"/>
    <w:uiPriority w:val="99"/>
    <w:semiHidden/>
    <w:rsid w:val="00F910A9"/>
    <w:rPr>
      <w:rFonts w:asciiTheme="majorHAnsi" w:eastAsiaTheme="majorEastAsia" w:hAnsiTheme="majorHAnsi" w:cstheme="majorBidi"/>
      <w:b/>
      <w:bCs/>
    </w:rPr>
  </w:style>
  <w:style w:type="table" w:styleId="Jasnasiatka">
    <w:name w:val="Light Grid"/>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10A9"/>
  </w:style>
  <w:style w:type="paragraph" w:styleId="Lista">
    <w:name w:val="List"/>
    <w:basedOn w:val="Normalny"/>
    <w:uiPriority w:val="99"/>
    <w:semiHidden/>
    <w:rsid w:val="00F910A9"/>
    <w:pPr>
      <w:ind w:left="283" w:hanging="283"/>
      <w:contextualSpacing/>
    </w:pPr>
  </w:style>
  <w:style w:type="paragraph" w:styleId="Lista2">
    <w:name w:val="List 2"/>
    <w:basedOn w:val="Normalny"/>
    <w:uiPriority w:val="99"/>
    <w:semiHidden/>
    <w:rsid w:val="00F910A9"/>
    <w:pPr>
      <w:ind w:left="566" w:hanging="283"/>
      <w:contextualSpacing/>
    </w:pPr>
  </w:style>
  <w:style w:type="paragraph" w:styleId="Lista3">
    <w:name w:val="List 3"/>
    <w:basedOn w:val="Normalny"/>
    <w:uiPriority w:val="99"/>
    <w:semiHidden/>
    <w:rsid w:val="00F910A9"/>
    <w:pPr>
      <w:ind w:left="849" w:hanging="283"/>
      <w:contextualSpacing/>
    </w:pPr>
  </w:style>
  <w:style w:type="paragraph" w:styleId="Lista4">
    <w:name w:val="List 4"/>
    <w:basedOn w:val="Normalny"/>
    <w:uiPriority w:val="99"/>
    <w:semiHidden/>
    <w:rsid w:val="00F910A9"/>
    <w:pPr>
      <w:ind w:left="1132" w:hanging="283"/>
      <w:contextualSpacing/>
    </w:pPr>
  </w:style>
  <w:style w:type="paragraph" w:styleId="Lista5">
    <w:name w:val="List 5"/>
    <w:basedOn w:val="Normalny"/>
    <w:uiPriority w:val="99"/>
    <w:semiHidden/>
    <w:rsid w:val="00F910A9"/>
    <w:pPr>
      <w:ind w:left="1415" w:hanging="283"/>
      <w:contextualSpacing/>
    </w:pPr>
  </w:style>
  <w:style w:type="paragraph" w:styleId="Listapunktowana2">
    <w:name w:val="List Bullet 2"/>
    <w:basedOn w:val="Normalny"/>
    <w:uiPriority w:val="99"/>
    <w:semiHidden/>
    <w:rsid w:val="00F910A9"/>
    <w:pPr>
      <w:numPr>
        <w:numId w:val="1"/>
      </w:numPr>
      <w:contextualSpacing/>
    </w:pPr>
  </w:style>
  <w:style w:type="paragraph" w:styleId="Listapunktowana3">
    <w:name w:val="List Bullet 3"/>
    <w:basedOn w:val="Normalny"/>
    <w:uiPriority w:val="99"/>
    <w:semiHidden/>
    <w:rsid w:val="00F910A9"/>
    <w:pPr>
      <w:numPr>
        <w:numId w:val="2"/>
      </w:numPr>
      <w:contextualSpacing/>
    </w:pPr>
  </w:style>
  <w:style w:type="paragraph" w:styleId="Listapunktowana4">
    <w:name w:val="List Bullet 4"/>
    <w:basedOn w:val="Normalny"/>
    <w:uiPriority w:val="99"/>
    <w:semiHidden/>
    <w:rsid w:val="00F910A9"/>
    <w:pPr>
      <w:numPr>
        <w:numId w:val="9"/>
      </w:numPr>
      <w:contextualSpacing/>
    </w:pPr>
  </w:style>
  <w:style w:type="paragraph" w:styleId="Listapunktowana5">
    <w:name w:val="List Bullet 5"/>
    <w:basedOn w:val="Normalny"/>
    <w:uiPriority w:val="99"/>
    <w:semiHidden/>
    <w:rsid w:val="00F910A9"/>
    <w:pPr>
      <w:numPr>
        <w:numId w:val="3"/>
      </w:numPr>
      <w:contextualSpacing/>
    </w:pPr>
  </w:style>
  <w:style w:type="paragraph" w:styleId="Lista-kontynuacja">
    <w:name w:val="List Continue"/>
    <w:basedOn w:val="Normalny"/>
    <w:uiPriority w:val="99"/>
    <w:semiHidden/>
    <w:rsid w:val="00F910A9"/>
    <w:pPr>
      <w:spacing w:after="120"/>
      <w:ind w:left="283"/>
      <w:contextualSpacing/>
    </w:pPr>
  </w:style>
  <w:style w:type="paragraph" w:styleId="Lista-kontynuacja2">
    <w:name w:val="List Continue 2"/>
    <w:basedOn w:val="Normalny"/>
    <w:uiPriority w:val="99"/>
    <w:semiHidden/>
    <w:rsid w:val="00F910A9"/>
    <w:pPr>
      <w:spacing w:after="120"/>
      <w:ind w:left="566"/>
      <w:contextualSpacing/>
    </w:pPr>
  </w:style>
  <w:style w:type="paragraph" w:styleId="Lista-kontynuacja3">
    <w:name w:val="List Continue 3"/>
    <w:basedOn w:val="Normalny"/>
    <w:uiPriority w:val="99"/>
    <w:semiHidden/>
    <w:rsid w:val="00F910A9"/>
    <w:pPr>
      <w:spacing w:after="120"/>
      <w:ind w:left="849"/>
      <w:contextualSpacing/>
    </w:pPr>
  </w:style>
  <w:style w:type="paragraph" w:styleId="Lista-kontynuacja4">
    <w:name w:val="List Continue 4"/>
    <w:basedOn w:val="Normalny"/>
    <w:uiPriority w:val="99"/>
    <w:semiHidden/>
    <w:rsid w:val="00F910A9"/>
    <w:pPr>
      <w:spacing w:after="120"/>
      <w:ind w:left="1132"/>
      <w:contextualSpacing/>
    </w:pPr>
  </w:style>
  <w:style w:type="paragraph" w:styleId="Lista-kontynuacja5">
    <w:name w:val="List Continue 5"/>
    <w:basedOn w:val="Normalny"/>
    <w:uiPriority w:val="99"/>
    <w:semiHidden/>
    <w:rsid w:val="00F910A9"/>
    <w:pPr>
      <w:spacing w:after="120"/>
      <w:ind w:left="1415"/>
      <w:contextualSpacing/>
    </w:pPr>
  </w:style>
  <w:style w:type="paragraph" w:styleId="Listanumerowana">
    <w:name w:val="List Number"/>
    <w:basedOn w:val="Normalny"/>
    <w:uiPriority w:val="99"/>
    <w:semiHidden/>
    <w:rsid w:val="00F910A9"/>
    <w:pPr>
      <w:numPr>
        <w:numId w:val="4"/>
      </w:numPr>
      <w:contextualSpacing/>
    </w:pPr>
  </w:style>
  <w:style w:type="paragraph" w:styleId="Listanumerowana2">
    <w:name w:val="List Number 2"/>
    <w:basedOn w:val="Normalny"/>
    <w:uiPriority w:val="99"/>
    <w:semiHidden/>
    <w:rsid w:val="00F910A9"/>
    <w:pPr>
      <w:numPr>
        <w:numId w:val="10"/>
      </w:numPr>
      <w:contextualSpacing/>
    </w:pPr>
  </w:style>
  <w:style w:type="paragraph" w:styleId="Listanumerowana3">
    <w:name w:val="List Number 3"/>
    <w:basedOn w:val="Normalny"/>
    <w:uiPriority w:val="99"/>
    <w:semiHidden/>
    <w:rsid w:val="00F910A9"/>
    <w:pPr>
      <w:numPr>
        <w:numId w:val="11"/>
      </w:numPr>
      <w:contextualSpacing/>
    </w:pPr>
  </w:style>
  <w:style w:type="paragraph" w:styleId="Listanumerowana4">
    <w:name w:val="List Number 4"/>
    <w:basedOn w:val="Normalny"/>
    <w:uiPriority w:val="99"/>
    <w:semiHidden/>
    <w:rsid w:val="00F910A9"/>
    <w:pPr>
      <w:numPr>
        <w:numId w:val="12"/>
      </w:numPr>
      <w:contextualSpacing/>
    </w:pPr>
  </w:style>
  <w:style w:type="paragraph" w:styleId="Listanumerowana5">
    <w:name w:val="List Number 5"/>
    <w:basedOn w:val="Normalny"/>
    <w:uiPriority w:val="99"/>
    <w:semiHidden/>
    <w:rsid w:val="00F910A9"/>
    <w:pPr>
      <w:numPr>
        <w:numId w:val="13"/>
      </w:numPr>
      <w:contextualSpacing/>
    </w:pPr>
  </w:style>
  <w:style w:type="paragraph" w:styleId="Tekstmakra">
    <w:name w:val="macro"/>
    <w:link w:val="TekstmakraZnak"/>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F910A9"/>
    <w:rPr>
      <w:rFonts w:ascii="Consolas" w:hAnsi="Consolas" w:cs="Consolas"/>
      <w:sz w:val="20"/>
      <w:szCs w:val="20"/>
      <w:lang w:val="en-GB"/>
    </w:rPr>
  </w:style>
  <w:style w:type="table" w:styleId="redniasiatka1">
    <w:name w:val="Medium Grid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F910A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F910A9"/>
    <w:rPr>
      <w:rFonts w:ascii="Times New Roman" w:hAnsi="Times New Roman" w:cs="Times New Roman"/>
      <w:szCs w:val="24"/>
    </w:rPr>
  </w:style>
  <w:style w:type="paragraph" w:styleId="Wcicienormalne">
    <w:name w:val="Normal Indent"/>
    <w:basedOn w:val="Normalny"/>
    <w:uiPriority w:val="99"/>
    <w:semiHidden/>
    <w:rsid w:val="00F910A9"/>
    <w:pPr>
      <w:ind w:left="720"/>
    </w:pPr>
  </w:style>
  <w:style w:type="paragraph" w:styleId="Nagweknotatki">
    <w:name w:val="Note Heading"/>
    <w:basedOn w:val="Normalny"/>
    <w:next w:val="Normalny"/>
    <w:link w:val="NagweknotatkiZnak"/>
    <w:uiPriority w:val="99"/>
    <w:semiHidden/>
    <w:rsid w:val="00F910A9"/>
  </w:style>
  <w:style w:type="character" w:customStyle="1" w:styleId="NagweknotatkiZnak">
    <w:name w:val="Nagłówek notatki Znak"/>
    <w:basedOn w:val="Domylnaczcionkaakapitu"/>
    <w:link w:val="Nagweknotatki"/>
    <w:rsid w:val="00F910A9"/>
    <w:rPr>
      <w:sz w:val="24"/>
      <w:lang w:val="en-GB"/>
    </w:rPr>
  </w:style>
  <w:style w:type="character" w:styleId="Tekstzastpczy">
    <w:name w:val="Placeholder Text"/>
    <w:basedOn w:val="Domylnaczcionkaakapitu"/>
    <w:uiPriority w:val="99"/>
    <w:semiHidden/>
    <w:rsid w:val="00F910A9"/>
    <w:rPr>
      <w:color w:val="808080"/>
    </w:rPr>
  </w:style>
  <w:style w:type="paragraph" w:styleId="Zwykytekst">
    <w:name w:val="Plain Text"/>
    <w:basedOn w:val="Normalny"/>
    <w:link w:val="ZwykytekstZnak"/>
    <w:uiPriority w:val="99"/>
    <w:semiHidden/>
    <w:rsid w:val="00F910A9"/>
    <w:rPr>
      <w:rFonts w:ascii="Consolas" w:hAnsi="Consolas" w:cs="Consolas"/>
      <w:sz w:val="21"/>
      <w:szCs w:val="21"/>
    </w:rPr>
  </w:style>
  <w:style w:type="character" w:customStyle="1" w:styleId="ZwykytekstZnak">
    <w:name w:val="Zwykły tekst Znak"/>
    <w:basedOn w:val="Domylnaczcionkaakapitu"/>
    <w:link w:val="Zwykytekst"/>
    <w:rsid w:val="00F910A9"/>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F910A9"/>
  </w:style>
  <w:style w:type="character" w:customStyle="1" w:styleId="ZwrotgrzecznociowyZnak">
    <w:name w:val="Zwrot grzecznościowy Znak"/>
    <w:basedOn w:val="Domylnaczcionkaakapitu"/>
    <w:link w:val="Zwrotgrzecznociowy"/>
    <w:rsid w:val="00F910A9"/>
    <w:rPr>
      <w:sz w:val="24"/>
      <w:lang w:val="en-GB"/>
    </w:rPr>
  </w:style>
  <w:style w:type="paragraph" w:styleId="Podpis">
    <w:name w:val="Signature"/>
    <w:basedOn w:val="Normalny"/>
    <w:link w:val="PodpisZnak"/>
    <w:uiPriority w:val="99"/>
    <w:semiHidden/>
    <w:rsid w:val="00F910A9"/>
    <w:pPr>
      <w:ind w:left="4252"/>
    </w:pPr>
  </w:style>
  <w:style w:type="character" w:customStyle="1" w:styleId="PodpisZnak">
    <w:name w:val="Podpis Znak"/>
    <w:basedOn w:val="Domylnaczcionkaakapitu"/>
    <w:link w:val="Podpis"/>
    <w:rsid w:val="00F910A9"/>
    <w:rPr>
      <w:sz w:val="24"/>
      <w:lang w:val="en-GB"/>
    </w:rPr>
  </w:style>
  <w:style w:type="table" w:styleId="Tabela-Efekty3W1">
    <w:name w:val="Table 3D effects 1"/>
    <w:basedOn w:val="Standardowy"/>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D42058"/>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10A9"/>
    <w:pPr>
      <w:ind w:left="240" w:hanging="240"/>
    </w:pPr>
  </w:style>
  <w:style w:type="paragraph" w:styleId="Spisilustracji">
    <w:name w:val="table of figures"/>
    <w:basedOn w:val="Normalny"/>
    <w:next w:val="Normalny"/>
    <w:uiPriority w:val="99"/>
    <w:semiHidden/>
    <w:rsid w:val="00F910A9"/>
  </w:style>
  <w:style w:type="table" w:styleId="Tabela-Profesjonalny">
    <w:name w:val="Table Professional"/>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2058"/>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205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2058"/>
    <w:pPr>
      <w:spacing w:after="60"/>
      <w:ind w:left="680" w:right="340" w:hanging="340"/>
    </w:pPr>
  </w:style>
  <w:style w:type="paragraph" w:styleId="Spistreci3">
    <w:name w:val="toc 3"/>
    <w:basedOn w:val="Normalny"/>
    <w:next w:val="Normalny"/>
    <w:autoRedefine/>
    <w:uiPriority w:val="99"/>
    <w:semiHidden/>
    <w:rsid w:val="00D42058"/>
    <w:pPr>
      <w:spacing w:after="60"/>
      <w:ind w:left="1020" w:right="340" w:hanging="340"/>
    </w:pPr>
  </w:style>
  <w:style w:type="paragraph" w:styleId="Spistreci4">
    <w:name w:val="toc 4"/>
    <w:basedOn w:val="Normalny"/>
    <w:next w:val="Normalny"/>
    <w:autoRedefine/>
    <w:uiPriority w:val="99"/>
    <w:semiHidden/>
    <w:rsid w:val="00D42058"/>
    <w:pPr>
      <w:tabs>
        <w:tab w:val="right" w:leader="dot" w:pos="9017"/>
      </w:tabs>
      <w:spacing w:after="60"/>
      <w:ind w:left="1361" w:right="340" w:hanging="340"/>
    </w:pPr>
  </w:style>
  <w:style w:type="paragraph" w:styleId="Spistreci5">
    <w:name w:val="toc 5"/>
    <w:basedOn w:val="Normalny"/>
    <w:next w:val="Normalny"/>
    <w:autoRedefine/>
    <w:uiPriority w:val="99"/>
    <w:semiHidden/>
    <w:rsid w:val="00D42058"/>
    <w:pPr>
      <w:spacing w:after="60"/>
      <w:ind w:left="1701" w:right="340" w:hanging="340"/>
    </w:pPr>
  </w:style>
  <w:style w:type="paragraph" w:styleId="Spistreci6">
    <w:name w:val="toc 6"/>
    <w:basedOn w:val="Normalny"/>
    <w:next w:val="Normalny"/>
    <w:autoRedefine/>
    <w:uiPriority w:val="99"/>
    <w:semiHidden/>
    <w:rsid w:val="00F910A9"/>
    <w:pPr>
      <w:spacing w:after="100"/>
      <w:ind w:left="1200"/>
    </w:pPr>
  </w:style>
  <w:style w:type="paragraph" w:styleId="Spistreci7">
    <w:name w:val="toc 7"/>
    <w:basedOn w:val="Normalny"/>
    <w:next w:val="Normalny"/>
    <w:autoRedefine/>
    <w:uiPriority w:val="99"/>
    <w:semiHidden/>
    <w:rsid w:val="00F910A9"/>
    <w:pPr>
      <w:spacing w:after="100"/>
      <w:ind w:left="1440"/>
    </w:pPr>
  </w:style>
  <w:style w:type="paragraph" w:styleId="Spistreci8">
    <w:name w:val="toc 8"/>
    <w:basedOn w:val="Normalny"/>
    <w:next w:val="Normalny"/>
    <w:autoRedefine/>
    <w:uiPriority w:val="99"/>
    <w:semiHidden/>
    <w:rsid w:val="00F910A9"/>
    <w:pPr>
      <w:spacing w:after="100"/>
      <w:ind w:left="1680"/>
    </w:pPr>
  </w:style>
  <w:style w:type="paragraph" w:styleId="Spistreci9">
    <w:name w:val="toc 9"/>
    <w:basedOn w:val="Normalny"/>
    <w:next w:val="Normalny"/>
    <w:autoRedefine/>
    <w:uiPriority w:val="99"/>
    <w:semiHidden/>
    <w:rsid w:val="00F910A9"/>
    <w:pPr>
      <w:spacing w:after="100"/>
      <w:ind w:left="1920"/>
    </w:pPr>
  </w:style>
  <w:style w:type="paragraph" w:customStyle="1" w:styleId="JuTitle">
    <w:name w:val="Ju_Title"/>
    <w:basedOn w:val="Normalny"/>
    <w:next w:val="ECHRPara"/>
    <w:uiPriority w:val="3"/>
    <w:semiHidden/>
    <w:rsid w:val="00D42058"/>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6804BF"/>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6804BF"/>
    <w:pPr>
      <w:ind w:left="567"/>
    </w:pPr>
  </w:style>
  <w:style w:type="paragraph" w:customStyle="1" w:styleId="OpiHA">
    <w:name w:val="Opi_H_A"/>
    <w:basedOn w:val="ECHRHeading1"/>
    <w:next w:val="OpiPara"/>
    <w:uiPriority w:val="41"/>
    <w:qFormat/>
    <w:rsid w:val="006804BF"/>
    <w:pPr>
      <w:tabs>
        <w:tab w:val="clear" w:pos="357"/>
      </w:tabs>
      <w:outlineLvl w:val="1"/>
    </w:pPr>
    <w:rPr>
      <w:b/>
    </w:rPr>
  </w:style>
  <w:style w:type="character" w:customStyle="1" w:styleId="JUNAMES0">
    <w:name w:val="JU_NAMES"/>
    <w:uiPriority w:val="17"/>
    <w:qFormat/>
    <w:rsid w:val="006804BF"/>
    <w:rPr>
      <w:caps w:val="0"/>
      <w:smallCaps/>
    </w:rPr>
  </w:style>
  <w:style w:type="paragraph" w:customStyle="1" w:styleId="OpiTranslation">
    <w:name w:val="Opi_Translation"/>
    <w:basedOn w:val="Normalny"/>
    <w:next w:val="OpiPara"/>
    <w:uiPriority w:val="40"/>
    <w:qFormat/>
    <w:rsid w:val="006804BF"/>
    <w:pPr>
      <w:jc w:val="center"/>
      <w:outlineLvl w:val="0"/>
    </w:pPr>
    <w:rPr>
      <w:i/>
      <w:lang w:val="fr-FR" w:eastAsia="fr-FR"/>
    </w:rPr>
  </w:style>
  <w:style w:type="paragraph" w:customStyle="1" w:styleId="DecHTitle">
    <w:name w:val="Dec_H_Title"/>
    <w:basedOn w:val="ECHRTitleCentre1"/>
    <w:uiPriority w:val="7"/>
    <w:semiHidden/>
    <w:rsid w:val="00D42058"/>
  </w:style>
  <w:style w:type="paragraph" w:customStyle="1" w:styleId="ECHRHeading4">
    <w:name w:val="ECHR_Heading_4"/>
    <w:aliases w:val="Ju_H_a"/>
    <w:basedOn w:val="Nagwek4"/>
    <w:next w:val="ECHRPara"/>
    <w:link w:val="JuHaChar0"/>
    <w:uiPriority w:val="22"/>
    <w:qFormat/>
    <w:rsid w:val="006804BF"/>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6804B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804BF"/>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6804BF"/>
    <w:pPr>
      <w:keepNext/>
      <w:keepLines/>
      <w:spacing w:before="240" w:after="120"/>
      <w:ind w:left="1236"/>
    </w:pPr>
    <w:rPr>
      <w:sz w:val="20"/>
    </w:rPr>
  </w:style>
  <w:style w:type="paragraph" w:customStyle="1" w:styleId="DecList">
    <w:name w:val="Dec_List"/>
    <w:basedOn w:val="Normalny"/>
    <w:uiPriority w:val="9"/>
    <w:semiHidden/>
    <w:rsid w:val="00D42058"/>
    <w:pPr>
      <w:spacing w:before="240"/>
      <w:ind w:left="284"/>
    </w:pPr>
  </w:style>
  <w:style w:type="paragraph" w:customStyle="1" w:styleId="ECHRDecisionBody">
    <w:name w:val="ECHR_Decision_Body"/>
    <w:aliases w:val="Ju_Judges"/>
    <w:basedOn w:val="Normalny"/>
    <w:link w:val="JuJudgesChar"/>
    <w:uiPriority w:val="11"/>
    <w:qFormat/>
    <w:rsid w:val="006804BF"/>
    <w:pPr>
      <w:tabs>
        <w:tab w:val="left" w:pos="567"/>
        <w:tab w:val="left" w:pos="1134"/>
      </w:tabs>
      <w:jc w:val="left"/>
    </w:pPr>
    <w:rPr>
      <w:lang w:val="fr-FR" w:eastAsia="fr-FR"/>
    </w:rPr>
  </w:style>
  <w:style w:type="paragraph" w:customStyle="1" w:styleId="OpiH1">
    <w:name w:val="Opi_H_1"/>
    <w:basedOn w:val="ECHRHeading2"/>
    <w:uiPriority w:val="42"/>
    <w:qFormat/>
    <w:rsid w:val="006804BF"/>
    <w:pPr>
      <w:ind w:left="635" w:hanging="357"/>
      <w:outlineLvl w:val="2"/>
    </w:pPr>
  </w:style>
  <w:style w:type="paragraph" w:customStyle="1" w:styleId="OpiHa0">
    <w:name w:val="Opi_H_a"/>
    <w:basedOn w:val="ECHRHeading3"/>
    <w:uiPriority w:val="43"/>
    <w:qFormat/>
    <w:rsid w:val="006804BF"/>
    <w:pPr>
      <w:ind w:left="833" w:hanging="357"/>
      <w:outlineLvl w:val="3"/>
    </w:pPr>
    <w:rPr>
      <w:b/>
      <w:i w:val="0"/>
      <w:sz w:val="20"/>
    </w:rPr>
  </w:style>
  <w:style w:type="paragraph" w:customStyle="1" w:styleId="OpiHi">
    <w:name w:val="Opi_H_i"/>
    <w:basedOn w:val="ECHRHeading4"/>
    <w:uiPriority w:val="44"/>
    <w:qFormat/>
    <w:rsid w:val="006804BF"/>
    <w:pPr>
      <w:ind w:left="1037" w:hanging="357"/>
      <w:outlineLvl w:val="4"/>
    </w:pPr>
    <w:rPr>
      <w:b w:val="0"/>
      <w:i/>
    </w:rPr>
  </w:style>
  <w:style w:type="table" w:customStyle="1" w:styleId="ECHRListTable">
    <w:name w:val="ECHR_List_Table"/>
    <w:basedOn w:val="Standardowy"/>
    <w:uiPriority w:val="99"/>
    <w:rsid w:val="00D42058"/>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JudgesChar">
    <w:name w:val="Ju_Judges Char"/>
    <w:basedOn w:val="Domylnaczcionkaakapitu"/>
    <w:link w:val="ECHRDecisionBody"/>
    <w:uiPriority w:val="11"/>
    <w:locked/>
    <w:rsid w:val="00EE152A"/>
    <w:rPr>
      <w:rFonts w:eastAsiaTheme="minorEastAsia"/>
      <w:sz w:val="24"/>
    </w:rPr>
  </w:style>
  <w:style w:type="character" w:customStyle="1" w:styleId="sb8d990e2">
    <w:name w:val="sb8d990e2"/>
    <w:basedOn w:val="Domylnaczcionkaakapitu"/>
    <w:rsid w:val="0062020D"/>
  </w:style>
  <w:style w:type="character" w:customStyle="1" w:styleId="s6b621b36">
    <w:name w:val="s6b621b36"/>
    <w:rsid w:val="0062020D"/>
  </w:style>
  <w:style w:type="character" w:customStyle="1" w:styleId="hakuosuma">
    <w:name w:val="hakuosuma"/>
    <w:basedOn w:val="Domylnaczcionkaakapitu"/>
    <w:rsid w:val="008B72C1"/>
  </w:style>
  <w:style w:type="character" w:customStyle="1" w:styleId="ju-005fpara--char">
    <w:name w:val="ju-005fpara--char"/>
    <w:basedOn w:val="Domylnaczcionkaakapitu"/>
    <w:rsid w:val="008B72C1"/>
  </w:style>
  <w:style w:type="character" w:customStyle="1" w:styleId="JuHAChar">
    <w:name w:val="Ju_H_A Char"/>
    <w:link w:val="ECHRHeading2"/>
    <w:uiPriority w:val="20"/>
    <w:rsid w:val="008B72C1"/>
    <w:rPr>
      <w:rFonts w:asciiTheme="majorHAnsi" w:eastAsiaTheme="majorEastAsia" w:hAnsiTheme="majorHAnsi" w:cstheme="majorBidi"/>
      <w:b/>
      <w:bCs/>
      <w:sz w:val="24"/>
      <w:szCs w:val="26"/>
    </w:rPr>
  </w:style>
  <w:style w:type="character" w:customStyle="1" w:styleId="JuParaChar">
    <w:name w:val="Ju_Para Char"/>
    <w:basedOn w:val="Domylnaczcionkaakapitu"/>
    <w:rsid w:val="00910348"/>
    <w:rPr>
      <w:sz w:val="24"/>
      <w:lang w:val="en-GB" w:eastAsia="fr-FR" w:bidi="ar-SA"/>
    </w:rPr>
  </w:style>
  <w:style w:type="character" w:customStyle="1" w:styleId="JuH1Char">
    <w:name w:val="Ju_H_1. Char"/>
    <w:link w:val="ECHRHeading3"/>
    <w:uiPriority w:val="21"/>
    <w:rsid w:val="00910348"/>
    <w:rPr>
      <w:rFonts w:asciiTheme="majorHAnsi" w:eastAsiaTheme="majorEastAsia" w:hAnsiTheme="majorHAnsi" w:cstheme="majorBidi"/>
      <w:bCs/>
      <w:i/>
      <w:sz w:val="24"/>
    </w:rPr>
  </w:style>
  <w:style w:type="character" w:customStyle="1" w:styleId="wordhighlighted">
    <w:name w:val="wordhighlighted"/>
    <w:rsid w:val="00910348"/>
  </w:style>
  <w:style w:type="character" w:customStyle="1" w:styleId="JuHaChar0">
    <w:name w:val="Ju_H_a Char"/>
    <w:link w:val="ECHRHeading4"/>
    <w:uiPriority w:val="22"/>
    <w:rsid w:val="00910348"/>
    <w:rPr>
      <w:rFonts w:asciiTheme="majorHAnsi" w:eastAsiaTheme="majorEastAsia" w:hAnsiTheme="majorHAnsi" w:cstheme="majorBidi"/>
      <w:b/>
      <w:bCs/>
      <w:iCs/>
      <w:sz w:val="20"/>
    </w:rPr>
  </w:style>
  <w:style w:type="character" w:customStyle="1" w:styleId="s1a844bc0">
    <w:name w:val="s1a844bc0"/>
    <w:basedOn w:val="Domylnaczcionkaakapitu"/>
    <w:rsid w:val="00910348"/>
  </w:style>
  <w:style w:type="paragraph" w:customStyle="1" w:styleId="s30eec3f8">
    <w:name w:val="s30eec3f8"/>
    <w:basedOn w:val="Normalny"/>
    <w:rsid w:val="00910348"/>
    <w:pPr>
      <w:spacing w:before="100" w:beforeAutospacing="1" w:after="100" w:afterAutospacing="1"/>
      <w:jc w:val="left"/>
    </w:pPr>
    <w:rPr>
      <w:rFonts w:ascii="Times New Roman" w:eastAsia="Times New Roman" w:hAnsi="Times New Roman" w:cs="Times New Roman"/>
      <w:szCs w:val="24"/>
    </w:rPr>
  </w:style>
  <w:style w:type="paragraph" w:customStyle="1" w:styleId="se5d6d4c3">
    <w:name w:val="se5d6d4c3"/>
    <w:basedOn w:val="Normalny"/>
    <w:rsid w:val="00910348"/>
    <w:pPr>
      <w:spacing w:before="100" w:beforeAutospacing="1" w:after="100" w:afterAutospacing="1"/>
      <w:jc w:val="left"/>
    </w:pPr>
    <w:rPr>
      <w:rFonts w:ascii="Times New Roman" w:eastAsia="Times New Roman" w:hAnsi="Times New Roman" w:cs="Times New Roman"/>
      <w:szCs w:val="24"/>
    </w:rPr>
  </w:style>
  <w:style w:type="character" w:customStyle="1" w:styleId="sdfc50a6a">
    <w:name w:val="sdfc50a6a"/>
    <w:basedOn w:val="Domylnaczcionkaakapitu"/>
    <w:rsid w:val="00910348"/>
  </w:style>
  <w:style w:type="paragraph" w:customStyle="1" w:styleId="s3e6e194">
    <w:name w:val="s3e6e194"/>
    <w:basedOn w:val="Normalny"/>
    <w:rsid w:val="00910348"/>
    <w:pPr>
      <w:spacing w:before="100" w:beforeAutospacing="1" w:after="100" w:afterAutospacing="1"/>
      <w:jc w:val="left"/>
    </w:pPr>
    <w:rPr>
      <w:rFonts w:ascii="Times New Roman" w:eastAsia="Times New Roman" w:hAnsi="Times New Roman" w:cs="Times New Roman"/>
      <w:szCs w:val="24"/>
    </w:rPr>
  </w:style>
  <w:style w:type="character" w:customStyle="1" w:styleId="TekstprzypisukocowegoZnak">
    <w:name w:val="Tekst przypisu końcowego Znak"/>
    <w:basedOn w:val="Domylnaczcionkaakapitu"/>
    <w:link w:val="Tekstprzypisukocowego"/>
    <w:semiHidden/>
    <w:rsid w:val="00A1359E"/>
    <w:rPr>
      <w:rFonts w:eastAsiaTheme="minorEastAsia"/>
      <w:sz w:val="20"/>
      <w:lang w:val="en-US" w:eastAsia="en-US"/>
    </w:rPr>
  </w:style>
  <w:style w:type="character" w:customStyle="1" w:styleId="hps">
    <w:name w:val="hps"/>
    <w:rsid w:val="00704721"/>
  </w:style>
  <w:style w:type="paragraph" w:customStyle="1" w:styleId="DummyStyle">
    <w:name w:val="Dummy_Style"/>
    <w:basedOn w:val="Normalny"/>
    <w:semiHidden/>
    <w:qFormat/>
    <w:rsid w:val="006804BF"/>
    <w:rPr>
      <w:color w:val="00B05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footnote text" w:uiPriority="0"/>
    <w:lsdException w:name="annotation text" w:uiPriority="0"/>
    <w:lsdException w:name="header" w:uiPriority="48"/>
    <w:lsdException w:name="footer" w:uiPriority="0"/>
    <w:lsdException w:name="caption" w:qFormat="1"/>
    <w:lsdException w:name="footnote reference" w:uiPriority="0"/>
    <w:lsdException w:name="annotation reference" w:uiPriority="0"/>
    <w:lsdException w:name="page number" w:uiPriority="0"/>
    <w:lsdException w:name="endnote tex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804BF"/>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20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20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205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205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804BF"/>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4205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804BF"/>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6804BF"/>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6804BF"/>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Para"/>
    <w:basedOn w:val="Normalny"/>
    <w:link w:val="JuParaCar"/>
    <w:uiPriority w:val="12"/>
    <w:qFormat/>
    <w:rsid w:val="006804BF"/>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Nagwek1"/>
    <w:next w:val="ECHRPara"/>
    <w:uiPriority w:val="19"/>
    <w:qFormat/>
    <w:rsid w:val="006804BF"/>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6804BF"/>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semiHidden/>
    <w:rsid w:val="00D42058"/>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Nagwek2"/>
    <w:next w:val="ECHRPara"/>
    <w:link w:val="JuHAChar"/>
    <w:uiPriority w:val="20"/>
    <w:qFormat/>
    <w:rsid w:val="006804BF"/>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6804BF"/>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6804BF"/>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6804BF"/>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ny"/>
    <w:next w:val="ECHRPara"/>
    <w:uiPriority w:val="10"/>
    <w:rsid w:val="00D42058"/>
    <w:pPr>
      <w:ind w:firstLine="284"/>
    </w:pPr>
    <w:rPr>
      <w:b/>
    </w:rPr>
  </w:style>
  <w:style w:type="paragraph" w:customStyle="1" w:styleId="JuList">
    <w:name w:val="Ju_List"/>
    <w:basedOn w:val="Normalny"/>
    <w:link w:val="JuListChar"/>
    <w:uiPriority w:val="28"/>
    <w:qFormat/>
    <w:rsid w:val="006804BF"/>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Nagwek3"/>
    <w:next w:val="ECHRPara"/>
    <w:link w:val="JuH1Char"/>
    <w:uiPriority w:val="21"/>
    <w:qFormat/>
    <w:rsid w:val="006804BF"/>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uiPriority w:val="99"/>
    <w:semiHidden/>
    <w:rsid w:val="00F43833"/>
    <w:rPr>
      <w:b/>
      <w:bCs/>
    </w:rPr>
  </w:style>
  <w:style w:type="paragraph" w:styleId="Tekstkomentarza">
    <w:name w:val="annotation text"/>
    <w:basedOn w:val="Normalny"/>
    <w:semiHidden/>
    <w:rPr>
      <w:sz w:val="20"/>
    </w:rPr>
  </w:style>
  <w:style w:type="paragraph" w:customStyle="1" w:styleId="JuCourt">
    <w:name w:val="Ju_Court"/>
    <w:basedOn w:val="Normalny"/>
    <w:next w:val="Normalny"/>
    <w:uiPriority w:val="16"/>
    <w:qFormat/>
    <w:rsid w:val="006804BF"/>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D42058"/>
    <w:rPr>
      <w:sz w:val="20"/>
      <w:szCs w:val="20"/>
    </w:rPr>
  </w:style>
  <w:style w:type="character" w:styleId="Odwoanieprzypisudolnego">
    <w:name w:val="footnote reference"/>
    <w:basedOn w:val="Domylnaczcionkaakapitu"/>
    <w:semiHidden/>
    <w:rsid w:val="00D42058"/>
    <w:rPr>
      <w:vertAlign w:val="superscript"/>
    </w:rPr>
  </w:style>
  <w:style w:type="paragraph" w:styleId="Nagwek">
    <w:name w:val="header"/>
    <w:basedOn w:val="Normalny"/>
    <w:link w:val="NagwekZnak"/>
    <w:uiPriority w:val="48"/>
    <w:semiHidden/>
    <w:rsid w:val="00D42058"/>
    <w:pPr>
      <w:tabs>
        <w:tab w:val="center" w:pos="4536"/>
        <w:tab w:val="right" w:pos="9072"/>
      </w:tabs>
    </w:pPr>
    <w:rPr>
      <w:rFonts w:eastAsiaTheme="minorHAnsi"/>
    </w:rPr>
  </w:style>
  <w:style w:type="character" w:styleId="Numerstrony">
    <w:name w:val="page number"/>
    <w:semiHidden/>
    <w:rsid w:val="006978CE"/>
    <w:rPr>
      <w:sz w:val="18"/>
    </w:rPr>
  </w:style>
  <w:style w:type="paragraph" w:customStyle="1" w:styleId="JuLista">
    <w:name w:val="Ju_List_a"/>
    <w:basedOn w:val="JuList"/>
    <w:uiPriority w:val="28"/>
    <w:qFormat/>
    <w:rsid w:val="006804BF"/>
    <w:pPr>
      <w:ind w:left="346" w:firstLine="0"/>
    </w:pPr>
  </w:style>
  <w:style w:type="paragraph" w:customStyle="1" w:styleId="JuListi">
    <w:name w:val="Ju_List_i"/>
    <w:basedOn w:val="Normalny"/>
    <w:next w:val="JuLista"/>
    <w:uiPriority w:val="28"/>
    <w:qFormat/>
    <w:rsid w:val="006804BF"/>
    <w:pPr>
      <w:ind w:left="794"/>
    </w:pPr>
    <w:rPr>
      <w:lang w:val="fr-FR" w:eastAsia="fr-FR"/>
    </w:rPr>
  </w:style>
  <w:style w:type="character" w:styleId="Odwoaniedokomentarza">
    <w:name w:val="annotation reference"/>
    <w:semiHidden/>
    <w:rPr>
      <w:sz w:val="16"/>
    </w:rPr>
  </w:style>
  <w:style w:type="paragraph" w:customStyle="1" w:styleId="JuInitialled">
    <w:name w:val="Ju_Initialled"/>
    <w:basedOn w:val="Normalny"/>
    <w:uiPriority w:val="31"/>
    <w:qFormat/>
    <w:rsid w:val="006804BF"/>
    <w:pPr>
      <w:tabs>
        <w:tab w:val="center" w:pos="6407"/>
      </w:tabs>
      <w:spacing w:before="720"/>
      <w:jc w:val="right"/>
    </w:pPr>
    <w:rPr>
      <w:lang w:val="fr-FR" w:eastAsia="fr-FR"/>
    </w:rPr>
  </w:style>
  <w:style w:type="paragraph" w:styleId="Tekstdymka">
    <w:name w:val="Balloon Text"/>
    <w:basedOn w:val="Normalny"/>
    <w:link w:val="TekstdymkaZnak"/>
    <w:uiPriority w:val="99"/>
    <w:semiHidden/>
    <w:rsid w:val="00D42058"/>
    <w:rPr>
      <w:rFonts w:ascii="Tahoma" w:hAnsi="Tahoma" w:cs="Tahoma"/>
      <w:sz w:val="16"/>
      <w:szCs w:val="16"/>
    </w:rPr>
  </w:style>
  <w:style w:type="character" w:styleId="Odwoanieprzypisukocowego">
    <w:name w:val="endnote reference"/>
    <w:uiPriority w:val="99"/>
    <w:semiHidden/>
    <w:rsid w:val="006978CE"/>
    <w:rPr>
      <w:vertAlign w:val="superscript"/>
    </w:rPr>
  </w:style>
  <w:style w:type="paragraph" w:styleId="Tekstprzypisukocowego">
    <w:name w:val="endnote text"/>
    <w:basedOn w:val="Normalny"/>
    <w:link w:val="TekstprzypisukocowegoZnak"/>
    <w:semiHidden/>
    <w:rsid w:val="006978CE"/>
    <w:rPr>
      <w:sz w:val="20"/>
    </w:rPr>
  </w:style>
  <w:style w:type="character" w:styleId="UyteHipercze">
    <w:name w:val="FollowedHyperlink"/>
    <w:uiPriority w:val="99"/>
    <w:semiHidden/>
    <w:rsid w:val="006978CE"/>
    <w:rPr>
      <w:color w:val="800080"/>
      <w:u w:val="single"/>
    </w:rPr>
  </w:style>
  <w:style w:type="character" w:styleId="Hipercze">
    <w:name w:val="Hyperlink"/>
    <w:basedOn w:val="Domylnaczcionkaakapitu"/>
    <w:uiPriority w:val="99"/>
    <w:semiHidden/>
    <w:rsid w:val="00D42058"/>
    <w:rPr>
      <w:color w:val="0072BC" w:themeColor="hyperlink"/>
      <w:u w:val="single"/>
    </w:rPr>
  </w:style>
  <w:style w:type="paragraph" w:styleId="Mapadokumentu">
    <w:name w:val="Document Map"/>
    <w:basedOn w:val="Normalny"/>
    <w:uiPriority w:val="99"/>
    <w:semiHidden/>
    <w:rsid w:val="00AF23DA"/>
    <w:pPr>
      <w:shd w:val="clear" w:color="auto" w:fill="000080"/>
    </w:pPr>
    <w:rPr>
      <w:rFonts w:ascii="Tahoma" w:hAnsi="Tahoma" w:cs="Tahoma"/>
      <w:sz w:val="20"/>
    </w:rPr>
  </w:style>
  <w:style w:type="paragraph" w:styleId="Listapunktowana">
    <w:name w:val="List Bullet"/>
    <w:basedOn w:val="Normalny"/>
    <w:uiPriority w:val="99"/>
    <w:semiHidden/>
    <w:rsid w:val="00271B22"/>
    <w:pPr>
      <w:numPr>
        <w:numId w:val="5"/>
      </w:numPr>
    </w:pPr>
  </w:style>
  <w:style w:type="character" w:customStyle="1" w:styleId="JuITMark">
    <w:name w:val="Ju_ITMark"/>
    <w:basedOn w:val="Domylnaczcionkaakapitu"/>
    <w:uiPriority w:val="38"/>
    <w:qFormat/>
    <w:rsid w:val="006804BF"/>
    <w:rPr>
      <w:vanish w:val="0"/>
      <w:color w:val="auto"/>
      <w:sz w:val="14"/>
    </w:rPr>
  </w:style>
  <w:style w:type="character" w:customStyle="1" w:styleId="Nagwek1Znak">
    <w:name w:val="Nagłówek 1 Znak"/>
    <w:basedOn w:val="Domylnaczcionkaakapitu"/>
    <w:link w:val="Nagwek1"/>
    <w:uiPriority w:val="99"/>
    <w:semiHidden/>
    <w:rsid w:val="00D42058"/>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2058"/>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2058"/>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2058"/>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2058"/>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2058"/>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2058"/>
    <w:pPr>
      <w:jc w:val="left"/>
    </w:pPr>
    <w:rPr>
      <w:sz w:val="8"/>
    </w:rPr>
  </w:style>
  <w:style w:type="paragraph" w:customStyle="1" w:styleId="ECHRFooterLine">
    <w:name w:val="ECHR_Footer_Line"/>
    <w:aliases w:val="Footer_Line"/>
    <w:basedOn w:val="Normalny"/>
    <w:next w:val="ECHRFooter"/>
    <w:uiPriority w:val="57"/>
    <w:semiHidden/>
    <w:rsid w:val="00D42058"/>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D42058"/>
    <w:rPr>
      <w:sz w:val="24"/>
      <w:lang w:val="en-US" w:eastAsia="en-US"/>
    </w:rPr>
  </w:style>
  <w:style w:type="paragraph" w:customStyle="1" w:styleId="ECHRHeader">
    <w:name w:val="ECHR_Header"/>
    <w:aliases w:val="Ju_Header"/>
    <w:basedOn w:val="Nagwek"/>
    <w:uiPriority w:val="4"/>
    <w:qFormat/>
    <w:rsid w:val="006804BF"/>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rsid w:val="00D42058"/>
    <w:rPr>
      <w:sz w:val="24"/>
      <w:lang w:val="en-US" w:eastAsia="en-US"/>
    </w:rPr>
  </w:style>
  <w:style w:type="character" w:customStyle="1" w:styleId="TekstprzypisudolnegoZnak">
    <w:name w:val="Tekst przypisu dolnego Znak"/>
    <w:basedOn w:val="Domylnaczcionkaakapitu"/>
    <w:link w:val="Tekstprzypisudolnego"/>
    <w:semiHidden/>
    <w:rsid w:val="00D42058"/>
    <w:rPr>
      <w:rFonts w:eastAsiaTheme="minorEastAsia"/>
      <w:sz w:val="20"/>
      <w:szCs w:val="20"/>
      <w:lang w:val="en-US" w:eastAsia="en-US"/>
    </w:rPr>
  </w:style>
  <w:style w:type="paragraph" w:customStyle="1" w:styleId="JuAppQuestion">
    <w:name w:val="Ju_App_Question"/>
    <w:basedOn w:val="Normalny"/>
    <w:rsid w:val="00D42058"/>
    <w:pPr>
      <w:numPr>
        <w:numId w:val="14"/>
      </w:numPr>
      <w:jc w:val="left"/>
    </w:pPr>
    <w:rPr>
      <w:b/>
    </w:rPr>
  </w:style>
  <w:style w:type="paragraph" w:customStyle="1" w:styleId="OpiPara">
    <w:name w:val="Opi_Para"/>
    <w:basedOn w:val="ECHRPara"/>
    <w:uiPriority w:val="46"/>
    <w:qFormat/>
    <w:rsid w:val="006804BF"/>
  </w:style>
  <w:style w:type="paragraph" w:customStyle="1" w:styleId="JuParaSub">
    <w:name w:val="Ju_Para_Sub"/>
    <w:basedOn w:val="ECHRPara"/>
    <w:uiPriority w:val="13"/>
    <w:qFormat/>
    <w:rsid w:val="006804BF"/>
    <w:pPr>
      <w:ind w:left="284"/>
    </w:pPr>
  </w:style>
  <w:style w:type="paragraph" w:customStyle="1" w:styleId="OpiParaSub">
    <w:name w:val="Opi_Para_Sub"/>
    <w:basedOn w:val="JuParaSub"/>
    <w:uiPriority w:val="47"/>
    <w:qFormat/>
    <w:rsid w:val="006804BF"/>
  </w:style>
  <w:style w:type="paragraph" w:customStyle="1" w:styleId="OpiQuot">
    <w:name w:val="Opi_Quot"/>
    <w:basedOn w:val="ECHRParaQuote"/>
    <w:uiPriority w:val="48"/>
    <w:qFormat/>
    <w:rsid w:val="006804BF"/>
  </w:style>
  <w:style w:type="paragraph" w:customStyle="1" w:styleId="OpiQuotSub">
    <w:name w:val="Opi_Quot_Sub"/>
    <w:basedOn w:val="JuQuotSub"/>
    <w:uiPriority w:val="49"/>
    <w:qFormat/>
    <w:rsid w:val="006804BF"/>
  </w:style>
  <w:style w:type="paragraph" w:customStyle="1" w:styleId="ECHRTitleCentre3">
    <w:name w:val="ECHR_Title_Centre_3"/>
    <w:aliases w:val="Ju_H_Article"/>
    <w:basedOn w:val="Normalny"/>
    <w:next w:val="ECHRParaQuote"/>
    <w:uiPriority w:val="27"/>
    <w:qFormat/>
    <w:rsid w:val="006804BF"/>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42058"/>
    <w:pPr>
      <w:spacing w:after="240"/>
      <w:jc w:val="center"/>
      <w:outlineLvl w:val="0"/>
    </w:pPr>
    <w:rPr>
      <w:rFonts w:asciiTheme="majorHAnsi" w:hAnsiTheme="majorHAnsi"/>
      <w:i/>
    </w:rPr>
  </w:style>
  <w:style w:type="character" w:customStyle="1" w:styleId="Nagwek5Znak">
    <w:name w:val="Nagłówek 5 Znak"/>
    <w:basedOn w:val="Domylnaczcionkaakapitu"/>
    <w:link w:val="Nagwek5"/>
    <w:uiPriority w:val="99"/>
    <w:semiHidden/>
    <w:rsid w:val="006804BF"/>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6804B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804B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804BF"/>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6804BF"/>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6804BF"/>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6804BF"/>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6804BF"/>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6804BF"/>
    <w:rPr>
      <w:b/>
      <w:bCs/>
    </w:rPr>
  </w:style>
  <w:style w:type="character" w:styleId="Uwydatnienie">
    <w:name w:val="Emphasis"/>
    <w:uiPriority w:val="99"/>
    <w:semiHidden/>
    <w:qFormat/>
    <w:rsid w:val="006804BF"/>
    <w:rPr>
      <w:b/>
      <w:bCs/>
      <w:i/>
      <w:iCs/>
      <w:spacing w:val="10"/>
      <w:bdr w:val="none" w:sz="0" w:space="0" w:color="auto"/>
      <w:shd w:val="clear" w:color="auto" w:fill="auto"/>
    </w:rPr>
  </w:style>
  <w:style w:type="paragraph" w:styleId="Bezodstpw">
    <w:name w:val="No Spacing"/>
    <w:basedOn w:val="Normalny"/>
    <w:link w:val="BezodstpwZnak"/>
    <w:semiHidden/>
    <w:qFormat/>
    <w:rsid w:val="006804BF"/>
    <w:rPr>
      <w:sz w:val="22"/>
      <w:lang w:val="fr-FR" w:eastAsia="fr-FR"/>
    </w:rPr>
  </w:style>
  <w:style w:type="character" w:customStyle="1" w:styleId="BezodstpwZnak">
    <w:name w:val="Bez odstępów Znak"/>
    <w:basedOn w:val="Domylnaczcionkaakapitu"/>
    <w:link w:val="Bezodstpw"/>
    <w:semiHidden/>
    <w:rsid w:val="006804BF"/>
    <w:rPr>
      <w:rFonts w:eastAsiaTheme="minorEastAsia"/>
    </w:rPr>
  </w:style>
  <w:style w:type="paragraph" w:styleId="Akapitzlist">
    <w:name w:val="List Paragraph"/>
    <w:basedOn w:val="Normalny"/>
    <w:uiPriority w:val="99"/>
    <w:semiHidden/>
    <w:qFormat/>
    <w:rsid w:val="006804BF"/>
    <w:pPr>
      <w:ind w:left="720"/>
      <w:contextualSpacing/>
    </w:pPr>
    <w:rPr>
      <w:lang w:val="fr-FR" w:eastAsia="fr-FR"/>
    </w:rPr>
  </w:style>
  <w:style w:type="paragraph" w:styleId="Cytat">
    <w:name w:val="Quote"/>
    <w:basedOn w:val="Normalny"/>
    <w:next w:val="Normalny"/>
    <w:link w:val="CytatZnak"/>
    <w:uiPriority w:val="99"/>
    <w:semiHidden/>
    <w:qFormat/>
    <w:rsid w:val="006804BF"/>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6804BF"/>
    <w:rPr>
      <w:rFonts w:eastAsiaTheme="minorEastAsia"/>
      <w:i/>
      <w:iCs/>
      <w:lang w:bidi="en-US"/>
    </w:rPr>
  </w:style>
  <w:style w:type="paragraph" w:styleId="Cytatintensywny">
    <w:name w:val="Intense Quote"/>
    <w:basedOn w:val="Normalny"/>
    <w:next w:val="Normalny"/>
    <w:link w:val="CytatintensywnyZnak"/>
    <w:uiPriority w:val="99"/>
    <w:semiHidden/>
    <w:qFormat/>
    <w:rsid w:val="006804BF"/>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6804BF"/>
    <w:rPr>
      <w:rFonts w:eastAsiaTheme="minorEastAsia"/>
      <w:b/>
      <w:bCs/>
      <w:i/>
      <w:iCs/>
      <w:lang w:bidi="en-US"/>
    </w:rPr>
  </w:style>
  <w:style w:type="character" w:styleId="Wyrnieniedelikatne">
    <w:name w:val="Subtle Emphasis"/>
    <w:uiPriority w:val="99"/>
    <w:semiHidden/>
    <w:qFormat/>
    <w:rsid w:val="006804BF"/>
    <w:rPr>
      <w:i/>
      <w:iCs/>
    </w:rPr>
  </w:style>
  <w:style w:type="character" w:styleId="Wyrnienieintensywne">
    <w:name w:val="Intense Emphasis"/>
    <w:uiPriority w:val="99"/>
    <w:semiHidden/>
    <w:qFormat/>
    <w:rsid w:val="006804BF"/>
    <w:rPr>
      <w:b/>
      <w:bCs/>
    </w:rPr>
  </w:style>
  <w:style w:type="character" w:styleId="Odwoaniedelikatne">
    <w:name w:val="Subtle Reference"/>
    <w:uiPriority w:val="99"/>
    <w:semiHidden/>
    <w:qFormat/>
    <w:rsid w:val="006804BF"/>
    <w:rPr>
      <w:smallCaps/>
    </w:rPr>
  </w:style>
  <w:style w:type="character" w:styleId="Odwoanieintensywne">
    <w:name w:val="Intense Reference"/>
    <w:uiPriority w:val="99"/>
    <w:semiHidden/>
    <w:qFormat/>
    <w:rsid w:val="006804BF"/>
    <w:rPr>
      <w:smallCaps/>
      <w:spacing w:val="5"/>
      <w:u w:val="single"/>
    </w:rPr>
  </w:style>
  <w:style w:type="character" w:styleId="Tytuksiki">
    <w:name w:val="Book Title"/>
    <w:uiPriority w:val="99"/>
    <w:semiHidden/>
    <w:qFormat/>
    <w:rsid w:val="006804BF"/>
    <w:rPr>
      <w:i/>
      <w:iCs/>
      <w:smallCaps/>
      <w:spacing w:val="5"/>
    </w:rPr>
  </w:style>
  <w:style w:type="paragraph" w:styleId="Nagwekspisutreci">
    <w:name w:val="TOC Heading"/>
    <w:basedOn w:val="Nagwek1"/>
    <w:next w:val="Normalny"/>
    <w:uiPriority w:val="99"/>
    <w:semiHidden/>
    <w:qFormat/>
    <w:rsid w:val="006804BF"/>
    <w:pPr>
      <w:outlineLvl w:val="9"/>
    </w:pPr>
    <w:rPr>
      <w:color w:val="474747" w:themeColor="accent3" w:themeShade="BF"/>
      <w:lang w:val="fr-FR" w:eastAsia="fr-FR"/>
    </w:rPr>
  </w:style>
  <w:style w:type="numbering" w:styleId="111111">
    <w:name w:val="Outline List 2"/>
    <w:basedOn w:val="Bezlisty"/>
    <w:uiPriority w:val="99"/>
    <w:semiHidden/>
    <w:rsid w:val="00F910A9"/>
    <w:pPr>
      <w:numPr>
        <w:numId w:val="6"/>
      </w:numPr>
    </w:pPr>
  </w:style>
  <w:style w:type="numbering" w:styleId="1ai">
    <w:name w:val="Outline List 1"/>
    <w:basedOn w:val="Bezlisty"/>
    <w:uiPriority w:val="99"/>
    <w:semiHidden/>
    <w:rsid w:val="00F910A9"/>
    <w:pPr>
      <w:numPr>
        <w:numId w:val="7"/>
      </w:numPr>
    </w:pPr>
  </w:style>
  <w:style w:type="numbering" w:styleId="Artykusekcja">
    <w:name w:val="Outline List 3"/>
    <w:basedOn w:val="Bezlisty"/>
    <w:uiPriority w:val="99"/>
    <w:semiHidden/>
    <w:rsid w:val="00F910A9"/>
    <w:pPr>
      <w:numPr>
        <w:numId w:val="8"/>
      </w:numPr>
    </w:pPr>
  </w:style>
  <w:style w:type="paragraph" w:styleId="Bibliografia">
    <w:name w:val="Bibliography"/>
    <w:basedOn w:val="Normalny"/>
    <w:next w:val="Normalny"/>
    <w:uiPriority w:val="99"/>
    <w:semiHidden/>
    <w:unhideWhenUsed/>
    <w:rsid w:val="00F910A9"/>
  </w:style>
  <w:style w:type="paragraph" w:styleId="Tekstblokowy">
    <w:name w:val="Block Text"/>
    <w:basedOn w:val="Normalny"/>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F910A9"/>
    <w:pPr>
      <w:spacing w:after="120"/>
    </w:pPr>
  </w:style>
  <w:style w:type="character" w:customStyle="1" w:styleId="TekstpodstawowyZnak">
    <w:name w:val="Tekst podstawowy Znak"/>
    <w:basedOn w:val="Domylnaczcionkaakapitu"/>
    <w:link w:val="Tekstpodstawowy"/>
    <w:rsid w:val="00F910A9"/>
    <w:rPr>
      <w:sz w:val="24"/>
      <w:lang w:val="en-GB"/>
    </w:rPr>
  </w:style>
  <w:style w:type="paragraph" w:styleId="Tekstpodstawowy2">
    <w:name w:val="Body Text 2"/>
    <w:basedOn w:val="Normalny"/>
    <w:link w:val="Tekstpodstawowy2Znak"/>
    <w:uiPriority w:val="99"/>
    <w:semiHidden/>
    <w:rsid w:val="00F910A9"/>
    <w:pPr>
      <w:spacing w:after="120" w:line="480" w:lineRule="auto"/>
    </w:pPr>
  </w:style>
  <w:style w:type="character" w:customStyle="1" w:styleId="Tekstpodstawowy2Znak">
    <w:name w:val="Tekst podstawowy 2 Znak"/>
    <w:basedOn w:val="Domylnaczcionkaakapitu"/>
    <w:link w:val="Tekstpodstawowy2"/>
    <w:rsid w:val="00F910A9"/>
    <w:rPr>
      <w:sz w:val="24"/>
      <w:lang w:val="en-GB"/>
    </w:rPr>
  </w:style>
  <w:style w:type="paragraph" w:styleId="Tekstpodstawowy3">
    <w:name w:val="Body Text 3"/>
    <w:basedOn w:val="Normalny"/>
    <w:link w:val="Tekstpodstawowy3Znak"/>
    <w:uiPriority w:val="99"/>
    <w:semiHidden/>
    <w:rsid w:val="00F910A9"/>
    <w:pPr>
      <w:spacing w:after="120"/>
    </w:pPr>
    <w:rPr>
      <w:sz w:val="16"/>
      <w:szCs w:val="16"/>
    </w:rPr>
  </w:style>
  <w:style w:type="character" w:customStyle="1" w:styleId="Tekstpodstawowy3Znak">
    <w:name w:val="Tekst podstawowy 3 Znak"/>
    <w:basedOn w:val="Domylnaczcionkaakapitu"/>
    <w:link w:val="Tekstpodstawowy3"/>
    <w:rsid w:val="00F910A9"/>
    <w:rPr>
      <w:sz w:val="16"/>
      <w:szCs w:val="16"/>
      <w:lang w:val="en-GB"/>
    </w:rPr>
  </w:style>
  <w:style w:type="paragraph" w:styleId="Tekstpodstawowyzwciciem">
    <w:name w:val="Body Text First Indent"/>
    <w:basedOn w:val="Tekstpodstawowy"/>
    <w:link w:val="TekstpodstawowyzwciciemZnak"/>
    <w:uiPriority w:val="99"/>
    <w:semiHidden/>
    <w:rsid w:val="00F910A9"/>
    <w:pPr>
      <w:spacing w:after="0"/>
      <w:ind w:firstLine="360"/>
    </w:pPr>
  </w:style>
  <w:style w:type="character" w:customStyle="1" w:styleId="TekstpodstawowyzwciciemZnak">
    <w:name w:val="Tekst podstawowy z wcięciem Znak"/>
    <w:basedOn w:val="TekstpodstawowyZnak"/>
    <w:link w:val="Tekstpodstawowyzwciciem"/>
    <w:rsid w:val="00F910A9"/>
    <w:rPr>
      <w:sz w:val="24"/>
      <w:lang w:val="en-GB"/>
    </w:rPr>
  </w:style>
  <w:style w:type="paragraph" w:styleId="Tekstpodstawowywcity">
    <w:name w:val="Body Text Indent"/>
    <w:basedOn w:val="Normalny"/>
    <w:link w:val="TekstpodstawowywcityZnak"/>
    <w:uiPriority w:val="99"/>
    <w:semiHidden/>
    <w:rsid w:val="00F910A9"/>
    <w:pPr>
      <w:spacing w:after="120"/>
      <w:ind w:left="283"/>
    </w:pPr>
  </w:style>
  <w:style w:type="character" w:customStyle="1" w:styleId="TekstpodstawowywcityZnak">
    <w:name w:val="Tekst podstawowy wcięty Znak"/>
    <w:basedOn w:val="Domylnaczcionkaakapitu"/>
    <w:link w:val="Tekstpodstawowywcity"/>
    <w:rsid w:val="00F910A9"/>
    <w:rPr>
      <w:sz w:val="24"/>
      <w:lang w:val="en-GB"/>
    </w:rPr>
  </w:style>
  <w:style w:type="paragraph" w:styleId="Tekstpodstawowyzwciciem2">
    <w:name w:val="Body Text First Indent 2"/>
    <w:basedOn w:val="Tekstpodstawowywcity"/>
    <w:link w:val="Tekstpodstawowyzwciciem2Znak"/>
    <w:uiPriority w:val="99"/>
    <w:semiHidden/>
    <w:rsid w:val="00F910A9"/>
    <w:pPr>
      <w:spacing w:after="0"/>
      <w:ind w:left="360" w:firstLine="360"/>
    </w:pPr>
  </w:style>
  <w:style w:type="character" w:customStyle="1" w:styleId="Tekstpodstawowyzwciciem2Znak">
    <w:name w:val="Tekst podstawowy z wcięciem 2 Znak"/>
    <w:basedOn w:val="TekstpodstawowywcityZnak"/>
    <w:link w:val="Tekstpodstawowyzwciciem2"/>
    <w:rsid w:val="00F910A9"/>
    <w:rPr>
      <w:sz w:val="24"/>
      <w:lang w:val="en-GB"/>
    </w:rPr>
  </w:style>
  <w:style w:type="paragraph" w:styleId="Tekstpodstawowywcity2">
    <w:name w:val="Body Text Indent 2"/>
    <w:basedOn w:val="Normalny"/>
    <w:link w:val="Tekstpodstawowywcity2Znak"/>
    <w:uiPriority w:val="99"/>
    <w:semiHidden/>
    <w:rsid w:val="00F910A9"/>
    <w:pPr>
      <w:spacing w:after="120" w:line="480" w:lineRule="auto"/>
      <w:ind w:left="283"/>
    </w:pPr>
  </w:style>
  <w:style w:type="character" w:customStyle="1" w:styleId="Tekstpodstawowywcity2Znak">
    <w:name w:val="Tekst podstawowy wcięty 2 Znak"/>
    <w:basedOn w:val="Domylnaczcionkaakapitu"/>
    <w:link w:val="Tekstpodstawowywcity2"/>
    <w:rsid w:val="00F910A9"/>
    <w:rPr>
      <w:sz w:val="24"/>
      <w:lang w:val="en-GB"/>
    </w:rPr>
  </w:style>
  <w:style w:type="paragraph" w:styleId="Tekstpodstawowywcity3">
    <w:name w:val="Body Text Indent 3"/>
    <w:basedOn w:val="Normalny"/>
    <w:link w:val="Tekstpodstawowywcity3Znak"/>
    <w:uiPriority w:val="99"/>
    <w:semiHidden/>
    <w:rsid w:val="00F910A9"/>
    <w:pPr>
      <w:spacing w:after="120"/>
      <w:ind w:left="283"/>
    </w:pPr>
    <w:rPr>
      <w:sz w:val="16"/>
      <w:szCs w:val="16"/>
    </w:rPr>
  </w:style>
  <w:style w:type="character" w:customStyle="1" w:styleId="Tekstpodstawowywcity3Znak">
    <w:name w:val="Tekst podstawowy wcięty 3 Znak"/>
    <w:basedOn w:val="Domylnaczcionkaakapitu"/>
    <w:link w:val="Tekstpodstawowywcity3"/>
    <w:rsid w:val="00F910A9"/>
    <w:rPr>
      <w:sz w:val="16"/>
      <w:szCs w:val="16"/>
      <w:lang w:val="en-GB"/>
    </w:rPr>
  </w:style>
  <w:style w:type="paragraph" w:styleId="Legenda">
    <w:name w:val="caption"/>
    <w:basedOn w:val="Normalny"/>
    <w:next w:val="Normalny"/>
    <w:uiPriority w:val="99"/>
    <w:semiHidden/>
    <w:qFormat/>
    <w:rsid w:val="00F910A9"/>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10A9"/>
    <w:pPr>
      <w:ind w:left="4252"/>
    </w:pPr>
  </w:style>
  <w:style w:type="character" w:customStyle="1" w:styleId="ZwrotpoegnalnyZnak">
    <w:name w:val="Zwrot pożegnalny Znak"/>
    <w:basedOn w:val="Domylnaczcionkaakapitu"/>
    <w:link w:val="Zwrotpoegnalny"/>
    <w:rsid w:val="00F910A9"/>
    <w:rPr>
      <w:sz w:val="24"/>
      <w:lang w:val="en-GB"/>
    </w:rPr>
  </w:style>
  <w:style w:type="table" w:styleId="Kolorowasiatka">
    <w:name w:val="Colorful Grid"/>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10A9"/>
  </w:style>
  <w:style w:type="character" w:customStyle="1" w:styleId="DataZnak">
    <w:name w:val="Data Znak"/>
    <w:basedOn w:val="Domylnaczcionkaakapitu"/>
    <w:link w:val="Data"/>
    <w:rsid w:val="00F910A9"/>
    <w:rPr>
      <w:sz w:val="24"/>
      <w:lang w:val="en-GB"/>
    </w:rPr>
  </w:style>
  <w:style w:type="paragraph" w:styleId="Podpise-mail">
    <w:name w:val="E-mail Signature"/>
    <w:basedOn w:val="Normalny"/>
    <w:link w:val="Podpise-mailZnak"/>
    <w:uiPriority w:val="99"/>
    <w:semiHidden/>
    <w:rsid w:val="00F910A9"/>
  </w:style>
  <w:style w:type="character" w:customStyle="1" w:styleId="Podpise-mailZnak">
    <w:name w:val="Podpis e-mail Znak"/>
    <w:basedOn w:val="Domylnaczcionkaakapitu"/>
    <w:link w:val="Podpise-mail"/>
    <w:rsid w:val="00F910A9"/>
    <w:rPr>
      <w:sz w:val="24"/>
      <w:lang w:val="en-GB"/>
    </w:rPr>
  </w:style>
  <w:style w:type="paragraph" w:styleId="Adresnakopercie">
    <w:name w:val="envelope address"/>
    <w:basedOn w:val="Normalny"/>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10A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10A9"/>
  </w:style>
  <w:style w:type="paragraph" w:styleId="HTML-adres">
    <w:name w:val="HTML Address"/>
    <w:basedOn w:val="Normalny"/>
    <w:link w:val="HTML-adresZnak"/>
    <w:uiPriority w:val="99"/>
    <w:semiHidden/>
    <w:rsid w:val="00F910A9"/>
    <w:rPr>
      <w:i/>
      <w:iCs/>
    </w:rPr>
  </w:style>
  <w:style w:type="character" w:customStyle="1" w:styleId="HTML-adresZnak">
    <w:name w:val="HTML - adres Znak"/>
    <w:basedOn w:val="Domylnaczcionkaakapitu"/>
    <w:link w:val="HTML-adres"/>
    <w:rsid w:val="00F910A9"/>
    <w:rPr>
      <w:i/>
      <w:iCs/>
      <w:sz w:val="24"/>
      <w:lang w:val="en-GB"/>
    </w:rPr>
  </w:style>
  <w:style w:type="character" w:styleId="HTML-cytat">
    <w:name w:val="HTML Cite"/>
    <w:basedOn w:val="Domylnaczcionkaakapitu"/>
    <w:uiPriority w:val="99"/>
    <w:semiHidden/>
    <w:rsid w:val="00F910A9"/>
    <w:rPr>
      <w:i/>
      <w:iCs/>
    </w:rPr>
  </w:style>
  <w:style w:type="character" w:styleId="HTML-kod">
    <w:name w:val="HTML Code"/>
    <w:basedOn w:val="Domylnaczcionkaakapitu"/>
    <w:uiPriority w:val="99"/>
    <w:semiHidden/>
    <w:rsid w:val="00F910A9"/>
    <w:rPr>
      <w:rFonts w:ascii="Consolas" w:hAnsi="Consolas" w:cs="Consolas"/>
      <w:sz w:val="20"/>
      <w:szCs w:val="20"/>
    </w:rPr>
  </w:style>
  <w:style w:type="character" w:styleId="HTML-definicja">
    <w:name w:val="HTML Definition"/>
    <w:basedOn w:val="Domylnaczcionkaakapitu"/>
    <w:uiPriority w:val="99"/>
    <w:semiHidden/>
    <w:rsid w:val="00F910A9"/>
    <w:rPr>
      <w:i/>
      <w:iCs/>
    </w:rPr>
  </w:style>
  <w:style w:type="character" w:styleId="HTML-klawiatura">
    <w:name w:val="HTML Keyboard"/>
    <w:basedOn w:val="Domylnaczcionkaakapitu"/>
    <w:uiPriority w:val="99"/>
    <w:semiHidden/>
    <w:rsid w:val="00F910A9"/>
    <w:rPr>
      <w:rFonts w:ascii="Consolas" w:hAnsi="Consolas" w:cs="Consolas"/>
      <w:sz w:val="20"/>
      <w:szCs w:val="20"/>
    </w:rPr>
  </w:style>
  <w:style w:type="paragraph" w:styleId="HTML-wstpniesformatowany">
    <w:name w:val="HTML Preformatted"/>
    <w:basedOn w:val="Normalny"/>
    <w:link w:val="HTML-wstpniesformatowanyZnak"/>
    <w:uiPriority w:val="99"/>
    <w:semiHidden/>
    <w:rsid w:val="00F910A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F910A9"/>
    <w:rPr>
      <w:rFonts w:ascii="Consolas" w:hAnsi="Consolas" w:cs="Consolas"/>
      <w:sz w:val="20"/>
      <w:szCs w:val="20"/>
      <w:lang w:val="en-GB"/>
    </w:rPr>
  </w:style>
  <w:style w:type="character" w:styleId="HTML-przykad">
    <w:name w:val="HTML Sample"/>
    <w:basedOn w:val="Domylnaczcionkaakapitu"/>
    <w:uiPriority w:val="99"/>
    <w:semiHidden/>
    <w:rsid w:val="00F910A9"/>
    <w:rPr>
      <w:rFonts w:ascii="Consolas" w:hAnsi="Consolas" w:cs="Consolas"/>
      <w:sz w:val="24"/>
      <w:szCs w:val="24"/>
    </w:rPr>
  </w:style>
  <w:style w:type="character" w:styleId="HTML-staaszeroko">
    <w:name w:val="HTML Typewriter"/>
    <w:basedOn w:val="Domylnaczcionkaakapitu"/>
    <w:uiPriority w:val="99"/>
    <w:semiHidden/>
    <w:rsid w:val="00F910A9"/>
    <w:rPr>
      <w:rFonts w:ascii="Consolas" w:hAnsi="Consolas" w:cs="Consolas"/>
      <w:sz w:val="20"/>
      <w:szCs w:val="20"/>
    </w:rPr>
  </w:style>
  <w:style w:type="character" w:styleId="HTML-zmienna">
    <w:name w:val="HTML Variable"/>
    <w:basedOn w:val="Domylnaczcionkaakapitu"/>
    <w:uiPriority w:val="99"/>
    <w:semiHidden/>
    <w:rsid w:val="00F910A9"/>
    <w:rPr>
      <w:i/>
      <w:iCs/>
    </w:rPr>
  </w:style>
  <w:style w:type="paragraph" w:styleId="Indeks1">
    <w:name w:val="index 1"/>
    <w:basedOn w:val="Normalny"/>
    <w:next w:val="Normalny"/>
    <w:autoRedefine/>
    <w:uiPriority w:val="99"/>
    <w:semiHidden/>
    <w:rsid w:val="00F910A9"/>
    <w:pPr>
      <w:ind w:left="240" w:hanging="240"/>
    </w:pPr>
  </w:style>
  <w:style w:type="paragraph" w:styleId="Indeks2">
    <w:name w:val="index 2"/>
    <w:basedOn w:val="Normalny"/>
    <w:next w:val="Normalny"/>
    <w:autoRedefine/>
    <w:uiPriority w:val="99"/>
    <w:semiHidden/>
    <w:rsid w:val="00F910A9"/>
    <w:pPr>
      <w:ind w:left="480" w:hanging="240"/>
    </w:pPr>
  </w:style>
  <w:style w:type="paragraph" w:styleId="Indeks3">
    <w:name w:val="index 3"/>
    <w:basedOn w:val="Normalny"/>
    <w:next w:val="Normalny"/>
    <w:autoRedefine/>
    <w:uiPriority w:val="99"/>
    <w:semiHidden/>
    <w:rsid w:val="00F910A9"/>
    <w:pPr>
      <w:ind w:left="720" w:hanging="240"/>
    </w:pPr>
  </w:style>
  <w:style w:type="paragraph" w:styleId="Indeks4">
    <w:name w:val="index 4"/>
    <w:basedOn w:val="Normalny"/>
    <w:next w:val="Normalny"/>
    <w:autoRedefine/>
    <w:uiPriority w:val="99"/>
    <w:semiHidden/>
    <w:rsid w:val="00F910A9"/>
    <w:pPr>
      <w:ind w:left="960" w:hanging="240"/>
    </w:pPr>
  </w:style>
  <w:style w:type="paragraph" w:styleId="Indeks5">
    <w:name w:val="index 5"/>
    <w:basedOn w:val="Normalny"/>
    <w:next w:val="Normalny"/>
    <w:autoRedefine/>
    <w:uiPriority w:val="99"/>
    <w:semiHidden/>
    <w:rsid w:val="00F910A9"/>
    <w:pPr>
      <w:ind w:left="1200" w:hanging="240"/>
    </w:pPr>
  </w:style>
  <w:style w:type="paragraph" w:styleId="Indeks6">
    <w:name w:val="index 6"/>
    <w:basedOn w:val="Normalny"/>
    <w:next w:val="Normalny"/>
    <w:autoRedefine/>
    <w:uiPriority w:val="99"/>
    <w:semiHidden/>
    <w:rsid w:val="00F910A9"/>
    <w:pPr>
      <w:ind w:left="1440" w:hanging="240"/>
    </w:pPr>
  </w:style>
  <w:style w:type="paragraph" w:styleId="Indeks7">
    <w:name w:val="index 7"/>
    <w:basedOn w:val="Normalny"/>
    <w:next w:val="Normalny"/>
    <w:autoRedefine/>
    <w:uiPriority w:val="99"/>
    <w:semiHidden/>
    <w:rsid w:val="00F910A9"/>
    <w:pPr>
      <w:ind w:left="1680" w:hanging="240"/>
    </w:pPr>
  </w:style>
  <w:style w:type="paragraph" w:styleId="Indeks8">
    <w:name w:val="index 8"/>
    <w:basedOn w:val="Normalny"/>
    <w:next w:val="Normalny"/>
    <w:autoRedefine/>
    <w:uiPriority w:val="99"/>
    <w:semiHidden/>
    <w:rsid w:val="00F910A9"/>
    <w:pPr>
      <w:ind w:left="1920" w:hanging="240"/>
    </w:pPr>
  </w:style>
  <w:style w:type="paragraph" w:styleId="Indeks9">
    <w:name w:val="index 9"/>
    <w:basedOn w:val="Normalny"/>
    <w:next w:val="Normalny"/>
    <w:autoRedefine/>
    <w:uiPriority w:val="99"/>
    <w:semiHidden/>
    <w:rsid w:val="00F910A9"/>
    <w:pPr>
      <w:ind w:left="2160" w:hanging="240"/>
    </w:pPr>
  </w:style>
  <w:style w:type="paragraph" w:styleId="Nagwekindeksu">
    <w:name w:val="index heading"/>
    <w:basedOn w:val="Normalny"/>
    <w:next w:val="Indeks1"/>
    <w:uiPriority w:val="99"/>
    <w:semiHidden/>
    <w:rsid w:val="00F910A9"/>
    <w:rPr>
      <w:rFonts w:asciiTheme="majorHAnsi" w:eastAsiaTheme="majorEastAsia" w:hAnsiTheme="majorHAnsi" w:cstheme="majorBidi"/>
      <w:b/>
      <w:bCs/>
    </w:rPr>
  </w:style>
  <w:style w:type="table" w:styleId="Jasnasiatka">
    <w:name w:val="Light Grid"/>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10A9"/>
  </w:style>
  <w:style w:type="paragraph" w:styleId="Lista">
    <w:name w:val="List"/>
    <w:basedOn w:val="Normalny"/>
    <w:uiPriority w:val="99"/>
    <w:semiHidden/>
    <w:rsid w:val="00F910A9"/>
    <w:pPr>
      <w:ind w:left="283" w:hanging="283"/>
      <w:contextualSpacing/>
    </w:pPr>
  </w:style>
  <w:style w:type="paragraph" w:styleId="Lista2">
    <w:name w:val="List 2"/>
    <w:basedOn w:val="Normalny"/>
    <w:uiPriority w:val="99"/>
    <w:semiHidden/>
    <w:rsid w:val="00F910A9"/>
    <w:pPr>
      <w:ind w:left="566" w:hanging="283"/>
      <w:contextualSpacing/>
    </w:pPr>
  </w:style>
  <w:style w:type="paragraph" w:styleId="Lista3">
    <w:name w:val="List 3"/>
    <w:basedOn w:val="Normalny"/>
    <w:uiPriority w:val="99"/>
    <w:semiHidden/>
    <w:rsid w:val="00F910A9"/>
    <w:pPr>
      <w:ind w:left="849" w:hanging="283"/>
      <w:contextualSpacing/>
    </w:pPr>
  </w:style>
  <w:style w:type="paragraph" w:styleId="Lista4">
    <w:name w:val="List 4"/>
    <w:basedOn w:val="Normalny"/>
    <w:uiPriority w:val="99"/>
    <w:semiHidden/>
    <w:rsid w:val="00F910A9"/>
    <w:pPr>
      <w:ind w:left="1132" w:hanging="283"/>
      <w:contextualSpacing/>
    </w:pPr>
  </w:style>
  <w:style w:type="paragraph" w:styleId="Lista5">
    <w:name w:val="List 5"/>
    <w:basedOn w:val="Normalny"/>
    <w:uiPriority w:val="99"/>
    <w:semiHidden/>
    <w:rsid w:val="00F910A9"/>
    <w:pPr>
      <w:ind w:left="1415" w:hanging="283"/>
      <w:contextualSpacing/>
    </w:pPr>
  </w:style>
  <w:style w:type="paragraph" w:styleId="Listapunktowana2">
    <w:name w:val="List Bullet 2"/>
    <w:basedOn w:val="Normalny"/>
    <w:uiPriority w:val="99"/>
    <w:semiHidden/>
    <w:rsid w:val="00F910A9"/>
    <w:pPr>
      <w:numPr>
        <w:numId w:val="1"/>
      </w:numPr>
      <w:contextualSpacing/>
    </w:pPr>
  </w:style>
  <w:style w:type="paragraph" w:styleId="Listapunktowana3">
    <w:name w:val="List Bullet 3"/>
    <w:basedOn w:val="Normalny"/>
    <w:uiPriority w:val="99"/>
    <w:semiHidden/>
    <w:rsid w:val="00F910A9"/>
    <w:pPr>
      <w:numPr>
        <w:numId w:val="2"/>
      </w:numPr>
      <w:contextualSpacing/>
    </w:pPr>
  </w:style>
  <w:style w:type="paragraph" w:styleId="Listapunktowana4">
    <w:name w:val="List Bullet 4"/>
    <w:basedOn w:val="Normalny"/>
    <w:uiPriority w:val="99"/>
    <w:semiHidden/>
    <w:rsid w:val="00F910A9"/>
    <w:pPr>
      <w:numPr>
        <w:numId w:val="9"/>
      </w:numPr>
      <w:contextualSpacing/>
    </w:pPr>
  </w:style>
  <w:style w:type="paragraph" w:styleId="Listapunktowana5">
    <w:name w:val="List Bullet 5"/>
    <w:basedOn w:val="Normalny"/>
    <w:uiPriority w:val="99"/>
    <w:semiHidden/>
    <w:rsid w:val="00F910A9"/>
    <w:pPr>
      <w:numPr>
        <w:numId w:val="3"/>
      </w:numPr>
      <w:contextualSpacing/>
    </w:pPr>
  </w:style>
  <w:style w:type="paragraph" w:styleId="Lista-kontynuacja">
    <w:name w:val="List Continue"/>
    <w:basedOn w:val="Normalny"/>
    <w:uiPriority w:val="99"/>
    <w:semiHidden/>
    <w:rsid w:val="00F910A9"/>
    <w:pPr>
      <w:spacing w:after="120"/>
      <w:ind w:left="283"/>
      <w:contextualSpacing/>
    </w:pPr>
  </w:style>
  <w:style w:type="paragraph" w:styleId="Lista-kontynuacja2">
    <w:name w:val="List Continue 2"/>
    <w:basedOn w:val="Normalny"/>
    <w:uiPriority w:val="99"/>
    <w:semiHidden/>
    <w:rsid w:val="00F910A9"/>
    <w:pPr>
      <w:spacing w:after="120"/>
      <w:ind w:left="566"/>
      <w:contextualSpacing/>
    </w:pPr>
  </w:style>
  <w:style w:type="paragraph" w:styleId="Lista-kontynuacja3">
    <w:name w:val="List Continue 3"/>
    <w:basedOn w:val="Normalny"/>
    <w:uiPriority w:val="99"/>
    <w:semiHidden/>
    <w:rsid w:val="00F910A9"/>
    <w:pPr>
      <w:spacing w:after="120"/>
      <w:ind w:left="849"/>
      <w:contextualSpacing/>
    </w:pPr>
  </w:style>
  <w:style w:type="paragraph" w:styleId="Lista-kontynuacja4">
    <w:name w:val="List Continue 4"/>
    <w:basedOn w:val="Normalny"/>
    <w:uiPriority w:val="99"/>
    <w:semiHidden/>
    <w:rsid w:val="00F910A9"/>
    <w:pPr>
      <w:spacing w:after="120"/>
      <w:ind w:left="1132"/>
      <w:contextualSpacing/>
    </w:pPr>
  </w:style>
  <w:style w:type="paragraph" w:styleId="Lista-kontynuacja5">
    <w:name w:val="List Continue 5"/>
    <w:basedOn w:val="Normalny"/>
    <w:uiPriority w:val="99"/>
    <w:semiHidden/>
    <w:rsid w:val="00F910A9"/>
    <w:pPr>
      <w:spacing w:after="120"/>
      <w:ind w:left="1415"/>
      <w:contextualSpacing/>
    </w:pPr>
  </w:style>
  <w:style w:type="paragraph" w:styleId="Listanumerowana">
    <w:name w:val="List Number"/>
    <w:basedOn w:val="Normalny"/>
    <w:uiPriority w:val="99"/>
    <w:semiHidden/>
    <w:rsid w:val="00F910A9"/>
    <w:pPr>
      <w:numPr>
        <w:numId w:val="4"/>
      </w:numPr>
      <w:contextualSpacing/>
    </w:pPr>
  </w:style>
  <w:style w:type="paragraph" w:styleId="Listanumerowana2">
    <w:name w:val="List Number 2"/>
    <w:basedOn w:val="Normalny"/>
    <w:uiPriority w:val="99"/>
    <w:semiHidden/>
    <w:rsid w:val="00F910A9"/>
    <w:pPr>
      <w:numPr>
        <w:numId w:val="10"/>
      </w:numPr>
      <w:contextualSpacing/>
    </w:pPr>
  </w:style>
  <w:style w:type="paragraph" w:styleId="Listanumerowana3">
    <w:name w:val="List Number 3"/>
    <w:basedOn w:val="Normalny"/>
    <w:uiPriority w:val="99"/>
    <w:semiHidden/>
    <w:rsid w:val="00F910A9"/>
    <w:pPr>
      <w:numPr>
        <w:numId w:val="11"/>
      </w:numPr>
      <w:contextualSpacing/>
    </w:pPr>
  </w:style>
  <w:style w:type="paragraph" w:styleId="Listanumerowana4">
    <w:name w:val="List Number 4"/>
    <w:basedOn w:val="Normalny"/>
    <w:uiPriority w:val="99"/>
    <w:semiHidden/>
    <w:rsid w:val="00F910A9"/>
    <w:pPr>
      <w:numPr>
        <w:numId w:val="12"/>
      </w:numPr>
      <w:contextualSpacing/>
    </w:pPr>
  </w:style>
  <w:style w:type="paragraph" w:styleId="Listanumerowana5">
    <w:name w:val="List Number 5"/>
    <w:basedOn w:val="Normalny"/>
    <w:uiPriority w:val="99"/>
    <w:semiHidden/>
    <w:rsid w:val="00F910A9"/>
    <w:pPr>
      <w:numPr>
        <w:numId w:val="13"/>
      </w:numPr>
      <w:contextualSpacing/>
    </w:pPr>
  </w:style>
  <w:style w:type="paragraph" w:styleId="Tekstmakra">
    <w:name w:val="macro"/>
    <w:link w:val="TekstmakraZnak"/>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F910A9"/>
    <w:rPr>
      <w:rFonts w:ascii="Consolas" w:hAnsi="Consolas" w:cs="Consolas"/>
      <w:sz w:val="20"/>
      <w:szCs w:val="20"/>
      <w:lang w:val="en-GB"/>
    </w:rPr>
  </w:style>
  <w:style w:type="table" w:styleId="redniasiatka1">
    <w:name w:val="Medium Grid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F910A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F910A9"/>
    <w:rPr>
      <w:rFonts w:ascii="Times New Roman" w:hAnsi="Times New Roman" w:cs="Times New Roman"/>
      <w:szCs w:val="24"/>
    </w:rPr>
  </w:style>
  <w:style w:type="paragraph" w:styleId="Wcicienormalne">
    <w:name w:val="Normal Indent"/>
    <w:basedOn w:val="Normalny"/>
    <w:uiPriority w:val="99"/>
    <w:semiHidden/>
    <w:rsid w:val="00F910A9"/>
    <w:pPr>
      <w:ind w:left="720"/>
    </w:pPr>
  </w:style>
  <w:style w:type="paragraph" w:styleId="Nagweknotatki">
    <w:name w:val="Note Heading"/>
    <w:basedOn w:val="Normalny"/>
    <w:next w:val="Normalny"/>
    <w:link w:val="NagweknotatkiZnak"/>
    <w:uiPriority w:val="99"/>
    <w:semiHidden/>
    <w:rsid w:val="00F910A9"/>
  </w:style>
  <w:style w:type="character" w:customStyle="1" w:styleId="NagweknotatkiZnak">
    <w:name w:val="Nagłówek notatki Znak"/>
    <w:basedOn w:val="Domylnaczcionkaakapitu"/>
    <w:link w:val="Nagweknotatki"/>
    <w:rsid w:val="00F910A9"/>
    <w:rPr>
      <w:sz w:val="24"/>
      <w:lang w:val="en-GB"/>
    </w:rPr>
  </w:style>
  <w:style w:type="character" w:styleId="Tekstzastpczy">
    <w:name w:val="Placeholder Text"/>
    <w:basedOn w:val="Domylnaczcionkaakapitu"/>
    <w:uiPriority w:val="99"/>
    <w:semiHidden/>
    <w:rsid w:val="00F910A9"/>
    <w:rPr>
      <w:color w:val="808080"/>
    </w:rPr>
  </w:style>
  <w:style w:type="paragraph" w:styleId="Zwykytekst">
    <w:name w:val="Plain Text"/>
    <w:basedOn w:val="Normalny"/>
    <w:link w:val="ZwykytekstZnak"/>
    <w:uiPriority w:val="99"/>
    <w:semiHidden/>
    <w:rsid w:val="00F910A9"/>
    <w:rPr>
      <w:rFonts w:ascii="Consolas" w:hAnsi="Consolas" w:cs="Consolas"/>
      <w:sz w:val="21"/>
      <w:szCs w:val="21"/>
    </w:rPr>
  </w:style>
  <w:style w:type="character" w:customStyle="1" w:styleId="ZwykytekstZnak">
    <w:name w:val="Zwykły tekst Znak"/>
    <w:basedOn w:val="Domylnaczcionkaakapitu"/>
    <w:link w:val="Zwykytekst"/>
    <w:rsid w:val="00F910A9"/>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F910A9"/>
  </w:style>
  <w:style w:type="character" w:customStyle="1" w:styleId="ZwrotgrzecznociowyZnak">
    <w:name w:val="Zwrot grzecznościowy Znak"/>
    <w:basedOn w:val="Domylnaczcionkaakapitu"/>
    <w:link w:val="Zwrotgrzecznociowy"/>
    <w:rsid w:val="00F910A9"/>
    <w:rPr>
      <w:sz w:val="24"/>
      <w:lang w:val="en-GB"/>
    </w:rPr>
  </w:style>
  <w:style w:type="paragraph" w:styleId="Podpis">
    <w:name w:val="Signature"/>
    <w:basedOn w:val="Normalny"/>
    <w:link w:val="PodpisZnak"/>
    <w:uiPriority w:val="99"/>
    <w:semiHidden/>
    <w:rsid w:val="00F910A9"/>
    <w:pPr>
      <w:ind w:left="4252"/>
    </w:pPr>
  </w:style>
  <w:style w:type="character" w:customStyle="1" w:styleId="PodpisZnak">
    <w:name w:val="Podpis Znak"/>
    <w:basedOn w:val="Domylnaczcionkaakapitu"/>
    <w:link w:val="Podpis"/>
    <w:rsid w:val="00F910A9"/>
    <w:rPr>
      <w:sz w:val="24"/>
      <w:lang w:val="en-GB"/>
    </w:rPr>
  </w:style>
  <w:style w:type="table" w:styleId="Tabela-Efekty3W1">
    <w:name w:val="Table 3D effects 1"/>
    <w:basedOn w:val="Standardowy"/>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D42058"/>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10A9"/>
    <w:pPr>
      <w:ind w:left="240" w:hanging="240"/>
    </w:pPr>
  </w:style>
  <w:style w:type="paragraph" w:styleId="Spisilustracji">
    <w:name w:val="table of figures"/>
    <w:basedOn w:val="Normalny"/>
    <w:next w:val="Normalny"/>
    <w:uiPriority w:val="99"/>
    <w:semiHidden/>
    <w:rsid w:val="00F910A9"/>
  </w:style>
  <w:style w:type="table" w:styleId="Tabela-Profesjonalny">
    <w:name w:val="Table Professional"/>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2058"/>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205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2058"/>
    <w:pPr>
      <w:spacing w:after="60"/>
      <w:ind w:left="680" w:right="340" w:hanging="340"/>
    </w:pPr>
  </w:style>
  <w:style w:type="paragraph" w:styleId="Spistreci3">
    <w:name w:val="toc 3"/>
    <w:basedOn w:val="Normalny"/>
    <w:next w:val="Normalny"/>
    <w:autoRedefine/>
    <w:uiPriority w:val="99"/>
    <w:semiHidden/>
    <w:rsid w:val="00D42058"/>
    <w:pPr>
      <w:spacing w:after="60"/>
      <w:ind w:left="1020" w:right="340" w:hanging="340"/>
    </w:pPr>
  </w:style>
  <w:style w:type="paragraph" w:styleId="Spistreci4">
    <w:name w:val="toc 4"/>
    <w:basedOn w:val="Normalny"/>
    <w:next w:val="Normalny"/>
    <w:autoRedefine/>
    <w:uiPriority w:val="99"/>
    <w:semiHidden/>
    <w:rsid w:val="00D42058"/>
    <w:pPr>
      <w:tabs>
        <w:tab w:val="right" w:leader="dot" w:pos="9017"/>
      </w:tabs>
      <w:spacing w:after="60"/>
      <w:ind w:left="1361" w:right="340" w:hanging="340"/>
    </w:pPr>
  </w:style>
  <w:style w:type="paragraph" w:styleId="Spistreci5">
    <w:name w:val="toc 5"/>
    <w:basedOn w:val="Normalny"/>
    <w:next w:val="Normalny"/>
    <w:autoRedefine/>
    <w:uiPriority w:val="99"/>
    <w:semiHidden/>
    <w:rsid w:val="00D42058"/>
    <w:pPr>
      <w:spacing w:after="60"/>
      <w:ind w:left="1701" w:right="340" w:hanging="340"/>
    </w:pPr>
  </w:style>
  <w:style w:type="paragraph" w:styleId="Spistreci6">
    <w:name w:val="toc 6"/>
    <w:basedOn w:val="Normalny"/>
    <w:next w:val="Normalny"/>
    <w:autoRedefine/>
    <w:uiPriority w:val="99"/>
    <w:semiHidden/>
    <w:rsid w:val="00F910A9"/>
    <w:pPr>
      <w:spacing w:after="100"/>
      <w:ind w:left="1200"/>
    </w:pPr>
  </w:style>
  <w:style w:type="paragraph" w:styleId="Spistreci7">
    <w:name w:val="toc 7"/>
    <w:basedOn w:val="Normalny"/>
    <w:next w:val="Normalny"/>
    <w:autoRedefine/>
    <w:uiPriority w:val="99"/>
    <w:semiHidden/>
    <w:rsid w:val="00F910A9"/>
    <w:pPr>
      <w:spacing w:after="100"/>
      <w:ind w:left="1440"/>
    </w:pPr>
  </w:style>
  <w:style w:type="paragraph" w:styleId="Spistreci8">
    <w:name w:val="toc 8"/>
    <w:basedOn w:val="Normalny"/>
    <w:next w:val="Normalny"/>
    <w:autoRedefine/>
    <w:uiPriority w:val="99"/>
    <w:semiHidden/>
    <w:rsid w:val="00F910A9"/>
    <w:pPr>
      <w:spacing w:after="100"/>
      <w:ind w:left="1680"/>
    </w:pPr>
  </w:style>
  <w:style w:type="paragraph" w:styleId="Spistreci9">
    <w:name w:val="toc 9"/>
    <w:basedOn w:val="Normalny"/>
    <w:next w:val="Normalny"/>
    <w:autoRedefine/>
    <w:uiPriority w:val="99"/>
    <w:semiHidden/>
    <w:rsid w:val="00F910A9"/>
    <w:pPr>
      <w:spacing w:after="100"/>
      <w:ind w:left="1920"/>
    </w:pPr>
  </w:style>
  <w:style w:type="paragraph" w:customStyle="1" w:styleId="JuTitle">
    <w:name w:val="Ju_Title"/>
    <w:basedOn w:val="Normalny"/>
    <w:next w:val="ECHRPara"/>
    <w:uiPriority w:val="3"/>
    <w:semiHidden/>
    <w:rsid w:val="00D42058"/>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6804BF"/>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6804BF"/>
    <w:pPr>
      <w:ind w:left="567"/>
    </w:pPr>
  </w:style>
  <w:style w:type="paragraph" w:customStyle="1" w:styleId="OpiHA">
    <w:name w:val="Opi_H_A"/>
    <w:basedOn w:val="ECHRHeading1"/>
    <w:next w:val="OpiPara"/>
    <w:uiPriority w:val="41"/>
    <w:qFormat/>
    <w:rsid w:val="006804BF"/>
    <w:pPr>
      <w:tabs>
        <w:tab w:val="clear" w:pos="357"/>
      </w:tabs>
      <w:outlineLvl w:val="1"/>
    </w:pPr>
    <w:rPr>
      <w:b/>
    </w:rPr>
  </w:style>
  <w:style w:type="character" w:customStyle="1" w:styleId="JUNAMES0">
    <w:name w:val="JU_NAMES"/>
    <w:uiPriority w:val="17"/>
    <w:qFormat/>
    <w:rsid w:val="006804BF"/>
    <w:rPr>
      <w:caps w:val="0"/>
      <w:smallCaps/>
    </w:rPr>
  </w:style>
  <w:style w:type="paragraph" w:customStyle="1" w:styleId="OpiTranslation">
    <w:name w:val="Opi_Translation"/>
    <w:basedOn w:val="Normalny"/>
    <w:next w:val="OpiPara"/>
    <w:uiPriority w:val="40"/>
    <w:qFormat/>
    <w:rsid w:val="006804BF"/>
    <w:pPr>
      <w:jc w:val="center"/>
      <w:outlineLvl w:val="0"/>
    </w:pPr>
    <w:rPr>
      <w:i/>
      <w:lang w:val="fr-FR" w:eastAsia="fr-FR"/>
    </w:rPr>
  </w:style>
  <w:style w:type="paragraph" w:customStyle="1" w:styleId="DecHTitle">
    <w:name w:val="Dec_H_Title"/>
    <w:basedOn w:val="ECHRTitleCentre1"/>
    <w:uiPriority w:val="7"/>
    <w:semiHidden/>
    <w:rsid w:val="00D42058"/>
  </w:style>
  <w:style w:type="paragraph" w:customStyle="1" w:styleId="ECHRHeading4">
    <w:name w:val="ECHR_Heading_4"/>
    <w:aliases w:val="Ju_H_a"/>
    <w:basedOn w:val="Nagwek4"/>
    <w:next w:val="ECHRPara"/>
    <w:link w:val="JuHaChar0"/>
    <w:uiPriority w:val="22"/>
    <w:qFormat/>
    <w:rsid w:val="006804BF"/>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6804B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804BF"/>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6804BF"/>
    <w:pPr>
      <w:keepNext/>
      <w:keepLines/>
      <w:spacing w:before="240" w:after="120"/>
      <w:ind w:left="1236"/>
    </w:pPr>
    <w:rPr>
      <w:sz w:val="20"/>
    </w:rPr>
  </w:style>
  <w:style w:type="paragraph" w:customStyle="1" w:styleId="DecList">
    <w:name w:val="Dec_List"/>
    <w:basedOn w:val="Normalny"/>
    <w:uiPriority w:val="9"/>
    <w:semiHidden/>
    <w:rsid w:val="00D42058"/>
    <w:pPr>
      <w:spacing w:before="240"/>
      <w:ind w:left="284"/>
    </w:pPr>
  </w:style>
  <w:style w:type="paragraph" w:customStyle="1" w:styleId="ECHRDecisionBody">
    <w:name w:val="ECHR_Decision_Body"/>
    <w:aliases w:val="Ju_Judges"/>
    <w:basedOn w:val="Normalny"/>
    <w:link w:val="JuJudgesChar"/>
    <w:uiPriority w:val="11"/>
    <w:qFormat/>
    <w:rsid w:val="006804BF"/>
    <w:pPr>
      <w:tabs>
        <w:tab w:val="left" w:pos="567"/>
        <w:tab w:val="left" w:pos="1134"/>
      </w:tabs>
      <w:jc w:val="left"/>
    </w:pPr>
    <w:rPr>
      <w:lang w:val="fr-FR" w:eastAsia="fr-FR"/>
    </w:rPr>
  </w:style>
  <w:style w:type="paragraph" w:customStyle="1" w:styleId="OpiH1">
    <w:name w:val="Opi_H_1"/>
    <w:basedOn w:val="ECHRHeading2"/>
    <w:uiPriority w:val="42"/>
    <w:qFormat/>
    <w:rsid w:val="006804BF"/>
    <w:pPr>
      <w:ind w:left="635" w:hanging="357"/>
      <w:outlineLvl w:val="2"/>
    </w:pPr>
  </w:style>
  <w:style w:type="paragraph" w:customStyle="1" w:styleId="OpiHa0">
    <w:name w:val="Opi_H_a"/>
    <w:basedOn w:val="ECHRHeading3"/>
    <w:uiPriority w:val="43"/>
    <w:qFormat/>
    <w:rsid w:val="006804BF"/>
    <w:pPr>
      <w:ind w:left="833" w:hanging="357"/>
      <w:outlineLvl w:val="3"/>
    </w:pPr>
    <w:rPr>
      <w:b/>
      <w:i w:val="0"/>
      <w:sz w:val="20"/>
    </w:rPr>
  </w:style>
  <w:style w:type="paragraph" w:customStyle="1" w:styleId="OpiHi">
    <w:name w:val="Opi_H_i"/>
    <w:basedOn w:val="ECHRHeading4"/>
    <w:uiPriority w:val="44"/>
    <w:qFormat/>
    <w:rsid w:val="006804BF"/>
    <w:pPr>
      <w:ind w:left="1037" w:hanging="357"/>
      <w:outlineLvl w:val="4"/>
    </w:pPr>
    <w:rPr>
      <w:b w:val="0"/>
      <w:i/>
    </w:rPr>
  </w:style>
  <w:style w:type="table" w:customStyle="1" w:styleId="ECHRListTable">
    <w:name w:val="ECHR_List_Table"/>
    <w:basedOn w:val="Standardowy"/>
    <w:uiPriority w:val="99"/>
    <w:rsid w:val="00D42058"/>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JudgesChar">
    <w:name w:val="Ju_Judges Char"/>
    <w:basedOn w:val="Domylnaczcionkaakapitu"/>
    <w:link w:val="ECHRDecisionBody"/>
    <w:uiPriority w:val="11"/>
    <w:locked/>
    <w:rsid w:val="00EE152A"/>
    <w:rPr>
      <w:rFonts w:eastAsiaTheme="minorEastAsia"/>
      <w:sz w:val="24"/>
    </w:rPr>
  </w:style>
  <w:style w:type="character" w:customStyle="1" w:styleId="sb8d990e2">
    <w:name w:val="sb8d990e2"/>
    <w:basedOn w:val="Domylnaczcionkaakapitu"/>
    <w:rsid w:val="0062020D"/>
  </w:style>
  <w:style w:type="character" w:customStyle="1" w:styleId="s6b621b36">
    <w:name w:val="s6b621b36"/>
    <w:rsid w:val="0062020D"/>
  </w:style>
  <w:style w:type="character" w:customStyle="1" w:styleId="hakuosuma">
    <w:name w:val="hakuosuma"/>
    <w:basedOn w:val="Domylnaczcionkaakapitu"/>
    <w:rsid w:val="008B72C1"/>
  </w:style>
  <w:style w:type="character" w:customStyle="1" w:styleId="ju-005fpara--char">
    <w:name w:val="ju-005fpara--char"/>
    <w:basedOn w:val="Domylnaczcionkaakapitu"/>
    <w:rsid w:val="008B72C1"/>
  </w:style>
  <w:style w:type="character" w:customStyle="1" w:styleId="JuHAChar">
    <w:name w:val="Ju_H_A Char"/>
    <w:link w:val="ECHRHeading2"/>
    <w:uiPriority w:val="20"/>
    <w:rsid w:val="008B72C1"/>
    <w:rPr>
      <w:rFonts w:asciiTheme="majorHAnsi" w:eastAsiaTheme="majorEastAsia" w:hAnsiTheme="majorHAnsi" w:cstheme="majorBidi"/>
      <w:b/>
      <w:bCs/>
      <w:sz w:val="24"/>
      <w:szCs w:val="26"/>
    </w:rPr>
  </w:style>
  <w:style w:type="character" w:customStyle="1" w:styleId="JuParaChar">
    <w:name w:val="Ju_Para Char"/>
    <w:basedOn w:val="Domylnaczcionkaakapitu"/>
    <w:rsid w:val="00910348"/>
    <w:rPr>
      <w:sz w:val="24"/>
      <w:lang w:val="en-GB" w:eastAsia="fr-FR" w:bidi="ar-SA"/>
    </w:rPr>
  </w:style>
  <w:style w:type="character" w:customStyle="1" w:styleId="JuH1Char">
    <w:name w:val="Ju_H_1. Char"/>
    <w:link w:val="ECHRHeading3"/>
    <w:uiPriority w:val="21"/>
    <w:rsid w:val="00910348"/>
    <w:rPr>
      <w:rFonts w:asciiTheme="majorHAnsi" w:eastAsiaTheme="majorEastAsia" w:hAnsiTheme="majorHAnsi" w:cstheme="majorBidi"/>
      <w:bCs/>
      <w:i/>
      <w:sz w:val="24"/>
    </w:rPr>
  </w:style>
  <w:style w:type="character" w:customStyle="1" w:styleId="wordhighlighted">
    <w:name w:val="wordhighlighted"/>
    <w:rsid w:val="00910348"/>
  </w:style>
  <w:style w:type="character" w:customStyle="1" w:styleId="JuHaChar0">
    <w:name w:val="Ju_H_a Char"/>
    <w:link w:val="ECHRHeading4"/>
    <w:uiPriority w:val="22"/>
    <w:rsid w:val="00910348"/>
    <w:rPr>
      <w:rFonts w:asciiTheme="majorHAnsi" w:eastAsiaTheme="majorEastAsia" w:hAnsiTheme="majorHAnsi" w:cstheme="majorBidi"/>
      <w:b/>
      <w:bCs/>
      <w:iCs/>
      <w:sz w:val="20"/>
    </w:rPr>
  </w:style>
  <w:style w:type="character" w:customStyle="1" w:styleId="s1a844bc0">
    <w:name w:val="s1a844bc0"/>
    <w:basedOn w:val="Domylnaczcionkaakapitu"/>
    <w:rsid w:val="00910348"/>
  </w:style>
  <w:style w:type="paragraph" w:customStyle="1" w:styleId="s30eec3f8">
    <w:name w:val="s30eec3f8"/>
    <w:basedOn w:val="Normalny"/>
    <w:rsid w:val="00910348"/>
    <w:pPr>
      <w:spacing w:before="100" w:beforeAutospacing="1" w:after="100" w:afterAutospacing="1"/>
      <w:jc w:val="left"/>
    </w:pPr>
    <w:rPr>
      <w:rFonts w:ascii="Times New Roman" w:eastAsia="Times New Roman" w:hAnsi="Times New Roman" w:cs="Times New Roman"/>
      <w:szCs w:val="24"/>
    </w:rPr>
  </w:style>
  <w:style w:type="paragraph" w:customStyle="1" w:styleId="se5d6d4c3">
    <w:name w:val="se5d6d4c3"/>
    <w:basedOn w:val="Normalny"/>
    <w:rsid w:val="00910348"/>
    <w:pPr>
      <w:spacing w:before="100" w:beforeAutospacing="1" w:after="100" w:afterAutospacing="1"/>
      <w:jc w:val="left"/>
    </w:pPr>
    <w:rPr>
      <w:rFonts w:ascii="Times New Roman" w:eastAsia="Times New Roman" w:hAnsi="Times New Roman" w:cs="Times New Roman"/>
      <w:szCs w:val="24"/>
    </w:rPr>
  </w:style>
  <w:style w:type="character" w:customStyle="1" w:styleId="sdfc50a6a">
    <w:name w:val="sdfc50a6a"/>
    <w:basedOn w:val="Domylnaczcionkaakapitu"/>
    <w:rsid w:val="00910348"/>
  </w:style>
  <w:style w:type="paragraph" w:customStyle="1" w:styleId="s3e6e194">
    <w:name w:val="s3e6e194"/>
    <w:basedOn w:val="Normalny"/>
    <w:rsid w:val="00910348"/>
    <w:pPr>
      <w:spacing w:before="100" w:beforeAutospacing="1" w:after="100" w:afterAutospacing="1"/>
      <w:jc w:val="left"/>
    </w:pPr>
    <w:rPr>
      <w:rFonts w:ascii="Times New Roman" w:eastAsia="Times New Roman" w:hAnsi="Times New Roman" w:cs="Times New Roman"/>
      <w:szCs w:val="24"/>
    </w:rPr>
  </w:style>
  <w:style w:type="character" w:customStyle="1" w:styleId="TekstprzypisukocowegoZnak">
    <w:name w:val="Tekst przypisu końcowego Znak"/>
    <w:basedOn w:val="Domylnaczcionkaakapitu"/>
    <w:link w:val="Tekstprzypisukocowego"/>
    <w:semiHidden/>
    <w:rsid w:val="00A1359E"/>
    <w:rPr>
      <w:rFonts w:eastAsiaTheme="minorEastAsia"/>
      <w:sz w:val="20"/>
      <w:lang w:val="en-US" w:eastAsia="en-US"/>
    </w:rPr>
  </w:style>
  <w:style w:type="character" w:customStyle="1" w:styleId="hps">
    <w:name w:val="hps"/>
    <w:rsid w:val="00704721"/>
  </w:style>
  <w:style w:type="paragraph" w:customStyle="1" w:styleId="DummyStyle">
    <w:name w:val="Dummy_Style"/>
    <w:basedOn w:val="Normalny"/>
    <w:semiHidden/>
    <w:qFormat/>
    <w:rsid w:val="006804BF"/>
    <w:rPr>
      <w:color w:val="00B05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hudoc.echr.coe.int/sites/eng/Pages/search.aspx"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eng/Pages/search.aspx" TargetMode="Externa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hudoc.echr.coe.int/sites/eng/Pages/search.aspx"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B1534-7625-41EA-B372-7F2CD331F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979745D-4376-444F-AC88-7B9C618734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3D5015-6A26-4D90-8CF1-82F297FA86E9}">
  <ds:schemaRefs>
    <ds:schemaRef ds:uri="http://schemas.microsoft.com/sharepoint/v3/contenttype/forms"/>
  </ds:schemaRefs>
</ds:datastoreItem>
</file>

<file path=customXml/itemProps4.xml><?xml version="1.0" encoding="utf-8"?>
<ds:datastoreItem xmlns:ds="http://schemas.openxmlformats.org/officeDocument/2006/customXml" ds:itemID="{74253712-B5CA-4847-9FE2-2B473FCF6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15074</Words>
  <Characters>90450</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2007-12-18T14:12:00Z</cp:lastPrinted>
  <dcterms:created xsi:type="dcterms:W3CDTF">2016-07-29T07:26:00Z</dcterms:created>
  <dcterms:modified xsi:type="dcterms:W3CDTF">2016-07-29T07:26:00Z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