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566" w:rsidRPr="00E06A86" w:rsidRDefault="00014566" w:rsidP="00DF0549">
      <w:pPr>
        <w:pStyle w:val="ECHRDecisionBody"/>
        <w:rPr>
          <w:lang w:val="en-GB"/>
        </w:rPr>
      </w:pPr>
      <w:bookmarkStart w:id="0" w:name="_GoBack"/>
      <w:bookmarkEnd w:id="0"/>
    </w:p>
    <w:p w:rsidR="00573F23" w:rsidRPr="00E06A86" w:rsidRDefault="00573F23" w:rsidP="00DF0549">
      <w:pPr>
        <w:pStyle w:val="ECHRDecisionBody"/>
        <w:rPr>
          <w:lang w:val="en-GB"/>
        </w:rPr>
      </w:pPr>
    </w:p>
    <w:p w:rsidR="00573F23" w:rsidRPr="00E06A86" w:rsidRDefault="00573F23" w:rsidP="00DF0549">
      <w:pPr>
        <w:pStyle w:val="ECHRDecisionBody"/>
        <w:rPr>
          <w:lang w:val="en-GB"/>
        </w:rPr>
      </w:pPr>
    </w:p>
    <w:p w:rsidR="00014566" w:rsidRPr="00E06A86" w:rsidRDefault="00573F23" w:rsidP="00014566">
      <w:pPr>
        <w:jc w:val="center"/>
        <w:rPr>
          <w:lang w:val="en-GB"/>
        </w:rPr>
      </w:pPr>
      <w:r w:rsidRPr="00E06A86">
        <w:rPr>
          <w:lang w:val="en-GB"/>
        </w:rPr>
        <w:t>SECOND SECTION</w:t>
      </w:r>
    </w:p>
    <w:p w:rsidR="00014566" w:rsidRPr="00E06A86" w:rsidRDefault="00014566" w:rsidP="00014566">
      <w:pPr>
        <w:jc w:val="center"/>
        <w:rPr>
          <w:lang w:val="en-GB"/>
        </w:rPr>
      </w:pPr>
    </w:p>
    <w:p w:rsidR="00573F23" w:rsidRPr="00E06A86" w:rsidRDefault="00573F23" w:rsidP="00014566">
      <w:pPr>
        <w:jc w:val="center"/>
        <w:rPr>
          <w:lang w:val="en-GB"/>
        </w:rPr>
      </w:pPr>
    </w:p>
    <w:p w:rsidR="00573F23" w:rsidRPr="00E06A86" w:rsidRDefault="00573F23" w:rsidP="00014566">
      <w:pPr>
        <w:jc w:val="center"/>
        <w:rPr>
          <w:lang w:val="en-GB"/>
        </w:rPr>
      </w:pPr>
    </w:p>
    <w:p w:rsidR="00573F23" w:rsidRPr="00E06A86" w:rsidRDefault="00573F23" w:rsidP="00014566">
      <w:pPr>
        <w:jc w:val="center"/>
        <w:rPr>
          <w:lang w:val="en-GB"/>
        </w:rPr>
      </w:pPr>
    </w:p>
    <w:p w:rsidR="00573F23" w:rsidRPr="00E06A86" w:rsidRDefault="00573F23" w:rsidP="00014566">
      <w:pPr>
        <w:jc w:val="center"/>
        <w:rPr>
          <w:lang w:val="en-GB"/>
        </w:rPr>
      </w:pPr>
    </w:p>
    <w:p w:rsidR="00573F23" w:rsidRPr="00E06A86" w:rsidRDefault="00573F23" w:rsidP="00014566">
      <w:pPr>
        <w:jc w:val="center"/>
        <w:rPr>
          <w:lang w:val="en-GB"/>
        </w:rPr>
      </w:pPr>
    </w:p>
    <w:p w:rsidR="00014566" w:rsidRPr="00E06A86" w:rsidRDefault="00014566" w:rsidP="00014566">
      <w:pPr>
        <w:jc w:val="center"/>
        <w:rPr>
          <w:b/>
          <w:lang w:val="en-GB"/>
        </w:rPr>
      </w:pPr>
      <w:bookmarkStart w:id="1" w:name="To"/>
      <w:r w:rsidRPr="00E06A86">
        <w:rPr>
          <w:b/>
          <w:lang w:val="en-GB"/>
        </w:rPr>
        <w:t xml:space="preserve">CASE OF </w:t>
      </w:r>
      <w:bookmarkEnd w:id="1"/>
      <w:r w:rsidR="00573F23" w:rsidRPr="00E06A86">
        <w:rPr>
          <w:b/>
          <w:lang w:val="en-GB"/>
        </w:rPr>
        <w:t>DHAHBI v. ITALY</w:t>
      </w:r>
    </w:p>
    <w:p w:rsidR="00014566" w:rsidRPr="00E06A86" w:rsidRDefault="00014566" w:rsidP="00014566">
      <w:pPr>
        <w:jc w:val="center"/>
        <w:rPr>
          <w:lang w:val="en-GB"/>
        </w:rPr>
      </w:pPr>
    </w:p>
    <w:p w:rsidR="00014566" w:rsidRPr="00E06A86" w:rsidRDefault="00014566" w:rsidP="00014566">
      <w:pPr>
        <w:jc w:val="center"/>
        <w:rPr>
          <w:i/>
          <w:lang w:val="en-GB"/>
        </w:rPr>
      </w:pPr>
      <w:r w:rsidRPr="00E06A86">
        <w:rPr>
          <w:i/>
          <w:lang w:val="en-GB"/>
        </w:rPr>
        <w:t>(</w:t>
      </w:r>
      <w:r w:rsidR="00573F23" w:rsidRPr="00E06A86">
        <w:rPr>
          <w:i/>
          <w:lang w:val="en-GB"/>
        </w:rPr>
        <w:t>Application no. 17120/09</w:t>
      </w:r>
      <w:r w:rsidRPr="00E06A86">
        <w:rPr>
          <w:i/>
          <w:lang w:val="en-GB"/>
        </w:rPr>
        <w:t>)</w:t>
      </w:r>
    </w:p>
    <w:p w:rsidR="00014566" w:rsidRPr="00E06A86" w:rsidRDefault="00014566" w:rsidP="00014566">
      <w:pPr>
        <w:jc w:val="center"/>
        <w:rPr>
          <w:lang w:val="en-GB"/>
        </w:rPr>
      </w:pPr>
    </w:p>
    <w:p w:rsidR="00014566" w:rsidRPr="00E06A86" w:rsidRDefault="00014566" w:rsidP="00014566">
      <w:pPr>
        <w:jc w:val="center"/>
        <w:rPr>
          <w:lang w:val="en-GB"/>
        </w:rPr>
      </w:pPr>
    </w:p>
    <w:p w:rsidR="00014566" w:rsidRPr="00E06A86" w:rsidRDefault="00014566" w:rsidP="00014566">
      <w:pPr>
        <w:jc w:val="center"/>
        <w:rPr>
          <w:lang w:val="en-GB"/>
        </w:rPr>
      </w:pPr>
    </w:p>
    <w:p w:rsidR="00014566" w:rsidRPr="00E06A86" w:rsidRDefault="00014566" w:rsidP="00014566">
      <w:pPr>
        <w:jc w:val="center"/>
        <w:rPr>
          <w:lang w:val="en-GB"/>
        </w:rPr>
      </w:pPr>
    </w:p>
    <w:p w:rsidR="00014566" w:rsidRPr="00E06A86" w:rsidRDefault="00014566" w:rsidP="00014566">
      <w:pPr>
        <w:jc w:val="center"/>
        <w:rPr>
          <w:lang w:val="en-GB"/>
        </w:rPr>
      </w:pPr>
    </w:p>
    <w:p w:rsidR="00014566" w:rsidRPr="00E06A86" w:rsidRDefault="00014566" w:rsidP="00014566">
      <w:pPr>
        <w:jc w:val="center"/>
        <w:rPr>
          <w:lang w:val="en-GB"/>
        </w:rPr>
      </w:pPr>
    </w:p>
    <w:p w:rsidR="00014566" w:rsidRPr="00E06A86" w:rsidRDefault="00573F23" w:rsidP="00573F23">
      <w:pPr>
        <w:jc w:val="center"/>
        <w:rPr>
          <w:szCs w:val="24"/>
          <w:lang w:val="en-GB"/>
        </w:rPr>
      </w:pPr>
      <w:r w:rsidRPr="00E06A86">
        <w:rPr>
          <w:szCs w:val="24"/>
          <w:lang w:val="en-GB"/>
        </w:rPr>
        <w:t>JUDGMENT</w:t>
      </w:r>
    </w:p>
    <w:p w:rsidR="00014566" w:rsidRPr="00E06A86" w:rsidRDefault="00014566" w:rsidP="00014566">
      <w:pPr>
        <w:jc w:val="center"/>
        <w:rPr>
          <w:szCs w:val="24"/>
          <w:lang w:val="en-GB"/>
        </w:rPr>
      </w:pPr>
    </w:p>
    <w:p w:rsidR="006B125B" w:rsidRDefault="006B125B" w:rsidP="006B125B">
      <w:pPr>
        <w:pStyle w:val="ECHRPara"/>
        <w:ind w:firstLine="0"/>
        <w:jc w:val="center"/>
      </w:pPr>
      <w:r>
        <w:t>8 April 2014</w:t>
      </w:r>
    </w:p>
    <w:p w:rsidR="00014566" w:rsidRPr="006B125B" w:rsidRDefault="00014566" w:rsidP="00014566">
      <w:pPr>
        <w:rPr>
          <w:szCs w:val="24"/>
        </w:rPr>
      </w:pPr>
    </w:p>
    <w:p w:rsidR="00573F23" w:rsidRPr="00E06A86" w:rsidRDefault="00573F23" w:rsidP="00573F23">
      <w:pPr>
        <w:pStyle w:val="JuCase"/>
        <w:ind w:firstLine="0"/>
        <w:jc w:val="center"/>
        <w:rPr>
          <w:b w:val="0"/>
          <w:lang w:val="en-GB"/>
        </w:rPr>
      </w:pPr>
    </w:p>
    <w:p w:rsidR="00573F23" w:rsidRPr="00E06A86" w:rsidRDefault="00573F23" w:rsidP="00573F23">
      <w:pPr>
        <w:pStyle w:val="JuCase"/>
        <w:ind w:firstLine="0"/>
        <w:jc w:val="center"/>
        <w:rPr>
          <w:b w:val="0"/>
          <w:lang w:val="en-GB"/>
        </w:rPr>
      </w:pPr>
      <w:r w:rsidRPr="00E06A86">
        <w:rPr>
          <w:b w:val="0"/>
          <w:lang w:val="en-GB"/>
        </w:rPr>
        <w:t>STRASBOURG</w:t>
      </w:r>
    </w:p>
    <w:p w:rsidR="00573F23" w:rsidRPr="00E06A86" w:rsidRDefault="00573F23" w:rsidP="00573F23">
      <w:pPr>
        <w:pStyle w:val="JuCase"/>
        <w:ind w:firstLine="0"/>
        <w:jc w:val="center"/>
        <w:rPr>
          <w:b w:val="0"/>
          <w:lang w:val="en-GB"/>
        </w:rPr>
      </w:pPr>
    </w:p>
    <w:p w:rsidR="00473228" w:rsidRDefault="00473228" w:rsidP="00473228">
      <w:pPr>
        <w:pStyle w:val="jucase0"/>
        <w:ind w:firstLine="0"/>
        <w:jc w:val="center"/>
        <w:rPr>
          <w:color w:val="FF0000"/>
          <w:sz w:val="28"/>
          <w:szCs w:val="28"/>
          <w:u w:val="single"/>
        </w:rPr>
      </w:pPr>
      <w:r>
        <w:rPr>
          <w:color w:val="FF0000"/>
          <w:sz w:val="28"/>
          <w:szCs w:val="28"/>
          <w:u w:val="single"/>
        </w:rPr>
        <w:t>FINAL</w:t>
      </w:r>
    </w:p>
    <w:p w:rsidR="00473228" w:rsidRDefault="00473228" w:rsidP="00473228">
      <w:pPr>
        <w:pStyle w:val="jupara"/>
        <w:ind w:firstLine="0"/>
        <w:rPr>
          <w:color w:val="FF0000"/>
          <w:sz w:val="28"/>
          <w:szCs w:val="28"/>
        </w:rPr>
      </w:pPr>
    </w:p>
    <w:p w:rsidR="00473228" w:rsidRDefault="00473228" w:rsidP="00473228">
      <w:pPr>
        <w:pStyle w:val="jupara"/>
        <w:ind w:firstLine="0"/>
        <w:jc w:val="center"/>
        <w:rPr>
          <w:color w:val="FF0000"/>
          <w:sz w:val="28"/>
          <w:szCs w:val="28"/>
        </w:rPr>
      </w:pPr>
      <w:r>
        <w:rPr>
          <w:color w:val="FF0000"/>
          <w:sz w:val="28"/>
          <w:szCs w:val="28"/>
        </w:rPr>
        <w:t>08/07/2014</w:t>
      </w:r>
    </w:p>
    <w:p w:rsidR="00473228" w:rsidRDefault="00473228" w:rsidP="00473228">
      <w:pPr>
        <w:pStyle w:val="jupara"/>
        <w:ind w:firstLine="0"/>
        <w:jc w:val="center"/>
      </w:pPr>
    </w:p>
    <w:p w:rsidR="00473228" w:rsidRDefault="00473228" w:rsidP="00473228">
      <w:pPr>
        <w:rPr>
          <w:i/>
          <w:iCs/>
          <w:sz w:val="22"/>
        </w:rPr>
      </w:pPr>
      <w:r>
        <w:rPr>
          <w:i/>
          <w:iCs/>
          <w:sz w:val="22"/>
        </w:rPr>
        <w:t>This judgment has become final under Article 44 § 2 of the Convention. It may be subject to editorial revision.</w:t>
      </w:r>
    </w:p>
    <w:p w:rsidR="00573F23" w:rsidRDefault="00573F23" w:rsidP="007815FC">
      <w:pPr>
        <w:pStyle w:val="NormalTimesNewRoman"/>
        <w:rPr>
          <w:b/>
          <w:i/>
          <w:sz w:val="22"/>
          <w:szCs w:val="22"/>
          <w:lang w:val="en-GB"/>
        </w:rPr>
      </w:pPr>
    </w:p>
    <w:p w:rsidR="00473228" w:rsidRPr="00E06A86" w:rsidRDefault="00473228" w:rsidP="007815FC">
      <w:pPr>
        <w:pStyle w:val="NormalTimesNewRoman"/>
        <w:rPr>
          <w:b/>
          <w:i/>
          <w:sz w:val="22"/>
          <w:szCs w:val="22"/>
          <w:lang w:val="en-GB"/>
        </w:rPr>
        <w:sectPr w:rsidR="00473228" w:rsidRPr="00E06A86" w:rsidSect="00573F23">
          <w:headerReference w:type="default" r:id="rId12"/>
          <w:headerReference w:type="first" r:id="rId13"/>
          <w:footerReference w:type="first" r:id="rId14"/>
          <w:footnotePr>
            <w:numRestart w:val="eachPage"/>
          </w:footnotePr>
          <w:pgSz w:w="11906" w:h="16838" w:code="9"/>
          <w:pgMar w:top="2274" w:right="2274" w:bottom="2274" w:left="2274" w:header="1701" w:footer="720" w:gutter="0"/>
          <w:pgNumType w:start="1"/>
          <w:cols w:space="720"/>
          <w:titlePg/>
          <w:docGrid w:linePitch="326"/>
        </w:sectPr>
      </w:pPr>
    </w:p>
    <w:p w:rsidR="00014566" w:rsidRPr="00E06A86" w:rsidRDefault="00435E65" w:rsidP="00D60D87">
      <w:pPr>
        <w:pStyle w:val="JuCase"/>
        <w:rPr>
          <w:bCs/>
          <w:lang w:val="en-GB"/>
        </w:rPr>
      </w:pPr>
      <w:r w:rsidRPr="00E06A86">
        <w:rPr>
          <w:lang w:val="en-GB"/>
        </w:rPr>
        <w:lastRenderedPageBreak/>
        <w:t>In</w:t>
      </w:r>
      <w:r w:rsidR="00014566" w:rsidRPr="00E06A86">
        <w:rPr>
          <w:lang w:val="en-GB"/>
        </w:rPr>
        <w:t xml:space="preserve"> the case of </w:t>
      </w:r>
      <w:r w:rsidR="00573F23" w:rsidRPr="00E06A86">
        <w:rPr>
          <w:lang w:val="en-GB"/>
        </w:rPr>
        <w:t>Dhahbi v. Italy</w:t>
      </w:r>
      <w:r w:rsidR="00014566" w:rsidRPr="00E06A86">
        <w:rPr>
          <w:lang w:val="en-GB"/>
        </w:rPr>
        <w:t>,</w:t>
      </w:r>
    </w:p>
    <w:p w:rsidR="00014566" w:rsidRPr="00E06A86" w:rsidRDefault="00014566" w:rsidP="005E2A43">
      <w:pPr>
        <w:pStyle w:val="ECHRPara"/>
        <w:rPr>
          <w:lang w:val="en-GB"/>
        </w:rPr>
      </w:pPr>
      <w:r w:rsidRPr="00E06A86">
        <w:rPr>
          <w:lang w:val="en-GB"/>
        </w:rPr>
        <w:t>The European Court of Human Rights (</w:t>
      </w:r>
      <w:r w:rsidR="00573F23" w:rsidRPr="00E06A86">
        <w:rPr>
          <w:lang w:val="en-GB"/>
        </w:rPr>
        <w:t>Second Section</w:t>
      </w:r>
      <w:r w:rsidRPr="00E06A86">
        <w:rPr>
          <w:lang w:val="en-GB"/>
        </w:rPr>
        <w:t xml:space="preserve">), sitting as a </w:t>
      </w:r>
      <w:r w:rsidR="00573F23" w:rsidRPr="00E06A86">
        <w:rPr>
          <w:lang w:val="en-GB"/>
        </w:rPr>
        <w:t>Chamber</w:t>
      </w:r>
      <w:r w:rsidRPr="00E06A86">
        <w:rPr>
          <w:lang w:val="en-GB"/>
        </w:rPr>
        <w:t xml:space="preserve"> composed of:</w:t>
      </w:r>
    </w:p>
    <w:p w:rsidR="00014566" w:rsidRPr="00E06A86" w:rsidRDefault="00BF60D0" w:rsidP="00DF0549">
      <w:pPr>
        <w:pStyle w:val="ECHRDecisionBody"/>
        <w:rPr>
          <w:lang w:val="en-GB"/>
        </w:rPr>
      </w:pPr>
      <w:r w:rsidRPr="00E06A86">
        <w:rPr>
          <w:lang w:val="en-GB"/>
        </w:rPr>
        <w:tab/>
        <w:t>Işıl Karakaş,</w:t>
      </w:r>
      <w:r w:rsidRPr="00E06A86">
        <w:rPr>
          <w:i/>
          <w:lang w:val="en-GB"/>
        </w:rPr>
        <w:t xml:space="preserve"> President,</w:t>
      </w:r>
      <w:r w:rsidRPr="00E06A86">
        <w:rPr>
          <w:i/>
          <w:lang w:val="en-GB"/>
        </w:rPr>
        <w:br/>
      </w:r>
      <w:r w:rsidRPr="00E06A86">
        <w:rPr>
          <w:lang w:val="en-GB"/>
        </w:rPr>
        <w:tab/>
        <w:t>Guido Raimondi,</w:t>
      </w:r>
      <w:r w:rsidRPr="00E06A86">
        <w:rPr>
          <w:i/>
          <w:lang w:val="en-GB"/>
        </w:rPr>
        <w:br/>
      </w:r>
      <w:r w:rsidRPr="00E06A86">
        <w:rPr>
          <w:lang w:val="en-GB"/>
        </w:rPr>
        <w:tab/>
        <w:t>Peer Lorenzen,</w:t>
      </w:r>
      <w:r w:rsidRPr="00E06A86">
        <w:rPr>
          <w:i/>
          <w:lang w:val="en-GB"/>
        </w:rPr>
        <w:br/>
      </w:r>
      <w:r w:rsidRPr="00E06A86">
        <w:rPr>
          <w:lang w:val="en-GB"/>
        </w:rPr>
        <w:tab/>
        <w:t>Nebojša Vučinić,</w:t>
      </w:r>
      <w:r w:rsidRPr="00E06A86">
        <w:rPr>
          <w:i/>
          <w:lang w:val="en-GB"/>
        </w:rPr>
        <w:br/>
      </w:r>
      <w:r w:rsidRPr="00E06A86">
        <w:rPr>
          <w:lang w:val="en-GB"/>
        </w:rPr>
        <w:tab/>
        <w:t>Helen Keller,</w:t>
      </w:r>
      <w:r w:rsidRPr="00E06A86">
        <w:rPr>
          <w:i/>
          <w:lang w:val="en-GB"/>
        </w:rPr>
        <w:br/>
      </w:r>
      <w:r w:rsidRPr="00E06A86">
        <w:rPr>
          <w:lang w:val="en-GB"/>
        </w:rPr>
        <w:tab/>
        <w:t>Paul Lemmens,</w:t>
      </w:r>
      <w:r w:rsidRPr="00E06A86">
        <w:rPr>
          <w:i/>
          <w:lang w:val="en-GB"/>
        </w:rPr>
        <w:br/>
      </w:r>
      <w:r w:rsidRPr="00E06A86">
        <w:rPr>
          <w:lang w:val="en-GB"/>
        </w:rPr>
        <w:tab/>
        <w:t>Egidijus Kūris,</w:t>
      </w:r>
      <w:r w:rsidRPr="00E06A86">
        <w:rPr>
          <w:i/>
          <w:lang w:val="en-GB"/>
        </w:rPr>
        <w:t xml:space="preserve"> judges,</w:t>
      </w:r>
      <w:r w:rsidRPr="00E06A86">
        <w:rPr>
          <w:i/>
          <w:lang w:val="en-GB"/>
        </w:rPr>
        <w:br/>
      </w:r>
      <w:r w:rsidR="00014566" w:rsidRPr="00E06A86">
        <w:rPr>
          <w:lang w:val="en-GB"/>
        </w:rPr>
        <w:t xml:space="preserve">and </w:t>
      </w:r>
      <w:r w:rsidR="00573F23" w:rsidRPr="00E06A86">
        <w:rPr>
          <w:lang w:val="en-GB"/>
        </w:rPr>
        <w:t>Stanley Naismith</w:t>
      </w:r>
      <w:r w:rsidR="00014566" w:rsidRPr="00E06A86">
        <w:rPr>
          <w:lang w:val="en-GB"/>
        </w:rPr>
        <w:t xml:space="preserve">, </w:t>
      </w:r>
      <w:r w:rsidR="00573F23" w:rsidRPr="00E06A86">
        <w:rPr>
          <w:i/>
          <w:lang w:val="en-GB"/>
        </w:rPr>
        <w:t xml:space="preserve">Section </w:t>
      </w:r>
      <w:r w:rsidR="00573F23" w:rsidRPr="00E06A86">
        <w:rPr>
          <w:i/>
          <w:iCs/>
          <w:lang w:val="en-GB"/>
        </w:rPr>
        <w:t>Registrar</w:t>
      </w:r>
      <w:r w:rsidR="00014566" w:rsidRPr="00E06A86">
        <w:rPr>
          <w:i/>
          <w:lang w:val="en-GB"/>
        </w:rPr>
        <w:t>,</w:t>
      </w:r>
    </w:p>
    <w:p w:rsidR="00014566" w:rsidRPr="00E06A86" w:rsidRDefault="00014566" w:rsidP="00C621C2">
      <w:pPr>
        <w:pStyle w:val="ECHRPara"/>
        <w:rPr>
          <w:lang w:val="en-GB"/>
        </w:rPr>
      </w:pPr>
      <w:r w:rsidRPr="00E06A86">
        <w:rPr>
          <w:lang w:val="en-GB"/>
        </w:rPr>
        <w:t xml:space="preserve">Having deliberated in private on </w:t>
      </w:r>
      <w:r w:rsidR="00BF60D0" w:rsidRPr="00E06A86">
        <w:rPr>
          <w:lang w:val="en-GB"/>
        </w:rPr>
        <w:t>18 March 2014</w:t>
      </w:r>
      <w:r w:rsidRPr="00E06A86">
        <w:rPr>
          <w:lang w:val="en-GB"/>
        </w:rPr>
        <w:t>,</w:t>
      </w:r>
    </w:p>
    <w:p w:rsidR="00014566" w:rsidRPr="00E06A86" w:rsidRDefault="00014566" w:rsidP="00C621C2">
      <w:pPr>
        <w:pStyle w:val="ECHRPara"/>
        <w:rPr>
          <w:lang w:val="en-GB"/>
        </w:rPr>
      </w:pPr>
      <w:r w:rsidRPr="00E06A86">
        <w:rPr>
          <w:lang w:val="en-GB"/>
        </w:rPr>
        <w:t>Delivers the following judgment, which was adopted on that date:</w:t>
      </w:r>
    </w:p>
    <w:p w:rsidR="00014566" w:rsidRPr="00E06A86" w:rsidRDefault="00014566" w:rsidP="00014566">
      <w:pPr>
        <w:pStyle w:val="ECHRTitle1"/>
        <w:rPr>
          <w:lang w:val="en-GB"/>
        </w:rPr>
      </w:pPr>
      <w:r w:rsidRPr="00E06A86">
        <w:rPr>
          <w:lang w:val="en-GB"/>
        </w:rPr>
        <w:t>PROCEDURE</w:t>
      </w:r>
    </w:p>
    <w:p w:rsidR="00473228" w:rsidRDefault="00573F23" w:rsidP="00C621C2">
      <w:pPr>
        <w:pStyle w:val="ECHRPara"/>
        <w:rPr>
          <w:lang w:val="en-GB"/>
        </w:rPr>
      </w:pPr>
      <w:r w:rsidRPr="00E06A86">
        <w:rPr>
          <w:lang w:val="en-GB"/>
        </w:rPr>
        <w:fldChar w:fldCharType="begin"/>
      </w:r>
      <w:r w:rsidRPr="00E06A86">
        <w:rPr>
          <w:lang w:val="en-GB"/>
        </w:rPr>
        <w:instrText xml:space="preserve"> SEQ level0 \*arabic </w:instrText>
      </w:r>
      <w:r w:rsidRPr="00E06A86">
        <w:rPr>
          <w:lang w:val="en-GB"/>
        </w:rPr>
        <w:fldChar w:fldCharType="separate"/>
      </w:r>
      <w:r w:rsidR="00473228">
        <w:rPr>
          <w:noProof/>
          <w:lang w:val="en-GB"/>
        </w:rPr>
        <w:t>1</w:t>
      </w:r>
      <w:r w:rsidRPr="00E06A86">
        <w:rPr>
          <w:lang w:val="en-GB"/>
        </w:rPr>
        <w:fldChar w:fldCharType="end"/>
      </w:r>
      <w:r w:rsidR="00014566" w:rsidRPr="00E06A86">
        <w:rPr>
          <w:lang w:val="en-GB"/>
        </w:rPr>
        <w:t xml:space="preserve">.  The case originated in </w:t>
      </w:r>
      <w:r w:rsidRPr="00E06A86">
        <w:rPr>
          <w:lang w:val="en-GB"/>
        </w:rPr>
        <w:t>an application (no. 17120/09)</w:t>
      </w:r>
      <w:r w:rsidR="00014566" w:rsidRPr="00E06A86">
        <w:rPr>
          <w:lang w:val="en-GB"/>
        </w:rPr>
        <w:t xml:space="preserve"> against </w:t>
      </w:r>
      <w:r w:rsidRPr="00E06A86">
        <w:rPr>
          <w:lang w:val="en-GB"/>
        </w:rPr>
        <w:t>the Italian Republic</w:t>
      </w:r>
      <w:r w:rsidR="00014566" w:rsidRPr="00E06A86">
        <w:rPr>
          <w:lang w:val="en-GB"/>
        </w:rPr>
        <w:t xml:space="preserve"> lodged with the </w:t>
      </w:r>
      <w:r w:rsidRPr="00E06A86">
        <w:rPr>
          <w:lang w:val="en-GB"/>
        </w:rPr>
        <w:t>Court under Article 34</w:t>
      </w:r>
      <w:r w:rsidR="00014566" w:rsidRPr="00E06A86">
        <w:rPr>
          <w:lang w:val="en-GB"/>
        </w:rPr>
        <w:t xml:space="preserve"> of the Convention for the Protection of Human Rights and Fundamental Freedoms (“the Convention”) by </w:t>
      </w:r>
      <w:r w:rsidRPr="00E06A86">
        <w:rPr>
          <w:lang w:val="en-GB"/>
        </w:rPr>
        <w:t>an Italian national, Mr Bouraoui Dhahbi (“the applicant”), on 28 March 2009</w:t>
      </w:r>
      <w:r w:rsidR="00014566" w:rsidRPr="00E06A86">
        <w:rPr>
          <w:lang w:val="en-GB"/>
        </w:rPr>
        <w:t>.</w:t>
      </w:r>
    </w:p>
    <w:p w:rsidR="00573F23" w:rsidRPr="00E06A86" w:rsidRDefault="00573F23" w:rsidP="00C621C2">
      <w:pPr>
        <w:pStyle w:val="ECHRPara"/>
        <w:rPr>
          <w:lang w:val="en-GB"/>
        </w:rPr>
      </w:pPr>
      <w:r w:rsidRPr="00E06A86">
        <w:rPr>
          <w:lang w:val="en-GB"/>
        </w:rPr>
        <w:fldChar w:fldCharType="begin"/>
      </w:r>
      <w:r w:rsidRPr="00E06A86">
        <w:rPr>
          <w:lang w:val="en-GB"/>
        </w:rPr>
        <w:instrText xml:space="preserve"> SEQ level0 \*arabic </w:instrText>
      </w:r>
      <w:r w:rsidRPr="00E06A86">
        <w:rPr>
          <w:lang w:val="en-GB"/>
        </w:rPr>
        <w:fldChar w:fldCharType="separate"/>
      </w:r>
      <w:r w:rsidR="00473228">
        <w:rPr>
          <w:noProof/>
          <w:lang w:val="en-GB"/>
        </w:rPr>
        <w:t>2</w:t>
      </w:r>
      <w:r w:rsidRPr="00E06A86">
        <w:rPr>
          <w:lang w:val="en-GB"/>
        </w:rPr>
        <w:fldChar w:fldCharType="end"/>
      </w:r>
      <w:r w:rsidR="00014566" w:rsidRPr="00E06A86">
        <w:rPr>
          <w:lang w:val="en-GB"/>
        </w:rPr>
        <w:t>.  </w:t>
      </w:r>
      <w:r w:rsidRPr="00E06A86">
        <w:rPr>
          <w:lang w:val="en-GB"/>
        </w:rPr>
        <w:t xml:space="preserve">The applicant was represented by Mr V. Angiolini, a lawyer practising in Milan. </w:t>
      </w:r>
      <w:r w:rsidR="00014566" w:rsidRPr="00E06A86">
        <w:rPr>
          <w:lang w:val="en-GB"/>
        </w:rPr>
        <w:t xml:space="preserve">The </w:t>
      </w:r>
      <w:r w:rsidRPr="00E06A86">
        <w:rPr>
          <w:lang w:val="en-GB"/>
        </w:rPr>
        <w:t>Italian</w:t>
      </w:r>
      <w:r w:rsidR="00014566" w:rsidRPr="00E06A86">
        <w:rPr>
          <w:lang w:val="en-GB"/>
        </w:rPr>
        <w:t xml:space="preserve"> Government (“the Government”) were represented by their Agent, Ms </w:t>
      </w:r>
      <w:r w:rsidR="00BF60D0" w:rsidRPr="00E06A86">
        <w:rPr>
          <w:lang w:val="en-GB"/>
        </w:rPr>
        <w:t>E. Spatafora</w:t>
      </w:r>
      <w:r w:rsidR="00014566" w:rsidRPr="00E06A86">
        <w:rPr>
          <w:lang w:val="en-GB"/>
        </w:rPr>
        <w:t xml:space="preserve">, </w:t>
      </w:r>
      <w:r w:rsidR="00BF60D0" w:rsidRPr="00E06A86">
        <w:rPr>
          <w:lang w:val="en-GB"/>
        </w:rPr>
        <w:t>and by their Co-Agent, Ms</w:t>
      </w:r>
      <w:r w:rsidR="00967D42">
        <w:rPr>
          <w:lang w:val="en-GB"/>
        </w:rPr>
        <w:t> </w:t>
      </w:r>
      <w:r w:rsidR="00BF60D0" w:rsidRPr="00E06A86">
        <w:rPr>
          <w:lang w:val="en-GB"/>
        </w:rPr>
        <w:t>P.</w:t>
      </w:r>
      <w:r w:rsidR="00967D42">
        <w:rPr>
          <w:lang w:val="en-GB"/>
        </w:rPr>
        <w:t> </w:t>
      </w:r>
      <w:r w:rsidR="00BF60D0" w:rsidRPr="00E06A86">
        <w:rPr>
          <w:lang w:val="en-GB"/>
        </w:rPr>
        <w:t>Accardo</w:t>
      </w:r>
      <w:r w:rsidR="00014566" w:rsidRPr="00E06A86">
        <w:rPr>
          <w:lang w:val="en-GB"/>
        </w:rPr>
        <w:t>.</w:t>
      </w:r>
    </w:p>
    <w:p w:rsidR="00014566" w:rsidRPr="00E06A86" w:rsidRDefault="00573F23" w:rsidP="00C621C2">
      <w:pPr>
        <w:pStyle w:val="ECHRPara"/>
        <w:rPr>
          <w:lang w:val="en-GB"/>
        </w:rPr>
      </w:pPr>
      <w:r w:rsidRPr="00E06A86">
        <w:rPr>
          <w:lang w:val="en-GB"/>
        </w:rPr>
        <w:fldChar w:fldCharType="begin"/>
      </w:r>
      <w:r w:rsidRPr="00E06A86">
        <w:rPr>
          <w:lang w:val="en-GB"/>
        </w:rPr>
        <w:instrText xml:space="preserve"> SEQ level0 \*arabic </w:instrText>
      </w:r>
      <w:r w:rsidRPr="00E06A86">
        <w:rPr>
          <w:lang w:val="en-GB"/>
        </w:rPr>
        <w:fldChar w:fldCharType="separate"/>
      </w:r>
      <w:r w:rsidR="00473228">
        <w:rPr>
          <w:noProof/>
          <w:lang w:val="en-GB"/>
        </w:rPr>
        <w:t>3</w:t>
      </w:r>
      <w:r w:rsidRPr="00E06A86">
        <w:rPr>
          <w:lang w:val="en-GB"/>
        </w:rPr>
        <w:fldChar w:fldCharType="end"/>
      </w:r>
      <w:r w:rsidRPr="00E06A86">
        <w:rPr>
          <w:lang w:val="en-GB"/>
        </w:rPr>
        <w:t xml:space="preserve">.  The applicant alleged </w:t>
      </w:r>
      <w:r w:rsidR="00765A7C" w:rsidRPr="00E06A86">
        <w:rPr>
          <w:lang w:val="en-GB"/>
        </w:rPr>
        <w:t>that he had been the victim of discrimination based on his nationality at the</w:t>
      </w:r>
      <w:r w:rsidR="00931C65" w:rsidRPr="00E06A86">
        <w:rPr>
          <w:lang w:val="en-GB"/>
        </w:rPr>
        <w:t xml:space="preserve"> </w:t>
      </w:r>
      <w:r w:rsidR="00765A7C" w:rsidRPr="00E06A86">
        <w:rPr>
          <w:lang w:val="en-GB"/>
        </w:rPr>
        <w:t>time</w:t>
      </w:r>
      <w:r w:rsidR="0077324C">
        <w:rPr>
          <w:lang w:val="en-GB"/>
        </w:rPr>
        <w:t xml:space="preserve"> of the events</w:t>
      </w:r>
      <w:r w:rsidRPr="00E06A86">
        <w:rPr>
          <w:lang w:val="en-GB"/>
        </w:rPr>
        <w:t>.</w:t>
      </w:r>
      <w:r w:rsidR="00765A7C" w:rsidRPr="00E06A86">
        <w:rPr>
          <w:lang w:val="en-GB"/>
        </w:rPr>
        <w:t xml:space="preserve"> He </w:t>
      </w:r>
      <w:r w:rsidR="007815FC" w:rsidRPr="00E06A86">
        <w:rPr>
          <w:lang w:val="en-GB"/>
        </w:rPr>
        <w:t>further</w:t>
      </w:r>
      <w:r w:rsidR="00765A7C" w:rsidRPr="00E06A86">
        <w:rPr>
          <w:lang w:val="en-GB"/>
        </w:rPr>
        <w:t xml:space="preserve"> complain</w:t>
      </w:r>
      <w:r w:rsidR="007815FC" w:rsidRPr="00E06A86">
        <w:rPr>
          <w:lang w:val="en-GB"/>
        </w:rPr>
        <w:t>ed</w:t>
      </w:r>
      <w:r w:rsidR="00765A7C" w:rsidRPr="00E06A86">
        <w:rPr>
          <w:lang w:val="en-GB"/>
        </w:rPr>
        <w:t xml:space="preserve"> that the Court of Cassation</w:t>
      </w:r>
      <w:r w:rsidR="007815FC" w:rsidRPr="00E06A86">
        <w:rPr>
          <w:lang w:val="en-GB"/>
        </w:rPr>
        <w:t xml:space="preserve"> had</w:t>
      </w:r>
      <w:r w:rsidR="00765A7C" w:rsidRPr="00E06A86">
        <w:rPr>
          <w:lang w:val="en-GB"/>
        </w:rPr>
        <w:t xml:space="preserve"> ignored his request to </w:t>
      </w:r>
      <w:r w:rsidR="00B9293E">
        <w:rPr>
          <w:lang w:val="en-GB"/>
        </w:rPr>
        <w:t>refer</w:t>
      </w:r>
      <w:r w:rsidR="00765A7C" w:rsidRPr="00E06A86">
        <w:rPr>
          <w:lang w:val="en-GB"/>
        </w:rPr>
        <w:t xml:space="preserve"> a</w:t>
      </w:r>
      <w:r w:rsidR="00C24D3E">
        <w:rPr>
          <w:lang w:val="en-GB"/>
        </w:rPr>
        <w:t xml:space="preserve"> </w:t>
      </w:r>
      <w:r w:rsidR="00765A7C" w:rsidRPr="00E06A86">
        <w:rPr>
          <w:lang w:val="en-GB"/>
        </w:rPr>
        <w:t xml:space="preserve">question to the </w:t>
      </w:r>
      <w:r w:rsidR="00571E96" w:rsidRPr="00E06A86">
        <w:rPr>
          <w:lang w:val="en-GB"/>
        </w:rPr>
        <w:t xml:space="preserve">Court of Justice of the European Union </w:t>
      </w:r>
      <w:r w:rsidR="00B9293E">
        <w:rPr>
          <w:lang w:val="en-GB"/>
        </w:rPr>
        <w:t xml:space="preserve">for a preliminary ruling </w:t>
      </w:r>
      <w:r w:rsidR="00571E96" w:rsidRPr="00E06A86">
        <w:rPr>
          <w:lang w:val="en-GB"/>
        </w:rPr>
        <w:t>in the related proceedings.</w:t>
      </w:r>
    </w:p>
    <w:p w:rsidR="00014566" w:rsidRPr="00E06A86" w:rsidRDefault="00573F23" w:rsidP="00C621C2">
      <w:pPr>
        <w:pStyle w:val="ECHRPara"/>
        <w:rPr>
          <w:lang w:val="en-GB"/>
        </w:rPr>
      </w:pPr>
      <w:r w:rsidRPr="00E06A86">
        <w:rPr>
          <w:lang w:val="en-GB"/>
        </w:rPr>
        <w:fldChar w:fldCharType="begin"/>
      </w:r>
      <w:r w:rsidRPr="00E06A86">
        <w:rPr>
          <w:lang w:val="en-GB"/>
        </w:rPr>
        <w:instrText xml:space="preserve"> SEQ level0 \*arabic </w:instrText>
      </w:r>
      <w:r w:rsidRPr="00E06A86">
        <w:rPr>
          <w:lang w:val="en-GB"/>
        </w:rPr>
        <w:fldChar w:fldCharType="separate"/>
      </w:r>
      <w:r w:rsidR="00473228">
        <w:rPr>
          <w:noProof/>
          <w:lang w:val="en-GB"/>
        </w:rPr>
        <w:t>4</w:t>
      </w:r>
      <w:r w:rsidRPr="00E06A86">
        <w:rPr>
          <w:lang w:val="en-GB"/>
        </w:rPr>
        <w:fldChar w:fldCharType="end"/>
      </w:r>
      <w:r w:rsidR="00014566" w:rsidRPr="00E06A86">
        <w:rPr>
          <w:lang w:val="en-GB"/>
        </w:rPr>
        <w:t>.  </w:t>
      </w:r>
      <w:r w:rsidRPr="00E06A86">
        <w:rPr>
          <w:lang w:val="en-GB"/>
        </w:rPr>
        <w:t xml:space="preserve">On </w:t>
      </w:r>
      <w:r w:rsidRPr="00E06A86">
        <w:rPr>
          <w:szCs w:val="24"/>
          <w:lang w:val="en-GB"/>
        </w:rPr>
        <w:t>11 June 2013</w:t>
      </w:r>
      <w:r w:rsidR="00014566" w:rsidRPr="00E06A86">
        <w:rPr>
          <w:lang w:val="en-GB"/>
        </w:rPr>
        <w:t xml:space="preserve"> the</w:t>
      </w:r>
      <w:r w:rsidR="00BF60D0" w:rsidRPr="00E06A86">
        <w:rPr>
          <w:lang w:val="en-GB"/>
        </w:rPr>
        <w:t xml:space="preserve"> Government were given notice of the</w:t>
      </w:r>
      <w:r w:rsidR="00014566" w:rsidRPr="00E06A86">
        <w:rPr>
          <w:lang w:val="en-GB"/>
        </w:rPr>
        <w:t xml:space="preserve"> </w:t>
      </w:r>
      <w:r w:rsidRPr="00E06A86">
        <w:rPr>
          <w:lang w:val="en-GB"/>
        </w:rPr>
        <w:t>application</w:t>
      </w:r>
      <w:r w:rsidR="00014566" w:rsidRPr="00E06A86">
        <w:rPr>
          <w:lang w:val="en-GB"/>
        </w:rPr>
        <w:t>.</w:t>
      </w:r>
    </w:p>
    <w:p w:rsidR="00014566" w:rsidRPr="00E06A86" w:rsidRDefault="00014566" w:rsidP="00294C92">
      <w:pPr>
        <w:pStyle w:val="ECHRTitle1"/>
        <w:rPr>
          <w:lang w:val="en-GB"/>
        </w:rPr>
      </w:pPr>
      <w:r w:rsidRPr="00E06A86">
        <w:rPr>
          <w:lang w:val="en-GB"/>
        </w:rPr>
        <w:t>THE FACTS</w:t>
      </w:r>
    </w:p>
    <w:p w:rsidR="00014566" w:rsidRPr="00E06A86" w:rsidRDefault="00014566" w:rsidP="00014566">
      <w:pPr>
        <w:pStyle w:val="ECHRHeading1"/>
        <w:rPr>
          <w:lang w:val="en-GB"/>
        </w:rPr>
      </w:pPr>
      <w:r w:rsidRPr="00E06A86">
        <w:rPr>
          <w:lang w:val="en-GB"/>
        </w:rPr>
        <w:t>I.  THE CIRCUMSTANCES OF THE CASE</w:t>
      </w:r>
    </w:p>
    <w:p w:rsidR="00014566" w:rsidRPr="00E06A86" w:rsidRDefault="00573F23" w:rsidP="00C621C2">
      <w:pPr>
        <w:pStyle w:val="ECHRPara"/>
        <w:rPr>
          <w:lang w:val="en-GB"/>
        </w:rPr>
      </w:pPr>
      <w:r w:rsidRPr="00E06A86">
        <w:rPr>
          <w:lang w:val="en-GB"/>
        </w:rPr>
        <w:fldChar w:fldCharType="begin"/>
      </w:r>
      <w:r w:rsidRPr="00E06A86">
        <w:rPr>
          <w:lang w:val="en-GB"/>
        </w:rPr>
        <w:instrText xml:space="preserve"> SEQ level0 \*arabic </w:instrText>
      </w:r>
      <w:r w:rsidRPr="00E06A86">
        <w:rPr>
          <w:lang w:val="en-GB"/>
        </w:rPr>
        <w:fldChar w:fldCharType="separate"/>
      </w:r>
      <w:r w:rsidR="00473228">
        <w:rPr>
          <w:noProof/>
          <w:lang w:val="en-GB"/>
        </w:rPr>
        <w:t>5</w:t>
      </w:r>
      <w:r w:rsidRPr="00E06A86">
        <w:rPr>
          <w:lang w:val="en-GB"/>
        </w:rPr>
        <w:fldChar w:fldCharType="end"/>
      </w:r>
      <w:r w:rsidR="00014566" w:rsidRPr="00E06A86">
        <w:rPr>
          <w:lang w:val="en-GB"/>
        </w:rPr>
        <w:t xml:space="preserve">.  The </w:t>
      </w:r>
      <w:r w:rsidRPr="00E06A86">
        <w:rPr>
          <w:lang w:val="en-GB"/>
        </w:rPr>
        <w:t>applicant was born in 1960 and lives</w:t>
      </w:r>
      <w:r w:rsidR="00014566" w:rsidRPr="00E06A86">
        <w:rPr>
          <w:lang w:val="en-GB"/>
        </w:rPr>
        <w:t xml:space="preserve"> in </w:t>
      </w:r>
      <w:r w:rsidRPr="00E06A86">
        <w:rPr>
          <w:lang w:val="en-GB"/>
        </w:rPr>
        <w:t>M</w:t>
      </w:r>
      <w:r w:rsidR="00BF60D0" w:rsidRPr="00E06A86">
        <w:rPr>
          <w:lang w:val="en-GB"/>
        </w:rPr>
        <w:t>arsala (Trapani)</w:t>
      </w:r>
      <w:r w:rsidR="00014566" w:rsidRPr="00E06A86">
        <w:rPr>
          <w:lang w:val="en-GB"/>
        </w:rPr>
        <w:t>.</w:t>
      </w:r>
    </w:p>
    <w:p w:rsidR="00765A7C" w:rsidRPr="00E06A86" w:rsidRDefault="00573F23" w:rsidP="00571E96">
      <w:pPr>
        <w:pStyle w:val="ECHRPara"/>
        <w:rPr>
          <w:lang w:val="en-GB"/>
        </w:rPr>
      </w:pPr>
      <w:r w:rsidRPr="00E06A86">
        <w:rPr>
          <w:lang w:val="en-GB"/>
        </w:rPr>
        <w:fldChar w:fldCharType="begin"/>
      </w:r>
      <w:r w:rsidRPr="00E06A86">
        <w:rPr>
          <w:lang w:val="en-GB"/>
        </w:rPr>
        <w:instrText xml:space="preserve"> SEQ level0 \*arabic </w:instrText>
      </w:r>
      <w:r w:rsidRPr="00E06A86">
        <w:rPr>
          <w:lang w:val="en-GB"/>
        </w:rPr>
        <w:fldChar w:fldCharType="separate"/>
      </w:r>
      <w:r w:rsidR="00473228">
        <w:rPr>
          <w:noProof/>
          <w:lang w:val="en-GB"/>
        </w:rPr>
        <w:t>6</w:t>
      </w:r>
      <w:r w:rsidRPr="00E06A86">
        <w:rPr>
          <w:lang w:val="en-GB"/>
        </w:rPr>
        <w:fldChar w:fldCharType="end"/>
      </w:r>
      <w:r w:rsidR="00014566" w:rsidRPr="00E06A86">
        <w:rPr>
          <w:lang w:val="en-GB"/>
        </w:rPr>
        <w:t>.  </w:t>
      </w:r>
      <w:r w:rsidR="00571E96" w:rsidRPr="00E06A86">
        <w:rPr>
          <w:lang w:val="en-GB"/>
        </w:rPr>
        <w:t xml:space="preserve">The applicant, who subsequently acquired Italian nationality, was at the relevant time a Tunisian </w:t>
      </w:r>
      <w:r w:rsidR="007815FC" w:rsidRPr="00E06A86">
        <w:rPr>
          <w:lang w:val="en-GB"/>
        </w:rPr>
        <w:t>n</w:t>
      </w:r>
      <w:r w:rsidR="00571E96" w:rsidRPr="00E06A86">
        <w:rPr>
          <w:lang w:val="en-GB"/>
        </w:rPr>
        <w:t xml:space="preserve">ational who had </w:t>
      </w:r>
      <w:r w:rsidR="00A80CEF">
        <w:rPr>
          <w:lang w:val="en-GB"/>
        </w:rPr>
        <w:t>entered</w:t>
      </w:r>
      <w:r w:rsidR="00571E96" w:rsidRPr="00E06A86">
        <w:rPr>
          <w:lang w:val="en-GB"/>
        </w:rPr>
        <w:t xml:space="preserve"> Italy on the basis of a</w:t>
      </w:r>
      <w:r w:rsidR="007815FC" w:rsidRPr="00E06A86">
        <w:rPr>
          <w:lang w:val="en-GB"/>
        </w:rPr>
        <w:t xml:space="preserve"> </w:t>
      </w:r>
      <w:r w:rsidR="007815FC" w:rsidRPr="00E06A86">
        <w:rPr>
          <w:lang w:val="en-GB"/>
        </w:rPr>
        <w:lastRenderedPageBreak/>
        <w:t>lawful</w:t>
      </w:r>
      <w:r w:rsidR="00571E96" w:rsidRPr="00E06A86">
        <w:rPr>
          <w:lang w:val="en-GB"/>
        </w:rPr>
        <w:t xml:space="preserve"> residence and work permit. He was employed by company A. and insured with the National Social Security Agency</w:t>
      </w:r>
      <w:r w:rsidR="00765A7C" w:rsidRPr="00E06A86">
        <w:rPr>
          <w:lang w:val="en-GB"/>
        </w:rPr>
        <w:t xml:space="preserve"> (</w:t>
      </w:r>
      <w:r w:rsidR="00765A7C" w:rsidRPr="00E06A86">
        <w:rPr>
          <w:i/>
          <w:lang w:val="en-GB"/>
        </w:rPr>
        <w:t xml:space="preserve">Istituto Nazionale della Previdenza Sociale </w:t>
      </w:r>
      <w:r w:rsidR="00765A7C" w:rsidRPr="00E06A86">
        <w:rPr>
          <w:lang w:val="en-GB"/>
        </w:rPr>
        <w:t>–</w:t>
      </w:r>
      <w:r w:rsidR="00571E96" w:rsidRPr="00E06A86">
        <w:rPr>
          <w:lang w:val="en-GB"/>
        </w:rPr>
        <w:t xml:space="preserve"> “the </w:t>
      </w:r>
      <w:r w:rsidR="00765A7C" w:rsidRPr="00E06A86">
        <w:rPr>
          <w:lang w:val="en-GB"/>
        </w:rPr>
        <w:t>INPS</w:t>
      </w:r>
      <w:r w:rsidR="00571E96" w:rsidRPr="00E06A86">
        <w:rPr>
          <w:lang w:val="en-GB"/>
        </w:rPr>
        <w:t>”</w:t>
      </w:r>
      <w:r w:rsidR="00765A7C" w:rsidRPr="00E06A86">
        <w:rPr>
          <w:lang w:val="en-GB"/>
        </w:rPr>
        <w:t xml:space="preserve">). </w:t>
      </w:r>
      <w:r w:rsidR="00571E96" w:rsidRPr="00E06A86">
        <w:rPr>
          <w:lang w:val="en-GB"/>
        </w:rPr>
        <w:t xml:space="preserve">His family was made up of his </w:t>
      </w:r>
      <w:r w:rsidR="00F15E11" w:rsidRPr="00E06A86">
        <w:rPr>
          <w:lang w:val="en-GB"/>
        </w:rPr>
        <w:t>wife</w:t>
      </w:r>
      <w:r w:rsidR="00571E96" w:rsidRPr="00E06A86">
        <w:rPr>
          <w:lang w:val="en-GB"/>
        </w:rPr>
        <w:t xml:space="preserve"> and their four minor children. His income for the year 1999 totalled</w:t>
      </w:r>
      <w:r w:rsidR="00765A7C" w:rsidRPr="00E06A86">
        <w:rPr>
          <w:lang w:val="en-GB"/>
        </w:rPr>
        <w:t xml:space="preserve"> 30</w:t>
      </w:r>
      <w:r w:rsidR="00571E96" w:rsidRPr="00E06A86">
        <w:rPr>
          <w:lang w:val="en-GB"/>
        </w:rPr>
        <w:t>,</w:t>
      </w:r>
      <w:r w:rsidR="00765A7C" w:rsidRPr="00E06A86">
        <w:rPr>
          <w:lang w:val="en-GB"/>
        </w:rPr>
        <w:t>655</w:t>
      </w:r>
      <w:r w:rsidR="00571E96" w:rsidRPr="00E06A86">
        <w:rPr>
          <w:lang w:val="en-GB"/>
        </w:rPr>
        <w:t>,</w:t>
      </w:r>
      <w:r w:rsidR="00765A7C" w:rsidRPr="00E06A86">
        <w:rPr>
          <w:lang w:val="en-GB"/>
        </w:rPr>
        <w:t>000</w:t>
      </w:r>
      <w:r w:rsidR="00571E96" w:rsidRPr="00E06A86">
        <w:rPr>
          <w:lang w:val="en-GB"/>
        </w:rPr>
        <w:t xml:space="preserve"> Italian lira </w:t>
      </w:r>
      <w:r w:rsidR="00765A7C" w:rsidRPr="00E06A86">
        <w:rPr>
          <w:lang w:val="en-GB"/>
        </w:rPr>
        <w:t xml:space="preserve">(ITL – </w:t>
      </w:r>
      <w:r w:rsidR="00571E96" w:rsidRPr="00E06A86">
        <w:rPr>
          <w:lang w:val="en-GB"/>
        </w:rPr>
        <w:t>approximately</w:t>
      </w:r>
      <w:r w:rsidR="00765A7C" w:rsidRPr="00E06A86">
        <w:rPr>
          <w:lang w:val="en-GB"/>
        </w:rPr>
        <w:t xml:space="preserve"> 15</w:t>
      </w:r>
      <w:r w:rsidR="00571E96" w:rsidRPr="00E06A86">
        <w:rPr>
          <w:lang w:val="en-GB"/>
        </w:rPr>
        <w:t>,</w:t>
      </w:r>
      <w:r w:rsidR="00765A7C" w:rsidRPr="00E06A86">
        <w:rPr>
          <w:lang w:val="en-GB"/>
        </w:rPr>
        <w:t>832 euros (EUR)).</w:t>
      </w:r>
    </w:p>
    <w:p w:rsidR="00435E65" w:rsidRPr="00E06A86" w:rsidRDefault="00765A7C" w:rsidP="00435E65">
      <w:pPr>
        <w:pStyle w:val="ECHRPara"/>
        <w:rPr>
          <w:lang w:val="en-GB"/>
        </w:rPr>
      </w:pPr>
      <w:r w:rsidRPr="00E06A86">
        <w:rPr>
          <w:lang w:val="en-GB"/>
        </w:rPr>
        <w:fldChar w:fldCharType="begin"/>
      </w:r>
      <w:r w:rsidRPr="00E06A86">
        <w:rPr>
          <w:lang w:val="en-GB"/>
        </w:rPr>
        <w:instrText xml:space="preserve"> SEQ level0 \*arabic </w:instrText>
      </w:r>
      <w:r w:rsidRPr="00E06A86">
        <w:rPr>
          <w:lang w:val="en-GB"/>
        </w:rPr>
        <w:fldChar w:fldCharType="separate"/>
      </w:r>
      <w:r w:rsidR="00473228">
        <w:rPr>
          <w:noProof/>
          <w:lang w:val="en-GB"/>
        </w:rPr>
        <w:t>7</w:t>
      </w:r>
      <w:r w:rsidRPr="00E06A86">
        <w:rPr>
          <w:noProof/>
          <w:lang w:val="en-GB"/>
        </w:rPr>
        <w:fldChar w:fldCharType="end"/>
      </w:r>
      <w:r w:rsidRPr="00E06A86">
        <w:rPr>
          <w:lang w:val="en-GB"/>
        </w:rPr>
        <w:t>.  </w:t>
      </w:r>
      <w:r w:rsidR="00571E96" w:rsidRPr="00E06A86">
        <w:rPr>
          <w:lang w:val="en-GB"/>
        </w:rPr>
        <w:t>On 24 May 2001 the applicant lodged an application with the Marsala District Court</w:t>
      </w:r>
      <w:r w:rsidR="00435E65" w:rsidRPr="00E06A86">
        <w:rPr>
          <w:lang w:val="en-GB"/>
        </w:rPr>
        <w:t>, acting as an employment tribunal, seeking payment of the family allowance</w:t>
      </w:r>
      <w:r w:rsidRPr="00E06A86">
        <w:rPr>
          <w:lang w:val="en-GB"/>
        </w:rPr>
        <w:t xml:space="preserve"> (</w:t>
      </w:r>
      <w:r w:rsidRPr="00E06A86">
        <w:rPr>
          <w:i/>
          <w:lang w:val="en-GB"/>
        </w:rPr>
        <w:t>assegno per nucleo familiare</w:t>
      </w:r>
      <w:r w:rsidRPr="00E06A86">
        <w:rPr>
          <w:lang w:val="en-GB"/>
        </w:rPr>
        <w:t xml:space="preserve">) </w:t>
      </w:r>
      <w:r w:rsidR="00435E65" w:rsidRPr="00E06A86">
        <w:rPr>
          <w:lang w:val="en-GB"/>
        </w:rPr>
        <w:t xml:space="preserve">provided for by section 65 of Law no. 448 of 1998. Under the terms of that provision, the allowance in question was paid by the INPS to families made up of Italian nationals living in Italy with at least three minor children, </w:t>
      </w:r>
      <w:r w:rsidR="00F15E11" w:rsidRPr="00E06A86">
        <w:rPr>
          <w:lang w:val="en-GB"/>
        </w:rPr>
        <w:t>whose</w:t>
      </w:r>
      <w:r w:rsidR="00435E65" w:rsidRPr="00E06A86">
        <w:rPr>
          <w:lang w:val="en-GB"/>
        </w:rPr>
        <w:t xml:space="preserve"> annual income was below the amounts set out in the table appended to Legislative Decree no.</w:t>
      </w:r>
      <w:r w:rsidR="00967D42">
        <w:rPr>
          <w:lang w:val="en-GB"/>
        </w:rPr>
        <w:t> </w:t>
      </w:r>
      <w:r w:rsidR="00435E65" w:rsidRPr="00E06A86">
        <w:rPr>
          <w:lang w:val="en-GB"/>
        </w:rPr>
        <w:t>109 of 31 March 1998 (</w:t>
      </w:r>
      <w:r w:rsidR="00F15E11" w:rsidRPr="00E06A86">
        <w:rPr>
          <w:lang w:val="en-GB"/>
        </w:rPr>
        <w:t>i</w:t>
      </w:r>
      <w:r w:rsidR="00435E65" w:rsidRPr="00E06A86">
        <w:rPr>
          <w:lang w:val="en-GB"/>
        </w:rPr>
        <w:t>n this instance</w:t>
      </w:r>
      <w:r w:rsidR="00112618">
        <w:rPr>
          <w:lang w:val="en-GB"/>
        </w:rPr>
        <w:t>,</w:t>
      </w:r>
      <w:r w:rsidR="00435E65" w:rsidRPr="00E06A86">
        <w:rPr>
          <w:lang w:val="en-GB"/>
        </w:rPr>
        <w:t xml:space="preserve"> </w:t>
      </w:r>
      <w:r w:rsidR="00112618" w:rsidRPr="00E06A86">
        <w:rPr>
          <w:lang w:val="en-GB"/>
        </w:rPr>
        <w:t xml:space="preserve">the amount </w:t>
      </w:r>
      <w:r w:rsidR="00112618">
        <w:rPr>
          <w:lang w:val="en-GB"/>
        </w:rPr>
        <w:t>applicable</w:t>
      </w:r>
      <w:r w:rsidR="00112618" w:rsidRPr="00E06A86">
        <w:rPr>
          <w:lang w:val="en-GB"/>
        </w:rPr>
        <w:t xml:space="preserve"> to families with five members</w:t>
      </w:r>
      <w:r w:rsidR="00112618">
        <w:rPr>
          <w:lang w:val="en-GB"/>
        </w:rPr>
        <w:t>, namely</w:t>
      </w:r>
      <w:r w:rsidR="00112618" w:rsidRPr="00E06A86">
        <w:rPr>
          <w:lang w:val="en-GB"/>
        </w:rPr>
        <w:t xml:space="preserve"> </w:t>
      </w:r>
      <w:r w:rsidR="00435E65" w:rsidRPr="00E06A86">
        <w:rPr>
          <w:lang w:val="en-GB"/>
        </w:rPr>
        <w:t xml:space="preserve">ITL 36 million </w:t>
      </w:r>
      <w:r w:rsidR="00112618">
        <w:rPr>
          <w:lang w:val="en-GB"/>
        </w:rPr>
        <w:t>(</w:t>
      </w:r>
      <w:r w:rsidR="00435E65" w:rsidRPr="00E06A86">
        <w:rPr>
          <w:lang w:val="en-GB"/>
        </w:rPr>
        <w:t>approximately EUR</w:t>
      </w:r>
      <w:r w:rsidR="00967D42">
        <w:rPr>
          <w:lang w:val="en-GB"/>
        </w:rPr>
        <w:t> </w:t>
      </w:r>
      <w:r w:rsidR="00435E65" w:rsidRPr="00E06A86">
        <w:rPr>
          <w:lang w:val="en-GB"/>
        </w:rPr>
        <w:t>18,592</w:t>
      </w:r>
      <w:r w:rsidR="00112618">
        <w:rPr>
          <w:lang w:val="en-GB"/>
        </w:rPr>
        <w:t>)</w:t>
      </w:r>
      <w:r w:rsidR="00435E65" w:rsidRPr="00E06A86">
        <w:rPr>
          <w:lang w:val="en-GB"/>
        </w:rPr>
        <w:t>).</w:t>
      </w:r>
    </w:p>
    <w:p w:rsidR="00473228" w:rsidRDefault="00765A7C" w:rsidP="00765A7C">
      <w:pPr>
        <w:pStyle w:val="ECHRPara"/>
        <w:rPr>
          <w:lang w:val="en-GB"/>
        </w:rPr>
      </w:pPr>
      <w:r w:rsidRPr="00E06A86">
        <w:rPr>
          <w:lang w:val="en-GB"/>
        </w:rPr>
        <w:fldChar w:fldCharType="begin"/>
      </w:r>
      <w:r w:rsidRPr="00E06A86">
        <w:rPr>
          <w:lang w:val="en-GB"/>
        </w:rPr>
        <w:instrText xml:space="preserve"> SEQ level0 \*arabic </w:instrText>
      </w:r>
      <w:r w:rsidRPr="00E06A86">
        <w:rPr>
          <w:lang w:val="en-GB"/>
        </w:rPr>
        <w:fldChar w:fldCharType="separate"/>
      </w:r>
      <w:r w:rsidR="00473228">
        <w:rPr>
          <w:noProof/>
          <w:lang w:val="en-GB"/>
        </w:rPr>
        <w:t>8</w:t>
      </w:r>
      <w:r w:rsidRPr="00E06A86">
        <w:rPr>
          <w:noProof/>
          <w:lang w:val="en-GB"/>
        </w:rPr>
        <w:fldChar w:fldCharType="end"/>
      </w:r>
      <w:r w:rsidRPr="00E06A86">
        <w:rPr>
          <w:lang w:val="en-GB"/>
        </w:rPr>
        <w:t>.  </w:t>
      </w:r>
      <w:r w:rsidR="00435E65" w:rsidRPr="00E06A86">
        <w:rPr>
          <w:lang w:val="en-GB"/>
        </w:rPr>
        <w:t xml:space="preserve">The applicant </w:t>
      </w:r>
      <w:r w:rsidR="00931C65" w:rsidRPr="00E06A86">
        <w:rPr>
          <w:lang w:val="en-GB"/>
        </w:rPr>
        <w:t>submitted</w:t>
      </w:r>
      <w:r w:rsidR="00435E65" w:rsidRPr="00E06A86">
        <w:rPr>
          <w:lang w:val="en-GB"/>
        </w:rPr>
        <w:t xml:space="preserve"> that even though he did not have Italian nationality as required by Law no. 448 of 1998, the allowance was nevertheless due to him under the association agreement between the European Union and Tunisia – known as the Euro-Mediterranean Agreement – which had been ratified by Italy (Law no. 35 of 3 February 1997). </w:t>
      </w:r>
      <w:r w:rsidR="00C75DC3" w:rsidRPr="00E06A86">
        <w:rPr>
          <w:lang w:val="en-GB"/>
        </w:rPr>
        <w:t>Article 65 of the Agreement</w:t>
      </w:r>
      <w:r w:rsidR="00435E65" w:rsidRPr="00E06A86">
        <w:rPr>
          <w:lang w:val="en-GB"/>
        </w:rPr>
        <w:t xml:space="preserve"> provides as follows:</w:t>
      </w:r>
    </w:p>
    <w:p w:rsidR="00C75DC3" w:rsidRPr="00E06A86" w:rsidRDefault="00435E65" w:rsidP="00C75DC3">
      <w:pPr>
        <w:pStyle w:val="ECHRParaQuote"/>
        <w:rPr>
          <w:rFonts w:eastAsia="Batang"/>
          <w:lang w:val="en-GB"/>
        </w:rPr>
      </w:pPr>
      <w:r w:rsidRPr="00E06A86">
        <w:rPr>
          <w:rFonts w:eastAsia="Batang"/>
          <w:lang w:val="en-GB"/>
        </w:rPr>
        <w:t xml:space="preserve"> </w:t>
      </w:r>
      <w:r w:rsidR="00C75DC3" w:rsidRPr="00E06A86">
        <w:rPr>
          <w:rFonts w:eastAsia="Batang"/>
          <w:lang w:val="en-GB"/>
        </w:rPr>
        <w:t>“1. Subject to the provisions of the following paragraphs, workers of Tunisian nationality and any members of their families living with them shall enjoy, in the field of social security, treatment free from any discrimination based on nationality relative to nationals of the Member States in which they are employed.</w:t>
      </w:r>
    </w:p>
    <w:p w:rsidR="00C75DC3" w:rsidRPr="00E06A86" w:rsidRDefault="00C75DC3" w:rsidP="00C75DC3">
      <w:pPr>
        <w:pStyle w:val="ECHRParaQuote"/>
        <w:rPr>
          <w:rFonts w:eastAsia="Batang"/>
          <w:lang w:val="en-GB"/>
        </w:rPr>
      </w:pPr>
      <w:r w:rsidRPr="00E06A86">
        <w:rPr>
          <w:rFonts w:eastAsia="Batang"/>
          <w:lang w:val="en-GB"/>
        </w:rPr>
        <w:t>The concept of social security</w:t>
      </w:r>
      <w:r w:rsidRPr="00E06A86">
        <w:rPr>
          <w:rStyle w:val="Odwoanieprzypisudolnego"/>
          <w:rFonts w:eastAsia="Batang"/>
          <w:lang w:val="en-GB"/>
        </w:rPr>
        <w:footnoteReference w:id="1"/>
      </w:r>
      <w:r w:rsidRPr="00E06A86">
        <w:rPr>
          <w:rFonts w:eastAsia="Batang"/>
          <w:lang w:val="en-GB"/>
        </w:rPr>
        <w:t xml:space="preserve"> shall cover the branches of social security dealing with sickness and maternity benefits, invalidity, old-age and survivors</w:t>
      </w:r>
      <w:r w:rsidR="006B125B">
        <w:rPr>
          <w:rFonts w:eastAsia="Batang"/>
          <w:lang w:val="en-GB"/>
        </w:rPr>
        <w:t>’</w:t>
      </w:r>
      <w:r w:rsidRPr="00E06A86">
        <w:rPr>
          <w:rFonts w:eastAsia="Batang"/>
          <w:lang w:val="en-GB"/>
        </w:rPr>
        <w:t xml:space="preserve"> benefits, industrial accident and occupational disease benefits and death, unemployment and family benefits.</w:t>
      </w:r>
    </w:p>
    <w:p w:rsidR="00C75DC3" w:rsidRPr="00E06A86" w:rsidRDefault="00C75DC3" w:rsidP="00C75DC3">
      <w:pPr>
        <w:pStyle w:val="ECHRParaQuote"/>
        <w:rPr>
          <w:rFonts w:eastAsia="Batang"/>
          <w:lang w:val="en-GB"/>
        </w:rPr>
      </w:pPr>
      <w:r w:rsidRPr="00E06A86">
        <w:rPr>
          <w:rFonts w:eastAsia="Batang"/>
          <w:lang w:val="en-GB"/>
        </w:rPr>
        <w:t>These provisions shall not, however, cause the other coordination rules provided for in Community legislation based on Article 51 of the EC Treaty to apply, except under the conditions set out in Article 67 of this Agreement.</w:t>
      </w:r>
    </w:p>
    <w:p w:rsidR="00C75DC3" w:rsidRPr="00E06A86" w:rsidRDefault="00C75DC3" w:rsidP="00C75DC3">
      <w:pPr>
        <w:pStyle w:val="ECHRParaQuote"/>
        <w:rPr>
          <w:rFonts w:eastAsia="Batang"/>
          <w:lang w:val="en-GB"/>
        </w:rPr>
      </w:pPr>
      <w:r w:rsidRPr="00E06A86">
        <w:rPr>
          <w:rFonts w:eastAsia="Batang"/>
          <w:lang w:val="en-GB"/>
        </w:rPr>
        <w:t>2. All periods of insurance, employment or residence completed by such workers in the various Member States shall be added together for the purpose of pensions and annuities in respect of old age, invalidity and survivors</w:t>
      </w:r>
      <w:r w:rsidR="006B125B">
        <w:rPr>
          <w:rFonts w:eastAsia="Batang"/>
          <w:lang w:val="en-GB"/>
        </w:rPr>
        <w:t>’</w:t>
      </w:r>
      <w:r w:rsidRPr="00E06A86">
        <w:rPr>
          <w:rFonts w:eastAsia="Batang"/>
          <w:lang w:val="en-GB"/>
        </w:rPr>
        <w:t xml:space="preserve"> benefits and family, sickness and maternity benefits and also for that of medical care for the workers and for members of their families resident in the Community.</w:t>
      </w:r>
    </w:p>
    <w:p w:rsidR="00C75DC3" w:rsidRPr="00E06A86" w:rsidRDefault="00C75DC3" w:rsidP="00C75DC3">
      <w:pPr>
        <w:pStyle w:val="ECHRParaQuote"/>
        <w:rPr>
          <w:rFonts w:eastAsia="Batang"/>
          <w:lang w:val="en-GB"/>
        </w:rPr>
      </w:pPr>
      <w:r w:rsidRPr="00E06A86">
        <w:rPr>
          <w:rFonts w:eastAsia="Batang"/>
          <w:lang w:val="en-GB"/>
        </w:rPr>
        <w:t>3. The workers in question shall receive family allowances for members of their families who are resident in the Community.</w:t>
      </w:r>
    </w:p>
    <w:p w:rsidR="00C75DC3" w:rsidRPr="00E06A86" w:rsidRDefault="00C75DC3" w:rsidP="00C75DC3">
      <w:pPr>
        <w:pStyle w:val="ECHRParaQuote"/>
        <w:rPr>
          <w:rFonts w:eastAsia="Batang"/>
          <w:lang w:val="en-GB"/>
        </w:rPr>
      </w:pPr>
      <w:r w:rsidRPr="00E06A86">
        <w:rPr>
          <w:rFonts w:eastAsia="Batang"/>
          <w:lang w:val="en-GB"/>
        </w:rPr>
        <w:t xml:space="preserve">4. The workers in question shall be able to transfer freely to Tunisia, at the rates applied by virtue of the legislation of the debtor Member State or States, any pensions or annuities in respect of old age, survivor status, industrial accident or occupational </w:t>
      </w:r>
      <w:r w:rsidRPr="00E06A86">
        <w:rPr>
          <w:rFonts w:eastAsia="Batang"/>
          <w:lang w:val="en-GB"/>
        </w:rPr>
        <w:lastRenderedPageBreak/>
        <w:t>disease, or of invalidity resulting from industrial accident or occupational disease, except in the case of special non-contributory benefits.</w:t>
      </w:r>
    </w:p>
    <w:p w:rsidR="00765A7C" w:rsidRPr="00E06A86" w:rsidRDefault="00C75DC3" w:rsidP="00C75DC3">
      <w:pPr>
        <w:pStyle w:val="ECHRParaQuote"/>
        <w:rPr>
          <w:lang w:val="en-GB"/>
        </w:rPr>
      </w:pPr>
      <w:r w:rsidRPr="00E06A86">
        <w:rPr>
          <w:rFonts w:eastAsia="Batang"/>
          <w:lang w:val="en-GB"/>
        </w:rPr>
        <w:t>5. Tunisia shall accord to workers who are nationals of a Member State and employed in its territory, and to the members of their families, treatment similar to that specified in paragraphs 1, 3 and 4.”</w:t>
      </w:r>
    </w:p>
    <w:p w:rsidR="008E7710" w:rsidRPr="00E06A86" w:rsidRDefault="00765A7C" w:rsidP="00765A7C">
      <w:pPr>
        <w:pStyle w:val="ECHRPara"/>
        <w:rPr>
          <w:lang w:val="en-GB"/>
        </w:rPr>
      </w:pPr>
      <w:r w:rsidRPr="00E06A86">
        <w:rPr>
          <w:lang w:val="en-GB"/>
        </w:rPr>
        <w:fldChar w:fldCharType="begin"/>
      </w:r>
      <w:r w:rsidRPr="00E06A86">
        <w:rPr>
          <w:lang w:val="en-GB"/>
        </w:rPr>
        <w:instrText xml:space="preserve"> SEQ level0 \*arabic </w:instrText>
      </w:r>
      <w:r w:rsidRPr="00E06A86">
        <w:rPr>
          <w:lang w:val="en-GB"/>
        </w:rPr>
        <w:fldChar w:fldCharType="separate"/>
      </w:r>
      <w:r w:rsidR="00473228">
        <w:rPr>
          <w:noProof/>
          <w:lang w:val="en-GB"/>
        </w:rPr>
        <w:t>9</w:t>
      </w:r>
      <w:r w:rsidRPr="00E06A86">
        <w:rPr>
          <w:noProof/>
          <w:lang w:val="en-GB"/>
        </w:rPr>
        <w:fldChar w:fldCharType="end"/>
      </w:r>
      <w:r w:rsidRPr="00E06A86">
        <w:rPr>
          <w:lang w:val="en-GB"/>
        </w:rPr>
        <w:t>.  </w:t>
      </w:r>
      <w:r w:rsidR="008E7710" w:rsidRPr="00E06A86">
        <w:rPr>
          <w:lang w:val="en-GB"/>
        </w:rPr>
        <w:t>In a judgment of 10 April 2002 the Marsala District Court rejected the applicant</w:t>
      </w:r>
      <w:r w:rsidR="006B125B">
        <w:rPr>
          <w:lang w:val="en-GB"/>
        </w:rPr>
        <w:t>’</w:t>
      </w:r>
      <w:r w:rsidR="008E7710" w:rsidRPr="00E06A86">
        <w:rPr>
          <w:lang w:val="en-GB"/>
        </w:rPr>
        <w:t>s application.</w:t>
      </w:r>
    </w:p>
    <w:bookmarkStart w:id="2" w:name="questionprejudicielle1"/>
    <w:p w:rsidR="008E7710" w:rsidRPr="00E06A86" w:rsidRDefault="00765A7C" w:rsidP="00765A7C">
      <w:pPr>
        <w:pStyle w:val="ECHRPara"/>
        <w:rPr>
          <w:lang w:val="en-GB"/>
        </w:rPr>
      </w:pPr>
      <w:r w:rsidRPr="00E06A86">
        <w:rPr>
          <w:lang w:val="en-GB"/>
        </w:rPr>
        <w:fldChar w:fldCharType="begin"/>
      </w:r>
      <w:r w:rsidRPr="00E06A86">
        <w:rPr>
          <w:lang w:val="en-GB"/>
        </w:rPr>
        <w:instrText xml:space="preserve"> SEQ level0 \*arabic </w:instrText>
      </w:r>
      <w:r w:rsidRPr="00E06A86">
        <w:rPr>
          <w:lang w:val="en-GB"/>
        </w:rPr>
        <w:fldChar w:fldCharType="separate"/>
      </w:r>
      <w:r w:rsidR="00473228">
        <w:rPr>
          <w:noProof/>
          <w:lang w:val="en-GB"/>
        </w:rPr>
        <w:t>10</w:t>
      </w:r>
      <w:r w:rsidRPr="00E06A86">
        <w:rPr>
          <w:noProof/>
          <w:lang w:val="en-GB"/>
        </w:rPr>
        <w:fldChar w:fldCharType="end"/>
      </w:r>
      <w:bookmarkEnd w:id="2"/>
      <w:r w:rsidRPr="00E06A86">
        <w:rPr>
          <w:lang w:val="en-GB"/>
        </w:rPr>
        <w:t>.  </w:t>
      </w:r>
      <w:r w:rsidR="008E7710" w:rsidRPr="00E06A86">
        <w:rPr>
          <w:lang w:val="en-GB"/>
        </w:rPr>
        <w:t>The applicant appealed. He requested, among other things,</w:t>
      </w:r>
      <w:r w:rsidR="000C58A9" w:rsidRPr="00E06A86">
        <w:rPr>
          <w:lang w:val="en-GB"/>
        </w:rPr>
        <w:t xml:space="preserve"> that a question be referred to the Court of Justice of the European Union (</w:t>
      </w:r>
      <w:r w:rsidR="00F15E11" w:rsidRPr="00E06A86">
        <w:rPr>
          <w:lang w:val="en-GB"/>
        </w:rPr>
        <w:t>“</w:t>
      </w:r>
      <w:r w:rsidR="000C58A9" w:rsidRPr="00E06A86">
        <w:rPr>
          <w:lang w:val="en-GB"/>
        </w:rPr>
        <w:t>the CJEU</w:t>
      </w:r>
      <w:r w:rsidR="00F15E11" w:rsidRPr="00E06A86">
        <w:rPr>
          <w:lang w:val="en-GB"/>
        </w:rPr>
        <w:t>”</w:t>
      </w:r>
      <w:r w:rsidR="000C58A9" w:rsidRPr="00E06A86">
        <w:rPr>
          <w:lang w:val="en-GB"/>
        </w:rPr>
        <w:t xml:space="preserve">) </w:t>
      </w:r>
      <w:r w:rsidR="00931C65" w:rsidRPr="00E06A86">
        <w:rPr>
          <w:lang w:val="en-GB"/>
        </w:rPr>
        <w:t xml:space="preserve">for a preliminary ruling </w:t>
      </w:r>
      <w:r w:rsidR="000C58A9" w:rsidRPr="00E06A86">
        <w:rPr>
          <w:lang w:val="en-GB"/>
        </w:rPr>
        <w:t>as to whether, under Article 65 of the Euro</w:t>
      </w:r>
      <w:r w:rsidR="00967D42">
        <w:rPr>
          <w:lang w:val="en-GB"/>
        </w:rPr>
        <w:noBreakHyphen/>
      </w:r>
      <w:r w:rsidR="000C58A9" w:rsidRPr="00E06A86">
        <w:rPr>
          <w:lang w:val="en-GB"/>
        </w:rPr>
        <w:t>Mediterranean Agreement, a Tunisian worker could be refused the family allowance provided for by section 65 of Law no. 448 of 1998.</w:t>
      </w:r>
    </w:p>
    <w:p w:rsidR="000C58A9" w:rsidRPr="00E06A86" w:rsidRDefault="00765A7C" w:rsidP="000C58A9">
      <w:pPr>
        <w:pStyle w:val="ECHRPara"/>
        <w:rPr>
          <w:lang w:val="en-GB"/>
        </w:rPr>
      </w:pPr>
      <w:r w:rsidRPr="00E06A86">
        <w:rPr>
          <w:lang w:val="en-GB"/>
        </w:rPr>
        <w:fldChar w:fldCharType="begin"/>
      </w:r>
      <w:r w:rsidRPr="00E06A86">
        <w:rPr>
          <w:lang w:val="en-GB"/>
        </w:rPr>
        <w:instrText xml:space="preserve"> SEQ level0 \*arabic </w:instrText>
      </w:r>
      <w:r w:rsidRPr="00E06A86">
        <w:rPr>
          <w:lang w:val="en-GB"/>
        </w:rPr>
        <w:fldChar w:fldCharType="separate"/>
      </w:r>
      <w:r w:rsidR="00473228">
        <w:rPr>
          <w:noProof/>
          <w:lang w:val="en-GB"/>
        </w:rPr>
        <w:t>11</w:t>
      </w:r>
      <w:r w:rsidRPr="00E06A86">
        <w:rPr>
          <w:noProof/>
          <w:lang w:val="en-GB"/>
        </w:rPr>
        <w:fldChar w:fldCharType="end"/>
      </w:r>
      <w:r w:rsidRPr="00E06A86">
        <w:rPr>
          <w:lang w:val="en-GB"/>
        </w:rPr>
        <w:t>.  </w:t>
      </w:r>
      <w:r w:rsidR="00F15E11" w:rsidRPr="00E06A86">
        <w:rPr>
          <w:lang w:val="en-GB"/>
        </w:rPr>
        <w:t>In a judgment of 21 October 20</w:t>
      </w:r>
      <w:r w:rsidR="000C58A9" w:rsidRPr="00E06A86">
        <w:rPr>
          <w:lang w:val="en-GB"/>
        </w:rPr>
        <w:t>04</w:t>
      </w:r>
      <w:r w:rsidR="00F15E11" w:rsidRPr="00E06A86">
        <w:rPr>
          <w:lang w:val="en-GB"/>
        </w:rPr>
        <w:t xml:space="preserve"> the</w:t>
      </w:r>
      <w:r w:rsidR="000C58A9" w:rsidRPr="00E06A86">
        <w:rPr>
          <w:lang w:val="en-GB"/>
        </w:rPr>
        <w:t xml:space="preserve"> Palermo Court of</w:t>
      </w:r>
      <w:r w:rsidR="00F15E11" w:rsidRPr="00E06A86">
        <w:rPr>
          <w:lang w:val="en-GB"/>
        </w:rPr>
        <w:t xml:space="preserve"> Appeal dismissed the applicant</w:t>
      </w:r>
      <w:r w:rsidR="006B125B">
        <w:rPr>
          <w:lang w:val="en-GB"/>
        </w:rPr>
        <w:t>’</w:t>
      </w:r>
      <w:r w:rsidR="000C58A9" w:rsidRPr="00E06A86">
        <w:rPr>
          <w:lang w:val="en-GB"/>
        </w:rPr>
        <w:t xml:space="preserve">s appeal. It observed that, as the allowance in question was based solely on the income and family situation of the recipients, it </w:t>
      </w:r>
      <w:r w:rsidR="00F15E11" w:rsidRPr="00E06A86">
        <w:rPr>
          <w:lang w:val="en-GB"/>
        </w:rPr>
        <w:t>fell</w:t>
      </w:r>
      <w:r w:rsidR="000C58A9" w:rsidRPr="00E06A86">
        <w:rPr>
          <w:lang w:val="en-GB"/>
        </w:rPr>
        <w:t xml:space="preserve"> within the </w:t>
      </w:r>
      <w:r w:rsidR="00F15E11" w:rsidRPr="00E06A86">
        <w:rPr>
          <w:lang w:val="en-GB"/>
        </w:rPr>
        <w:t>sphere</w:t>
      </w:r>
      <w:r w:rsidR="000C58A9" w:rsidRPr="00E06A86">
        <w:rPr>
          <w:lang w:val="en-GB"/>
        </w:rPr>
        <w:t xml:space="preserve"> of social </w:t>
      </w:r>
      <w:r w:rsidR="00912C2D" w:rsidRPr="00E06A86">
        <w:rPr>
          <w:lang w:val="en-GB"/>
        </w:rPr>
        <w:t>assistance</w:t>
      </w:r>
      <w:r w:rsidRPr="00E06A86">
        <w:rPr>
          <w:lang w:val="en-GB"/>
        </w:rPr>
        <w:t xml:space="preserve"> (</w:t>
      </w:r>
      <w:r w:rsidRPr="00E06A86">
        <w:rPr>
          <w:i/>
          <w:lang w:val="en-GB"/>
        </w:rPr>
        <w:t>assistenza sociale</w:t>
      </w:r>
      <w:r w:rsidRPr="00E06A86">
        <w:rPr>
          <w:lang w:val="en-GB"/>
        </w:rPr>
        <w:t xml:space="preserve">). </w:t>
      </w:r>
      <w:r w:rsidR="00F15E11" w:rsidRPr="00E06A86">
        <w:rPr>
          <w:lang w:val="en-GB"/>
        </w:rPr>
        <w:t>The allowance</w:t>
      </w:r>
      <w:r w:rsidR="000C58A9" w:rsidRPr="00E06A86">
        <w:rPr>
          <w:lang w:val="en-GB"/>
        </w:rPr>
        <w:t xml:space="preserve"> had initially been intended only for Italian citizens and had subsequently been extended to all European Union nationals. However, the Euro-Mediterranean Agreement related only to social</w:t>
      </w:r>
      <w:r w:rsidR="00F15E11" w:rsidRPr="00E06A86">
        <w:rPr>
          <w:lang w:val="en-GB"/>
        </w:rPr>
        <w:t>-</w:t>
      </w:r>
      <w:r w:rsidR="000C58A9" w:rsidRPr="00E06A86">
        <w:rPr>
          <w:lang w:val="en-GB"/>
        </w:rPr>
        <w:t>security benefits</w:t>
      </w:r>
      <w:r w:rsidRPr="00E06A86">
        <w:rPr>
          <w:lang w:val="en-GB"/>
        </w:rPr>
        <w:t xml:space="preserve"> (</w:t>
      </w:r>
      <w:r w:rsidRPr="00E06A86">
        <w:rPr>
          <w:i/>
          <w:lang w:val="en-GB"/>
        </w:rPr>
        <w:t>prestazioni previdenziali</w:t>
      </w:r>
      <w:r w:rsidRPr="00E06A86">
        <w:rPr>
          <w:lang w:val="en-GB"/>
        </w:rPr>
        <w:t xml:space="preserve">) </w:t>
      </w:r>
      <w:r w:rsidR="000C58A9" w:rsidRPr="00E06A86">
        <w:rPr>
          <w:lang w:val="en-GB"/>
        </w:rPr>
        <w:t>and was therefore not applicable to the family allowance provided for by section 65 of Law no. 448 of 1998.</w:t>
      </w:r>
    </w:p>
    <w:bookmarkStart w:id="3" w:name="questionprejudicielle2"/>
    <w:p w:rsidR="00765A7C" w:rsidRPr="00E06A86" w:rsidRDefault="00765A7C" w:rsidP="00765A7C">
      <w:pPr>
        <w:pStyle w:val="ECHRPara"/>
        <w:rPr>
          <w:lang w:val="en-GB"/>
        </w:rPr>
      </w:pPr>
      <w:r w:rsidRPr="00E06A86">
        <w:rPr>
          <w:lang w:val="en-GB"/>
        </w:rPr>
        <w:fldChar w:fldCharType="begin"/>
      </w:r>
      <w:r w:rsidRPr="00E06A86">
        <w:rPr>
          <w:lang w:val="en-GB"/>
        </w:rPr>
        <w:instrText xml:space="preserve"> SEQ level0 \*arabic </w:instrText>
      </w:r>
      <w:r w:rsidRPr="00E06A86">
        <w:rPr>
          <w:lang w:val="en-GB"/>
        </w:rPr>
        <w:fldChar w:fldCharType="separate"/>
      </w:r>
      <w:r w:rsidR="00473228">
        <w:rPr>
          <w:noProof/>
          <w:lang w:val="en-GB"/>
        </w:rPr>
        <w:t>12</w:t>
      </w:r>
      <w:r w:rsidRPr="00E06A86">
        <w:rPr>
          <w:noProof/>
          <w:lang w:val="en-GB"/>
        </w:rPr>
        <w:fldChar w:fldCharType="end"/>
      </w:r>
      <w:bookmarkEnd w:id="3"/>
      <w:r w:rsidRPr="00E06A86">
        <w:rPr>
          <w:lang w:val="en-GB"/>
        </w:rPr>
        <w:t>.  </w:t>
      </w:r>
      <w:r w:rsidR="000C58A9" w:rsidRPr="00E06A86">
        <w:rPr>
          <w:lang w:val="en-GB"/>
        </w:rPr>
        <w:t xml:space="preserve">The applicant lodged an appeal on points of law, reiterating his request for a preliminary </w:t>
      </w:r>
      <w:r w:rsidR="00931C65" w:rsidRPr="00E06A86">
        <w:rPr>
          <w:lang w:val="en-GB"/>
        </w:rPr>
        <w:t>ruling to be sought from</w:t>
      </w:r>
      <w:r w:rsidR="000C58A9" w:rsidRPr="00E06A86">
        <w:rPr>
          <w:lang w:val="en-GB"/>
        </w:rPr>
        <w:t xml:space="preserve"> the CJEU.</w:t>
      </w:r>
      <w:bookmarkStart w:id="4" w:name="prononcécassation"/>
    </w:p>
    <w:p w:rsidR="000C58A9" w:rsidRPr="00E06A86" w:rsidRDefault="00765A7C" w:rsidP="00765A7C">
      <w:pPr>
        <w:pStyle w:val="ECHRPara"/>
        <w:rPr>
          <w:lang w:val="en-GB"/>
        </w:rPr>
      </w:pPr>
      <w:r w:rsidRPr="00E06A86">
        <w:rPr>
          <w:lang w:val="en-GB"/>
        </w:rPr>
        <w:fldChar w:fldCharType="begin"/>
      </w:r>
      <w:r w:rsidRPr="00E06A86">
        <w:rPr>
          <w:lang w:val="en-GB"/>
        </w:rPr>
        <w:instrText xml:space="preserve"> SEQ level0 \*arabic </w:instrText>
      </w:r>
      <w:r w:rsidRPr="00E06A86">
        <w:rPr>
          <w:lang w:val="en-GB"/>
        </w:rPr>
        <w:fldChar w:fldCharType="separate"/>
      </w:r>
      <w:r w:rsidR="00473228">
        <w:rPr>
          <w:noProof/>
          <w:lang w:val="en-GB"/>
        </w:rPr>
        <w:t>13</w:t>
      </w:r>
      <w:r w:rsidRPr="00E06A86">
        <w:rPr>
          <w:noProof/>
          <w:lang w:val="en-GB"/>
        </w:rPr>
        <w:fldChar w:fldCharType="end"/>
      </w:r>
      <w:bookmarkEnd w:id="4"/>
      <w:r w:rsidRPr="00E06A86">
        <w:rPr>
          <w:lang w:val="en-GB"/>
        </w:rPr>
        <w:t>.  </w:t>
      </w:r>
      <w:r w:rsidR="000C58A9" w:rsidRPr="00E06A86">
        <w:rPr>
          <w:lang w:val="en-GB"/>
        </w:rPr>
        <w:t xml:space="preserve">In a judgment </w:t>
      </w:r>
      <w:r w:rsidR="00F15E11" w:rsidRPr="00E06A86">
        <w:rPr>
          <w:lang w:val="en-GB"/>
        </w:rPr>
        <w:t>of</w:t>
      </w:r>
      <w:r w:rsidR="000C58A9" w:rsidRPr="00E06A86">
        <w:rPr>
          <w:lang w:val="en-GB"/>
        </w:rPr>
        <w:t xml:space="preserve"> 15 April 2008 which was deposited with the registry on 29 September 2008, the Court of Cassation dismissed the appeal.</w:t>
      </w:r>
    </w:p>
    <w:p w:rsidR="000C58A9" w:rsidRPr="00E06A86" w:rsidRDefault="00765A7C" w:rsidP="00765A7C">
      <w:pPr>
        <w:pStyle w:val="ECHRPara"/>
        <w:rPr>
          <w:lang w:val="en-GB"/>
        </w:rPr>
      </w:pPr>
      <w:r w:rsidRPr="00E06A86">
        <w:rPr>
          <w:lang w:val="en-GB"/>
        </w:rPr>
        <w:fldChar w:fldCharType="begin"/>
      </w:r>
      <w:r w:rsidRPr="00E06A86">
        <w:rPr>
          <w:lang w:val="en-GB"/>
        </w:rPr>
        <w:instrText xml:space="preserve"> SEQ level0 \*arabic </w:instrText>
      </w:r>
      <w:r w:rsidRPr="00E06A86">
        <w:rPr>
          <w:lang w:val="en-GB"/>
        </w:rPr>
        <w:fldChar w:fldCharType="separate"/>
      </w:r>
      <w:r w:rsidR="00473228">
        <w:rPr>
          <w:noProof/>
          <w:lang w:val="en-GB"/>
        </w:rPr>
        <w:t>14</w:t>
      </w:r>
      <w:r w:rsidRPr="00E06A86">
        <w:rPr>
          <w:noProof/>
          <w:lang w:val="en-GB"/>
        </w:rPr>
        <w:fldChar w:fldCharType="end"/>
      </w:r>
      <w:r w:rsidRPr="00E06A86">
        <w:rPr>
          <w:lang w:val="en-GB"/>
        </w:rPr>
        <w:t>.  </w:t>
      </w:r>
      <w:r w:rsidR="000C58A9" w:rsidRPr="00E06A86">
        <w:rPr>
          <w:lang w:val="en-GB"/>
        </w:rPr>
        <w:t>In its reasons, the Court of Cassation observed first of all that Article</w:t>
      </w:r>
      <w:r w:rsidR="00967D42">
        <w:rPr>
          <w:lang w:val="en-GB"/>
        </w:rPr>
        <w:t> </w:t>
      </w:r>
      <w:r w:rsidR="000C58A9" w:rsidRPr="00E06A86">
        <w:rPr>
          <w:lang w:val="en-GB"/>
        </w:rPr>
        <w:t xml:space="preserve">64(1) and (2) of the Euro-Mediterranean Agreement provided, </w:t>
      </w:r>
      <w:r w:rsidR="000C58A9" w:rsidRPr="00E06A86">
        <w:rPr>
          <w:i/>
          <w:lang w:val="en-GB"/>
        </w:rPr>
        <w:t>inter alia</w:t>
      </w:r>
      <w:r w:rsidR="000C58A9" w:rsidRPr="00E06A86">
        <w:rPr>
          <w:lang w:val="en-GB"/>
        </w:rPr>
        <w:t>, as follows:</w:t>
      </w:r>
    </w:p>
    <w:p w:rsidR="00AB586C" w:rsidRPr="00E06A86" w:rsidRDefault="000C58A9" w:rsidP="00AB586C">
      <w:pPr>
        <w:pStyle w:val="ECHRParaQuote"/>
        <w:rPr>
          <w:lang w:val="en-GB"/>
        </w:rPr>
      </w:pPr>
      <w:r w:rsidRPr="00E06A86">
        <w:rPr>
          <w:lang w:val="en-GB"/>
        </w:rPr>
        <w:t xml:space="preserve"> </w:t>
      </w:r>
      <w:r w:rsidR="00AB586C" w:rsidRPr="00E06A86">
        <w:rPr>
          <w:lang w:val="en-GB"/>
        </w:rPr>
        <w:t>“1. The treatment accorded by each Member State to workers of Tunisian nationality employed in its territory shall be free from any discrimination based on nationality, as regards working conditions, remuneration and dismissal, relative to its own nationals.</w:t>
      </w:r>
    </w:p>
    <w:p w:rsidR="00AB586C" w:rsidRPr="00E06A86" w:rsidRDefault="00AB586C" w:rsidP="00AB586C">
      <w:pPr>
        <w:pStyle w:val="ECHRParaQuote"/>
        <w:rPr>
          <w:lang w:val="en-GB"/>
        </w:rPr>
      </w:pPr>
      <w:r w:rsidRPr="00E06A86">
        <w:rPr>
          <w:lang w:val="en-GB"/>
        </w:rPr>
        <w:t>2. All Tunisian workers allowed to undertake paid employment in the territory of a Member State on a temporary basis shall be covered by the provisions of paragraph 1 with regard to working conditions and remuneration.”</w:t>
      </w:r>
    </w:p>
    <w:p w:rsidR="00887512" w:rsidRPr="00E06A86" w:rsidRDefault="00765A7C" w:rsidP="00887512">
      <w:pPr>
        <w:pStyle w:val="ECHRPara"/>
        <w:rPr>
          <w:rFonts w:eastAsia="Batang"/>
          <w:lang w:val="en-GB"/>
        </w:rPr>
      </w:pPr>
      <w:r w:rsidRPr="00E06A86">
        <w:rPr>
          <w:lang w:val="en-GB"/>
        </w:rPr>
        <w:fldChar w:fldCharType="begin"/>
      </w:r>
      <w:r w:rsidRPr="00E06A86">
        <w:rPr>
          <w:lang w:val="en-GB"/>
        </w:rPr>
        <w:instrText xml:space="preserve"> SEQ level0 \*arabic </w:instrText>
      </w:r>
      <w:r w:rsidRPr="00E06A86">
        <w:rPr>
          <w:lang w:val="en-GB"/>
        </w:rPr>
        <w:fldChar w:fldCharType="separate"/>
      </w:r>
      <w:r w:rsidR="00473228">
        <w:rPr>
          <w:noProof/>
          <w:lang w:val="en-GB"/>
        </w:rPr>
        <w:t>15</w:t>
      </w:r>
      <w:r w:rsidRPr="00E06A86">
        <w:rPr>
          <w:lang w:val="en-GB"/>
        </w:rPr>
        <w:fldChar w:fldCharType="end"/>
      </w:r>
      <w:r w:rsidRPr="00E06A86">
        <w:rPr>
          <w:lang w:val="en-GB"/>
        </w:rPr>
        <w:t>.  </w:t>
      </w:r>
      <w:r w:rsidR="00AB586C" w:rsidRPr="00E06A86">
        <w:rPr>
          <w:lang w:val="en-GB"/>
        </w:rPr>
        <w:t xml:space="preserve">Noting that the text in question referred explicitly to employment relationships and the elements that comprised them, the Court of Cassation inferred from this that it </w:t>
      </w:r>
      <w:r w:rsidR="00086E91" w:rsidRPr="00E06A86">
        <w:rPr>
          <w:lang w:val="en-GB"/>
        </w:rPr>
        <w:t>applied</w:t>
      </w:r>
      <w:r w:rsidR="00AB586C" w:rsidRPr="00E06A86">
        <w:rPr>
          <w:lang w:val="en-GB"/>
        </w:rPr>
        <w:t xml:space="preserve"> only to social</w:t>
      </w:r>
      <w:r w:rsidR="00BE321F">
        <w:rPr>
          <w:lang w:val="en-GB"/>
        </w:rPr>
        <w:t>-</w:t>
      </w:r>
      <w:r w:rsidR="00AB586C" w:rsidRPr="00E06A86">
        <w:rPr>
          <w:lang w:val="en-GB"/>
        </w:rPr>
        <w:t xml:space="preserve">security benefits and not to </w:t>
      </w:r>
      <w:r w:rsidR="009271F5">
        <w:rPr>
          <w:lang w:val="en-GB"/>
        </w:rPr>
        <w:t>social-assistance</w:t>
      </w:r>
      <w:r w:rsidR="00086E91" w:rsidRPr="00E06A86">
        <w:rPr>
          <w:lang w:val="en-GB"/>
        </w:rPr>
        <w:t xml:space="preserve"> benefits</w:t>
      </w:r>
      <w:r w:rsidR="00AB586C" w:rsidRPr="00E06A86">
        <w:rPr>
          <w:lang w:val="en-GB"/>
        </w:rPr>
        <w:t xml:space="preserve"> </w:t>
      </w:r>
      <w:r w:rsidR="00865B7C" w:rsidRPr="00E06A86">
        <w:rPr>
          <w:lang w:val="en-GB"/>
        </w:rPr>
        <w:t>of the kind</w:t>
      </w:r>
      <w:r w:rsidR="00AB586C" w:rsidRPr="00E06A86">
        <w:rPr>
          <w:lang w:val="en-GB"/>
        </w:rPr>
        <w:t xml:space="preserve"> claimed by the applicant, to which Tunisian citizens resident in Italy were not entitled. According to the Court of Cassation, this interpretation was confirmed by A</w:t>
      </w:r>
      <w:r w:rsidRPr="00E06A86">
        <w:rPr>
          <w:lang w:val="en-GB"/>
        </w:rPr>
        <w:t>rticle 65</w:t>
      </w:r>
      <w:r w:rsidR="00AB586C" w:rsidRPr="00E06A86">
        <w:rPr>
          <w:lang w:val="en-GB"/>
        </w:rPr>
        <w:t>(1)</w:t>
      </w:r>
      <w:r w:rsidRPr="00E06A86">
        <w:rPr>
          <w:lang w:val="en-GB"/>
        </w:rPr>
        <w:t xml:space="preserve"> </w:t>
      </w:r>
      <w:r w:rsidR="00AB586C" w:rsidRPr="00E06A86">
        <w:rPr>
          <w:lang w:val="en-GB"/>
        </w:rPr>
        <w:t>and</w:t>
      </w:r>
      <w:r w:rsidRPr="00E06A86">
        <w:rPr>
          <w:lang w:val="en-GB"/>
        </w:rPr>
        <w:t xml:space="preserve"> </w:t>
      </w:r>
      <w:r w:rsidR="00AB586C" w:rsidRPr="00E06A86">
        <w:rPr>
          <w:lang w:val="en-GB"/>
        </w:rPr>
        <w:t>(</w:t>
      </w:r>
      <w:r w:rsidRPr="00E06A86">
        <w:rPr>
          <w:lang w:val="en-GB"/>
        </w:rPr>
        <w:t>2</w:t>
      </w:r>
      <w:r w:rsidR="00AB586C" w:rsidRPr="00E06A86">
        <w:rPr>
          <w:lang w:val="en-GB"/>
        </w:rPr>
        <w:t>) of the Euro-Mediterranean Agreement</w:t>
      </w:r>
      <w:r w:rsidR="00887512" w:rsidRPr="00E06A86">
        <w:rPr>
          <w:lang w:val="en-GB"/>
        </w:rPr>
        <w:t>, which referred</w:t>
      </w:r>
      <w:r w:rsidR="00BE321F">
        <w:rPr>
          <w:lang w:val="en-GB"/>
        </w:rPr>
        <w:t xml:space="preserve"> in particular</w:t>
      </w:r>
      <w:r w:rsidR="00887512" w:rsidRPr="00E06A86">
        <w:rPr>
          <w:lang w:val="en-GB"/>
        </w:rPr>
        <w:t xml:space="preserve"> to “sickness and maternity benefits, invalidity, old-age and survivors</w:t>
      </w:r>
      <w:r w:rsidR="006B125B">
        <w:rPr>
          <w:lang w:val="en-GB"/>
        </w:rPr>
        <w:t>’</w:t>
      </w:r>
      <w:r w:rsidR="00887512" w:rsidRPr="00E06A86">
        <w:rPr>
          <w:lang w:val="en-GB"/>
        </w:rPr>
        <w:t xml:space="preserve"> benefits, industrial accident and occupational disease benefits and death, </w:t>
      </w:r>
      <w:r w:rsidR="00887512" w:rsidRPr="00E06A86">
        <w:rPr>
          <w:lang w:val="en-GB"/>
        </w:rPr>
        <w:lastRenderedPageBreak/>
        <w:t xml:space="preserve">unemployment and family benefits”. The Court of Cassation stressed that its interpretation was not based solely on the reference in the text to </w:t>
      </w:r>
      <w:r w:rsidR="007815FC" w:rsidRPr="00E06A86">
        <w:rPr>
          <w:lang w:val="en-GB"/>
        </w:rPr>
        <w:t>“</w:t>
      </w:r>
      <w:r w:rsidR="00887512" w:rsidRPr="00E06A86">
        <w:rPr>
          <w:lang w:val="en-GB"/>
        </w:rPr>
        <w:t>social security</w:t>
      </w:r>
      <w:r w:rsidR="007815FC" w:rsidRPr="00E06A86">
        <w:rPr>
          <w:lang w:val="en-GB"/>
        </w:rPr>
        <w:t>”</w:t>
      </w:r>
      <w:r w:rsidRPr="00E06A86">
        <w:rPr>
          <w:rFonts w:eastAsia="Batang"/>
          <w:lang w:val="en-GB"/>
        </w:rPr>
        <w:t xml:space="preserve"> (</w:t>
      </w:r>
      <w:r w:rsidRPr="00E06A86">
        <w:rPr>
          <w:rFonts w:eastAsia="Batang"/>
          <w:i/>
          <w:lang w:val="en-GB"/>
        </w:rPr>
        <w:t>previdenza sociale</w:t>
      </w:r>
      <w:r w:rsidRPr="00E06A86">
        <w:rPr>
          <w:rFonts w:eastAsia="Batang"/>
          <w:lang w:val="en-GB"/>
        </w:rPr>
        <w:t xml:space="preserve">) </w:t>
      </w:r>
      <w:r w:rsidR="00887512" w:rsidRPr="00E06A86">
        <w:rPr>
          <w:rFonts w:eastAsia="Batang"/>
          <w:lang w:val="en-GB"/>
        </w:rPr>
        <w:t xml:space="preserve">but, as indicated by the CJEU, on the </w:t>
      </w:r>
      <w:r w:rsidR="00086E91" w:rsidRPr="00E06A86">
        <w:rPr>
          <w:rFonts w:eastAsia="Batang"/>
          <w:lang w:val="en-GB"/>
        </w:rPr>
        <w:t>elements</w:t>
      </w:r>
      <w:r w:rsidR="00887512" w:rsidRPr="00E06A86">
        <w:rPr>
          <w:rFonts w:eastAsia="Batang"/>
          <w:lang w:val="en-GB"/>
        </w:rPr>
        <w:t xml:space="preserve"> </w:t>
      </w:r>
      <w:r w:rsidR="00086E91" w:rsidRPr="00E06A86">
        <w:rPr>
          <w:rFonts w:eastAsia="Batang"/>
          <w:lang w:val="en-GB"/>
        </w:rPr>
        <w:t>comprising</w:t>
      </w:r>
      <w:r w:rsidR="00887512" w:rsidRPr="00E06A86">
        <w:rPr>
          <w:rFonts w:eastAsia="Batang"/>
          <w:lang w:val="en-GB"/>
        </w:rPr>
        <w:t xml:space="preserve"> each benefit.</w:t>
      </w:r>
    </w:p>
    <w:bookmarkStart w:id="5" w:name="notificationarret"/>
    <w:p w:rsidR="00887512" w:rsidRPr="00E06A86" w:rsidRDefault="00765A7C" w:rsidP="00765A7C">
      <w:pPr>
        <w:pStyle w:val="JuParaChar"/>
        <w:rPr>
          <w:lang w:val="en-GB"/>
        </w:rPr>
      </w:pPr>
      <w:r w:rsidRPr="00E06A86">
        <w:rPr>
          <w:lang w:val="en-GB"/>
        </w:rPr>
        <w:fldChar w:fldCharType="begin"/>
      </w:r>
      <w:r w:rsidRPr="00E06A86">
        <w:rPr>
          <w:lang w:val="en-GB"/>
        </w:rPr>
        <w:instrText xml:space="preserve"> SEQ level0 \*arabic </w:instrText>
      </w:r>
      <w:r w:rsidRPr="00E06A86">
        <w:rPr>
          <w:lang w:val="en-GB"/>
        </w:rPr>
        <w:fldChar w:fldCharType="separate"/>
      </w:r>
      <w:r w:rsidR="00473228">
        <w:rPr>
          <w:noProof/>
          <w:lang w:val="en-GB"/>
        </w:rPr>
        <w:t>16</w:t>
      </w:r>
      <w:r w:rsidRPr="00E06A86">
        <w:rPr>
          <w:noProof/>
          <w:lang w:val="en-GB"/>
        </w:rPr>
        <w:fldChar w:fldCharType="end"/>
      </w:r>
      <w:bookmarkEnd w:id="5"/>
      <w:r w:rsidRPr="00E06A86">
        <w:rPr>
          <w:lang w:val="en-GB"/>
        </w:rPr>
        <w:t>.  </w:t>
      </w:r>
      <w:r w:rsidR="00887512" w:rsidRPr="00E06A86">
        <w:rPr>
          <w:lang w:val="en-GB"/>
        </w:rPr>
        <w:t xml:space="preserve">This judgment was served on the applicant on </w:t>
      </w:r>
      <w:r w:rsidR="00BE321F">
        <w:rPr>
          <w:lang w:val="en-GB"/>
        </w:rPr>
        <w:t>2</w:t>
      </w:r>
      <w:r w:rsidR="00887512" w:rsidRPr="00E06A86">
        <w:rPr>
          <w:lang w:val="en-GB"/>
        </w:rPr>
        <w:t xml:space="preserve"> October 2008.</w:t>
      </w:r>
    </w:p>
    <w:p w:rsidR="00765A7C" w:rsidRPr="00E06A86" w:rsidRDefault="00887512" w:rsidP="00765A7C">
      <w:pPr>
        <w:pStyle w:val="ECHRTitle1"/>
        <w:rPr>
          <w:lang w:val="en-GB"/>
        </w:rPr>
      </w:pPr>
      <w:r w:rsidRPr="00E06A86">
        <w:rPr>
          <w:lang w:val="en-GB"/>
        </w:rPr>
        <w:t>THE LAW</w:t>
      </w:r>
    </w:p>
    <w:p w:rsidR="00765A7C" w:rsidRPr="00E06A86" w:rsidRDefault="00765A7C" w:rsidP="00765A7C">
      <w:pPr>
        <w:pStyle w:val="ECHRHeading1"/>
        <w:rPr>
          <w:lang w:val="en-GB"/>
        </w:rPr>
      </w:pPr>
      <w:r w:rsidRPr="00E06A86">
        <w:rPr>
          <w:lang w:val="en-GB"/>
        </w:rPr>
        <w:t>I.  </w:t>
      </w:r>
      <w:r w:rsidR="00887512" w:rsidRPr="00E06A86">
        <w:rPr>
          <w:lang w:val="en-GB"/>
        </w:rPr>
        <w:t>ALLEGED</w:t>
      </w:r>
      <w:r w:rsidRPr="00E06A86">
        <w:rPr>
          <w:lang w:val="en-GB"/>
        </w:rPr>
        <w:t xml:space="preserve"> VIOLATION </w:t>
      </w:r>
      <w:r w:rsidR="00887512" w:rsidRPr="00E06A86">
        <w:rPr>
          <w:lang w:val="en-GB"/>
        </w:rPr>
        <w:t xml:space="preserve">OF </w:t>
      </w:r>
      <w:r w:rsidRPr="00E06A86">
        <w:rPr>
          <w:lang w:val="en-GB"/>
        </w:rPr>
        <w:t xml:space="preserve">ARTICLE 6 § 1 </w:t>
      </w:r>
      <w:r w:rsidR="00887512" w:rsidRPr="00E06A86">
        <w:rPr>
          <w:lang w:val="en-GB"/>
        </w:rPr>
        <w:t>OF THE</w:t>
      </w:r>
      <w:r w:rsidRPr="00E06A86">
        <w:rPr>
          <w:lang w:val="en-GB"/>
        </w:rPr>
        <w:t xml:space="preserve"> CONVENTION</w:t>
      </w:r>
    </w:p>
    <w:p w:rsidR="00E2609C" w:rsidRPr="00E06A86" w:rsidRDefault="00765A7C" w:rsidP="00765A7C">
      <w:pPr>
        <w:pStyle w:val="ECHRPara"/>
        <w:rPr>
          <w:lang w:val="en-GB"/>
        </w:rPr>
      </w:pPr>
      <w:r w:rsidRPr="00E06A86">
        <w:rPr>
          <w:lang w:val="en-GB"/>
        </w:rPr>
        <w:fldChar w:fldCharType="begin"/>
      </w:r>
      <w:r w:rsidRPr="00E06A86">
        <w:rPr>
          <w:lang w:val="en-GB"/>
        </w:rPr>
        <w:instrText xml:space="preserve"> SEQ level0 \*arabic </w:instrText>
      </w:r>
      <w:r w:rsidRPr="00E06A86">
        <w:rPr>
          <w:lang w:val="en-GB"/>
        </w:rPr>
        <w:fldChar w:fldCharType="separate"/>
      </w:r>
      <w:r w:rsidR="00473228">
        <w:rPr>
          <w:noProof/>
          <w:lang w:val="en-GB"/>
        </w:rPr>
        <w:t>17</w:t>
      </w:r>
      <w:r w:rsidRPr="00E06A86">
        <w:rPr>
          <w:noProof/>
          <w:lang w:val="en-GB"/>
        </w:rPr>
        <w:fldChar w:fldCharType="end"/>
      </w:r>
      <w:r w:rsidRPr="00E06A86">
        <w:rPr>
          <w:lang w:val="en-GB"/>
        </w:rPr>
        <w:t>.  </w:t>
      </w:r>
      <w:r w:rsidR="00E2609C" w:rsidRPr="00E06A86">
        <w:rPr>
          <w:lang w:val="en-GB"/>
        </w:rPr>
        <w:t xml:space="preserve">The applicant alleged that the Court of Cassation had ignored his request for a question to be referred to the CJEU </w:t>
      </w:r>
      <w:r w:rsidR="00086E91" w:rsidRPr="00E06A86">
        <w:rPr>
          <w:lang w:val="en-GB"/>
        </w:rPr>
        <w:t xml:space="preserve">for a preliminary ruling </w:t>
      </w:r>
      <w:r w:rsidR="00E2609C" w:rsidRPr="00E06A86">
        <w:rPr>
          <w:lang w:val="en-GB"/>
        </w:rPr>
        <w:t>concerning the interpretation of the Euro-Mediterranean Agreement.</w:t>
      </w:r>
    </w:p>
    <w:p w:rsidR="00E2609C" w:rsidRPr="00E06A86" w:rsidRDefault="00E2609C" w:rsidP="00E2609C">
      <w:pPr>
        <w:pStyle w:val="ECHRPara"/>
        <w:rPr>
          <w:lang w:val="en-GB"/>
        </w:rPr>
      </w:pPr>
      <w:r w:rsidRPr="00E06A86">
        <w:rPr>
          <w:lang w:val="en-GB"/>
        </w:rPr>
        <w:t>He relied on A</w:t>
      </w:r>
      <w:r w:rsidR="00765A7C" w:rsidRPr="00E06A86">
        <w:rPr>
          <w:lang w:val="en-GB"/>
        </w:rPr>
        <w:t xml:space="preserve">rticle 6 § 1 </w:t>
      </w:r>
      <w:r w:rsidRPr="00E06A86">
        <w:rPr>
          <w:lang w:val="en-GB"/>
        </w:rPr>
        <w:t>of the</w:t>
      </w:r>
      <w:r w:rsidR="00765A7C" w:rsidRPr="00E06A86">
        <w:rPr>
          <w:lang w:val="en-GB"/>
        </w:rPr>
        <w:t xml:space="preserve"> Convention, </w:t>
      </w:r>
      <w:r w:rsidRPr="00E06A86">
        <w:rPr>
          <w:lang w:val="en-GB"/>
        </w:rPr>
        <w:t>which, in its relevant parts, provides:</w:t>
      </w:r>
    </w:p>
    <w:p w:rsidR="00473228" w:rsidRDefault="00E2609C" w:rsidP="00765A7C">
      <w:pPr>
        <w:pStyle w:val="ECHRParaQuote"/>
        <w:rPr>
          <w:lang w:val="en-GB"/>
        </w:rPr>
      </w:pPr>
      <w:r w:rsidRPr="00E06A86">
        <w:rPr>
          <w:lang w:val="en-GB"/>
        </w:rPr>
        <w:t xml:space="preserve"> “In the determination of his civil rights and obligations ... everyone is entitled to a fair ... hearing ... by [a] ... tribunal ...”</w:t>
      </w:r>
      <w:r w:rsidR="00765A7C" w:rsidRPr="00E06A86">
        <w:rPr>
          <w:lang w:val="en-GB"/>
        </w:rPr>
        <w:t>.</w:t>
      </w:r>
    </w:p>
    <w:p w:rsidR="00765A7C" w:rsidRPr="00E06A86" w:rsidRDefault="00765A7C" w:rsidP="00765A7C">
      <w:pPr>
        <w:pStyle w:val="ECHRPara"/>
        <w:rPr>
          <w:lang w:val="en-GB"/>
        </w:rPr>
      </w:pPr>
      <w:r w:rsidRPr="00E06A86">
        <w:rPr>
          <w:lang w:val="en-GB"/>
        </w:rPr>
        <w:fldChar w:fldCharType="begin"/>
      </w:r>
      <w:r w:rsidRPr="00E06A86">
        <w:rPr>
          <w:lang w:val="en-GB"/>
        </w:rPr>
        <w:instrText xml:space="preserve"> SEQ level0 \*arabic </w:instrText>
      </w:r>
      <w:r w:rsidRPr="00E06A86">
        <w:rPr>
          <w:lang w:val="en-GB"/>
        </w:rPr>
        <w:fldChar w:fldCharType="separate"/>
      </w:r>
      <w:r w:rsidR="00473228">
        <w:rPr>
          <w:noProof/>
          <w:lang w:val="en-GB"/>
        </w:rPr>
        <w:t>18</w:t>
      </w:r>
      <w:r w:rsidRPr="00E06A86">
        <w:rPr>
          <w:noProof/>
          <w:lang w:val="en-GB"/>
        </w:rPr>
        <w:fldChar w:fldCharType="end"/>
      </w:r>
      <w:r w:rsidRPr="00E06A86">
        <w:rPr>
          <w:lang w:val="en-GB"/>
        </w:rPr>
        <w:t>.  </w:t>
      </w:r>
      <w:r w:rsidR="00E2609C" w:rsidRPr="00E06A86">
        <w:rPr>
          <w:lang w:val="en-GB"/>
        </w:rPr>
        <w:t>The Government contested the applicant</w:t>
      </w:r>
      <w:r w:rsidR="006B125B">
        <w:rPr>
          <w:lang w:val="en-GB"/>
        </w:rPr>
        <w:t>’</w:t>
      </w:r>
      <w:r w:rsidR="00E2609C" w:rsidRPr="00E06A86">
        <w:rPr>
          <w:lang w:val="en-GB"/>
        </w:rPr>
        <w:t>s argument</w:t>
      </w:r>
      <w:r w:rsidRPr="00E06A86">
        <w:rPr>
          <w:lang w:val="en-GB"/>
        </w:rPr>
        <w:t>.</w:t>
      </w:r>
    </w:p>
    <w:p w:rsidR="00765A7C" w:rsidRPr="00E06A86" w:rsidRDefault="00765A7C" w:rsidP="00765A7C">
      <w:pPr>
        <w:pStyle w:val="ECHRHeading2"/>
        <w:outlineLvl w:val="0"/>
        <w:rPr>
          <w:lang w:val="en-GB"/>
        </w:rPr>
      </w:pPr>
      <w:r w:rsidRPr="00E06A86">
        <w:rPr>
          <w:lang w:val="en-GB"/>
        </w:rPr>
        <w:t>A.  </w:t>
      </w:r>
      <w:r w:rsidR="00E2609C" w:rsidRPr="00E06A86">
        <w:rPr>
          <w:lang w:val="en-GB"/>
        </w:rPr>
        <w:t>Admissibility</w:t>
      </w:r>
    </w:p>
    <w:p w:rsidR="00765A7C" w:rsidRPr="00E06A86" w:rsidRDefault="00765A7C" w:rsidP="00765A7C">
      <w:pPr>
        <w:pStyle w:val="ECHRHeading3"/>
        <w:rPr>
          <w:lang w:val="en-GB"/>
        </w:rPr>
      </w:pPr>
      <w:r w:rsidRPr="00E06A86">
        <w:rPr>
          <w:lang w:val="en-GB"/>
        </w:rPr>
        <w:t>1.  </w:t>
      </w:r>
      <w:r w:rsidR="00E2609C" w:rsidRPr="00E06A86">
        <w:rPr>
          <w:lang w:val="en-GB"/>
        </w:rPr>
        <w:t>The Government</w:t>
      </w:r>
      <w:r w:rsidR="006B125B">
        <w:rPr>
          <w:lang w:val="en-GB"/>
        </w:rPr>
        <w:t>’</w:t>
      </w:r>
      <w:r w:rsidR="00E2609C" w:rsidRPr="00E06A86">
        <w:rPr>
          <w:lang w:val="en-GB"/>
        </w:rPr>
        <w:t>s preliminary objection that the application was out of time</w:t>
      </w:r>
    </w:p>
    <w:p w:rsidR="00E2609C" w:rsidRPr="00E06A86" w:rsidRDefault="00765A7C" w:rsidP="00765A7C">
      <w:pPr>
        <w:pStyle w:val="ECHRPara"/>
        <w:rPr>
          <w:lang w:val="en-GB"/>
        </w:rPr>
      </w:pPr>
      <w:r w:rsidRPr="00E06A86">
        <w:rPr>
          <w:lang w:val="en-GB"/>
        </w:rPr>
        <w:fldChar w:fldCharType="begin"/>
      </w:r>
      <w:r w:rsidRPr="00E06A86">
        <w:rPr>
          <w:lang w:val="en-GB"/>
        </w:rPr>
        <w:instrText xml:space="preserve"> SEQ level0 \*arabic </w:instrText>
      </w:r>
      <w:r w:rsidRPr="00E06A86">
        <w:rPr>
          <w:lang w:val="en-GB"/>
        </w:rPr>
        <w:fldChar w:fldCharType="separate"/>
      </w:r>
      <w:r w:rsidR="00473228">
        <w:rPr>
          <w:noProof/>
          <w:lang w:val="en-GB"/>
        </w:rPr>
        <w:t>19</w:t>
      </w:r>
      <w:r w:rsidRPr="00E06A86">
        <w:rPr>
          <w:noProof/>
          <w:lang w:val="en-GB"/>
        </w:rPr>
        <w:fldChar w:fldCharType="end"/>
      </w:r>
      <w:r w:rsidRPr="00E06A86">
        <w:rPr>
          <w:lang w:val="en-GB"/>
        </w:rPr>
        <w:t>.  </w:t>
      </w:r>
      <w:r w:rsidR="00E2609C" w:rsidRPr="00E06A86">
        <w:rPr>
          <w:lang w:val="en-GB"/>
        </w:rPr>
        <w:t>The Government submitted at the outset that the application was out of time, observing that it had not been lodged until 2 April 2009, whereas the judgment of the Court of Cassation had been deposited with the registry on 29 September 2008 (see paragraph 13 above).</w:t>
      </w:r>
    </w:p>
    <w:p w:rsidR="00E2609C" w:rsidRPr="00E06A86" w:rsidRDefault="00765A7C" w:rsidP="00765A7C">
      <w:pPr>
        <w:pStyle w:val="ECHRPara"/>
        <w:rPr>
          <w:lang w:val="en-GB"/>
        </w:rPr>
      </w:pPr>
      <w:r w:rsidRPr="00E06A86">
        <w:rPr>
          <w:lang w:val="en-GB"/>
        </w:rPr>
        <w:fldChar w:fldCharType="begin"/>
      </w:r>
      <w:r w:rsidRPr="00E06A86">
        <w:rPr>
          <w:lang w:val="en-GB"/>
        </w:rPr>
        <w:instrText xml:space="preserve"> SEQ level0 \*arabic </w:instrText>
      </w:r>
      <w:r w:rsidRPr="00E06A86">
        <w:rPr>
          <w:lang w:val="en-GB"/>
        </w:rPr>
        <w:fldChar w:fldCharType="separate"/>
      </w:r>
      <w:r w:rsidR="00473228">
        <w:rPr>
          <w:noProof/>
          <w:lang w:val="en-GB"/>
        </w:rPr>
        <w:t>20</w:t>
      </w:r>
      <w:r w:rsidRPr="00E06A86">
        <w:rPr>
          <w:noProof/>
          <w:lang w:val="en-GB"/>
        </w:rPr>
        <w:fldChar w:fldCharType="end"/>
      </w:r>
      <w:r w:rsidRPr="00E06A86">
        <w:rPr>
          <w:lang w:val="en-GB"/>
        </w:rPr>
        <w:t>.  </w:t>
      </w:r>
      <w:r w:rsidR="00E2609C" w:rsidRPr="00E06A86">
        <w:rPr>
          <w:lang w:val="en-GB"/>
        </w:rPr>
        <w:t xml:space="preserve">The applicant submitted in reply that his application had been lodged </w:t>
      </w:r>
      <w:r w:rsidR="009E0C1C" w:rsidRPr="00E06A86">
        <w:rPr>
          <w:lang w:val="en-GB"/>
        </w:rPr>
        <w:t>on</w:t>
      </w:r>
      <w:r w:rsidR="00E2609C" w:rsidRPr="00E06A86">
        <w:rPr>
          <w:lang w:val="en-GB"/>
        </w:rPr>
        <w:t xml:space="preserve"> 28 March 2009, the date on which he had sent a copy to the Court</w:t>
      </w:r>
      <w:r w:rsidR="006B125B">
        <w:rPr>
          <w:lang w:val="en-GB"/>
        </w:rPr>
        <w:t>’</w:t>
      </w:r>
      <w:r w:rsidR="00E2609C" w:rsidRPr="00E06A86">
        <w:rPr>
          <w:lang w:val="en-GB"/>
        </w:rPr>
        <w:t>s Registry by fax and by post. He pointed out that the judgment of the Court of Cassation had not been served on him until 2 October 2008 (see paragraph 16 above). It was the latter date that should be taken as the starting point of the six-month period.</w:t>
      </w:r>
    </w:p>
    <w:p w:rsidR="00E2609C" w:rsidRPr="00E06A86" w:rsidRDefault="00765A7C" w:rsidP="00765A7C">
      <w:pPr>
        <w:pStyle w:val="ECHRPara"/>
        <w:rPr>
          <w:lang w:val="en-GB"/>
        </w:rPr>
      </w:pPr>
      <w:r w:rsidRPr="00E06A86">
        <w:rPr>
          <w:lang w:val="en-GB"/>
        </w:rPr>
        <w:fldChar w:fldCharType="begin"/>
      </w:r>
      <w:r w:rsidRPr="00E06A86">
        <w:rPr>
          <w:lang w:val="en-GB"/>
        </w:rPr>
        <w:instrText xml:space="preserve"> SEQ level0 \*arabic </w:instrText>
      </w:r>
      <w:r w:rsidRPr="00E06A86">
        <w:rPr>
          <w:lang w:val="en-GB"/>
        </w:rPr>
        <w:fldChar w:fldCharType="separate"/>
      </w:r>
      <w:r w:rsidR="00473228">
        <w:rPr>
          <w:noProof/>
          <w:lang w:val="en-GB"/>
        </w:rPr>
        <w:t>21</w:t>
      </w:r>
      <w:r w:rsidRPr="00E06A86">
        <w:rPr>
          <w:noProof/>
          <w:lang w:val="en-GB"/>
        </w:rPr>
        <w:fldChar w:fldCharType="end"/>
      </w:r>
      <w:r w:rsidRPr="00E06A86">
        <w:rPr>
          <w:lang w:val="en-GB"/>
        </w:rPr>
        <w:t>.  </w:t>
      </w:r>
      <w:r w:rsidR="00E2609C" w:rsidRPr="00E06A86">
        <w:rPr>
          <w:lang w:val="en-GB"/>
        </w:rPr>
        <w:t xml:space="preserve">The </w:t>
      </w:r>
      <w:r w:rsidR="00340EBE" w:rsidRPr="00E06A86">
        <w:rPr>
          <w:lang w:val="en-GB"/>
        </w:rPr>
        <w:t>C</w:t>
      </w:r>
      <w:r w:rsidR="00E2609C" w:rsidRPr="00E06A86">
        <w:rPr>
          <w:lang w:val="en-GB"/>
        </w:rPr>
        <w:t>ourt notes that on 28 March 2009 the applicant sent a copy of the application form, duly completed, by fax to the Registry, which received it the same day.</w:t>
      </w:r>
      <w:r w:rsidR="00340EBE" w:rsidRPr="00E06A86">
        <w:rPr>
          <w:lang w:val="en-GB"/>
        </w:rPr>
        <w:t xml:space="preserve"> A further copy was sent by post and reached the Registry of the Court on 2 April 2009. The application should therefore be considered to have been lodged on 28 March 2009. Accordingly, even supposing that, as the Government argued, the starting point for the six-month period </w:t>
      </w:r>
      <w:r w:rsidR="009E0C1C" w:rsidRPr="00E06A86">
        <w:rPr>
          <w:lang w:val="en-GB"/>
        </w:rPr>
        <w:t>provided for</w:t>
      </w:r>
      <w:r w:rsidR="00340EBE" w:rsidRPr="00E06A86">
        <w:rPr>
          <w:lang w:val="en-GB"/>
        </w:rPr>
        <w:t xml:space="preserve"> in Article 35 § 1 of the Convention should</w:t>
      </w:r>
      <w:r w:rsidR="00473228">
        <w:rPr>
          <w:lang w:val="en-GB"/>
        </w:rPr>
        <w:t xml:space="preserve"> </w:t>
      </w:r>
      <w:r w:rsidR="00340EBE" w:rsidRPr="00E06A86">
        <w:rPr>
          <w:lang w:val="en-GB"/>
        </w:rPr>
        <w:t xml:space="preserve">be 29 September 2008, </w:t>
      </w:r>
      <w:r w:rsidR="00BE321F">
        <w:rPr>
          <w:lang w:val="en-GB"/>
        </w:rPr>
        <w:t>the six-month</w:t>
      </w:r>
      <w:r w:rsidR="00340EBE" w:rsidRPr="00E06A86">
        <w:rPr>
          <w:lang w:val="en-GB"/>
        </w:rPr>
        <w:t xml:space="preserve"> time-limit was in any event complied with.</w:t>
      </w:r>
    </w:p>
    <w:p w:rsidR="00340EBE" w:rsidRPr="00E06A86" w:rsidRDefault="00765A7C" w:rsidP="00765A7C">
      <w:pPr>
        <w:pStyle w:val="ECHRPara"/>
        <w:rPr>
          <w:lang w:val="en-GB"/>
        </w:rPr>
      </w:pPr>
      <w:r w:rsidRPr="00E06A86">
        <w:rPr>
          <w:lang w:val="en-GB"/>
        </w:rPr>
        <w:lastRenderedPageBreak/>
        <w:fldChar w:fldCharType="begin"/>
      </w:r>
      <w:r w:rsidRPr="00E06A86">
        <w:rPr>
          <w:lang w:val="en-GB"/>
        </w:rPr>
        <w:instrText xml:space="preserve"> SEQ level0 \*arabic </w:instrText>
      </w:r>
      <w:r w:rsidRPr="00E06A86">
        <w:rPr>
          <w:lang w:val="en-GB"/>
        </w:rPr>
        <w:fldChar w:fldCharType="separate"/>
      </w:r>
      <w:r w:rsidR="00473228">
        <w:rPr>
          <w:noProof/>
          <w:lang w:val="en-GB"/>
        </w:rPr>
        <w:t>22</w:t>
      </w:r>
      <w:r w:rsidRPr="00E06A86">
        <w:rPr>
          <w:noProof/>
          <w:lang w:val="en-GB"/>
        </w:rPr>
        <w:fldChar w:fldCharType="end"/>
      </w:r>
      <w:r w:rsidRPr="00E06A86">
        <w:rPr>
          <w:lang w:val="en-GB"/>
        </w:rPr>
        <w:t>.  </w:t>
      </w:r>
      <w:r w:rsidR="00340EBE" w:rsidRPr="00E06A86">
        <w:rPr>
          <w:lang w:val="en-GB"/>
        </w:rPr>
        <w:t>It follows that the Government</w:t>
      </w:r>
      <w:r w:rsidR="006B125B">
        <w:rPr>
          <w:lang w:val="en-GB"/>
        </w:rPr>
        <w:t>’</w:t>
      </w:r>
      <w:r w:rsidR="00340EBE" w:rsidRPr="00E06A86">
        <w:rPr>
          <w:lang w:val="en-GB"/>
        </w:rPr>
        <w:t>s objection that the application was out of time cannot be upheld.</w:t>
      </w:r>
    </w:p>
    <w:p w:rsidR="00765A7C" w:rsidRPr="00E06A86" w:rsidRDefault="00765A7C" w:rsidP="00765A7C">
      <w:pPr>
        <w:pStyle w:val="ECHRHeading3"/>
        <w:rPr>
          <w:lang w:val="en-GB"/>
        </w:rPr>
      </w:pPr>
      <w:r w:rsidRPr="00E06A86">
        <w:rPr>
          <w:lang w:val="en-GB"/>
        </w:rPr>
        <w:t>2.  </w:t>
      </w:r>
      <w:r w:rsidR="00340EBE" w:rsidRPr="00E06A86">
        <w:rPr>
          <w:lang w:val="en-GB"/>
        </w:rPr>
        <w:t>The Government</w:t>
      </w:r>
      <w:r w:rsidR="006B125B">
        <w:rPr>
          <w:lang w:val="en-GB"/>
        </w:rPr>
        <w:t>’</w:t>
      </w:r>
      <w:r w:rsidR="00340EBE" w:rsidRPr="00E06A86">
        <w:rPr>
          <w:lang w:val="en-GB"/>
        </w:rPr>
        <w:t>s objection of failure to exhaust domestic remedies</w:t>
      </w:r>
    </w:p>
    <w:p w:rsidR="002138BA" w:rsidRPr="00E06A86" w:rsidRDefault="00765A7C" w:rsidP="002138BA">
      <w:pPr>
        <w:pStyle w:val="ECHRPara"/>
        <w:rPr>
          <w:rStyle w:val="sb8d990e2"/>
          <w:lang w:val="en-GB"/>
        </w:rPr>
      </w:pPr>
      <w:r w:rsidRPr="00E06A86">
        <w:rPr>
          <w:lang w:val="en-GB"/>
        </w:rPr>
        <w:fldChar w:fldCharType="begin"/>
      </w:r>
      <w:r w:rsidRPr="00E06A86">
        <w:rPr>
          <w:lang w:val="en-GB"/>
        </w:rPr>
        <w:instrText xml:space="preserve"> SEQ level0 \*arabic </w:instrText>
      </w:r>
      <w:r w:rsidRPr="00E06A86">
        <w:rPr>
          <w:lang w:val="en-GB"/>
        </w:rPr>
        <w:fldChar w:fldCharType="separate"/>
      </w:r>
      <w:r w:rsidR="00473228">
        <w:rPr>
          <w:noProof/>
          <w:lang w:val="en-GB"/>
        </w:rPr>
        <w:t>23</w:t>
      </w:r>
      <w:r w:rsidRPr="00E06A86">
        <w:rPr>
          <w:noProof/>
          <w:lang w:val="en-GB"/>
        </w:rPr>
        <w:fldChar w:fldCharType="end"/>
      </w:r>
      <w:r w:rsidRPr="00E06A86">
        <w:rPr>
          <w:lang w:val="en-GB"/>
        </w:rPr>
        <w:t>.  </w:t>
      </w:r>
      <w:r w:rsidR="00340EBE" w:rsidRPr="00E06A86">
        <w:rPr>
          <w:lang w:val="en-GB"/>
        </w:rPr>
        <w:t xml:space="preserve">In their additional observations of 17 January 2014 the Government </w:t>
      </w:r>
      <w:r w:rsidR="009E0C1C" w:rsidRPr="00E06A86">
        <w:rPr>
          <w:lang w:val="en-GB"/>
        </w:rPr>
        <w:t>argued</w:t>
      </w:r>
      <w:r w:rsidR="00340EBE" w:rsidRPr="00E06A86">
        <w:rPr>
          <w:lang w:val="en-GB"/>
        </w:rPr>
        <w:t xml:space="preserve"> for the first time that the applicant had failed to exhaust domestic remedies. If the Court of Cassation had misapplied the “acte clair” doctrine and failed in its duty to refer a question to the CJEU</w:t>
      </w:r>
      <w:r w:rsidR="009E0C1C" w:rsidRPr="00E06A86">
        <w:rPr>
          <w:lang w:val="en-GB"/>
        </w:rPr>
        <w:t xml:space="preserve"> for a preliminary ruling</w:t>
      </w:r>
      <w:r w:rsidR="00340EBE" w:rsidRPr="00E06A86">
        <w:rPr>
          <w:lang w:val="en-GB"/>
        </w:rPr>
        <w:t>,</w:t>
      </w:r>
      <w:r w:rsidR="002138BA" w:rsidRPr="00E06A86">
        <w:rPr>
          <w:lang w:val="en-GB"/>
        </w:rPr>
        <w:t xml:space="preserve"> the applicant could have brought a civil action to establish non</w:t>
      </w:r>
      <w:r w:rsidR="00967D42">
        <w:rPr>
          <w:lang w:val="en-GB"/>
        </w:rPr>
        <w:noBreakHyphen/>
      </w:r>
      <w:r w:rsidR="002138BA" w:rsidRPr="00E06A86">
        <w:rPr>
          <w:lang w:val="en-GB"/>
        </w:rPr>
        <w:t>contractual liability on the part of the State, as advocated by the CJEU in its judgments in</w:t>
      </w:r>
      <w:r w:rsidRPr="00E06A86">
        <w:rPr>
          <w:rStyle w:val="sb8d990e2"/>
          <w:lang w:val="en-GB"/>
        </w:rPr>
        <w:t xml:space="preserve"> </w:t>
      </w:r>
      <w:r w:rsidRPr="00E06A86">
        <w:rPr>
          <w:rStyle w:val="sb8d990e2"/>
          <w:i/>
          <w:lang w:val="en-GB"/>
        </w:rPr>
        <w:t xml:space="preserve">Kobler </w:t>
      </w:r>
      <w:r w:rsidRPr="00E06A86">
        <w:rPr>
          <w:rStyle w:val="sb8d990e2"/>
          <w:lang w:val="en-GB"/>
        </w:rPr>
        <w:t xml:space="preserve">(30 </w:t>
      </w:r>
      <w:r w:rsidR="002138BA" w:rsidRPr="00E06A86">
        <w:rPr>
          <w:rStyle w:val="sb8d990e2"/>
          <w:lang w:val="en-GB"/>
        </w:rPr>
        <w:t>September</w:t>
      </w:r>
      <w:r w:rsidRPr="00E06A86">
        <w:rPr>
          <w:rStyle w:val="sb8d990e2"/>
          <w:lang w:val="en-GB"/>
        </w:rPr>
        <w:t xml:space="preserve"> 2003, </w:t>
      </w:r>
      <w:r w:rsidR="002138BA" w:rsidRPr="00E06A86">
        <w:rPr>
          <w:rStyle w:val="sb8d990e2"/>
          <w:lang w:val="en-GB"/>
        </w:rPr>
        <w:t>Case</w:t>
      </w:r>
      <w:r w:rsidRPr="00E06A86">
        <w:rPr>
          <w:rStyle w:val="sb8d990e2"/>
          <w:lang w:val="en-GB"/>
        </w:rPr>
        <w:t xml:space="preserve"> C-224/01) </w:t>
      </w:r>
      <w:r w:rsidR="002138BA" w:rsidRPr="00E06A86">
        <w:rPr>
          <w:rStyle w:val="sb8d990e2"/>
          <w:lang w:val="en-GB"/>
        </w:rPr>
        <w:t>and</w:t>
      </w:r>
      <w:r w:rsidRPr="00E06A86">
        <w:rPr>
          <w:rStyle w:val="sb8d990e2"/>
          <w:lang w:val="en-GB"/>
        </w:rPr>
        <w:t xml:space="preserve"> </w:t>
      </w:r>
      <w:r w:rsidRPr="00E06A86">
        <w:rPr>
          <w:rStyle w:val="sb8d990e2"/>
          <w:i/>
          <w:lang w:val="en-GB"/>
        </w:rPr>
        <w:t xml:space="preserve">Traghetti del Mediterraneo </w:t>
      </w:r>
      <w:r w:rsidRPr="00E06A86">
        <w:rPr>
          <w:rStyle w:val="sb8d990e2"/>
          <w:lang w:val="en-GB"/>
        </w:rPr>
        <w:t xml:space="preserve">(13 </w:t>
      </w:r>
      <w:r w:rsidR="002138BA" w:rsidRPr="00E06A86">
        <w:rPr>
          <w:rStyle w:val="sb8d990e2"/>
          <w:lang w:val="en-GB"/>
        </w:rPr>
        <w:t>June</w:t>
      </w:r>
      <w:r w:rsidRPr="00E06A86">
        <w:rPr>
          <w:rStyle w:val="sb8d990e2"/>
          <w:lang w:val="en-GB"/>
        </w:rPr>
        <w:t xml:space="preserve"> 2006, </w:t>
      </w:r>
      <w:r w:rsidR="002138BA" w:rsidRPr="00E06A86">
        <w:rPr>
          <w:rStyle w:val="sb8d990e2"/>
          <w:lang w:val="en-GB"/>
        </w:rPr>
        <w:t>Case</w:t>
      </w:r>
      <w:r w:rsidRPr="00E06A86">
        <w:rPr>
          <w:rStyle w:val="sb8d990e2"/>
          <w:lang w:val="en-GB"/>
        </w:rPr>
        <w:t xml:space="preserve"> C-173/03). </w:t>
      </w:r>
      <w:r w:rsidR="002138BA" w:rsidRPr="00E06A86">
        <w:rPr>
          <w:rStyle w:val="sb8d990e2"/>
          <w:lang w:val="en-GB"/>
        </w:rPr>
        <w:t>Actions of this kind were routinely examined by the domestic courts.</w:t>
      </w:r>
    </w:p>
    <w:p w:rsidR="0052132D" w:rsidRPr="00E06A86" w:rsidRDefault="00765A7C" w:rsidP="002138BA">
      <w:pPr>
        <w:pStyle w:val="ECHRPara"/>
        <w:rPr>
          <w:rStyle w:val="sb8d990e2"/>
          <w:lang w:val="en-GB"/>
        </w:rPr>
      </w:pPr>
      <w:r w:rsidRPr="00E06A86">
        <w:rPr>
          <w:lang w:val="en-GB"/>
        </w:rPr>
        <w:fldChar w:fldCharType="begin"/>
      </w:r>
      <w:r w:rsidRPr="00E06A86">
        <w:rPr>
          <w:lang w:val="en-GB"/>
        </w:rPr>
        <w:instrText xml:space="preserve"> SEQ level0 \*arabic </w:instrText>
      </w:r>
      <w:r w:rsidRPr="00E06A86">
        <w:rPr>
          <w:lang w:val="en-GB"/>
        </w:rPr>
        <w:fldChar w:fldCharType="separate"/>
      </w:r>
      <w:r w:rsidR="00473228">
        <w:rPr>
          <w:noProof/>
          <w:lang w:val="en-GB"/>
        </w:rPr>
        <w:t>24</w:t>
      </w:r>
      <w:r w:rsidRPr="00E06A86">
        <w:rPr>
          <w:noProof/>
          <w:lang w:val="en-GB"/>
        </w:rPr>
        <w:fldChar w:fldCharType="end"/>
      </w:r>
      <w:r w:rsidRPr="00E06A86">
        <w:rPr>
          <w:lang w:val="en-GB"/>
        </w:rPr>
        <w:t>.  </w:t>
      </w:r>
      <w:r w:rsidR="002138BA" w:rsidRPr="00E06A86">
        <w:rPr>
          <w:lang w:val="en-GB"/>
        </w:rPr>
        <w:t>The Court point</w:t>
      </w:r>
      <w:r w:rsidR="00865B7C" w:rsidRPr="00E06A86">
        <w:rPr>
          <w:lang w:val="en-GB"/>
        </w:rPr>
        <w:t>s</w:t>
      </w:r>
      <w:r w:rsidR="002138BA" w:rsidRPr="00E06A86">
        <w:rPr>
          <w:lang w:val="en-GB"/>
        </w:rPr>
        <w:t xml:space="preserve"> out that according to Rule 55 of the Rules of Court any plea of inadmissibility must, in so far as its character and the circumstances permit, be raised by the respondent Contracting Party in its written or oral observations on the admissibility of the application (see </w:t>
      </w:r>
      <w:r w:rsidRPr="00E06A86">
        <w:rPr>
          <w:rStyle w:val="sb8d990e2"/>
          <w:i/>
          <w:lang w:val="en-GB"/>
        </w:rPr>
        <w:t xml:space="preserve">N.C. </w:t>
      </w:r>
      <w:r w:rsidR="002138BA" w:rsidRPr="00E06A86">
        <w:rPr>
          <w:rStyle w:val="sb8d990e2"/>
          <w:i/>
          <w:lang w:val="en-GB"/>
        </w:rPr>
        <w:t>v</w:t>
      </w:r>
      <w:r w:rsidRPr="00E06A86">
        <w:rPr>
          <w:rStyle w:val="sb8d990e2"/>
          <w:i/>
          <w:lang w:val="en-GB"/>
        </w:rPr>
        <w:t xml:space="preserve">. </w:t>
      </w:r>
      <w:r w:rsidR="002138BA" w:rsidRPr="00E06A86">
        <w:rPr>
          <w:rStyle w:val="sb8d990e2"/>
          <w:i/>
          <w:lang w:val="en-GB"/>
        </w:rPr>
        <w:t>Italy</w:t>
      </w:r>
      <w:r w:rsidRPr="00E06A86">
        <w:rPr>
          <w:rStyle w:val="sb8d990e2"/>
          <w:i/>
          <w:lang w:val="en-GB"/>
        </w:rPr>
        <w:t xml:space="preserve"> </w:t>
      </w:r>
      <w:r w:rsidRPr="00E06A86">
        <w:rPr>
          <w:rStyle w:val="sb8d990e2"/>
          <w:lang w:val="en-GB"/>
        </w:rPr>
        <w:t xml:space="preserve">[GC], </w:t>
      </w:r>
      <w:r w:rsidR="002138BA" w:rsidRPr="00E06A86">
        <w:rPr>
          <w:rStyle w:val="sb8d990e2"/>
          <w:lang w:val="en-GB"/>
        </w:rPr>
        <w:t>no.</w:t>
      </w:r>
      <w:r w:rsidRPr="00E06A86">
        <w:rPr>
          <w:rStyle w:val="sb8d990e2"/>
          <w:lang w:val="en-GB"/>
        </w:rPr>
        <w:t xml:space="preserve"> 24952/94, § 44, </w:t>
      </w:r>
      <w:r w:rsidR="002138BA" w:rsidRPr="00E06A86">
        <w:rPr>
          <w:rStyle w:val="sb8d990e2"/>
          <w:lang w:val="en-GB"/>
        </w:rPr>
        <w:t>ECHR</w:t>
      </w:r>
      <w:r w:rsidRPr="00E06A86">
        <w:rPr>
          <w:rStyle w:val="sb8d990e2"/>
          <w:lang w:val="en-GB"/>
        </w:rPr>
        <w:t xml:space="preserve"> 2002-X). </w:t>
      </w:r>
      <w:r w:rsidR="0052132D" w:rsidRPr="00E06A86">
        <w:rPr>
          <w:rStyle w:val="sb8d990e2"/>
          <w:lang w:val="en-GB"/>
        </w:rPr>
        <w:t xml:space="preserve">In the present case the Government did not raise any objection as to failure to exhaust domestic remedies in their observations of 9 October 2013 </w:t>
      </w:r>
      <w:r w:rsidR="009E0C1C" w:rsidRPr="00E06A86">
        <w:rPr>
          <w:rStyle w:val="sb8d990e2"/>
          <w:lang w:val="en-GB"/>
        </w:rPr>
        <w:t xml:space="preserve">on </w:t>
      </w:r>
      <w:r w:rsidR="0052132D" w:rsidRPr="00E06A86">
        <w:rPr>
          <w:rStyle w:val="sb8d990e2"/>
          <w:lang w:val="en-GB"/>
        </w:rPr>
        <w:t>admissibility and the merits (in which, on the contrary, they stated that the judgment of the Court of Cassation “constitute</w:t>
      </w:r>
      <w:r w:rsidR="00865B7C" w:rsidRPr="00E06A86">
        <w:rPr>
          <w:rStyle w:val="sb8d990e2"/>
          <w:lang w:val="en-GB"/>
        </w:rPr>
        <w:t>[d]</w:t>
      </w:r>
      <w:r w:rsidR="0052132D" w:rsidRPr="00E06A86">
        <w:rPr>
          <w:rStyle w:val="sb8d990e2"/>
          <w:lang w:val="en-GB"/>
        </w:rPr>
        <w:t xml:space="preserve"> exhaustion of domestic remedies”). The </w:t>
      </w:r>
      <w:r w:rsidR="009E0C1C" w:rsidRPr="00E06A86">
        <w:rPr>
          <w:rStyle w:val="sb8d990e2"/>
          <w:lang w:val="en-GB"/>
        </w:rPr>
        <w:t>fact that</w:t>
      </w:r>
      <w:r w:rsidR="0052132D" w:rsidRPr="00E06A86">
        <w:rPr>
          <w:rStyle w:val="sb8d990e2"/>
          <w:lang w:val="en-GB"/>
        </w:rPr>
        <w:t xml:space="preserve"> the applicant </w:t>
      </w:r>
      <w:r w:rsidR="009E0C1C" w:rsidRPr="00E06A86">
        <w:rPr>
          <w:rStyle w:val="sb8d990e2"/>
          <w:lang w:val="en-GB"/>
        </w:rPr>
        <w:t>had not brought</w:t>
      </w:r>
      <w:r w:rsidR="0052132D" w:rsidRPr="00E06A86">
        <w:rPr>
          <w:rStyle w:val="sb8d990e2"/>
          <w:lang w:val="en-GB"/>
        </w:rPr>
        <w:t xml:space="preserve"> a civil action to establish non-contractual liability on the part of the State was </w:t>
      </w:r>
      <w:r w:rsidR="00D94617">
        <w:rPr>
          <w:rStyle w:val="sb8d990e2"/>
          <w:lang w:val="en-GB"/>
        </w:rPr>
        <w:t xml:space="preserve">first </w:t>
      </w:r>
      <w:r w:rsidR="0052132D" w:rsidRPr="00E06A86">
        <w:rPr>
          <w:rStyle w:val="sb8d990e2"/>
          <w:lang w:val="en-GB"/>
        </w:rPr>
        <w:t>mentioned in their additional observations on the merits and on just satisfaction. The Government did not provide any explanation for this delay and the Court cannot discern any exceptional circumstances that might exempt them from their obligation to rai</w:t>
      </w:r>
      <w:r w:rsidR="00D94617">
        <w:rPr>
          <w:rStyle w:val="sb8d990e2"/>
          <w:lang w:val="en-GB"/>
        </w:rPr>
        <w:t>se any plea</w:t>
      </w:r>
      <w:r w:rsidR="0052132D" w:rsidRPr="00E06A86">
        <w:rPr>
          <w:rStyle w:val="sb8d990e2"/>
          <w:lang w:val="en-GB"/>
        </w:rPr>
        <w:t xml:space="preserve"> of inadmissibility in good time.</w:t>
      </w:r>
    </w:p>
    <w:p w:rsidR="00765A7C" w:rsidRPr="00E06A86" w:rsidRDefault="00765A7C" w:rsidP="00765A7C">
      <w:pPr>
        <w:pStyle w:val="ECHRPara"/>
        <w:rPr>
          <w:lang w:val="en-GB"/>
        </w:rPr>
      </w:pPr>
      <w:r w:rsidRPr="00E06A86">
        <w:rPr>
          <w:lang w:val="en-GB"/>
        </w:rPr>
        <w:fldChar w:fldCharType="begin"/>
      </w:r>
      <w:r w:rsidRPr="00E06A86">
        <w:rPr>
          <w:lang w:val="en-GB"/>
        </w:rPr>
        <w:instrText xml:space="preserve"> SEQ level0 \*arabic </w:instrText>
      </w:r>
      <w:r w:rsidRPr="00E06A86">
        <w:rPr>
          <w:lang w:val="en-GB"/>
        </w:rPr>
        <w:fldChar w:fldCharType="separate"/>
      </w:r>
      <w:r w:rsidR="00473228">
        <w:rPr>
          <w:noProof/>
          <w:lang w:val="en-GB"/>
        </w:rPr>
        <w:t>25</w:t>
      </w:r>
      <w:r w:rsidRPr="00E06A86">
        <w:rPr>
          <w:noProof/>
          <w:lang w:val="en-GB"/>
        </w:rPr>
        <w:fldChar w:fldCharType="end"/>
      </w:r>
      <w:r w:rsidRPr="00E06A86">
        <w:rPr>
          <w:lang w:val="en-GB"/>
        </w:rPr>
        <w:t>.  </w:t>
      </w:r>
      <w:r w:rsidR="0052132D" w:rsidRPr="00E06A86">
        <w:rPr>
          <w:lang w:val="en-GB"/>
        </w:rPr>
        <w:t>It follows that the Government are estopped from raising the objection of non-exhaustion of domestic remedies</w:t>
      </w:r>
      <w:r w:rsidRPr="00E06A86">
        <w:rPr>
          <w:lang w:val="en-GB"/>
        </w:rPr>
        <w:t>.</w:t>
      </w:r>
    </w:p>
    <w:p w:rsidR="00765A7C" w:rsidRPr="00E06A86" w:rsidRDefault="00765A7C" w:rsidP="00765A7C">
      <w:pPr>
        <w:pStyle w:val="ECHRHeading3"/>
        <w:rPr>
          <w:lang w:val="en-GB"/>
        </w:rPr>
      </w:pPr>
      <w:r w:rsidRPr="00E06A86">
        <w:rPr>
          <w:lang w:val="en-GB"/>
        </w:rPr>
        <w:t>3.  </w:t>
      </w:r>
      <w:r w:rsidR="00571B81" w:rsidRPr="00E06A86">
        <w:rPr>
          <w:lang w:val="en-GB"/>
        </w:rPr>
        <w:t>Other grounds of inadmissibility</w:t>
      </w:r>
    </w:p>
    <w:p w:rsidR="00765A7C" w:rsidRPr="00E06A86" w:rsidRDefault="00765A7C" w:rsidP="00765A7C">
      <w:pPr>
        <w:pStyle w:val="ECHRPara"/>
        <w:rPr>
          <w:lang w:val="en-GB"/>
        </w:rPr>
      </w:pPr>
      <w:r w:rsidRPr="00E06A86">
        <w:rPr>
          <w:lang w:val="en-GB"/>
        </w:rPr>
        <w:fldChar w:fldCharType="begin"/>
      </w:r>
      <w:r w:rsidRPr="00E06A86">
        <w:rPr>
          <w:lang w:val="en-GB"/>
        </w:rPr>
        <w:instrText xml:space="preserve"> SEQ level0 \*arabic </w:instrText>
      </w:r>
      <w:r w:rsidRPr="00E06A86">
        <w:rPr>
          <w:lang w:val="en-GB"/>
        </w:rPr>
        <w:fldChar w:fldCharType="separate"/>
      </w:r>
      <w:r w:rsidR="00473228">
        <w:rPr>
          <w:noProof/>
          <w:lang w:val="en-GB"/>
        </w:rPr>
        <w:t>26</w:t>
      </w:r>
      <w:r w:rsidRPr="00E06A86">
        <w:rPr>
          <w:noProof/>
          <w:lang w:val="en-GB"/>
        </w:rPr>
        <w:fldChar w:fldCharType="end"/>
      </w:r>
      <w:r w:rsidRPr="00E06A86">
        <w:rPr>
          <w:lang w:val="en-GB"/>
        </w:rPr>
        <w:t>.  </w:t>
      </w:r>
      <w:r w:rsidR="00571B81" w:rsidRPr="00E06A86">
        <w:rPr>
          <w:lang w:val="en-GB"/>
        </w:rPr>
        <w:t>The Court notes that this complaint is not manifestly ill-founded within the meaning of Article 35 § 3 (a) of the Convention. It further notes that it is not inadmissible on any other ground. It must therefore be declared admissible.</w:t>
      </w:r>
    </w:p>
    <w:p w:rsidR="00765A7C" w:rsidRPr="00E06A86" w:rsidRDefault="00765A7C" w:rsidP="00765A7C">
      <w:pPr>
        <w:pStyle w:val="ECHRHeading2"/>
        <w:outlineLvl w:val="0"/>
        <w:rPr>
          <w:lang w:val="en-GB"/>
        </w:rPr>
      </w:pPr>
      <w:r w:rsidRPr="00E06A86">
        <w:rPr>
          <w:lang w:val="en-GB"/>
        </w:rPr>
        <w:lastRenderedPageBreak/>
        <w:t>B.  </w:t>
      </w:r>
      <w:r w:rsidR="00571B81" w:rsidRPr="00E06A86">
        <w:rPr>
          <w:lang w:val="en-GB"/>
        </w:rPr>
        <w:t>Merits</w:t>
      </w:r>
    </w:p>
    <w:p w:rsidR="00765A7C" w:rsidRPr="00E06A86" w:rsidRDefault="00765A7C" w:rsidP="00765A7C">
      <w:pPr>
        <w:pStyle w:val="ECHRHeading3"/>
        <w:rPr>
          <w:lang w:val="en-GB"/>
        </w:rPr>
      </w:pPr>
      <w:r w:rsidRPr="00E06A86">
        <w:rPr>
          <w:lang w:val="en-GB"/>
        </w:rPr>
        <w:t>1.  </w:t>
      </w:r>
      <w:r w:rsidR="00571B81" w:rsidRPr="00E06A86">
        <w:rPr>
          <w:lang w:val="en-GB"/>
        </w:rPr>
        <w:t>The parties</w:t>
      </w:r>
      <w:r w:rsidR="006B125B">
        <w:rPr>
          <w:lang w:val="en-GB"/>
        </w:rPr>
        <w:t>’</w:t>
      </w:r>
      <w:r w:rsidR="00571B81" w:rsidRPr="00E06A86">
        <w:rPr>
          <w:lang w:val="en-GB"/>
        </w:rPr>
        <w:t xml:space="preserve"> submissions</w:t>
      </w:r>
    </w:p>
    <w:p w:rsidR="00765A7C" w:rsidRPr="00E06A86" w:rsidRDefault="00571B81" w:rsidP="00765A7C">
      <w:pPr>
        <w:pStyle w:val="ECHRHeading4"/>
        <w:rPr>
          <w:lang w:val="en-GB"/>
        </w:rPr>
      </w:pPr>
      <w:r w:rsidRPr="00E06A86">
        <w:rPr>
          <w:lang w:val="en-GB"/>
        </w:rPr>
        <w:t>(</w:t>
      </w:r>
      <w:r w:rsidR="00765A7C" w:rsidRPr="00E06A86">
        <w:rPr>
          <w:lang w:val="en-GB"/>
        </w:rPr>
        <w:t>a)  </w:t>
      </w:r>
      <w:r w:rsidRPr="00E06A86">
        <w:rPr>
          <w:lang w:val="en-GB"/>
        </w:rPr>
        <w:t>The applicant</w:t>
      </w:r>
    </w:p>
    <w:p w:rsidR="00E273E5" w:rsidRPr="00E06A86" w:rsidRDefault="00765A7C" w:rsidP="00765A7C">
      <w:pPr>
        <w:pStyle w:val="ECHRPara"/>
        <w:rPr>
          <w:lang w:val="en-GB"/>
        </w:rPr>
      </w:pPr>
      <w:r w:rsidRPr="00E06A86">
        <w:rPr>
          <w:lang w:val="en-GB"/>
        </w:rPr>
        <w:fldChar w:fldCharType="begin"/>
      </w:r>
      <w:r w:rsidRPr="00E06A86">
        <w:rPr>
          <w:lang w:val="en-GB"/>
        </w:rPr>
        <w:instrText xml:space="preserve"> SEQ level0 \*arabic </w:instrText>
      </w:r>
      <w:r w:rsidRPr="00E06A86">
        <w:rPr>
          <w:lang w:val="en-GB"/>
        </w:rPr>
        <w:fldChar w:fldCharType="separate"/>
      </w:r>
      <w:r w:rsidR="00473228">
        <w:rPr>
          <w:noProof/>
          <w:lang w:val="en-GB"/>
        </w:rPr>
        <w:t>27</w:t>
      </w:r>
      <w:r w:rsidRPr="00E06A86">
        <w:rPr>
          <w:noProof/>
          <w:lang w:val="en-GB"/>
        </w:rPr>
        <w:fldChar w:fldCharType="end"/>
      </w:r>
      <w:r w:rsidRPr="00E06A86">
        <w:rPr>
          <w:lang w:val="en-GB"/>
        </w:rPr>
        <w:t>.  </w:t>
      </w:r>
      <w:r w:rsidR="00AC2A52" w:rsidRPr="00E06A86">
        <w:rPr>
          <w:lang w:val="en-GB"/>
        </w:rPr>
        <w:t xml:space="preserve">The applicant stressed that, in so far as it had been called upon to rule as the court of last instance, the Court of Cassation had been </w:t>
      </w:r>
      <w:r w:rsidR="00D94617">
        <w:rPr>
          <w:lang w:val="en-GB"/>
        </w:rPr>
        <w:t>required</w:t>
      </w:r>
      <w:r w:rsidR="00AC2A52" w:rsidRPr="00E06A86">
        <w:rPr>
          <w:lang w:val="en-GB"/>
        </w:rPr>
        <w:t xml:space="preserve"> to request a preliminary ruling</w:t>
      </w:r>
      <w:r w:rsidR="000C53A1" w:rsidRPr="00E06A86">
        <w:rPr>
          <w:lang w:val="en-GB"/>
        </w:rPr>
        <w:t xml:space="preserve"> where there was doubt as to the interpretation of Community law. The applicant submitted that he had cited the case-law in which the CJEU had recognised the </w:t>
      </w:r>
      <w:r w:rsidR="000024E5" w:rsidRPr="00E06A86">
        <w:rPr>
          <w:lang w:val="en-GB"/>
        </w:rPr>
        <w:t xml:space="preserve">direct applicability of the </w:t>
      </w:r>
      <w:r w:rsidR="000C53A1" w:rsidRPr="00E06A86">
        <w:rPr>
          <w:lang w:val="en-GB"/>
        </w:rPr>
        <w:t xml:space="preserve">principle of non-discrimination in </w:t>
      </w:r>
      <w:r w:rsidR="00D94617">
        <w:rPr>
          <w:lang w:val="en-GB"/>
        </w:rPr>
        <w:t>the field</w:t>
      </w:r>
      <w:r w:rsidR="000C53A1" w:rsidRPr="00E06A86">
        <w:rPr>
          <w:lang w:val="en-GB"/>
        </w:rPr>
        <w:t xml:space="preserve"> of social security</w:t>
      </w:r>
      <w:r w:rsidR="00112618">
        <w:rPr>
          <w:lang w:val="en-GB"/>
        </w:rPr>
        <w:t>,</w:t>
      </w:r>
      <w:r w:rsidR="000C53A1" w:rsidRPr="00E06A86">
        <w:rPr>
          <w:lang w:val="en-GB"/>
        </w:rPr>
        <w:t xml:space="preserve"> contained in the agreement between</w:t>
      </w:r>
      <w:r w:rsidR="000024E5" w:rsidRPr="00E06A86">
        <w:rPr>
          <w:lang w:val="en-GB"/>
        </w:rPr>
        <w:t xml:space="preserve"> the</w:t>
      </w:r>
      <w:r w:rsidR="000C53A1" w:rsidRPr="00E06A86">
        <w:rPr>
          <w:lang w:val="en-GB"/>
        </w:rPr>
        <w:t xml:space="preserve"> European Union and the Kingdom of Morocco </w:t>
      </w:r>
      <w:r w:rsidR="00E273E5" w:rsidRPr="00E06A86">
        <w:rPr>
          <w:lang w:val="en-GB"/>
        </w:rPr>
        <w:t xml:space="preserve">(and in other agreements between the European Union and the Maghreb countries </w:t>
      </w:r>
      <w:r w:rsidRPr="00E06A86">
        <w:rPr>
          <w:lang w:val="en-GB"/>
        </w:rPr>
        <w:t>–</w:t>
      </w:r>
      <w:r w:rsidR="00BF2D79" w:rsidRPr="00E06A86">
        <w:rPr>
          <w:lang w:val="en-GB"/>
        </w:rPr>
        <w:t xml:space="preserve"> </w:t>
      </w:r>
      <w:r w:rsidRPr="00E06A86">
        <w:rPr>
          <w:i/>
          <w:lang w:val="en-GB"/>
        </w:rPr>
        <w:t>Kziber</w:t>
      </w:r>
      <w:r w:rsidRPr="00E06A86">
        <w:rPr>
          <w:lang w:val="en-GB"/>
        </w:rPr>
        <w:t xml:space="preserve">, </w:t>
      </w:r>
      <w:r w:rsidR="00E273E5" w:rsidRPr="00E06A86">
        <w:rPr>
          <w:lang w:val="en-GB"/>
        </w:rPr>
        <w:t>Case</w:t>
      </w:r>
      <w:r w:rsidRPr="00E06A86">
        <w:rPr>
          <w:lang w:val="en-GB"/>
        </w:rPr>
        <w:t xml:space="preserve"> C-18/90, </w:t>
      </w:r>
      <w:r w:rsidR="00E273E5" w:rsidRPr="00E06A86">
        <w:rPr>
          <w:lang w:val="en-GB"/>
        </w:rPr>
        <w:t>judgment of</w:t>
      </w:r>
      <w:r w:rsidRPr="00E06A86">
        <w:rPr>
          <w:lang w:val="en-GB"/>
        </w:rPr>
        <w:t xml:space="preserve"> 31 </w:t>
      </w:r>
      <w:r w:rsidR="00E273E5" w:rsidRPr="00E06A86">
        <w:rPr>
          <w:lang w:val="en-GB"/>
        </w:rPr>
        <w:t>January</w:t>
      </w:r>
      <w:r w:rsidRPr="00E06A86">
        <w:rPr>
          <w:lang w:val="en-GB"/>
        </w:rPr>
        <w:t xml:space="preserve"> 1991). </w:t>
      </w:r>
      <w:r w:rsidR="004F570B" w:rsidRPr="00E06A86">
        <w:rPr>
          <w:lang w:val="en-GB"/>
        </w:rPr>
        <w:t>In the applicant</w:t>
      </w:r>
      <w:r w:rsidR="006B125B">
        <w:rPr>
          <w:lang w:val="en-GB"/>
        </w:rPr>
        <w:t>’</w:t>
      </w:r>
      <w:r w:rsidR="004F570B" w:rsidRPr="00E06A86">
        <w:rPr>
          <w:lang w:val="en-GB"/>
        </w:rPr>
        <w:t>s view, t</w:t>
      </w:r>
      <w:r w:rsidR="00BF2D79" w:rsidRPr="00E06A86">
        <w:rPr>
          <w:lang w:val="en-GB"/>
        </w:rPr>
        <w:t>hat line of case-law, initially developed in the context of the cooperation agreements</w:t>
      </w:r>
      <w:r w:rsidR="004F570B" w:rsidRPr="00E06A86">
        <w:rPr>
          <w:lang w:val="en-GB"/>
        </w:rPr>
        <w:t>,</w:t>
      </w:r>
      <w:r w:rsidR="00BF2D79" w:rsidRPr="00E06A86">
        <w:rPr>
          <w:lang w:val="en-GB"/>
        </w:rPr>
        <w:t xml:space="preserve"> was </w:t>
      </w:r>
      <w:r w:rsidR="000024E5" w:rsidRPr="00E06A86">
        <w:rPr>
          <w:lang w:val="en-GB"/>
        </w:rPr>
        <w:t>“</w:t>
      </w:r>
      <w:r w:rsidR="00BF2D79" w:rsidRPr="00E06A86">
        <w:rPr>
          <w:lang w:val="en-GB"/>
        </w:rPr>
        <w:t>fully transposable</w:t>
      </w:r>
      <w:r w:rsidR="000024E5" w:rsidRPr="00E06A86">
        <w:rPr>
          <w:lang w:val="en-GB"/>
        </w:rPr>
        <w:t>”</w:t>
      </w:r>
      <w:r w:rsidR="00BF2D79" w:rsidRPr="00E06A86">
        <w:rPr>
          <w:lang w:val="en-GB"/>
        </w:rPr>
        <w:t xml:space="preserve"> to the relevant provisions of the association agreements. The CJEU had also added that its interpretation was compatible with the requirements of Article 14 of the Convention and Article 1 of Protocol No. 1. Furthermore, the interpretation of the concept of </w:t>
      </w:r>
      <w:r w:rsidR="000024E5" w:rsidRPr="00E06A86">
        <w:rPr>
          <w:lang w:val="en-GB"/>
        </w:rPr>
        <w:t>“</w:t>
      </w:r>
      <w:r w:rsidR="00AE2869" w:rsidRPr="00E06A86">
        <w:rPr>
          <w:lang w:val="en-GB"/>
        </w:rPr>
        <w:t>social security</w:t>
      </w:r>
      <w:r w:rsidR="000024E5" w:rsidRPr="00E06A86">
        <w:rPr>
          <w:lang w:val="en-GB"/>
        </w:rPr>
        <w:t>”</w:t>
      </w:r>
      <w:r w:rsidR="00BF2D79" w:rsidRPr="00E06A86">
        <w:rPr>
          <w:lang w:val="en-GB"/>
        </w:rPr>
        <w:t xml:space="preserve"> by the CJEU</w:t>
      </w:r>
      <w:r w:rsidR="00AE2869" w:rsidRPr="00E06A86">
        <w:rPr>
          <w:lang w:val="en-GB"/>
        </w:rPr>
        <w:t xml:space="preserve"> was sufficiently broad to encompass </w:t>
      </w:r>
      <w:r w:rsidR="009271F5">
        <w:rPr>
          <w:lang w:val="en-GB"/>
        </w:rPr>
        <w:t>social-assistance</w:t>
      </w:r>
      <w:r w:rsidR="009E0C1C" w:rsidRPr="00E06A86">
        <w:rPr>
          <w:lang w:val="en-GB"/>
        </w:rPr>
        <w:t xml:space="preserve"> benefits</w:t>
      </w:r>
      <w:r w:rsidR="00AE2869" w:rsidRPr="00E06A86">
        <w:rPr>
          <w:lang w:val="en-GB"/>
        </w:rPr>
        <w:t xml:space="preserve">. In these circumstances, the applicant </w:t>
      </w:r>
      <w:r w:rsidR="009E0C1C" w:rsidRPr="00E06A86">
        <w:rPr>
          <w:lang w:val="en-GB"/>
        </w:rPr>
        <w:t>argued</w:t>
      </w:r>
      <w:r w:rsidR="00AE2869" w:rsidRPr="00E06A86">
        <w:rPr>
          <w:lang w:val="en-GB"/>
        </w:rPr>
        <w:t xml:space="preserve">, </w:t>
      </w:r>
      <w:r w:rsidR="00FE3EC3">
        <w:rPr>
          <w:lang w:val="en-GB"/>
        </w:rPr>
        <w:t xml:space="preserve">it had not been open to </w:t>
      </w:r>
      <w:r w:rsidR="00AE2869" w:rsidRPr="00E06A86">
        <w:rPr>
          <w:lang w:val="en-GB"/>
        </w:rPr>
        <w:t xml:space="preserve">the Court of Cassation to ignore the request </w:t>
      </w:r>
      <w:r w:rsidR="004F570B" w:rsidRPr="00E06A86">
        <w:rPr>
          <w:lang w:val="en-GB"/>
        </w:rPr>
        <w:t xml:space="preserve">to refer the question </w:t>
      </w:r>
      <w:r w:rsidR="00AE2869" w:rsidRPr="00E06A86">
        <w:rPr>
          <w:lang w:val="en-GB"/>
        </w:rPr>
        <w:t xml:space="preserve">for a preliminary </w:t>
      </w:r>
      <w:r w:rsidR="004F570B" w:rsidRPr="00E06A86">
        <w:rPr>
          <w:lang w:val="en-GB"/>
        </w:rPr>
        <w:t>ruling</w:t>
      </w:r>
      <w:r w:rsidR="00AE2869" w:rsidRPr="00E06A86">
        <w:rPr>
          <w:lang w:val="en-GB"/>
        </w:rPr>
        <w:t>.</w:t>
      </w:r>
    </w:p>
    <w:p w:rsidR="00912C2D" w:rsidRPr="00E06A86" w:rsidRDefault="00765A7C" w:rsidP="00A5320D">
      <w:pPr>
        <w:pStyle w:val="ECHRPara"/>
        <w:rPr>
          <w:rStyle w:val="JuParaCar"/>
          <w:lang w:val="en-GB"/>
        </w:rPr>
      </w:pPr>
      <w:r w:rsidRPr="00E06A86">
        <w:rPr>
          <w:rStyle w:val="JuParaCar"/>
          <w:lang w:val="en-GB"/>
        </w:rPr>
        <w:fldChar w:fldCharType="begin"/>
      </w:r>
      <w:r w:rsidRPr="00E06A86">
        <w:rPr>
          <w:rStyle w:val="JuParaCar"/>
          <w:lang w:val="en-GB"/>
        </w:rPr>
        <w:instrText xml:space="preserve"> SEQ level0 \*arabic </w:instrText>
      </w:r>
      <w:r w:rsidRPr="00E06A86">
        <w:rPr>
          <w:rStyle w:val="JuParaCar"/>
          <w:lang w:val="en-GB"/>
        </w:rPr>
        <w:fldChar w:fldCharType="separate"/>
      </w:r>
      <w:r w:rsidR="00473228">
        <w:rPr>
          <w:rStyle w:val="JuParaCar"/>
          <w:noProof/>
          <w:lang w:val="en-GB"/>
        </w:rPr>
        <w:t>28</w:t>
      </w:r>
      <w:r w:rsidRPr="00E06A86">
        <w:rPr>
          <w:rStyle w:val="JuParaCar"/>
          <w:lang w:val="en-GB"/>
        </w:rPr>
        <w:fldChar w:fldCharType="end"/>
      </w:r>
      <w:r w:rsidRPr="00E06A86">
        <w:rPr>
          <w:rStyle w:val="JuParaCar"/>
          <w:lang w:val="en-GB"/>
        </w:rPr>
        <w:t>.  </w:t>
      </w:r>
      <w:r w:rsidR="00AE2869" w:rsidRPr="00E06A86">
        <w:rPr>
          <w:rStyle w:val="JuParaCar"/>
          <w:lang w:val="en-GB"/>
        </w:rPr>
        <w:t>The applicant added that the Court of Cassation had given</w:t>
      </w:r>
      <w:r w:rsidR="009E0C1C" w:rsidRPr="00E06A86">
        <w:rPr>
          <w:rStyle w:val="JuParaCar"/>
          <w:lang w:val="en-GB"/>
        </w:rPr>
        <w:t xml:space="preserve"> no</w:t>
      </w:r>
      <w:r w:rsidR="00AE2869" w:rsidRPr="00E06A86">
        <w:rPr>
          <w:rStyle w:val="JuParaCar"/>
          <w:lang w:val="en-GB"/>
        </w:rPr>
        <w:t xml:space="preserve"> reasons for refusing to </w:t>
      </w:r>
      <w:r w:rsidR="009E0C1C" w:rsidRPr="00E06A86">
        <w:rPr>
          <w:rStyle w:val="JuParaCar"/>
          <w:lang w:val="en-GB"/>
        </w:rPr>
        <w:t>seek</w:t>
      </w:r>
      <w:r w:rsidR="004F570B" w:rsidRPr="00E06A86">
        <w:rPr>
          <w:rStyle w:val="JuParaCar"/>
          <w:lang w:val="en-GB"/>
        </w:rPr>
        <w:t xml:space="preserve"> a</w:t>
      </w:r>
      <w:r w:rsidR="00AE2869" w:rsidRPr="00E06A86">
        <w:rPr>
          <w:rStyle w:val="JuParaCar"/>
          <w:lang w:val="en-GB"/>
        </w:rPr>
        <w:t xml:space="preserve"> preliminary </w:t>
      </w:r>
      <w:r w:rsidR="004F570B" w:rsidRPr="00E06A86">
        <w:rPr>
          <w:rStyle w:val="JuParaCar"/>
          <w:lang w:val="en-GB"/>
        </w:rPr>
        <w:t>ruling</w:t>
      </w:r>
      <w:r w:rsidR="00AE2869" w:rsidRPr="00E06A86">
        <w:rPr>
          <w:rStyle w:val="JuParaCar"/>
          <w:lang w:val="en-GB"/>
        </w:rPr>
        <w:t xml:space="preserve"> and had misunderstood the </w:t>
      </w:r>
      <w:r w:rsidR="000024E5" w:rsidRPr="00E06A86">
        <w:rPr>
          <w:rStyle w:val="JuParaCar"/>
          <w:lang w:val="en-GB"/>
        </w:rPr>
        <w:t>“</w:t>
      </w:r>
      <w:r w:rsidR="00AE2869" w:rsidRPr="00E06A86">
        <w:rPr>
          <w:rStyle w:val="JuParaCar"/>
          <w:lang w:val="en-GB"/>
        </w:rPr>
        <w:t>personal</w:t>
      </w:r>
      <w:r w:rsidR="000024E5" w:rsidRPr="00E06A86">
        <w:rPr>
          <w:rStyle w:val="JuParaCar"/>
          <w:lang w:val="en-GB"/>
        </w:rPr>
        <w:t>”</w:t>
      </w:r>
      <w:r w:rsidR="00AE2869" w:rsidRPr="00E06A86">
        <w:rPr>
          <w:rStyle w:val="JuParaCar"/>
          <w:lang w:val="en-GB"/>
        </w:rPr>
        <w:t xml:space="preserve"> and </w:t>
      </w:r>
      <w:r w:rsidR="000024E5" w:rsidRPr="00E06A86">
        <w:rPr>
          <w:rStyle w:val="JuParaCar"/>
          <w:lang w:val="en-GB"/>
        </w:rPr>
        <w:t>“</w:t>
      </w:r>
      <w:r w:rsidR="00AE2869" w:rsidRPr="00E06A86">
        <w:rPr>
          <w:rStyle w:val="JuParaCar"/>
          <w:lang w:val="en-GB"/>
        </w:rPr>
        <w:t>material</w:t>
      </w:r>
      <w:r w:rsidR="000024E5" w:rsidRPr="00E06A86">
        <w:rPr>
          <w:rStyle w:val="JuParaCar"/>
          <w:lang w:val="en-GB"/>
        </w:rPr>
        <w:t>”</w:t>
      </w:r>
      <w:r w:rsidR="00AE2869" w:rsidRPr="00E06A86">
        <w:rPr>
          <w:rStyle w:val="JuParaCar"/>
          <w:lang w:val="en-GB"/>
        </w:rPr>
        <w:t xml:space="preserve"> </w:t>
      </w:r>
      <w:r w:rsidR="00A416C8" w:rsidRPr="00E06A86">
        <w:rPr>
          <w:rStyle w:val="JuParaCar"/>
          <w:lang w:val="en-GB"/>
        </w:rPr>
        <w:t>aspects</w:t>
      </w:r>
      <w:r w:rsidR="00AE2869" w:rsidRPr="00E06A86">
        <w:rPr>
          <w:rStyle w:val="JuParaCar"/>
          <w:lang w:val="en-GB"/>
        </w:rPr>
        <w:t xml:space="preserve"> of the non-discrimination </w:t>
      </w:r>
      <w:r w:rsidR="00FE3EC3">
        <w:rPr>
          <w:rStyle w:val="JuParaCar"/>
          <w:lang w:val="en-GB"/>
        </w:rPr>
        <w:t>principle</w:t>
      </w:r>
      <w:r w:rsidR="00AE2869" w:rsidRPr="00E06A86">
        <w:rPr>
          <w:rStyle w:val="JuParaCar"/>
          <w:lang w:val="en-GB"/>
        </w:rPr>
        <w:t xml:space="preserve">, which were two quite separate concepts. The allowance in question had been placed in the </w:t>
      </w:r>
      <w:r w:rsidR="000024E5" w:rsidRPr="00E06A86">
        <w:rPr>
          <w:rStyle w:val="JuParaCar"/>
          <w:lang w:val="en-GB"/>
        </w:rPr>
        <w:t>“</w:t>
      </w:r>
      <w:r w:rsidR="00AE2869" w:rsidRPr="00E06A86">
        <w:rPr>
          <w:rStyle w:val="JuParaCar"/>
          <w:lang w:val="en-GB"/>
        </w:rPr>
        <w:t xml:space="preserve">social </w:t>
      </w:r>
      <w:r w:rsidR="00912C2D" w:rsidRPr="00E06A86">
        <w:rPr>
          <w:rStyle w:val="JuParaCar"/>
          <w:lang w:val="en-GB"/>
        </w:rPr>
        <w:t>assistance</w:t>
      </w:r>
      <w:r w:rsidR="000024E5" w:rsidRPr="00E06A86">
        <w:rPr>
          <w:rStyle w:val="JuParaCar"/>
          <w:lang w:val="en-GB"/>
        </w:rPr>
        <w:t>”</w:t>
      </w:r>
      <w:r w:rsidR="00AE2869" w:rsidRPr="00E06A86">
        <w:rPr>
          <w:rStyle w:val="JuParaCar"/>
          <w:lang w:val="en-GB"/>
        </w:rPr>
        <w:t xml:space="preserve"> category </w:t>
      </w:r>
      <w:r w:rsidR="009E0C1C" w:rsidRPr="00E06A86">
        <w:rPr>
          <w:rStyle w:val="JuParaCar"/>
          <w:lang w:val="en-GB"/>
        </w:rPr>
        <w:t>solely on the basis of</w:t>
      </w:r>
      <w:r w:rsidR="00AE2869" w:rsidRPr="00E06A86">
        <w:rPr>
          <w:rStyle w:val="JuParaCar"/>
          <w:lang w:val="en-GB"/>
        </w:rPr>
        <w:t xml:space="preserve"> domestic law</w:t>
      </w:r>
      <w:r w:rsidR="009E0C1C" w:rsidRPr="00E06A86">
        <w:rPr>
          <w:rStyle w:val="JuParaCar"/>
          <w:lang w:val="en-GB"/>
        </w:rPr>
        <w:t xml:space="preserve">, without reference to </w:t>
      </w:r>
      <w:r w:rsidR="00AE2869" w:rsidRPr="00E06A86">
        <w:rPr>
          <w:rStyle w:val="JuParaCar"/>
          <w:lang w:val="en-GB"/>
        </w:rPr>
        <w:t>the criteria established by the CJEU (</w:t>
      </w:r>
      <w:r w:rsidR="00DA51FC" w:rsidRPr="00E06A86">
        <w:rPr>
          <w:rStyle w:val="JuParaCar"/>
          <w:lang w:val="en-GB"/>
        </w:rPr>
        <w:t xml:space="preserve">namely the statutory nature and </w:t>
      </w:r>
      <w:r w:rsidR="00A5320D" w:rsidRPr="00E06A86">
        <w:rPr>
          <w:rStyle w:val="JuParaCar"/>
          <w:lang w:val="en-GB"/>
        </w:rPr>
        <w:t>dual function</w:t>
      </w:r>
      <w:r w:rsidR="00DA51FC" w:rsidRPr="00E06A86">
        <w:rPr>
          <w:rStyle w:val="JuParaCar"/>
          <w:lang w:val="en-GB"/>
        </w:rPr>
        <w:t xml:space="preserve"> of the benefit and its </w:t>
      </w:r>
      <w:r w:rsidR="00A5320D" w:rsidRPr="00E06A86">
        <w:rPr>
          <w:rStyle w:val="JuParaCar"/>
          <w:lang w:val="en-GB"/>
        </w:rPr>
        <w:t>connection</w:t>
      </w:r>
      <w:r w:rsidR="00DA51FC" w:rsidRPr="00E06A86">
        <w:rPr>
          <w:rStyle w:val="JuParaCar"/>
          <w:lang w:val="en-GB"/>
        </w:rPr>
        <w:t xml:space="preserve"> to one of the risks referred to in Article 4(1) of Regulation No</w:t>
      </w:r>
      <w:r w:rsidR="00967D42">
        <w:rPr>
          <w:rStyle w:val="JuParaCar"/>
          <w:lang w:val="en-GB"/>
        </w:rPr>
        <w:t> </w:t>
      </w:r>
      <w:r w:rsidR="00DA51FC" w:rsidRPr="00E06A86">
        <w:rPr>
          <w:rStyle w:val="JuParaCar"/>
          <w:lang w:val="en-GB"/>
        </w:rPr>
        <w:t xml:space="preserve">1408/71). Hence, the </w:t>
      </w:r>
      <w:r w:rsidR="004F570B" w:rsidRPr="00E06A86">
        <w:rPr>
          <w:rStyle w:val="JuParaCar"/>
          <w:lang w:val="en-GB"/>
        </w:rPr>
        <w:t>“</w:t>
      </w:r>
      <w:r w:rsidR="00DA51FC" w:rsidRPr="00E06A86">
        <w:rPr>
          <w:rStyle w:val="JuParaCar"/>
          <w:lang w:val="en-GB"/>
        </w:rPr>
        <w:t>Community</w:t>
      </w:r>
      <w:r w:rsidR="004F570B" w:rsidRPr="00E06A86">
        <w:rPr>
          <w:rStyle w:val="JuParaCar"/>
          <w:lang w:val="en-GB"/>
        </w:rPr>
        <w:t>”</w:t>
      </w:r>
      <w:r w:rsidR="00DA51FC" w:rsidRPr="00E06A86">
        <w:rPr>
          <w:rStyle w:val="JuParaCar"/>
          <w:lang w:val="en-GB"/>
        </w:rPr>
        <w:t xml:space="preserve"> </w:t>
      </w:r>
      <w:r w:rsidR="00A416C8" w:rsidRPr="00E06A86">
        <w:rPr>
          <w:rStyle w:val="JuParaCar"/>
          <w:lang w:val="en-GB"/>
        </w:rPr>
        <w:t>dimension</w:t>
      </w:r>
      <w:r w:rsidR="00DA51FC" w:rsidRPr="00E06A86">
        <w:rPr>
          <w:rStyle w:val="JuParaCar"/>
          <w:lang w:val="en-GB"/>
        </w:rPr>
        <w:t xml:space="preserve"> of that </w:t>
      </w:r>
      <w:r w:rsidR="009E0C1C" w:rsidRPr="00E06A86">
        <w:rPr>
          <w:rStyle w:val="JuParaCar"/>
          <w:lang w:val="en-GB"/>
        </w:rPr>
        <w:t>categorisation</w:t>
      </w:r>
      <w:r w:rsidR="00DA51FC" w:rsidRPr="00E06A86">
        <w:rPr>
          <w:rStyle w:val="JuParaCar"/>
          <w:lang w:val="en-GB"/>
        </w:rPr>
        <w:t xml:space="preserve"> operation had been overlooked. In the applicant</w:t>
      </w:r>
      <w:r w:rsidR="006B125B">
        <w:rPr>
          <w:rStyle w:val="JuParaCar"/>
          <w:lang w:val="en-GB"/>
        </w:rPr>
        <w:t>’</w:t>
      </w:r>
      <w:r w:rsidR="00DA51FC" w:rsidRPr="00E06A86">
        <w:rPr>
          <w:rStyle w:val="JuParaCar"/>
          <w:lang w:val="en-GB"/>
        </w:rPr>
        <w:t>s submission, it was clear from the European legislation and the case</w:t>
      </w:r>
      <w:r w:rsidR="00A416C8" w:rsidRPr="00E06A86">
        <w:rPr>
          <w:rStyle w:val="JuParaCar"/>
          <w:lang w:val="en-GB"/>
        </w:rPr>
        <w:t>-</w:t>
      </w:r>
      <w:r w:rsidR="00DA51FC" w:rsidRPr="00E06A86">
        <w:rPr>
          <w:rStyle w:val="JuParaCar"/>
          <w:lang w:val="en-GB"/>
        </w:rPr>
        <w:t>law of the CJEU that</w:t>
      </w:r>
      <w:r w:rsidR="00A416C8" w:rsidRPr="00E06A86">
        <w:rPr>
          <w:rStyle w:val="JuParaCar"/>
          <w:lang w:val="en-GB"/>
        </w:rPr>
        <w:t xml:space="preserve"> State</w:t>
      </w:r>
      <w:r w:rsidR="00967D42">
        <w:rPr>
          <w:rStyle w:val="JuParaCar"/>
          <w:lang w:val="en-GB"/>
        </w:rPr>
        <w:noBreakHyphen/>
      </w:r>
      <w:r w:rsidR="00A416C8" w:rsidRPr="00E06A86">
        <w:rPr>
          <w:rStyle w:val="JuParaCar"/>
          <w:lang w:val="en-GB"/>
        </w:rPr>
        <w:t>funded</w:t>
      </w:r>
      <w:r w:rsidR="00DA51FC" w:rsidRPr="00E06A86">
        <w:rPr>
          <w:rStyle w:val="JuParaCar"/>
          <w:lang w:val="en-GB"/>
        </w:rPr>
        <w:t xml:space="preserve"> </w:t>
      </w:r>
      <w:r w:rsidR="004F570B" w:rsidRPr="00E06A86">
        <w:rPr>
          <w:rStyle w:val="JuParaCar"/>
          <w:lang w:val="en-GB"/>
        </w:rPr>
        <w:t>“</w:t>
      </w:r>
      <w:r w:rsidR="00DA51FC" w:rsidRPr="00E06A86">
        <w:rPr>
          <w:rStyle w:val="JuParaCar"/>
          <w:lang w:val="en-GB"/>
        </w:rPr>
        <w:t>non-contributory</w:t>
      </w:r>
      <w:r w:rsidR="004F570B" w:rsidRPr="00E06A86">
        <w:rPr>
          <w:rStyle w:val="JuParaCar"/>
          <w:lang w:val="en-GB"/>
        </w:rPr>
        <w:t>”</w:t>
      </w:r>
      <w:r w:rsidR="00DA51FC" w:rsidRPr="00E06A86">
        <w:rPr>
          <w:rStyle w:val="JuParaCar"/>
          <w:lang w:val="en-GB"/>
        </w:rPr>
        <w:t xml:space="preserve"> benefits could not be automatically excluded from the scope of the non</w:t>
      </w:r>
      <w:r w:rsidR="00A5320D" w:rsidRPr="00E06A86">
        <w:rPr>
          <w:rStyle w:val="JuParaCar"/>
          <w:lang w:val="en-GB"/>
        </w:rPr>
        <w:t>-</w:t>
      </w:r>
      <w:r w:rsidR="00DA51FC" w:rsidRPr="00E06A86">
        <w:rPr>
          <w:rStyle w:val="JuParaCar"/>
          <w:lang w:val="en-GB"/>
        </w:rPr>
        <w:t>discrimination principle</w:t>
      </w:r>
      <w:r w:rsidR="00A5320D" w:rsidRPr="00E06A86">
        <w:rPr>
          <w:rStyle w:val="JuParaCar"/>
          <w:lang w:val="en-GB"/>
        </w:rPr>
        <w:t xml:space="preserve"> established by the </w:t>
      </w:r>
      <w:r w:rsidR="00A416C8" w:rsidRPr="00E06A86">
        <w:rPr>
          <w:rStyle w:val="JuParaCar"/>
          <w:lang w:val="en-GB"/>
        </w:rPr>
        <w:t>A</w:t>
      </w:r>
      <w:r w:rsidR="00A5320D" w:rsidRPr="00E06A86">
        <w:rPr>
          <w:rStyle w:val="JuParaCar"/>
          <w:lang w:val="en-GB"/>
        </w:rPr>
        <w:t>greement (the applicant cited, by way of example, the cases of</w:t>
      </w:r>
      <w:r w:rsidRPr="00E06A86">
        <w:rPr>
          <w:rStyle w:val="JuParaCar"/>
          <w:lang w:val="en-GB"/>
        </w:rPr>
        <w:t xml:space="preserve"> </w:t>
      </w:r>
      <w:r w:rsidRPr="00E06A86">
        <w:rPr>
          <w:rStyle w:val="JuParaCar"/>
          <w:i/>
          <w:lang w:val="en-GB"/>
        </w:rPr>
        <w:t>Yousfi</w:t>
      </w:r>
      <w:r w:rsidRPr="00E06A86">
        <w:rPr>
          <w:rStyle w:val="JuParaCar"/>
          <w:lang w:val="en-GB"/>
        </w:rPr>
        <w:t xml:space="preserve">, </w:t>
      </w:r>
      <w:r w:rsidR="00A5320D" w:rsidRPr="00E06A86">
        <w:rPr>
          <w:rStyle w:val="JuParaCar"/>
          <w:lang w:val="en-GB"/>
        </w:rPr>
        <w:t xml:space="preserve">Case </w:t>
      </w:r>
      <w:r w:rsidRPr="00E06A86">
        <w:rPr>
          <w:rStyle w:val="JuParaCar"/>
          <w:lang w:val="en-GB"/>
        </w:rPr>
        <w:t xml:space="preserve">C-58/93, </w:t>
      </w:r>
      <w:r w:rsidR="00A5320D" w:rsidRPr="00E06A86">
        <w:rPr>
          <w:rStyle w:val="JuParaCar"/>
          <w:lang w:val="en-GB"/>
        </w:rPr>
        <w:t>judgment of</w:t>
      </w:r>
      <w:r w:rsidRPr="00E06A86">
        <w:rPr>
          <w:rStyle w:val="JuParaCar"/>
          <w:lang w:val="en-GB"/>
        </w:rPr>
        <w:t xml:space="preserve"> 20 </w:t>
      </w:r>
      <w:r w:rsidR="00A5320D" w:rsidRPr="00E06A86">
        <w:rPr>
          <w:rStyle w:val="JuParaCar"/>
          <w:lang w:val="en-GB"/>
        </w:rPr>
        <w:t>April</w:t>
      </w:r>
      <w:r w:rsidRPr="00E06A86">
        <w:rPr>
          <w:rStyle w:val="JuParaCar"/>
          <w:lang w:val="en-GB"/>
        </w:rPr>
        <w:t xml:space="preserve"> 1994, </w:t>
      </w:r>
      <w:r w:rsidR="00A5320D" w:rsidRPr="00E06A86">
        <w:rPr>
          <w:rStyle w:val="JuParaCar"/>
          <w:lang w:val="en-GB"/>
        </w:rPr>
        <w:t>concerning the granting of a disability allowance</w:t>
      </w:r>
      <w:r w:rsidRPr="00E06A86">
        <w:rPr>
          <w:rStyle w:val="JuParaCar"/>
          <w:lang w:val="en-GB"/>
        </w:rPr>
        <w:t xml:space="preserve">; </w:t>
      </w:r>
      <w:r w:rsidRPr="00E06A86">
        <w:rPr>
          <w:rStyle w:val="JuParaCar"/>
          <w:i/>
          <w:lang w:val="en-GB"/>
        </w:rPr>
        <w:t xml:space="preserve">Commission </w:t>
      </w:r>
      <w:r w:rsidR="00A5320D" w:rsidRPr="00E06A86">
        <w:rPr>
          <w:rStyle w:val="JuParaCar"/>
          <w:i/>
          <w:lang w:val="en-GB"/>
        </w:rPr>
        <w:t>v</w:t>
      </w:r>
      <w:r w:rsidRPr="00E06A86">
        <w:rPr>
          <w:rStyle w:val="JuParaCar"/>
          <w:i/>
          <w:lang w:val="en-GB"/>
        </w:rPr>
        <w:t>. Gr</w:t>
      </w:r>
      <w:r w:rsidR="00A5320D" w:rsidRPr="00E06A86">
        <w:rPr>
          <w:rStyle w:val="JuParaCar"/>
          <w:i/>
          <w:lang w:val="en-GB"/>
        </w:rPr>
        <w:t>ee</w:t>
      </w:r>
      <w:r w:rsidRPr="00E06A86">
        <w:rPr>
          <w:rStyle w:val="JuParaCar"/>
          <w:i/>
          <w:lang w:val="en-GB"/>
        </w:rPr>
        <w:t>ce</w:t>
      </w:r>
      <w:r w:rsidRPr="00E06A86">
        <w:rPr>
          <w:rStyle w:val="JuParaCar"/>
          <w:lang w:val="en-GB"/>
        </w:rPr>
        <w:t xml:space="preserve">, </w:t>
      </w:r>
      <w:r w:rsidR="00A5320D" w:rsidRPr="00E06A86">
        <w:rPr>
          <w:rStyle w:val="JuParaCar"/>
          <w:lang w:val="en-GB"/>
        </w:rPr>
        <w:t>Case</w:t>
      </w:r>
      <w:r w:rsidRPr="00E06A86">
        <w:rPr>
          <w:rStyle w:val="JuParaCar"/>
          <w:lang w:val="en-GB"/>
        </w:rPr>
        <w:t xml:space="preserve"> C-185/96, </w:t>
      </w:r>
      <w:r w:rsidR="00A5320D" w:rsidRPr="00E06A86">
        <w:rPr>
          <w:rStyle w:val="JuParaCar"/>
          <w:lang w:val="en-GB"/>
        </w:rPr>
        <w:t>judgment of</w:t>
      </w:r>
      <w:r w:rsidRPr="00E06A86">
        <w:rPr>
          <w:rStyle w:val="JuParaCar"/>
          <w:lang w:val="en-GB"/>
        </w:rPr>
        <w:t xml:space="preserve"> 29 </w:t>
      </w:r>
      <w:r w:rsidR="00A5320D" w:rsidRPr="00E06A86">
        <w:rPr>
          <w:rStyle w:val="JuParaCar"/>
          <w:lang w:val="en-GB"/>
        </w:rPr>
        <w:t>October</w:t>
      </w:r>
      <w:r w:rsidRPr="00E06A86">
        <w:rPr>
          <w:rStyle w:val="JuParaCar"/>
          <w:lang w:val="en-GB"/>
        </w:rPr>
        <w:t xml:space="preserve"> 1998, </w:t>
      </w:r>
      <w:r w:rsidR="00A5320D" w:rsidRPr="00E06A86">
        <w:rPr>
          <w:rStyle w:val="JuParaCar"/>
          <w:lang w:val="en-GB"/>
        </w:rPr>
        <w:t>concerning various categories of benefits for large families</w:t>
      </w:r>
      <w:r w:rsidRPr="00E06A86">
        <w:rPr>
          <w:rStyle w:val="JuParaCar"/>
          <w:lang w:val="en-GB"/>
        </w:rPr>
        <w:t xml:space="preserve">; </w:t>
      </w:r>
      <w:r w:rsidR="00A5320D" w:rsidRPr="00E06A86">
        <w:rPr>
          <w:rStyle w:val="JuParaCar"/>
          <w:lang w:val="en-GB"/>
        </w:rPr>
        <w:t xml:space="preserve">and </w:t>
      </w:r>
      <w:r w:rsidRPr="00E06A86">
        <w:rPr>
          <w:rStyle w:val="JuParaCar"/>
          <w:i/>
          <w:lang w:val="en-GB"/>
        </w:rPr>
        <w:t>Hughes</w:t>
      </w:r>
      <w:r w:rsidRPr="00E06A86">
        <w:rPr>
          <w:rStyle w:val="JuParaCar"/>
          <w:lang w:val="en-GB"/>
        </w:rPr>
        <w:t xml:space="preserve">, </w:t>
      </w:r>
      <w:r w:rsidR="00A5320D" w:rsidRPr="00E06A86">
        <w:rPr>
          <w:rStyle w:val="JuParaCar"/>
          <w:lang w:val="en-GB"/>
        </w:rPr>
        <w:t>Case</w:t>
      </w:r>
      <w:r w:rsidRPr="00E06A86">
        <w:rPr>
          <w:rStyle w:val="JuParaCar"/>
          <w:lang w:val="en-GB"/>
        </w:rPr>
        <w:t xml:space="preserve"> C-78/91, </w:t>
      </w:r>
      <w:r w:rsidR="00A5320D" w:rsidRPr="00E06A86">
        <w:rPr>
          <w:rStyle w:val="JuParaCar"/>
          <w:lang w:val="en-GB"/>
        </w:rPr>
        <w:t>judgment of</w:t>
      </w:r>
      <w:r w:rsidR="00863FDF">
        <w:rPr>
          <w:rStyle w:val="JuParaCar"/>
          <w:lang w:val="en-GB"/>
        </w:rPr>
        <w:t xml:space="preserve"> 16 July 1992</w:t>
      </w:r>
      <w:r w:rsidRPr="00E06A86">
        <w:rPr>
          <w:rStyle w:val="JuParaCar"/>
          <w:lang w:val="en-GB"/>
        </w:rPr>
        <w:t xml:space="preserve">, </w:t>
      </w:r>
      <w:r w:rsidR="0053439E">
        <w:rPr>
          <w:rStyle w:val="JuParaCar"/>
          <w:lang w:val="en-GB"/>
        </w:rPr>
        <w:t>on</w:t>
      </w:r>
      <w:r w:rsidR="00A5320D" w:rsidRPr="00E06A86">
        <w:rPr>
          <w:rStyle w:val="JuParaCar"/>
          <w:lang w:val="en-GB"/>
        </w:rPr>
        <w:t xml:space="preserve"> the subject of the “</w:t>
      </w:r>
      <w:r w:rsidRPr="00E06A86">
        <w:rPr>
          <w:rStyle w:val="JuParaCar"/>
          <w:lang w:val="en-GB"/>
        </w:rPr>
        <w:t>family credit</w:t>
      </w:r>
      <w:r w:rsidR="00A5320D" w:rsidRPr="00E06A86">
        <w:rPr>
          <w:rStyle w:val="JuParaCar"/>
          <w:lang w:val="en-GB"/>
        </w:rPr>
        <w:t>”</w:t>
      </w:r>
      <w:r w:rsidRPr="00E06A86">
        <w:rPr>
          <w:rStyle w:val="JuParaCar"/>
          <w:lang w:val="en-GB"/>
        </w:rPr>
        <w:t> </w:t>
      </w:r>
      <w:r w:rsidR="00A5320D" w:rsidRPr="00E06A86">
        <w:rPr>
          <w:rStyle w:val="JuParaCar"/>
          <w:lang w:val="en-GB"/>
        </w:rPr>
        <w:t>in the United Kingdom</w:t>
      </w:r>
      <w:r w:rsidRPr="00E06A86">
        <w:rPr>
          <w:rStyle w:val="JuParaCar"/>
          <w:lang w:val="en-GB"/>
        </w:rPr>
        <w:t xml:space="preserve">). </w:t>
      </w:r>
      <w:r w:rsidR="00A416C8" w:rsidRPr="00E06A86">
        <w:rPr>
          <w:rStyle w:val="JuParaCar"/>
          <w:lang w:val="en-GB"/>
        </w:rPr>
        <w:t>On the basis of h</w:t>
      </w:r>
      <w:r w:rsidR="00912C2D" w:rsidRPr="00E06A86">
        <w:rPr>
          <w:rStyle w:val="JuParaCar"/>
          <w:lang w:val="en-GB"/>
        </w:rPr>
        <w:t>is references to that case-law</w:t>
      </w:r>
      <w:r w:rsidR="00A416C8" w:rsidRPr="00E06A86">
        <w:rPr>
          <w:rStyle w:val="JuParaCar"/>
          <w:lang w:val="en-GB"/>
        </w:rPr>
        <w:t>,</w:t>
      </w:r>
      <w:r w:rsidR="00912C2D" w:rsidRPr="00E06A86">
        <w:rPr>
          <w:rStyle w:val="JuParaCar"/>
          <w:lang w:val="en-GB"/>
        </w:rPr>
        <w:t xml:space="preserve"> the Court of Cassation </w:t>
      </w:r>
      <w:r w:rsidR="00A416C8" w:rsidRPr="00E06A86">
        <w:rPr>
          <w:rStyle w:val="JuParaCar"/>
          <w:lang w:val="en-GB"/>
        </w:rPr>
        <w:t xml:space="preserve">should </w:t>
      </w:r>
      <w:r w:rsidR="00912C2D" w:rsidRPr="00E06A86">
        <w:rPr>
          <w:rStyle w:val="JuParaCar"/>
          <w:lang w:val="en-GB"/>
        </w:rPr>
        <w:t>either</w:t>
      </w:r>
      <w:r w:rsidR="00A416C8" w:rsidRPr="00E06A86">
        <w:rPr>
          <w:rStyle w:val="JuParaCar"/>
          <w:lang w:val="en-GB"/>
        </w:rPr>
        <w:t>, of its own accord,</w:t>
      </w:r>
      <w:r w:rsidR="00912C2D" w:rsidRPr="00E06A86">
        <w:rPr>
          <w:rStyle w:val="JuParaCar"/>
          <w:lang w:val="en-GB"/>
        </w:rPr>
        <w:t xml:space="preserve"> </w:t>
      </w:r>
      <w:r w:rsidR="00A416C8" w:rsidRPr="00E06A86">
        <w:rPr>
          <w:rStyle w:val="JuParaCar"/>
          <w:lang w:val="en-GB"/>
        </w:rPr>
        <w:t>have</w:t>
      </w:r>
      <w:r w:rsidR="00912C2D" w:rsidRPr="00E06A86">
        <w:rPr>
          <w:rStyle w:val="JuParaCar"/>
          <w:lang w:val="en-GB"/>
        </w:rPr>
        <w:t xml:space="preserve"> include</w:t>
      </w:r>
      <w:r w:rsidR="00A416C8" w:rsidRPr="00E06A86">
        <w:rPr>
          <w:rStyle w:val="JuParaCar"/>
          <w:lang w:val="en-GB"/>
        </w:rPr>
        <w:t>d</w:t>
      </w:r>
      <w:r w:rsidR="004F570B" w:rsidRPr="00E06A86">
        <w:rPr>
          <w:rStyle w:val="JuParaCar"/>
          <w:lang w:val="en-GB"/>
        </w:rPr>
        <w:t xml:space="preserve"> the allowance he was claiming </w:t>
      </w:r>
      <w:r w:rsidR="00912C2D" w:rsidRPr="00E06A86">
        <w:rPr>
          <w:rStyle w:val="JuParaCar"/>
          <w:lang w:val="en-GB"/>
        </w:rPr>
        <w:t>within the</w:t>
      </w:r>
      <w:r w:rsidR="00A416C8" w:rsidRPr="00E06A86">
        <w:rPr>
          <w:rStyle w:val="JuParaCar"/>
          <w:lang w:val="en-GB"/>
        </w:rPr>
        <w:t xml:space="preserve"> scope of </w:t>
      </w:r>
      <w:r w:rsidR="00A416C8" w:rsidRPr="00E06A86">
        <w:rPr>
          <w:rStyle w:val="JuParaCar"/>
          <w:lang w:val="en-GB"/>
        </w:rPr>
        <w:lastRenderedPageBreak/>
        <w:t>Regulation no. 1408/71, by analogy</w:t>
      </w:r>
      <w:r w:rsidR="00350139" w:rsidRPr="00E06A86">
        <w:rPr>
          <w:rStyle w:val="JuParaCar"/>
          <w:lang w:val="en-GB"/>
        </w:rPr>
        <w:t>,</w:t>
      </w:r>
      <w:r w:rsidR="00912C2D" w:rsidRPr="00E06A86">
        <w:rPr>
          <w:rStyle w:val="JuParaCar"/>
          <w:lang w:val="en-GB"/>
        </w:rPr>
        <w:t xml:space="preserve"> or refer</w:t>
      </w:r>
      <w:r w:rsidR="00A416C8" w:rsidRPr="00E06A86">
        <w:rPr>
          <w:rStyle w:val="JuParaCar"/>
          <w:lang w:val="en-GB"/>
        </w:rPr>
        <w:t>red</w:t>
      </w:r>
      <w:r w:rsidR="00912C2D" w:rsidRPr="00E06A86">
        <w:rPr>
          <w:rStyle w:val="JuParaCar"/>
          <w:lang w:val="en-GB"/>
        </w:rPr>
        <w:t xml:space="preserve"> the question to the CJEU</w:t>
      </w:r>
      <w:r w:rsidR="00350139" w:rsidRPr="00E06A86">
        <w:rPr>
          <w:rStyle w:val="JuParaCar"/>
          <w:lang w:val="en-GB"/>
        </w:rPr>
        <w:t>,</w:t>
      </w:r>
      <w:r w:rsidR="00912C2D" w:rsidRPr="00E06A86">
        <w:rPr>
          <w:rStyle w:val="JuParaCar"/>
          <w:lang w:val="en-GB"/>
        </w:rPr>
        <w:t xml:space="preserve"> which had not yet ruled on the nature of this </w:t>
      </w:r>
      <w:r w:rsidR="00A416C8" w:rsidRPr="00E06A86">
        <w:rPr>
          <w:rStyle w:val="JuParaCar"/>
          <w:lang w:val="en-GB"/>
        </w:rPr>
        <w:t>particular</w:t>
      </w:r>
      <w:r w:rsidR="00912C2D" w:rsidRPr="00E06A86">
        <w:rPr>
          <w:rStyle w:val="JuParaCar"/>
          <w:lang w:val="en-GB"/>
        </w:rPr>
        <w:t xml:space="preserve"> allowance.</w:t>
      </w:r>
    </w:p>
    <w:p w:rsidR="00912C2D" w:rsidRPr="00E06A86" w:rsidRDefault="00765A7C" w:rsidP="00765A7C">
      <w:pPr>
        <w:pStyle w:val="ECHRPara"/>
        <w:rPr>
          <w:lang w:val="en-GB"/>
        </w:rPr>
      </w:pPr>
      <w:r w:rsidRPr="00E06A86">
        <w:rPr>
          <w:lang w:val="en-GB"/>
        </w:rPr>
        <w:fldChar w:fldCharType="begin"/>
      </w:r>
      <w:r w:rsidRPr="00E06A86">
        <w:rPr>
          <w:lang w:val="en-GB"/>
        </w:rPr>
        <w:instrText xml:space="preserve"> SEQ level0 \*arabic </w:instrText>
      </w:r>
      <w:r w:rsidRPr="00E06A86">
        <w:rPr>
          <w:lang w:val="en-GB"/>
        </w:rPr>
        <w:fldChar w:fldCharType="separate"/>
      </w:r>
      <w:r w:rsidR="00473228">
        <w:rPr>
          <w:noProof/>
          <w:lang w:val="en-GB"/>
        </w:rPr>
        <w:t>29</w:t>
      </w:r>
      <w:r w:rsidRPr="00E06A86">
        <w:rPr>
          <w:noProof/>
          <w:lang w:val="en-GB"/>
        </w:rPr>
        <w:fldChar w:fldCharType="end"/>
      </w:r>
      <w:r w:rsidRPr="00E06A86">
        <w:rPr>
          <w:lang w:val="en-GB"/>
        </w:rPr>
        <w:t>.  </w:t>
      </w:r>
      <w:r w:rsidR="00912C2D" w:rsidRPr="00E06A86">
        <w:rPr>
          <w:lang w:val="en-GB"/>
        </w:rPr>
        <w:t xml:space="preserve">The applicant also noted that section 13 of Law no. 97 of 6 August 2013 (which entered into force on 4 September 2013) had provided for the allowance introduced by section 65 of </w:t>
      </w:r>
      <w:r w:rsidR="00350139" w:rsidRPr="00E06A86">
        <w:rPr>
          <w:lang w:val="en-GB"/>
        </w:rPr>
        <w:t>L</w:t>
      </w:r>
      <w:r w:rsidR="00912C2D" w:rsidRPr="00E06A86">
        <w:rPr>
          <w:lang w:val="en-GB"/>
        </w:rPr>
        <w:t xml:space="preserve">aw </w:t>
      </w:r>
      <w:r w:rsidR="00350139" w:rsidRPr="00E06A86">
        <w:rPr>
          <w:lang w:val="en-GB"/>
        </w:rPr>
        <w:t>no. 448</w:t>
      </w:r>
      <w:r w:rsidR="00912C2D" w:rsidRPr="00E06A86">
        <w:rPr>
          <w:lang w:val="en-GB"/>
        </w:rPr>
        <w:t xml:space="preserve"> </w:t>
      </w:r>
      <w:r w:rsidR="00350139" w:rsidRPr="00E06A86">
        <w:rPr>
          <w:lang w:val="en-GB"/>
        </w:rPr>
        <w:t>of</w:t>
      </w:r>
      <w:r w:rsidR="00912C2D" w:rsidRPr="00E06A86">
        <w:rPr>
          <w:lang w:val="en-GB"/>
        </w:rPr>
        <w:t xml:space="preserve"> </w:t>
      </w:r>
      <w:r w:rsidR="00350139" w:rsidRPr="00E06A86">
        <w:rPr>
          <w:lang w:val="en-GB"/>
        </w:rPr>
        <w:t>19</w:t>
      </w:r>
      <w:r w:rsidR="00912C2D" w:rsidRPr="00E06A86">
        <w:rPr>
          <w:lang w:val="en-GB"/>
        </w:rPr>
        <w:t>98 to be extended to third</w:t>
      </w:r>
      <w:r w:rsidR="00350139" w:rsidRPr="00E06A86">
        <w:rPr>
          <w:lang w:val="en-GB"/>
        </w:rPr>
        <w:t>-</w:t>
      </w:r>
      <w:r w:rsidR="00912C2D" w:rsidRPr="00E06A86">
        <w:rPr>
          <w:lang w:val="en-GB"/>
        </w:rPr>
        <w:t xml:space="preserve">country nationals in possession of a long-term residence permit. In judgment </w:t>
      </w:r>
      <w:r w:rsidR="00350139" w:rsidRPr="00E06A86">
        <w:rPr>
          <w:lang w:val="en-GB"/>
        </w:rPr>
        <w:t>no.</w:t>
      </w:r>
      <w:r w:rsidR="00912C2D" w:rsidRPr="00E06A86">
        <w:rPr>
          <w:lang w:val="en-GB"/>
        </w:rPr>
        <w:t xml:space="preserve"> 133 of 2013 the Constitutional Court</w:t>
      </w:r>
      <w:r w:rsidR="00350139" w:rsidRPr="00E06A86">
        <w:rPr>
          <w:lang w:val="en-GB"/>
        </w:rPr>
        <w:t xml:space="preserve"> had found </w:t>
      </w:r>
      <w:r w:rsidR="004F570B" w:rsidRPr="00E06A86">
        <w:rPr>
          <w:lang w:val="en-GB"/>
        </w:rPr>
        <w:t xml:space="preserve">that </w:t>
      </w:r>
      <w:r w:rsidR="00350139" w:rsidRPr="00E06A86">
        <w:rPr>
          <w:lang w:val="en-GB"/>
        </w:rPr>
        <w:t xml:space="preserve">the requirement </w:t>
      </w:r>
      <w:r w:rsidR="00A416C8" w:rsidRPr="00E06A86">
        <w:rPr>
          <w:lang w:val="en-GB"/>
        </w:rPr>
        <w:t>to have been resident for</w:t>
      </w:r>
      <w:r w:rsidR="00350139" w:rsidRPr="00E06A86">
        <w:rPr>
          <w:lang w:val="en-GB"/>
        </w:rPr>
        <w:t xml:space="preserve"> five years in the region</w:t>
      </w:r>
      <w:r w:rsidR="004F570B" w:rsidRPr="00E06A86">
        <w:rPr>
          <w:lang w:val="en-GB"/>
        </w:rPr>
        <w:t xml:space="preserve"> concerned</w:t>
      </w:r>
      <w:r w:rsidR="00350139" w:rsidRPr="00E06A86">
        <w:rPr>
          <w:lang w:val="en-GB"/>
        </w:rPr>
        <w:t xml:space="preserve"> in order to qualify for a regional allowance of a similar nature </w:t>
      </w:r>
      <w:r w:rsidR="004F570B" w:rsidRPr="00E06A86">
        <w:rPr>
          <w:lang w:val="en-GB"/>
        </w:rPr>
        <w:t>was</w:t>
      </w:r>
      <w:r w:rsidR="00350139" w:rsidRPr="00E06A86">
        <w:rPr>
          <w:lang w:val="en-GB"/>
        </w:rPr>
        <w:t xml:space="preserve"> unreasonable and incompatible with the principle of equality before the law (the applicant also cited judgment no. 222 of 2013).</w:t>
      </w:r>
    </w:p>
    <w:p w:rsidR="00350139" w:rsidRPr="00E06A86" w:rsidRDefault="00350139" w:rsidP="00350139">
      <w:pPr>
        <w:pStyle w:val="ECHRHeading4"/>
        <w:rPr>
          <w:lang w:val="en-GB"/>
        </w:rPr>
      </w:pPr>
      <w:r w:rsidRPr="00E06A86">
        <w:rPr>
          <w:lang w:val="en-GB"/>
        </w:rPr>
        <w:t>(a)  The Government</w:t>
      </w:r>
    </w:p>
    <w:p w:rsidR="00350139" w:rsidRPr="00E06A86" w:rsidRDefault="00765A7C" w:rsidP="00765A7C">
      <w:pPr>
        <w:pStyle w:val="ECHRPara"/>
        <w:rPr>
          <w:lang w:val="en-GB"/>
        </w:rPr>
      </w:pPr>
      <w:r w:rsidRPr="00E06A86">
        <w:rPr>
          <w:lang w:val="en-GB"/>
        </w:rPr>
        <w:fldChar w:fldCharType="begin"/>
      </w:r>
      <w:r w:rsidRPr="00E06A86">
        <w:rPr>
          <w:lang w:val="en-GB"/>
        </w:rPr>
        <w:instrText xml:space="preserve"> SEQ level0 \*arabic </w:instrText>
      </w:r>
      <w:r w:rsidRPr="00E06A86">
        <w:rPr>
          <w:lang w:val="en-GB"/>
        </w:rPr>
        <w:fldChar w:fldCharType="separate"/>
      </w:r>
      <w:r w:rsidR="00473228">
        <w:rPr>
          <w:noProof/>
          <w:lang w:val="en-GB"/>
        </w:rPr>
        <w:t>30</w:t>
      </w:r>
      <w:r w:rsidRPr="00E06A86">
        <w:rPr>
          <w:noProof/>
          <w:lang w:val="en-GB"/>
        </w:rPr>
        <w:fldChar w:fldCharType="end"/>
      </w:r>
      <w:r w:rsidRPr="00E06A86">
        <w:rPr>
          <w:lang w:val="en-GB"/>
        </w:rPr>
        <w:t>.  </w:t>
      </w:r>
      <w:r w:rsidR="00350139" w:rsidRPr="00E06A86">
        <w:rPr>
          <w:lang w:val="en-GB"/>
        </w:rPr>
        <w:t xml:space="preserve">The Government submitted that the Court of Cassation had expressly examined the scope of the Euro-Mediterranean Agreement and </w:t>
      </w:r>
      <w:r w:rsidR="00A416C8" w:rsidRPr="00E06A86">
        <w:rPr>
          <w:lang w:val="en-GB"/>
        </w:rPr>
        <w:t xml:space="preserve">had </w:t>
      </w:r>
      <w:r w:rsidR="00350139" w:rsidRPr="00E06A86">
        <w:rPr>
          <w:lang w:val="en-GB"/>
        </w:rPr>
        <w:t xml:space="preserve">found that the allowance for families with at least three minor children could not come within the scope of the concept of social security, even in the broad sense in which it was </w:t>
      </w:r>
      <w:r w:rsidR="00A416C8" w:rsidRPr="00E06A86">
        <w:rPr>
          <w:lang w:val="en-GB"/>
        </w:rPr>
        <w:t>construed</w:t>
      </w:r>
      <w:r w:rsidR="00350139" w:rsidRPr="00E06A86">
        <w:rPr>
          <w:lang w:val="en-GB"/>
        </w:rPr>
        <w:t xml:space="preserve"> at Community level. The Court of Cassation had therefore considered the provision it had been asked to interpret to be clear; accordingly, </w:t>
      </w:r>
      <w:r w:rsidR="00A416C8" w:rsidRPr="00E06A86">
        <w:rPr>
          <w:lang w:val="en-GB"/>
        </w:rPr>
        <w:t>it</w:t>
      </w:r>
      <w:r w:rsidR="00350139" w:rsidRPr="00E06A86">
        <w:rPr>
          <w:lang w:val="en-GB"/>
        </w:rPr>
        <w:t xml:space="preserve"> had fulfilled its obligations under Article 6 § 1 of the Convention.</w:t>
      </w:r>
    </w:p>
    <w:p w:rsidR="00765A7C" w:rsidRPr="00E06A86" w:rsidRDefault="00765A7C" w:rsidP="00765A7C">
      <w:pPr>
        <w:pStyle w:val="ECHRHeading3"/>
        <w:rPr>
          <w:lang w:val="en-GB"/>
        </w:rPr>
      </w:pPr>
      <w:r w:rsidRPr="00E06A86">
        <w:rPr>
          <w:lang w:val="en-GB"/>
        </w:rPr>
        <w:t>2.  </w:t>
      </w:r>
      <w:r w:rsidR="00900EF2" w:rsidRPr="00E06A86">
        <w:rPr>
          <w:lang w:val="en-GB"/>
        </w:rPr>
        <w:t>The Court</w:t>
      </w:r>
      <w:r w:rsidR="006B125B">
        <w:rPr>
          <w:lang w:val="en-GB"/>
        </w:rPr>
        <w:t>’</w:t>
      </w:r>
      <w:r w:rsidR="00350139" w:rsidRPr="00E06A86">
        <w:rPr>
          <w:lang w:val="en-GB"/>
        </w:rPr>
        <w:t>s assessment</w:t>
      </w:r>
    </w:p>
    <w:p w:rsidR="00350139" w:rsidRPr="00E06A86" w:rsidRDefault="00765A7C" w:rsidP="00350139">
      <w:pPr>
        <w:pStyle w:val="ECHRPara"/>
        <w:rPr>
          <w:lang w:val="en-GB"/>
        </w:rPr>
      </w:pPr>
      <w:r w:rsidRPr="00E06A86">
        <w:rPr>
          <w:lang w:val="en-GB"/>
        </w:rPr>
        <w:fldChar w:fldCharType="begin"/>
      </w:r>
      <w:r w:rsidRPr="00E06A86">
        <w:rPr>
          <w:lang w:val="en-GB"/>
        </w:rPr>
        <w:instrText xml:space="preserve"> SEQ level0 \*arabic </w:instrText>
      </w:r>
      <w:r w:rsidRPr="00E06A86">
        <w:rPr>
          <w:lang w:val="en-GB"/>
        </w:rPr>
        <w:fldChar w:fldCharType="separate"/>
      </w:r>
      <w:r w:rsidR="00473228">
        <w:rPr>
          <w:noProof/>
          <w:lang w:val="en-GB"/>
        </w:rPr>
        <w:t>31</w:t>
      </w:r>
      <w:r w:rsidRPr="00E06A86">
        <w:rPr>
          <w:noProof/>
          <w:lang w:val="en-GB"/>
        </w:rPr>
        <w:fldChar w:fldCharType="end"/>
      </w:r>
      <w:r w:rsidRPr="00E06A86">
        <w:rPr>
          <w:lang w:val="en-GB"/>
        </w:rPr>
        <w:t>.  </w:t>
      </w:r>
      <w:r w:rsidR="00350139" w:rsidRPr="00E06A86">
        <w:rPr>
          <w:lang w:val="en-GB"/>
        </w:rPr>
        <w:t xml:space="preserve">The </w:t>
      </w:r>
      <w:r w:rsidR="003904D3" w:rsidRPr="00E06A86">
        <w:rPr>
          <w:lang w:val="en-GB"/>
        </w:rPr>
        <w:t>C</w:t>
      </w:r>
      <w:r w:rsidR="00350139" w:rsidRPr="00E06A86">
        <w:rPr>
          <w:lang w:val="en-GB"/>
        </w:rPr>
        <w:t xml:space="preserve">ourt </w:t>
      </w:r>
      <w:r w:rsidR="00A416C8" w:rsidRPr="00E06A86">
        <w:rPr>
          <w:lang w:val="en-GB"/>
        </w:rPr>
        <w:t>points out</w:t>
      </w:r>
      <w:r w:rsidR="00350139" w:rsidRPr="00E06A86">
        <w:rPr>
          <w:lang w:val="en-GB"/>
        </w:rPr>
        <w:t xml:space="preserve"> that in the case of</w:t>
      </w:r>
      <w:r w:rsidRPr="00E06A86">
        <w:rPr>
          <w:lang w:val="en-GB"/>
        </w:rPr>
        <w:t xml:space="preserve"> </w:t>
      </w:r>
      <w:r w:rsidRPr="00E06A86">
        <w:rPr>
          <w:i/>
          <w:lang w:val="en-GB"/>
        </w:rPr>
        <w:t xml:space="preserve">Vergauwen </w:t>
      </w:r>
      <w:r w:rsidR="0053439E">
        <w:rPr>
          <w:i/>
          <w:lang w:val="en-GB"/>
        </w:rPr>
        <w:t xml:space="preserve">and Others </w:t>
      </w:r>
      <w:r w:rsidR="00350139" w:rsidRPr="00E06A86">
        <w:rPr>
          <w:i/>
          <w:lang w:val="en-GB"/>
        </w:rPr>
        <w:t>v</w:t>
      </w:r>
      <w:r w:rsidRPr="00E06A86">
        <w:rPr>
          <w:i/>
          <w:lang w:val="en-GB"/>
        </w:rPr>
        <w:t>. </w:t>
      </w:r>
      <w:r w:rsidR="00350139" w:rsidRPr="00E06A86">
        <w:rPr>
          <w:i/>
          <w:lang w:val="en-GB"/>
        </w:rPr>
        <w:t>Belgium</w:t>
      </w:r>
      <w:r w:rsidRPr="00E06A86">
        <w:rPr>
          <w:i/>
          <w:lang w:val="en-GB"/>
        </w:rPr>
        <w:t xml:space="preserve"> </w:t>
      </w:r>
      <w:r w:rsidRPr="00E06A86">
        <w:rPr>
          <w:lang w:val="en-GB"/>
        </w:rPr>
        <w:t>((d</w:t>
      </w:r>
      <w:r w:rsidR="00350139" w:rsidRPr="00E06A86">
        <w:rPr>
          <w:lang w:val="en-GB"/>
        </w:rPr>
        <w:t>e</w:t>
      </w:r>
      <w:r w:rsidRPr="00E06A86">
        <w:rPr>
          <w:lang w:val="en-GB"/>
        </w:rPr>
        <w:t xml:space="preserve">c.), </w:t>
      </w:r>
      <w:r w:rsidR="00350139" w:rsidRPr="00E06A86">
        <w:rPr>
          <w:lang w:val="en-GB"/>
        </w:rPr>
        <w:t>no.</w:t>
      </w:r>
      <w:r w:rsidRPr="00E06A86">
        <w:rPr>
          <w:lang w:val="en-GB"/>
        </w:rPr>
        <w:t xml:space="preserve"> 4832/04, §§ 89-90, 10 </w:t>
      </w:r>
      <w:r w:rsidR="00350139" w:rsidRPr="00E06A86">
        <w:rPr>
          <w:lang w:val="en-GB"/>
        </w:rPr>
        <w:t>April</w:t>
      </w:r>
      <w:r w:rsidRPr="00E06A86">
        <w:rPr>
          <w:lang w:val="en-GB"/>
        </w:rPr>
        <w:t xml:space="preserve"> 2012) </w:t>
      </w:r>
      <w:r w:rsidR="00350139" w:rsidRPr="00E06A86">
        <w:rPr>
          <w:lang w:val="en-GB"/>
        </w:rPr>
        <w:t xml:space="preserve">it </w:t>
      </w:r>
      <w:r w:rsidR="00FE3EC3">
        <w:rPr>
          <w:lang w:val="en-GB"/>
        </w:rPr>
        <w:t>set forth</w:t>
      </w:r>
      <w:r w:rsidR="00350139" w:rsidRPr="00E06A86">
        <w:rPr>
          <w:lang w:val="en-GB"/>
        </w:rPr>
        <w:t xml:space="preserve"> the following principles:</w:t>
      </w:r>
    </w:p>
    <w:p w:rsidR="003904D3" w:rsidRPr="00E06A86" w:rsidRDefault="00765A7C" w:rsidP="00765A7C">
      <w:pPr>
        <w:pStyle w:val="ECHRPara"/>
        <w:rPr>
          <w:rStyle w:val="sb8d990e2"/>
          <w:lang w:val="en-GB"/>
        </w:rPr>
      </w:pPr>
      <w:r w:rsidRPr="00E06A86">
        <w:rPr>
          <w:rStyle w:val="sb8d990e2"/>
          <w:lang w:val="en-GB"/>
        </w:rPr>
        <w:t xml:space="preserve">– </w:t>
      </w:r>
      <w:r w:rsidR="003904D3" w:rsidRPr="00E06A86">
        <w:rPr>
          <w:rStyle w:val="sb8d990e2"/>
          <w:lang w:val="en-GB"/>
        </w:rPr>
        <w:t>A</w:t>
      </w:r>
      <w:r w:rsidRPr="00E06A86">
        <w:rPr>
          <w:rStyle w:val="sb8d990e2"/>
          <w:lang w:val="en-GB"/>
        </w:rPr>
        <w:t xml:space="preserve">rticle 6 § 1 </w:t>
      </w:r>
      <w:r w:rsidR="003904D3" w:rsidRPr="00E06A86">
        <w:rPr>
          <w:rStyle w:val="sb8d990e2"/>
          <w:lang w:val="en-GB"/>
        </w:rPr>
        <w:t>require</w:t>
      </w:r>
      <w:r w:rsidR="00900EF2" w:rsidRPr="00E06A86">
        <w:rPr>
          <w:rStyle w:val="sb8d990e2"/>
          <w:lang w:val="en-GB"/>
        </w:rPr>
        <w:t>s</w:t>
      </w:r>
      <w:r w:rsidR="003904D3" w:rsidRPr="00E06A86">
        <w:rPr>
          <w:rStyle w:val="sb8d990e2"/>
          <w:lang w:val="en-GB"/>
        </w:rPr>
        <w:t xml:space="preserve"> the domestic courts to give reasons</w:t>
      </w:r>
      <w:r w:rsidR="0053439E">
        <w:rPr>
          <w:rStyle w:val="sb8d990e2"/>
          <w:lang w:val="en-GB"/>
        </w:rPr>
        <w:t>,</w:t>
      </w:r>
      <w:r w:rsidR="0053439E" w:rsidRPr="0053439E">
        <w:rPr>
          <w:rStyle w:val="sb8d990e2"/>
          <w:lang w:val="en-GB"/>
        </w:rPr>
        <w:t xml:space="preserve"> </w:t>
      </w:r>
      <w:r w:rsidR="0053439E">
        <w:rPr>
          <w:rStyle w:val="sb8d990e2"/>
          <w:lang w:val="en-GB"/>
        </w:rPr>
        <w:t xml:space="preserve">in the light of </w:t>
      </w:r>
      <w:r w:rsidR="0053439E" w:rsidRPr="00E06A86">
        <w:rPr>
          <w:rStyle w:val="sb8d990e2"/>
          <w:lang w:val="en-GB"/>
        </w:rPr>
        <w:t>the applicable law</w:t>
      </w:r>
      <w:r w:rsidR="0053439E">
        <w:rPr>
          <w:rStyle w:val="sb8d990e2"/>
          <w:lang w:val="en-GB"/>
        </w:rPr>
        <w:t>,</w:t>
      </w:r>
      <w:r w:rsidR="003904D3" w:rsidRPr="00E06A86">
        <w:rPr>
          <w:rStyle w:val="sb8d990e2"/>
          <w:lang w:val="en-GB"/>
        </w:rPr>
        <w:t xml:space="preserve"> for </w:t>
      </w:r>
      <w:r w:rsidR="0053439E">
        <w:rPr>
          <w:rStyle w:val="sb8d990e2"/>
          <w:lang w:val="en-GB"/>
        </w:rPr>
        <w:t xml:space="preserve">any </w:t>
      </w:r>
      <w:r w:rsidR="003904D3" w:rsidRPr="00E06A86">
        <w:rPr>
          <w:rStyle w:val="sb8d990e2"/>
          <w:lang w:val="en-GB"/>
        </w:rPr>
        <w:t>decision refusing to refer a question for a preliminary ruling;</w:t>
      </w:r>
    </w:p>
    <w:p w:rsidR="003904D3" w:rsidRPr="00E06A86" w:rsidRDefault="00765A7C" w:rsidP="00765A7C">
      <w:pPr>
        <w:pStyle w:val="ECHRPara"/>
        <w:rPr>
          <w:rStyle w:val="sb8d990e2"/>
          <w:lang w:val="en-GB"/>
        </w:rPr>
      </w:pPr>
      <w:r w:rsidRPr="00E06A86">
        <w:rPr>
          <w:rStyle w:val="sb8d990e2"/>
          <w:lang w:val="en-GB"/>
        </w:rPr>
        <w:t xml:space="preserve">– </w:t>
      </w:r>
      <w:r w:rsidR="0053439E" w:rsidRPr="0053439E">
        <w:t>when the Court hears a complaint alleging a violation of Article 6 § 1 on this basis, its task consists in ensuring that the impugned refusal has been duly accompanied by such reasoning</w:t>
      </w:r>
      <w:r w:rsidR="003904D3" w:rsidRPr="00E06A86">
        <w:rPr>
          <w:rStyle w:val="sb8d990e2"/>
          <w:lang w:val="en-GB"/>
        </w:rPr>
        <w:t>;</w:t>
      </w:r>
    </w:p>
    <w:p w:rsidR="00765A7C" w:rsidRPr="00E06A86" w:rsidRDefault="00765A7C" w:rsidP="00765A7C">
      <w:pPr>
        <w:pStyle w:val="ECHRPara"/>
        <w:rPr>
          <w:lang w:val="en-GB"/>
        </w:rPr>
      </w:pPr>
      <w:r w:rsidRPr="00E06A86">
        <w:rPr>
          <w:rStyle w:val="sb8d990e2"/>
          <w:lang w:val="en-GB"/>
        </w:rPr>
        <w:t xml:space="preserve">– </w:t>
      </w:r>
      <w:r w:rsidR="0053439E" w:rsidRPr="0053439E">
        <w:t>whilst this verification has to be made thoroughly, it is not for the Court to examine any errors that might have been committed by the domestic courts in interpreting or applying the relevant law</w:t>
      </w:r>
      <w:r w:rsidR="00D1646A" w:rsidRPr="00E06A86">
        <w:rPr>
          <w:rStyle w:val="sb8d990e2"/>
          <w:lang w:val="en-GB"/>
        </w:rPr>
        <w:t>;</w:t>
      </w:r>
    </w:p>
    <w:p w:rsidR="00D1646A" w:rsidRPr="00E06A86" w:rsidRDefault="00765A7C" w:rsidP="00765A7C">
      <w:pPr>
        <w:pStyle w:val="ECHRPara"/>
        <w:rPr>
          <w:rStyle w:val="sb8d990e2"/>
          <w:lang w:val="en-GB"/>
        </w:rPr>
      </w:pPr>
      <w:r w:rsidRPr="00E06A86">
        <w:rPr>
          <w:rStyle w:val="sb8d990e2"/>
          <w:lang w:val="en-GB"/>
        </w:rPr>
        <w:t xml:space="preserve">– </w:t>
      </w:r>
      <w:r w:rsidR="00350976" w:rsidRPr="00E06A86">
        <w:rPr>
          <w:rStyle w:val="sb8d990e2"/>
          <w:lang w:val="en-GB"/>
        </w:rPr>
        <w:t>in the specific context of the third paragraph of Article 234 of the Treaty establishing the European Community (current Article 267 of the Treaty on the Functioning of the European Union (TFEU)</w:t>
      </w:r>
      <w:r w:rsidR="004F570B" w:rsidRPr="00E06A86">
        <w:rPr>
          <w:rStyle w:val="sb8d990e2"/>
          <w:lang w:val="en-GB"/>
        </w:rPr>
        <w:t>)</w:t>
      </w:r>
      <w:r w:rsidR="00350976" w:rsidRPr="00E06A86">
        <w:rPr>
          <w:rStyle w:val="sb8d990e2"/>
          <w:lang w:val="en-GB"/>
        </w:rPr>
        <w:t xml:space="preserve">, this means that national courts </w:t>
      </w:r>
      <w:r w:rsidR="00223C2B" w:rsidRPr="00E06A86">
        <w:rPr>
          <w:rStyle w:val="sb8d990e2"/>
          <w:lang w:val="en-GB"/>
        </w:rPr>
        <w:t xml:space="preserve">against whose </w:t>
      </w:r>
      <w:r w:rsidR="00350976" w:rsidRPr="00E06A86">
        <w:rPr>
          <w:rStyle w:val="sb8d990e2"/>
          <w:lang w:val="en-GB"/>
        </w:rPr>
        <w:t xml:space="preserve">decisions </w:t>
      </w:r>
      <w:r w:rsidR="00223C2B" w:rsidRPr="00E06A86">
        <w:rPr>
          <w:rStyle w:val="sb8d990e2"/>
          <w:lang w:val="en-GB"/>
        </w:rPr>
        <w:t>there is</w:t>
      </w:r>
      <w:r w:rsidR="00350976" w:rsidRPr="00E06A86">
        <w:rPr>
          <w:rStyle w:val="sb8d990e2"/>
          <w:lang w:val="en-GB"/>
        </w:rPr>
        <w:t xml:space="preserve"> </w:t>
      </w:r>
      <w:r w:rsidR="00223C2B" w:rsidRPr="00E06A86">
        <w:rPr>
          <w:lang w:val="en-GB"/>
        </w:rPr>
        <w:t>no judicial remedy under national law</w:t>
      </w:r>
      <w:r w:rsidR="00112618">
        <w:rPr>
          <w:lang w:val="en-GB"/>
        </w:rPr>
        <w:t>,</w:t>
      </w:r>
      <w:r w:rsidR="00350976" w:rsidRPr="00E06A86">
        <w:rPr>
          <w:rStyle w:val="sb8d990e2"/>
          <w:lang w:val="en-GB"/>
        </w:rPr>
        <w:t xml:space="preserve"> </w:t>
      </w:r>
      <w:r w:rsidR="008D76A1">
        <w:rPr>
          <w:rStyle w:val="sb8d990e2"/>
          <w:lang w:val="en-GB"/>
        </w:rPr>
        <w:t>and which</w:t>
      </w:r>
      <w:r w:rsidR="00350976" w:rsidRPr="00E06A86">
        <w:rPr>
          <w:rStyle w:val="sb8d990e2"/>
          <w:lang w:val="en-GB"/>
        </w:rPr>
        <w:t xml:space="preserve"> refuse to request a preliminary ruling from the CJEU on a question raised before them concerning the interpretation of Eur</w:t>
      </w:r>
      <w:r w:rsidR="00E90F1A">
        <w:rPr>
          <w:rStyle w:val="sb8d990e2"/>
          <w:lang w:val="en-GB"/>
        </w:rPr>
        <w:t xml:space="preserve">opean Union law, </w:t>
      </w:r>
      <w:r w:rsidR="008D76A1">
        <w:rPr>
          <w:rStyle w:val="sb8d990e2"/>
          <w:lang w:val="en-GB"/>
        </w:rPr>
        <w:t xml:space="preserve">are required </w:t>
      </w:r>
      <w:r w:rsidR="00E90F1A">
        <w:rPr>
          <w:rStyle w:val="sb8d990e2"/>
          <w:lang w:val="en-GB"/>
        </w:rPr>
        <w:t>to give reasons</w:t>
      </w:r>
      <w:r w:rsidR="00350976" w:rsidRPr="00E06A86">
        <w:rPr>
          <w:rStyle w:val="sb8d990e2"/>
          <w:lang w:val="en-GB"/>
        </w:rPr>
        <w:t xml:space="preserve"> for </w:t>
      </w:r>
      <w:r w:rsidR="008D76A1">
        <w:rPr>
          <w:rStyle w:val="sb8d990e2"/>
          <w:lang w:val="en-GB"/>
        </w:rPr>
        <w:t>such</w:t>
      </w:r>
      <w:r w:rsidR="00350976" w:rsidRPr="00E06A86">
        <w:rPr>
          <w:rStyle w:val="sb8d990e2"/>
          <w:lang w:val="en-GB"/>
        </w:rPr>
        <w:t xml:space="preserve"> refusal</w:t>
      </w:r>
      <w:r w:rsidR="00E90F1A">
        <w:rPr>
          <w:rStyle w:val="sb8d990e2"/>
          <w:lang w:val="en-GB"/>
        </w:rPr>
        <w:t xml:space="preserve"> in the light of </w:t>
      </w:r>
      <w:r w:rsidR="00350976" w:rsidRPr="00E06A86">
        <w:rPr>
          <w:rStyle w:val="sb8d990e2"/>
          <w:lang w:val="en-GB"/>
        </w:rPr>
        <w:t xml:space="preserve">the exceptions provided for by the case-law of the </w:t>
      </w:r>
      <w:r w:rsidR="00D80BAF">
        <w:rPr>
          <w:rStyle w:val="sb8d990e2"/>
          <w:lang w:val="en-GB"/>
        </w:rPr>
        <w:t>CJEU</w:t>
      </w:r>
      <w:r w:rsidR="00350976" w:rsidRPr="00E06A86">
        <w:rPr>
          <w:rStyle w:val="sb8d990e2"/>
          <w:lang w:val="en-GB"/>
        </w:rPr>
        <w:t xml:space="preserve">. They must therefore indicate </w:t>
      </w:r>
      <w:r w:rsidR="0053439E" w:rsidRPr="0053439E">
        <w:t xml:space="preserve">the reasons why they have found that the question is </w:t>
      </w:r>
      <w:r w:rsidR="0053439E" w:rsidRPr="0053439E">
        <w:lastRenderedPageBreak/>
        <w:t xml:space="preserve">irrelevant, that the European Union law provision in question has already been interpreted by the </w:t>
      </w:r>
      <w:r w:rsidR="00D80BAF">
        <w:t>CJEU</w:t>
      </w:r>
      <w:r w:rsidR="0053439E" w:rsidRPr="0053439E">
        <w:t xml:space="preserve">, or that the correct application of </w:t>
      </w:r>
      <w:r w:rsidR="00D80BAF">
        <w:t>EU</w:t>
      </w:r>
      <w:r w:rsidR="0053439E" w:rsidRPr="0053439E">
        <w:t xml:space="preserve"> law is so obvious as to leave no scope for any reasonable doubt</w:t>
      </w:r>
      <w:r w:rsidR="00350976" w:rsidRPr="00E06A86">
        <w:rPr>
          <w:lang w:val="en-GB"/>
        </w:rPr>
        <w:t>.</w:t>
      </w:r>
    </w:p>
    <w:p w:rsidR="005718EE" w:rsidRPr="00E06A86" w:rsidRDefault="00765A7C" w:rsidP="00765A7C">
      <w:pPr>
        <w:pStyle w:val="ECHRPara"/>
        <w:rPr>
          <w:lang w:val="en-GB"/>
        </w:rPr>
      </w:pPr>
      <w:r w:rsidRPr="00E06A86">
        <w:rPr>
          <w:rStyle w:val="sb8d990e2"/>
          <w:lang w:val="en-GB"/>
        </w:rPr>
        <w:fldChar w:fldCharType="begin"/>
      </w:r>
      <w:r w:rsidRPr="00E06A86">
        <w:rPr>
          <w:rStyle w:val="sb8d990e2"/>
          <w:lang w:val="en-GB"/>
        </w:rPr>
        <w:instrText xml:space="preserve"> SEQ level0 \*arabic </w:instrText>
      </w:r>
      <w:r w:rsidRPr="00E06A86">
        <w:rPr>
          <w:rStyle w:val="sb8d990e2"/>
          <w:lang w:val="en-GB"/>
        </w:rPr>
        <w:fldChar w:fldCharType="separate"/>
      </w:r>
      <w:r w:rsidR="00473228">
        <w:rPr>
          <w:rStyle w:val="sb8d990e2"/>
          <w:noProof/>
          <w:lang w:val="en-GB"/>
        </w:rPr>
        <w:t>32</w:t>
      </w:r>
      <w:r w:rsidRPr="00E06A86">
        <w:rPr>
          <w:rStyle w:val="sb8d990e2"/>
          <w:lang w:val="en-GB"/>
        </w:rPr>
        <w:fldChar w:fldCharType="end"/>
      </w:r>
      <w:r w:rsidRPr="00E06A86">
        <w:rPr>
          <w:rStyle w:val="sb8d990e2"/>
          <w:lang w:val="en-GB"/>
        </w:rPr>
        <w:t>.  </w:t>
      </w:r>
      <w:r w:rsidR="00350976" w:rsidRPr="00E06A86">
        <w:rPr>
          <w:rStyle w:val="sb8d990e2"/>
          <w:lang w:val="en-GB"/>
        </w:rPr>
        <w:t xml:space="preserve">In the present case the applicant </w:t>
      </w:r>
      <w:r w:rsidR="00FA6D3E" w:rsidRPr="00E06A86">
        <w:rPr>
          <w:rStyle w:val="sb8d990e2"/>
          <w:lang w:val="en-GB"/>
        </w:rPr>
        <w:t>requested</w:t>
      </w:r>
      <w:r w:rsidR="00350976" w:rsidRPr="00E06A86">
        <w:rPr>
          <w:rStyle w:val="sb8d990e2"/>
          <w:lang w:val="en-GB"/>
        </w:rPr>
        <w:t xml:space="preserve"> the Court of Cassation to </w:t>
      </w:r>
      <w:r w:rsidR="00FA6D3E" w:rsidRPr="00E06A86">
        <w:rPr>
          <w:rStyle w:val="sb8d990e2"/>
          <w:lang w:val="en-GB"/>
        </w:rPr>
        <w:t>seek</w:t>
      </w:r>
      <w:r w:rsidR="00350976" w:rsidRPr="00E06A86">
        <w:rPr>
          <w:rStyle w:val="sb8d990e2"/>
          <w:lang w:val="en-GB"/>
        </w:rPr>
        <w:t xml:space="preserve"> a preliminary ruling from the CJEU </w:t>
      </w:r>
      <w:r w:rsidR="005718EE" w:rsidRPr="00E06A86">
        <w:rPr>
          <w:lang w:val="en-GB"/>
        </w:rPr>
        <w:t xml:space="preserve">as to whether, under Article 65 of the Euro-Mediterranean Agreement, a Tunisian worker could be refused the family allowance provided for by section 65 of Law no. 448 of 1998 (see paragraphs 10 and 12 above). As </w:t>
      </w:r>
      <w:r w:rsidR="004F570B" w:rsidRPr="00E06A86">
        <w:rPr>
          <w:lang w:val="en-GB"/>
        </w:rPr>
        <w:t>no judicial appeal lies against its</w:t>
      </w:r>
      <w:r w:rsidR="005718EE" w:rsidRPr="00E06A86">
        <w:rPr>
          <w:lang w:val="en-GB"/>
        </w:rPr>
        <w:t xml:space="preserve"> decisions under domestic law, the Court of Cassation was under a duty to give reasons for its refusal to request a preliminary ruling, </w:t>
      </w:r>
      <w:r w:rsidR="00E90F1A">
        <w:rPr>
          <w:lang w:val="en-GB"/>
        </w:rPr>
        <w:t>in the light of</w:t>
      </w:r>
      <w:r w:rsidR="005718EE" w:rsidRPr="00E06A86">
        <w:rPr>
          <w:lang w:val="en-GB"/>
        </w:rPr>
        <w:t xml:space="preserve"> the exceptions provided for by the case-law of the CJEU.</w:t>
      </w:r>
    </w:p>
    <w:p w:rsidR="005718EE" w:rsidRPr="00E06A86" w:rsidRDefault="00765A7C" w:rsidP="005718EE">
      <w:pPr>
        <w:pStyle w:val="ECHRPara"/>
        <w:rPr>
          <w:rStyle w:val="sb8d990e2"/>
          <w:lang w:val="en-GB"/>
        </w:rPr>
      </w:pPr>
      <w:r w:rsidRPr="00E06A86">
        <w:rPr>
          <w:rStyle w:val="sb8d990e2"/>
          <w:lang w:val="en-GB"/>
        </w:rPr>
        <w:fldChar w:fldCharType="begin"/>
      </w:r>
      <w:r w:rsidRPr="00E06A86">
        <w:rPr>
          <w:rStyle w:val="sb8d990e2"/>
          <w:lang w:val="en-GB"/>
        </w:rPr>
        <w:instrText xml:space="preserve"> SEQ level0 \*arabic </w:instrText>
      </w:r>
      <w:r w:rsidRPr="00E06A86">
        <w:rPr>
          <w:rStyle w:val="sb8d990e2"/>
          <w:lang w:val="en-GB"/>
        </w:rPr>
        <w:fldChar w:fldCharType="separate"/>
      </w:r>
      <w:r w:rsidR="00473228">
        <w:rPr>
          <w:rStyle w:val="sb8d990e2"/>
          <w:noProof/>
          <w:lang w:val="en-GB"/>
        </w:rPr>
        <w:t>33</w:t>
      </w:r>
      <w:r w:rsidRPr="00E06A86">
        <w:rPr>
          <w:rStyle w:val="sb8d990e2"/>
          <w:lang w:val="en-GB"/>
        </w:rPr>
        <w:fldChar w:fldCharType="end"/>
      </w:r>
      <w:r w:rsidRPr="00E06A86">
        <w:rPr>
          <w:rStyle w:val="sb8d990e2"/>
          <w:lang w:val="en-GB"/>
        </w:rPr>
        <w:t>.  </w:t>
      </w:r>
      <w:r w:rsidR="005718EE" w:rsidRPr="00E06A86">
        <w:rPr>
          <w:rStyle w:val="sb8d990e2"/>
          <w:lang w:val="en-GB"/>
        </w:rPr>
        <w:t xml:space="preserve">The Court has examined the Court of Cassation </w:t>
      </w:r>
      <w:r w:rsidR="00D80BAF" w:rsidRPr="00E06A86">
        <w:rPr>
          <w:rStyle w:val="sb8d990e2"/>
          <w:lang w:val="en-GB"/>
        </w:rPr>
        <w:t xml:space="preserve">judgment of </w:t>
      </w:r>
      <w:r w:rsidR="005718EE" w:rsidRPr="00E06A86">
        <w:rPr>
          <w:rStyle w:val="sb8d990e2"/>
          <w:lang w:val="en-GB"/>
        </w:rPr>
        <w:t>15</w:t>
      </w:r>
      <w:r w:rsidR="00967D42">
        <w:rPr>
          <w:rStyle w:val="sb8d990e2"/>
          <w:lang w:val="en-GB"/>
        </w:rPr>
        <w:t> </w:t>
      </w:r>
      <w:r w:rsidR="005718EE" w:rsidRPr="00E06A86">
        <w:rPr>
          <w:rStyle w:val="sb8d990e2"/>
          <w:lang w:val="en-GB"/>
        </w:rPr>
        <w:t xml:space="preserve">April 2008 </w:t>
      </w:r>
      <w:r w:rsidR="004F570B" w:rsidRPr="00E06A86">
        <w:rPr>
          <w:rStyle w:val="sb8d990e2"/>
          <w:lang w:val="en-GB"/>
        </w:rPr>
        <w:t>and found no</w:t>
      </w:r>
      <w:r w:rsidR="005718EE" w:rsidRPr="00E06A86">
        <w:rPr>
          <w:rStyle w:val="sb8d990e2"/>
          <w:lang w:val="en-GB"/>
        </w:rPr>
        <w:t xml:space="preserve"> reference to the applicant</w:t>
      </w:r>
      <w:r w:rsidR="006B125B">
        <w:rPr>
          <w:rStyle w:val="sb8d990e2"/>
          <w:lang w:val="en-GB"/>
        </w:rPr>
        <w:t>’</w:t>
      </w:r>
      <w:r w:rsidR="005718EE" w:rsidRPr="00E06A86">
        <w:rPr>
          <w:rStyle w:val="sb8d990e2"/>
          <w:lang w:val="en-GB"/>
        </w:rPr>
        <w:t>s request for a preliminary ruling</w:t>
      </w:r>
      <w:r w:rsidR="004F570B" w:rsidRPr="00E06A86">
        <w:rPr>
          <w:rStyle w:val="sb8d990e2"/>
          <w:lang w:val="en-GB"/>
        </w:rPr>
        <w:t xml:space="preserve"> to be sought</w:t>
      </w:r>
      <w:r w:rsidR="005718EE" w:rsidRPr="00E06A86">
        <w:rPr>
          <w:rStyle w:val="sb8d990e2"/>
          <w:lang w:val="en-GB"/>
        </w:rPr>
        <w:t xml:space="preserve"> or to the reasons why </w:t>
      </w:r>
      <w:r w:rsidR="004F570B" w:rsidRPr="00E06A86">
        <w:rPr>
          <w:rStyle w:val="sb8d990e2"/>
          <w:lang w:val="en-GB"/>
        </w:rPr>
        <w:t>the court</w:t>
      </w:r>
      <w:r w:rsidR="005718EE" w:rsidRPr="00E06A86">
        <w:rPr>
          <w:rStyle w:val="sb8d990e2"/>
          <w:lang w:val="en-GB"/>
        </w:rPr>
        <w:t xml:space="preserve"> considered that the question raised did not warrant referral to the CJEU. It is therefore not clear from the </w:t>
      </w:r>
      <w:r w:rsidR="00FA6D3E" w:rsidRPr="00E06A86">
        <w:rPr>
          <w:rStyle w:val="sb8d990e2"/>
          <w:lang w:val="en-GB"/>
        </w:rPr>
        <w:t xml:space="preserve">reasoning of the </w:t>
      </w:r>
      <w:r w:rsidR="005718EE" w:rsidRPr="00E06A86">
        <w:rPr>
          <w:rStyle w:val="sb8d990e2"/>
          <w:lang w:val="en-GB"/>
        </w:rPr>
        <w:t>impugned judgment whether that question was considered not to be relevant</w:t>
      </w:r>
      <w:r w:rsidR="004565A3">
        <w:rPr>
          <w:rStyle w:val="sb8d990e2"/>
          <w:lang w:val="en-GB"/>
        </w:rPr>
        <w:t xml:space="preserve"> or</w:t>
      </w:r>
      <w:r w:rsidR="005718EE" w:rsidRPr="00E06A86">
        <w:rPr>
          <w:rStyle w:val="sb8d990e2"/>
          <w:lang w:val="en-GB"/>
        </w:rPr>
        <w:t xml:space="preserve"> to relate to a provision </w:t>
      </w:r>
      <w:r w:rsidR="008D76A1">
        <w:rPr>
          <w:rStyle w:val="sb8d990e2"/>
          <w:lang w:val="en-GB"/>
        </w:rPr>
        <w:t>which</w:t>
      </w:r>
      <w:r w:rsidR="005718EE" w:rsidRPr="00E06A86">
        <w:rPr>
          <w:rStyle w:val="sb8d990e2"/>
          <w:lang w:val="en-GB"/>
        </w:rPr>
        <w:t xml:space="preserve"> was clear or had already been interpreted by the CJEU, or </w:t>
      </w:r>
      <w:r w:rsidR="008D76A1">
        <w:rPr>
          <w:rStyle w:val="sb8d990e2"/>
          <w:lang w:val="en-GB"/>
        </w:rPr>
        <w:t xml:space="preserve">whether it </w:t>
      </w:r>
      <w:r w:rsidR="005718EE" w:rsidRPr="00E06A86">
        <w:rPr>
          <w:rStyle w:val="sb8d990e2"/>
          <w:lang w:val="en-GB"/>
        </w:rPr>
        <w:t>was simply ignored (see, conversely,</w:t>
      </w:r>
      <w:r w:rsidRPr="00E06A86">
        <w:rPr>
          <w:rStyle w:val="sb8d990e2"/>
          <w:lang w:val="en-GB"/>
        </w:rPr>
        <w:t xml:space="preserve"> </w:t>
      </w:r>
      <w:r w:rsidRPr="00E06A86">
        <w:rPr>
          <w:i/>
          <w:lang w:val="en-GB"/>
        </w:rPr>
        <w:t>Vergauwen</w:t>
      </w:r>
      <w:r w:rsidR="0053439E">
        <w:rPr>
          <w:i/>
          <w:lang w:val="en-GB"/>
        </w:rPr>
        <w:t xml:space="preserve"> and Others</w:t>
      </w:r>
      <w:r w:rsidRPr="00E06A86">
        <w:rPr>
          <w:lang w:val="en-GB"/>
        </w:rPr>
        <w:t>,</w:t>
      </w:r>
      <w:r w:rsidRPr="00E06A86">
        <w:rPr>
          <w:rStyle w:val="sb8d990e2"/>
          <w:i/>
          <w:lang w:val="en-GB"/>
        </w:rPr>
        <w:t xml:space="preserve"> </w:t>
      </w:r>
      <w:r w:rsidR="005718EE" w:rsidRPr="00E06A86">
        <w:rPr>
          <w:rStyle w:val="sb8d990e2"/>
          <w:lang w:val="en-GB"/>
        </w:rPr>
        <w:t>cited above</w:t>
      </w:r>
      <w:r w:rsidRPr="00E06A86">
        <w:rPr>
          <w:rStyle w:val="sb8d990e2"/>
          <w:lang w:val="en-GB"/>
        </w:rPr>
        <w:t xml:space="preserve">, § 91, </w:t>
      </w:r>
      <w:r w:rsidR="005718EE" w:rsidRPr="00E06A86">
        <w:rPr>
          <w:rStyle w:val="sb8d990e2"/>
          <w:lang w:val="en-GB"/>
        </w:rPr>
        <w:t xml:space="preserve">where the Court found that the Belgian Constitutional Court had duly provided reasons for refusing to refer questions for a preliminary ruling). The Court observes in </w:t>
      </w:r>
      <w:r w:rsidR="004F570B" w:rsidRPr="00E06A86">
        <w:rPr>
          <w:rStyle w:val="sb8d990e2"/>
          <w:lang w:val="en-GB"/>
        </w:rPr>
        <w:t>this</w:t>
      </w:r>
      <w:r w:rsidR="005718EE" w:rsidRPr="00E06A86">
        <w:rPr>
          <w:rStyle w:val="sb8d990e2"/>
          <w:lang w:val="en-GB"/>
        </w:rPr>
        <w:t xml:space="preserve"> connection that the reasoning of the Court of Cassation contains no reference to the case-law of the CJEU.</w:t>
      </w:r>
    </w:p>
    <w:p w:rsidR="005718EE" w:rsidRPr="00E06A86" w:rsidRDefault="00765A7C" w:rsidP="00765A7C">
      <w:pPr>
        <w:pStyle w:val="ECHRPara"/>
        <w:rPr>
          <w:rStyle w:val="sb8d990e2"/>
          <w:lang w:val="en-GB"/>
        </w:rPr>
      </w:pPr>
      <w:r w:rsidRPr="00E06A86">
        <w:rPr>
          <w:rStyle w:val="sb8d990e2"/>
          <w:lang w:val="en-GB"/>
        </w:rPr>
        <w:fldChar w:fldCharType="begin"/>
      </w:r>
      <w:r w:rsidRPr="00E06A86">
        <w:rPr>
          <w:rStyle w:val="sb8d990e2"/>
          <w:lang w:val="en-GB"/>
        </w:rPr>
        <w:instrText xml:space="preserve"> SEQ level0 \*arabic </w:instrText>
      </w:r>
      <w:r w:rsidRPr="00E06A86">
        <w:rPr>
          <w:rStyle w:val="sb8d990e2"/>
          <w:lang w:val="en-GB"/>
        </w:rPr>
        <w:fldChar w:fldCharType="separate"/>
      </w:r>
      <w:r w:rsidR="00473228">
        <w:rPr>
          <w:rStyle w:val="sb8d990e2"/>
          <w:noProof/>
          <w:lang w:val="en-GB"/>
        </w:rPr>
        <w:t>34</w:t>
      </w:r>
      <w:r w:rsidRPr="00E06A86">
        <w:rPr>
          <w:rStyle w:val="sb8d990e2"/>
          <w:lang w:val="en-GB"/>
        </w:rPr>
        <w:fldChar w:fldCharType="end"/>
      </w:r>
      <w:r w:rsidRPr="00E06A86">
        <w:rPr>
          <w:rStyle w:val="sb8d990e2"/>
          <w:lang w:val="en-GB"/>
        </w:rPr>
        <w:t>.  </w:t>
      </w:r>
      <w:r w:rsidR="005718EE" w:rsidRPr="00E06A86">
        <w:rPr>
          <w:rStyle w:val="sb8d990e2"/>
          <w:lang w:val="en-GB"/>
        </w:rPr>
        <w:t>That finding is sufficient for the Court to conclude that there has been a violation of Article 6 § 1 of the Convention.</w:t>
      </w:r>
    </w:p>
    <w:p w:rsidR="00765A7C" w:rsidRPr="00E06A86" w:rsidRDefault="00765A7C" w:rsidP="00765A7C">
      <w:pPr>
        <w:pStyle w:val="ECHRHeading1"/>
        <w:rPr>
          <w:lang w:val="en-GB"/>
        </w:rPr>
      </w:pPr>
      <w:r w:rsidRPr="00E06A86">
        <w:rPr>
          <w:lang w:val="en-GB"/>
        </w:rPr>
        <w:t>II.  </w:t>
      </w:r>
      <w:r w:rsidR="005718EE" w:rsidRPr="00E06A86">
        <w:rPr>
          <w:lang w:val="en-GB"/>
        </w:rPr>
        <w:t>ALLEGED</w:t>
      </w:r>
      <w:r w:rsidRPr="00E06A86">
        <w:rPr>
          <w:lang w:val="en-GB"/>
        </w:rPr>
        <w:t xml:space="preserve"> VIOLATION </w:t>
      </w:r>
      <w:r w:rsidR="005718EE" w:rsidRPr="00E06A86">
        <w:rPr>
          <w:lang w:val="en-GB"/>
        </w:rPr>
        <w:t xml:space="preserve">OF </w:t>
      </w:r>
      <w:r w:rsidRPr="00E06A86">
        <w:rPr>
          <w:lang w:val="en-GB"/>
        </w:rPr>
        <w:t xml:space="preserve">ARTICLE 14 </w:t>
      </w:r>
      <w:r w:rsidR="005718EE" w:rsidRPr="00E06A86">
        <w:rPr>
          <w:lang w:val="en-GB"/>
        </w:rPr>
        <w:t>OF THE</w:t>
      </w:r>
      <w:r w:rsidRPr="00E06A86">
        <w:rPr>
          <w:lang w:val="en-GB"/>
        </w:rPr>
        <w:t xml:space="preserve"> CONVENTION </w:t>
      </w:r>
      <w:r w:rsidR="005718EE" w:rsidRPr="00E06A86">
        <w:rPr>
          <w:lang w:val="en-GB"/>
        </w:rPr>
        <w:t xml:space="preserve">TAKEN IN CONJUNCTION WITH </w:t>
      </w:r>
      <w:r w:rsidRPr="00E06A86">
        <w:rPr>
          <w:lang w:val="en-GB"/>
        </w:rPr>
        <w:t>ARTICLE 8</w:t>
      </w:r>
    </w:p>
    <w:p w:rsidR="005718EE" w:rsidRPr="00E06A86" w:rsidRDefault="00765A7C" w:rsidP="00765A7C">
      <w:pPr>
        <w:pStyle w:val="ECHRPara"/>
        <w:rPr>
          <w:lang w:val="en-GB"/>
        </w:rPr>
      </w:pPr>
      <w:r w:rsidRPr="00E06A86">
        <w:rPr>
          <w:lang w:val="en-GB"/>
        </w:rPr>
        <w:fldChar w:fldCharType="begin"/>
      </w:r>
      <w:r w:rsidRPr="00E06A86">
        <w:rPr>
          <w:lang w:val="en-GB"/>
        </w:rPr>
        <w:instrText xml:space="preserve"> SEQ level0 \*arabic </w:instrText>
      </w:r>
      <w:r w:rsidRPr="00E06A86">
        <w:rPr>
          <w:lang w:val="en-GB"/>
        </w:rPr>
        <w:fldChar w:fldCharType="separate"/>
      </w:r>
      <w:r w:rsidR="00473228">
        <w:rPr>
          <w:noProof/>
          <w:lang w:val="en-GB"/>
        </w:rPr>
        <w:t>35</w:t>
      </w:r>
      <w:r w:rsidRPr="00E06A86">
        <w:rPr>
          <w:noProof/>
          <w:lang w:val="en-GB"/>
        </w:rPr>
        <w:fldChar w:fldCharType="end"/>
      </w:r>
      <w:r w:rsidRPr="00E06A86">
        <w:rPr>
          <w:lang w:val="en-GB"/>
        </w:rPr>
        <w:t>.  </w:t>
      </w:r>
      <w:r w:rsidR="005718EE" w:rsidRPr="00E06A86">
        <w:rPr>
          <w:lang w:val="en-GB"/>
        </w:rPr>
        <w:t xml:space="preserve">The applicant considered that he had been the victim of discrimination based on his nationality </w:t>
      </w:r>
      <w:r w:rsidR="00FA6D3E" w:rsidRPr="00E06A86">
        <w:rPr>
          <w:lang w:val="en-GB"/>
        </w:rPr>
        <w:t>when it came to</w:t>
      </w:r>
      <w:r w:rsidR="005718EE" w:rsidRPr="00E06A86">
        <w:rPr>
          <w:lang w:val="en-GB"/>
        </w:rPr>
        <w:t xml:space="preserve"> claiming entitlement to the allowance provided for by section 65 of Law no. 448 of 1998.</w:t>
      </w:r>
    </w:p>
    <w:p w:rsidR="005718EE" w:rsidRPr="00E06A86" w:rsidRDefault="00223C2B" w:rsidP="00765A7C">
      <w:pPr>
        <w:pStyle w:val="ECHRPara"/>
        <w:rPr>
          <w:lang w:val="en-GB"/>
        </w:rPr>
      </w:pPr>
      <w:r w:rsidRPr="00E06A86">
        <w:rPr>
          <w:lang w:val="en-GB"/>
        </w:rPr>
        <w:t>He relied on Articles 8 and 14 of the Convention, which provide:</w:t>
      </w:r>
    </w:p>
    <w:p w:rsidR="00765A7C" w:rsidRPr="00E06A86" w:rsidRDefault="00765A7C" w:rsidP="00765A7C">
      <w:pPr>
        <w:pStyle w:val="ECHRParaQuote"/>
        <w:ind w:left="0" w:firstLine="0"/>
        <w:jc w:val="center"/>
        <w:rPr>
          <w:b/>
          <w:lang w:val="en-GB"/>
        </w:rPr>
      </w:pPr>
      <w:r w:rsidRPr="00E06A86">
        <w:rPr>
          <w:b/>
          <w:lang w:val="en-GB"/>
        </w:rPr>
        <w:t>Article 8</w:t>
      </w:r>
    </w:p>
    <w:p w:rsidR="00223C2B" w:rsidRPr="00E06A86" w:rsidRDefault="00223C2B">
      <w:pPr>
        <w:pStyle w:val="ECHRParaQuote"/>
        <w:rPr>
          <w:lang w:val="en-GB"/>
        </w:rPr>
      </w:pPr>
      <w:r w:rsidRPr="00E06A86">
        <w:rPr>
          <w:lang w:val="en-GB"/>
        </w:rPr>
        <w:t>“1.  Everyone has the right to respect for his private and family life, his home and his correspondence.</w:t>
      </w:r>
    </w:p>
    <w:p w:rsidR="00223C2B" w:rsidRPr="00E06A86" w:rsidRDefault="00223C2B" w:rsidP="00223C2B">
      <w:pPr>
        <w:pStyle w:val="ECHRParaQuote"/>
        <w:rPr>
          <w:lang w:val="en-GB"/>
        </w:rPr>
      </w:pPr>
      <w:r w:rsidRPr="00E06A86">
        <w:rPr>
          <w:lang w:val="en-GB"/>
        </w:rPr>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00765A7C" w:rsidRPr="00E06A86" w:rsidRDefault="00765A7C" w:rsidP="00765A7C">
      <w:pPr>
        <w:pStyle w:val="ECHRParaQuote"/>
        <w:keepNext/>
        <w:keepLines/>
        <w:ind w:left="0" w:firstLine="0"/>
        <w:jc w:val="center"/>
        <w:rPr>
          <w:b/>
          <w:lang w:val="en-GB"/>
        </w:rPr>
      </w:pPr>
      <w:r w:rsidRPr="00E06A86">
        <w:rPr>
          <w:b/>
          <w:lang w:val="en-GB"/>
        </w:rPr>
        <w:t>Article 14</w:t>
      </w:r>
    </w:p>
    <w:p w:rsidR="00765A7C" w:rsidRPr="00E06A86" w:rsidRDefault="00223C2B" w:rsidP="00223C2B">
      <w:pPr>
        <w:pStyle w:val="ECHRParaQuote"/>
        <w:rPr>
          <w:lang w:val="en-GB"/>
        </w:rPr>
      </w:pPr>
      <w:r w:rsidRPr="00E06A86">
        <w:rPr>
          <w:lang w:val="en-GB"/>
        </w:rPr>
        <w:t xml:space="preserve">“The enjoyment of the rights and freedoms set forth in [the] Convention shall be secured without discrimination on any ground such as sex, race, colour, language, </w:t>
      </w:r>
      <w:r w:rsidRPr="00E06A86">
        <w:rPr>
          <w:lang w:val="en-GB"/>
        </w:rPr>
        <w:lastRenderedPageBreak/>
        <w:t>religion, political or other opinion, national or social origin, association with a national minority, property, birth or other status.”</w:t>
      </w:r>
    </w:p>
    <w:p w:rsidR="00765A7C" w:rsidRPr="00E06A86" w:rsidRDefault="00765A7C" w:rsidP="00765A7C">
      <w:pPr>
        <w:pStyle w:val="ECHRHeading2"/>
        <w:outlineLvl w:val="0"/>
        <w:rPr>
          <w:lang w:val="en-GB"/>
        </w:rPr>
      </w:pPr>
      <w:r w:rsidRPr="00E06A86">
        <w:rPr>
          <w:lang w:val="en-GB"/>
        </w:rPr>
        <w:t>A.  </w:t>
      </w:r>
      <w:r w:rsidR="00223C2B" w:rsidRPr="00E06A86">
        <w:rPr>
          <w:lang w:val="en-GB"/>
        </w:rPr>
        <w:t>Admissibility</w:t>
      </w:r>
    </w:p>
    <w:p w:rsidR="00765A7C" w:rsidRPr="00E06A86" w:rsidRDefault="00765A7C" w:rsidP="00765A7C">
      <w:pPr>
        <w:pStyle w:val="ECHRHeading3"/>
        <w:rPr>
          <w:lang w:val="en-GB"/>
        </w:rPr>
      </w:pPr>
      <w:r w:rsidRPr="00E06A86">
        <w:rPr>
          <w:lang w:val="en-GB"/>
        </w:rPr>
        <w:t>1.  </w:t>
      </w:r>
      <w:r w:rsidR="00223C2B" w:rsidRPr="00E06A86">
        <w:rPr>
          <w:lang w:val="en-GB"/>
        </w:rPr>
        <w:t>The parties</w:t>
      </w:r>
      <w:r w:rsidR="006B125B">
        <w:rPr>
          <w:lang w:val="en-GB"/>
        </w:rPr>
        <w:t>’</w:t>
      </w:r>
      <w:r w:rsidR="00223C2B" w:rsidRPr="00E06A86">
        <w:rPr>
          <w:lang w:val="en-GB"/>
        </w:rPr>
        <w:t xml:space="preserve"> submissions</w:t>
      </w:r>
    </w:p>
    <w:p w:rsidR="00765A7C" w:rsidRPr="00E06A86" w:rsidRDefault="00223C2B" w:rsidP="00765A7C">
      <w:pPr>
        <w:pStyle w:val="ECHRHeading4"/>
        <w:rPr>
          <w:lang w:val="en-GB"/>
        </w:rPr>
      </w:pPr>
      <w:r w:rsidRPr="00E06A86">
        <w:rPr>
          <w:lang w:val="en-GB"/>
        </w:rPr>
        <w:t>(</w:t>
      </w:r>
      <w:r w:rsidR="00765A7C" w:rsidRPr="00E06A86">
        <w:rPr>
          <w:lang w:val="en-GB"/>
        </w:rPr>
        <w:t>a</w:t>
      </w:r>
      <w:r w:rsidR="00FA6D3E" w:rsidRPr="00E06A86">
        <w:rPr>
          <w:lang w:val="en-GB"/>
        </w:rPr>
        <w:t>)</w:t>
      </w:r>
      <w:r w:rsidR="00473228">
        <w:rPr>
          <w:lang w:val="en-GB"/>
        </w:rPr>
        <w:t>  </w:t>
      </w:r>
      <w:r w:rsidRPr="00E06A86">
        <w:rPr>
          <w:lang w:val="en-GB"/>
        </w:rPr>
        <w:t>The applicant</w:t>
      </w:r>
    </w:p>
    <w:p w:rsidR="00223C2B" w:rsidRPr="00E06A86" w:rsidRDefault="00765A7C" w:rsidP="00765A7C">
      <w:pPr>
        <w:pStyle w:val="ECHRPara"/>
        <w:rPr>
          <w:lang w:val="en-GB"/>
        </w:rPr>
      </w:pPr>
      <w:r w:rsidRPr="00E06A86">
        <w:rPr>
          <w:lang w:val="en-GB"/>
        </w:rPr>
        <w:fldChar w:fldCharType="begin"/>
      </w:r>
      <w:r w:rsidRPr="00E06A86">
        <w:rPr>
          <w:lang w:val="en-GB"/>
        </w:rPr>
        <w:instrText xml:space="preserve"> SEQ level0 \*arabic </w:instrText>
      </w:r>
      <w:r w:rsidRPr="00E06A86">
        <w:rPr>
          <w:lang w:val="en-GB"/>
        </w:rPr>
        <w:fldChar w:fldCharType="separate"/>
      </w:r>
      <w:r w:rsidR="00473228">
        <w:rPr>
          <w:noProof/>
          <w:lang w:val="en-GB"/>
        </w:rPr>
        <w:t>36</w:t>
      </w:r>
      <w:r w:rsidRPr="00E06A86">
        <w:rPr>
          <w:noProof/>
          <w:lang w:val="en-GB"/>
        </w:rPr>
        <w:fldChar w:fldCharType="end"/>
      </w:r>
      <w:r w:rsidRPr="00E06A86">
        <w:rPr>
          <w:lang w:val="en-GB"/>
        </w:rPr>
        <w:t>.  </w:t>
      </w:r>
      <w:r w:rsidR="00223C2B" w:rsidRPr="00E06A86">
        <w:rPr>
          <w:lang w:val="en-GB"/>
        </w:rPr>
        <w:t>The applicant referred to the Court</w:t>
      </w:r>
      <w:r w:rsidR="006B125B">
        <w:rPr>
          <w:lang w:val="en-GB"/>
        </w:rPr>
        <w:t>’</w:t>
      </w:r>
      <w:r w:rsidR="00223C2B" w:rsidRPr="00E06A86">
        <w:rPr>
          <w:lang w:val="en-GB"/>
        </w:rPr>
        <w:t xml:space="preserve">s case-law (citing, in particular, the following judgments: </w:t>
      </w:r>
      <w:r w:rsidRPr="00E06A86">
        <w:rPr>
          <w:i/>
          <w:lang w:val="en-GB"/>
        </w:rPr>
        <w:t xml:space="preserve">Gaygusuz </w:t>
      </w:r>
      <w:r w:rsidR="00223C2B" w:rsidRPr="00E06A86">
        <w:rPr>
          <w:i/>
          <w:lang w:val="en-GB"/>
        </w:rPr>
        <w:t>v</w:t>
      </w:r>
      <w:r w:rsidRPr="00E06A86">
        <w:rPr>
          <w:i/>
          <w:lang w:val="en-GB"/>
        </w:rPr>
        <w:t>. </w:t>
      </w:r>
      <w:r w:rsidR="00223C2B" w:rsidRPr="00E06A86">
        <w:rPr>
          <w:i/>
          <w:lang w:val="en-GB"/>
        </w:rPr>
        <w:t>Austria</w:t>
      </w:r>
      <w:r w:rsidRPr="00E06A86">
        <w:rPr>
          <w:lang w:val="en-GB"/>
        </w:rPr>
        <w:t xml:space="preserve">, 16 </w:t>
      </w:r>
      <w:r w:rsidR="00223C2B" w:rsidRPr="00E06A86">
        <w:rPr>
          <w:lang w:val="en-GB"/>
        </w:rPr>
        <w:t>September</w:t>
      </w:r>
      <w:r w:rsidRPr="00E06A86">
        <w:rPr>
          <w:lang w:val="en-GB"/>
        </w:rPr>
        <w:t xml:space="preserve"> 1996, </w:t>
      </w:r>
      <w:r w:rsidR="00223C2B" w:rsidRPr="00E06A86">
        <w:rPr>
          <w:i/>
          <w:lang w:val="en-GB"/>
        </w:rPr>
        <w:t>Reports of Judgments and Decisions</w:t>
      </w:r>
      <w:r w:rsidRPr="00E06A86">
        <w:rPr>
          <w:lang w:val="en-GB"/>
        </w:rPr>
        <w:t xml:space="preserve"> 1996-IV; </w:t>
      </w:r>
      <w:r w:rsidRPr="00E06A86">
        <w:rPr>
          <w:i/>
          <w:lang w:val="en-GB"/>
        </w:rPr>
        <w:t xml:space="preserve">Petrovic </w:t>
      </w:r>
      <w:r w:rsidR="00223C2B" w:rsidRPr="00E06A86">
        <w:rPr>
          <w:i/>
          <w:lang w:val="en-GB"/>
        </w:rPr>
        <w:t>v. Austria</w:t>
      </w:r>
      <w:r w:rsidRPr="00E06A86">
        <w:rPr>
          <w:lang w:val="en-GB"/>
        </w:rPr>
        <w:t xml:space="preserve">, 27 </w:t>
      </w:r>
      <w:r w:rsidR="00223C2B" w:rsidRPr="00E06A86">
        <w:rPr>
          <w:lang w:val="en-GB"/>
        </w:rPr>
        <w:t>March</w:t>
      </w:r>
      <w:r w:rsidRPr="00E06A86">
        <w:rPr>
          <w:lang w:val="en-GB"/>
        </w:rPr>
        <w:t xml:space="preserve"> 1998, </w:t>
      </w:r>
      <w:r w:rsidR="00223C2B" w:rsidRPr="00E06A86">
        <w:rPr>
          <w:i/>
          <w:lang w:val="en-GB"/>
        </w:rPr>
        <w:t>Reports</w:t>
      </w:r>
      <w:r w:rsidRPr="00E06A86">
        <w:rPr>
          <w:i/>
          <w:lang w:val="en-GB"/>
        </w:rPr>
        <w:t xml:space="preserve"> </w:t>
      </w:r>
      <w:r w:rsidRPr="00E06A86">
        <w:rPr>
          <w:lang w:val="en-GB"/>
        </w:rPr>
        <w:t xml:space="preserve">1998-II; </w:t>
      </w:r>
      <w:r w:rsidRPr="00E06A86">
        <w:rPr>
          <w:i/>
          <w:lang w:val="en-GB"/>
        </w:rPr>
        <w:t xml:space="preserve">Niedzwiecki </w:t>
      </w:r>
      <w:r w:rsidR="00223C2B" w:rsidRPr="00E06A86">
        <w:rPr>
          <w:i/>
          <w:lang w:val="en-GB"/>
        </w:rPr>
        <w:t>v. Germany</w:t>
      </w:r>
      <w:r w:rsidRPr="00E06A86">
        <w:rPr>
          <w:lang w:val="en-GB"/>
        </w:rPr>
        <w:t xml:space="preserve">, </w:t>
      </w:r>
      <w:r w:rsidR="00223C2B" w:rsidRPr="00E06A86">
        <w:rPr>
          <w:lang w:val="en-GB"/>
        </w:rPr>
        <w:t>no.</w:t>
      </w:r>
      <w:r w:rsidRPr="00E06A86">
        <w:rPr>
          <w:lang w:val="en-GB"/>
        </w:rPr>
        <w:t xml:space="preserve"> 58453/00, 25 </w:t>
      </w:r>
      <w:r w:rsidR="00223C2B" w:rsidRPr="00E06A86">
        <w:rPr>
          <w:lang w:val="en-GB"/>
        </w:rPr>
        <w:t>October</w:t>
      </w:r>
      <w:r w:rsidRPr="00E06A86">
        <w:rPr>
          <w:lang w:val="en-GB"/>
        </w:rPr>
        <w:t xml:space="preserve"> 2005; </w:t>
      </w:r>
      <w:r w:rsidRPr="00E06A86">
        <w:rPr>
          <w:i/>
          <w:lang w:val="en-GB"/>
        </w:rPr>
        <w:t>Okpisz </w:t>
      </w:r>
      <w:r w:rsidR="00223C2B" w:rsidRPr="00E06A86">
        <w:rPr>
          <w:i/>
          <w:lang w:val="en-GB"/>
        </w:rPr>
        <w:t>v. Germany</w:t>
      </w:r>
      <w:r w:rsidRPr="00E06A86">
        <w:rPr>
          <w:lang w:val="en-GB"/>
        </w:rPr>
        <w:t xml:space="preserve">, </w:t>
      </w:r>
      <w:r w:rsidR="00223C2B" w:rsidRPr="00E06A86">
        <w:rPr>
          <w:lang w:val="en-GB"/>
        </w:rPr>
        <w:t>no.</w:t>
      </w:r>
      <w:r w:rsidRPr="00E06A86">
        <w:rPr>
          <w:lang w:val="en-GB"/>
        </w:rPr>
        <w:t xml:space="preserve"> 59140/00, 25 </w:t>
      </w:r>
      <w:r w:rsidR="00223C2B" w:rsidRPr="00E06A86">
        <w:rPr>
          <w:lang w:val="en-GB"/>
        </w:rPr>
        <w:t>October</w:t>
      </w:r>
      <w:r w:rsidRPr="00E06A86">
        <w:rPr>
          <w:lang w:val="en-GB"/>
        </w:rPr>
        <w:t xml:space="preserve"> 2005; </w:t>
      </w:r>
      <w:r w:rsidRPr="00E06A86">
        <w:rPr>
          <w:i/>
          <w:lang w:val="en-GB"/>
        </w:rPr>
        <w:t xml:space="preserve">Weller </w:t>
      </w:r>
      <w:r w:rsidR="00223C2B" w:rsidRPr="00E06A86">
        <w:rPr>
          <w:i/>
          <w:lang w:val="en-GB"/>
        </w:rPr>
        <w:t>v. Hungary</w:t>
      </w:r>
      <w:r w:rsidRPr="00E06A86">
        <w:rPr>
          <w:lang w:val="en-GB"/>
        </w:rPr>
        <w:t xml:space="preserve">, </w:t>
      </w:r>
      <w:r w:rsidR="00223C2B" w:rsidRPr="00E06A86">
        <w:rPr>
          <w:lang w:val="en-GB"/>
        </w:rPr>
        <w:t>no.</w:t>
      </w:r>
      <w:r w:rsidRPr="00E06A86">
        <w:rPr>
          <w:lang w:val="en-GB"/>
        </w:rPr>
        <w:t> </w:t>
      </w:r>
      <w:r w:rsidRPr="00E06A86">
        <w:rPr>
          <w:rStyle w:val="textcolumn"/>
          <w:lang w:val="en-GB"/>
        </w:rPr>
        <w:t>44399/05</w:t>
      </w:r>
      <w:r w:rsidRPr="00E06A86">
        <w:rPr>
          <w:lang w:val="en-GB"/>
        </w:rPr>
        <w:t xml:space="preserve">, 31 </w:t>
      </w:r>
      <w:r w:rsidR="00223C2B" w:rsidRPr="00E06A86">
        <w:rPr>
          <w:lang w:val="en-GB"/>
        </w:rPr>
        <w:t>March</w:t>
      </w:r>
      <w:r w:rsidRPr="00E06A86">
        <w:rPr>
          <w:lang w:val="en-GB"/>
        </w:rPr>
        <w:t xml:space="preserve"> 2009;</w:t>
      </w:r>
      <w:r w:rsidRPr="00E06A86">
        <w:rPr>
          <w:i/>
          <w:lang w:val="en-GB"/>
        </w:rPr>
        <w:t xml:space="preserve"> Fawsie </w:t>
      </w:r>
      <w:r w:rsidR="00223C2B" w:rsidRPr="00E06A86">
        <w:rPr>
          <w:i/>
          <w:lang w:val="en-GB"/>
        </w:rPr>
        <w:t>v. Greece</w:t>
      </w:r>
      <w:r w:rsidRPr="00E06A86">
        <w:rPr>
          <w:lang w:val="en-GB"/>
        </w:rPr>
        <w:t xml:space="preserve">, </w:t>
      </w:r>
      <w:r w:rsidR="00223C2B" w:rsidRPr="00E06A86">
        <w:rPr>
          <w:lang w:val="en-GB"/>
        </w:rPr>
        <w:t>no.</w:t>
      </w:r>
      <w:r w:rsidRPr="00E06A86">
        <w:rPr>
          <w:lang w:val="en-GB"/>
        </w:rPr>
        <w:t> </w:t>
      </w:r>
      <w:r w:rsidRPr="00E06A86">
        <w:rPr>
          <w:rStyle w:val="textcolumn"/>
          <w:lang w:val="en-GB"/>
        </w:rPr>
        <w:t>40080/07, 28 </w:t>
      </w:r>
      <w:r w:rsidR="00223C2B" w:rsidRPr="00E06A86">
        <w:rPr>
          <w:rStyle w:val="textcolumn"/>
          <w:lang w:val="en-GB"/>
        </w:rPr>
        <w:t>October</w:t>
      </w:r>
      <w:r w:rsidR="00FA6D3E" w:rsidRPr="00E06A86">
        <w:rPr>
          <w:rStyle w:val="textcolumn"/>
          <w:lang w:val="en-GB"/>
        </w:rPr>
        <w:t xml:space="preserve"> 2010; </w:t>
      </w:r>
      <w:r w:rsidR="00223C2B" w:rsidRPr="00E06A86">
        <w:rPr>
          <w:rStyle w:val="textcolumn"/>
          <w:lang w:val="en-GB"/>
        </w:rPr>
        <w:t>and</w:t>
      </w:r>
      <w:r w:rsidRPr="00E06A86">
        <w:rPr>
          <w:lang w:val="en-GB"/>
        </w:rPr>
        <w:t xml:space="preserve"> </w:t>
      </w:r>
      <w:r w:rsidRPr="00E06A86">
        <w:rPr>
          <w:i/>
          <w:lang w:val="en-GB"/>
        </w:rPr>
        <w:t xml:space="preserve">Saidoun </w:t>
      </w:r>
      <w:r w:rsidR="00223C2B" w:rsidRPr="00E06A86">
        <w:rPr>
          <w:i/>
          <w:lang w:val="en-GB"/>
        </w:rPr>
        <w:t>v. Greece</w:t>
      </w:r>
      <w:r w:rsidRPr="00E06A86">
        <w:rPr>
          <w:lang w:val="en-GB"/>
        </w:rPr>
        <w:t xml:space="preserve">, </w:t>
      </w:r>
      <w:r w:rsidR="00223C2B" w:rsidRPr="00E06A86">
        <w:rPr>
          <w:lang w:val="en-GB"/>
        </w:rPr>
        <w:t>no.</w:t>
      </w:r>
      <w:r w:rsidRPr="00E06A86">
        <w:rPr>
          <w:lang w:val="en-GB"/>
        </w:rPr>
        <w:t> </w:t>
      </w:r>
      <w:r w:rsidRPr="00E06A86">
        <w:rPr>
          <w:rStyle w:val="textcolumn"/>
          <w:lang w:val="en-GB"/>
        </w:rPr>
        <w:t>40083/07</w:t>
      </w:r>
      <w:r w:rsidRPr="00E06A86">
        <w:rPr>
          <w:lang w:val="en-GB"/>
        </w:rPr>
        <w:t xml:space="preserve">, </w:t>
      </w:r>
      <w:r w:rsidRPr="00E06A86">
        <w:rPr>
          <w:rStyle w:val="textcolumn"/>
          <w:lang w:val="en-GB"/>
        </w:rPr>
        <w:t xml:space="preserve">28 </w:t>
      </w:r>
      <w:r w:rsidR="00223C2B" w:rsidRPr="00E06A86">
        <w:rPr>
          <w:rStyle w:val="textcolumn"/>
          <w:lang w:val="en-GB"/>
        </w:rPr>
        <w:t>October</w:t>
      </w:r>
      <w:r w:rsidRPr="00E06A86">
        <w:rPr>
          <w:rStyle w:val="textcolumn"/>
          <w:lang w:val="en-GB"/>
        </w:rPr>
        <w:t xml:space="preserve"> 2010</w:t>
      </w:r>
      <w:r w:rsidRPr="00E06A86">
        <w:rPr>
          <w:lang w:val="en-GB"/>
        </w:rPr>
        <w:t xml:space="preserve">). </w:t>
      </w:r>
      <w:r w:rsidR="00223C2B" w:rsidRPr="00E06A86">
        <w:rPr>
          <w:lang w:val="en-GB"/>
        </w:rPr>
        <w:t xml:space="preserve">He submitted that the allowance in question </w:t>
      </w:r>
      <w:r w:rsidR="008D76A1">
        <w:rPr>
          <w:lang w:val="en-GB"/>
        </w:rPr>
        <w:t>gave practical effect to the right of</w:t>
      </w:r>
      <w:r w:rsidR="00223C2B" w:rsidRPr="00E06A86">
        <w:rPr>
          <w:lang w:val="en-GB"/>
        </w:rPr>
        <w:t xml:space="preserve"> </w:t>
      </w:r>
      <w:r w:rsidR="008D76A1" w:rsidRPr="00E06A86">
        <w:rPr>
          <w:lang w:val="en-GB"/>
        </w:rPr>
        <w:t xml:space="preserve">large families on low incomes </w:t>
      </w:r>
      <w:r w:rsidR="00223C2B" w:rsidRPr="00E06A86">
        <w:rPr>
          <w:lang w:val="en-GB"/>
        </w:rPr>
        <w:t>to a financial contribution to</w:t>
      </w:r>
      <w:r w:rsidR="00FA6D3E" w:rsidRPr="00E06A86">
        <w:rPr>
          <w:lang w:val="en-GB"/>
        </w:rPr>
        <w:t>wards</w:t>
      </w:r>
      <w:r w:rsidR="00223C2B" w:rsidRPr="00E06A86">
        <w:rPr>
          <w:lang w:val="en-GB"/>
        </w:rPr>
        <w:t xml:space="preserve"> maintaining family life. Its introduction had resulted from a deliberate act on the part of the State based on the </w:t>
      </w:r>
      <w:r w:rsidR="00FA6D3E" w:rsidRPr="00E06A86">
        <w:rPr>
          <w:lang w:val="en-GB"/>
        </w:rPr>
        <w:t>realisation</w:t>
      </w:r>
      <w:r w:rsidR="00223C2B" w:rsidRPr="00E06A86">
        <w:rPr>
          <w:lang w:val="en-GB"/>
        </w:rPr>
        <w:t xml:space="preserve"> that large families faced higher costs, linked mainly to the</w:t>
      </w:r>
      <w:r w:rsidR="00492FB6">
        <w:rPr>
          <w:lang w:val="en-GB"/>
        </w:rPr>
        <w:t>ir children</w:t>
      </w:r>
      <w:r w:rsidR="006B125B">
        <w:rPr>
          <w:lang w:val="en-GB"/>
        </w:rPr>
        <w:t>’</w:t>
      </w:r>
      <w:r w:rsidR="00492FB6">
        <w:rPr>
          <w:lang w:val="en-GB"/>
        </w:rPr>
        <w:t>s</w:t>
      </w:r>
      <w:r w:rsidR="00223C2B" w:rsidRPr="00E06A86">
        <w:rPr>
          <w:lang w:val="en-GB"/>
        </w:rPr>
        <w:t xml:space="preserve"> </w:t>
      </w:r>
      <w:r w:rsidR="00492FB6">
        <w:rPr>
          <w:lang w:val="en-GB"/>
        </w:rPr>
        <w:t>upkeep and education</w:t>
      </w:r>
      <w:r w:rsidR="00223C2B" w:rsidRPr="00E06A86">
        <w:rPr>
          <w:lang w:val="en-GB"/>
        </w:rPr>
        <w:t>.</w:t>
      </w:r>
    </w:p>
    <w:p w:rsidR="00765A7C" w:rsidRPr="00E06A86" w:rsidRDefault="00223C2B" w:rsidP="001A2467">
      <w:pPr>
        <w:pStyle w:val="ECHRPara"/>
        <w:rPr>
          <w:lang w:val="en-GB"/>
        </w:rPr>
      </w:pPr>
      <w:r w:rsidRPr="00E06A86">
        <w:rPr>
          <w:lang w:val="en-GB"/>
        </w:rPr>
        <w:t xml:space="preserve">The applicant disputed the </w:t>
      </w:r>
      <w:r w:rsidR="0092084B" w:rsidRPr="00E06A86">
        <w:rPr>
          <w:lang w:val="en-GB"/>
        </w:rPr>
        <w:t>G</w:t>
      </w:r>
      <w:r w:rsidRPr="00E06A86">
        <w:rPr>
          <w:lang w:val="en-GB"/>
        </w:rPr>
        <w:t>overnment</w:t>
      </w:r>
      <w:r w:rsidR="006B125B">
        <w:rPr>
          <w:lang w:val="en-GB"/>
        </w:rPr>
        <w:t>’</w:t>
      </w:r>
      <w:r w:rsidRPr="00E06A86">
        <w:rPr>
          <w:lang w:val="en-GB"/>
        </w:rPr>
        <w:t>s argument that the allowance in question</w:t>
      </w:r>
      <w:r w:rsidR="001A2467" w:rsidRPr="00E06A86">
        <w:rPr>
          <w:lang w:val="en-GB"/>
        </w:rPr>
        <w:t xml:space="preserve"> </w:t>
      </w:r>
      <w:r w:rsidR="00FA6D3E" w:rsidRPr="00E06A86">
        <w:rPr>
          <w:lang w:val="en-GB"/>
        </w:rPr>
        <w:t>fell into the category</w:t>
      </w:r>
      <w:r w:rsidR="001A2467" w:rsidRPr="00E06A86">
        <w:rPr>
          <w:lang w:val="en-GB"/>
        </w:rPr>
        <w:t xml:space="preserve"> of social </w:t>
      </w:r>
      <w:r w:rsidR="00FA6D3E" w:rsidRPr="00E06A86">
        <w:rPr>
          <w:lang w:val="en-GB"/>
        </w:rPr>
        <w:t>assistance</w:t>
      </w:r>
      <w:r w:rsidR="001A2467" w:rsidRPr="00E06A86">
        <w:rPr>
          <w:lang w:val="en-GB"/>
        </w:rPr>
        <w:t xml:space="preserve">. Basing his assertions on the </w:t>
      </w:r>
      <w:r w:rsidR="0092084B" w:rsidRPr="00E06A86">
        <w:rPr>
          <w:lang w:val="en-GB"/>
        </w:rPr>
        <w:t>changes made to</w:t>
      </w:r>
      <w:r w:rsidR="001A2467" w:rsidRPr="00E06A86">
        <w:rPr>
          <w:lang w:val="en-GB"/>
        </w:rPr>
        <w:t xml:space="preserve"> the system of family allowances in Italy, he submitted that </w:t>
      </w:r>
      <w:r w:rsidR="0092084B" w:rsidRPr="00E06A86">
        <w:rPr>
          <w:lang w:val="en-GB"/>
        </w:rPr>
        <w:t>they were</w:t>
      </w:r>
      <w:r w:rsidR="001A2467" w:rsidRPr="00E06A86">
        <w:rPr>
          <w:lang w:val="en-GB"/>
        </w:rPr>
        <w:t xml:space="preserve"> actually aimed at improving the specific benefits paid to workers. The Court had repeatedly ruled that similar </w:t>
      </w:r>
      <w:r w:rsidR="0092084B" w:rsidRPr="00E06A86">
        <w:rPr>
          <w:lang w:val="en-GB"/>
        </w:rPr>
        <w:t>“</w:t>
      </w:r>
      <w:r w:rsidR="009271F5">
        <w:rPr>
          <w:lang w:val="en-GB"/>
        </w:rPr>
        <w:t>welfare</w:t>
      </w:r>
      <w:r w:rsidR="001A2467" w:rsidRPr="00E06A86">
        <w:rPr>
          <w:lang w:val="en-GB"/>
        </w:rPr>
        <w:t xml:space="preserve"> benefits</w:t>
      </w:r>
      <w:r w:rsidR="0092084B" w:rsidRPr="00E06A86">
        <w:rPr>
          <w:lang w:val="en-GB"/>
        </w:rPr>
        <w:t>”</w:t>
      </w:r>
      <w:r w:rsidR="001A2467" w:rsidRPr="00E06A86">
        <w:rPr>
          <w:lang w:val="en-GB"/>
        </w:rPr>
        <w:t xml:space="preserve"> were a means </w:t>
      </w:r>
      <w:r w:rsidR="00FA6D3E" w:rsidRPr="00E06A86">
        <w:rPr>
          <w:lang w:val="en-GB"/>
        </w:rPr>
        <w:t>by which</w:t>
      </w:r>
      <w:r w:rsidR="001A2467" w:rsidRPr="00E06A86">
        <w:rPr>
          <w:lang w:val="en-GB"/>
        </w:rPr>
        <w:t xml:space="preserve"> </w:t>
      </w:r>
      <w:r w:rsidR="0092084B" w:rsidRPr="00E06A86">
        <w:rPr>
          <w:lang w:val="en-GB"/>
        </w:rPr>
        <w:t>S</w:t>
      </w:r>
      <w:r w:rsidR="001A2467" w:rsidRPr="00E06A86">
        <w:rPr>
          <w:lang w:val="en-GB"/>
        </w:rPr>
        <w:t>tate</w:t>
      </w:r>
      <w:r w:rsidR="0092084B" w:rsidRPr="00E06A86">
        <w:rPr>
          <w:lang w:val="en-GB"/>
        </w:rPr>
        <w:t>s</w:t>
      </w:r>
      <w:r w:rsidR="001A2467" w:rsidRPr="00E06A86">
        <w:rPr>
          <w:lang w:val="en-GB"/>
        </w:rPr>
        <w:t xml:space="preserve"> </w:t>
      </w:r>
      <w:r w:rsidR="00FA6D3E" w:rsidRPr="00E06A86">
        <w:rPr>
          <w:lang w:val="en-GB"/>
        </w:rPr>
        <w:t>could</w:t>
      </w:r>
      <w:r w:rsidR="001A2467" w:rsidRPr="00E06A86">
        <w:rPr>
          <w:lang w:val="en-GB"/>
        </w:rPr>
        <w:t xml:space="preserve"> </w:t>
      </w:r>
      <w:r w:rsidR="0092084B" w:rsidRPr="00E06A86">
        <w:rPr>
          <w:lang w:val="en-GB"/>
        </w:rPr>
        <w:t>“</w:t>
      </w:r>
      <w:r w:rsidR="001A2467" w:rsidRPr="00E06A86">
        <w:rPr>
          <w:lang w:val="en-GB"/>
        </w:rPr>
        <w:t xml:space="preserve">demonstrate </w:t>
      </w:r>
      <w:r w:rsidR="0092084B" w:rsidRPr="00E06A86">
        <w:rPr>
          <w:lang w:val="en-GB"/>
        </w:rPr>
        <w:t>their</w:t>
      </w:r>
      <w:r w:rsidR="001A2467" w:rsidRPr="00E06A86">
        <w:rPr>
          <w:lang w:val="en-GB"/>
        </w:rPr>
        <w:t xml:space="preserve"> respect for family life within the meaning of Article 8</w:t>
      </w:r>
      <w:r w:rsidR="0092084B" w:rsidRPr="00E06A86">
        <w:rPr>
          <w:lang w:val="en-GB"/>
        </w:rPr>
        <w:t>”</w:t>
      </w:r>
      <w:r w:rsidR="001A2467" w:rsidRPr="00E06A86">
        <w:rPr>
          <w:lang w:val="en-GB"/>
        </w:rPr>
        <w:t xml:space="preserve"> and</w:t>
      </w:r>
      <w:r w:rsidR="00492FB6">
        <w:rPr>
          <w:lang w:val="en-GB"/>
        </w:rPr>
        <w:t xml:space="preserve"> thus</w:t>
      </w:r>
      <w:r w:rsidR="001A2467" w:rsidRPr="00E06A86">
        <w:rPr>
          <w:lang w:val="en-GB"/>
        </w:rPr>
        <w:t xml:space="preserve"> came within the </w:t>
      </w:r>
      <w:r w:rsidR="0092084B" w:rsidRPr="00E06A86">
        <w:rPr>
          <w:lang w:val="en-GB"/>
        </w:rPr>
        <w:t>ambit</w:t>
      </w:r>
      <w:r w:rsidR="001A2467" w:rsidRPr="00E06A86">
        <w:rPr>
          <w:lang w:val="en-GB"/>
        </w:rPr>
        <w:t xml:space="preserve"> of that provision or of Article 1 of Protocol No. 1, without this being dependent on the prior payment of contributions by the recipient (the applicant referred, in particular, to </w:t>
      </w:r>
      <w:r w:rsidR="00765A7C" w:rsidRPr="00E06A86">
        <w:rPr>
          <w:i/>
          <w:lang w:val="en-GB"/>
        </w:rPr>
        <w:t xml:space="preserve">Stec </w:t>
      </w:r>
      <w:r w:rsidR="001A2467" w:rsidRPr="00E06A86">
        <w:rPr>
          <w:i/>
          <w:lang w:val="en-GB"/>
        </w:rPr>
        <w:t>and Others v. the United Kingdom</w:t>
      </w:r>
      <w:r w:rsidR="00765A7C" w:rsidRPr="00E06A86">
        <w:rPr>
          <w:lang w:val="en-GB"/>
        </w:rPr>
        <w:t xml:space="preserve"> [GC] (d</w:t>
      </w:r>
      <w:r w:rsidR="001A2467" w:rsidRPr="00E06A86">
        <w:rPr>
          <w:lang w:val="en-GB"/>
        </w:rPr>
        <w:t>e</w:t>
      </w:r>
      <w:r w:rsidR="00765A7C" w:rsidRPr="00E06A86">
        <w:rPr>
          <w:lang w:val="en-GB"/>
        </w:rPr>
        <w:t xml:space="preserve">c.), </w:t>
      </w:r>
      <w:r w:rsidR="001A2467" w:rsidRPr="00E06A86">
        <w:rPr>
          <w:lang w:val="en-GB"/>
        </w:rPr>
        <w:t>nos.</w:t>
      </w:r>
      <w:r w:rsidR="00967D42">
        <w:rPr>
          <w:lang w:val="en-GB"/>
        </w:rPr>
        <w:t> </w:t>
      </w:r>
      <w:r w:rsidR="00765A7C" w:rsidRPr="00E06A86">
        <w:rPr>
          <w:rStyle w:val="textcolumn"/>
          <w:lang w:val="en-GB"/>
        </w:rPr>
        <w:t xml:space="preserve">65731/01 </w:t>
      </w:r>
      <w:r w:rsidR="001A2467" w:rsidRPr="00E06A86">
        <w:rPr>
          <w:rStyle w:val="textcolumn"/>
          <w:lang w:val="en-GB"/>
        </w:rPr>
        <w:t>and</w:t>
      </w:r>
      <w:r w:rsidR="00765A7C" w:rsidRPr="00E06A86">
        <w:rPr>
          <w:rStyle w:val="textcolumn"/>
          <w:lang w:val="en-GB"/>
        </w:rPr>
        <w:t xml:space="preserve"> 65900/01</w:t>
      </w:r>
      <w:r w:rsidR="00765A7C" w:rsidRPr="00E06A86">
        <w:rPr>
          <w:lang w:val="en-GB"/>
        </w:rPr>
        <w:t xml:space="preserve">, §§ 49-56, </w:t>
      </w:r>
      <w:r w:rsidR="002138BA" w:rsidRPr="00E06A86">
        <w:rPr>
          <w:lang w:val="en-GB"/>
        </w:rPr>
        <w:t>ECHR</w:t>
      </w:r>
      <w:r w:rsidR="00765A7C" w:rsidRPr="00E06A86">
        <w:rPr>
          <w:lang w:val="en-GB"/>
        </w:rPr>
        <w:t xml:space="preserve"> 2005-X).</w:t>
      </w:r>
    </w:p>
    <w:p w:rsidR="001A2467" w:rsidRPr="00E06A86" w:rsidRDefault="00765A7C" w:rsidP="00765A7C">
      <w:pPr>
        <w:pStyle w:val="ECHRPara"/>
        <w:rPr>
          <w:lang w:val="en-GB"/>
        </w:rPr>
      </w:pPr>
      <w:r w:rsidRPr="00E06A86">
        <w:rPr>
          <w:lang w:val="en-GB"/>
        </w:rPr>
        <w:fldChar w:fldCharType="begin"/>
      </w:r>
      <w:r w:rsidRPr="00E06A86">
        <w:rPr>
          <w:lang w:val="en-GB"/>
        </w:rPr>
        <w:instrText xml:space="preserve"> SEQ level0 \*arabic </w:instrText>
      </w:r>
      <w:r w:rsidRPr="00E06A86">
        <w:rPr>
          <w:lang w:val="en-GB"/>
        </w:rPr>
        <w:fldChar w:fldCharType="separate"/>
      </w:r>
      <w:r w:rsidR="00473228">
        <w:rPr>
          <w:noProof/>
          <w:lang w:val="en-GB"/>
        </w:rPr>
        <w:t>37</w:t>
      </w:r>
      <w:r w:rsidRPr="00E06A86">
        <w:rPr>
          <w:noProof/>
          <w:lang w:val="en-GB"/>
        </w:rPr>
        <w:fldChar w:fldCharType="end"/>
      </w:r>
      <w:r w:rsidRPr="00E06A86">
        <w:rPr>
          <w:lang w:val="en-GB"/>
        </w:rPr>
        <w:t>.  </w:t>
      </w:r>
      <w:r w:rsidR="001A2467" w:rsidRPr="00E06A86">
        <w:rPr>
          <w:lang w:val="en-GB"/>
        </w:rPr>
        <w:t>The applicant noted that the sole obstacle to granting him the allowance had been his nationality. This amounted to discrimination compared with Italian citizens in a comparable financial and family situation to his own.</w:t>
      </w:r>
    </w:p>
    <w:p w:rsidR="00765A7C" w:rsidRPr="00E06A86" w:rsidRDefault="001A2467" w:rsidP="00765A7C">
      <w:pPr>
        <w:pStyle w:val="ECHRHeading4"/>
        <w:rPr>
          <w:lang w:val="en-GB"/>
        </w:rPr>
      </w:pPr>
      <w:r w:rsidRPr="00E06A86">
        <w:rPr>
          <w:lang w:val="en-GB"/>
        </w:rPr>
        <w:t>(</w:t>
      </w:r>
      <w:r w:rsidR="00765A7C" w:rsidRPr="00E06A86">
        <w:rPr>
          <w:lang w:val="en-GB"/>
        </w:rPr>
        <w:t>b)  </w:t>
      </w:r>
      <w:r w:rsidRPr="00E06A86">
        <w:rPr>
          <w:lang w:val="en-GB"/>
        </w:rPr>
        <w:t>The Government</w:t>
      </w:r>
    </w:p>
    <w:p w:rsidR="001A2467" w:rsidRPr="00E06A86" w:rsidRDefault="00765A7C" w:rsidP="00765A7C">
      <w:pPr>
        <w:pStyle w:val="ECHRPara"/>
        <w:rPr>
          <w:lang w:val="en-GB"/>
        </w:rPr>
      </w:pPr>
      <w:r w:rsidRPr="00E06A86">
        <w:rPr>
          <w:lang w:val="en-GB"/>
        </w:rPr>
        <w:fldChar w:fldCharType="begin"/>
      </w:r>
      <w:r w:rsidRPr="00E06A86">
        <w:rPr>
          <w:lang w:val="en-GB"/>
        </w:rPr>
        <w:instrText xml:space="preserve"> SEQ level0 \*arabic </w:instrText>
      </w:r>
      <w:r w:rsidRPr="00E06A86">
        <w:rPr>
          <w:lang w:val="en-GB"/>
        </w:rPr>
        <w:fldChar w:fldCharType="separate"/>
      </w:r>
      <w:r w:rsidR="00473228">
        <w:rPr>
          <w:noProof/>
          <w:lang w:val="en-GB"/>
        </w:rPr>
        <w:t>38</w:t>
      </w:r>
      <w:r w:rsidRPr="00E06A86">
        <w:rPr>
          <w:noProof/>
          <w:lang w:val="en-GB"/>
        </w:rPr>
        <w:fldChar w:fldCharType="end"/>
      </w:r>
      <w:r w:rsidRPr="00E06A86">
        <w:rPr>
          <w:lang w:val="en-GB"/>
        </w:rPr>
        <w:t>.  </w:t>
      </w:r>
      <w:r w:rsidR="00CB291F" w:rsidRPr="00E06A86">
        <w:rPr>
          <w:lang w:val="en-GB"/>
        </w:rPr>
        <w:t xml:space="preserve">The Government took the view that the subject matter of the application did not come within the scope of Article 8 of the Convention, as the </w:t>
      </w:r>
      <w:r w:rsidR="009271F5">
        <w:rPr>
          <w:lang w:val="en-GB"/>
        </w:rPr>
        <w:t>social-assistance</w:t>
      </w:r>
      <w:r w:rsidR="00B17EFA" w:rsidRPr="00492FB6">
        <w:rPr>
          <w:lang w:val="en-GB"/>
        </w:rPr>
        <w:t xml:space="preserve"> benefit</w:t>
      </w:r>
      <w:r w:rsidR="00CB291F" w:rsidRPr="00E06A86">
        <w:rPr>
          <w:lang w:val="en-GB"/>
        </w:rPr>
        <w:t xml:space="preserve"> claimed by the applicant </w:t>
      </w:r>
      <w:r w:rsidR="00B17EFA" w:rsidRPr="00E06A86">
        <w:rPr>
          <w:lang w:val="en-GB"/>
        </w:rPr>
        <w:t>could not be characterised as “primary” assistance</w:t>
      </w:r>
      <w:r w:rsidR="00CB291F" w:rsidRPr="00E06A86">
        <w:rPr>
          <w:lang w:val="en-GB"/>
        </w:rPr>
        <w:t>.</w:t>
      </w:r>
    </w:p>
    <w:p w:rsidR="00765A7C" w:rsidRPr="00E06A86" w:rsidRDefault="00765A7C" w:rsidP="00765A7C">
      <w:pPr>
        <w:pStyle w:val="ECHRHeading3"/>
        <w:rPr>
          <w:lang w:val="en-GB"/>
        </w:rPr>
      </w:pPr>
      <w:r w:rsidRPr="00E06A86">
        <w:rPr>
          <w:lang w:val="en-GB"/>
        </w:rPr>
        <w:lastRenderedPageBreak/>
        <w:t>2.  </w:t>
      </w:r>
      <w:r w:rsidR="0092084B" w:rsidRPr="00E06A86">
        <w:rPr>
          <w:lang w:val="en-GB"/>
        </w:rPr>
        <w:t>The Court</w:t>
      </w:r>
      <w:r w:rsidR="006B125B">
        <w:rPr>
          <w:lang w:val="en-GB"/>
        </w:rPr>
        <w:t>’</w:t>
      </w:r>
      <w:r w:rsidR="00CB291F" w:rsidRPr="00E06A86">
        <w:rPr>
          <w:lang w:val="en-GB"/>
        </w:rPr>
        <w:t>s assessment</w:t>
      </w:r>
    </w:p>
    <w:p w:rsidR="00765A7C" w:rsidRPr="00E06A86" w:rsidRDefault="00CB291F" w:rsidP="00765A7C">
      <w:pPr>
        <w:pStyle w:val="ECHRHeading4"/>
        <w:rPr>
          <w:lang w:val="en-GB"/>
        </w:rPr>
      </w:pPr>
      <w:r w:rsidRPr="00E06A86">
        <w:rPr>
          <w:lang w:val="en-GB"/>
        </w:rPr>
        <w:t>(</w:t>
      </w:r>
      <w:r w:rsidR="00765A7C" w:rsidRPr="00E06A86">
        <w:rPr>
          <w:lang w:val="en-GB"/>
        </w:rPr>
        <w:t>a)  </w:t>
      </w:r>
      <w:r w:rsidRPr="00E06A86">
        <w:rPr>
          <w:lang w:val="en-GB"/>
        </w:rPr>
        <w:t>Applicability of Article 14 of the Convention taken in conjunction with Article 8</w:t>
      </w:r>
    </w:p>
    <w:p w:rsidR="00765A7C" w:rsidRPr="00E06A86" w:rsidRDefault="00765A7C" w:rsidP="00765A7C">
      <w:pPr>
        <w:pStyle w:val="ECHRPara"/>
        <w:rPr>
          <w:lang w:val="en-GB"/>
        </w:rPr>
      </w:pPr>
      <w:r w:rsidRPr="00E06A86">
        <w:rPr>
          <w:lang w:val="en-GB"/>
        </w:rPr>
        <w:fldChar w:fldCharType="begin"/>
      </w:r>
      <w:r w:rsidRPr="00E06A86">
        <w:rPr>
          <w:lang w:val="en-GB"/>
        </w:rPr>
        <w:instrText xml:space="preserve"> SEQ level0 \*arabic </w:instrText>
      </w:r>
      <w:r w:rsidRPr="00E06A86">
        <w:rPr>
          <w:lang w:val="en-GB"/>
        </w:rPr>
        <w:fldChar w:fldCharType="separate"/>
      </w:r>
      <w:r w:rsidR="00473228">
        <w:rPr>
          <w:noProof/>
          <w:lang w:val="en-GB"/>
        </w:rPr>
        <w:t>39</w:t>
      </w:r>
      <w:r w:rsidRPr="00E06A86">
        <w:rPr>
          <w:noProof/>
          <w:lang w:val="en-GB"/>
        </w:rPr>
        <w:fldChar w:fldCharType="end"/>
      </w:r>
      <w:r w:rsidRPr="00E06A86">
        <w:rPr>
          <w:lang w:val="en-GB"/>
        </w:rPr>
        <w:t>.  </w:t>
      </w:r>
      <w:r w:rsidR="00CB291F" w:rsidRPr="00E06A86">
        <w:rPr>
          <w:lang w:val="en-GB"/>
        </w:rPr>
        <w:t xml:space="preserve">As the Court has consistently held, Article 14 complements the other substantive provisions of the Convention and its Protocols. It has no independent existence since it has effect solely in relation to “the enjoyment of the rights and freedoms” safeguarded thereby. Although the application of Article 14 does not presuppose a breach of those provisions – and to this extent it is autonomous – there can be no room for its application unless the facts at issue fall within the ambit of one or more of them (see, among many other authorities, </w:t>
      </w:r>
      <w:r w:rsidR="00CB291F" w:rsidRPr="00E06A86">
        <w:rPr>
          <w:i/>
          <w:lang w:val="en-GB"/>
        </w:rPr>
        <w:t>Van Raalte v. the Netherlands</w:t>
      </w:r>
      <w:r w:rsidR="00CB291F" w:rsidRPr="00E06A86">
        <w:rPr>
          <w:lang w:val="en-GB"/>
        </w:rPr>
        <w:t xml:space="preserve">, 21 February 1997, § 33, </w:t>
      </w:r>
      <w:r w:rsidR="00CB291F" w:rsidRPr="00492FB6">
        <w:rPr>
          <w:i/>
          <w:lang w:val="en-GB"/>
        </w:rPr>
        <w:t>Reports</w:t>
      </w:r>
      <w:r w:rsidR="00CB291F" w:rsidRPr="00E06A86">
        <w:rPr>
          <w:lang w:val="en-GB"/>
        </w:rPr>
        <w:t xml:space="preserve"> 1997-I; </w:t>
      </w:r>
      <w:r w:rsidR="00CB291F" w:rsidRPr="00E06A86">
        <w:rPr>
          <w:i/>
          <w:lang w:val="en-GB"/>
        </w:rPr>
        <w:t>Petrovic</w:t>
      </w:r>
      <w:r w:rsidR="00CB291F" w:rsidRPr="00E06A86">
        <w:rPr>
          <w:lang w:val="en-GB"/>
        </w:rPr>
        <w:t xml:space="preserve">, cited above, § 22; and </w:t>
      </w:r>
      <w:r w:rsidRPr="00E06A86">
        <w:rPr>
          <w:rStyle w:val="sb8d990e2"/>
          <w:i/>
          <w:lang w:val="en-GB"/>
        </w:rPr>
        <w:t xml:space="preserve">Zarb Adami </w:t>
      </w:r>
      <w:r w:rsidR="00CB291F" w:rsidRPr="00E06A86">
        <w:rPr>
          <w:rStyle w:val="sb8d990e2"/>
          <w:i/>
          <w:lang w:val="en-GB"/>
        </w:rPr>
        <w:t>v</w:t>
      </w:r>
      <w:r w:rsidRPr="00E06A86">
        <w:rPr>
          <w:rStyle w:val="sb8d990e2"/>
          <w:i/>
          <w:lang w:val="en-GB"/>
        </w:rPr>
        <w:t>. Malt</w:t>
      </w:r>
      <w:r w:rsidR="00CB291F" w:rsidRPr="00E06A86">
        <w:rPr>
          <w:rStyle w:val="sb8d990e2"/>
          <w:i/>
          <w:lang w:val="en-GB"/>
        </w:rPr>
        <w:t>a</w:t>
      </w:r>
      <w:r w:rsidRPr="00E06A86">
        <w:rPr>
          <w:rStyle w:val="sb8d990e2"/>
          <w:lang w:val="en-GB"/>
        </w:rPr>
        <w:t xml:space="preserve">, </w:t>
      </w:r>
      <w:r w:rsidR="00CB291F" w:rsidRPr="00E06A86">
        <w:rPr>
          <w:rStyle w:val="sb8d990e2"/>
          <w:lang w:val="en-GB"/>
        </w:rPr>
        <w:t>no.</w:t>
      </w:r>
      <w:r w:rsidRPr="00E06A86">
        <w:rPr>
          <w:rStyle w:val="sb8d990e2"/>
          <w:lang w:val="en-GB"/>
        </w:rPr>
        <w:t xml:space="preserve"> 17209/02, § 42, </w:t>
      </w:r>
      <w:r w:rsidR="002138BA" w:rsidRPr="00E06A86">
        <w:rPr>
          <w:rStyle w:val="sb8d990e2"/>
          <w:lang w:val="en-GB"/>
        </w:rPr>
        <w:t>ECHR</w:t>
      </w:r>
      <w:r w:rsidRPr="00E06A86">
        <w:rPr>
          <w:rStyle w:val="sb8d990e2"/>
          <w:lang w:val="en-GB"/>
        </w:rPr>
        <w:t xml:space="preserve"> 2006-VIII).</w:t>
      </w:r>
    </w:p>
    <w:p w:rsidR="00765A7C" w:rsidRPr="00E06A86" w:rsidRDefault="00765A7C" w:rsidP="00B55F84">
      <w:pPr>
        <w:pStyle w:val="ECHRPara"/>
        <w:rPr>
          <w:rStyle w:val="sb8d990e2"/>
          <w:lang w:val="en-GB"/>
        </w:rPr>
      </w:pPr>
      <w:r w:rsidRPr="00E06A86">
        <w:rPr>
          <w:lang w:val="en-GB"/>
        </w:rPr>
        <w:fldChar w:fldCharType="begin"/>
      </w:r>
      <w:r w:rsidRPr="00E06A86">
        <w:rPr>
          <w:lang w:val="en-GB"/>
        </w:rPr>
        <w:instrText xml:space="preserve"> SEQ level0 \*arabic </w:instrText>
      </w:r>
      <w:r w:rsidRPr="00E06A86">
        <w:rPr>
          <w:lang w:val="en-GB"/>
        </w:rPr>
        <w:fldChar w:fldCharType="separate"/>
      </w:r>
      <w:r w:rsidR="00473228">
        <w:rPr>
          <w:noProof/>
          <w:lang w:val="en-GB"/>
        </w:rPr>
        <w:t>40</w:t>
      </w:r>
      <w:r w:rsidRPr="00E06A86">
        <w:rPr>
          <w:noProof/>
          <w:lang w:val="en-GB"/>
        </w:rPr>
        <w:fldChar w:fldCharType="end"/>
      </w:r>
      <w:r w:rsidRPr="00E06A86">
        <w:rPr>
          <w:lang w:val="en-GB"/>
        </w:rPr>
        <w:t>.  </w:t>
      </w:r>
      <w:r w:rsidR="00CB291F" w:rsidRPr="00E06A86">
        <w:rPr>
          <w:lang w:val="en-GB"/>
        </w:rPr>
        <w:t xml:space="preserve">The </w:t>
      </w:r>
      <w:r w:rsidR="00B55F84" w:rsidRPr="00E06A86">
        <w:rPr>
          <w:lang w:val="en-GB"/>
        </w:rPr>
        <w:t>C</w:t>
      </w:r>
      <w:r w:rsidR="00CB291F" w:rsidRPr="00E06A86">
        <w:rPr>
          <w:lang w:val="en-GB"/>
        </w:rPr>
        <w:t>ourt considers first of all that the authorit</w:t>
      </w:r>
      <w:r w:rsidR="0092084B" w:rsidRPr="00E06A86">
        <w:rPr>
          <w:lang w:val="en-GB"/>
        </w:rPr>
        <w:t>ies</w:t>
      </w:r>
      <w:r w:rsidR="006B125B">
        <w:rPr>
          <w:lang w:val="en-GB"/>
        </w:rPr>
        <w:t>’</w:t>
      </w:r>
      <w:r w:rsidR="00CB291F" w:rsidRPr="00E06A86">
        <w:rPr>
          <w:lang w:val="en-GB"/>
        </w:rPr>
        <w:t xml:space="preserve"> refusal to grant the applicant the allowance in </w:t>
      </w:r>
      <w:r w:rsidR="00B55F84" w:rsidRPr="00E06A86">
        <w:rPr>
          <w:lang w:val="en-GB"/>
        </w:rPr>
        <w:t>issue</w:t>
      </w:r>
      <w:r w:rsidR="00CB291F" w:rsidRPr="00E06A86">
        <w:rPr>
          <w:lang w:val="en-GB"/>
        </w:rPr>
        <w:t xml:space="preserve"> was not aimed at breaking up his family, nor did </w:t>
      </w:r>
      <w:r w:rsidR="0092084B" w:rsidRPr="00E06A86">
        <w:rPr>
          <w:lang w:val="en-GB"/>
        </w:rPr>
        <w:t>it</w:t>
      </w:r>
      <w:r w:rsidR="00CB291F" w:rsidRPr="00E06A86">
        <w:rPr>
          <w:lang w:val="en-GB"/>
        </w:rPr>
        <w:t xml:space="preserve"> have such an effect, </w:t>
      </w:r>
      <w:r w:rsidR="00492FB6">
        <w:rPr>
          <w:lang w:val="en-GB"/>
        </w:rPr>
        <w:t>since</w:t>
      </w:r>
      <w:r w:rsidR="00CB291F" w:rsidRPr="00E06A86">
        <w:rPr>
          <w:lang w:val="en-GB"/>
        </w:rPr>
        <w:t xml:space="preserve"> </w:t>
      </w:r>
      <w:r w:rsidR="00B55F84" w:rsidRPr="00E06A86">
        <w:rPr>
          <w:lang w:val="en-GB"/>
        </w:rPr>
        <w:t>A</w:t>
      </w:r>
      <w:r w:rsidR="00CB291F" w:rsidRPr="00E06A86">
        <w:rPr>
          <w:lang w:val="en-GB"/>
        </w:rPr>
        <w:t>rticle 8 does not impose a</w:t>
      </w:r>
      <w:r w:rsidR="00492FB6">
        <w:rPr>
          <w:lang w:val="en-GB"/>
        </w:rPr>
        <w:t>ny</w:t>
      </w:r>
      <w:r w:rsidR="00CB291F" w:rsidRPr="00E06A86">
        <w:rPr>
          <w:lang w:val="en-GB"/>
        </w:rPr>
        <w:t xml:space="preserve"> positive obligation on </w:t>
      </w:r>
      <w:r w:rsidR="0092084B" w:rsidRPr="00E06A86">
        <w:rPr>
          <w:lang w:val="en-GB"/>
        </w:rPr>
        <w:t>S</w:t>
      </w:r>
      <w:r w:rsidR="00CB291F" w:rsidRPr="00E06A86">
        <w:rPr>
          <w:lang w:val="en-GB"/>
        </w:rPr>
        <w:t>tates</w:t>
      </w:r>
      <w:r w:rsidR="00B55F84" w:rsidRPr="00E06A86">
        <w:rPr>
          <w:lang w:val="en-GB"/>
        </w:rPr>
        <w:t xml:space="preserve"> to </w:t>
      </w:r>
      <w:r w:rsidR="00492FB6">
        <w:rPr>
          <w:lang w:val="en-GB"/>
        </w:rPr>
        <w:t>provide</w:t>
      </w:r>
      <w:r w:rsidR="00B55F84" w:rsidRPr="00E06A86">
        <w:rPr>
          <w:lang w:val="en-GB"/>
        </w:rPr>
        <w:t xml:space="preserve"> the financial assistance in question</w:t>
      </w:r>
      <w:r w:rsidRPr="00E06A86">
        <w:rPr>
          <w:rStyle w:val="sb8d990e2"/>
          <w:lang w:val="en-GB"/>
        </w:rPr>
        <w:t xml:space="preserve"> (</w:t>
      </w:r>
      <w:r w:rsidR="00B55F84" w:rsidRPr="00E06A86">
        <w:rPr>
          <w:rStyle w:val="sb8d990e2"/>
          <w:lang w:val="en-GB"/>
        </w:rPr>
        <w:t xml:space="preserve">see </w:t>
      </w:r>
      <w:r w:rsidRPr="00E06A86">
        <w:rPr>
          <w:rStyle w:val="sb8d990e2"/>
          <w:i/>
          <w:lang w:val="en-GB"/>
        </w:rPr>
        <w:t>Petrovic</w:t>
      </w:r>
      <w:r w:rsidRPr="00E06A86">
        <w:rPr>
          <w:rStyle w:val="sb8d990e2"/>
          <w:lang w:val="en-GB"/>
        </w:rPr>
        <w:t xml:space="preserve">, </w:t>
      </w:r>
      <w:r w:rsidR="00CB291F" w:rsidRPr="00E06A86">
        <w:rPr>
          <w:rStyle w:val="sb8d990e2"/>
          <w:lang w:val="en-GB"/>
        </w:rPr>
        <w:t>cited above</w:t>
      </w:r>
      <w:r w:rsidRPr="00E06A86">
        <w:rPr>
          <w:rStyle w:val="sb8d990e2"/>
          <w:lang w:val="en-GB"/>
        </w:rPr>
        <w:t>, § 26;</w:t>
      </w:r>
      <w:r w:rsidRPr="00E06A86">
        <w:rPr>
          <w:rStyle w:val="sb8d990e2"/>
          <w:i/>
          <w:lang w:val="en-GB"/>
        </w:rPr>
        <w:t xml:space="preserve"> </w:t>
      </w:r>
      <w:r w:rsidRPr="00E06A86">
        <w:rPr>
          <w:rStyle w:val="s6b621b36"/>
          <w:i/>
          <w:lang w:val="en-GB"/>
        </w:rPr>
        <w:t xml:space="preserve">Zeïbek </w:t>
      </w:r>
      <w:r w:rsidR="00B55F84" w:rsidRPr="00E06A86">
        <w:rPr>
          <w:rStyle w:val="s6b621b36"/>
          <w:i/>
          <w:lang w:val="en-GB"/>
        </w:rPr>
        <w:t>v. Greece</w:t>
      </w:r>
      <w:r w:rsidRPr="00E06A86">
        <w:rPr>
          <w:rStyle w:val="s6b621b36"/>
          <w:lang w:val="en-GB"/>
        </w:rPr>
        <w:t>,</w:t>
      </w:r>
      <w:r w:rsidRPr="00E06A86">
        <w:rPr>
          <w:rStyle w:val="sb8d990e2"/>
          <w:lang w:val="en-GB"/>
        </w:rPr>
        <w:t xml:space="preserve"> </w:t>
      </w:r>
      <w:r w:rsidR="00B55F84" w:rsidRPr="00E06A86">
        <w:rPr>
          <w:rStyle w:val="sb8d990e2"/>
          <w:lang w:val="en-GB"/>
        </w:rPr>
        <w:t>no.</w:t>
      </w:r>
      <w:r w:rsidRPr="00E06A86">
        <w:rPr>
          <w:rStyle w:val="sea881cdf"/>
          <w:lang w:val="en-GB"/>
        </w:rPr>
        <w:t> 46368/06</w:t>
      </w:r>
      <w:r w:rsidRPr="00E06A86">
        <w:rPr>
          <w:rStyle w:val="sb8d990e2"/>
          <w:lang w:val="en-GB"/>
        </w:rPr>
        <w:t>, § 32, 9</w:t>
      </w:r>
      <w:r w:rsidR="00967D42">
        <w:rPr>
          <w:rStyle w:val="sb8d990e2"/>
          <w:lang w:val="en-GB"/>
        </w:rPr>
        <w:t> </w:t>
      </w:r>
      <w:r w:rsidR="00B55F84" w:rsidRPr="00E06A86">
        <w:rPr>
          <w:rStyle w:val="sb8d990e2"/>
          <w:lang w:val="en-GB"/>
        </w:rPr>
        <w:t>July</w:t>
      </w:r>
      <w:r w:rsidRPr="00E06A86">
        <w:rPr>
          <w:rStyle w:val="sb8d990e2"/>
          <w:lang w:val="en-GB"/>
        </w:rPr>
        <w:t xml:space="preserve"> 2009; </w:t>
      </w:r>
      <w:r w:rsidR="00B55F84" w:rsidRPr="00E06A86">
        <w:rPr>
          <w:rStyle w:val="sb8d990e2"/>
          <w:lang w:val="en-GB"/>
        </w:rPr>
        <w:t>and</w:t>
      </w:r>
      <w:r w:rsidRPr="00E06A86">
        <w:rPr>
          <w:rStyle w:val="sb8d990e2"/>
          <w:lang w:val="en-GB"/>
        </w:rPr>
        <w:t xml:space="preserve"> </w:t>
      </w:r>
      <w:r w:rsidRPr="00E06A86">
        <w:rPr>
          <w:rStyle w:val="sb8d990e2"/>
          <w:i/>
          <w:lang w:val="en-GB"/>
        </w:rPr>
        <w:t>Fawsie</w:t>
      </w:r>
      <w:r w:rsidRPr="00E06A86">
        <w:rPr>
          <w:rStyle w:val="sb8d990e2"/>
          <w:lang w:val="en-GB"/>
        </w:rPr>
        <w:t xml:space="preserve">, </w:t>
      </w:r>
      <w:r w:rsidR="00CB291F" w:rsidRPr="00E06A86">
        <w:rPr>
          <w:rStyle w:val="sb8d990e2"/>
          <w:lang w:val="en-GB"/>
        </w:rPr>
        <w:t>cited above</w:t>
      </w:r>
      <w:r w:rsidRPr="00E06A86">
        <w:rPr>
          <w:rStyle w:val="sb8d990e2"/>
          <w:lang w:val="en-GB"/>
        </w:rPr>
        <w:t>, § 27).</w:t>
      </w:r>
    </w:p>
    <w:p w:rsidR="00B55F84" w:rsidRPr="00E06A86" w:rsidRDefault="00765A7C" w:rsidP="00B55F84">
      <w:pPr>
        <w:pStyle w:val="ECHRPara"/>
        <w:rPr>
          <w:lang w:val="en-GB"/>
        </w:rPr>
      </w:pPr>
      <w:r w:rsidRPr="00E06A86">
        <w:rPr>
          <w:rStyle w:val="sb8d990e2"/>
          <w:lang w:val="en-GB"/>
        </w:rPr>
        <w:fldChar w:fldCharType="begin"/>
      </w:r>
      <w:r w:rsidRPr="00E06A86">
        <w:rPr>
          <w:rStyle w:val="sb8d990e2"/>
          <w:lang w:val="en-GB"/>
        </w:rPr>
        <w:instrText xml:space="preserve"> SEQ level0 \*arabic </w:instrText>
      </w:r>
      <w:r w:rsidRPr="00E06A86">
        <w:rPr>
          <w:rStyle w:val="sb8d990e2"/>
          <w:lang w:val="en-GB"/>
        </w:rPr>
        <w:fldChar w:fldCharType="separate"/>
      </w:r>
      <w:r w:rsidR="00473228">
        <w:rPr>
          <w:rStyle w:val="sb8d990e2"/>
          <w:noProof/>
          <w:lang w:val="en-GB"/>
        </w:rPr>
        <w:t>41</w:t>
      </w:r>
      <w:r w:rsidRPr="00E06A86">
        <w:rPr>
          <w:rStyle w:val="sb8d990e2"/>
          <w:lang w:val="en-GB"/>
        </w:rPr>
        <w:fldChar w:fldCharType="end"/>
      </w:r>
      <w:r w:rsidRPr="00E06A86">
        <w:rPr>
          <w:rStyle w:val="sb8d990e2"/>
          <w:lang w:val="en-GB"/>
        </w:rPr>
        <w:t>.  </w:t>
      </w:r>
      <w:r w:rsidR="00B55F84" w:rsidRPr="00E06A86">
        <w:rPr>
          <w:rStyle w:val="sb8d990e2"/>
          <w:lang w:val="en-GB"/>
        </w:rPr>
        <w:t>Nevertheless, the Court has previously held that, by granting benefits to large families,</w:t>
      </w:r>
      <w:r w:rsidR="0092084B" w:rsidRPr="00E06A86">
        <w:rPr>
          <w:rStyle w:val="sb8d990e2"/>
          <w:lang w:val="en-GB"/>
        </w:rPr>
        <w:t xml:space="preserve"> S</w:t>
      </w:r>
      <w:r w:rsidR="00B55F84" w:rsidRPr="00E06A86">
        <w:rPr>
          <w:rStyle w:val="sb8d990e2"/>
          <w:lang w:val="en-GB"/>
        </w:rPr>
        <w:t>tates are able to “</w:t>
      </w:r>
      <w:r w:rsidR="00B55F84" w:rsidRPr="00E06A86">
        <w:rPr>
          <w:lang w:val="en-GB"/>
        </w:rPr>
        <w:t>demonstrate their respect for family life</w:t>
      </w:r>
      <w:r w:rsidR="000B49B1">
        <w:rPr>
          <w:lang w:val="en-GB"/>
        </w:rPr>
        <w:t>”</w:t>
      </w:r>
      <w:r w:rsidR="00B55F84" w:rsidRPr="00E06A86">
        <w:rPr>
          <w:lang w:val="en-GB"/>
        </w:rPr>
        <w:t xml:space="preserve"> within the meaning of Article 8 of the Convention and that such benefits therefore come within the ambit of Article 8</w:t>
      </w:r>
      <w:r w:rsidRPr="00E06A86">
        <w:rPr>
          <w:rStyle w:val="sb8d990e2"/>
          <w:lang w:val="en-GB"/>
        </w:rPr>
        <w:t xml:space="preserve"> (</w:t>
      </w:r>
      <w:r w:rsidR="00B55F84" w:rsidRPr="00E06A86">
        <w:rPr>
          <w:rStyle w:val="sb8d990e2"/>
          <w:lang w:val="en-GB"/>
        </w:rPr>
        <w:t xml:space="preserve">see </w:t>
      </w:r>
      <w:r w:rsidRPr="00E06A86">
        <w:rPr>
          <w:rStyle w:val="sb8d990e2"/>
          <w:i/>
          <w:lang w:val="en-GB"/>
        </w:rPr>
        <w:t>Okpisz</w:t>
      </w:r>
      <w:r w:rsidRPr="00E06A86">
        <w:rPr>
          <w:rStyle w:val="sb8d990e2"/>
          <w:lang w:val="en-GB"/>
        </w:rPr>
        <w:t xml:space="preserve">, </w:t>
      </w:r>
      <w:r w:rsidR="00CB291F" w:rsidRPr="00E06A86">
        <w:rPr>
          <w:rStyle w:val="sb8d990e2"/>
          <w:lang w:val="en-GB"/>
        </w:rPr>
        <w:t>cited above</w:t>
      </w:r>
      <w:r w:rsidRPr="00E06A86">
        <w:rPr>
          <w:rStyle w:val="sb8d990e2"/>
          <w:lang w:val="en-GB"/>
        </w:rPr>
        <w:t xml:space="preserve">, § 32; </w:t>
      </w:r>
      <w:r w:rsidRPr="00E06A86">
        <w:rPr>
          <w:i/>
          <w:lang w:val="en-GB"/>
        </w:rPr>
        <w:t>Niedzwiecki</w:t>
      </w:r>
      <w:r w:rsidRPr="00E06A86">
        <w:rPr>
          <w:lang w:val="en-GB"/>
        </w:rPr>
        <w:t xml:space="preserve">, </w:t>
      </w:r>
      <w:r w:rsidR="00CB291F" w:rsidRPr="00E06A86">
        <w:rPr>
          <w:lang w:val="en-GB"/>
        </w:rPr>
        <w:t>cited above</w:t>
      </w:r>
      <w:r w:rsidRPr="00E06A86">
        <w:rPr>
          <w:lang w:val="en-GB"/>
        </w:rPr>
        <w:t xml:space="preserve">, § 31; </w:t>
      </w:r>
      <w:r w:rsidRPr="00E06A86">
        <w:rPr>
          <w:rStyle w:val="sb8d990e2"/>
          <w:i/>
          <w:lang w:val="en-GB"/>
        </w:rPr>
        <w:t>Fawsie</w:t>
      </w:r>
      <w:r w:rsidRPr="00E06A86">
        <w:rPr>
          <w:rStyle w:val="sb8d990e2"/>
          <w:lang w:val="en-GB"/>
        </w:rPr>
        <w:t xml:space="preserve">, </w:t>
      </w:r>
      <w:r w:rsidR="00CB291F" w:rsidRPr="00E06A86">
        <w:rPr>
          <w:rStyle w:val="sb8d990e2"/>
          <w:lang w:val="en-GB"/>
        </w:rPr>
        <w:t>cited above</w:t>
      </w:r>
      <w:r w:rsidRPr="00E06A86">
        <w:rPr>
          <w:rStyle w:val="sb8d990e2"/>
          <w:lang w:val="en-GB"/>
        </w:rPr>
        <w:t xml:space="preserve">, § 28; </w:t>
      </w:r>
      <w:r w:rsidR="00CB291F" w:rsidRPr="00E06A86">
        <w:rPr>
          <w:rStyle w:val="sb8d990e2"/>
          <w:lang w:val="en-GB"/>
        </w:rPr>
        <w:t>and</w:t>
      </w:r>
      <w:r w:rsidRPr="00E06A86">
        <w:rPr>
          <w:rStyle w:val="sb8d990e2"/>
          <w:lang w:val="en-GB"/>
        </w:rPr>
        <w:t xml:space="preserve"> </w:t>
      </w:r>
      <w:r w:rsidRPr="00E06A86">
        <w:rPr>
          <w:i/>
          <w:lang w:val="en-GB"/>
        </w:rPr>
        <w:t>Saidoun</w:t>
      </w:r>
      <w:r w:rsidRPr="00E06A86">
        <w:rPr>
          <w:lang w:val="en-GB"/>
        </w:rPr>
        <w:t xml:space="preserve">, </w:t>
      </w:r>
      <w:r w:rsidR="00CB291F" w:rsidRPr="00E06A86">
        <w:rPr>
          <w:lang w:val="en-GB"/>
        </w:rPr>
        <w:t>cited above</w:t>
      </w:r>
      <w:r w:rsidRPr="00E06A86">
        <w:rPr>
          <w:lang w:val="en-GB"/>
        </w:rPr>
        <w:t xml:space="preserve">, § 29; </w:t>
      </w:r>
      <w:r w:rsidR="00CB291F" w:rsidRPr="00E06A86">
        <w:rPr>
          <w:lang w:val="en-GB"/>
        </w:rPr>
        <w:t>see also</w:t>
      </w:r>
      <w:r w:rsidRPr="00E06A86">
        <w:rPr>
          <w:lang w:val="en-GB"/>
        </w:rPr>
        <w:t xml:space="preserve">, </w:t>
      </w:r>
      <w:r w:rsidRPr="00E06A86">
        <w:rPr>
          <w:i/>
          <w:lang w:val="en-GB"/>
        </w:rPr>
        <w:t>mutatis mutandis</w:t>
      </w:r>
      <w:r w:rsidRPr="00E06A86">
        <w:rPr>
          <w:lang w:val="en-GB"/>
        </w:rPr>
        <w:t xml:space="preserve">, </w:t>
      </w:r>
      <w:r w:rsidRPr="00E06A86">
        <w:rPr>
          <w:i/>
          <w:lang w:val="en-GB"/>
        </w:rPr>
        <w:t>Petrovic</w:t>
      </w:r>
      <w:r w:rsidRPr="00E06A86">
        <w:rPr>
          <w:lang w:val="en-GB"/>
        </w:rPr>
        <w:t xml:space="preserve">, </w:t>
      </w:r>
      <w:r w:rsidR="00CB291F" w:rsidRPr="00E06A86">
        <w:rPr>
          <w:lang w:val="en-GB"/>
        </w:rPr>
        <w:t>cited above</w:t>
      </w:r>
      <w:r w:rsidRPr="00E06A86">
        <w:rPr>
          <w:lang w:val="en-GB"/>
        </w:rPr>
        <w:t>, §§ 27-29</w:t>
      </w:r>
      <w:r w:rsidR="00B55F84" w:rsidRPr="00E06A86">
        <w:rPr>
          <w:lang w:val="en-GB"/>
        </w:rPr>
        <w:t>,</w:t>
      </w:r>
      <w:r w:rsidRPr="00E06A86">
        <w:rPr>
          <w:lang w:val="en-GB"/>
        </w:rPr>
        <w:t xml:space="preserve"> </w:t>
      </w:r>
      <w:r w:rsidR="00B55F84" w:rsidRPr="00E06A86">
        <w:rPr>
          <w:lang w:val="en-GB"/>
        </w:rPr>
        <w:t>in the context of a parental leave allowance, and</w:t>
      </w:r>
      <w:r w:rsidRPr="00E06A86">
        <w:rPr>
          <w:lang w:val="en-GB"/>
        </w:rPr>
        <w:t xml:space="preserve"> </w:t>
      </w:r>
      <w:r w:rsidRPr="00E06A86">
        <w:rPr>
          <w:i/>
          <w:lang w:val="en-GB"/>
        </w:rPr>
        <w:t>Weller</w:t>
      </w:r>
      <w:r w:rsidRPr="00E06A86">
        <w:rPr>
          <w:lang w:val="en-GB"/>
        </w:rPr>
        <w:t xml:space="preserve">, </w:t>
      </w:r>
      <w:r w:rsidR="00CB291F" w:rsidRPr="00E06A86">
        <w:rPr>
          <w:lang w:val="en-GB"/>
        </w:rPr>
        <w:t>cited above</w:t>
      </w:r>
      <w:r w:rsidRPr="00E06A86">
        <w:rPr>
          <w:lang w:val="en-GB"/>
        </w:rPr>
        <w:t>, § 29</w:t>
      </w:r>
      <w:r w:rsidR="00B55F84" w:rsidRPr="00E06A86">
        <w:rPr>
          <w:lang w:val="en-GB"/>
        </w:rPr>
        <w:t>, in the context of maternity benefit</w:t>
      </w:r>
      <w:r w:rsidRPr="00E06A86">
        <w:rPr>
          <w:lang w:val="en-GB"/>
        </w:rPr>
        <w:t xml:space="preserve">). </w:t>
      </w:r>
      <w:r w:rsidR="00B55F84" w:rsidRPr="00E06A86">
        <w:rPr>
          <w:lang w:val="en-GB"/>
        </w:rPr>
        <w:t>The subject matter of the application thus falls within the ambit of Article 8 of the Convention. Accordingly, Article 14 is applicable.</w:t>
      </w:r>
    </w:p>
    <w:p w:rsidR="00765A7C" w:rsidRPr="00E06A86" w:rsidRDefault="00B55F84" w:rsidP="00765A7C">
      <w:pPr>
        <w:pStyle w:val="ECHRHeading4"/>
        <w:rPr>
          <w:lang w:val="en-GB"/>
        </w:rPr>
      </w:pPr>
      <w:r w:rsidRPr="00E06A86">
        <w:rPr>
          <w:lang w:val="en-GB"/>
        </w:rPr>
        <w:t>(</w:t>
      </w:r>
      <w:r w:rsidR="00765A7C" w:rsidRPr="00E06A86">
        <w:rPr>
          <w:lang w:val="en-GB"/>
        </w:rPr>
        <w:t>b)  </w:t>
      </w:r>
      <w:r w:rsidRPr="00E06A86">
        <w:rPr>
          <w:lang w:val="en-GB"/>
        </w:rPr>
        <w:t>Other grounds of inadmissibility</w:t>
      </w:r>
    </w:p>
    <w:p w:rsidR="00765A7C" w:rsidRPr="00E06A86" w:rsidRDefault="00765A7C" w:rsidP="00765A7C">
      <w:pPr>
        <w:pStyle w:val="ECHRPara"/>
        <w:rPr>
          <w:lang w:val="en-GB"/>
        </w:rPr>
      </w:pPr>
      <w:r w:rsidRPr="00E06A86">
        <w:rPr>
          <w:lang w:val="en-GB"/>
        </w:rPr>
        <w:fldChar w:fldCharType="begin"/>
      </w:r>
      <w:r w:rsidRPr="00E06A86">
        <w:rPr>
          <w:lang w:val="en-GB"/>
        </w:rPr>
        <w:instrText xml:space="preserve"> SEQ level0 \*arabic </w:instrText>
      </w:r>
      <w:r w:rsidRPr="00E06A86">
        <w:rPr>
          <w:lang w:val="en-GB"/>
        </w:rPr>
        <w:fldChar w:fldCharType="separate"/>
      </w:r>
      <w:r w:rsidR="00473228">
        <w:rPr>
          <w:noProof/>
          <w:lang w:val="en-GB"/>
        </w:rPr>
        <w:t>42</w:t>
      </w:r>
      <w:r w:rsidRPr="00E06A86">
        <w:rPr>
          <w:noProof/>
          <w:lang w:val="en-GB"/>
        </w:rPr>
        <w:fldChar w:fldCharType="end"/>
      </w:r>
      <w:r w:rsidRPr="00E06A86">
        <w:rPr>
          <w:lang w:val="en-GB"/>
        </w:rPr>
        <w:t>.  </w:t>
      </w:r>
      <w:r w:rsidR="00B55F84" w:rsidRPr="00E06A86">
        <w:rPr>
          <w:lang w:val="en-GB"/>
        </w:rPr>
        <w:t>The Court notes that this complaint is not manifestly ill-founded within the meaning of Article 35 § 3 (a) of the Convention. It further notes that it is not inadmissible on any other ground. It must t</w:t>
      </w:r>
      <w:r w:rsidR="00550CC4" w:rsidRPr="00E06A86">
        <w:rPr>
          <w:lang w:val="en-GB"/>
        </w:rPr>
        <w:t>herefore be declared admissible</w:t>
      </w:r>
      <w:r w:rsidRPr="00E06A86">
        <w:rPr>
          <w:lang w:val="en-GB"/>
        </w:rPr>
        <w:t>.</w:t>
      </w:r>
    </w:p>
    <w:p w:rsidR="00765A7C" w:rsidRPr="00E06A86" w:rsidRDefault="00765A7C" w:rsidP="00765A7C">
      <w:pPr>
        <w:pStyle w:val="ECHRHeading2"/>
        <w:rPr>
          <w:lang w:val="en-GB"/>
        </w:rPr>
      </w:pPr>
      <w:r w:rsidRPr="00E06A86">
        <w:rPr>
          <w:lang w:val="en-GB"/>
        </w:rPr>
        <w:t>B.  </w:t>
      </w:r>
      <w:r w:rsidR="00B55F84" w:rsidRPr="00E06A86">
        <w:rPr>
          <w:lang w:val="en-GB"/>
        </w:rPr>
        <w:t>Merits</w:t>
      </w:r>
    </w:p>
    <w:p w:rsidR="00765A7C" w:rsidRPr="00E06A86" w:rsidRDefault="00765A7C" w:rsidP="00765A7C">
      <w:pPr>
        <w:pStyle w:val="ECHRHeading3"/>
        <w:rPr>
          <w:lang w:val="en-GB"/>
        </w:rPr>
      </w:pPr>
      <w:r w:rsidRPr="00E06A86">
        <w:rPr>
          <w:lang w:val="en-GB"/>
        </w:rPr>
        <w:t>1.  </w:t>
      </w:r>
      <w:r w:rsidR="00B55F84" w:rsidRPr="00E06A86">
        <w:rPr>
          <w:lang w:val="en-GB"/>
        </w:rPr>
        <w:t>The parties</w:t>
      </w:r>
      <w:r w:rsidR="006B125B">
        <w:rPr>
          <w:lang w:val="en-GB"/>
        </w:rPr>
        <w:t>’</w:t>
      </w:r>
      <w:r w:rsidR="00B55F84" w:rsidRPr="00E06A86">
        <w:rPr>
          <w:lang w:val="en-GB"/>
        </w:rPr>
        <w:t xml:space="preserve"> submissions</w:t>
      </w:r>
    </w:p>
    <w:p w:rsidR="00765A7C" w:rsidRPr="00E06A86" w:rsidRDefault="00B55F84" w:rsidP="00765A7C">
      <w:pPr>
        <w:pStyle w:val="ECHRHeading4"/>
        <w:rPr>
          <w:lang w:val="en-GB"/>
        </w:rPr>
      </w:pPr>
      <w:r w:rsidRPr="00E06A86">
        <w:rPr>
          <w:lang w:val="en-GB"/>
        </w:rPr>
        <w:t>(</w:t>
      </w:r>
      <w:r w:rsidR="00765A7C" w:rsidRPr="00E06A86">
        <w:rPr>
          <w:lang w:val="en-GB"/>
        </w:rPr>
        <w:t>a)  </w:t>
      </w:r>
      <w:r w:rsidRPr="00E06A86">
        <w:rPr>
          <w:lang w:val="en-GB"/>
        </w:rPr>
        <w:t>The applicant</w:t>
      </w:r>
    </w:p>
    <w:p w:rsidR="00BC54B8" w:rsidRPr="00E06A86" w:rsidRDefault="00765A7C" w:rsidP="00765A7C">
      <w:pPr>
        <w:pStyle w:val="ECHRPara"/>
        <w:rPr>
          <w:lang w:val="en-GB"/>
        </w:rPr>
      </w:pPr>
      <w:r w:rsidRPr="00E06A86">
        <w:rPr>
          <w:lang w:val="en-GB"/>
        </w:rPr>
        <w:fldChar w:fldCharType="begin"/>
      </w:r>
      <w:r w:rsidRPr="00E06A86">
        <w:rPr>
          <w:lang w:val="en-GB"/>
        </w:rPr>
        <w:instrText xml:space="preserve"> SEQ level0 \*arabic </w:instrText>
      </w:r>
      <w:r w:rsidRPr="00E06A86">
        <w:rPr>
          <w:lang w:val="en-GB"/>
        </w:rPr>
        <w:fldChar w:fldCharType="separate"/>
      </w:r>
      <w:r w:rsidR="00473228">
        <w:rPr>
          <w:noProof/>
          <w:lang w:val="en-GB"/>
        </w:rPr>
        <w:t>43</w:t>
      </w:r>
      <w:r w:rsidRPr="00E06A86">
        <w:rPr>
          <w:noProof/>
          <w:lang w:val="en-GB"/>
        </w:rPr>
        <w:fldChar w:fldCharType="end"/>
      </w:r>
      <w:r w:rsidRPr="00E06A86">
        <w:rPr>
          <w:lang w:val="en-GB"/>
        </w:rPr>
        <w:t>.  </w:t>
      </w:r>
      <w:r w:rsidR="00BC54B8" w:rsidRPr="00E06A86">
        <w:rPr>
          <w:lang w:val="en-GB"/>
        </w:rPr>
        <w:t xml:space="preserve">The applicant observed that the </w:t>
      </w:r>
      <w:r w:rsidR="00B17EFA" w:rsidRPr="00E06A86">
        <w:rPr>
          <w:lang w:val="en-GB"/>
        </w:rPr>
        <w:t>G</w:t>
      </w:r>
      <w:r w:rsidR="00BC54B8" w:rsidRPr="00E06A86">
        <w:rPr>
          <w:lang w:val="en-GB"/>
        </w:rPr>
        <w:t xml:space="preserve">overnment sought to justify the difference in treatment between himself and European Union nationals </w:t>
      </w:r>
      <w:r w:rsidR="00BC54B8" w:rsidRPr="00E06A86">
        <w:rPr>
          <w:lang w:val="en-GB"/>
        </w:rPr>
        <w:lastRenderedPageBreak/>
        <w:t xml:space="preserve">and/or refugees </w:t>
      </w:r>
      <w:r w:rsidR="00B9293E">
        <w:rPr>
          <w:lang w:val="en-GB"/>
        </w:rPr>
        <w:t>by reference to</w:t>
      </w:r>
      <w:r w:rsidR="00BC54B8" w:rsidRPr="00E06A86">
        <w:rPr>
          <w:lang w:val="en-GB"/>
        </w:rPr>
        <w:t xml:space="preserve"> the </w:t>
      </w:r>
      <w:r w:rsidR="00B17EFA" w:rsidRPr="00E06A86">
        <w:rPr>
          <w:lang w:val="en-GB"/>
        </w:rPr>
        <w:t>categorisation</w:t>
      </w:r>
      <w:r w:rsidR="00BC54B8" w:rsidRPr="00E06A86">
        <w:rPr>
          <w:lang w:val="en-GB"/>
        </w:rPr>
        <w:t xml:space="preserve"> of the allowance (which allegedly </w:t>
      </w:r>
      <w:r w:rsidR="00B17EFA" w:rsidRPr="00E06A86">
        <w:rPr>
          <w:lang w:val="en-GB"/>
        </w:rPr>
        <w:t>fell into the category</w:t>
      </w:r>
      <w:r w:rsidR="00BC54B8" w:rsidRPr="00E06A86">
        <w:rPr>
          <w:lang w:val="en-GB"/>
        </w:rPr>
        <w:t xml:space="preserve"> of </w:t>
      </w:r>
      <w:r w:rsidR="00B17EFA" w:rsidRPr="00E06A86">
        <w:rPr>
          <w:lang w:val="en-GB"/>
        </w:rPr>
        <w:t>“</w:t>
      </w:r>
      <w:r w:rsidR="00BC54B8" w:rsidRPr="00E06A86">
        <w:rPr>
          <w:lang w:val="en-GB"/>
        </w:rPr>
        <w:t>social assistance</w:t>
      </w:r>
      <w:r w:rsidR="00B17EFA" w:rsidRPr="00E06A86">
        <w:rPr>
          <w:lang w:val="en-GB"/>
        </w:rPr>
        <w:t>”</w:t>
      </w:r>
      <w:r w:rsidR="00BC54B8" w:rsidRPr="00E06A86">
        <w:rPr>
          <w:lang w:val="en-GB"/>
        </w:rPr>
        <w:t xml:space="preserve">) and </w:t>
      </w:r>
      <w:r w:rsidR="00B9293E">
        <w:rPr>
          <w:lang w:val="en-GB"/>
        </w:rPr>
        <w:t>to</w:t>
      </w:r>
      <w:r w:rsidR="00BC54B8" w:rsidRPr="00E06A86">
        <w:rPr>
          <w:lang w:val="en-GB"/>
        </w:rPr>
        <w:t xml:space="preserve"> the financial cost of extending the allowance to new categories of </w:t>
      </w:r>
      <w:r w:rsidR="00B17EFA" w:rsidRPr="00E06A86">
        <w:rPr>
          <w:lang w:val="en-GB"/>
        </w:rPr>
        <w:t>individuals</w:t>
      </w:r>
      <w:r w:rsidR="00BC54B8" w:rsidRPr="00E06A86">
        <w:rPr>
          <w:lang w:val="en-GB"/>
        </w:rPr>
        <w:t>. In his view, these factors did not provide sufficient justification from the standpoint of the Convention and the case-law of the Italian Constitutional Court.</w:t>
      </w:r>
    </w:p>
    <w:p w:rsidR="00D41C74" w:rsidRPr="00E06A86" w:rsidRDefault="00BC54B8" w:rsidP="00D41C74">
      <w:pPr>
        <w:pStyle w:val="ECHRPara"/>
        <w:rPr>
          <w:rStyle w:val="wordhighlighted"/>
          <w:lang w:val="en-GB"/>
        </w:rPr>
      </w:pPr>
      <w:r w:rsidRPr="00E06A86">
        <w:rPr>
          <w:lang w:val="en-GB"/>
        </w:rPr>
        <w:t xml:space="preserve">The applicant conceded that in the case of </w:t>
      </w:r>
      <w:r w:rsidR="00765A7C" w:rsidRPr="00E06A86">
        <w:rPr>
          <w:i/>
          <w:lang w:val="en-GB"/>
        </w:rPr>
        <w:t xml:space="preserve">Ponomaryovi </w:t>
      </w:r>
      <w:r w:rsidRPr="00E06A86">
        <w:rPr>
          <w:i/>
          <w:lang w:val="en-GB"/>
        </w:rPr>
        <w:t>v</w:t>
      </w:r>
      <w:r w:rsidR="00765A7C" w:rsidRPr="00E06A86">
        <w:rPr>
          <w:i/>
          <w:lang w:val="en-GB"/>
        </w:rPr>
        <w:t>. Bulgari</w:t>
      </w:r>
      <w:r w:rsidRPr="00E06A86">
        <w:rPr>
          <w:i/>
          <w:lang w:val="en-GB"/>
        </w:rPr>
        <w:t>a</w:t>
      </w:r>
      <w:r w:rsidR="00765A7C" w:rsidRPr="00E06A86">
        <w:rPr>
          <w:i/>
          <w:lang w:val="en-GB"/>
        </w:rPr>
        <w:t xml:space="preserve"> </w:t>
      </w:r>
      <w:r w:rsidR="00765A7C" w:rsidRPr="00E06A86">
        <w:rPr>
          <w:lang w:val="en-GB"/>
        </w:rPr>
        <w:t>(</w:t>
      </w:r>
      <w:r w:rsidRPr="00E06A86">
        <w:rPr>
          <w:lang w:val="en-GB"/>
        </w:rPr>
        <w:t>no.</w:t>
      </w:r>
      <w:r w:rsidR="00765A7C" w:rsidRPr="00E06A86">
        <w:rPr>
          <w:lang w:val="en-GB"/>
        </w:rPr>
        <w:t xml:space="preserve"> 5335/05, § 54, </w:t>
      </w:r>
      <w:r w:rsidR="002138BA" w:rsidRPr="00E06A86">
        <w:rPr>
          <w:lang w:val="en-GB"/>
        </w:rPr>
        <w:t>ECHR</w:t>
      </w:r>
      <w:r w:rsidR="00765A7C" w:rsidRPr="00E06A86">
        <w:rPr>
          <w:lang w:val="en-GB"/>
        </w:rPr>
        <w:t xml:space="preserve"> 2011)</w:t>
      </w:r>
      <w:r w:rsidRPr="00E06A86">
        <w:rPr>
          <w:lang w:val="en-GB"/>
        </w:rPr>
        <w:t xml:space="preserve">, the Court had </w:t>
      </w:r>
      <w:r w:rsidR="00B17EFA" w:rsidRPr="00E06A86">
        <w:rPr>
          <w:lang w:val="en-GB"/>
        </w:rPr>
        <w:t>found</w:t>
      </w:r>
      <w:r w:rsidRPr="00E06A86">
        <w:rPr>
          <w:lang w:val="en-GB"/>
        </w:rPr>
        <w:t xml:space="preserve"> that the preferential treatment of nationals of Member States of the European Union was based on an objective and reasonable justification because the Union formed a special legal order, which had, moreover, established its own citizenship. However, </w:t>
      </w:r>
      <w:r w:rsidR="00B17EFA" w:rsidRPr="00E06A86">
        <w:rPr>
          <w:lang w:val="en-GB"/>
        </w:rPr>
        <w:t>it was necessary to take account</w:t>
      </w:r>
      <w:r w:rsidRPr="00E06A86">
        <w:rPr>
          <w:lang w:val="en-GB"/>
        </w:rPr>
        <w:t xml:space="preserve"> </w:t>
      </w:r>
      <w:r w:rsidR="00B17EFA" w:rsidRPr="00E06A86">
        <w:rPr>
          <w:lang w:val="en-GB"/>
        </w:rPr>
        <w:t>of</w:t>
      </w:r>
      <w:r w:rsidRPr="00E06A86">
        <w:rPr>
          <w:lang w:val="en-GB"/>
        </w:rPr>
        <w:t xml:space="preserve"> the fact that non-Community nationals also made an active contribution to the country</w:t>
      </w:r>
      <w:r w:rsidR="006B125B">
        <w:rPr>
          <w:lang w:val="en-GB"/>
        </w:rPr>
        <w:t>’</w:t>
      </w:r>
      <w:r w:rsidRPr="00E06A86">
        <w:rPr>
          <w:lang w:val="en-GB"/>
        </w:rPr>
        <w:t>s resources, in particular through their additional contribution to social</w:t>
      </w:r>
      <w:r w:rsidR="00BF009E">
        <w:rPr>
          <w:lang w:val="en-GB"/>
        </w:rPr>
        <w:t>-</w:t>
      </w:r>
      <w:r w:rsidRPr="00E06A86">
        <w:rPr>
          <w:lang w:val="en-GB"/>
        </w:rPr>
        <w:t>insurance schemes and the fact that they were subject to income tax. The applicant added th</w:t>
      </w:r>
      <w:r w:rsidR="00B17EFA" w:rsidRPr="00E06A86">
        <w:rPr>
          <w:lang w:val="en-GB"/>
        </w:rPr>
        <w:t xml:space="preserve">at the discrimination to which </w:t>
      </w:r>
      <w:r w:rsidRPr="00E06A86">
        <w:rPr>
          <w:lang w:val="en-GB"/>
        </w:rPr>
        <w:t xml:space="preserve">he had been subjected had been based on </w:t>
      </w:r>
      <w:r w:rsidR="000B49B1">
        <w:rPr>
          <w:lang w:val="en-GB"/>
        </w:rPr>
        <w:t xml:space="preserve">his </w:t>
      </w:r>
      <w:r w:rsidRPr="00E06A86">
        <w:rPr>
          <w:lang w:val="en-GB"/>
        </w:rPr>
        <w:t>nationality</w:t>
      </w:r>
      <w:r w:rsidR="00D41C74" w:rsidRPr="00E06A86">
        <w:rPr>
          <w:lang w:val="en-GB"/>
        </w:rPr>
        <w:t xml:space="preserve"> </w:t>
      </w:r>
      <w:r w:rsidR="000B49B1">
        <w:rPr>
          <w:lang w:val="en-GB"/>
        </w:rPr>
        <w:t>and not on his</w:t>
      </w:r>
      <w:r w:rsidR="00D41C74" w:rsidRPr="00E06A86">
        <w:rPr>
          <w:lang w:val="en-GB"/>
        </w:rPr>
        <w:t xml:space="preserve"> </w:t>
      </w:r>
      <w:r w:rsidR="000B49B1">
        <w:rPr>
          <w:lang w:val="en-GB"/>
        </w:rPr>
        <w:t>immigration</w:t>
      </w:r>
      <w:r w:rsidR="00D41C74" w:rsidRPr="00E06A86">
        <w:rPr>
          <w:lang w:val="en-GB"/>
        </w:rPr>
        <w:t xml:space="preserve"> status </w:t>
      </w:r>
      <w:r w:rsidR="000B49B1">
        <w:rPr>
          <w:lang w:val="en-GB"/>
        </w:rPr>
        <w:t xml:space="preserve">as </w:t>
      </w:r>
      <w:r w:rsidR="00D41C74" w:rsidRPr="00E06A86">
        <w:rPr>
          <w:lang w:val="en-GB"/>
        </w:rPr>
        <w:t>conferred by law (</w:t>
      </w:r>
      <w:r w:rsidR="007E0265">
        <w:rPr>
          <w:lang w:val="en-GB"/>
        </w:rPr>
        <w:t xml:space="preserve">he cited, conversely, </w:t>
      </w:r>
      <w:r w:rsidR="00765A7C" w:rsidRPr="00E06A86">
        <w:rPr>
          <w:rStyle w:val="wordhighlighted"/>
          <w:i/>
          <w:lang w:val="en-GB"/>
        </w:rPr>
        <w:t xml:space="preserve">Bah </w:t>
      </w:r>
      <w:r w:rsidR="00D41C74" w:rsidRPr="00E06A86">
        <w:rPr>
          <w:rStyle w:val="wordhighlighted"/>
          <w:i/>
          <w:lang w:val="en-GB"/>
        </w:rPr>
        <w:t>v. the United Kingdom</w:t>
      </w:r>
      <w:r w:rsidR="00765A7C" w:rsidRPr="00E06A86">
        <w:rPr>
          <w:rStyle w:val="wordhighlighted"/>
          <w:lang w:val="en-GB"/>
        </w:rPr>
        <w:t xml:space="preserve">, </w:t>
      </w:r>
      <w:r w:rsidR="00D41C74" w:rsidRPr="00E06A86">
        <w:rPr>
          <w:rStyle w:val="wordhighlighted"/>
          <w:lang w:val="en-GB"/>
        </w:rPr>
        <w:t>no.</w:t>
      </w:r>
      <w:r w:rsidR="00765A7C" w:rsidRPr="00E06A86">
        <w:rPr>
          <w:rStyle w:val="wordhighlighted"/>
          <w:lang w:val="en-GB"/>
        </w:rPr>
        <w:t> </w:t>
      </w:r>
      <w:r w:rsidR="00765A7C" w:rsidRPr="00E06A86">
        <w:rPr>
          <w:rStyle w:val="textcolumn"/>
          <w:lang w:val="en-GB"/>
        </w:rPr>
        <w:t>56328/07</w:t>
      </w:r>
      <w:r w:rsidR="00765A7C" w:rsidRPr="00E06A86">
        <w:rPr>
          <w:rStyle w:val="wordhighlighted"/>
          <w:lang w:val="en-GB"/>
        </w:rPr>
        <w:t xml:space="preserve">, </w:t>
      </w:r>
      <w:r w:rsidR="002138BA" w:rsidRPr="00E06A86">
        <w:rPr>
          <w:rStyle w:val="wordhighlighted"/>
          <w:lang w:val="en-GB"/>
        </w:rPr>
        <w:t>ECHR</w:t>
      </w:r>
      <w:r w:rsidR="00967D42">
        <w:rPr>
          <w:rStyle w:val="wordhighlighted"/>
          <w:lang w:val="en-GB"/>
        </w:rPr>
        <w:t> </w:t>
      </w:r>
      <w:r w:rsidR="00765A7C" w:rsidRPr="00E06A86">
        <w:rPr>
          <w:rStyle w:val="wordhighlighted"/>
          <w:lang w:val="en-GB"/>
        </w:rPr>
        <w:t xml:space="preserve">2011). </w:t>
      </w:r>
      <w:r w:rsidR="00D41C74" w:rsidRPr="00E06A86">
        <w:rPr>
          <w:rStyle w:val="wordhighlighted"/>
          <w:lang w:val="en-GB"/>
        </w:rPr>
        <w:t xml:space="preserve">Moreover, it had to be borne in mind that Directive 2003/109/EC was aimed at ensuring the </w:t>
      </w:r>
      <w:r w:rsidR="00D41C74" w:rsidRPr="00E06A86">
        <w:rPr>
          <w:lang w:val="en-GB"/>
        </w:rPr>
        <w:t>integration of third-country nationals who were long-term residents of a Member State.</w:t>
      </w:r>
    </w:p>
    <w:p w:rsidR="00765A7C" w:rsidRPr="00E06A86" w:rsidRDefault="00D41C74" w:rsidP="00765A7C">
      <w:pPr>
        <w:pStyle w:val="ECHRHeading4"/>
        <w:rPr>
          <w:lang w:val="en-GB"/>
        </w:rPr>
      </w:pPr>
      <w:r w:rsidRPr="00E06A86">
        <w:rPr>
          <w:lang w:val="en-GB"/>
        </w:rPr>
        <w:t>(</w:t>
      </w:r>
      <w:r w:rsidR="00765A7C" w:rsidRPr="00E06A86">
        <w:rPr>
          <w:lang w:val="en-GB"/>
        </w:rPr>
        <w:t>b)  </w:t>
      </w:r>
      <w:r w:rsidRPr="00E06A86">
        <w:rPr>
          <w:lang w:val="en-GB"/>
        </w:rPr>
        <w:t>The</w:t>
      </w:r>
      <w:r w:rsidR="00765A7C" w:rsidRPr="00E06A86">
        <w:rPr>
          <w:lang w:val="en-GB"/>
        </w:rPr>
        <w:t xml:space="preserve"> Go</w:t>
      </w:r>
      <w:r w:rsidRPr="00E06A86">
        <w:rPr>
          <w:lang w:val="en-GB"/>
        </w:rPr>
        <w:t>vern</w:t>
      </w:r>
      <w:r w:rsidR="00765A7C" w:rsidRPr="00E06A86">
        <w:rPr>
          <w:lang w:val="en-GB"/>
        </w:rPr>
        <w:t>ment</w:t>
      </w:r>
    </w:p>
    <w:bookmarkStart w:id="6" w:name="budget"/>
    <w:p w:rsidR="00D41C74" w:rsidRPr="00E06A86" w:rsidRDefault="00765A7C" w:rsidP="00765A7C">
      <w:pPr>
        <w:pStyle w:val="ECHRPara"/>
        <w:rPr>
          <w:lang w:val="en-GB"/>
        </w:rPr>
      </w:pPr>
      <w:r w:rsidRPr="00E06A86">
        <w:rPr>
          <w:lang w:val="en-GB"/>
        </w:rPr>
        <w:fldChar w:fldCharType="begin"/>
      </w:r>
      <w:r w:rsidRPr="00E06A86">
        <w:rPr>
          <w:lang w:val="en-GB"/>
        </w:rPr>
        <w:instrText xml:space="preserve"> SEQ level0 \*arabic </w:instrText>
      </w:r>
      <w:r w:rsidRPr="00E06A86">
        <w:rPr>
          <w:lang w:val="en-GB"/>
        </w:rPr>
        <w:fldChar w:fldCharType="separate"/>
      </w:r>
      <w:r w:rsidR="00473228">
        <w:rPr>
          <w:noProof/>
          <w:lang w:val="en-GB"/>
        </w:rPr>
        <w:t>44</w:t>
      </w:r>
      <w:r w:rsidRPr="00E06A86">
        <w:rPr>
          <w:noProof/>
          <w:lang w:val="en-GB"/>
        </w:rPr>
        <w:fldChar w:fldCharType="end"/>
      </w:r>
      <w:bookmarkEnd w:id="6"/>
      <w:r w:rsidRPr="00E06A86">
        <w:rPr>
          <w:lang w:val="en-GB"/>
        </w:rPr>
        <w:t>. </w:t>
      </w:r>
      <w:r w:rsidR="00D41C74" w:rsidRPr="00E06A86">
        <w:rPr>
          <w:lang w:val="en-GB"/>
        </w:rPr>
        <w:t xml:space="preserve">The Government submitted that the decision not to extend </w:t>
      </w:r>
      <w:r w:rsidR="00B17EFA" w:rsidRPr="00E06A86">
        <w:rPr>
          <w:lang w:val="en-GB"/>
        </w:rPr>
        <w:t>entitlement</w:t>
      </w:r>
      <w:r w:rsidR="00D41C74" w:rsidRPr="00E06A86">
        <w:rPr>
          <w:lang w:val="en-GB"/>
        </w:rPr>
        <w:t xml:space="preserve"> </w:t>
      </w:r>
      <w:r w:rsidR="00B17EFA" w:rsidRPr="00E06A86">
        <w:rPr>
          <w:lang w:val="en-GB"/>
        </w:rPr>
        <w:t>to</w:t>
      </w:r>
      <w:r w:rsidR="00D41C74" w:rsidRPr="00E06A86">
        <w:rPr>
          <w:lang w:val="en-GB"/>
        </w:rPr>
        <w:t xml:space="preserve"> the allowance in question had been made purely </w:t>
      </w:r>
      <w:r w:rsidR="00B17EFA" w:rsidRPr="00E06A86">
        <w:rPr>
          <w:lang w:val="en-GB"/>
        </w:rPr>
        <w:t>for</w:t>
      </w:r>
      <w:r w:rsidR="00D41C74" w:rsidRPr="00E06A86">
        <w:rPr>
          <w:lang w:val="en-GB"/>
        </w:rPr>
        <w:t xml:space="preserve"> budgetary </w:t>
      </w:r>
      <w:r w:rsidR="00B17EFA" w:rsidRPr="00E06A86">
        <w:rPr>
          <w:lang w:val="en-GB"/>
        </w:rPr>
        <w:t>reasons</w:t>
      </w:r>
      <w:r w:rsidR="00D41C74" w:rsidRPr="00E06A86">
        <w:rPr>
          <w:lang w:val="en-GB"/>
        </w:rPr>
        <w:t xml:space="preserve"> and not </w:t>
      </w:r>
      <w:r w:rsidR="00B17EFA" w:rsidRPr="00E06A86">
        <w:rPr>
          <w:lang w:val="en-GB"/>
        </w:rPr>
        <w:t>on</w:t>
      </w:r>
      <w:r w:rsidR="00D41C74" w:rsidRPr="00E06A86">
        <w:rPr>
          <w:lang w:val="en-GB"/>
        </w:rPr>
        <w:t xml:space="preserve"> discriminatory </w:t>
      </w:r>
      <w:r w:rsidR="00B17EFA" w:rsidRPr="00E06A86">
        <w:rPr>
          <w:lang w:val="en-GB"/>
        </w:rPr>
        <w:t>grounds</w:t>
      </w:r>
      <w:r w:rsidR="00D41C74" w:rsidRPr="00E06A86">
        <w:rPr>
          <w:lang w:val="en-GB"/>
        </w:rPr>
        <w:t>.</w:t>
      </w:r>
    </w:p>
    <w:p w:rsidR="00765A7C" w:rsidRPr="00E06A86" w:rsidRDefault="00765A7C" w:rsidP="00765A7C">
      <w:pPr>
        <w:pStyle w:val="ECHRHeading3"/>
        <w:rPr>
          <w:lang w:val="en-GB"/>
        </w:rPr>
      </w:pPr>
      <w:r w:rsidRPr="00E06A86">
        <w:rPr>
          <w:lang w:val="en-GB"/>
        </w:rPr>
        <w:t>2.  </w:t>
      </w:r>
      <w:r w:rsidR="00B17EFA" w:rsidRPr="00E06A86">
        <w:rPr>
          <w:lang w:val="en-GB"/>
        </w:rPr>
        <w:t>The Court</w:t>
      </w:r>
      <w:r w:rsidR="006B125B">
        <w:rPr>
          <w:lang w:val="en-GB"/>
        </w:rPr>
        <w:t>’</w:t>
      </w:r>
      <w:r w:rsidR="00D41C74" w:rsidRPr="00E06A86">
        <w:rPr>
          <w:lang w:val="en-GB"/>
        </w:rPr>
        <w:t>s assessment</w:t>
      </w:r>
    </w:p>
    <w:p w:rsidR="00765A7C" w:rsidRPr="00E06A86" w:rsidRDefault="00D41C74" w:rsidP="00765A7C">
      <w:pPr>
        <w:pStyle w:val="ECHRHeading4"/>
        <w:rPr>
          <w:lang w:val="en-GB"/>
        </w:rPr>
      </w:pPr>
      <w:r w:rsidRPr="00E06A86">
        <w:rPr>
          <w:lang w:val="en-GB"/>
        </w:rPr>
        <w:t>(</w:t>
      </w:r>
      <w:r w:rsidR="00765A7C" w:rsidRPr="00E06A86">
        <w:rPr>
          <w:lang w:val="en-GB"/>
        </w:rPr>
        <w:t>b)  </w:t>
      </w:r>
      <w:r w:rsidRPr="00E06A86">
        <w:rPr>
          <w:lang w:val="en-GB"/>
        </w:rPr>
        <w:t>General principles</w:t>
      </w:r>
    </w:p>
    <w:p w:rsidR="00765A7C" w:rsidRPr="00E06A86" w:rsidRDefault="00765A7C" w:rsidP="00765A7C">
      <w:pPr>
        <w:pStyle w:val="ECHRPara"/>
        <w:rPr>
          <w:lang w:val="en-GB"/>
        </w:rPr>
      </w:pPr>
      <w:r w:rsidRPr="00E06A86">
        <w:rPr>
          <w:lang w:val="en-GB"/>
        </w:rPr>
        <w:fldChar w:fldCharType="begin"/>
      </w:r>
      <w:r w:rsidRPr="00E06A86">
        <w:rPr>
          <w:lang w:val="en-GB"/>
        </w:rPr>
        <w:instrText xml:space="preserve"> SEQ level0 \*arabic </w:instrText>
      </w:r>
      <w:r w:rsidRPr="00E06A86">
        <w:rPr>
          <w:lang w:val="en-GB"/>
        </w:rPr>
        <w:fldChar w:fldCharType="separate"/>
      </w:r>
      <w:r w:rsidR="00473228">
        <w:rPr>
          <w:noProof/>
          <w:lang w:val="en-GB"/>
        </w:rPr>
        <w:t>45</w:t>
      </w:r>
      <w:r w:rsidRPr="00E06A86">
        <w:rPr>
          <w:noProof/>
          <w:lang w:val="en-GB"/>
        </w:rPr>
        <w:fldChar w:fldCharType="end"/>
      </w:r>
      <w:r w:rsidRPr="00E06A86">
        <w:rPr>
          <w:lang w:val="en-GB"/>
        </w:rPr>
        <w:t>.  </w:t>
      </w:r>
      <w:r w:rsidR="00D41C74" w:rsidRPr="00E06A86">
        <w:rPr>
          <w:lang w:val="en-GB"/>
        </w:rPr>
        <w:t>According to the Court</w:t>
      </w:r>
      <w:r w:rsidR="006B125B">
        <w:rPr>
          <w:lang w:val="en-GB"/>
        </w:rPr>
        <w:t>’</w:t>
      </w:r>
      <w:r w:rsidR="00D41C74" w:rsidRPr="00E06A86">
        <w:rPr>
          <w:lang w:val="en-GB"/>
        </w:rPr>
        <w:t xml:space="preserve">s settled case-law, in order for an issue to arise under Article 14 there must be a difference in the treatment of persons in comparable situations. Such a difference of treatment is discriminatory if it has no objective and reasonable justification; in other words, if it does not pursue a legitimate aim or if there is not a reasonable relationship of proportionality between the means employed and the aim sought to be realised. The Contracting State enjoys a margin of appreciation in assessing whether and to what extent differences in otherwise similar situations justify a different treatment </w:t>
      </w:r>
      <w:r w:rsidRPr="00E06A86">
        <w:rPr>
          <w:lang w:val="en-GB"/>
        </w:rPr>
        <w:t>(</w:t>
      </w:r>
      <w:r w:rsidR="00D41C74" w:rsidRPr="00E06A86">
        <w:rPr>
          <w:lang w:val="en-GB"/>
        </w:rPr>
        <w:t xml:space="preserve">see </w:t>
      </w:r>
      <w:r w:rsidRPr="00E06A86">
        <w:rPr>
          <w:i/>
          <w:lang w:val="en-GB"/>
        </w:rPr>
        <w:t xml:space="preserve">X </w:t>
      </w:r>
      <w:r w:rsidR="00D41C74" w:rsidRPr="00E06A86">
        <w:rPr>
          <w:i/>
          <w:lang w:val="en-GB"/>
        </w:rPr>
        <w:t>and Others v. Austria</w:t>
      </w:r>
      <w:r w:rsidRPr="00E06A86">
        <w:rPr>
          <w:lang w:val="en-GB"/>
        </w:rPr>
        <w:t xml:space="preserve"> [GC], </w:t>
      </w:r>
      <w:r w:rsidR="00D41C74" w:rsidRPr="00E06A86">
        <w:rPr>
          <w:lang w:val="en-GB"/>
        </w:rPr>
        <w:t>no.</w:t>
      </w:r>
      <w:r w:rsidRPr="00E06A86">
        <w:rPr>
          <w:lang w:val="en-GB"/>
        </w:rPr>
        <w:t xml:space="preserve"> 19010/07, § 98, </w:t>
      </w:r>
      <w:r w:rsidR="002138BA" w:rsidRPr="00E06A86">
        <w:rPr>
          <w:lang w:val="en-GB"/>
        </w:rPr>
        <w:t>ECHR</w:t>
      </w:r>
      <w:r w:rsidR="00D41C74" w:rsidRPr="00E06A86">
        <w:rPr>
          <w:lang w:val="en-GB"/>
        </w:rPr>
        <w:t xml:space="preserve"> </w:t>
      </w:r>
      <w:r w:rsidRPr="00E06A86">
        <w:rPr>
          <w:lang w:val="en-GB"/>
        </w:rPr>
        <w:t xml:space="preserve">2013, </w:t>
      </w:r>
      <w:r w:rsidR="00D41C74" w:rsidRPr="00E06A86">
        <w:rPr>
          <w:lang w:val="en-GB"/>
        </w:rPr>
        <w:t>and</w:t>
      </w:r>
      <w:r w:rsidRPr="00E06A86">
        <w:rPr>
          <w:lang w:val="en-GB"/>
        </w:rPr>
        <w:t xml:space="preserve"> </w:t>
      </w:r>
      <w:r w:rsidRPr="00E06A86">
        <w:rPr>
          <w:i/>
          <w:lang w:val="en-GB"/>
        </w:rPr>
        <w:t xml:space="preserve">Vallianatos </w:t>
      </w:r>
      <w:r w:rsidR="00D41C74" w:rsidRPr="00E06A86">
        <w:rPr>
          <w:i/>
          <w:lang w:val="en-GB"/>
        </w:rPr>
        <w:t>and Others v</w:t>
      </w:r>
      <w:r w:rsidRPr="00E06A86">
        <w:rPr>
          <w:i/>
          <w:lang w:val="en-GB"/>
        </w:rPr>
        <w:t>. Gr</w:t>
      </w:r>
      <w:r w:rsidR="00D41C74" w:rsidRPr="00E06A86">
        <w:rPr>
          <w:i/>
          <w:lang w:val="en-GB"/>
        </w:rPr>
        <w:t>ee</w:t>
      </w:r>
      <w:r w:rsidRPr="00E06A86">
        <w:rPr>
          <w:i/>
          <w:lang w:val="en-GB"/>
        </w:rPr>
        <w:t>ce</w:t>
      </w:r>
      <w:r w:rsidRPr="00E06A86">
        <w:rPr>
          <w:lang w:val="en-GB"/>
        </w:rPr>
        <w:t xml:space="preserve"> [GC], </w:t>
      </w:r>
      <w:r w:rsidR="00D41C74" w:rsidRPr="00E06A86">
        <w:rPr>
          <w:lang w:val="en-GB"/>
        </w:rPr>
        <w:t>nos.</w:t>
      </w:r>
      <w:r w:rsidRPr="00E06A86">
        <w:rPr>
          <w:lang w:val="en-GB"/>
        </w:rPr>
        <w:t xml:space="preserve"> 29381/09 </w:t>
      </w:r>
      <w:r w:rsidR="00D41C74" w:rsidRPr="00E06A86">
        <w:rPr>
          <w:lang w:val="en-GB"/>
        </w:rPr>
        <w:t>and</w:t>
      </w:r>
      <w:r w:rsidRPr="00E06A86">
        <w:rPr>
          <w:lang w:val="en-GB"/>
        </w:rPr>
        <w:t xml:space="preserve"> 32684/09, § 76, </w:t>
      </w:r>
      <w:r w:rsidR="002138BA" w:rsidRPr="00E06A86">
        <w:rPr>
          <w:lang w:val="en-GB"/>
        </w:rPr>
        <w:t>ECHR</w:t>
      </w:r>
      <w:r w:rsidR="00D41C74" w:rsidRPr="00E06A86">
        <w:rPr>
          <w:lang w:val="en-GB"/>
        </w:rPr>
        <w:t xml:space="preserve"> </w:t>
      </w:r>
      <w:r w:rsidRPr="00E06A86">
        <w:rPr>
          <w:lang w:val="en-GB"/>
        </w:rPr>
        <w:t xml:space="preserve">2013). </w:t>
      </w:r>
      <w:r w:rsidR="00D41C74" w:rsidRPr="00E06A86">
        <w:rPr>
          <w:lang w:val="en-GB"/>
        </w:rPr>
        <w:t xml:space="preserve">The notion of discrimination within the meaning of Article 14 also includes cases where a person or group is treated, without proper justification, less favourably than another, even though the more favourable treatment is not called for by the Convention </w:t>
      </w:r>
      <w:r w:rsidR="00D41C74" w:rsidRPr="00E06A86">
        <w:rPr>
          <w:lang w:val="en-GB"/>
        </w:rPr>
        <w:lastRenderedPageBreak/>
        <w:t xml:space="preserve">(see </w:t>
      </w:r>
      <w:r w:rsidR="00D41C74" w:rsidRPr="00E06A86">
        <w:rPr>
          <w:i/>
          <w:lang w:val="en-GB"/>
        </w:rPr>
        <w:t>Abdulaziz, Cabales and Balkandali v. the United Kingdom</w:t>
      </w:r>
      <w:r w:rsidR="00D41C74" w:rsidRPr="00E06A86">
        <w:rPr>
          <w:lang w:val="en-GB"/>
        </w:rPr>
        <w:t>, 28 May 1985, § 82, Series A no. 94).</w:t>
      </w:r>
    </w:p>
    <w:bookmarkStart w:id="7" w:name="jurisprudencenationnalité"/>
    <w:p w:rsidR="00765A7C" w:rsidRPr="00E06A86" w:rsidRDefault="00765A7C" w:rsidP="00D867CA">
      <w:pPr>
        <w:pStyle w:val="ECHRPara"/>
        <w:rPr>
          <w:lang w:val="en-GB"/>
        </w:rPr>
      </w:pPr>
      <w:r w:rsidRPr="00E06A86">
        <w:rPr>
          <w:lang w:val="en-GB"/>
        </w:rPr>
        <w:fldChar w:fldCharType="begin"/>
      </w:r>
      <w:r w:rsidRPr="00E06A86">
        <w:rPr>
          <w:lang w:val="en-GB"/>
        </w:rPr>
        <w:instrText xml:space="preserve"> SEQ level0 \*arabic </w:instrText>
      </w:r>
      <w:r w:rsidRPr="00E06A86">
        <w:rPr>
          <w:lang w:val="en-GB"/>
        </w:rPr>
        <w:fldChar w:fldCharType="separate"/>
      </w:r>
      <w:r w:rsidR="00473228">
        <w:rPr>
          <w:noProof/>
          <w:lang w:val="en-GB"/>
        </w:rPr>
        <w:t>46</w:t>
      </w:r>
      <w:r w:rsidRPr="00E06A86">
        <w:rPr>
          <w:lang w:val="en-GB"/>
        </w:rPr>
        <w:fldChar w:fldCharType="end"/>
      </w:r>
      <w:bookmarkEnd w:id="7"/>
      <w:r w:rsidRPr="00E06A86">
        <w:rPr>
          <w:lang w:val="en-GB"/>
        </w:rPr>
        <w:t>.  </w:t>
      </w:r>
      <w:r w:rsidR="00D867CA" w:rsidRPr="00E06A86">
        <w:rPr>
          <w:lang w:val="en-GB"/>
        </w:rPr>
        <w:t xml:space="preserve">The Contracting States enjoy a certain margin of appreciation in assessing whether and to what extent differences in otherwise similar situations justify a difference in treatment (see </w:t>
      </w:r>
      <w:r w:rsidR="00D867CA" w:rsidRPr="00E06A86">
        <w:rPr>
          <w:i/>
          <w:lang w:val="en-GB"/>
        </w:rPr>
        <w:t>X and Others v. Austria</w:t>
      </w:r>
      <w:r w:rsidR="00D867CA" w:rsidRPr="00E06A86">
        <w:rPr>
          <w:lang w:val="en-GB"/>
        </w:rPr>
        <w:t xml:space="preserve">, cited above, § 98, and </w:t>
      </w:r>
      <w:r w:rsidR="00D867CA" w:rsidRPr="00E06A86">
        <w:rPr>
          <w:i/>
          <w:lang w:val="en-GB"/>
        </w:rPr>
        <w:t>Vallianatos and Others</w:t>
      </w:r>
      <w:r w:rsidR="00D867CA" w:rsidRPr="00E06A86">
        <w:rPr>
          <w:lang w:val="en-GB"/>
        </w:rPr>
        <w:t>, cited above, § 76). The scope of the margin of appreciation will vary according to the circumstances, the subject matter and its background, but the final decision as to the observance of the Convention</w:t>
      </w:r>
      <w:r w:rsidR="006B125B">
        <w:rPr>
          <w:lang w:val="en-GB"/>
        </w:rPr>
        <w:t>’</w:t>
      </w:r>
      <w:r w:rsidR="00D867CA" w:rsidRPr="00E06A86">
        <w:rPr>
          <w:lang w:val="en-GB"/>
        </w:rPr>
        <w:t>s requirements rests with the Court.</w:t>
      </w:r>
      <w:r w:rsidR="00D867CA" w:rsidRPr="00E06A86">
        <w:rPr>
          <w:rFonts w:ascii="Segoe UI" w:hAnsi="Segoe UI" w:cs="Segoe UI"/>
          <w:color w:val="000000"/>
          <w:sz w:val="20"/>
          <w:szCs w:val="20"/>
          <w:lang w:val="en-GB"/>
        </w:rPr>
        <w:t xml:space="preserve"> </w:t>
      </w:r>
      <w:r w:rsidR="00D867CA" w:rsidRPr="00E06A86">
        <w:rPr>
          <w:rFonts w:ascii="Times New Roman" w:hAnsi="Times New Roman" w:cs="Times New Roman"/>
          <w:color w:val="000000"/>
          <w:szCs w:val="24"/>
          <w:lang w:val="en-GB"/>
        </w:rPr>
        <w:t>A</w:t>
      </w:r>
      <w:r w:rsidR="00D867CA" w:rsidRPr="00E06A86">
        <w:rPr>
          <w:rFonts w:ascii="Segoe UI" w:hAnsi="Segoe UI" w:cs="Segoe UI"/>
          <w:color w:val="000000"/>
          <w:sz w:val="20"/>
          <w:szCs w:val="20"/>
          <w:lang w:val="en-GB"/>
        </w:rPr>
        <w:t xml:space="preserve"> </w:t>
      </w:r>
      <w:r w:rsidR="00D867CA" w:rsidRPr="00E06A86">
        <w:rPr>
          <w:lang w:val="en-GB"/>
        </w:rPr>
        <w:t>wide margin is usually allowed to the State when it comes to general measures of economic or social strategy</w:t>
      </w:r>
      <w:r w:rsidRPr="00E06A86">
        <w:rPr>
          <w:lang w:val="en-GB"/>
        </w:rPr>
        <w:t xml:space="preserve"> (</w:t>
      </w:r>
      <w:r w:rsidR="00D867CA" w:rsidRPr="00E06A86">
        <w:rPr>
          <w:lang w:val="en-GB"/>
        </w:rPr>
        <w:t xml:space="preserve">see </w:t>
      </w:r>
      <w:r w:rsidRPr="00E06A86">
        <w:rPr>
          <w:i/>
          <w:lang w:val="en-GB"/>
        </w:rPr>
        <w:t xml:space="preserve">Burden </w:t>
      </w:r>
      <w:r w:rsidR="00D867CA" w:rsidRPr="00E06A86">
        <w:rPr>
          <w:i/>
          <w:lang w:val="en-GB"/>
        </w:rPr>
        <w:t>v. the United Kingdom</w:t>
      </w:r>
      <w:r w:rsidRPr="00E06A86">
        <w:rPr>
          <w:lang w:val="en-GB"/>
        </w:rPr>
        <w:t xml:space="preserve"> [GC], </w:t>
      </w:r>
      <w:r w:rsidR="00D867CA" w:rsidRPr="00E06A86">
        <w:rPr>
          <w:lang w:val="en-GB"/>
        </w:rPr>
        <w:t>no.</w:t>
      </w:r>
      <w:r w:rsidR="00967D42">
        <w:rPr>
          <w:lang w:val="en-GB"/>
        </w:rPr>
        <w:t> </w:t>
      </w:r>
      <w:r w:rsidRPr="00E06A86">
        <w:rPr>
          <w:lang w:val="en-GB"/>
        </w:rPr>
        <w:t xml:space="preserve">13378/05, § 60, </w:t>
      </w:r>
      <w:r w:rsidR="002138BA" w:rsidRPr="00E06A86">
        <w:rPr>
          <w:lang w:val="en-GB"/>
        </w:rPr>
        <w:t>ECHR</w:t>
      </w:r>
      <w:r w:rsidR="00D867CA" w:rsidRPr="00E06A86">
        <w:rPr>
          <w:lang w:val="en-GB"/>
        </w:rPr>
        <w:t xml:space="preserve"> </w:t>
      </w:r>
      <w:r w:rsidRPr="00E06A86">
        <w:rPr>
          <w:lang w:val="en-GB"/>
        </w:rPr>
        <w:t xml:space="preserve">2008; </w:t>
      </w:r>
      <w:r w:rsidRPr="00E06A86">
        <w:rPr>
          <w:i/>
          <w:lang w:val="en-GB"/>
        </w:rPr>
        <w:t xml:space="preserve">Carson </w:t>
      </w:r>
      <w:r w:rsidR="00D867CA" w:rsidRPr="00E06A86">
        <w:rPr>
          <w:i/>
          <w:lang w:val="en-GB"/>
        </w:rPr>
        <w:t>and Others v. the United Kingdom</w:t>
      </w:r>
      <w:r w:rsidRPr="00E06A86">
        <w:rPr>
          <w:lang w:val="en-GB"/>
        </w:rPr>
        <w:t xml:space="preserve"> [GC], </w:t>
      </w:r>
      <w:r w:rsidR="00D867CA" w:rsidRPr="00E06A86">
        <w:rPr>
          <w:lang w:val="en-GB"/>
        </w:rPr>
        <w:t>no.</w:t>
      </w:r>
      <w:r w:rsidRPr="00E06A86">
        <w:rPr>
          <w:lang w:val="en-GB"/>
        </w:rPr>
        <w:t xml:space="preserve"> 42184/05, § 61, </w:t>
      </w:r>
      <w:r w:rsidR="002138BA" w:rsidRPr="00E06A86">
        <w:rPr>
          <w:lang w:val="en-GB"/>
        </w:rPr>
        <w:t>ECHR</w:t>
      </w:r>
      <w:r w:rsidR="00D867CA" w:rsidRPr="00E06A86">
        <w:rPr>
          <w:lang w:val="en-GB"/>
        </w:rPr>
        <w:t xml:space="preserve"> </w:t>
      </w:r>
      <w:r w:rsidRPr="00E06A86">
        <w:rPr>
          <w:lang w:val="en-GB"/>
        </w:rPr>
        <w:t xml:space="preserve">2010; </w:t>
      </w:r>
      <w:r w:rsidRPr="00E06A86">
        <w:rPr>
          <w:i/>
          <w:lang w:val="en-GB"/>
        </w:rPr>
        <w:t xml:space="preserve">Şerife Yiğit </w:t>
      </w:r>
      <w:r w:rsidR="00D867CA" w:rsidRPr="00E06A86">
        <w:rPr>
          <w:i/>
          <w:lang w:val="en-GB"/>
        </w:rPr>
        <w:t>v. Turkey</w:t>
      </w:r>
      <w:r w:rsidRPr="00E06A86">
        <w:rPr>
          <w:lang w:val="en-GB"/>
        </w:rPr>
        <w:t xml:space="preserve"> [GC], </w:t>
      </w:r>
      <w:r w:rsidR="00D867CA" w:rsidRPr="00E06A86">
        <w:rPr>
          <w:lang w:val="en-GB"/>
        </w:rPr>
        <w:t>no.</w:t>
      </w:r>
      <w:r w:rsidRPr="00E06A86">
        <w:rPr>
          <w:lang w:val="en-GB"/>
        </w:rPr>
        <w:t xml:space="preserve"> 3976/05, § 70, 2 </w:t>
      </w:r>
      <w:r w:rsidR="00D867CA" w:rsidRPr="00E06A86">
        <w:rPr>
          <w:lang w:val="en-GB"/>
        </w:rPr>
        <w:t>November</w:t>
      </w:r>
      <w:r w:rsidRPr="00E06A86">
        <w:rPr>
          <w:lang w:val="en-GB"/>
        </w:rPr>
        <w:t xml:space="preserve"> 2010; </w:t>
      </w:r>
      <w:r w:rsidR="00D867CA" w:rsidRPr="00E06A86">
        <w:rPr>
          <w:lang w:val="en-GB"/>
        </w:rPr>
        <w:t>and</w:t>
      </w:r>
      <w:r w:rsidRPr="00E06A86">
        <w:rPr>
          <w:lang w:val="en-GB"/>
        </w:rPr>
        <w:t xml:space="preserve"> </w:t>
      </w:r>
      <w:r w:rsidRPr="00E06A86">
        <w:rPr>
          <w:i/>
          <w:lang w:val="en-GB"/>
        </w:rPr>
        <w:t xml:space="preserve">Stummer </w:t>
      </w:r>
      <w:r w:rsidR="00D867CA" w:rsidRPr="00E06A86">
        <w:rPr>
          <w:i/>
          <w:lang w:val="en-GB"/>
        </w:rPr>
        <w:t>v. Austria</w:t>
      </w:r>
      <w:r w:rsidRPr="00E06A86">
        <w:rPr>
          <w:lang w:val="en-GB"/>
        </w:rPr>
        <w:t xml:space="preserve"> [GC], </w:t>
      </w:r>
      <w:r w:rsidR="00D867CA" w:rsidRPr="00E06A86">
        <w:rPr>
          <w:lang w:val="en-GB"/>
        </w:rPr>
        <w:t>no.</w:t>
      </w:r>
      <w:r w:rsidRPr="00E06A86">
        <w:rPr>
          <w:lang w:val="en-GB"/>
        </w:rPr>
        <w:t xml:space="preserve"> 37452/02, § 89, </w:t>
      </w:r>
      <w:r w:rsidR="002138BA" w:rsidRPr="00E06A86">
        <w:rPr>
          <w:lang w:val="en-GB"/>
        </w:rPr>
        <w:t>ECHR</w:t>
      </w:r>
      <w:r w:rsidR="00D867CA" w:rsidRPr="00E06A86">
        <w:rPr>
          <w:lang w:val="en-GB"/>
        </w:rPr>
        <w:t xml:space="preserve"> </w:t>
      </w:r>
      <w:r w:rsidRPr="00E06A86">
        <w:rPr>
          <w:lang w:val="en-GB"/>
        </w:rPr>
        <w:t xml:space="preserve">2011). </w:t>
      </w:r>
      <w:r w:rsidR="0077527D">
        <w:rPr>
          <w:lang w:val="en-GB"/>
        </w:rPr>
        <w:t>However</w:t>
      </w:r>
      <w:r w:rsidR="00D867CA" w:rsidRPr="00E06A86">
        <w:rPr>
          <w:lang w:val="en-GB"/>
        </w:rPr>
        <w:t xml:space="preserve">, very weighty reasons would have to be put forward before the Court could regard a difference in treatment based exclusively on the ground of nationality as compatible with the Convention </w:t>
      </w:r>
      <w:r w:rsidRPr="00E06A86">
        <w:rPr>
          <w:lang w:val="en-GB"/>
        </w:rPr>
        <w:t>(</w:t>
      </w:r>
      <w:r w:rsidR="00D867CA" w:rsidRPr="00E06A86">
        <w:rPr>
          <w:lang w:val="en-GB"/>
        </w:rPr>
        <w:t xml:space="preserve">see </w:t>
      </w:r>
      <w:r w:rsidRPr="00E06A86">
        <w:rPr>
          <w:i/>
          <w:lang w:val="en-GB"/>
        </w:rPr>
        <w:t>Gaygusuz</w:t>
      </w:r>
      <w:r w:rsidRPr="00E06A86">
        <w:rPr>
          <w:lang w:val="en-GB"/>
        </w:rPr>
        <w:t xml:space="preserve">, </w:t>
      </w:r>
      <w:r w:rsidR="00CB291F" w:rsidRPr="00E06A86">
        <w:rPr>
          <w:lang w:val="en-GB"/>
        </w:rPr>
        <w:t>cited above</w:t>
      </w:r>
      <w:r w:rsidRPr="00E06A86">
        <w:rPr>
          <w:lang w:val="en-GB"/>
        </w:rPr>
        <w:t xml:space="preserve">, § 42; </w:t>
      </w:r>
      <w:r w:rsidRPr="00E06A86">
        <w:rPr>
          <w:i/>
          <w:lang w:val="en-GB"/>
        </w:rPr>
        <w:t xml:space="preserve">Koua Poirrez </w:t>
      </w:r>
      <w:r w:rsidR="00D867CA" w:rsidRPr="00E06A86">
        <w:rPr>
          <w:i/>
          <w:lang w:val="en-GB"/>
        </w:rPr>
        <w:t>v</w:t>
      </w:r>
      <w:r w:rsidRPr="00E06A86">
        <w:rPr>
          <w:i/>
          <w:lang w:val="en-GB"/>
        </w:rPr>
        <w:t>. France</w:t>
      </w:r>
      <w:r w:rsidRPr="00E06A86">
        <w:rPr>
          <w:lang w:val="en-GB"/>
        </w:rPr>
        <w:t xml:space="preserve">, </w:t>
      </w:r>
      <w:r w:rsidR="00D867CA" w:rsidRPr="00E06A86">
        <w:rPr>
          <w:lang w:val="en-GB"/>
        </w:rPr>
        <w:t>no.</w:t>
      </w:r>
      <w:r w:rsidRPr="00E06A86">
        <w:rPr>
          <w:lang w:val="en-GB"/>
        </w:rPr>
        <w:t xml:space="preserve"> 40892/98, § 46, </w:t>
      </w:r>
      <w:r w:rsidR="002138BA" w:rsidRPr="00E06A86">
        <w:rPr>
          <w:lang w:val="en-GB"/>
        </w:rPr>
        <w:t>ECHR</w:t>
      </w:r>
      <w:r w:rsidRPr="00E06A86">
        <w:rPr>
          <w:lang w:val="en-GB"/>
        </w:rPr>
        <w:t xml:space="preserve"> 2003</w:t>
      </w:r>
      <w:r w:rsidR="007B4351" w:rsidRPr="00E06A86">
        <w:rPr>
          <w:lang w:val="en-GB"/>
        </w:rPr>
        <w:t>-</w:t>
      </w:r>
      <w:r w:rsidRPr="00E06A86">
        <w:rPr>
          <w:lang w:val="en-GB"/>
        </w:rPr>
        <w:t xml:space="preserve">X; </w:t>
      </w:r>
      <w:r w:rsidRPr="00E06A86">
        <w:rPr>
          <w:i/>
          <w:lang w:val="en-GB"/>
        </w:rPr>
        <w:t xml:space="preserve">Andrejeva </w:t>
      </w:r>
      <w:r w:rsidR="00D867CA" w:rsidRPr="00E06A86">
        <w:rPr>
          <w:i/>
          <w:lang w:val="en-GB"/>
        </w:rPr>
        <w:t>v. Latvia</w:t>
      </w:r>
      <w:r w:rsidRPr="00E06A86">
        <w:rPr>
          <w:lang w:val="en-GB"/>
        </w:rPr>
        <w:t xml:space="preserve"> [GC], </w:t>
      </w:r>
      <w:r w:rsidR="00D867CA" w:rsidRPr="00E06A86">
        <w:rPr>
          <w:lang w:val="en-GB"/>
        </w:rPr>
        <w:t>no.</w:t>
      </w:r>
      <w:r w:rsidR="00967D42">
        <w:rPr>
          <w:lang w:val="en-GB"/>
        </w:rPr>
        <w:t> </w:t>
      </w:r>
      <w:r w:rsidRPr="00E06A86">
        <w:rPr>
          <w:lang w:val="en-GB"/>
        </w:rPr>
        <w:t xml:space="preserve">55707/00, § 87, </w:t>
      </w:r>
      <w:r w:rsidR="002138BA" w:rsidRPr="00E06A86">
        <w:rPr>
          <w:lang w:val="en-GB"/>
        </w:rPr>
        <w:t>ECHR</w:t>
      </w:r>
      <w:r w:rsidR="00D867CA" w:rsidRPr="00E06A86">
        <w:rPr>
          <w:lang w:val="en-GB"/>
        </w:rPr>
        <w:t xml:space="preserve"> </w:t>
      </w:r>
      <w:r w:rsidRPr="00E06A86">
        <w:rPr>
          <w:lang w:val="en-GB"/>
        </w:rPr>
        <w:t xml:space="preserve">2009; </w:t>
      </w:r>
      <w:r w:rsidR="00D867CA" w:rsidRPr="00E06A86">
        <w:rPr>
          <w:lang w:val="en-GB"/>
        </w:rPr>
        <w:t>and</w:t>
      </w:r>
      <w:r w:rsidRPr="00E06A86">
        <w:rPr>
          <w:lang w:val="en-GB"/>
        </w:rPr>
        <w:t xml:space="preserve"> </w:t>
      </w:r>
      <w:r w:rsidRPr="00E06A86">
        <w:rPr>
          <w:i/>
          <w:lang w:val="en-GB"/>
        </w:rPr>
        <w:t>Ponomaryovi</w:t>
      </w:r>
      <w:r w:rsidRPr="00E06A86">
        <w:rPr>
          <w:lang w:val="en-GB"/>
        </w:rPr>
        <w:t xml:space="preserve">, </w:t>
      </w:r>
      <w:r w:rsidR="00CB291F" w:rsidRPr="00E06A86">
        <w:rPr>
          <w:lang w:val="en-GB"/>
        </w:rPr>
        <w:t>cited above</w:t>
      </w:r>
      <w:r w:rsidRPr="00E06A86">
        <w:rPr>
          <w:lang w:val="en-GB"/>
        </w:rPr>
        <w:t>, § 52).</w:t>
      </w:r>
    </w:p>
    <w:p w:rsidR="00765A7C" w:rsidRPr="00E06A86" w:rsidRDefault="00765A7C" w:rsidP="0041551F">
      <w:pPr>
        <w:pStyle w:val="ECHRPara"/>
        <w:rPr>
          <w:lang w:val="en-GB"/>
        </w:rPr>
      </w:pPr>
      <w:r w:rsidRPr="00E06A86">
        <w:rPr>
          <w:lang w:val="en-GB"/>
        </w:rPr>
        <w:fldChar w:fldCharType="begin"/>
      </w:r>
      <w:r w:rsidRPr="00E06A86">
        <w:rPr>
          <w:lang w:val="en-GB"/>
        </w:rPr>
        <w:instrText xml:space="preserve"> SEQ level0 \*arabic </w:instrText>
      </w:r>
      <w:r w:rsidRPr="00E06A86">
        <w:rPr>
          <w:lang w:val="en-GB"/>
        </w:rPr>
        <w:fldChar w:fldCharType="separate"/>
      </w:r>
      <w:r w:rsidR="00473228">
        <w:rPr>
          <w:noProof/>
          <w:lang w:val="en-GB"/>
        </w:rPr>
        <w:t>47</w:t>
      </w:r>
      <w:r w:rsidRPr="00E06A86">
        <w:rPr>
          <w:noProof/>
          <w:lang w:val="en-GB"/>
        </w:rPr>
        <w:fldChar w:fldCharType="end"/>
      </w:r>
      <w:r w:rsidRPr="00E06A86">
        <w:rPr>
          <w:lang w:val="en-GB"/>
        </w:rPr>
        <w:t>.  </w:t>
      </w:r>
      <w:r w:rsidR="0041551F" w:rsidRPr="00E06A86">
        <w:rPr>
          <w:lang w:val="en-GB"/>
        </w:rPr>
        <w:t>Since the Convention is first and foremost a system for the protection of human rights, the Court must also have regard to the changing conditions within Contracting States and respond, for example, to any evolving convergence as to the standards to be achieved</w:t>
      </w:r>
      <w:r w:rsidRPr="00E06A86">
        <w:rPr>
          <w:lang w:val="en-GB"/>
        </w:rPr>
        <w:t xml:space="preserve"> (</w:t>
      </w:r>
      <w:r w:rsidR="0041551F" w:rsidRPr="00E06A86">
        <w:rPr>
          <w:lang w:val="en-GB"/>
        </w:rPr>
        <w:t xml:space="preserve">see </w:t>
      </w:r>
      <w:r w:rsidRPr="00E06A86">
        <w:rPr>
          <w:i/>
          <w:lang w:val="en-GB"/>
        </w:rPr>
        <w:t xml:space="preserve">Konstantin Markin </w:t>
      </w:r>
      <w:r w:rsidR="0041551F" w:rsidRPr="00E06A86">
        <w:rPr>
          <w:i/>
          <w:lang w:val="en-GB"/>
        </w:rPr>
        <w:t>v</w:t>
      </w:r>
      <w:r w:rsidRPr="00E06A86">
        <w:rPr>
          <w:i/>
          <w:lang w:val="en-GB"/>
        </w:rPr>
        <w:t>. Russi</w:t>
      </w:r>
      <w:r w:rsidR="0041551F" w:rsidRPr="00E06A86">
        <w:rPr>
          <w:i/>
          <w:lang w:val="en-GB"/>
        </w:rPr>
        <w:t>a</w:t>
      </w:r>
      <w:r w:rsidRPr="00E06A86">
        <w:rPr>
          <w:lang w:val="en-GB"/>
        </w:rPr>
        <w:t xml:space="preserve"> [GC], </w:t>
      </w:r>
      <w:r w:rsidR="0041551F" w:rsidRPr="00E06A86">
        <w:rPr>
          <w:lang w:val="en-GB"/>
        </w:rPr>
        <w:t>no.</w:t>
      </w:r>
      <w:r w:rsidRPr="00E06A86">
        <w:rPr>
          <w:lang w:val="en-GB"/>
        </w:rPr>
        <w:t xml:space="preserve"> 30078/06, § 126, </w:t>
      </w:r>
      <w:r w:rsidR="002138BA" w:rsidRPr="00E06A86">
        <w:rPr>
          <w:lang w:val="en-GB"/>
        </w:rPr>
        <w:t>ECHR</w:t>
      </w:r>
      <w:r w:rsidRPr="00E06A86">
        <w:rPr>
          <w:lang w:val="en-GB"/>
        </w:rPr>
        <w:t xml:space="preserve"> 2012, </w:t>
      </w:r>
      <w:r w:rsidR="0041551F" w:rsidRPr="00E06A86">
        <w:rPr>
          <w:lang w:val="en-GB"/>
        </w:rPr>
        <w:t>and</w:t>
      </w:r>
      <w:r w:rsidRPr="00E06A86">
        <w:rPr>
          <w:lang w:val="en-GB"/>
        </w:rPr>
        <w:t xml:space="preserve"> </w:t>
      </w:r>
      <w:r w:rsidRPr="00E06A86">
        <w:rPr>
          <w:i/>
          <w:lang w:val="en-GB"/>
        </w:rPr>
        <w:t>Fabris </w:t>
      </w:r>
      <w:r w:rsidR="0041551F" w:rsidRPr="00E06A86">
        <w:rPr>
          <w:i/>
          <w:lang w:val="en-GB"/>
        </w:rPr>
        <w:t>v</w:t>
      </w:r>
      <w:r w:rsidRPr="00E06A86">
        <w:rPr>
          <w:i/>
          <w:lang w:val="en-GB"/>
        </w:rPr>
        <w:t>. France</w:t>
      </w:r>
      <w:r w:rsidRPr="00E06A86">
        <w:rPr>
          <w:lang w:val="en-GB"/>
        </w:rPr>
        <w:t xml:space="preserve"> [GC], </w:t>
      </w:r>
      <w:r w:rsidR="0041551F" w:rsidRPr="00E06A86">
        <w:rPr>
          <w:lang w:val="en-GB"/>
        </w:rPr>
        <w:t>no.</w:t>
      </w:r>
      <w:r w:rsidRPr="00E06A86">
        <w:rPr>
          <w:lang w:val="en-GB"/>
        </w:rPr>
        <w:t xml:space="preserve"> 16574/08, § 56, </w:t>
      </w:r>
      <w:r w:rsidR="002138BA" w:rsidRPr="00E06A86">
        <w:rPr>
          <w:lang w:val="en-GB"/>
        </w:rPr>
        <w:t>ECHR</w:t>
      </w:r>
      <w:r w:rsidRPr="00E06A86">
        <w:rPr>
          <w:lang w:val="en-GB"/>
        </w:rPr>
        <w:t xml:space="preserve"> 2013).</w:t>
      </w:r>
    </w:p>
    <w:p w:rsidR="00765A7C" w:rsidRPr="00E06A86" w:rsidRDefault="0041551F" w:rsidP="00765A7C">
      <w:pPr>
        <w:pStyle w:val="ECHRHeading4"/>
        <w:rPr>
          <w:rStyle w:val="sdfc50a6a"/>
          <w:lang w:val="en-GB"/>
        </w:rPr>
      </w:pPr>
      <w:r w:rsidRPr="00E06A86">
        <w:rPr>
          <w:lang w:val="en-GB"/>
        </w:rPr>
        <w:t>(</w:t>
      </w:r>
      <w:r w:rsidR="00765A7C" w:rsidRPr="00E06A86">
        <w:rPr>
          <w:lang w:val="en-GB"/>
        </w:rPr>
        <w:t>b)  </w:t>
      </w:r>
      <w:r w:rsidRPr="00E06A86">
        <w:rPr>
          <w:rStyle w:val="sdfc50a6a"/>
          <w:lang w:val="en-GB"/>
        </w:rPr>
        <w:t>Whether there was a difference in treatment between persons in similar situations</w:t>
      </w:r>
    </w:p>
    <w:p w:rsidR="0041551F" w:rsidRPr="00E06A86" w:rsidRDefault="00765A7C" w:rsidP="00765A7C">
      <w:pPr>
        <w:pStyle w:val="ECHRPara"/>
        <w:rPr>
          <w:lang w:val="en-GB"/>
        </w:rPr>
      </w:pPr>
      <w:r w:rsidRPr="00E06A86">
        <w:rPr>
          <w:lang w:val="en-GB"/>
        </w:rPr>
        <w:fldChar w:fldCharType="begin"/>
      </w:r>
      <w:r w:rsidRPr="00E06A86">
        <w:rPr>
          <w:lang w:val="en-GB"/>
        </w:rPr>
        <w:instrText xml:space="preserve"> SEQ level0 \*arabic </w:instrText>
      </w:r>
      <w:r w:rsidRPr="00E06A86">
        <w:rPr>
          <w:lang w:val="en-GB"/>
        </w:rPr>
        <w:fldChar w:fldCharType="separate"/>
      </w:r>
      <w:r w:rsidR="00473228">
        <w:rPr>
          <w:noProof/>
          <w:lang w:val="en-GB"/>
        </w:rPr>
        <w:t>48</w:t>
      </w:r>
      <w:r w:rsidRPr="00E06A86">
        <w:rPr>
          <w:noProof/>
          <w:lang w:val="en-GB"/>
        </w:rPr>
        <w:fldChar w:fldCharType="end"/>
      </w:r>
      <w:r w:rsidRPr="00E06A86">
        <w:rPr>
          <w:lang w:val="en-GB"/>
        </w:rPr>
        <w:t>.  </w:t>
      </w:r>
      <w:r w:rsidR="0041551F" w:rsidRPr="00E06A86">
        <w:rPr>
          <w:lang w:val="en-GB"/>
        </w:rPr>
        <w:t>In the Court</w:t>
      </w:r>
      <w:r w:rsidR="006B125B">
        <w:rPr>
          <w:lang w:val="en-GB"/>
        </w:rPr>
        <w:t>’</w:t>
      </w:r>
      <w:r w:rsidR="0041551F" w:rsidRPr="00E06A86">
        <w:rPr>
          <w:lang w:val="en-GB"/>
        </w:rPr>
        <w:t>s view, it is beyond doubt that the applicant was treated differently compared with workers who were nationals of the European Union and who, like him, had large families. Unlike them, the applicant was not entitled to the family allowance provided for by section 65 of Law no.</w:t>
      </w:r>
      <w:r w:rsidR="00967D42">
        <w:rPr>
          <w:lang w:val="en-GB"/>
        </w:rPr>
        <w:t> </w:t>
      </w:r>
      <w:r w:rsidR="0041551F" w:rsidRPr="00E06A86">
        <w:rPr>
          <w:lang w:val="en-GB"/>
        </w:rPr>
        <w:t>448 of 1998. Moreover,</w:t>
      </w:r>
      <w:r w:rsidR="0077527D">
        <w:rPr>
          <w:lang w:val="en-GB"/>
        </w:rPr>
        <w:t xml:space="preserve"> this was not disputed by</w:t>
      </w:r>
      <w:r w:rsidR="0041551F" w:rsidRPr="00E06A86">
        <w:rPr>
          <w:lang w:val="en-GB"/>
        </w:rPr>
        <w:t xml:space="preserve"> the Government.</w:t>
      </w:r>
    </w:p>
    <w:p w:rsidR="00765A7C" w:rsidRPr="00E06A86" w:rsidRDefault="00765A7C" w:rsidP="0041551F">
      <w:pPr>
        <w:pStyle w:val="ECHRPara"/>
        <w:rPr>
          <w:lang w:val="en-GB"/>
        </w:rPr>
      </w:pPr>
      <w:r w:rsidRPr="00E06A86">
        <w:rPr>
          <w:lang w:val="en-GB"/>
        </w:rPr>
        <w:fldChar w:fldCharType="begin"/>
      </w:r>
      <w:r w:rsidRPr="00E06A86">
        <w:rPr>
          <w:lang w:val="en-GB"/>
        </w:rPr>
        <w:instrText xml:space="preserve"> SEQ level0 \*arabic </w:instrText>
      </w:r>
      <w:r w:rsidRPr="00E06A86">
        <w:rPr>
          <w:lang w:val="en-GB"/>
        </w:rPr>
        <w:fldChar w:fldCharType="separate"/>
      </w:r>
      <w:r w:rsidR="00473228">
        <w:rPr>
          <w:noProof/>
          <w:lang w:val="en-GB"/>
        </w:rPr>
        <w:t>49</w:t>
      </w:r>
      <w:r w:rsidRPr="00E06A86">
        <w:rPr>
          <w:noProof/>
          <w:lang w:val="en-GB"/>
        </w:rPr>
        <w:fldChar w:fldCharType="end"/>
      </w:r>
      <w:r w:rsidRPr="00E06A86">
        <w:rPr>
          <w:lang w:val="en-GB"/>
        </w:rPr>
        <w:t>.  </w:t>
      </w:r>
      <w:r w:rsidR="0041551F" w:rsidRPr="00E06A86">
        <w:rPr>
          <w:lang w:val="en-GB"/>
        </w:rPr>
        <w:t xml:space="preserve">The </w:t>
      </w:r>
      <w:r w:rsidR="00E06A86" w:rsidRPr="00E06A86">
        <w:rPr>
          <w:lang w:val="en-GB"/>
        </w:rPr>
        <w:t>C</w:t>
      </w:r>
      <w:r w:rsidR="0041551F" w:rsidRPr="00E06A86">
        <w:rPr>
          <w:lang w:val="en-GB"/>
        </w:rPr>
        <w:t xml:space="preserve">ourt </w:t>
      </w:r>
      <w:r w:rsidR="0077527D">
        <w:rPr>
          <w:lang w:val="en-GB"/>
        </w:rPr>
        <w:t>further</w:t>
      </w:r>
      <w:r w:rsidR="0041551F" w:rsidRPr="00E06A86">
        <w:rPr>
          <w:lang w:val="en-GB"/>
        </w:rPr>
        <w:t xml:space="preserve"> observes that the refusal to grant the allowance was based exclusively on the nationality of the applicant, who at the time was not a national of a European Union Member State. It was not alleged that the applicant did not </w:t>
      </w:r>
      <w:r w:rsidR="0077527D">
        <w:rPr>
          <w:lang w:val="en-GB"/>
        </w:rPr>
        <w:t>satisfy</w:t>
      </w:r>
      <w:r w:rsidR="0041551F" w:rsidRPr="00E06A86">
        <w:rPr>
          <w:lang w:val="en-GB"/>
        </w:rPr>
        <w:t xml:space="preserve"> the other </w:t>
      </w:r>
      <w:r w:rsidR="0077527D">
        <w:rPr>
          <w:lang w:val="en-GB"/>
        </w:rPr>
        <w:t>statutory conditions</w:t>
      </w:r>
      <w:r w:rsidR="0041551F" w:rsidRPr="00E06A86">
        <w:rPr>
          <w:lang w:val="en-GB"/>
        </w:rPr>
        <w:t xml:space="preserve"> for entitlement to the benefit in question. Hence, it is clear that he was </w:t>
      </w:r>
      <w:r w:rsidR="00E06A86" w:rsidRPr="00E06A86">
        <w:rPr>
          <w:lang w:val="en-GB"/>
        </w:rPr>
        <w:t>treated less favourably than others in a relevantly similar situation, on account of a personal characteristic</w:t>
      </w:r>
      <w:r w:rsidRPr="00E06A86">
        <w:rPr>
          <w:rStyle w:val="sb8d990e2"/>
          <w:lang w:val="en-GB"/>
        </w:rPr>
        <w:t xml:space="preserve"> </w:t>
      </w:r>
      <w:r w:rsidRPr="00E06A86">
        <w:rPr>
          <w:lang w:val="en-GB"/>
        </w:rPr>
        <w:t>(</w:t>
      </w:r>
      <w:r w:rsidR="0041551F" w:rsidRPr="00E06A86">
        <w:rPr>
          <w:lang w:val="en-GB"/>
        </w:rPr>
        <w:t>see</w:t>
      </w:r>
      <w:r w:rsidRPr="00E06A86">
        <w:rPr>
          <w:lang w:val="en-GB"/>
        </w:rPr>
        <w:t xml:space="preserve">, </w:t>
      </w:r>
      <w:r w:rsidRPr="00E06A86">
        <w:rPr>
          <w:i/>
          <w:lang w:val="en-GB"/>
        </w:rPr>
        <w:t>mutatis mutandis</w:t>
      </w:r>
      <w:r w:rsidRPr="00E06A86">
        <w:rPr>
          <w:lang w:val="en-GB"/>
        </w:rPr>
        <w:t xml:space="preserve">, </w:t>
      </w:r>
      <w:r w:rsidRPr="00E06A86">
        <w:rPr>
          <w:i/>
          <w:lang w:val="en-GB"/>
        </w:rPr>
        <w:t>Ponomaryovi</w:t>
      </w:r>
      <w:r w:rsidRPr="00E06A86">
        <w:rPr>
          <w:lang w:val="en-GB"/>
        </w:rPr>
        <w:t xml:space="preserve">, </w:t>
      </w:r>
      <w:r w:rsidR="00CB291F" w:rsidRPr="00E06A86">
        <w:rPr>
          <w:lang w:val="en-GB"/>
        </w:rPr>
        <w:t>cited above</w:t>
      </w:r>
      <w:r w:rsidRPr="00E06A86">
        <w:rPr>
          <w:lang w:val="en-GB"/>
        </w:rPr>
        <w:t>, § 50).</w:t>
      </w:r>
    </w:p>
    <w:p w:rsidR="00765A7C" w:rsidRPr="00E06A86" w:rsidRDefault="0041551F" w:rsidP="00765A7C">
      <w:pPr>
        <w:pStyle w:val="ECHRHeading4"/>
        <w:rPr>
          <w:rStyle w:val="sdfc50a6a"/>
          <w:lang w:val="en-GB"/>
        </w:rPr>
      </w:pPr>
      <w:r w:rsidRPr="00E06A86">
        <w:rPr>
          <w:lang w:val="en-GB"/>
        </w:rPr>
        <w:lastRenderedPageBreak/>
        <w:t>(</w:t>
      </w:r>
      <w:r w:rsidR="00765A7C" w:rsidRPr="00E06A86">
        <w:rPr>
          <w:lang w:val="en-GB"/>
        </w:rPr>
        <w:t>c)  </w:t>
      </w:r>
      <w:r w:rsidRPr="00E06A86">
        <w:rPr>
          <w:lang w:val="en-GB"/>
        </w:rPr>
        <w:t>W</w:t>
      </w:r>
      <w:r w:rsidRPr="00E06A86">
        <w:rPr>
          <w:rStyle w:val="sdfc50a6a"/>
          <w:lang w:val="en-GB"/>
        </w:rPr>
        <w:t>hether there was an objective and reasonable justification</w:t>
      </w:r>
    </w:p>
    <w:p w:rsidR="008004C6" w:rsidRPr="00E06A86" w:rsidRDefault="00765A7C" w:rsidP="008004C6">
      <w:pPr>
        <w:pStyle w:val="ECHRPara"/>
        <w:rPr>
          <w:rStyle w:val="sb8d990e2"/>
          <w:lang w:val="en-GB"/>
        </w:rPr>
      </w:pPr>
      <w:r w:rsidRPr="00E06A86">
        <w:rPr>
          <w:lang w:val="en-GB"/>
        </w:rPr>
        <w:fldChar w:fldCharType="begin"/>
      </w:r>
      <w:r w:rsidRPr="00E06A86">
        <w:rPr>
          <w:lang w:val="en-GB"/>
        </w:rPr>
        <w:instrText xml:space="preserve"> SEQ level0 \*arabic </w:instrText>
      </w:r>
      <w:r w:rsidRPr="00E06A86">
        <w:rPr>
          <w:lang w:val="en-GB"/>
        </w:rPr>
        <w:fldChar w:fldCharType="separate"/>
      </w:r>
      <w:r w:rsidR="00473228">
        <w:rPr>
          <w:noProof/>
          <w:lang w:val="en-GB"/>
        </w:rPr>
        <w:t>50</w:t>
      </w:r>
      <w:r w:rsidRPr="00E06A86">
        <w:rPr>
          <w:noProof/>
          <w:lang w:val="en-GB"/>
        </w:rPr>
        <w:fldChar w:fldCharType="end"/>
      </w:r>
      <w:r w:rsidRPr="00E06A86">
        <w:rPr>
          <w:lang w:val="en-GB"/>
        </w:rPr>
        <w:t>. </w:t>
      </w:r>
      <w:r w:rsidR="008004C6" w:rsidRPr="00E06A86">
        <w:rPr>
          <w:lang w:val="en-GB"/>
        </w:rPr>
        <w:t>The Court notes that in several cases cited above which were similar to the present case</w:t>
      </w:r>
      <w:r w:rsidRPr="00E06A86">
        <w:rPr>
          <w:lang w:val="en-GB"/>
        </w:rPr>
        <w:t> </w:t>
      </w:r>
      <w:r w:rsidRPr="00E06A86">
        <w:rPr>
          <w:rStyle w:val="sb8d990e2"/>
          <w:lang w:val="en-GB"/>
        </w:rPr>
        <w:t>(</w:t>
      </w:r>
      <w:r w:rsidRPr="00E06A86">
        <w:rPr>
          <w:i/>
          <w:lang w:val="en-GB"/>
        </w:rPr>
        <w:t>Niedzwiecki</w:t>
      </w:r>
      <w:r w:rsidRPr="00E06A86">
        <w:rPr>
          <w:lang w:val="en-GB"/>
        </w:rPr>
        <w:t xml:space="preserve">; </w:t>
      </w:r>
      <w:r w:rsidRPr="00E06A86">
        <w:rPr>
          <w:i/>
          <w:lang w:val="en-GB"/>
        </w:rPr>
        <w:t>Okpisz</w:t>
      </w:r>
      <w:r w:rsidRPr="00E06A86">
        <w:rPr>
          <w:lang w:val="en-GB"/>
        </w:rPr>
        <w:t xml:space="preserve">; </w:t>
      </w:r>
      <w:r w:rsidRPr="00E06A86">
        <w:rPr>
          <w:i/>
          <w:lang w:val="en-GB"/>
        </w:rPr>
        <w:t>Weller</w:t>
      </w:r>
      <w:r w:rsidRPr="00E06A86">
        <w:rPr>
          <w:lang w:val="en-GB"/>
        </w:rPr>
        <w:t>;</w:t>
      </w:r>
      <w:r w:rsidRPr="00E06A86">
        <w:rPr>
          <w:i/>
          <w:lang w:val="en-GB"/>
        </w:rPr>
        <w:t xml:space="preserve"> Fawsie</w:t>
      </w:r>
      <w:r w:rsidRPr="00E06A86">
        <w:rPr>
          <w:rStyle w:val="textcolumn"/>
          <w:lang w:val="en-GB"/>
        </w:rPr>
        <w:t xml:space="preserve">; </w:t>
      </w:r>
      <w:r w:rsidR="008004C6" w:rsidRPr="00E06A86">
        <w:rPr>
          <w:rStyle w:val="textcolumn"/>
          <w:lang w:val="en-GB"/>
        </w:rPr>
        <w:t>and</w:t>
      </w:r>
      <w:r w:rsidRPr="00E06A86">
        <w:rPr>
          <w:lang w:val="en-GB"/>
        </w:rPr>
        <w:t xml:space="preserve"> </w:t>
      </w:r>
      <w:r w:rsidRPr="00E06A86">
        <w:rPr>
          <w:i/>
          <w:lang w:val="en-GB"/>
        </w:rPr>
        <w:t>Saidoun</w:t>
      </w:r>
      <w:r w:rsidRPr="00E06A86">
        <w:rPr>
          <w:rStyle w:val="sb8d990e2"/>
          <w:lang w:val="en-GB"/>
        </w:rPr>
        <w:t>)</w:t>
      </w:r>
      <w:r w:rsidR="00E06A86">
        <w:rPr>
          <w:rStyle w:val="sb8d990e2"/>
          <w:lang w:val="en-GB"/>
        </w:rPr>
        <w:t>,</w:t>
      </w:r>
      <w:r w:rsidRPr="00E06A86">
        <w:rPr>
          <w:rStyle w:val="sb8d990e2"/>
          <w:lang w:val="en-GB"/>
        </w:rPr>
        <w:t xml:space="preserve"> </w:t>
      </w:r>
      <w:r w:rsidR="008004C6" w:rsidRPr="00E06A86">
        <w:rPr>
          <w:rStyle w:val="sb8d990e2"/>
          <w:lang w:val="en-GB"/>
        </w:rPr>
        <w:t xml:space="preserve">and which also concerned </w:t>
      </w:r>
      <w:r w:rsidR="009F7456">
        <w:rPr>
          <w:rStyle w:val="sb8d990e2"/>
          <w:lang w:val="en-GB"/>
        </w:rPr>
        <w:t xml:space="preserve">welfare </w:t>
      </w:r>
      <w:r w:rsidR="008004C6" w:rsidRPr="00E06A86">
        <w:rPr>
          <w:rStyle w:val="sb8d990e2"/>
          <w:lang w:val="en-GB"/>
        </w:rPr>
        <w:t xml:space="preserve">benefits for the families of </w:t>
      </w:r>
      <w:r w:rsidR="00BF009E">
        <w:rPr>
          <w:rStyle w:val="sb8d990e2"/>
          <w:lang w:val="en-GB"/>
        </w:rPr>
        <w:t>non-nationals</w:t>
      </w:r>
      <w:r w:rsidR="008004C6" w:rsidRPr="00E06A86">
        <w:rPr>
          <w:rStyle w:val="sb8d990e2"/>
          <w:lang w:val="en-GB"/>
        </w:rPr>
        <w:t xml:space="preserve">, </w:t>
      </w:r>
      <w:r w:rsidR="00E06A86">
        <w:rPr>
          <w:rStyle w:val="sb8d990e2"/>
          <w:lang w:val="en-GB"/>
        </w:rPr>
        <w:t>it</w:t>
      </w:r>
      <w:r w:rsidR="008004C6" w:rsidRPr="00E06A86">
        <w:rPr>
          <w:rStyle w:val="sb8d990e2"/>
          <w:lang w:val="en-GB"/>
        </w:rPr>
        <w:t xml:space="preserve"> found a violation of Article 14 taken in conjunction with Article 8 on the ground that the authorities had not provided a</w:t>
      </w:r>
      <w:r w:rsidR="000E5B77">
        <w:rPr>
          <w:rStyle w:val="sb8d990e2"/>
          <w:lang w:val="en-GB"/>
        </w:rPr>
        <w:t>ny</w:t>
      </w:r>
      <w:r w:rsidR="008004C6" w:rsidRPr="00E06A86">
        <w:rPr>
          <w:rStyle w:val="sb8d990e2"/>
          <w:lang w:val="en-GB"/>
        </w:rPr>
        <w:t xml:space="preserve"> reasonable justification for the practice of excluding non-nationals lawfully settled in the countries concerned from entitlement to certain allowances on the sole basis of their nationality.</w:t>
      </w:r>
    </w:p>
    <w:p w:rsidR="008004C6" w:rsidRPr="00E06A86" w:rsidRDefault="00765A7C" w:rsidP="008004C6">
      <w:pPr>
        <w:pStyle w:val="ECHRPara"/>
        <w:rPr>
          <w:lang w:val="en-GB"/>
        </w:rPr>
      </w:pPr>
      <w:r w:rsidRPr="00E06A86">
        <w:rPr>
          <w:lang w:val="en-GB"/>
        </w:rPr>
        <w:fldChar w:fldCharType="begin"/>
      </w:r>
      <w:r w:rsidRPr="00E06A86">
        <w:rPr>
          <w:lang w:val="en-GB"/>
        </w:rPr>
        <w:instrText xml:space="preserve"> SEQ level0 \*arabic </w:instrText>
      </w:r>
      <w:r w:rsidRPr="00E06A86">
        <w:rPr>
          <w:lang w:val="en-GB"/>
        </w:rPr>
        <w:fldChar w:fldCharType="separate"/>
      </w:r>
      <w:r w:rsidR="00473228">
        <w:rPr>
          <w:noProof/>
          <w:lang w:val="en-GB"/>
        </w:rPr>
        <w:t>51</w:t>
      </w:r>
      <w:r w:rsidRPr="00E06A86">
        <w:rPr>
          <w:noProof/>
          <w:lang w:val="en-GB"/>
        </w:rPr>
        <w:fldChar w:fldCharType="end"/>
      </w:r>
      <w:r w:rsidRPr="00E06A86">
        <w:rPr>
          <w:lang w:val="en-GB"/>
        </w:rPr>
        <w:t>.  </w:t>
      </w:r>
      <w:r w:rsidR="008004C6" w:rsidRPr="00E06A86">
        <w:rPr>
          <w:lang w:val="en-GB"/>
        </w:rPr>
        <w:t>In particular, in the cases of</w:t>
      </w:r>
      <w:r w:rsidRPr="00E06A86">
        <w:rPr>
          <w:lang w:val="en-GB"/>
        </w:rPr>
        <w:t xml:space="preserve"> </w:t>
      </w:r>
      <w:r w:rsidRPr="00E06A86">
        <w:rPr>
          <w:i/>
          <w:lang w:val="en-GB"/>
        </w:rPr>
        <w:t>Fawsie</w:t>
      </w:r>
      <w:r w:rsidRPr="00E06A86">
        <w:rPr>
          <w:rStyle w:val="textcolumn"/>
          <w:lang w:val="en-GB"/>
        </w:rPr>
        <w:t xml:space="preserve"> </w:t>
      </w:r>
      <w:r w:rsidR="008004C6" w:rsidRPr="00E06A86">
        <w:rPr>
          <w:rStyle w:val="textcolumn"/>
          <w:lang w:val="en-GB"/>
        </w:rPr>
        <w:t>and</w:t>
      </w:r>
      <w:r w:rsidRPr="00E06A86">
        <w:rPr>
          <w:lang w:val="en-GB"/>
        </w:rPr>
        <w:t xml:space="preserve"> </w:t>
      </w:r>
      <w:r w:rsidRPr="00E06A86">
        <w:rPr>
          <w:i/>
          <w:lang w:val="en-GB"/>
        </w:rPr>
        <w:t>Saidoun</w:t>
      </w:r>
      <w:r w:rsidR="00E06A86">
        <w:rPr>
          <w:lang w:val="en-GB"/>
        </w:rPr>
        <w:t>,</w:t>
      </w:r>
      <w:r w:rsidRPr="00E06A86">
        <w:rPr>
          <w:i/>
          <w:lang w:val="en-GB"/>
        </w:rPr>
        <w:t xml:space="preserve"> </w:t>
      </w:r>
      <w:r w:rsidR="00CB291F" w:rsidRPr="00E06A86">
        <w:rPr>
          <w:lang w:val="en-GB"/>
        </w:rPr>
        <w:t>cited above</w:t>
      </w:r>
      <w:r w:rsidR="008004C6" w:rsidRPr="00E06A86">
        <w:rPr>
          <w:lang w:val="en-GB"/>
        </w:rPr>
        <w:t>, which like the present case concerned allowances for large families, the Court</w:t>
      </w:r>
      <w:r w:rsidR="006B125B">
        <w:rPr>
          <w:lang w:val="en-GB"/>
        </w:rPr>
        <w:t>’</w:t>
      </w:r>
      <w:r w:rsidR="008004C6" w:rsidRPr="00E06A86">
        <w:rPr>
          <w:lang w:val="en-GB"/>
        </w:rPr>
        <w:t xml:space="preserve">s finding of a violation was based especially on the fact that the applicants and the members of their families had been granted political refugee status and that the criterion chosen by the Government (which </w:t>
      </w:r>
      <w:r w:rsidR="00E06A86">
        <w:rPr>
          <w:lang w:val="en-GB"/>
        </w:rPr>
        <w:t>had focused mainly on whether the persons concerned were Greek nationals</w:t>
      </w:r>
      <w:r w:rsidR="008004C6" w:rsidRPr="00E06A86">
        <w:rPr>
          <w:lang w:val="en-GB"/>
        </w:rPr>
        <w:t xml:space="preserve"> or </w:t>
      </w:r>
      <w:r w:rsidR="00E06A86">
        <w:rPr>
          <w:lang w:val="en-GB"/>
        </w:rPr>
        <w:t xml:space="preserve">of Greek </w:t>
      </w:r>
      <w:r w:rsidR="008004C6" w:rsidRPr="00E06A86">
        <w:rPr>
          <w:lang w:val="en-GB"/>
        </w:rPr>
        <w:t xml:space="preserve">origin) in </w:t>
      </w:r>
      <w:r w:rsidR="00E06A86">
        <w:rPr>
          <w:lang w:val="en-GB"/>
        </w:rPr>
        <w:t>order to determine</w:t>
      </w:r>
      <w:r w:rsidR="008004C6" w:rsidRPr="00E06A86">
        <w:rPr>
          <w:lang w:val="en-GB"/>
        </w:rPr>
        <w:t xml:space="preserve"> eligibility for the allowance did not appear to be relevant in the light of the legitimate aim pursued (namely to </w:t>
      </w:r>
      <w:r w:rsidR="00E06A86">
        <w:rPr>
          <w:lang w:val="en-GB"/>
        </w:rPr>
        <w:t xml:space="preserve">deal with </w:t>
      </w:r>
      <w:r w:rsidR="008004C6" w:rsidRPr="00E06A86">
        <w:rPr>
          <w:lang w:val="en-GB"/>
        </w:rPr>
        <w:t>the country</w:t>
      </w:r>
      <w:r w:rsidR="006B125B">
        <w:rPr>
          <w:lang w:val="en-GB"/>
        </w:rPr>
        <w:t>’</w:t>
      </w:r>
      <w:r w:rsidR="008004C6" w:rsidRPr="00E06A86">
        <w:rPr>
          <w:lang w:val="en-GB"/>
        </w:rPr>
        <w:t xml:space="preserve">s demographic </w:t>
      </w:r>
      <w:r w:rsidR="00E06A86">
        <w:rPr>
          <w:lang w:val="en-GB"/>
        </w:rPr>
        <w:t>situation</w:t>
      </w:r>
      <w:r w:rsidR="008004C6" w:rsidRPr="00E06A86">
        <w:rPr>
          <w:lang w:val="en-GB"/>
        </w:rPr>
        <w:t>).</w:t>
      </w:r>
    </w:p>
    <w:p w:rsidR="00765A7C" w:rsidRPr="00E06A86" w:rsidRDefault="00765A7C" w:rsidP="00C961C1">
      <w:pPr>
        <w:pStyle w:val="ECHRPara"/>
        <w:rPr>
          <w:rStyle w:val="sb8d990e2"/>
          <w:lang w:val="en-GB"/>
        </w:rPr>
      </w:pPr>
      <w:r w:rsidRPr="00E06A86">
        <w:rPr>
          <w:lang w:val="en-GB"/>
        </w:rPr>
        <w:fldChar w:fldCharType="begin"/>
      </w:r>
      <w:r w:rsidRPr="00E06A86">
        <w:rPr>
          <w:lang w:val="en-GB"/>
        </w:rPr>
        <w:instrText xml:space="preserve"> SEQ level0 \*arabic </w:instrText>
      </w:r>
      <w:r w:rsidRPr="00E06A86">
        <w:rPr>
          <w:lang w:val="en-GB"/>
        </w:rPr>
        <w:fldChar w:fldCharType="separate"/>
      </w:r>
      <w:r w:rsidR="00473228">
        <w:rPr>
          <w:noProof/>
          <w:lang w:val="en-GB"/>
        </w:rPr>
        <w:t>52</w:t>
      </w:r>
      <w:r w:rsidRPr="00E06A86">
        <w:rPr>
          <w:noProof/>
          <w:lang w:val="en-GB"/>
        </w:rPr>
        <w:fldChar w:fldCharType="end"/>
      </w:r>
      <w:r w:rsidRPr="00E06A86">
        <w:rPr>
          <w:lang w:val="en-GB"/>
        </w:rPr>
        <w:t>.  </w:t>
      </w:r>
      <w:r w:rsidR="008004C6" w:rsidRPr="00E06A86">
        <w:rPr>
          <w:lang w:val="en-GB"/>
        </w:rPr>
        <w:t>The Court</w:t>
      </w:r>
      <w:r w:rsidR="009A52AF" w:rsidRPr="00E06A86">
        <w:rPr>
          <w:lang w:val="en-GB"/>
        </w:rPr>
        <w:t xml:space="preserve"> is of the view that similar considerations apply, </w:t>
      </w:r>
      <w:r w:rsidRPr="00E06A86">
        <w:rPr>
          <w:i/>
          <w:lang w:val="en-GB"/>
        </w:rPr>
        <w:t>mutatis mutandis</w:t>
      </w:r>
      <w:r w:rsidRPr="00E06A86">
        <w:rPr>
          <w:lang w:val="en-GB"/>
        </w:rPr>
        <w:t xml:space="preserve">, </w:t>
      </w:r>
      <w:r w:rsidR="009A52AF" w:rsidRPr="00E06A86">
        <w:rPr>
          <w:lang w:val="en-GB"/>
        </w:rPr>
        <w:t xml:space="preserve">in the present case. It notes </w:t>
      </w:r>
      <w:r w:rsidR="00E700E2">
        <w:rPr>
          <w:lang w:val="en-GB"/>
        </w:rPr>
        <w:t xml:space="preserve">in </w:t>
      </w:r>
      <w:r w:rsidR="009A52AF" w:rsidRPr="00E06A86">
        <w:rPr>
          <w:lang w:val="en-GB"/>
        </w:rPr>
        <w:t xml:space="preserve">that connection that at the </w:t>
      </w:r>
      <w:r w:rsidR="00E700E2">
        <w:rPr>
          <w:lang w:val="en-GB"/>
        </w:rPr>
        <w:t xml:space="preserve">relevant </w:t>
      </w:r>
      <w:r w:rsidR="009A52AF" w:rsidRPr="00E06A86">
        <w:rPr>
          <w:lang w:val="en-GB"/>
        </w:rPr>
        <w:t xml:space="preserve">time the applicant had been </w:t>
      </w:r>
      <w:r w:rsidR="00E700E2">
        <w:rPr>
          <w:lang w:val="en-GB"/>
        </w:rPr>
        <w:t>in possession</w:t>
      </w:r>
      <w:r w:rsidR="009A52AF" w:rsidRPr="00E06A86">
        <w:rPr>
          <w:lang w:val="en-GB"/>
        </w:rPr>
        <w:t xml:space="preserve"> of a lawful residence and work permit in Italy and had been insured with the INPS (see paragraph 6 above). He paid contributions to that insurance </w:t>
      </w:r>
      <w:r w:rsidR="000E5B77">
        <w:rPr>
          <w:lang w:val="en-GB"/>
        </w:rPr>
        <w:t>agency</w:t>
      </w:r>
      <w:r w:rsidR="009A52AF" w:rsidRPr="00E06A86">
        <w:rPr>
          <w:lang w:val="en-GB"/>
        </w:rPr>
        <w:t xml:space="preserve"> in the same capacity and on the same basis as workers who were European Union nationals</w:t>
      </w:r>
      <w:r w:rsidRPr="00E06A86">
        <w:rPr>
          <w:rStyle w:val="sb8d990e2"/>
          <w:lang w:val="en-GB"/>
        </w:rPr>
        <w:t xml:space="preserve"> (</w:t>
      </w:r>
      <w:r w:rsidR="009A52AF" w:rsidRPr="00E06A86">
        <w:rPr>
          <w:rStyle w:val="sb8d990e2"/>
          <w:lang w:val="en-GB"/>
        </w:rPr>
        <w:t>see</w:t>
      </w:r>
      <w:r w:rsidRPr="00E06A86">
        <w:rPr>
          <w:rStyle w:val="sb8d990e2"/>
          <w:lang w:val="en-GB"/>
        </w:rPr>
        <w:t xml:space="preserve">, </w:t>
      </w:r>
      <w:r w:rsidRPr="00E06A86">
        <w:rPr>
          <w:rStyle w:val="sb8d990e2"/>
          <w:i/>
          <w:lang w:val="en-GB"/>
        </w:rPr>
        <w:t>mutatis mutandis</w:t>
      </w:r>
      <w:r w:rsidRPr="00E06A86">
        <w:rPr>
          <w:rStyle w:val="sb8d990e2"/>
          <w:lang w:val="en-GB"/>
        </w:rPr>
        <w:t xml:space="preserve">, </w:t>
      </w:r>
      <w:r w:rsidRPr="00E06A86">
        <w:rPr>
          <w:rStyle w:val="s6b621b36"/>
          <w:i/>
          <w:lang w:val="en-GB"/>
        </w:rPr>
        <w:t>Gaygusuz</w:t>
      </w:r>
      <w:r w:rsidRPr="00E06A86">
        <w:rPr>
          <w:rStyle w:val="sb8d990e2"/>
          <w:lang w:val="en-GB"/>
        </w:rPr>
        <w:t xml:space="preserve">, </w:t>
      </w:r>
      <w:r w:rsidR="00CB291F" w:rsidRPr="00E06A86">
        <w:rPr>
          <w:rStyle w:val="sb8d990e2"/>
          <w:lang w:val="en-GB"/>
        </w:rPr>
        <w:t>cited above</w:t>
      </w:r>
      <w:r w:rsidRPr="00E06A86">
        <w:rPr>
          <w:rStyle w:val="sb8d990e2"/>
          <w:lang w:val="en-GB"/>
        </w:rPr>
        <w:t xml:space="preserve">, § 46). </w:t>
      </w:r>
      <w:r w:rsidR="009A52AF" w:rsidRPr="00E06A86">
        <w:rPr>
          <w:rStyle w:val="sb8d990e2"/>
          <w:lang w:val="en-GB"/>
        </w:rPr>
        <w:t xml:space="preserve">He was not an alien </w:t>
      </w:r>
      <w:r w:rsidR="00E700E2">
        <w:rPr>
          <w:rStyle w:val="sb8d990e2"/>
          <w:lang w:val="en-GB"/>
        </w:rPr>
        <w:t>residing</w:t>
      </w:r>
      <w:r w:rsidR="009A52AF" w:rsidRPr="00E06A86">
        <w:rPr>
          <w:rStyle w:val="sb8d990e2"/>
          <w:lang w:val="en-GB"/>
        </w:rPr>
        <w:t xml:space="preserve"> in the country for a short period or in breach of the immigration legislation. Hence, he did not belong to the category of persons who, as a </w:t>
      </w:r>
      <w:r w:rsidR="00C961C1" w:rsidRPr="00E06A86">
        <w:rPr>
          <w:rStyle w:val="sb8d990e2"/>
          <w:lang w:val="en-GB"/>
        </w:rPr>
        <w:t>rule</w:t>
      </w:r>
      <w:r w:rsidR="009A52AF" w:rsidRPr="00E06A86">
        <w:rPr>
          <w:rStyle w:val="sb8d990e2"/>
          <w:lang w:val="en-GB"/>
        </w:rPr>
        <w:t>,</w:t>
      </w:r>
      <w:r w:rsidR="00C961C1" w:rsidRPr="00E06A86">
        <w:rPr>
          <w:rStyle w:val="sb8d990e2"/>
          <w:lang w:val="en-GB"/>
        </w:rPr>
        <w:t xml:space="preserve"> do not contribute to the funding of public services and in relation to whom</w:t>
      </w:r>
      <w:r w:rsidR="00C961C1" w:rsidRPr="00E06A86">
        <w:rPr>
          <w:rFonts w:ascii="Segoe UI" w:hAnsi="Segoe UI" w:cs="Segoe UI"/>
          <w:color w:val="000000"/>
          <w:sz w:val="20"/>
          <w:szCs w:val="20"/>
          <w:lang w:val="en-GB"/>
        </w:rPr>
        <w:t xml:space="preserve"> </w:t>
      </w:r>
      <w:r w:rsidR="00C961C1" w:rsidRPr="00E06A86">
        <w:rPr>
          <w:lang w:val="en-GB"/>
        </w:rPr>
        <w:t xml:space="preserve">a State may have legitimate reasons for curtailing the use of resource-hungry public services such as </w:t>
      </w:r>
      <w:r w:rsidR="00E700E2">
        <w:rPr>
          <w:lang w:val="en-GB"/>
        </w:rPr>
        <w:t>social insurance schemes</w:t>
      </w:r>
      <w:r w:rsidR="00C961C1" w:rsidRPr="00E06A86">
        <w:rPr>
          <w:lang w:val="en-GB"/>
        </w:rPr>
        <w:t xml:space="preserve">, public benefits and health care </w:t>
      </w:r>
      <w:r w:rsidRPr="00E06A86">
        <w:rPr>
          <w:rStyle w:val="sb8d990e2"/>
          <w:lang w:val="en-GB"/>
        </w:rPr>
        <w:t>(</w:t>
      </w:r>
      <w:r w:rsidR="00C961C1" w:rsidRPr="00E06A86">
        <w:rPr>
          <w:rStyle w:val="sb8d990e2"/>
          <w:lang w:val="en-GB"/>
        </w:rPr>
        <w:t>see</w:t>
      </w:r>
      <w:r w:rsidRPr="00E06A86">
        <w:rPr>
          <w:rStyle w:val="sb8d990e2"/>
          <w:lang w:val="en-GB"/>
        </w:rPr>
        <w:t xml:space="preserve">, </w:t>
      </w:r>
      <w:r w:rsidRPr="00E06A86">
        <w:rPr>
          <w:rStyle w:val="sb8d990e2"/>
          <w:i/>
          <w:lang w:val="en-GB"/>
        </w:rPr>
        <w:t>mutatis mutandis</w:t>
      </w:r>
      <w:r w:rsidRPr="00E06A86">
        <w:rPr>
          <w:rStyle w:val="sb8d990e2"/>
          <w:lang w:val="en-GB"/>
        </w:rPr>
        <w:t xml:space="preserve">, </w:t>
      </w:r>
      <w:r w:rsidRPr="00E06A86">
        <w:rPr>
          <w:i/>
          <w:lang w:val="en-GB"/>
        </w:rPr>
        <w:t>Ponomaryovi</w:t>
      </w:r>
      <w:r w:rsidRPr="00E06A86">
        <w:rPr>
          <w:lang w:val="en-GB"/>
        </w:rPr>
        <w:t xml:space="preserve">, </w:t>
      </w:r>
      <w:r w:rsidR="00CB291F" w:rsidRPr="00E06A86">
        <w:rPr>
          <w:lang w:val="en-GB"/>
        </w:rPr>
        <w:t>cited above</w:t>
      </w:r>
      <w:r w:rsidRPr="00E06A86">
        <w:rPr>
          <w:lang w:val="en-GB"/>
        </w:rPr>
        <w:t>, § 54).</w:t>
      </w:r>
    </w:p>
    <w:p w:rsidR="00765A7C" w:rsidRPr="00E06A86" w:rsidRDefault="00765A7C" w:rsidP="00962BA4">
      <w:pPr>
        <w:pStyle w:val="ECHRPara"/>
        <w:rPr>
          <w:rStyle w:val="sb8d990e2"/>
          <w:lang w:val="en-GB"/>
        </w:rPr>
      </w:pPr>
      <w:r w:rsidRPr="00E06A86">
        <w:rPr>
          <w:rStyle w:val="sb8d990e2"/>
          <w:lang w:val="en-GB"/>
        </w:rPr>
        <w:fldChar w:fldCharType="begin"/>
      </w:r>
      <w:r w:rsidRPr="00E06A86">
        <w:rPr>
          <w:rStyle w:val="sb8d990e2"/>
          <w:lang w:val="en-GB"/>
        </w:rPr>
        <w:instrText xml:space="preserve"> SEQ level0 \*arabic </w:instrText>
      </w:r>
      <w:r w:rsidRPr="00E06A86">
        <w:rPr>
          <w:rStyle w:val="sb8d990e2"/>
          <w:lang w:val="en-GB"/>
        </w:rPr>
        <w:fldChar w:fldCharType="separate"/>
      </w:r>
      <w:r w:rsidR="00473228">
        <w:rPr>
          <w:rStyle w:val="sb8d990e2"/>
          <w:noProof/>
          <w:lang w:val="en-GB"/>
        </w:rPr>
        <w:t>53</w:t>
      </w:r>
      <w:r w:rsidRPr="00E06A86">
        <w:rPr>
          <w:rStyle w:val="sb8d990e2"/>
          <w:lang w:val="en-GB"/>
        </w:rPr>
        <w:fldChar w:fldCharType="end"/>
      </w:r>
      <w:r w:rsidRPr="00E06A86">
        <w:rPr>
          <w:rStyle w:val="sb8d990e2"/>
          <w:lang w:val="en-GB"/>
        </w:rPr>
        <w:t>.  </w:t>
      </w:r>
      <w:r w:rsidR="00962BA4" w:rsidRPr="00E06A86">
        <w:rPr>
          <w:rStyle w:val="sb8d990e2"/>
          <w:lang w:val="en-GB"/>
        </w:rPr>
        <w:t xml:space="preserve">As to the </w:t>
      </w:r>
      <w:r w:rsidR="00E700E2">
        <w:rPr>
          <w:rStyle w:val="sb8d990e2"/>
          <w:lang w:val="en-GB"/>
        </w:rPr>
        <w:t>“</w:t>
      </w:r>
      <w:r w:rsidR="00962BA4" w:rsidRPr="00E06A86">
        <w:rPr>
          <w:rStyle w:val="sb8d990e2"/>
          <w:lang w:val="en-GB"/>
        </w:rPr>
        <w:t>budgetary reasons</w:t>
      </w:r>
      <w:r w:rsidR="00E700E2">
        <w:rPr>
          <w:rStyle w:val="sb8d990e2"/>
          <w:lang w:val="en-GB"/>
        </w:rPr>
        <w:t>”</w:t>
      </w:r>
      <w:r w:rsidR="00962BA4" w:rsidRPr="00E06A86">
        <w:rPr>
          <w:rStyle w:val="sb8d990e2"/>
          <w:lang w:val="en-GB"/>
        </w:rPr>
        <w:t xml:space="preserve"> advanced by the </w:t>
      </w:r>
      <w:r w:rsidR="00E700E2">
        <w:rPr>
          <w:rStyle w:val="sb8d990e2"/>
          <w:lang w:val="en-GB"/>
        </w:rPr>
        <w:t>G</w:t>
      </w:r>
      <w:r w:rsidR="00962BA4" w:rsidRPr="00E06A86">
        <w:rPr>
          <w:rStyle w:val="sb8d990e2"/>
          <w:lang w:val="en-GB"/>
        </w:rPr>
        <w:t xml:space="preserve">overnment (see paragraph 44 above), the </w:t>
      </w:r>
      <w:r w:rsidR="00E700E2">
        <w:rPr>
          <w:rStyle w:val="sb8d990e2"/>
          <w:lang w:val="en-GB"/>
        </w:rPr>
        <w:t>C</w:t>
      </w:r>
      <w:r w:rsidR="00962BA4" w:rsidRPr="00E06A86">
        <w:rPr>
          <w:rStyle w:val="sb8d990e2"/>
          <w:lang w:val="en-GB"/>
        </w:rPr>
        <w:t xml:space="preserve">ourt recognises that protection of the </w:t>
      </w:r>
      <w:r w:rsidR="00E700E2">
        <w:rPr>
          <w:rStyle w:val="sb8d990e2"/>
          <w:lang w:val="en-GB"/>
        </w:rPr>
        <w:t>S</w:t>
      </w:r>
      <w:r w:rsidR="00962BA4" w:rsidRPr="00E06A86">
        <w:rPr>
          <w:rStyle w:val="sb8d990e2"/>
          <w:lang w:val="en-GB"/>
        </w:rPr>
        <w:t>tate</w:t>
      </w:r>
      <w:r w:rsidR="006B125B">
        <w:rPr>
          <w:rStyle w:val="sb8d990e2"/>
          <w:lang w:val="en-GB"/>
        </w:rPr>
        <w:t>’</w:t>
      </w:r>
      <w:r w:rsidR="00E700E2">
        <w:rPr>
          <w:rStyle w:val="sb8d990e2"/>
          <w:lang w:val="en-GB"/>
        </w:rPr>
        <w:t>s</w:t>
      </w:r>
      <w:r w:rsidR="00962BA4" w:rsidRPr="00E06A86">
        <w:rPr>
          <w:rStyle w:val="sb8d990e2"/>
          <w:lang w:val="en-GB"/>
        </w:rPr>
        <w:t xml:space="preserve"> budgetary interests constitutes a legitimate aim </w:t>
      </w:r>
      <w:r w:rsidR="00E700E2">
        <w:rPr>
          <w:rStyle w:val="sb8d990e2"/>
          <w:lang w:val="en-GB"/>
        </w:rPr>
        <w:t>of</w:t>
      </w:r>
      <w:r w:rsidR="00962BA4" w:rsidRPr="00E06A86">
        <w:rPr>
          <w:rStyle w:val="sb8d990e2"/>
          <w:lang w:val="en-GB"/>
        </w:rPr>
        <w:t xml:space="preserve"> the distinction </w:t>
      </w:r>
      <w:r w:rsidR="00E700E2">
        <w:rPr>
          <w:rStyle w:val="sb8d990e2"/>
          <w:lang w:val="en-GB"/>
        </w:rPr>
        <w:t>at issue</w:t>
      </w:r>
      <w:r w:rsidR="00962BA4" w:rsidRPr="00E06A86">
        <w:rPr>
          <w:rStyle w:val="sb8d990e2"/>
          <w:lang w:val="en-GB"/>
        </w:rPr>
        <w:t xml:space="preserve">. Nevertheless, that aim cannot </w:t>
      </w:r>
      <w:r w:rsidR="000E5B77" w:rsidRPr="00E06A86">
        <w:rPr>
          <w:rStyle w:val="sb8d990e2"/>
          <w:lang w:val="en-GB"/>
        </w:rPr>
        <w:t xml:space="preserve">by itself </w:t>
      </w:r>
      <w:r w:rsidR="00962BA4" w:rsidRPr="00E06A86">
        <w:rPr>
          <w:rStyle w:val="sb8d990e2"/>
          <w:lang w:val="en-GB"/>
        </w:rPr>
        <w:t xml:space="preserve">justify the difference in treatment complained of. </w:t>
      </w:r>
      <w:r w:rsidR="00962BA4" w:rsidRPr="00E06A86">
        <w:rPr>
          <w:lang w:val="en-GB"/>
        </w:rPr>
        <w:t>It remains to be determined whether there was a reasonable relationship of proportionality between the above-mentioned legitimate aim and the means employed in the present case.</w:t>
      </w:r>
      <w:r w:rsidR="00962BA4" w:rsidRPr="00E06A86">
        <w:rPr>
          <w:rStyle w:val="sb8d990e2"/>
          <w:lang w:val="en-GB"/>
        </w:rPr>
        <w:t xml:space="preserve"> The Court points out</w:t>
      </w:r>
      <w:r w:rsidR="000E5B77">
        <w:rPr>
          <w:rStyle w:val="sb8d990e2"/>
          <w:lang w:val="en-GB"/>
        </w:rPr>
        <w:t xml:space="preserve"> in</w:t>
      </w:r>
      <w:r w:rsidR="00962BA4" w:rsidRPr="00E06A86">
        <w:rPr>
          <w:rStyle w:val="sb8d990e2"/>
          <w:lang w:val="en-GB"/>
        </w:rPr>
        <w:t xml:space="preserve"> that connection that the national authorities</w:t>
      </w:r>
      <w:r w:rsidR="006B125B">
        <w:rPr>
          <w:rStyle w:val="sb8d990e2"/>
          <w:lang w:val="en-GB"/>
        </w:rPr>
        <w:t>’</w:t>
      </w:r>
      <w:r w:rsidR="00962BA4" w:rsidRPr="00E06A86">
        <w:rPr>
          <w:rStyle w:val="sb8d990e2"/>
          <w:lang w:val="en-GB"/>
        </w:rPr>
        <w:t xml:space="preserve"> </w:t>
      </w:r>
      <w:r w:rsidR="00E700E2" w:rsidRPr="00E06A86">
        <w:rPr>
          <w:rStyle w:val="sb8d990e2"/>
          <w:lang w:val="en-GB"/>
        </w:rPr>
        <w:t xml:space="preserve">refusal </w:t>
      </w:r>
      <w:r w:rsidR="00962BA4" w:rsidRPr="00E06A86">
        <w:rPr>
          <w:rStyle w:val="sb8d990e2"/>
          <w:lang w:val="en-GB"/>
        </w:rPr>
        <w:t xml:space="preserve">to grant the family allowance to the applicant was based solely on the fact that he was not a national of a European Union Member State. It </w:t>
      </w:r>
      <w:r w:rsidR="000E5B77">
        <w:rPr>
          <w:rStyle w:val="sb8d990e2"/>
          <w:lang w:val="en-GB"/>
        </w:rPr>
        <w:t>is</w:t>
      </w:r>
      <w:r w:rsidR="00962BA4" w:rsidRPr="00E06A86">
        <w:rPr>
          <w:rStyle w:val="sb8d990e2"/>
          <w:lang w:val="en-GB"/>
        </w:rPr>
        <w:t xml:space="preserve"> not disputed that a citizen of such a State in the same position as the applicant would receive the allowance in question. </w:t>
      </w:r>
      <w:r w:rsidR="00962BA4" w:rsidRPr="00E06A86">
        <w:rPr>
          <w:lang w:val="en-GB"/>
        </w:rPr>
        <w:t xml:space="preserve">Nationality </w:t>
      </w:r>
      <w:r w:rsidR="000E5B77">
        <w:rPr>
          <w:lang w:val="en-GB"/>
        </w:rPr>
        <w:t>was</w:t>
      </w:r>
      <w:r w:rsidR="00962BA4" w:rsidRPr="00E06A86">
        <w:rPr>
          <w:lang w:val="en-GB"/>
        </w:rPr>
        <w:t xml:space="preserve"> therefore the sole criterion for the distinction complained of. However, the Court </w:t>
      </w:r>
      <w:r w:rsidR="000E5B77">
        <w:rPr>
          <w:lang w:val="en-GB"/>
        </w:rPr>
        <w:t>reiterates</w:t>
      </w:r>
      <w:r w:rsidR="00962BA4" w:rsidRPr="00E06A86">
        <w:rPr>
          <w:lang w:val="en-GB"/>
        </w:rPr>
        <w:t xml:space="preserve"> that very weighty </w:t>
      </w:r>
      <w:r w:rsidR="00962BA4" w:rsidRPr="00E06A86">
        <w:rPr>
          <w:lang w:val="en-GB"/>
        </w:rPr>
        <w:lastRenderedPageBreak/>
        <w:t xml:space="preserve">reasons would have to be put forward before it could regard a difference </w:t>
      </w:r>
      <w:r w:rsidR="000E5B77">
        <w:rPr>
          <w:lang w:val="en-GB"/>
        </w:rPr>
        <w:t>in</w:t>
      </w:r>
      <w:r w:rsidR="00962BA4" w:rsidRPr="00E06A86">
        <w:rPr>
          <w:lang w:val="en-GB"/>
        </w:rPr>
        <w:t xml:space="preserve"> treatment based exclusively on the ground of nationality as compatible with the Convention (see paragraph 46 above). In these circumstances, and notwithstanding the wide margin of appreciation left to the national authorities in</w:t>
      </w:r>
      <w:r w:rsidR="000E5B77">
        <w:rPr>
          <w:lang w:val="en-GB"/>
        </w:rPr>
        <w:t xml:space="preserve"> the field of</w:t>
      </w:r>
      <w:r w:rsidR="00962BA4" w:rsidRPr="00E06A86">
        <w:rPr>
          <w:lang w:val="en-GB"/>
        </w:rPr>
        <w:t xml:space="preserve"> social security, </w:t>
      </w:r>
      <w:r w:rsidR="00D81107" w:rsidRPr="00D81107">
        <w:t xml:space="preserve">the arguments submitted by the Government are not sufficient to satisfy the Court that there was a reasonable relationship of proportionality in the instant case that </w:t>
      </w:r>
      <w:r w:rsidR="000E5B77">
        <w:t xml:space="preserve">would </w:t>
      </w:r>
      <w:r w:rsidR="00D81107" w:rsidRPr="00D81107">
        <w:t xml:space="preserve">render the impugned </w:t>
      </w:r>
      <w:r w:rsidR="000E5B77">
        <w:t>distinction</w:t>
      </w:r>
      <w:r w:rsidR="00D81107" w:rsidRPr="00D81107">
        <w:t xml:space="preserve"> compatible with the requirements of Article</w:t>
      </w:r>
      <w:r w:rsidR="00967D42">
        <w:t> </w:t>
      </w:r>
      <w:r w:rsidR="00D81107" w:rsidRPr="00D81107">
        <w:t>14 of the Convention</w:t>
      </w:r>
      <w:r w:rsidRPr="00E06A86">
        <w:rPr>
          <w:lang w:val="en-GB"/>
        </w:rPr>
        <w:t xml:space="preserve"> (</w:t>
      </w:r>
      <w:r w:rsidR="00962BA4" w:rsidRPr="00E06A86">
        <w:rPr>
          <w:lang w:val="en-GB"/>
        </w:rPr>
        <w:t>see</w:t>
      </w:r>
      <w:r w:rsidRPr="00E06A86">
        <w:rPr>
          <w:lang w:val="en-GB"/>
        </w:rPr>
        <w:t xml:space="preserve">, </w:t>
      </w:r>
      <w:r w:rsidRPr="00E06A86">
        <w:rPr>
          <w:i/>
          <w:lang w:val="en-GB"/>
        </w:rPr>
        <w:t>mutatis mutandis</w:t>
      </w:r>
      <w:r w:rsidRPr="00E06A86">
        <w:rPr>
          <w:lang w:val="en-GB"/>
        </w:rPr>
        <w:t xml:space="preserve">, </w:t>
      </w:r>
      <w:r w:rsidRPr="00E06A86">
        <w:rPr>
          <w:i/>
          <w:lang w:val="en-GB"/>
        </w:rPr>
        <w:t>Andrejeva</w:t>
      </w:r>
      <w:r w:rsidRPr="00E06A86">
        <w:rPr>
          <w:lang w:val="en-GB"/>
        </w:rPr>
        <w:t xml:space="preserve">, </w:t>
      </w:r>
      <w:r w:rsidR="00CB291F" w:rsidRPr="00E06A86">
        <w:rPr>
          <w:lang w:val="en-GB"/>
        </w:rPr>
        <w:t>cited above</w:t>
      </w:r>
      <w:r w:rsidRPr="00E06A86">
        <w:rPr>
          <w:lang w:val="en-GB"/>
        </w:rPr>
        <w:t>, §§</w:t>
      </w:r>
      <w:r w:rsidR="00967D42">
        <w:rPr>
          <w:lang w:val="en-GB"/>
        </w:rPr>
        <w:t> </w:t>
      </w:r>
      <w:r w:rsidRPr="00E06A86">
        <w:rPr>
          <w:lang w:val="en-GB"/>
        </w:rPr>
        <w:t>86</w:t>
      </w:r>
      <w:r w:rsidR="00967D42">
        <w:rPr>
          <w:lang w:val="en-GB"/>
        </w:rPr>
        <w:noBreakHyphen/>
      </w:r>
      <w:r w:rsidRPr="00E06A86">
        <w:rPr>
          <w:lang w:val="en-GB"/>
        </w:rPr>
        <w:t>89).</w:t>
      </w:r>
    </w:p>
    <w:p w:rsidR="00765A7C" w:rsidRPr="00E06A86" w:rsidRDefault="000F738A" w:rsidP="00765A7C">
      <w:pPr>
        <w:pStyle w:val="ECHRHeading4"/>
        <w:rPr>
          <w:lang w:val="en-GB"/>
        </w:rPr>
      </w:pPr>
      <w:r w:rsidRPr="00E06A86">
        <w:rPr>
          <w:lang w:val="en-GB"/>
        </w:rPr>
        <w:t>(</w:t>
      </w:r>
      <w:r w:rsidR="00765A7C" w:rsidRPr="00E06A86">
        <w:rPr>
          <w:lang w:val="en-GB"/>
        </w:rPr>
        <w:t>d)  Conclusion</w:t>
      </w:r>
    </w:p>
    <w:p w:rsidR="000F738A" w:rsidRPr="00E06A86" w:rsidRDefault="00765A7C" w:rsidP="00765A7C">
      <w:pPr>
        <w:pStyle w:val="ECHRPara"/>
        <w:rPr>
          <w:rStyle w:val="sb8d990e2"/>
          <w:lang w:val="en-GB"/>
        </w:rPr>
      </w:pPr>
      <w:r w:rsidRPr="00E06A86">
        <w:rPr>
          <w:rStyle w:val="sb8d990e2"/>
          <w:lang w:val="en-GB"/>
        </w:rPr>
        <w:fldChar w:fldCharType="begin"/>
      </w:r>
      <w:r w:rsidRPr="00E06A86">
        <w:rPr>
          <w:rStyle w:val="sb8d990e2"/>
          <w:lang w:val="en-GB"/>
        </w:rPr>
        <w:instrText xml:space="preserve"> SEQ level0 \*arabic </w:instrText>
      </w:r>
      <w:r w:rsidRPr="00E06A86">
        <w:rPr>
          <w:rStyle w:val="sb8d990e2"/>
          <w:lang w:val="en-GB"/>
        </w:rPr>
        <w:fldChar w:fldCharType="separate"/>
      </w:r>
      <w:r w:rsidR="00473228">
        <w:rPr>
          <w:rStyle w:val="sb8d990e2"/>
          <w:noProof/>
          <w:lang w:val="en-GB"/>
        </w:rPr>
        <w:t>54</w:t>
      </w:r>
      <w:r w:rsidRPr="00E06A86">
        <w:rPr>
          <w:rStyle w:val="sb8d990e2"/>
          <w:lang w:val="en-GB"/>
        </w:rPr>
        <w:fldChar w:fldCharType="end"/>
      </w:r>
      <w:r w:rsidRPr="00E06A86">
        <w:rPr>
          <w:rStyle w:val="sb8d990e2"/>
          <w:lang w:val="en-GB"/>
        </w:rPr>
        <w:t>.  </w:t>
      </w:r>
      <w:r w:rsidR="000F738A" w:rsidRPr="00E06A86">
        <w:rPr>
          <w:rStyle w:val="sb8d990e2"/>
          <w:lang w:val="en-GB"/>
        </w:rPr>
        <w:t>In view of the foregoing</w:t>
      </w:r>
      <w:r w:rsidR="000E5B77">
        <w:rPr>
          <w:rStyle w:val="sb8d990e2"/>
          <w:lang w:val="en-GB"/>
        </w:rPr>
        <w:t>,</w:t>
      </w:r>
      <w:r w:rsidR="000F738A" w:rsidRPr="00E06A86">
        <w:rPr>
          <w:rStyle w:val="sb8d990e2"/>
          <w:lang w:val="en-GB"/>
        </w:rPr>
        <w:t xml:space="preserve"> the justification advanced by the Government does not appear reasonable and the difference in treatment that has been established is thus discriminatory for the purposes of Article 14 of the Convention. There has therefore been a violation of Article 14 taken in conjunction with Article 8 of the Convention</w:t>
      </w:r>
    </w:p>
    <w:p w:rsidR="000F738A" w:rsidRPr="00E06A86" w:rsidRDefault="000F738A" w:rsidP="000F738A">
      <w:pPr>
        <w:pStyle w:val="ECHRHeading1"/>
        <w:rPr>
          <w:lang w:val="en-GB"/>
        </w:rPr>
      </w:pPr>
      <w:r w:rsidRPr="00E06A86">
        <w:rPr>
          <w:lang w:val="en-GB"/>
        </w:rPr>
        <w:t>III.  APPLICATION OF ARTICLE 41 OF THE CONVENTION</w:t>
      </w:r>
    </w:p>
    <w:p w:rsidR="000F738A" w:rsidRPr="00E06A86" w:rsidRDefault="000F738A" w:rsidP="000F738A">
      <w:pPr>
        <w:pStyle w:val="ECHRPara"/>
        <w:rPr>
          <w:lang w:val="en-GB"/>
        </w:rPr>
      </w:pPr>
      <w:r w:rsidRPr="00E06A86">
        <w:rPr>
          <w:lang w:val="en-GB"/>
        </w:rPr>
        <w:fldChar w:fldCharType="begin"/>
      </w:r>
      <w:r w:rsidRPr="00E06A86">
        <w:rPr>
          <w:lang w:val="en-GB"/>
        </w:rPr>
        <w:instrText xml:space="preserve"> SEQ level0 \*arabic </w:instrText>
      </w:r>
      <w:r w:rsidRPr="00E06A86">
        <w:rPr>
          <w:lang w:val="en-GB"/>
        </w:rPr>
        <w:fldChar w:fldCharType="separate"/>
      </w:r>
      <w:r w:rsidR="00473228">
        <w:rPr>
          <w:noProof/>
          <w:lang w:val="en-GB"/>
        </w:rPr>
        <w:t>55</w:t>
      </w:r>
      <w:r w:rsidRPr="00E06A86">
        <w:rPr>
          <w:lang w:val="en-GB"/>
        </w:rPr>
        <w:fldChar w:fldCharType="end"/>
      </w:r>
      <w:r w:rsidRPr="00E06A86">
        <w:rPr>
          <w:lang w:val="en-GB"/>
        </w:rPr>
        <w:t>.  Article 41 of the Convention provides:</w:t>
      </w:r>
    </w:p>
    <w:p w:rsidR="000F738A" w:rsidRPr="00E06A86" w:rsidRDefault="000F738A" w:rsidP="000F738A">
      <w:pPr>
        <w:pStyle w:val="ECHRParaQuote"/>
        <w:keepNext/>
        <w:keepLines/>
        <w:rPr>
          <w:lang w:val="en-GB"/>
        </w:rPr>
      </w:pPr>
      <w:r w:rsidRPr="00E06A86">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765A7C" w:rsidRPr="00E06A86" w:rsidRDefault="00765A7C" w:rsidP="00765A7C">
      <w:pPr>
        <w:pStyle w:val="ECHRHeading2"/>
        <w:outlineLvl w:val="0"/>
        <w:rPr>
          <w:lang w:val="en-GB"/>
        </w:rPr>
      </w:pPr>
      <w:r w:rsidRPr="00E06A86">
        <w:rPr>
          <w:lang w:val="en-GB"/>
        </w:rPr>
        <w:t>A.  </w:t>
      </w:r>
      <w:r w:rsidR="000F738A" w:rsidRPr="00E06A86">
        <w:rPr>
          <w:lang w:val="en-GB"/>
        </w:rPr>
        <w:t>Damage</w:t>
      </w:r>
    </w:p>
    <w:p w:rsidR="00765A7C" w:rsidRPr="00E06A86" w:rsidRDefault="00765A7C" w:rsidP="000F738A">
      <w:pPr>
        <w:pStyle w:val="ECHRPara"/>
        <w:rPr>
          <w:lang w:val="en-GB"/>
        </w:rPr>
      </w:pPr>
      <w:r w:rsidRPr="00E06A86">
        <w:rPr>
          <w:lang w:val="en-GB"/>
        </w:rPr>
        <w:fldChar w:fldCharType="begin"/>
      </w:r>
      <w:r w:rsidRPr="00E06A86">
        <w:rPr>
          <w:lang w:val="en-GB"/>
        </w:rPr>
        <w:instrText xml:space="preserve"> SEQ level0 \*arabic </w:instrText>
      </w:r>
      <w:r w:rsidRPr="00E06A86">
        <w:rPr>
          <w:lang w:val="en-GB"/>
        </w:rPr>
        <w:fldChar w:fldCharType="separate"/>
      </w:r>
      <w:r w:rsidR="00473228">
        <w:rPr>
          <w:noProof/>
          <w:lang w:val="en-GB"/>
        </w:rPr>
        <w:t>56</w:t>
      </w:r>
      <w:r w:rsidRPr="00E06A86">
        <w:rPr>
          <w:noProof/>
          <w:lang w:val="en-GB"/>
        </w:rPr>
        <w:fldChar w:fldCharType="end"/>
      </w:r>
      <w:r w:rsidRPr="00E06A86">
        <w:rPr>
          <w:lang w:val="en-GB"/>
        </w:rPr>
        <w:t>.  </w:t>
      </w:r>
      <w:r w:rsidR="000F738A" w:rsidRPr="00E06A86">
        <w:rPr>
          <w:noProof/>
          <w:lang w:val="en-GB"/>
        </w:rPr>
        <w:t>The applicant claimed</w:t>
      </w:r>
      <w:r w:rsidRPr="00E06A86">
        <w:rPr>
          <w:lang w:val="en-GB"/>
        </w:rPr>
        <w:t xml:space="preserve"> 9</w:t>
      </w:r>
      <w:r w:rsidR="000F738A" w:rsidRPr="00E06A86">
        <w:rPr>
          <w:lang w:val="en-GB"/>
        </w:rPr>
        <w:t>,</w:t>
      </w:r>
      <w:r w:rsidRPr="00E06A86">
        <w:rPr>
          <w:lang w:val="en-GB"/>
        </w:rPr>
        <w:t>416</w:t>
      </w:r>
      <w:r w:rsidR="000F738A" w:rsidRPr="00E06A86">
        <w:rPr>
          <w:lang w:val="en-GB"/>
        </w:rPr>
        <w:t>.</w:t>
      </w:r>
      <w:r w:rsidRPr="00E06A86">
        <w:rPr>
          <w:lang w:val="en-GB"/>
        </w:rPr>
        <w:t>05</w:t>
      </w:r>
      <w:r w:rsidR="000F738A" w:rsidRPr="00E06A86">
        <w:rPr>
          <w:lang w:val="en-GB"/>
        </w:rPr>
        <w:t xml:space="preserve"> euros</w:t>
      </w:r>
      <w:r w:rsidRPr="00E06A86">
        <w:rPr>
          <w:lang w:val="en-GB"/>
        </w:rPr>
        <w:t> </w:t>
      </w:r>
      <w:r w:rsidR="000F738A" w:rsidRPr="00E06A86">
        <w:rPr>
          <w:lang w:val="en-GB"/>
        </w:rPr>
        <w:t>(</w:t>
      </w:r>
      <w:r w:rsidRPr="00E06A86">
        <w:rPr>
          <w:lang w:val="en-GB"/>
        </w:rPr>
        <w:t>EUR</w:t>
      </w:r>
      <w:r w:rsidR="000F738A" w:rsidRPr="00E06A86">
        <w:rPr>
          <w:lang w:val="en-GB"/>
        </w:rPr>
        <w:t>) in respect of pecuniary damage. This amount corresponded to the unpaid allowances for the period 1999 to 2004</w:t>
      </w:r>
      <w:r w:rsidRPr="00E06A86">
        <w:rPr>
          <w:lang w:val="en-GB"/>
        </w:rPr>
        <w:t xml:space="preserve"> (</w:t>
      </w:r>
      <w:r w:rsidR="000F738A" w:rsidRPr="00E06A86">
        <w:rPr>
          <w:lang w:val="en-GB"/>
        </w:rPr>
        <w:t xml:space="preserve">EUR </w:t>
      </w:r>
      <w:r w:rsidRPr="00E06A86">
        <w:rPr>
          <w:lang w:val="en-GB"/>
        </w:rPr>
        <w:t>8</w:t>
      </w:r>
      <w:r w:rsidR="000F738A" w:rsidRPr="00E06A86">
        <w:rPr>
          <w:lang w:val="en-GB"/>
        </w:rPr>
        <w:t>,</w:t>
      </w:r>
      <w:r w:rsidRPr="00E06A86">
        <w:rPr>
          <w:lang w:val="en-GB"/>
        </w:rPr>
        <w:t>016</w:t>
      </w:r>
      <w:r w:rsidR="000F738A" w:rsidRPr="00E06A86">
        <w:rPr>
          <w:lang w:val="en-GB"/>
        </w:rPr>
        <w:t>.05</w:t>
      </w:r>
      <w:r w:rsidRPr="00E06A86">
        <w:rPr>
          <w:lang w:val="en-GB"/>
        </w:rPr>
        <w:t>),</w:t>
      </w:r>
      <w:r w:rsidR="000F738A" w:rsidRPr="00E06A86">
        <w:rPr>
          <w:lang w:val="en-GB"/>
        </w:rPr>
        <w:t xml:space="preserve"> plus statutory interest </w:t>
      </w:r>
      <w:r w:rsidRPr="00E06A86">
        <w:rPr>
          <w:lang w:val="en-GB"/>
        </w:rPr>
        <w:t>(</w:t>
      </w:r>
      <w:r w:rsidR="000F738A" w:rsidRPr="00E06A86">
        <w:rPr>
          <w:lang w:val="en-GB"/>
        </w:rPr>
        <w:t xml:space="preserve">EUR </w:t>
      </w:r>
      <w:r w:rsidRPr="00E06A86">
        <w:rPr>
          <w:lang w:val="en-GB"/>
        </w:rPr>
        <w:t>1</w:t>
      </w:r>
      <w:r w:rsidR="000F738A" w:rsidRPr="00E06A86">
        <w:rPr>
          <w:lang w:val="en-GB"/>
        </w:rPr>
        <w:t>,400</w:t>
      </w:r>
      <w:r w:rsidRPr="00E06A86">
        <w:rPr>
          <w:lang w:val="en-GB"/>
        </w:rPr>
        <w:t>).</w:t>
      </w:r>
    </w:p>
    <w:p w:rsidR="000F738A" w:rsidRPr="00E06A86" w:rsidRDefault="00765A7C" w:rsidP="00765A7C">
      <w:pPr>
        <w:pStyle w:val="ECHRPara"/>
        <w:rPr>
          <w:lang w:val="en-GB"/>
        </w:rPr>
      </w:pPr>
      <w:r w:rsidRPr="00E06A86">
        <w:rPr>
          <w:lang w:val="en-GB"/>
        </w:rPr>
        <w:fldChar w:fldCharType="begin"/>
      </w:r>
      <w:r w:rsidRPr="00E06A86">
        <w:rPr>
          <w:lang w:val="en-GB"/>
        </w:rPr>
        <w:instrText xml:space="preserve"> SEQ level0 \*arabic </w:instrText>
      </w:r>
      <w:r w:rsidRPr="00E06A86">
        <w:rPr>
          <w:lang w:val="en-GB"/>
        </w:rPr>
        <w:fldChar w:fldCharType="separate"/>
      </w:r>
      <w:r w:rsidR="00473228">
        <w:rPr>
          <w:noProof/>
          <w:lang w:val="en-GB"/>
        </w:rPr>
        <w:t>57</w:t>
      </w:r>
      <w:r w:rsidRPr="00E06A86">
        <w:rPr>
          <w:noProof/>
          <w:lang w:val="en-GB"/>
        </w:rPr>
        <w:fldChar w:fldCharType="end"/>
      </w:r>
      <w:r w:rsidRPr="00E06A86">
        <w:rPr>
          <w:lang w:val="en-GB"/>
        </w:rPr>
        <w:t>.  </w:t>
      </w:r>
      <w:r w:rsidR="000F738A" w:rsidRPr="00E06A86">
        <w:rPr>
          <w:lang w:val="en-GB"/>
        </w:rPr>
        <w:t xml:space="preserve">He also requested that an award be made for non-pecuniary damage, </w:t>
      </w:r>
      <w:r w:rsidR="00D81107">
        <w:rPr>
          <w:lang w:val="en-GB"/>
        </w:rPr>
        <w:t>but did not</w:t>
      </w:r>
      <w:r w:rsidR="000F738A" w:rsidRPr="00E06A86">
        <w:rPr>
          <w:lang w:val="en-GB"/>
        </w:rPr>
        <w:t xml:space="preserve"> specify </w:t>
      </w:r>
      <w:r w:rsidR="00112618">
        <w:rPr>
          <w:lang w:val="en-GB"/>
        </w:rPr>
        <w:t>the</w:t>
      </w:r>
      <w:r w:rsidR="000F738A" w:rsidRPr="00E06A86">
        <w:rPr>
          <w:lang w:val="en-GB"/>
        </w:rPr>
        <w:t xml:space="preserve"> amount.</w:t>
      </w:r>
    </w:p>
    <w:p w:rsidR="000F738A" w:rsidRPr="00E06A86" w:rsidRDefault="00765A7C" w:rsidP="00765A7C">
      <w:pPr>
        <w:pStyle w:val="ECHRPara"/>
        <w:outlineLvl w:val="0"/>
        <w:rPr>
          <w:lang w:val="en-GB"/>
        </w:rPr>
      </w:pPr>
      <w:r w:rsidRPr="00E06A86">
        <w:rPr>
          <w:lang w:val="en-GB"/>
        </w:rPr>
        <w:fldChar w:fldCharType="begin"/>
      </w:r>
      <w:r w:rsidRPr="00E06A86">
        <w:rPr>
          <w:lang w:val="en-GB"/>
        </w:rPr>
        <w:instrText xml:space="preserve"> SEQ level0 \*arabic </w:instrText>
      </w:r>
      <w:r w:rsidRPr="00E06A86">
        <w:rPr>
          <w:lang w:val="en-GB"/>
        </w:rPr>
        <w:fldChar w:fldCharType="separate"/>
      </w:r>
      <w:r w:rsidR="00473228">
        <w:rPr>
          <w:noProof/>
          <w:lang w:val="en-GB"/>
        </w:rPr>
        <w:t>58</w:t>
      </w:r>
      <w:r w:rsidRPr="00E06A86">
        <w:rPr>
          <w:noProof/>
          <w:lang w:val="en-GB"/>
        </w:rPr>
        <w:fldChar w:fldCharType="end"/>
      </w:r>
      <w:r w:rsidRPr="00E06A86">
        <w:rPr>
          <w:lang w:val="en-GB"/>
        </w:rPr>
        <w:t>.  </w:t>
      </w:r>
      <w:r w:rsidR="000F738A" w:rsidRPr="00E06A86">
        <w:rPr>
          <w:lang w:val="en-GB"/>
        </w:rPr>
        <w:t>The Government did not submit any observations on this point.</w:t>
      </w:r>
    </w:p>
    <w:p w:rsidR="000F738A" w:rsidRPr="00E06A86" w:rsidRDefault="00765A7C" w:rsidP="00765A7C">
      <w:pPr>
        <w:pStyle w:val="ECHRPara"/>
        <w:rPr>
          <w:lang w:val="en-GB"/>
        </w:rPr>
      </w:pPr>
      <w:r w:rsidRPr="00E06A86">
        <w:rPr>
          <w:lang w:val="en-GB"/>
        </w:rPr>
        <w:fldChar w:fldCharType="begin"/>
      </w:r>
      <w:r w:rsidRPr="00E06A86">
        <w:rPr>
          <w:lang w:val="en-GB"/>
        </w:rPr>
        <w:instrText xml:space="preserve"> SEQ level0 \*arabic </w:instrText>
      </w:r>
      <w:r w:rsidRPr="00E06A86">
        <w:rPr>
          <w:lang w:val="en-GB"/>
        </w:rPr>
        <w:fldChar w:fldCharType="separate"/>
      </w:r>
      <w:r w:rsidR="00473228">
        <w:rPr>
          <w:noProof/>
          <w:lang w:val="en-GB"/>
        </w:rPr>
        <w:t>59</w:t>
      </w:r>
      <w:r w:rsidRPr="00E06A86">
        <w:rPr>
          <w:noProof/>
          <w:lang w:val="en-GB"/>
        </w:rPr>
        <w:fldChar w:fldCharType="end"/>
      </w:r>
      <w:r w:rsidRPr="00E06A86">
        <w:rPr>
          <w:lang w:val="en-GB"/>
        </w:rPr>
        <w:t>.  </w:t>
      </w:r>
      <w:r w:rsidR="000F738A" w:rsidRPr="00E06A86">
        <w:rPr>
          <w:lang w:val="en-GB"/>
        </w:rPr>
        <w:t>The Court observe</w:t>
      </w:r>
      <w:r w:rsidR="00D81107">
        <w:rPr>
          <w:lang w:val="en-GB"/>
        </w:rPr>
        <w:t>s</w:t>
      </w:r>
      <w:r w:rsidR="000F738A" w:rsidRPr="00E06A86">
        <w:rPr>
          <w:lang w:val="en-GB"/>
        </w:rPr>
        <w:t xml:space="preserve"> that it found a violation of </w:t>
      </w:r>
      <w:r w:rsidR="00D81107">
        <w:rPr>
          <w:lang w:val="en-GB"/>
        </w:rPr>
        <w:t>A</w:t>
      </w:r>
      <w:r w:rsidR="000F738A" w:rsidRPr="00E06A86">
        <w:rPr>
          <w:lang w:val="en-GB"/>
        </w:rPr>
        <w:t xml:space="preserve">rticle 14 of the Convention taken in conjunction with Article 8 on the ground that the refusal to grant the applicant the family allowance provided for in section 65 of Law no. 448 of 1998 amounted to discrimination on </w:t>
      </w:r>
      <w:r w:rsidR="00112618">
        <w:rPr>
          <w:lang w:val="en-GB"/>
        </w:rPr>
        <w:t>the basis</w:t>
      </w:r>
      <w:r w:rsidR="00D81107">
        <w:rPr>
          <w:lang w:val="en-GB"/>
        </w:rPr>
        <w:t xml:space="preserve"> of </w:t>
      </w:r>
      <w:r w:rsidR="000F738A" w:rsidRPr="00E06A86">
        <w:rPr>
          <w:lang w:val="en-GB"/>
        </w:rPr>
        <w:t>nationality. Accordingly, the pecuniary damage sustained by the applicant corresponds to the amount of the unpaid allowances, totalling EUR</w:t>
      </w:r>
      <w:r w:rsidR="00967D42">
        <w:rPr>
          <w:lang w:val="en-GB"/>
        </w:rPr>
        <w:t> </w:t>
      </w:r>
      <w:r w:rsidR="000F738A" w:rsidRPr="00E06A86">
        <w:rPr>
          <w:lang w:val="en-GB"/>
        </w:rPr>
        <w:t>8,016.05, a figure not contested by the Government. As statutory interest must be added to this amount, the Court awards the applicant the amount claimed, that is to say, EUR 9,416.05.</w:t>
      </w:r>
    </w:p>
    <w:p w:rsidR="000F738A" w:rsidRPr="00E06A86" w:rsidRDefault="00765A7C" w:rsidP="00765A7C">
      <w:pPr>
        <w:pStyle w:val="ECHRPara"/>
        <w:rPr>
          <w:lang w:val="en-GB"/>
        </w:rPr>
      </w:pPr>
      <w:r w:rsidRPr="00E06A86">
        <w:rPr>
          <w:lang w:val="en-GB"/>
        </w:rPr>
        <w:lastRenderedPageBreak/>
        <w:fldChar w:fldCharType="begin"/>
      </w:r>
      <w:r w:rsidRPr="00E06A86">
        <w:rPr>
          <w:lang w:val="en-GB"/>
        </w:rPr>
        <w:instrText xml:space="preserve"> SEQ level0 \*arabic </w:instrText>
      </w:r>
      <w:r w:rsidRPr="00E06A86">
        <w:rPr>
          <w:lang w:val="en-GB"/>
        </w:rPr>
        <w:fldChar w:fldCharType="separate"/>
      </w:r>
      <w:r w:rsidR="00473228">
        <w:rPr>
          <w:noProof/>
          <w:lang w:val="en-GB"/>
        </w:rPr>
        <w:t>60</w:t>
      </w:r>
      <w:r w:rsidRPr="00E06A86">
        <w:rPr>
          <w:noProof/>
          <w:lang w:val="en-GB"/>
        </w:rPr>
        <w:fldChar w:fldCharType="end"/>
      </w:r>
      <w:r w:rsidRPr="00E06A86">
        <w:rPr>
          <w:lang w:val="en-GB"/>
        </w:rPr>
        <w:t>.  </w:t>
      </w:r>
      <w:r w:rsidR="000F738A" w:rsidRPr="00E06A86">
        <w:rPr>
          <w:lang w:val="en-GB"/>
        </w:rPr>
        <w:t xml:space="preserve">The </w:t>
      </w:r>
      <w:r w:rsidR="005C14FE" w:rsidRPr="00E06A86">
        <w:rPr>
          <w:lang w:val="en-GB"/>
        </w:rPr>
        <w:t>C</w:t>
      </w:r>
      <w:r w:rsidR="000F738A" w:rsidRPr="00E06A86">
        <w:rPr>
          <w:lang w:val="en-GB"/>
        </w:rPr>
        <w:t xml:space="preserve">ourt </w:t>
      </w:r>
      <w:r w:rsidR="005C14FE" w:rsidRPr="00E06A86">
        <w:rPr>
          <w:lang w:val="en-GB"/>
        </w:rPr>
        <w:t>further considers</w:t>
      </w:r>
      <w:r w:rsidR="000F738A" w:rsidRPr="00E06A86">
        <w:rPr>
          <w:lang w:val="en-GB"/>
        </w:rPr>
        <w:t xml:space="preserve"> that the applicant undoubtedly suffered non-pecuniary damage. In view of the information in its possession, </w:t>
      </w:r>
      <w:r w:rsidR="00D81107">
        <w:rPr>
          <w:lang w:val="en-GB"/>
        </w:rPr>
        <w:t>it</w:t>
      </w:r>
      <w:r w:rsidR="000F738A" w:rsidRPr="00E06A86">
        <w:rPr>
          <w:lang w:val="en-GB"/>
        </w:rPr>
        <w:t xml:space="preserve"> awards the applicant</w:t>
      </w:r>
      <w:r w:rsidR="005C14FE" w:rsidRPr="00E06A86">
        <w:rPr>
          <w:lang w:val="en-GB"/>
        </w:rPr>
        <w:t xml:space="preserve"> the sum of EUR 10,000 under this head.</w:t>
      </w:r>
    </w:p>
    <w:p w:rsidR="00765A7C" w:rsidRPr="00E06A86" w:rsidRDefault="00765A7C" w:rsidP="00765A7C">
      <w:pPr>
        <w:pStyle w:val="ECHRHeading2"/>
        <w:outlineLvl w:val="0"/>
        <w:rPr>
          <w:lang w:val="en-GB"/>
        </w:rPr>
      </w:pPr>
      <w:r w:rsidRPr="00E06A86">
        <w:rPr>
          <w:lang w:val="en-GB"/>
        </w:rPr>
        <w:t>B.  </w:t>
      </w:r>
      <w:r w:rsidR="005C14FE" w:rsidRPr="00E06A86">
        <w:rPr>
          <w:lang w:val="en-GB"/>
        </w:rPr>
        <w:t>Costs and expenses</w:t>
      </w:r>
    </w:p>
    <w:p w:rsidR="005C14FE" w:rsidRPr="00E06A86" w:rsidRDefault="00765A7C" w:rsidP="00765A7C">
      <w:pPr>
        <w:pStyle w:val="ECHRPara"/>
        <w:rPr>
          <w:lang w:val="en-GB"/>
        </w:rPr>
      </w:pPr>
      <w:r w:rsidRPr="00E06A86">
        <w:rPr>
          <w:lang w:val="en-GB"/>
        </w:rPr>
        <w:fldChar w:fldCharType="begin"/>
      </w:r>
      <w:r w:rsidRPr="00E06A86">
        <w:rPr>
          <w:lang w:val="en-GB"/>
        </w:rPr>
        <w:instrText xml:space="preserve"> SEQ level0 \*arabic </w:instrText>
      </w:r>
      <w:r w:rsidRPr="00E06A86">
        <w:rPr>
          <w:lang w:val="en-GB"/>
        </w:rPr>
        <w:fldChar w:fldCharType="separate"/>
      </w:r>
      <w:r w:rsidR="00473228">
        <w:rPr>
          <w:noProof/>
          <w:lang w:val="en-GB"/>
        </w:rPr>
        <w:t>61</w:t>
      </w:r>
      <w:r w:rsidRPr="00E06A86">
        <w:rPr>
          <w:noProof/>
          <w:lang w:val="en-GB"/>
        </w:rPr>
        <w:fldChar w:fldCharType="end"/>
      </w:r>
      <w:r w:rsidRPr="00E06A86">
        <w:rPr>
          <w:lang w:val="en-GB"/>
        </w:rPr>
        <w:t>.  </w:t>
      </w:r>
      <w:r w:rsidR="005C14FE" w:rsidRPr="00E06A86">
        <w:rPr>
          <w:lang w:val="en-GB"/>
        </w:rPr>
        <w:t>The applicant did not submit a claim for reimbursement of the costs and expenses incurred before the Court or the domestic courts. Accordingly, the Court considers that there is no call to award him any sum on that account.</w:t>
      </w:r>
    </w:p>
    <w:p w:rsidR="00014566" w:rsidRPr="00E06A86" w:rsidRDefault="00014566" w:rsidP="00014566">
      <w:pPr>
        <w:pStyle w:val="ECHRHeading2"/>
        <w:outlineLvl w:val="0"/>
        <w:rPr>
          <w:lang w:val="en-GB"/>
        </w:rPr>
      </w:pPr>
      <w:r w:rsidRPr="00E06A86">
        <w:rPr>
          <w:lang w:val="en-GB"/>
        </w:rPr>
        <w:t>C.  Default interest</w:t>
      </w:r>
    </w:p>
    <w:p w:rsidR="00014566" w:rsidRPr="00E06A86" w:rsidRDefault="00573F23" w:rsidP="00C621C2">
      <w:pPr>
        <w:pStyle w:val="ECHRPara"/>
        <w:rPr>
          <w:lang w:val="en-GB"/>
        </w:rPr>
      </w:pPr>
      <w:r w:rsidRPr="00E06A86">
        <w:rPr>
          <w:lang w:val="en-GB"/>
        </w:rPr>
        <w:fldChar w:fldCharType="begin"/>
      </w:r>
      <w:r w:rsidRPr="00E06A86">
        <w:rPr>
          <w:lang w:val="en-GB"/>
        </w:rPr>
        <w:instrText xml:space="preserve"> SEQ level0 \*arabic </w:instrText>
      </w:r>
      <w:r w:rsidRPr="00E06A86">
        <w:rPr>
          <w:lang w:val="en-GB"/>
        </w:rPr>
        <w:fldChar w:fldCharType="separate"/>
      </w:r>
      <w:r w:rsidR="00473228">
        <w:rPr>
          <w:noProof/>
          <w:lang w:val="en-GB"/>
        </w:rPr>
        <w:t>62</w:t>
      </w:r>
      <w:r w:rsidRPr="00E06A86">
        <w:rPr>
          <w:lang w:val="en-GB"/>
        </w:rPr>
        <w:fldChar w:fldCharType="end"/>
      </w:r>
      <w:r w:rsidR="00014566" w:rsidRPr="00E06A86">
        <w:rPr>
          <w:lang w:val="en-GB"/>
        </w:rPr>
        <w:t>.  The Court considers it appropriate that the default interest rate should be based on the marginal lending rate of the European Central Bank, to which should be added three percentage points.</w:t>
      </w:r>
    </w:p>
    <w:p w:rsidR="00014566" w:rsidRPr="00E06A86" w:rsidRDefault="00BF60D0" w:rsidP="00014566">
      <w:pPr>
        <w:pStyle w:val="ECHRTitle1"/>
        <w:rPr>
          <w:lang w:val="en-GB"/>
        </w:rPr>
      </w:pPr>
      <w:r w:rsidRPr="00E06A86">
        <w:rPr>
          <w:lang w:val="en-GB"/>
        </w:rPr>
        <w:t>FOR THESE REASONS, THE COURT</w:t>
      </w:r>
      <w:r w:rsidR="00573F23" w:rsidRPr="00E06A86">
        <w:rPr>
          <w:lang w:val="en-GB"/>
        </w:rPr>
        <w:t>, UNANIMOUSLY,</w:t>
      </w:r>
    </w:p>
    <w:p w:rsidR="00014566" w:rsidRPr="00E06A86" w:rsidRDefault="00014566" w:rsidP="00C621C2">
      <w:pPr>
        <w:pStyle w:val="JuList"/>
        <w:rPr>
          <w:lang w:val="en-GB"/>
        </w:rPr>
      </w:pPr>
      <w:r w:rsidRPr="00E06A86">
        <w:rPr>
          <w:lang w:val="en-GB"/>
        </w:rPr>
        <w:t>1.  </w:t>
      </w:r>
      <w:r w:rsidRPr="00E06A86">
        <w:rPr>
          <w:i/>
          <w:lang w:val="en-GB"/>
        </w:rPr>
        <w:t>Declares</w:t>
      </w:r>
      <w:r w:rsidR="00573F23" w:rsidRPr="00E06A86">
        <w:rPr>
          <w:lang w:val="en-GB"/>
        </w:rPr>
        <w:t xml:space="preserve"> </w:t>
      </w:r>
      <w:r w:rsidRPr="00E06A86">
        <w:rPr>
          <w:lang w:val="en-GB"/>
        </w:rPr>
        <w:t xml:space="preserve">the </w:t>
      </w:r>
      <w:r w:rsidR="00573F23" w:rsidRPr="00E06A86">
        <w:rPr>
          <w:lang w:val="en-GB"/>
        </w:rPr>
        <w:t>application</w:t>
      </w:r>
      <w:r w:rsidRPr="00E06A86">
        <w:rPr>
          <w:lang w:val="en-GB"/>
        </w:rPr>
        <w:t xml:space="preserve"> admissible;</w:t>
      </w:r>
    </w:p>
    <w:p w:rsidR="00014566" w:rsidRPr="00E06A86" w:rsidRDefault="00014566" w:rsidP="00C621C2">
      <w:pPr>
        <w:pStyle w:val="JuList"/>
        <w:rPr>
          <w:lang w:val="en-GB"/>
        </w:rPr>
      </w:pPr>
    </w:p>
    <w:p w:rsidR="00014566" w:rsidRPr="00E06A86" w:rsidRDefault="00BF60D0" w:rsidP="00C621C2">
      <w:pPr>
        <w:pStyle w:val="JuList"/>
        <w:rPr>
          <w:lang w:val="en-GB"/>
        </w:rPr>
      </w:pPr>
      <w:r w:rsidRPr="00E06A86">
        <w:rPr>
          <w:lang w:val="en-GB"/>
        </w:rPr>
        <w:t>2</w:t>
      </w:r>
      <w:r w:rsidR="00014566" w:rsidRPr="00E06A86">
        <w:rPr>
          <w:lang w:val="en-GB"/>
        </w:rPr>
        <w:t>.  </w:t>
      </w:r>
      <w:r w:rsidR="00014566" w:rsidRPr="00E06A86">
        <w:rPr>
          <w:i/>
          <w:lang w:val="en-GB"/>
        </w:rPr>
        <w:t>Holds</w:t>
      </w:r>
      <w:r w:rsidR="00573F23" w:rsidRPr="00E06A86">
        <w:rPr>
          <w:lang w:val="en-GB"/>
        </w:rPr>
        <w:t xml:space="preserve"> </w:t>
      </w:r>
      <w:r w:rsidR="00014566" w:rsidRPr="00E06A86">
        <w:rPr>
          <w:lang w:val="en-GB"/>
        </w:rPr>
        <w:t xml:space="preserve">that there has been a violation of Article </w:t>
      </w:r>
      <w:r w:rsidRPr="00E06A86">
        <w:rPr>
          <w:lang w:val="en-GB"/>
        </w:rPr>
        <w:t>6 § 1</w:t>
      </w:r>
      <w:r w:rsidR="00014566" w:rsidRPr="00E06A86">
        <w:rPr>
          <w:lang w:val="en-GB"/>
        </w:rPr>
        <w:t xml:space="preserve"> of the Convention;</w:t>
      </w:r>
    </w:p>
    <w:p w:rsidR="00014566" w:rsidRPr="00E06A86" w:rsidRDefault="00014566" w:rsidP="00C621C2">
      <w:pPr>
        <w:pStyle w:val="JuList"/>
        <w:rPr>
          <w:lang w:val="en-GB"/>
        </w:rPr>
      </w:pPr>
    </w:p>
    <w:p w:rsidR="00014566" w:rsidRPr="00E06A86" w:rsidRDefault="00BF60D0" w:rsidP="00C621C2">
      <w:pPr>
        <w:pStyle w:val="JuList"/>
        <w:rPr>
          <w:lang w:val="en-GB"/>
        </w:rPr>
      </w:pPr>
      <w:r w:rsidRPr="00E06A86">
        <w:rPr>
          <w:lang w:val="en-GB"/>
        </w:rPr>
        <w:t>3</w:t>
      </w:r>
      <w:r w:rsidR="00014566" w:rsidRPr="00E06A86">
        <w:rPr>
          <w:lang w:val="en-GB"/>
        </w:rPr>
        <w:t>.  </w:t>
      </w:r>
      <w:r w:rsidR="00014566" w:rsidRPr="00E06A86">
        <w:rPr>
          <w:i/>
          <w:lang w:val="en-GB"/>
        </w:rPr>
        <w:t>Holds</w:t>
      </w:r>
      <w:r w:rsidR="00573F23" w:rsidRPr="00E06A86">
        <w:rPr>
          <w:lang w:val="en-GB"/>
        </w:rPr>
        <w:t xml:space="preserve"> </w:t>
      </w:r>
      <w:r w:rsidR="00014566" w:rsidRPr="00E06A86">
        <w:rPr>
          <w:lang w:val="en-GB"/>
        </w:rPr>
        <w:t xml:space="preserve">that there has been a violation of Article </w:t>
      </w:r>
      <w:r w:rsidRPr="00E06A86">
        <w:rPr>
          <w:lang w:val="en-GB"/>
        </w:rPr>
        <w:t>14</w:t>
      </w:r>
      <w:r w:rsidR="00014566" w:rsidRPr="00E06A86">
        <w:rPr>
          <w:lang w:val="en-GB"/>
        </w:rPr>
        <w:t xml:space="preserve"> of the Convention</w:t>
      </w:r>
      <w:r w:rsidRPr="00E06A86">
        <w:rPr>
          <w:lang w:val="en-GB"/>
        </w:rPr>
        <w:t xml:space="preserve"> taken in conjunction with Article 8</w:t>
      </w:r>
      <w:r w:rsidR="00014566" w:rsidRPr="00E06A86">
        <w:rPr>
          <w:lang w:val="en-GB"/>
        </w:rPr>
        <w:t>;</w:t>
      </w:r>
    </w:p>
    <w:p w:rsidR="00014566" w:rsidRPr="00E06A86" w:rsidRDefault="00014566" w:rsidP="00C621C2">
      <w:pPr>
        <w:pStyle w:val="JuList"/>
        <w:rPr>
          <w:lang w:val="en-GB"/>
        </w:rPr>
      </w:pPr>
    </w:p>
    <w:p w:rsidR="00473228" w:rsidRDefault="00BF60D0" w:rsidP="00C621C2">
      <w:pPr>
        <w:pStyle w:val="JuList"/>
        <w:rPr>
          <w:lang w:val="en-GB"/>
        </w:rPr>
      </w:pPr>
      <w:r w:rsidRPr="00E06A86">
        <w:rPr>
          <w:lang w:val="en-GB"/>
        </w:rPr>
        <w:t>4</w:t>
      </w:r>
      <w:r w:rsidR="00014566" w:rsidRPr="00E06A86">
        <w:rPr>
          <w:lang w:val="en-GB"/>
        </w:rPr>
        <w:t>.  </w:t>
      </w:r>
      <w:r w:rsidR="00014566" w:rsidRPr="00E06A86">
        <w:rPr>
          <w:i/>
          <w:lang w:val="en-GB"/>
        </w:rPr>
        <w:t>Holds</w:t>
      </w:r>
    </w:p>
    <w:p w:rsidR="00014566" w:rsidRPr="00E06A86" w:rsidRDefault="00014566" w:rsidP="00014566">
      <w:pPr>
        <w:pStyle w:val="JuLista"/>
        <w:rPr>
          <w:lang w:val="en-GB"/>
        </w:rPr>
      </w:pPr>
      <w:r w:rsidRPr="00E06A86">
        <w:rPr>
          <w:lang w:val="en-GB"/>
        </w:rPr>
        <w:t>(a)  that the respondent State is to pay the applicant, within three months</w:t>
      </w:r>
      <w:r w:rsidR="00473228">
        <w:rPr>
          <w:lang w:val="en-GB"/>
        </w:rPr>
        <w:t xml:space="preserve"> </w:t>
      </w:r>
      <w:r w:rsidR="00573F23" w:rsidRPr="00E06A86">
        <w:rPr>
          <w:lang w:val="en-GB"/>
        </w:rPr>
        <w:t>from the date on which the judgment becomes final in accordance with Article 44 § 2 of the Convention,</w:t>
      </w:r>
      <w:r w:rsidR="00BF60D0" w:rsidRPr="00E06A86">
        <w:rPr>
          <w:lang w:val="en-GB"/>
        </w:rPr>
        <w:t xml:space="preserve"> </w:t>
      </w:r>
      <w:r w:rsidRPr="00E06A86">
        <w:rPr>
          <w:lang w:val="en-GB"/>
        </w:rPr>
        <w:t>the following amounts:</w:t>
      </w:r>
    </w:p>
    <w:p w:rsidR="00014566" w:rsidRPr="00E06A86" w:rsidRDefault="00014566" w:rsidP="00014566">
      <w:pPr>
        <w:pStyle w:val="JuListi"/>
        <w:rPr>
          <w:lang w:val="en-GB"/>
        </w:rPr>
      </w:pPr>
      <w:r w:rsidRPr="00E06A86">
        <w:rPr>
          <w:lang w:val="en-GB"/>
        </w:rPr>
        <w:t xml:space="preserve">(i)  EUR </w:t>
      </w:r>
      <w:r w:rsidR="00BC0ECD" w:rsidRPr="00E06A86">
        <w:rPr>
          <w:lang w:val="en-GB"/>
        </w:rPr>
        <w:t>9,416.05</w:t>
      </w:r>
      <w:r w:rsidRPr="00E06A86">
        <w:rPr>
          <w:lang w:val="en-GB"/>
        </w:rPr>
        <w:t xml:space="preserve"> (</w:t>
      </w:r>
      <w:r w:rsidR="00BC0ECD" w:rsidRPr="00E06A86">
        <w:rPr>
          <w:lang w:val="en-GB"/>
        </w:rPr>
        <w:t>nine thousand four hundred and sixteen</w:t>
      </w:r>
      <w:r w:rsidRPr="00E06A86">
        <w:rPr>
          <w:lang w:val="en-GB"/>
        </w:rPr>
        <w:t xml:space="preserve"> euros</w:t>
      </w:r>
      <w:r w:rsidR="00BC0ECD" w:rsidRPr="00E06A86">
        <w:rPr>
          <w:lang w:val="en-GB"/>
        </w:rPr>
        <w:t xml:space="preserve"> and five cents</w:t>
      </w:r>
      <w:r w:rsidRPr="00E06A86">
        <w:rPr>
          <w:lang w:val="en-GB"/>
        </w:rPr>
        <w:t>) in respect of pecuniary damage;</w:t>
      </w:r>
    </w:p>
    <w:p w:rsidR="00014566" w:rsidRPr="00E06A86" w:rsidRDefault="00014566" w:rsidP="00014566">
      <w:pPr>
        <w:pStyle w:val="JuListi"/>
        <w:rPr>
          <w:lang w:val="en-GB"/>
        </w:rPr>
      </w:pPr>
      <w:r w:rsidRPr="00E06A86">
        <w:rPr>
          <w:lang w:val="en-GB"/>
        </w:rPr>
        <w:t xml:space="preserve">(ii)  EUR </w:t>
      </w:r>
      <w:r w:rsidR="00BC0ECD" w:rsidRPr="00E06A86">
        <w:rPr>
          <w:lang w:val="en-GB"/>
        </w:rPr>
        <w:t>10,000</w:t>
      </w:r>
      <w:r w:rsidRPr="00E06A86">
        <w:rPr>
          <w:lang w:val="en-GB"/>
        </w:rPr>
        <w:t xml:space="preserve"> (</w:t>
      </w:r>
      <w:r w:rsidR="00BC0ECD" w:rsidRPr="00E06A86">
        <w:rPr>
          <w:lang w:val="en-GB"/>
        </w:rPr>
        <w:t>ten thousand</w:t>
      </w:r>
      <w:r w:rsidRPr="00E06A86">
        <w:rPr>
          <w:lang w:val="en-GB"/>
        </w:rPr>
        <w:t xml:space="preserve"> euros), plus any tax that may be chargeable, in respect of non-pecuniary damage;</w:t>
      </w:r>
    </w:p>
    <w:p w:rsidR="00014566" w:rsidRPr="00E06A86" w:rsidRDefault="00014566" w:rsidP="00014566">
      <w:pPr>
        <w:pStyle w:val="JuLista"/>
        <w:rPr>
          <w:lang w:val="en-GB"/>
        </w:rPr>
      </w:pPr>
      <w:r w:rsidRPr="00E06A86">
        <w:rPr>
          <w:lang w:val="en-GB"/>
        </w:rPr>
        <w:t>(b)  that from the expiry of the above-mentioned three months until settlement simple interest shall be payable on the above amounts at a rate equal to the marginal lending rate of the European Central Bank during the default period plus three percentage points;</w:t>
      </w:r>
    </w:p>
    <w:p w:rsidR="00014566" w:rsidRPr="00E06A86" w:rsidRDefault="00014566" w:rsidP="00C621C2">
      <w:pPr>
        <w:pStyle w:val="JuList"/>
        <w:rPr>
          <w:lang w:val="en-GB"/>
        </w:rPr>
      </w:pPr>
    </w:p>
    <w:p w:rsidR="00014566" w:rsidRPr="00E06A86" w:rsidRDefault="00BC0ECD" w:rsidP="00C621C2">
      <w:pPr>
        <w:pStyle w:val="JuList"/>
        <w:rPr>
          <w:lang w:val="en-GB"/>
        </w:rPr>
      </w:pPr>
      <w:r w:rsidRPr="00E06A86">
        <w:rPr>
          <w:lang w:val="en-GB"/>
        </w:rPr>
        <w:t>5</w:t>
      </w:r>
      <w:r w:rsidR="00014566" w:rsidRPr="00E06A86">
        <w:rPr>
          <w:lang w:val="en-GB"/>
        </w:rPr>
        <w:t>.  </w:t>
      </w:r>
      <w:r w:rsidR="00014566" w:rsidRPr="00E06A86">
        <w:rPr>
          <w:i/>
          <w:lang w:val="en-GB"/>
        </w:rPr>
        <w:t>Dismisses</w:t>
      </w:r>
      <w:r w:rsidR="00573F23" w:rsidRPr="00E06A86">
        <w:rPr>
          <w:lang w:val="en-GB"/>
        </w:rPr>
        <w:t xml:space="preserve"> </w:t>
      </w:r>
      <w:r w:rsidR="00014566" w:rsidRPr="00E06A86">
        <w:rPr>
          <w:lang w:val="en-GB"/>
        </w:rPr>
        <w:t>the remainder of the applicant</w:t>
      </w:r>
      <w:r w:rsidR="006B125B">
        <w:rPr>
          <w:lang w:val="en-GB"/>
        </w:rPr>
        <w:t>’</w:t>
      </w:r>
      <w:r w:rsidR="00573F23" w:rsidRPr="00E06A86">
        <w:rPr>
          <w:lang w:val="en-GB"/>
        </w:rPr>
        <w:t>s</w:t>
      </w:r>
      <w:r w:rsidR="00014566" w:rsidRPr="00E06A86">
        <w:rPr>
          <w:lang w:val="en-GB"/>
        </w:rPr>
        <w:t xml:space="preserve"> claim for just satisfaction.</w:t>
      </w:r>
    </w:p>
    <w:p w:rsidR="00014566" w:rsidRPr="00E06A86" w:rsidRDefault="00014566" w:rsidP="00014566">
      <w:pPr>
        <w:pStyle w:val="JuParaLast"/>
        <w:rPr>
          <w:lang w:val="en-GB"/>
        </w:rPr>
      </w:pPr>
      <w:r w:rsidRPr="00E06A86">
        <w:rPr>
          <w:lang w:val="en-GB"/>
        </w:rPr>
        <w:lastRenderedPageBreak/>
        <w:t xml:space="preserve">Done in </w:t>
      </w:r>
      <w:r w:rsidR="00D81107">
        <w:rPr>
          <w:lang w:val="en-GB"/>
        </w:rPr>
        <w:t>French</w:t>
      </w:r>
      <w:r w:rsidRPr="00E06A86">
        <w:rPr>
          <w:lang w:val="en-GB"/>
        </w:rPr>
        <w:t xml:space="preserve">, and notified in writing on </w:t>
      </w:r>
      <w:r w:rsidR="00BC0ECD" w:rsidRPr="00E06A86">
        <w:rPr>
          <w:lang w:val="en-GB"/>
        </w:rPr>
        <w:t>8 April 2014</w:t>
      </w:r>
      <w:r w:rsidRPr="00E06A86">
        <w:rPr>
          <w:lang w:val="en-GB"/>
        </w:rPr>
        <w:t>, pursuant to Rule 77 §§ 2 and 3 of the Rules of Court.</w:t>
      </w:r>
    </w:p>
    <w:p w:rsidR="00014566" w:rsidRPr="00E06A86" w:rsidRDefault="00014566" w:rsidP="00C621C2">
      <w:pPr>
        <w:pStyle w:val="JuSigned"/>
        <w:rPr>
          <w:lang w:val="en-GB"/>
        </w:rPr>
      </w:pPr>
      <w:r w:rsidRPr="00E06A86">
        <w:rPr>
          <w:lang w:val="en-GB"/>
        </w:rPr>
        <w:tab/>
      </w:r>
      <w:r w:rsidR="00573F23" w:rsidRPr="00E06A86">
        <w:rPr>
          <w:lang w:val="en-GB"/>
        </w:rPr>
        <w:t>Stanley Naismith</w:t>
      </w:r>
      <w:r w:rsidRPr="00E06A86">
        <w:rPr>
          <w:lang w:val="en-GB"/>
        </w:rPr>
        <w:tab/>
      </w:r>
      <w:r w:rsidR="00573F23" w:rsidRPr="00E06A86">
        <w:rPr>
          <w:szCs w:val="24"/>
          <w:lang w:val="en-GB"/>
        </w:rPr>
        <w:t>Işıl Karakaş</w:t>
      </w:r>
      <w:r w:rsidR="009370EA">
        <w:rPr>
          <w:szCs w:val="24"/>
          <w:lang w:val="en-GB"/>
        </w:rPr>
        <w:br/>
      </w:r>
      <w:r w:rsidRPr="00E06A86">
        <w:rPr>
          <w:lang w:val="en-GB"/>
        </w:rPr>
        <w:tab/>
      </w:r>
      <w:r w:rsidR="00573F23" w:rsidRPr="00E06A86">
        <w:rPr>
          <w:iCs/>
          <w:lang w:val="en-GB"/>
        </w:rPr>
        <w:t>Registrar</w:t>
      </w:r>
      <w:r w:rsidRPr="00E06A86">
        <w:rPr>
          <w:lang w:val="en-GB"/>
        </w:rPr>
        <w:tab/>
        <w:t>President</w:t>
      </w:r>
    </w:p>
    <w:p w:rsidR="004D15F3" w:rsidRPr="00E06A86" w:rsidRDefault="004D15F3" w:rsidP="00436307">
      <w:pPr>
        <w:rPr>
          <w:lang w:val="en-GB"/>
        </w:rPr>
      </w:pPr>
    </w:p>
    <w:sectPr w:rsidR="004D15F3" w:rsidRPr="00E06A86" w:rsidSect="00573F23">
      <w:headerReference w:type="even" r:id="rId15"/>
      <w:headerReference w:type="default" r:id="rId16"/>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5F31" w:rsidRDefault="00805F31" w:rsidP="00014566">
      <w:r>
        <w:separator/>
      </w:r>
    </w:p>
  </w:endnote>
  <w:endnote w:type="continuationSeparator" w:id="0">
    <w:p w:rsidR="00805F31" w:rsidRDefault="00805F31"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EE"/>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2618" w:rsidRPr="00150BFA" w:rsidRDefault="00112618" w:rsidP="00765A7C">
    <w:pPr>
      <w:jc w:val="center"/>
    </w:pPr>
    <w:r>
      <w:rPr>
        <w:noProof/>
        <w:lang w:val="pl-PL" w:eastAsia="pl-PL"/>
      </w:rPr>
      <w:drawing>
        <wp:inline distT="0" distB="0" distL="0" distR="0" wp14:anchorId="3B7040EF" wp14:editId="5C77E98A">
          <wp:extent cx="771525" cy="619125"/>
          <wp:effectExtent l="0" t="0" r="9525" b="9525"/>
          <wp:docPr id="8" name="Picture 8"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112618" w:rsidRDefault="0011261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5F31" w:rsidRDefault="00805F31" w:rsidP="00014566">
      <w:r>
        <w:separator/>
      </w:r>
    </w:p>
  </w:footnote>
  <w:footnote w:type="continuationSeparator" w:id="0">
    <w:p w:rsidR="00805F31" w:rsidRDefault="00805F31" w:rsidP="00014566">
      <w:r>
        <w:continuationSeparator/>
      </w:r>
    </w:p>
  </w:footnote>
  <w:footnote w:id="1">
    <w:p w:rsidR="00112618" w:rsidRPr="00C75DC3" w:rsidRDefault="00112618">
      <w:pPr>
        <w:pStyle w:val="Tekstprzypisudolnego"/>
        <w:rPr>
          <w:lang w:val="en-GB"/>
        </w:rPr>
      </w:pPr>
      <w:r w:rsidRPr="008E7710">
        <w:rPr>
          <w:vertAlign w:val="superscript"/>
        </w:rPr>
        <w:footnoteRef/>
      </w:r>
      <w:r>
        <w:rPr>
          <w:lang w:val="en-GB"/>
        </w:rPr>
        <w:t>  “</w:t>
      </w:r>
      <w:r>
        <w:rPr>
          <w:i/>
          <w:lang w:val="en-GB"/>
        </w:rPr>
        <w:t>Previdenza sociale</w:t>
      </w:r>
      <w:r>
        <w:rPr>
          <w:lang w:val="en-GB"/>
        </w:rPr>
        <w:t>” in the Italian text.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2618" w:rsidRPr="00573F23" w:rsidRDefault="00112618" w:rsidP="00573F23">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2618" w:rsidRPr="00A45145" w:rsidRDefault="00112618" w:rsidP="00765A7C">
    <w:pPr>
      <w:jc w:val="center"/>
    </w:pPr>
    <w:r>
      <w:rPr>
        <w:noProof/>
        <w:lang w:val="pl-PL" w:eastAsia="pl-PL"/>
      </w:rPr>
      <w:drawing>
        <wp:inline distT="0" distB="0" distL="0" distR="0" wp14:anchorId="598D4BC0" wp14:editId="1C9FD9B9">
          <wp:extent cx="2962275" cy="1219200"/>
          <wp:effectExtent l="0" t="0" r="9525" b="0"/>
          <wp:docPr id="7" name="Picture 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112618" w:rsidRDefault="00112618">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2618" w:rsidRPr="00FF2306" w:rsidRDefault="00112618"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1863C4">
      <w:rPr>
        <w:rStyle w:val="Numerstrony"/>
        <w:noProof/>
        <w:szCs w:val="18"/>
        <w:lang w:val="en-GB"/>
      </w:rPr>
      <w:t>16</w:t>
    </w:r>
    <w:r>
      <w:rPr>
        <w:rStyle w:val="Numerstrony"/>
        <w:szCs w:val="18"/>
        <w:lang w:val="en-GB"/>
      </w:rPr>
      <w:fldChar w:fldCharType="end"/>
    </w:r>
    <w:r w:rsidRPr="00FF2306">
      <w:rPr>
        <w:lang w:val="en-GB"/>
      </w:rPr>
      <w:tab/>
    </w:r>
    <w:r>
      <w:rPr>
        <w:lang w:val="en-GB"/>
      </w:rPr>
      <w:t>DHAHBI v. ITALY</w:t>
    </w:r>
    <w:r w:rsidRPr="00FF2306">
      <w:rPr>
        <w:lang w:val="en-GB"/>
      </w:rPr>
      <w:t xml:space="preserve"> </w:t>
    </w:r>
    <w:r>
      <w:rPr>
        <w:lang w:val="en-GB"/>
      </w:rP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2618" w:rsidRPr="00D60D87" w:rsidRDefault="00112618" w:rsidP="00D60D87">
    <w:pPr>
      <w:pStyle w:val="ECHRHeader"/>
      <w:rPr>
        <w:lang w:val="en-GB"/>
      </w:rPr>
    </w:pPr>
    <w:r w:rsidRPr="00D60D87">
      <w:rPr>
        <w:lang w:val="en-GB"/>
      </w:rPr>
      <w:tab/>
    </w:r>
    <w:r>
      <w:rPr>
        <w:lang w:val="en-GB"/>
      </w:rPr>
      <w:t>DHAHBI v. ITALY</w:t>
    </w:r>
    <w:r w:rsidRPr="00D60D87">
      <w:rPr>
        <w:lang w:val="en-GB"/>
      </w:rPr>
      <w:t xml:space="preserve"> </w:t>
    </w:r>
    <w:r>
      <w:rPr>
        <w:lang w:val="en-GB"/>
      </w:rPr>
      <w:t>JUDGMENT</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1863C4">
      <w:rPr>
        <w:rStyle w:val="Numerstrony"/>
        <w:noProof/>
        <w:szCs w:val="18"/>
        <w:lang w:val="en-GB"/>
      </w:rPr>
      <w:t>15</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FFFFFF89"/>
    <w:multiLevelType w:val="singleLevel"/>
    <w:tmpl w:val="6CDA51D2"/>
    <w:lvl w:ilvl="0">
      <w:start w:val="1"/>
      <w:numFmt w:val="bullet"/>
      <w:lvlText w:val=""/>
      <w:lvlJc w:val="left"/>
      <w:pPr>
        <w:tabs>
          <w:tab w:val="num" w:pos="360"/>
        </w:tabs>
        <w:ind w:left="360" w:hanging="360"/>
      </w:pPr>
      <w:rPr>
        <w:rFonts w:ascii="Symbol" w:hAnsi="Symbol" w:hint="default"/>
      </w:rPr>
    </w:lvl>
  </w:abstractNum>
  <w:abstractNum w:abstractNumId="1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AF7039A"/>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3">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92F51A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6">
    <w:nsid w:val="76903243"/>
    <w:multiLevelType w:val="multilevel"/>
    <w:tmpl w:val="E884A926"/>
    <w:lvl w:ilvl="0">
      <w:start w:val="1"/>
      <w:numFmt w:val="decimal"/>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nsid w:val="7737461D"/>
    <w:multiLevelType w:val="multilevel"/>
    <w:tmpl w:val="040C0023"/>
    <w:styleLink w:val="Artykusekcja"/>
    <w:lvl w:ilvl="0">
      <w:start w:val="1"/>
      <w:numFmt w:val="upperRoman"/>
      <w:pStyle w:val="Nagwek1"/>
      <w:lvlText w:val="Article %1."/>
      <w:lvlJc w:val="left"/>
      <w:pPr>
        <w:ind w:left="0" w:firstLine="0"/>
      </w:pPr>
    </w:lvl>
    <w:lvl w:ilvl="1">
      <w:start w:val="1"/>
      <w:numFmt w:val="decimalZero"/>
      <w:pStyle w:val="Nagwek2"/>
      <w:isLgl/>
      <w:lvlText w:val="Section %1.%2"/>
      <w:lvlJc w:val="left"/>
      <w:pPr>
        <w:ind w:left="0" w:firstLine="0"/>
      </w:pPr>
    </w:lvl>
    <w:lvl w:ilvl="2">
      <w:start w:val="1"/>
      <w:numFmt w:val="lowerLetter"/>
      <w:pStyle w:val="Nagwek3"/>
      <w:lvlText w:val="(%3)"/>
      <w:lvlJc w:val="left"/>
      <w:pPr>
        <w:ind w:left="720" w:hanging="432"/>
      </w:pPr>
    </w:lvl>
    <w:lvl w:ilvl="3">
      <w:start w:val="1"/>
      <w:numFmt w:val="lowerRoman"/>
      <w:pStyle w:val="Nagwek4"/>
      <w:lvlText w:val="(%4)"/>
      <w:lvlJc w:val="right"/>
      <w:pPr>
        <w:ind w:left="864" w:hanging="144"/>
      </w:pPr>
    </w:lvl>
    <w:lvl w:ilvl="4">
      <w:start w:val="1"/>
      <w:numFmt w:val="decimal"/>
      <w:lvlText w:val="%5)"/>
      <w:lvlJc w:val="left"/>
      <w:pPr>
        <w:ind w:left="1008" w:hanging="432"/>
      </w:pPr>
    </w:lvl>
    <w:lvl w:ilvl="5">
      <w:start w:val="1"/>
      <w:numFmt w:val="lowerLetter"/>
      <w:pStyle w:val="Nagwek6"/>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nsid w:val="7BBE6CBD"/>
    <w:multiLevelType w:val="hybridMultilevel"/>
    <w:tmpl w:val="5B122094"/>
    <w:lvl w:ilvl="0" w:tplc="4FDAD2AA">
      <w:start w:val="1"/>
      <w:numFmt w:val="decimal"/>
      <w:pStyle w:val="JuAppQuestion"/>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3"/>
  </w:num>
  <w:num w:numId="2">
    <w:abstractNumId w:val="14"/>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12"/>
  </w:num>
  <w:num w:numId="6">
    <w:abstractNumId w:val="14"/>
  </w:num>
  <w:num w:numId="7">
    <w:abstractNumId w:val="12"/>
  </w:num>
  <w:num w:numId="8">
    <w:abstractNumId w:val="15"/>
  </w:num>
  <w:num w:numId="9">
    <w:abstractNumId w:val="11"/>
  </w:num>
  <w:num w:numId="10">
    <w:abstractNumId w:val="10"/>
  </w:num>
  <w:num w:numId="11">
    <w:abstractNumId w:val="17"/>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6"/>
  </w:num>
  <w:num w:numId="22">
    <w:abstractNumId w:val="9"/>
  </w:num>
  <w:num w:numId="23">
    <w:abstractNumId w:val="1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573F23"/>
    <w:rsid w:val="000024E5"/>
    <w:rsid w:val="000041F8"/>
    <w:rsid w:val="000042A8"/>
    <w:rsid w:val="00004308"/>
    <w:rsid w:val="00005BF0"/>
    <w:rsid w:val="00007154"/>
    <w:rsid w:val="000103AE"/>
    <w:rsid w:val="00011D69"/>
    <w:rsid w:val="00012AD3"/>
    <w:rsid w:val="00014566"/>
    <w:rsid w:val="00015C2D"/>
    <w:rsid w:val="00015F00"/>
    <w:rsid w:val="00022C1D"/>
    <w:rsid w:val="00034987"/>
    <w:rsid w:val="000602DF"/>
    <w:rsid w:val="00061B05"/>
    <w:rsid w:val="00062D5D"/>
    <w:rsid w:val="000632D5"/>
    <w:rsid w:val="000644EE"/>
    <w:rsid w:val="00086E91"/>
    <w:rsid w:val="000925AD"/>
    <w:rsid w:val="000A24EB"/>
    <w:rsid w:val="000B49B1"/>
    <w:rsid w:val="000B6923"/>
    <w:rsid w:val="000C033C"/>
    <w:rsid w:val="000C53A1"/>
    <w:rsid w:val="000C58A9"/>
    <w:rsid w:val="000C5F3C"/>
    <w:rsid w:val="000C6DCC"/>
    <w:rsid w:val="000D47AA"/>
    <w:rsid w:val="000D721F"/>
    <w:rsid w:val="000E069B"/>
    <w:rsid w:val="000E0E82"/>
    <w:rsid w:val="000E1DC5"/>
    <w:rsid w:val="000E223F"/>
    <w:rsid w:val="000E5B77"/>
    <w:rsid w:val="000E7D45"/>
    <w:rsid w:val="000F738A"/>
    <w:rsid w:val="000F7851"/>
    <w:rsid w:val="00104E23"/>
    <w:rsid w:val="00111B0C"/>
    <w:rsid w:val="00112618"/>
    <w:rsid w:val="00120D6C"/>
    <w:rsid w:val="001257EC"/>
    <w:rsid w:val="00133D33"/>
    <w:rsid w:val="00134D64"/>
    <w:rsid w:val="00135A30"/>
    <w:rsid w:val="0013612C"/>
    <w:rsid w:val="00137FF6"/>
    <w:rsid w:val="00141650"/>
    <w:rsid w:val="00162A12"/>
    <w:rsid w:val="00166530"/>
    <w:rsid w:val="001832BD"/>
    <w:rsid w:val="001863C4"/>
    <w:rsid w:val="001943B5"/>
    <w:rsid w:val="00195134"/>
    <w:rsid w:val="001A145B"/>
    <w:rsid w:val="001A2467"/>
    <w:rsid w:val="001A674C"/>
    <w:rsid w:val="001B3B24"/>
    <w:rsid w:val="001C0F98"/>
    <w:rsid w:val="001C2A42"/>
    <w:rsid w:val="001D63ED"/>
    <w:rsid w:val="001D7348"/>
    <w:rsid w:val="001E035B"/>
    <w:rsid w:val="001E0961"/>
    <w:rsid w:val="001E3EAE"/>
    <w:rsid w:val="001E6F32"/>
    <w:rsid w:val="001F2145"/>
    <w:rsid w:val="001F6262"/>
    <w:rsid w:val="001F67B0"/>
    <w:rsid w:val="001F7B3D"/>
    <w:rsid w:val="00205F9F"/>
    <w:rsid w:val="00210338"/>
    <w:rsid w:val="002115FC"/>
    <w:rsid w:val="002138BA"/>
    <w:rsid w:val="0021423C"/>
    <w:rsid w:val="00223C2B"/>
    <w:rsid w:val="00230D00"/>
    <w:rsid w:val="00231DF7"/>
    <w:rsid w:val="00231FD1"/>
    <w:rsid w:val="002339E0"/>
    <w:rsid w:val="00233CF8"/>
    <w:rsid w:val="0023575D"/>
    <w:rsid w:val="00237148"/>
    <w:rsid w:val="0024222D"/>
    <w:rsid w:val="00244B0E"/>
    <w:rsid w:val="00244F6C"/>
    <w:rsid w:val="002532C5"/>
    <w:rsid w:val="00260C03"/>
    <w:rsid w:val="0026540E"/>
    <w:rsid w:val="00275123"/>
    <w:rsid w:val="00282240"/>
    <w:rsid w:val="0028572A"/>
    <w:rsid w:val="002948AD"/>
    <w:rsid w:val="00294C92"/>
    <w:rsid w:val="002A01CC"/>
    <w:rsid w:val="002A61B1"/>
    <w:rsid w:val="002A663C"/>
    <w:rsid w:val="002B444B"/>
    <w:rsid w:val="002B5887"/>
    <w:rsid w:val="002C0692"/>
    <w:rsid w:val="002C0E27"/>
    <w:rsid w:val="002C3040"/>
    <w:rsid w:val="002D022D"/>
    <w:rsid w:val="002D24BB"/>
    <w:rsid w:val="002F2AF7"/>
    <w:rsid w:val="002F7E1C"/>
    <w:rsid w:val="00301A75"/>
    <w:rsid w:val="00302F70"/>
    <w:rsid w:val="0030336F"/>
    <w:rsid w:val="0030375E"/>
    <w:rsid w:val="0030394B"/>
    <w:rsid w:val="00312A30"/>
    <w:rsid w:val="00320F72"/>
    <w:rsid w:val="0032463E"/>
    <w:rsid w:val="00326224"/>
    <w:rsid w:val="00337EE4"/>
    <w:rsid w:val="00340EBE"/>
    <w:rsid w:val="00340FFD"/>
    <w:rsid w:val="00350139"/>
    <w:rsid w:val="003506B1"/>
    <w:rsid w:val="00350976"/>
    <w:rsid w:val="00356AC7"/>
    <w:rsid w:val="003609FA"/>
    <w:rsid w:val="003710C8"/>
    <w:rsid w:val="003750BE"/>
    <w:rsid w:val="00387B9D"/>
    <w:rsid w:val="003904D3"/>
    <w:rsid w:val="0039364F"/>
    <w:rsid w:val="00396686"/>
    <w:rsid w:val="0039778E"/>
    <w:rsid w:val="003B4941"/>
    <w:rsid w:val="003C5714"/>
    <w:rsid w:val="003C6B9F"/>
    <w:rsid w:val="003C6E2A"/>
    <w:rsid w:val="003D0299"/>
    <w:rsid w:val="003D4CF2"/>
    <w:rsid w:val="003E6D80"/>
    <w:rsid w:val="003F05FA"/>
    <w:rsid w:val="003F0DF0"/>
    <w:rsid w:val="003F244A"/>
    <w:rsid w:val="003F30B8"/>
    <w:rsid w:val="003F4C45"/>
    <w:rsid w:val="003F5F7B"/>
    <w:rsid w:val="003F7D64"/>
    <w:rsid w:val="00414300"/>
    <w:rsid w:val="0041551F"/>
    <w:rsid w:val="00425C67"/>
    <w:rsid w:val="00427E7A"/>
    <w:rsid w:val="00435E65"/>
    <w:rsid w:val="00436307"/>
    <w:rsid w:val="00436C49"/>
    <w:rsid w:val="00445366"/>
    <w:rsid w:val="00447F5B"/>
    <w:rsid w:val="004565A3"/>
    <w:rsid w:val="00461DB0"/>
    <w:rsid w:val="00463926"/>
    <w:rsid w:val="004646E0"/>
    <w:rsid w:val="00464C9A"/>
    <w:rsid w:val="00473228"/>
    <w:rsid w:val="00474F3D"/>
    <w:rsid w:val="00477E3A"/>
    <w:rsid w:val="00483E5F"/>
    <w:rsid w:val="00485FF9"/>
    <w:rsid w:val="004907F0"/>
    <w:rsid w:val="0049140B"/>
    <w:rsid w:val="004923A5"/>
    <w:rsid w:val="00492FB6"/>
    <w:rsid w:val="00496BFB"/>
    <w:rsid w:val="004A15C7"/>
    <w:rsid w:val="004B013B"/>
    <w:rsid w:val="004B112B"/>
    <w:rsid w:val="004C01E4"/>
    <w:rsid w:val="004C086C"/>
    <w:rsid w:val="004C1F56"/>
    <w:rsid w:val="004C27BC"/>
    <w:rsid w:val="004D15F3"/>
    <w:rsid w:val="004D5311"/>
    <w:rsid w:val="004D5DCC"/>
    <w:rsid w:val="004F10AF"/>
    <w:rsid w:val="004F11A4"/>
    <w:rsid w:val="004F2389"/>
    <w:rsid w:val="004F304D"/>
    <w:rsid w:val="004F570B"/>
    <w:rsid w:val="004F61BE"/>
    <w:rsid w:val="004F66B1"/>
    <w:rsid w:val="00511C07"/>
    <w:rsid w:val="005173A6"/>
    <w:rsid w:val="00520BAA"/>
    <w:rsid w:val="0052132D"/>
    <w:rsid w:val="00525208"/>
    <w:rsid w:val="005257A5"/>
    <w:rsid w:val="005264C0"/>
    <w:rsid w:val="00526A8A"/>
    <w:rsid w:val="00531DF2"/>
    <w:rsid w:val="0053439E"/>
    <w:rsid w:val="005442EE"/>
    <w:rsid w:val="00547353"/>
    <w:rsid w:val="005474E7"/>
    <w:rsid w:val="00550CC4"/>
    <w:rsid w:val="005512A3"/>
    <w:rsid w:val="005578CE"/>
    <w:rsid w:val="00562781"/>
    <w:rsid w:val="00563E83"/>
    <w:rsid w:val="005718EE"/>
    <w:rsid w:val="00571B81"/>
    <w:rsid w:val="00571E96"/>
    <w:rsid w:val="0057271C"/>
    <w:rsid w:val="00572845"/>
    <w:rsid w:val="00573F23"/>
    <w:rsid w:val="00592772"/>
    <w:rsid w:val="0059574A"/>
    <w:rsid w:val="005A1B9B"/>
    <w:rsid w:val="005A6751"/>
    <w:rsid w:val="005B092E"/>
    <w:rsid w:val="005B152C"/>
    <w:rsid w:val="005B1EE0"/>
    <w:rsid w:val="005B2B24"/>
    <w:rsid w:val="005B3D0B"/>
    <w:rsid w:val="005B4425"/>
    <w:rsid w:val="005B4B94"/>
    <w:rsid w:val="005C14FE"/>
    <w:rsid w:val="005C3EE8"/>
    <w:rsid w:val="005D34F9"/>
    <w:rsid w:val="005D4190"/>
    <w:rsid w:val="005D67A3"/>
    <w:rsid w:val="005E2988"/>
    <w:rsid w:val="005E2A43"/>
    <w:rsid w:val="005E3085"/>
    <w:rsid w:val="005F51E1"/>
    <w:rsid w:val="00611C80"/>
    <w:rsid w:val="00620692"/>
    <w:rsid w:val="006242CA"/>
    <w:rsid w:val="00627507"/>
    <w:rsid w:val="00633717"/>
    <w:rsid w:val="006344E1"/>
    <w:rsid w:val="006545C4"/>
    <w:rsid w:val="00661971"/>
    <w:rsid w:val="00661CE8"/>
    <w:rsid w:val="006623D9"/>
    <w:rsid w:val="0066550C"/>
    <w:rsid w:val="006716F2"/>
    <w:rsid w:val="00682BF2"/>
    <w:rsid w:val="006859CE"/>
    <w:rsid w:val="00691270"/>
    <w:rsid w:val="00694BA8"/>
    <w:rsid w:val="006A037C"/>
    <w:rsid w:val="006A36F4"/>
    <w:rsid w:val="006A406F"/>
    <w:rsid w:val="006A5D3A"/>
    <w:rsid w:val="006B125B"/>
    <w:rsid w:val="006C23D4"/>
    <w:rsid w:val="006C7BB0"/>
    <w:rsid w:val="006D3237"/>
    <w:rsid w:val="006E2E37"/>
    <w:rsid w:val="006E3CF1"/>
    <w:rsid w:val="006E7E80"/>
    <w:rsid w:val="006F48CA"/>
    <w:rsid w:val="006F64DD"/>
    <w:rsid w:val="00715127"/>
    <w:rsid w:val="00715E8E"/>
    <w:rsid w:val="00723580"/>
    <w:rsid w:val="00723755"/>
    <w:rsid w:val="0073136C"/>
    <w:rsid w:val="00731F0F"/>
    <w:rsid w:val="00733250"/>
    <w:rsid w:val="00741404"/>
    <w:rsid w:val="007449E5"/>
    <w:rsid w:val="00746C5A"/>
    <w:rsid w:val="00747FF0"/>
    <w:rsid w:val="00764D4E"/>
    <w:rsid w:val="00765A1F"/>
    <w:rsid w:val="00765A7C"/>
    <w:rsid w:val="0077324C"/>
    <w:rsid w:val="0077527D"/>
    <w:rsid w:val="00775B6D"/>
    <w:rsid w:val="00776D68"/>
    <w:rsid w:val="007815FC"/>
    <w:rsid w:val="007850EE"/>
    <w:rsid w:val="00785B95"/>
    <w:rsid w:val="00790E96"/>
    <w:rsid w:val="00793366"/>
    <w:rsid w:val="007A716F"/>
    <w:rsid w:val="007B270A"/>
    <w:rsid w:val="007B4351"/>
    <w:rsid w:val="007C0695"/>
    <w:rsid w:val="007C419A"/>
    <w:rsid w:val="007C4CC8"/>
    <w:rsid w:val="007C5426"/>
    <w:rsid w:val="007C5798"/>
    <w:rsid w:val="007D4832"/>
    <w:rsid w:val="007E0265"/>
    <w:rsid w:val="007E21B2"/>
    <w:rsid w:val="007E2C4E"/>
    <w:rsid w:val="007F1905"/>
    <w:rsid w:val="008004C6"/>
    <w:rsid w:val="008010B8"/>
    <w:rsid w:val="00801300"/>
    <w:rsid w:val="00802C64"/>
    <w:rsid w:val="00805E52"/>
    <w:rsid w:val="00805F31"/>
    <w:rsid w:val="008061D0"/>
    <w:rsid w:val="00810B38"/>
    <w:rsid w:val="008204C7"/>
    <w:rsid w:val="00820992"/>
    <w:rsid w:val="00823602"/>
    <w:rsid w:val="008255F5"/>
    <w:rsid w:val="0083014E"/>
    <w:rsid w:val="0083214A"/>
    <w:rsid w:val="00834220"/>
    <w:rsid w:val="00845723"/>
    <w:rsid w:val="00851EF9"/>
    <w:rsid w:val="008577FD"/>
    <w:rsid w:val="00860B03"/>
    <w:rsid w:val="00863FDF"/>
    <w:rsid w:val="0086497A"/>
    <w:rsid w:val="00865B7C"/>
    <w:rsid w:val="008713A1"/>
    <w:rsid w:val="008754AB"/>
    <w:rsid w:val="0088060C"/>
    <w:rsid w:val="00887512"/>
    <w:rsid w:val="00893576"/>
    <w:rsid w:val="00893E73"/>
    <w:rsid w:val="008A43C4"/>
    <w:rsid w:val="008B02DC"/>
    <w:rsid w:val="008B57CE"/>
    <w:rsid w:val="008C26DE"/>
    <w:rsid w:val="008D2225"/>
    <w:rsid w:val="008D4752"/>
    <w:rsid w:val="008D76A1"/>
    <w:rsid w:val="008E271C"/>
    <w:rsid w:val="008E418E"/>
    <w:rsid w:val="008E5BC6"/>
    <w:rsid w:val="008E6A25"/>
    <w:rsid w:val="008E7710"/>
    <w:rsid w:val="008F5193"/>
    <w:rsid w:val="00900EF2"/>
    <w:rsid w:val="009013A7"/>
    <w:rsid w:val="009017FB"/>
    <w:rsid w:val="009017FC"/>
    <w:rsid w:val="0090506B"/>
    <w:rsid w:val="009050C9"/>
    <w:rsid w:val="009066FC"/>
    <w:rsid w:val="00912C2D"/>
    <w:rsid w:val="009140A3"/>
    <w:rsid w:val="009144A2"/>
    <w:rsid w:val="0091510C"/>
    <w:rsid w:val="0092084B"/>
    <w:rsid w:val="009259AC"/>
    <w:rsid w:val="00926F38"/>
    <w:rsid w:val="009271F5"/>
    <w:rsid w:val="00931C65"/>
    <w:rsid w:val="00934301"/>
    <w:rsid w:val="00936CD1"/>
    <w:rsid w:val="009370EA"/>
    <w:rsid w:val="00941747"/>
    <w:rsid w:val="00941EFB"/>
    <w:rsid w:val="00947AFB"/>
    <w:rsid w:val="00951D7D"/>
    <w:rsid w:val="00962BA4"/>
    <w:rsid w:val="009630C7"/>
    <w:rsid w:val="00967D42"/>
    <w:rsid w:val="00972B55"/>
    <w:rsid w:val="009743B7"/>
    <w:rsid w:val="0098228B"/>
    <w:rsid w:val="009828DA"/>
    <w:rsid w:val="00985BAB"/>
    <w:rsid w:val="009A52AF"/>
    <w:rsid w:val="009B1B5F"/>
    <w:rsid w:val="009B2EC2"/>
    <w:rsid w:val="009B6673"/>
    <w:rsid w:val="009C191B"/>
    <w:rsid w:val="009C2BD6"/>
    <w:rsid w:val="009E0C1C"/>
    <w:rsid w:val="009E1F32"/>
    <w:rsid w:val="009E5829"/>
    <w:rsid w:val="009E776C"/>
    <w:rsid w:val="009F7456"/>
    <w:rsid w:val="00A1726E"/>
    <w:rsid w:val="00A204CF"/>
    <w:rsid w:val="00A23D49"/>
    <w:rsid w:val="00A27004"/>
    <w:rsid w:val="00A30C29"/>
    <w:rsid w:val="00A34DD6"/>
    <w:rsid w:val="00A36819"/>
    <w:rsid w:val="00A36989"/>
    <w:rsid w:val="00A416C8"/>
    <w:rsid w:val="00A43628"/>
    <w:rsid w:val="00A5320D"/>
    <w:rsid w:val="00A54192"/>
    <w:rsid w:val="00A6035E"/>
    <w:rsid w:val="00A6144C"/>
    <w:rsid w:val="00A66617"/>
    <w:rsid w:val="00A671F8"/>
    <w:rsid w:val="00A673A4"/>
    <w:rsid w:val="00A724AE"/>
    <w:rsid w:val="00A73329"/>
    <w:rsid w:val="00A80CEF"/>
    <w:rsid w:val="00A82359"/>
    <w:rsid w:val="00A865D2"/>
    <w:rsid w:val="00A94C20"/>
    <w:rsid w:val="00AA227F"/>
    <w:rsid w:val="00AA3BC7"/>
    <w:rsid w:val="00AA754A"/>
    <w:rsid w:val="00AB099E"/>
    <w:rsid w:val="00AB4328"/>
    <w:rsid w:val="00AB586C"/>
    <w:rsid w:val="00AC2A52"/>
    <w:rsid w:val="00AE0A2E"/>
    <w:rsid w:val="00AE2869"/>
    <w:rsid w:val="00AE354C"/>
    <w:rsid w:val="00AF4B07"/>
    <w:rsid w:val="00AF6186"/>
    <w:rsid w:val="00AF7A3A"/>
    <w:rsid w:val="00B160DB"/>
    <w:rsid w:val="00B17EFA"/>
    <w:rsid w:val="00B20836"/>
    <w:rsid w:val="00B235BB"/>
    <w:rsid w:val="00B27A44"/>
    <w:rsid w:val="00B30BBF"/>
    <w:rsid w:val="00B33C03"/>
    <w:rsid w:val="00B44E56"/>
    <w:rsid w:val="00B46543"/>
    <w:rsid w:val="00B47D33"/>
    <w:rsid w:val="00B52BE0"/>
    <w:rsid w:val="00B54133"/>
    <w:rsid w:val="00B55F84"/>
    <w:rsid w:val="00B701ED"/>
    <w:rsid w:val="00B8086C"/>
    <w:rsid w:val="00B861B4"/>
    <w:rsid w:val="00B86DFE"/>
    <w:rsid w:val="00B90990"/>
    <w:rsid w:val="00B922FF"/>
    <w:rsid w:val="00B9281E"/>
    <w:rsid w:val="00B9293E"/>
    <w:rsid w:val="00B93925"/>
    <w:rsid w:val="00B95187"/>
    <w:rsid w:val="00BA2D55"/>
    <w:rsid w:val="00BA71B1"/>
    <w:rsid w:val="00BB0637"/>
    <w:rsid w:val="00BB345F"/>
    <w:rsid w:val="00BB68EA"/>
    <w:rsid w:val="00BC0ECD"/>
    <w:rsid w:val="00BC1C27"/>
    <w:rsid w:val="00BC54B8"/>
    <w:rsid w:val="00BC6BBF"/>
    <w:rsid w:val="00BD1572"/>
    <w:rsid w:val="00BE14E3"/>
    <w:rsid w:val="00BE321F"/>
    <w:rsid w:val="00BE3774"/>
    <w:rsid w:val="00BE41E5"/>
    <w:rsid w:val="00BF009E"/>
    <w:rsid w:val="00BF2D79"/>
    <w:rsid w:val="00BF4109"/>
    <w:rsid w:val="00BF4CC3"/>
    <w:rsid w:val="00BF60D0"/>
    <w:rsid w:val="00C054C7"/>
    <w:rsid w:val="00C057B5"/>
    <w:rsid w:val="00C22687"/>
    <w:rsid w:val="00C24D3E"/>
    <w:rsid w:val="00C32E4D"/>
    <w:rsid w:val="00C333A0"/>
    <w:rsid w:val="00C36A81"/>
    <w:rsid w:val="00C41974"/>
    <w:rsid w:val="00C447AD"/>
    <w:rsid w:val="00C53F4A"/>
    <w:rsid w:val="00C54125"/>
    <w:rsid w:val="00C55B54"/>
    <w:rsid w:val="00C6098E"/>
    <w:rsid w:val="00C6152C"/>
    <w:rsid w:val="00C621C2"/>
    <w:rsid w:val="00C74810"/>
    <w:rsid w:val="00C75DC3"/>
    <w:rsid w:val="00C90D68"/>
    <w:rsid w:val="00C939FE"/>
    <w:rsid w:val="00C961C1"/>
    <w:rsid w:val="00CA4BDA"/>
    <w:rsid w:val="00CB1F66"/>
    <w:rsid w:val="00CB291F"/>
    <w:rsid w:val="00CB2951"/>
    <w:rsid w:val="00CC4E2B"/>
    <w:rsid w:val="00CD282B"/>
    <w:rsid w:val="00CD4C35"/>
    <w:rsid w:val="00CD7369"/>
    <w:rsid w:val="00CE0B0E"/>
    <w:rsid w:val="00CE3831"/>
    <w:rsid w:val="00D00ABB"/>
    <w:rsid w:val="00D02EEC"/>
    <w:rsid w:val="00D03551"/>
    <w:rsid w:val="00D06A63"/>
    <w:rsid w:val="00D07E0E"/>
    <w:rsid w:val="00D11478"/>
    <w:rsid w:val="00D15ED0"/>
    <w:rsid w:val="00D1646A"/>
    <w:rsid w:val="00D21B3E"/>
    <w:rsid w:val="00D21FED"/>
    <w:rsid w:val="00D24251"/>
    <w:rsid w:val="00D343E2"/>
    <w:rsid w:val="00D361A2"/>
    <w:rsid w:val="00D41C74"/>
    <w:rsid w:val="00D44C2E"/>
    <w:rsid w:val="00D45414"/>
    <w:rsid w:val="00D566BD"/>
    <w:rsid w:val="00D57A4D"/>
    <w:rsid w:val="00D60AA7"/>
    <w:rsid w:val="00D60D87"/>
    <w:rsid w:val="00D6435F"/>
    <w:rsid w:val="00D75E28"/>
    <w:rsid w:val="00D772C2"/>
    <w:rsid w:val="00D8008E"/>
    <w:rsid w:val="00D80BAF"/>
    <w:rsid w:val="00D81107"/>
    <w:rsid w:val="00D82C45"/>
    <w:rsid w:val="00D867CA"/>
    <w:rsid w:val="00D908A8"/>
    <w:rsid w:val="00D94617"/>
    <w:rsid w:val="00D977B6"/>
    <w:rsid w:val="00DA4A31"/>
    <w:rsid w:val="00DA51FC"/>
    <w:rsid w:val="00DA7B04"/>
    <w:rsid w:val="00DB36C2"/>
    <w:rsid w:val="00DC169B"/>
    <w:rsid w:val="00DC2AB9"/>
    <w:rsid w:val="00DC63F0"/>
    <w:rsid w:val="00DD6EE5"/>
    <w:rsid w:val="00DE386C"/>
    <w:rsid w:val="00DE4D35"/>
    <w:rsid w:val="00DF0549"/>
    <w:rsid w:val="00DF098B"/>
    <w:rsid w:val="00DF11C4"/>
    <w:rsid w:val="00DF210C"/>
    <w:rsid w:val="00DF4B6A"/>
    <w:rsid w:val="00E02C09"/>
    <w:rsid w:val="00E04D59"/>
    <w:rsid w:val="00E06A86"/>
    <w:rsid w:val="00E07DA1"/>
    <w:rsid w:val="00E123CB"/>
    <w:rsid w:val="00E20E13"/>
    <w:rsid w:val="00E21DBC"/>
    <w:rsid w:val="00E2609C"/>
    <w:rsid w:val="00E273E5"/>
    <w:rsid w:val="00E275D7"/>
    <w:rsid w:val="00E27DBE"/>
    <w:rsid w:val="00E32AB1"/>
    <w:rsid w:val="00E36C71"/>
    <w:rsid w:val="00E40404"/>
    <w:rsid w:val="00E459C6"/>
    <w:rsid w:val="00E47589"/>
    <w:rsid w:val="00E64915"/>
    <w:rsid w:val="00E661D4"/>
    <w:rsid w:val="00E70091"/>
    <w:rsid w:val="00E700E2"/>
    <w:rsid w:val="00E720F5"/>
    <w:rsid w:val="00E76D47"/>
    <w:rsid w:val="00E849F7"/>
    <w:rsid w:val="00E90302"/>
    <w:rsid w:val="00E90F1A"/>
    <w:rsid w:val="00E97396"/>
    <w:rsid w:val="00EA185E"/>
    <w:rsid w:val="00EA592A"/>
    <w:rsid w:val="00EB14E4"/>
    <w:rsid w:val="00EB32A5"/>
    <w:rsid w:val="00EB34ED"/>
    <w:rsid w:val="00EB7BE0"/>
    <w:rsid w:val="00EC315E"/>
    <w:rsid w:val="00ED077C"/>
    <w:rsid w:val="00ED1190"/>
    <w:rsid w:val="00ED6544"/>
    <w:rsid w:val="00EE0277"/>
    <w:rsid w:val="00EE1DA9"/>
    <w:rsid w:val="00EE3E00"/>
    <w:rsid w:val="00EE5DD2"/>
    <w:rsid w:val="00EF41F1"/>
    <w:rsid w:val="00EF4F08"/>
    <w:rsid w:val="00F00A79"/>
    <w:rsid w:val="00F00E86"/>
    <w:rsid w:val="00F07C1E"/>
    <w:rsid w:val="00F105DB"/>
    <w:rsid w:val="00F132BC"/>
    <w:rsid w:val="00F13D80"/>
    <w:rsid w:val="00F15E11"/>
    <w:rsid w:val="00F16AAA"/>
    <w:rsid w:val="00F21161"/>
    <w:rsid w:val="00F218EF"/>
    <w:rsid w:val="00F21BC7"/>
    <w:rsid w:val="00F266A2"/>
    <w:rsid w:val="00F32269"/>
    <w:rsid w:val="00F56A6F"/>
    <w:rsid w:val="00F5709C"/>
    <w:rsid w:val="00F64EF1"/>
    <w:rsid w:val="00F8765F"/>
    <w:rsid w:val="00F90767"/>
    <w:rsid w:val="00FA685B"/>
    <w:rsid w:val="00FA6D3E"/>
    <w:rsid w:val="00FB0C01"/>
    <w:rsid w:val="00FC18F2"/>
    <w:rsid w:val="00FC39E5"/>
    <w:rsid w:val="00FC3A78"/>
    <w:rsid w:val="00FD1005"/>
    <w:rsid w:val="00FD3180"/>
    <w:rsid w:val="00FD6C75"/>
    <w:rsid w:val="00FE3EC3"/>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lsdException w:name="No List" w:uiPriority="99"/>
    <w:lsdException w:name="Table Grid" w:semiHidden="0" w:unhideWhenUsed="0"/>
    <w:lsdException w:name="Placeholder Text" w:uiPriority="99" w:unhideWhenUsed="0"/>
    <w:lsdException w:name="No Spacing" w:semiHidden="0"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99" w:unhideWhenUsed="0"/>
    <w:lsdException w:name="Medium Grid 3" w:semiHidden="0" w:uiPriority="99" w:unhideWhenUsed="0"/>
    <w:lsdException w:name="Dark List" w:semiHidden="0" w:uiPriority="99" w:unhideWhenUsed="0"/>
    <w:lsdException w:name="Colorful Shading" w:semiHidden="0" w:uiPriority="99" w:unhideWhenUsed="0"/>
    <w:lsdException w:name="Colorful List" w:semiHidden="0" w:uiPriority="99" w:unhideWhenUsed="0"/>
    <w:lsdException w:name="Colorful Grid" w:semiHidden="0" w:uiPriority="99" w:unhideWhenUsed="0"/>
    <w:lsdException w:name="Light Shading Accent 1" w:semiHidden="0" w:uiPriority="99" w:unhideWhenUsed="0"/>
    <w:lsdException w:name="Light List Accent 1" w:semiHidden="0" w:uiPriority="99" w:unhideWhenUsed="0"/>
    <w:lsdException w:name="Light Grid Accent 1" w:semiHidden="0" w:uiPriority="99" w:unhideWhenUsed="0"/>
    <w:lsdException w:name="Medium Shading 1 Accent 1" w:semiHidden="0" w:uiPriority="99" w:unhideWhenUsed="0"/>
    <w:lsdException w:name="Medium Shading 2 Accent 1" w:semiHidden="0" w:uiPriority="99" w:unhideWhenUsed="0"/>
    <w:lsdException w:name="Medium List 1 Accent 1" w:semiHidden="0" w:uiPriority="99" w:unhideWhenUsed="0"/>
    <w:lsdException w:name="Revision" w:uiPriority="99" w:unhideWhenUsed="0"/>
    <w:lsdException w:name="List Paragraph" w:semiHidden="0" w:uiPriority="99" w:unhideWhenUsed="0" w:qFormat="1"/>
    <w:lsdException w:name="Quote" w:semiHidden="0" w:uiPriority="99" w:unhideWhenUsed="0" w:qFormat="1"/>
    <w:lsdException w:name="Intense Quote" w:semiHidden="0" w:uiPriority="99" w:unhideWhenUsed="0" w:qFormat="1"/>
    <w:lsdException w:name="Medium List 2 Accent 1" w:semiHidden="0" w:uiPriority="99" w:unhideWhenUsed="0"/>
    <w:lsdException w:name="Medium Grid 1 Accent 1" w:semiHidden="0" w:uiPriority="99" w:unhideWhenUsed="0"/>
    <w:lsdException w:name="Medium Grid 2 Accent 1" w:semiHidden="0" w:uiPriority="99" w:unhideWhenUsed="0"/>
    <w:lsdException w:name="Medium Grid 3 Accent 1" w:semiHidden="0" w:uiPriority="99" w:unhideWhenUsed="0"/>
    <w:lsdException w:name="Dark List Accent 1" w:semiHidden="0" w:uiPriority="99" w:unhideWhenUsed="0"/>
    <w:lsdException w:name="Colorful Shading Accent 1" w:semiHidden="0" w:uiPriority="99" w:unhideWhenUsed="0"/>
    <w:lsdException w:name="Colorful List Accent 1" w:semiHidden="0" w:uiPriority="99" w:unhideWhenUsed="0"/>
    <w:lsdException w:name="Colorful Grid Accent 1" w:semiHidden="0" w:uiPriority="99" w:unhideWhenUsed="0"/>
    <w:lsdException w:name="Light Shading Accent 2" w:semiHidden="0" w:uiPriority="99" w:unhideWhenUsed="0"/>
    <w:lsdException w:name="Light List Accent 2" w:semiHidden="0" w:uiPriority="99" w:unhideWhenUsed="0"/>
    <w:lsdException w:name="Light Grid Accent 2" w:semiHidden="0" w:uiPriority="99" w:unhideWhenUsed="0"/>
    <w:lsdException w:name="Medium Shading 1 Accent 2" w:semiHidden="0" w:uiPriority="99" w:unhideWhenUsed="0"/>
    <w:lsdException w:name="Medium Shading 2 Accent 2" w:semiHidden="0" w:uiPriority="99" w:unhideWhenUsed="0"/>
    <w:lsdException w:name="Medium List 1 Accent 2" w:semiHidden="0" w:uiPriority="99" w:unhideWhenUsed="0"/>
    <w:lsdException w:name="Medium List 2 Accent 2" w:semiHidden="0" w:uiPriority="99" w:unhideWhenUsed="0"/>
    <w:lsdException w:name="Medium Grid 1 Accent 2" w:semiHidden="0" w:uiPriority="99" w:unhideWhenUsed="0"/>
    <w:lsdException w:name="Medium Grid 2 Accent 2" w:semiHidden="0" w:uiPriority="99" w:unhideWhenUsed="0"/>
    <w:lsdException w:name="Medium Grid 3 Accent 2" w:semiHidden="0" w:uiPriority="99" w:unhideWhenUsed="0"/>
    <w:lsdException w:name="Dark List Accent 2" w:semiHidden="0" w:uiPriority="99" w:unhideWhenUsed="0"/>
    <w:lsdException w:name="Colorful Shading Accent 2" w:semiHidden="0" w:uiPriority="99" w:unhideWhenUsed="0"/>
    <w:lsdException w:name="Colorful List Accent 2" w:semiHidden="0" w:uiPriority="99" w:unhideWhenUsed="0"/>
    <w:lsdException w:name="Colorful Grid Accent 2" w:semiHidden="0" w:uiPriority="99" w:unhideWhenUsed="0"/>
    <w:lsdException w:name="Light Shading Accent 3" w:semiHidden="0" w:uiPriority="99" w:unhideWhenUsed="0"/>
    <w:lsdException w:name="Light List Accent 3" w:semiHidden="0" w:uiPriority="99" w:unhideWhenUsed="0"/>
    <w:lsdException w:name="Light Grid Accent 3" w:semiHidden="0" w:uiPriority="99" w:unhideWhenUsed="0"/>
    <w:lsdException w:name="Medium Shading 1 Accent 3" w:semiHidden="0" w:uiPriority="99" w:unhideWhenUsed="0"/>
    <w:lsdException w:name="Medium Shading 2 Accent 3" w:semiHidden="0" w:uiPriority="99" w:unhideWhenUsed="0"/>
    <w:lsdException w:name="Medium List 1 Accent 3" w:semiHidden="0" w:uiPriority="99" w:unhideWhenUsed="0"/>
    <w:lsdException w:name="Medium List 2 Accent 3" w:semiHidden="0" w:uiPriority="99" w:unhideWhenUsed="0"/>
    <w:lsdException w:name="Medium Grid 1 Accent 3" w:semiHidden="0" w:uiPriority="99" w:unhideWhenUsed="0"/>
    <w:lsdException w:name="Medium Grid 2 Accent 3" w:semiHidden="0" w:uiPriority="99" w:unhideWhenUsed="0"/>
    <w:lsdException w:name="Medium Grid 3 Accent 3" w:semiHidden="0" w:uiPriority="99" w:unhideWhenUsed="0"/>
    <w:lsdException w:name="Dark List Accent 3" w:semiHidden="0" w:uiPriority="99" w:unhideWhenUsed="0"/>
    <w:lsdException w:name="Colorful Shading Accent 3" w:semiHidden="0" w:uiPriority="99" w:unhideWhenUsed="0"/>
    <w:lsdException w:name="Colorful List Accent 3" w:semiHidden="0" w:uiPriority="99" w:unhideWhenUsed="0"/>
    <w:lsdException w:name="Colorful Grid Accent 3" w:semiHidden="0" w:uiPriority="99" w:unhideWhenUsed="0"/>
    <w:lsdException w:name="Light Shading Accent 4" w:semiHidden="0" w:uiPriority="99" w:unhideWhenUsed="0"/>
    <w:lsdException w:name="Light List Accent 4" w:semiHidden="0" w:uiPriority="99" w:unhideWhenUsed="0"/>
    <w:lsdException w:name="Light Grid Accent 4" w:semiHidden="0" w:uiPriority="99" w:unhideWhenUsed="0"/>
    <w:lsdException w:name="Medium Shading 1 Accent 4" w:semiHidden="0" w:uiPriority="99" w:unhideWhenUsed="0"/>
    <w:lsdException w:name="Medium Shading 2 Accent 4" w:semiHidden="0" w:uiPriority="99" w:unhideWhenUsed="0"/>
    <w:lsdException w:name="Medium List 1 Accent 4" w:semiHidden="0" w:uiPriority="99" w:unhideWhenUsed="0"/>
    <w:lsdException w:name="Medium List 2 Accent 4" w:semiHidden="0" w:uiPriority="99" w:unhideWhenUsed="0"/>
    <w:lsdException w:name="Medium Grid 1 Accent 4" w:semiHidden="0" w:uiPriority="99" w:unhideWhenUsed="0"/>
    <w:lsdException w:name="Medium Grid 2 Accent 4" w:semiHidden="0" w:uiPriority="99" w:unhideWhenUsed="0"/>
    <w:lsdException w:name="Medium Grid 3 Accent 4" w:semiHidden="0" w:uiPriority="99" w:unhideWhenUsed="0"/>
    <w:lsdException w:name="Dark List Accent 4" w:semiHidden="0" w:uiPriority="99" w:unhideWhenUsed="0"/>
    <w:lsdException w:name="Colorful Shading Accent 4" w:semiHidden="0" w:uiPriority="99" w:unhideWhenUsed="0"/>
    <w:lsdException w:name="Colorful List Accent 4" w:semiHidden="0" w:uiPriority="99" w:unhideWhenUsed="0"/>
    <w:lsdException w:name="Colorful Grid Accent 4" w:semiHidden="0" w:uiPriority="99" w:unhideWhenUsed="0"/>
    <w:lsdException w:name="Light Shading Accent 5" w:semiHidden="0" w:uiPriority="99" w:unhideWhenUsed="0"/>
    <w:lsdException w:name="Light List Accent 5" w:semiHidden="0" w:uiPriority="99" w:unhideWhenUsed="0"/>
    <w:lsdException w:name="Light Grid Accent 5" w:semiHidden="0" w:uiPriority="99" w:unhideWhenUsed="0"/>
    <w:lsdException w:name="Medium Shading 1 Accent 5" w:semiHidden="0" w:uiPriority="99" w:unhideWhenUsed="0"/>
    <w:lsdException w:name="Medium Shading 2 Accent 5" w:semiHidden="0" w:uiPriority="99" w:unhideWhenUsed="0"/>
    <w:lsdException w:name="Medium List 1 Accent 5" w:semiHidden="0" w:uiPriority="99" w:unhideWhenUsed="0"/>
    <w:lsdException w:name="Medium List 2 Accent 5" w:semiHidden="0" w:uiPriority="99" w:unhideWhenUsed="0"/>
    <w:lsdException w:name="Medium Grid 1 Accent 5" w:semiHidden="0" w:uiPriority="99" w:unhideWhenUsed="0"/>
    <w:lsdException w:name="Medium Grid 2 Accent 5" w:semiHidden="0" w:uiPriority="99" w:unhideWhenUsed="0"/>
    <w:lsdException w:name="Medium Grid 3 Accent 5" w:semiHidden="0" w:uiPriority="99" w:unhideWhenUsed="0"/>
    <w:lsdException w:name="Dark List Accent 5" w:semiHidden="0" w:uiPriority="99" w:unhideWhenUsed="0"/>
    <w:lsdException w:name="Colorful Shading Accent 5" w:semiHidden="0" w:uiPriority="99" w:unhideWhenUsed="0"/>
    <w:lsdException w:name="Colorful List Accent 5" w:semiHidden="0" w:uiPriority="99" w:unhideWhenUsed="0"/>
    <w:lsdException w:name="Colorful Grid Accent 5" w:semiHidden="0" w:uiPriority="99" w:unhideWhenUsed="0"/>
    <w:lsdException w:name="Light Shading Accent 6" w:semiHidden="0" w:uiPriority="99" w:unhideWhenUsed="0"/>
    <w:lsdException w:name="Light List Accent 6" w:semiHidden="0" w:uiPriority="99" w:unhideWhenUsed="0"/>
    <w:lsdException w:name="Light Grid Accent 6" w:semiHidden="0" w:uiPriority="99" w:unhideWhenUsed="0"/>
    <w:lsdException w:name="Medium Shading 1 Accent 6" w:semiHidden="0" w:uiPriority="99" w:unhideWhenUsed="0"/>
    <w:lsdException w:name="Medium Shading 2 Accent 6" w:semiHidden="0" w:uiPriority="99" w:unhideWhenUsed="0"/>
    <w:lsdException w:name="Medium List 1 Accent 6" w:semiHidden="0" w:uiPriority="99" w:unhideWhenUsed="0"/>
    <w:lsdException w:name="Medium List 2 Accent 6" w:semiHidden="0" w:uiPriority="99" w:unhideWhenUsed="0"/>
    <w:lsdException w:name="Medium Grid 1 Accent 6" w:semiHidden="0" w:uiPriority="99" w:unhideWhenUsed="0"/>
    <w:lsdException w:name="Medium Grid 2 Accent 6" w:semiHidden="0" w:uiPriority="99" w:unhideWhenUsed="0"/>
    <w:lsdException w:name="Medium Grid 3 Accent 6" w:semiHidden="0" w:uiPriority="99" w:unhideWhenUsed="0"/>
    <w:lsdException w:name="Dark List Accent 6" w:semiHidden="0" w:uiPriority="99" w:unhideWhenUsed="0"/>
    <w:lsdException w:name="Colorful Shading Accent 6" w:semiHidden="0" w:uiPriority="99" w:unhideWhenUsed="0"/>
    <w:lsdException w:name="Colorful List Accent 6" w:semiHidden="0" w:uiPriority="99" w:unhideWhenUsed="0"/>
    <w:lsdException w:name="Colorful Grid Accent 6" w:semiHidden="0" w:uiPriority="99" w:unhideWhenUsed="0"/>
    <w:lsdException w:name="Subtle Emphasis" w:semiHidden="0" w:uiPriority="99" w:unhideWhenUsed="0" w:qFormat="1"/>
    <w:lsdException w:name="Intense Emphasis" w:semiHidden="0" w:uiPriority="99" w:unhideWhenUsed="0" w:qFormat="1"/>
    <w:lsdException w:name="Subtle Reference" w:semiHidden="0" w:uiPriority="99" w:unhideWhenUsed="0" w:qFormat="1"/>
    <w:lsdException w:name="Intense Reference" w:semiHidden="0" w:uiPriority="99" w:unhideWhenUsed="0" w:qFormat="1"/>
    <w:lsdException w:name="Book Title" w:semiHidden="0" w:uiPriority="99" w:unhideWhenUsed="0" w:qFormat="1"/>
    <w:lsdException w:name="Bibliography" w:uiPriority="99"/>
    <w:lsdException w:name="TOC Heading" w:uiPriority="99" w:qFormat="1"/>
  </w:latentStyles>
  <w:style w:type="paragraph" w:default="1" w:styleId="Normalny">
    <w:name w:val="Normal"/>
    <w:semiHidden/>
    <w:rsid w:val="005E2A43"/>
    <w:pPr>
      <w:jc w:val="both"/>
    </w:pPr>
    <w:rPr>
      <w:rFonts w:eastAsiaTheme="minorEastAsia"/>
      <w:sz w:val="24"/>
    </w:rPr>
  </w:style>
  <w:style w:type="paragraph" w:styleId="Nagwek1">
    <w:name w:val="heading 1"/>
    <w:basedOn w:val="Normalny"/>
    <w:next w:val="Normalny"/>
    <w:link w:val="Nagwek1Znak"/>
    <w:qFormat/>
    <w:rsid w:val="00941747"/>
    <w:pPr>
      <w:numPr>
        <w:numId w:val="11"/>
      </w:numPr>
      <w:spacing w:before="480"/>
      <w:contextualSpacing/>
      <w:jc w:val="left"/>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qFormat/>
    <w:rsid w:val="00941747"/>
    <w:pPr>
      <w:numPr>
        <w:ilvl w:val="1"/>
        <w:numId w:val="11"/>
      </w:numPr>
      <w:spacing w:before="200"/>
      <w:jc w:val="left"/>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qFormat/>
    <w:rsid w:val="00941747"/>
    <w:pPr>
      <w:numPr>
        <w:ilvl w:val="2"/>
        <w:numId w:val="11"/>
      </w:numPr>
      <w:spacing w:before="200" w:line="271" w:lineRule="auto"/>
      <w:jc w:val="left"/>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qFormat/>
    <w:rsid w:val="00941747"/>
    <w:pPr>
      <w:numPr>
        <w:ilvl w:val="3"/>
        <w:numId w:val="11"/>
      </w:numPr>
      <w:spacing w:before="200"/>
      <w:jc w:val="left"/>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qFormat/>
    <w:rsid w:val="0001456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qFormat/>
    <w:rsid w:val="00941747"/>
    <w:pPr>
      <w:numPr>
        <w:ilvl w:val="5"/>
        <w:numId w:val="11"/>
      </w:numPr>
      <w:spacing w:line="271" w:lineRule="auto"/>
      <w:jc w:val="left"/>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qFormat/>
    <w:rsid w:val="0001456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qFormat/>
    <w:rsid w:val="0001456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qFormat/>
    <w:rsid w:val="0001456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semiHidden/>
    <w:rsid w:val="00941747"/>
    <w:rPr>
      <w:rFonts w:ascii="Tahoma" w:hAnsi="Tahoma" w:cs="Tahoma"/>
      <w:sz w:val="16"/>
      <w:szCs w:val="16"/>
    </w:rPr>
  </w:style>
  <w:style w:type="character" w:customStyle="1" w:styleId="TekstdymkaZnak">
    <w:name w:val="Tekst dymka Znak"/>
    <w:basedOn w:val="Domylnaczcionkaakapitu"/>
    <w:link w:val="Tekstdymka"/>
    <w:semiHidden/>
    <w:rsid w:val="00A671F8"/>
    <w:rPr>
      <w:rFonts w:ascii="Tahoma" w:eastAsiaTheme="minorEastAsia" w:hAnsi="Tahoma" w:cs="Tahoma"/>
      <w:sz w:val="16"/>
      <w:szCs w:val="16"/>
    </w:rPr>
  </w:style>
  <w:style w:type="character" w:styleId="Tytuksiki">
    <w:name w:val="Book Title"/>
    <w:uiPriority w:val="99"/>
    <w:semiHidden/>
    <w:qFormat/>
    <w:rsid w:val="00014566"/>
    <w:rPr>
      <w:i/>
      <w:iCs/>
      <w:smallCaps/>
      <w:spacing w:val="5"/>
    </w:rPr>
  </w:style>
  <w:style w:type="paragraph" w:customStyle="1" w:styleId="ECHRHeader">
    <w:name w:val="ECHR_Header"/>
    <w:aliases w:val="Ju_Header"/>
    <w:basedOn w:val="Nagwek"/>
    <w:qFormat/>
    <w:rsid w:val="00014566"/>
    <w:pPr>
      <w:tabs>
        <w:tab w:val="clear" w:pos="4536"/>
        <w:tab w:val="clear" w:pos="9696"/>
        <w:tab w:val="center" w:pos="3686"/>
        <w:tab w:val="right" w:pos="7371"/>
      </w:tabs>
      <w:ind w:left="0" w:right="0"/>
      <w:jc w:val="left"/>
    </w:pPr>
    <w:rPr>
      <w:rFonts w:eastAsiaTheme="minorHAnsi"/>
      <w:sz w:val="18"/>
    </w:rPr>
  </w:style>
  <w:style w:type="paragraph" w:customStyle="1" w:styleId="OpiPara">
    <w:name w:val="Opi_Para"/>
    <w:basedOn w:val="Normalny"/>
    <w:qFormat/>
    <w:rsid w:val="00C621C2"/>
    <w:pPr>
      <w:ind w:firstLine="284"/>
    </w:pPr>
  </w:style>
  <w:style w:type="character" w:styleId="Pogrubienie">
    <w:name w:val="Strong"/>
    <w:qFormat/>
    <w:rsid w:val="00014566"/>
    <w:rPr>
      <w:b/>
      <w:bCs/>
    </w:rPr>
  </w:style>
  <w:style w:type="paragraph" w:styleId="Bezodstpw">
    <w:name w:val="No Spacing"/>
    <w:basedOn w:val="Normalny"/>
    <w:link w:val="BezodstpwZnak"/>
    <w:semiHidden/>
    <w:qFormat/>
    <w:rsid w:val="00014566"/>
    <w:rPr>
      <w:sz w:val="22"/>
    </w:rPr>
  </w:style>
  <w:style w:type="character" w:customStyle="1" w:styleId="BezodstpwZnak">
    <w:name w:val="Bez odstępów Znak"/>
    <w:basedOn w:val="Domylnaczcionkaakapitu"/>
    <w:link w:val="Bezodstpw"/>
    <w:semiHidden/>
    <w:rsid w:val="00014566"/>
    <w:rPr>
      <w:rFonts w:eastAsiaTheme="minorEastAsia"/>
    </w:rPr>
  </w:style>
  <w:style w:type="paragraph" w:customStyle="1" w:styleId="JuParaSub">
    <w:name w:val="Ju_Para_Sub"/>
    <w:basedOn w:val="Normalny"/>
    <w:qFormat/>
    <w:rsid w:val="00C621C2"/>
    <w:pPr>
      <w:ind w:left="284" w:firstLine="284"/>
    </w:pPr>
  </w:style>
  <w:style w:type="paragraph" w:customStyle="1" w:styleId="OpiParaSub">
    <w:name w:val="Opi_Para_Sub"/>
    <w:basedOn w:val="JuParaSub"/>
    <w:qFormat/>
    <w:rsid w:val="00014566"/>
  </w:style>
  <w:style w:type="paragraph" w:customStyle="1" w:styleId="OpiQuot">
    <w:name w:val="Opi_Quot"/>
    <w:basedOn w:val="ECHRParaQuote"/>
    <w:qFormat/>
    <w:rsid w:val="00014566"/>
  </w:style>
  <w:style w:type="paragraph" w:customStyle="1" w:styleId="OpiQuotSub">
    <w:name w:val="Opi_Quot_Sub"/>
    <w:basedOn w:val="JuQuotSub"/>
    <w:qFormat/>
    <w:rsid w:val="00014566"/>
  </w:style>
  <w:style w:type="paragraph" w:customStyle="1" w:styleId="ECHRTitleCentre3">
    <w:name w:val="ECHR_Title_Centre_3"/>
    <w:aliases w:val="Ju_H_Article"/>
    <w:basedOn w:val="Normalny"/>
    <w:next w:val="ECHRParaQuote"/>
    <w:qFormat/>
    <w:rsid w:val="0001456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qFormat/>
    <w:rsid w:val="00014566"/>
    <w:pPr>
      <w:keepNext/>
      <w:keepLines/>
      <w:spacing w:after="240"/>
      <w:jc w:val="center"/>
      <w:outlineLvl w:val="0"/>
    </w:pPr>
    <w:rPr>
      <w:rFonts w:asciiTheme="majorHAnsi" w:hAnsiTheme="majorHAnsi"/>
      <w:sz w:val="28"/>
    </w:rPr>
  </w:style>
  <w:style w:type="paragraph" w:customStyle="1" w:styleId="JuQuotSub">
    <w:name w:val="Ju_Quot_Sub"/>
    <w:basedOn w:val="ECHRParaQuote"/>
    <w:qFormat/>
    <w:rsid w:val="00014566"/>
    <w:pPr>
      <w:ind w:left="567"/>
    </w:pPr>
  </w:style>
  <w:style w:type="paragraph" w:customStyle="1" w:styleId="JuInitialled">
    <w:name w:val="Ju_Initialled"/>
    <w:basedOn w:val="Normalny"/>
    <w:qFormat/>
    <w:rsid w:val="00014566"/>
    <w:pPr>
      <w:tabs>
        <w:tab w:val="center" w:pos="6407"/>
      </w:tabs>
      <w:spacing w:before="720"/>
      <w:jc w:val="right"/>
    </w:pPr>
  </w:style>
  <w:style w:type="paragraph" w:customStyle="1" w:styleId="OpiHA">
    <w:name w:val="Opi_H_A"/>
    <w:basedOn w:val="ECHRHeading1"/>
    <w:next w:val="OpiPara"/>
    <w:qFormat/>
    <w:rsid w:val="00014566"/>
    <w:pPr>
      <w:outlineLvl w:val="1"/>
    </w:pPr>
    <w:rPr>
      <w:bCs w:val="0"/>
    </w:rPr>
  </w:style>
  <w:style w:type="character" w:customStyle="1" w:styleId="JUNAMES">
    <w:name w:val="JU_NAMES"/>
    <w:uiPriority w:val="17"/>
    <w:qFormat/>
    <w:rsid w:val="00014566"/>
    <w:rPr>
      <w:caps w:val="0"/>
      <w:smallCaps/>
    </w:rPr>
  </w:style>
  <w:style w:type="paragraph" w:customStyle="1" w:styleId="OpiTranslation">
    <w:name w:val="Opi_Translation"/>
    <w:basedOn w:val="Normalny"/>
    <w:next w:val="OpiPara"/>
    <w:qFormat/>
    <w:rsid w:val="00014566"/>
    <w:pPr>
      <w:jc w:val="center"/>
      <w:outlineLvl w:val="0"/>
    </w:pPr>
    <w:rPr>
      <w:i/>
    </w:rPr>
  </w:style>
  <w:style w:type="paragraph" w:styleId="Tytu">
    <w:name w:val="Title"/>
    <w:basedOn w:val="Normalny"/>
    <w:next w:val="Normalny"/>
    <w:link w:val="TytuZnak"/>
    <w:qFormat/>
    <w:rsid w:val="0001456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rsid w:val="0001456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Normalny"/>
    <w:qFormat/>
    <w:rsid w:val="00014566"/>
    <w:pPr>
      <w:keepNext/>
      <w:keepLines/>
      <w:numPr>
        <w:ilvl w:val="0"/>
        <w:numId w:val="0"/>
      </w:numPr>
      <w:tabs>
        <w:tab w:val="left" w:pos="731"/>
      </w:tabs>
      <w:spacing w:before="240" w:after="120" w:line="240" w:lineRule="auto"/>
      <w:ind w:left="732" w:hanging="301"/>
      <w:jc w:val="both"/>
    </w:pPr>
    <w:rPr>
      <w:b w:val="0"/>
      <w:i/>
      <w:color w:val="auto"/>
    </w:rPr>
  </w:style>
  <w:style w:type="paragraph" w:customStyle="1" w:styleId="ECHRHeading4">
    <w:name w:val="ECHR_Heading_4"/>
    <w:aliases w:val="Ju_H_a"/>
    <w:basedOn w:val="Nagwek4"/>
    <w:next w:val="Normalny"/>
    <w:qFormat/>
    <w:rsid w:val="00014566"/>
    <w:pPr>
      <w:keepNext/>
      <w:keepLines/>
      <w:numPr>
        <w:ilvl w:val="0"/>
        <w:numId w:val="0"/>
      </w:numPr>
      <w:tabs>
        <w:tab w:val="left" w:pos="975"/>
      </w:tabs>
      <w:spacing w:before="240" w:after="120"/>
      <w:ind w:left="975" w:hanging="340"/>
      <w:jc w:val="both"/>
    </w:pPr>
    <w:rPr>
      <w:i w:val="0"/>
      <w:color w:val="auto"/>
      <w:sz w:val="20"/>
    </w:rPr>
  </w:style>
  <w:style w:type="paragraph" w:customStyle="1" w:styleId="ECHRHeading5">
    <w:name w:val="ECHR_Heading_5"/>
    <w:aliases w:val="Ju_H_i"/>
    <w:basedOn w:val="Nagwek5"/>
    <w:next w:val="Normalny"/>
    <w:qFormat/>
    <w:rsid w:val="0001456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Normalny"/>
    <w:qFormat/>
    <w:rsid w:val="00014566"/>
    <w:pPr>
      <w:keepNext/>
      <w:keepLines/>
      <w:numPr>
        <w:ilvl w:val="0"/>
        <w:numId w:val="0"/>
      </w:numPr>
      <w:tabs>
        <w:tab w:val="left" w:pos="1372"/>
      </w:tabs>
      <w:spacing w:before="240" w:after="120" w:line="240" w:lineRule="auto"/>
      <w:ind w:left="1373" w:hanging="335"/>
      <w:jc w:val="both"/>
    </w:pPr>
    <w:rPr>
      <w:b w:val="0"/>
      <w:color w:val="auto"/>
      <w:sz w:val="20"/>
    </w:rPr>
  </w:style>
  <w:style w:type="paragraph" w:customStyle="1" w:styleId="ECHRHeading7">
    <w:name w:val="ECHR_Heading_7"/>
    <w:aliases w:val="Ju_H_–"/>
    <w:basedOn w:val="Nagwek7"/>
    <w:next w:val="Normalny"/>
    <w:qFormat/>
    <w:rsid w:val="00014566"/>
    <w:pPr>
      <w:keepNext/>
      <w:keepLines/>
      <w:spacing w:before="240" w:after="120"/>
      <w:ind w:left="1236"/>
    </w:pPr>
    <w:rPr>
      <w:sz w:val="20"/>
    </w:rPr>
  </w:style>
  <w:style w:type="paragraph" w:customStyle="1" w:styleId="OpiH1">
    <w:name w:val="Opi_H_1"/>
    <w:basedOn w:val="ECHRHeading2"/>
    <w:uiPriority w:val="42"/>
    <w:qFormat/>
    <w:rsid w:val="00014566"/>
    <w:pPr>
      <w:ind w:left="635" w:hanging="357"/>
      <w:outlineLvl w:val="2"/>
    </w:pPr>
  </w:style>
  <w:style w:type="paragraph" w:customStyle="1" w:styleId="OpiHa0">
    <w:name w:val="Opi_H_a"/>
    <w:basedOn w:val="ECHRHeading3"/>
    <w:qFormat/>
    <w:rsid w:val="00014566"/>
    <w:pPr>
      <w:ind w:left="833" w:hanging="357"/>
      <w:outlineLvl w:val="3"/>
    </w:pPr>
    <w:rPr>
      <w:b/>
      <w:i w:val="0"/>
      <w:sz w:val="20"/>
    </w:rPr>
  </w:style>
  <w:style w:type="paragraph" w:customStyle="1" w:styleId="OpiHi">
    <w:name w:val="Opi_H_i"/>
    <w:basedOn w:val="ECHRHeading4"/>
    <w:qFormat/>
    <w:rsid w:val="00014566"/>
    <w:pPr>
      <w:ind w:left="1037" w:hanging="357"/>
      <w:outlineLvl w:val="4"/>
    </w:pPr>
    <w:rPr>
      <w:b w:val="0"/>
      <w:i/>
    </w:rPr>
  </w:style>
  <w:style w:type="paragraph" w:styleId="Nagwek">
    <w:name w:val="header"/>
    <w:basedOn w:val="Normalny"/>
    <w:link w:val="NagwekZnak"/>
    <w:rsid w:val="00941747"/>
    <w:pPr>
      <w:tabs>
        <w:tab w:val="center" w:pos="4536"/>
        <w:tab w:val="right" w:pos="9696"/>
      </w:tabs>
      <w:ind w:left="-680" w:right="-680"/>
    </w:pPr>
  </w:style>
  <w:style w:type="character" w:customStyle="1" w:styleId="NagwekZnak">
    <w:name w:val="Nagłówek Znak"/>
    <w:basedOn w:val="Domylnaczcionkaakapitu"/>
    <w:link w:val="Nagwek"/>
    <w:rsid w:val="008D4752"/>
  </w:style>
  <w:style w:type="character" w:customStyle="1" w:styleId="Nagwek1Znak">
    <w:name w:val="Nagłówek 1 Znak"/>
    <w:basedOn w:val="Domylnaczcionkaakapitu"/>
    <w:link w:val="Nagwek1"/>
    <w:rsid w:val="00A671F8"/>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Normalny"/>
    <w:link w:val="JuHIRomanChar"/>
    <w:qFormat/>
    <w:rsid w:val="00014566"/>
    <w:pPr>
      <w:keepNext/>
      <w:keepLines/>
      <w:numPr>
        <w:numId w:val="0"/>
      </w:numPr>
      <w:tabs>
        <w:tab w:val="left" w:pos="357"/>
      </w:tabs>
      <w:spacing w:before="360" w:after="240"/>
      <w:ind w:left="357" w:hanging="357"/>
      <w:contextualSpacing w:val="0"/>
      <w:jc w:val="both"/>
    </w:pPr>
    <w:rPr>
      <w:b w:val="0"/>
      <w:color w:val="auto"/>
      <w:sz w:val="24"/>
    </w:rPr>
  </w:style>
  <w:style w:type="paragraph" w:customStyle="1" w:styleId="ECHRHeading2">
    <w:name w:val="ECHR_Heading_2"/>
    <w:aliases w:val="Ju_H_A"/>
    <w:basedOn w:val="Nagwek2"/>
    <w:next w:val="Normalny"/>
    <w:link w:val="JuHAChar"/>
    <w:qFormat/>
    <w:rsid w:val="00014566"/>
    <w:pPr>
      <w:keepNext/>
      <w:keepLines/>
      <w:numPr>
        <w:ilvl w:val="0"/>
        <w:numId w:val="0"/>
      </w:numPr>
      <w:tabs>
        <w:tab w:val="left" w:pos="584"/>
      </w:tabs>
      <w:spacing w:before="360" w:after="240"/>
      <w:ind w:left="584" w:hanging="352"/>
      <w:jc w:val="both"/>
    </w:pPr>
    <w:rPr>
      <w:color w:val="auto"/>
      <w:sz w:val="24"/>
    </w:rPr>
  </w:style>
  <w:style w:type="character" w:customStyle="1" w:styleId="Nagwek2Znak">
    <w:name w:val="Nagłówek 2 Znak"/>
    <w:basedOn w:val="Domylnaczcionkaakapitu"/>
    <w:link w:val="Nagwek2"/>
    <w:rsid w:val="00A671F8"/>
    <w:rPr>
      <w:rFonts w:asciiTheme="majorHAnsi" w:eastAsiaTheme="majorEastAsia" w:hAnsiTheme="majorHAnsi" w:cstheme="majorBidi"/>
      <w:b/>
      <w:bCs/>
      <w:color w:val="4D4D4D"/>
      <w:sz w:val="26"/>
      <w:szCs w:val="26"/>
    </w:rPr>
  </w:style>
  <w:style w:type="paragraph" w:customStyle="1" w:styleId="DummyStyle">
    <w:name w:val="Dummy_Style"/>
    <w:basedOn w:val="Normalny"/>
    <w:semiHidden/>
    <w:qFormat/>
    <w:rsid w:val="00014566"/>
    <w:rPr>
      <w:color w:val="00B050"/>
    </w:rPr>
  </w:style>
  <w:style w:type="paragraph" w:customStyle="1" w:styleId="JuCase">
    <w:name w:val="Ju_Case"/>
    <w:basedOn w:val="Normalny"/>
    <w:next w:val="Normalny"/>
    <w:rsid w:val="00D60D87"/>
    <w:pPr>
      <w:ind w:firstLine="284"/>
    </w:pPr>
    <w:rPr>
      <w:b/>
    </w:rPr>
  </w:style>
  <w:style w:type="character" w:customStyle="1" w:styleId="Nagwek3Znak">
    <w:name w:val="Nagłówek 3 Znak"/>
    <w:basedOn w:val="Domylnaczcionkaakapitu"/>
    <w:link w:val="Nagwek3"/>
    <w:rsid w:val="00A671F8"/>
    <w:rPr>
      <w:rFonts w:asciiTheme="majorHAnsi" w:eastAsiaTheme="majorEastAsia" w:hAnsiTheme="majorHAnsi" w:cstheme="majorBidi"/>
      <w:b/>
      <w:bCs/>
      <w:color w:val="5F5F5F"/>
    </w:rPr>
  </w:style>
  <w:style w:type="character" w:customStyle="1" w:styleId="Nagwek4Znak">
    <w:name w:val="Nagłówek 4 Znak"/>
    <w:basedOn w:val="Domylnaczcionkaakapitu"/>
    <w:link w:val="Nagwek4"/>
    <w:rsid w:val="00A671F8"/>
    <w:rPr>
      <w:rFonts w:asciiTheme="majorHAnsi" w:eastAsiaTheme="majorEastAsia" w:hAnsiTheme="majorHAnsi" w:cstheme="majorBidi"/>
      <w:b/>
      <w:bCs/>
      <w:i/>
      <w:iCs/>
      <w:color w:val="777777"/>
    </w:rPr>
  </w:style>
  <w:style w:type="character" w:customStyle="1" w:styleId="Nagwek5Znak">
    <w:name w:val="Nagłówek 5 Znak"/>
    <w:basedOn w:val="Domylnaczcionkaakapitu"/>
    <w:link w:val="Nagwek5"/>
    <w:rsid w:val="00014566"/>
    <w:rPr>
      <w:rFonts w:asciiTheme="majorHAnsi" w:eastAsiaTheme="majorEastAsia" w:hAnsiTheme="majorHAnsi" w:cstheme="majorBidi"/>
      <w:b/>
      <w:bCs/>
      <w:color w:val="808080"/>
    </w:rPr>
  </w:style>
  <w:style w:type="character" w:styleId="Wyrnieniedelikatne">
    <w:name w:val="Subtle Emphasis"/>
    <w:uiPriority w:val="99"/>
    <w:semiHidden/>
    <w:qFormat/>
    <w:rsid w:val="0001456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Normalny"/>
    <w:qFormat/>
    <w:rsid w:val="00014566"/>
    <w:pPr>
      <w:keepNext/>
      <w:keepLines/>
      <w:spacing w:before="720" w:after="240"/>
      <w:outlineLvl w:val="0"/>
    </w:pPr>
    <w:rPr>
      <w:rFonts w:asciiTheme="majorHAnsi" w:hAnsiTheme="majorHAnsi"/>
      <w:sz w:val="28"/>
    </w:rPr>
  </w:style>
  <w:style w:type="character" w:styleId="Uwydatnienie">
    <w:name w:val="Emphasis"/>
    <w:qFormat/>
    <w:rsid w:val="00014566"/>
    <w:rPr>
      <w:b/>
      <w:bCs/>
      <w:i/>
      <w:iCs/>
      <w:spacing w:val="10"/>
      <w:bdr w:val="none" w:sz="0" w:space="0" w:color="auto"/>
      <w:shd w:val="clear" w:color="auto" w:fill="auto"/>
    </w:rPr>
  </w:style>
  <w:style w:type="paragraph" w:styleId="Stopka">
    <w:name w:val="footer"/>
    <w:basedOn w:val="Normalny"/>
    <w:link w:val="StopkaZnak"/>
    <w:rsid w:val="00941747"/>
    <w:pPr>
      <w:tabs>
        <w:tab w:val="center" w:pos="4536"/>
        <w:tab w:val="right" w:pos="9696"/>
      </w:tabs>
      <w:ind w:left="-680" w:right="-680"/>
    </w:pPr>
  </w:style>
  <w:style w:type="character" w:customStyle="1" w:styleId="StopkaZnak">
    <w:name w:val="Stopka Znak"/>
    <w:basedOn w:val="Domylnaczcionkaakapitu"/>
    <w:link w:val="Stopka"/>
    <w:rsid w:val="008D4752"/>
  </w:style>
  <w:style w:type="character" w:styleId="Odwoanieprzypisudolnego">
    <w:name w:val="footnote reference"/>
    <w:basedOn w:val="Domylnaczcionkaakapitu"/>
    <w:semiHidden/>
    <w:rsid w:val="00941747"/>
    <w:rPr>
      <w:vertAlign w:val="superscript"/>
    </w:rPr>
  </w:style>
  <w:style w:type="paragraph" w:styleId="Tekstprzypisudolnego">
    <w:name w:val="footnote text"/>
    <w:basedOn w:val="Normalny"/>
    <w:link w:val="TekstprzypisudolnegoZnak"/>
    <w:semiHidden/>
    <w:rsid w:val="00941747"/>
    <w:rPr>
      <w:sz w:val="20"/>
      <w:szCs w:val="20"/>
    </w:rPr>
  </w:style>
  <w:style w:type="character" w:customStyle="1" w:styleId="TekstprzypisudolnegoZnak">
    <w:name w:val="Tekst przypisu dolnego Znak"/>
    <w:basedOn w:val="Domylnaczcionkaakapitu"/>
    <w:link w:val="Tekstprzypisudolnego"/>
    <w:semiHidden/>
    <w:rsid w:val="00A671F8"/>
    <w:rPr>
      <w:rFonts w:eastAsiaTheme="minorEastAsia"/>
      <w:sz w:val="20"/>
      <w:szCs w:val="20"/>
    </w:rPr>
  </w:style>
  <w:style w:type="character" w:customStyle="1" w:styleId="Nagwek6Znak">
    <w:name w:val="Nagłówek 6 Znak"/>
    <w:basedOn w:val="Domylnaczcionkaakapitu"/>
    <w:link w:val="Nagwek6"/>
    <w:rsid w:val="00A671F8"/>
    <w:rPr>
      <w:rFonts w:asciiTheme="majorHAnsi" w:eastAsiaTheme="majorEastAsia" w:hAnsiTheme="majorHAnsi" w:cstheme="majorBidi"/>
      <w:b/>
      <w:bCs/>
      <w:i/>
      <w:iCs/>
      <w:color w:val="7F7F7F" w:themeColor="text1" w:themeTint="80"/>
      <w:lang w:bidi="en-US"/>
    </w:rPr>
  </w:style>
  <w:style w:type="character" w:customStyle="1" w:styleId="Nagwek7Znak">
    <w:name w:val="Nagłówek 7 Znak"/>
    <w:basedOn w:val="Domylnaczcionkaakapitu"/>
    <w:link w:val="Nagwek7"/>
    <w:rsid w:val="0001456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rsid w:val="0001456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rsid w:val="00014566"/>
    <w:rPr>
      <w:rFonts w:asciiTheme="majorHAnsi" w:eastAsiaTheme="majorEastAsia" w:hAnsiTheme="majorHAnsi" w:cstheme="majorBidi"/>
      <w:i/>
      <w:iCs/>
      <w:spacing w:val="5"/>
      <w:sz w:val="20"/>
      <w:szCs w:val="20"/>
      <w:lang w:bidi="en-US"/>
    </w:rPr>
  </w:style>
  <w:style w:type="character" w:styleId="Hipercze">
    <w:name w:val="Hyperlink"/>
    <w:basedOn w:val="Domylnaczcionkaakapitu"/>
    <w:rsid w:val="00941747"/>
    <w:rPr>
      <w:color w:val="0072BC" w:themeColor="hyperlink"/>
      <w:u w:val="single"/>
    </w:rPr>
  </w:style>
  <w:style w:type="character" w:styleId="Wyrnienieintensywne">
    <w:name w:val="Intense Emphasis"/>
    <w:uiPriority w:val="99"/>
    <w:semiHidden/>
    <w:qFormat/>
    <w:rsid w:val="00014566"/>
    <w:rPr>
      <w:b/>
      <w:bCs/>
    </w:rPr>
  </w:style>
  <w:style w:type="paragraph" w:styleId="Cytatintensywny">
    <w:name w:val="Intense Quote"/>
    <w:basedOn w:val="Normalny"/>
    <w:next w:val="Normalny"/>
    <w:link w:val="CytatintensywnyZnak"/>
    <w:uiPriority w:val="99"/>
    <w:semiHidden/>
    <w:qFormat/>
    <w:rsid w:val="0001456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014566"/>
    <w:rPr>
      <w:rFonts w:eastAsiaTheme="minorEastAsia"/>
      <w:b/>
      <w:bCs/>
      <w:i/>
      <w:iCs/>
      <w:lang w:bidi="en-US"/>
    </w:rPr>
  </w:style>
  <w:style w:type="character" w:styleId="Odwoanieintensywne">
    <w:name w:val="Intense Reference"/>
    <w:uiPriority w:val="99"/>
    <w:semiHidden/>
    <w:qFormat/>
    <w:rsid w:val="00014566"/>
    <w:rPr>
      <w:smallCaps/>
      <w:spacing w:val="5"/>
      <w:u w:val="single"/>
    </w:rPr>
  </w:style>
  <w:style w:type="paragraph" w:styleId="Akapitzlist">
    <w:name w:val="List Paragraph"/>
    <w:basedOn w:val="Normalny"/>
    <w:uiPriority w:val="99"/>
    <w:semiHidden/>
    <w:qFormat/>
    <w:rsid w:val="00014566"/>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014566"/>
    <w:pPr>
      <w:spacing w:before="200"/>
      <w:ind w:left="360" w:right="360"/>
    </w:pPr>
    <w:rPr>
      <w:i/>
      <w:iCs/>
      <w:sz w:val="22"/>
      <w:lang w:bidi="en-US"/>
    </w:rPr>
  </w:style>
  <w:style w:type="character" w:customStyle="1" w:styleId="CytatZnak">
    <w:name w:val="Cytat Znak"/>
    <w:basedOn w:val="Domylnaczcionkaakapitu"/>
    <w:link w:val="Cytat"/>
    <w:uiPriority w:val="99"/>
    <w:semiHidden/>
    <w:rsid w:val="00014566"/>
    <w:rPr>
      <w:rFonts w:eastAsiaTheme="minorEastAsia"/>
      <w:i/>
      <w:iCs/>
      <w:lang w:bidi="en-US"/>
    </w:rPr>
  </w:style>
  <w:style w:type="character" w:styleId="Odwoaniedelikatne">
    <w:name w:val="Subtle Reference"/>
    <w:uiPriority w:val="99"/>
    <w:semiHidden/>
    <w:qFormat/>
    <w:rsid w:val="00014566"/>
    <w:rPr>
      <w:smallCaps/>
    </w:rPr>
  </w:style>
  <w:style w:type="table" w:styleId="Tabela-Siatka">
    <w:name w:val="Table Grid"/>
    <w:basedOn w:val="Standardowy"/>
    <w:rsid w:val="00941747"/>
    <w:rPr>
      <w:rFonts w:eastAsiaTheme="minorEastAsia"/>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semiHidden/>
    <w:rsid w:val="00EA185E"/>
    <w:pPr>
      <w:spacing w:before="120" w:after="60"/>
      <w:ind w:left="340" w:right="340" w:hanging="340"/>
    </w:pPr>
    <w:rPr>
      <w:color w:val="0D0D0D" w:themeColor="text1" w:themeTint="F2"/>
    </w:rPr>
  </w:style>
  <w:style w:type="paragraph" w:styleId="Spistreci2">
    <w:name w:val="toc 2"/>
    <w:basedOn w:val="Normalny"/>
    <w:next w:val="Normalny"/>
    <w:autoRedefine/>
    <w:semiHidden/>
    <w:rsid w:val="00EA185E"/>
    <w:pPr>
      <w:spacing w:after="60"/>
      <w:ind w:left="680" w:right="340" w:hanging="340"/>
    </w:pPr>
  </w:style>
  <w:style w:type="paragraph" w:styleId="Spistreci3">
    <w:name w:val="toc 3"/>
    <w:basedOn w:val="Normalny"/>
    <w:next w:val="Normalny"/>
    <w:autoRedefine/>
    <w:semiHidden/>
    <w:rsid w:val="00EA185E"/>
    <w:pPr>
      <w:spacing w:after="60"/>
      <w:ind w:left="1020" w:right="340" w:hanging="340"/>
    </w:pPr>
  </w:style>
  <w:style w:type="paragraph" w:styleId="Spistreci4">
    <w:name w:val="toc 4"/>
    <w:basedOn w:val="Normalny"/>
    <w:next w:val="Normalny"/>
    <w:autoRedefine/>
    <w:semiHidden/>
    <w:rsid w:val="00EA185E"/>
    <w:pPr>
      <w:tabs>
        <w:tab w:val="right" w:leader="dot" w:pos="9017"/>
      </w:tabs>
      <w:spacing w:after="60"/>
      <w:ind w:left="1361" w:right="340" w:hanging="340"/>
    </w:pPr>
  </w:style>
  <w:style w:type="paragraph" w:styleId="Spistreci5">
    <w:name w:val="toc 5"/>
    <w:basedOn w:val="Normalny"/>
    <w:next w:val="Normalny"/>
    <w:autoRedefine/>
    <w:semiHidden/>
    <w:rsid w:val="00B46543"/>
    <w:pPr>
      <w:spacing w:after="60"/>
      <w:ind w:left="1701" w:right="340" w:hanging="340"/>
    </w:pPr>
  </w:style>
  <w:style w:type="paragraph" w:styleId="Nagwekspisutreci">
    <w:name w:val="TOC Heading"/>
    <w:basedOn w:val="Nagwek1"/>
    <w:next w:val="Normalny"/>
    <w:uiPriority w:val="99"/>
    <w:semiHidden/>
    <w:qFormat/>
    <w:rsid w:val="00014566"/>
    <w:pPr>
      <w:numPr>
        <w:numId w:val="0"/>
      </w:numPr>
      <w:jc w:val="both"/>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semiHidden/>
    <w:rsid w:val="00C333A0"/>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qFormat/>
    <w:rsid w:val="00014566"/>
    <w:pPr>
      <w:spacing w:before="120" w:after="120"/>
      <w:ind w:left="425" w:firstLine="142"/>
    </w:pPr>
    <w:rPr>
      <w:sz w:val="20"/>
    </w:rPr>
  </w:style>
  <w:style w:type="paragraph" w:customStyle="1" w:styleId="ECHRPara">
    <w:name w:val="ECHR_Para"/>
    <w:aliases w:val="Ju_Para"/>
    <w:basedOn w:val="Normalny"/>
    <w:link w:val="JuParaCar"/>
    <w:qFormat/>
    <w:rsid w:val="00C621C2"/>
    <w:pPr>
      <w:ind w:firstLine="284"/>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20BAA"/>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link w:val="JuJudgesChar"/>
    <w:qFormat/>
    <w:rsid w:val="00DF0549"/>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qFormat/>
    <w:rsid w:val="00C621C2"/>
    <w:pPr>
      <w:ind w:left="340" w:hanging="340"/>
    </w:pPr>
  </w:style>
  <w:style w:type="paragraph" w:customStyle="1" w:styleId="JuSigned">
    <w:name w:val="Ju_Signed"/>
    <w:basedOn w:val="Normalny"/>
    <w:next w:val="JuParaLast"/>
    <w:qFormat/>
    <w:rsid w:val="00C621C2"/>
    <w:pPr>
      <w:tabs>
        <w:tab w:val="center" w:pos="851"/>
        <w:tab w:val="center" w:pos="6407"/>
      </w:tabs>
      <w:spacing w:before="720"/>
      <w:jc w:val="left"/>
    </w:pPr>
  </w:style>
  <w:style w:type="paragraph" w:customStyle="1" w:styleId="JuParaLast">
    <w:name w:val="Ju_Para_Last"/>
    <w:basedOn w:val="Normalny"/>
    <w:next w:val="Normalny"/>
    <w:qFormat/>
    <w:rsid w:val="00014566"/>
    <w:pPr>
      <w:keepNext/>
      <w:keepLines/>
      <w:spacing w:before="240"/>
      <w:ind w:firstLine="284"/>
    </w:pPr>
  </w:style>
  <w:style w:type="paragraph" w:customStyle="1" w:styleId="JuCourt">
    <w:name w:val="Ju_Court"/>
    <w:basedOn w:val="Normalny"/>
    <w:next w:val="Normalny"/>
    <w:qFormat/>
    <w:rsid w:val="00014566"/>
    <w:pPr>
      <w:tabs>
        <w:tab w:val="left" w:pos="907"/>
        <w:tab w:val="left" w:pos="1701"/>
        <w:tab w:val="right" w:pos="7371"/>
      </w:tabs>
      <w:spacing w:before="240"/>
      <w:ind w:left="397" w:hanging="397"/>
      <w:jc w:val="left"/>
    </w:pPr>
    <w:rPr>
      <w:lang w:bidi="en-US"/>
    </w:rPr>
  </w:style>
  <w:style w:type="character" w:styleId="Numerstrony">
    <w:name w:val="page number"/>
    <w:rsid w:val="00014566"/>
    <w:rPr>
      <w:sz w:val="18"/>
    </w:rPr>
  </w:style>
  <w:style w:type="paragraph" w:customStyle="1" w:styleId="JuLista">
    <w:name w:val="Ju_List_a"/>
    <w:basedOn w:val="Normalny"/>
    <w:qFormat/>
    <w:rsid w:val="00C621C2"/>
    <w:pPr>
      <w:ind w:left="346"/>
    </w:pPr>
  </w:style>
  <w:style w:type="paragraph" w:customStyle="1" w:styleId="JuListi">
    <w:name w:val="Ju_List_i"/>
    <w:basedOn w:val="Normalny"/>
    <w:next w:val="JuLista"/>
    <w:qFormat/>
    <w:rsid w:val="00014566"/>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semiHidden/>
    <w:rsid w:val="00014566"/>
    <w:rPr>
      <w:vertAlign w:val="superscript"/>
    </w:rPr>
  </w:style>
  <w:style w:type="paragraph" w:styleId="Tekstprzypisukocowego">
    <w:name w:val="endnote text"/>
    <w:basedOn w:val="Normalny"/>
    <w:link w:val="TekstprzypisukocowegoZnak"/>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rsid w:val="00014566"/>
    <w:rPr>
      <w:color w:val="800080"/>
      <w:u w:val="single"/>
    </w:rPr>
  </w:style>
  <w:style w:type="paragraph" w:styleId="Mapadokumentu">
    <w:name w:val="Document Map"/>
    <w:basedOn w:val="Normalny"/>
    <w:link w:val="MapadokumentuZnak"/>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rsid w:val="00014566"/>
    <w:pPr>
      <w:numPr>
        <w:numId w:val="8"/>
      </w:numPr>
    </w:pPr>
  </w:style>
  <w:style w:type="character" w:customStyle="1" w:styleId="JuITMark">
    <w:name w:val="Ju_ITMark"/>
    <w:basedOn w:val="Domylnaczcionkaakapitu"/>
    <w:qFormat/>
    <w:rsid w:val="00014566"/>
    <w:rPr>
      <w:vanish w:val="0"/>
      <w:color w:val="auto"/>
      <w:sz w:val="14"/>
    </w:rPr>
  </w:style>
  <w:style w:type="paragraph" w:styleId="Podtytu">
    <w:name w:val="Subtitle"/>
    <w:basedOn w:val="Normalny"/>
    <w:next w:val="Normalny"/>
    <w:link w:val="PodtytuZnak"/>
    <w:qFormat/>
    <w:rsid w:val="0001456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rsid w:val="00014566"/>
    <w:rPr>
      <w:rFonts w:asciiTheme="majorHAnsi" w:eastAsiaTheme="majorEastAsia" w:hAnsiTheme="majorHAnsi" w:cstheme="majorBidi"/>
      <w:i/>
      <w:iCs/>
      <w:spacing w:val="13"/>
      <w:sz w:val="24"/>
      <w:szCs w:val="24"/>
      <w:lang w:bidi="en-US"/>
    </w:rPr>
  </w:style>
  <w:style w:type="numbering" w:styleId="111111">
    <w:name w:val="Outline List 2"/>
    <w:basedOn w:val="Bezlisty"/>
    <w:rsid w:val="00014566"/>
    <w:pPr>
      <w:numPr>
        <w:numId w:val="9"/>
      </w:numPr>
    </w:pPr>
  </w:style>
  <w:style w:type="numbering" w:styleId="1ai">
    <w:name w:val="Outline List 1"/>
    <w:basedOn w:val="Bezlisty"/>
    <w:rsid w:val="00014566"/>
    <w:pPr>
      <w:numPr>
        <w:numId w:val="10"/>
      </w:numPr>
    </w:pPr>
  </w:style>
  <w:style w:type="numbering" w:styleId="Artykusekcja">
    <w:name w:val="Outline List 3"/>
    <w:basedOn w:val="Bezlisty"/>
    <w:rsid w:val="00014566"/>
    <w:pPr>
      <w:numPr>
        <w:numId w:val="11"/>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rsid w:val="00014566"/>
    <w:pPr>
      <w:spacing w:after="120"/>
    </w:pPr>
  </w:style>
  <w:style w:type="character" w:customStyle="1" w:styleId="TekstpodstawowyZnak">
    <w:name w:val="Tekst podstawowy Znak"/>
    <w:basedOn w:val="Domylnaczcionkaakapitu"/>
    <w:link w:val="Tekstpodstawowy"/>
    <w:rsid w:val="00014566"/>
    <w:rPr>
      <w:rFonts w:eastAsiaTheme="minorEastAsia"/>
      <w:sz w:val="24"/>
    </w:rPr>
  </w:style>
  <w:style w:type="paragraph" w:styleId="Tekstpodstawowy2">
    <w:name w:val="Body Text 2"/>
    <w:basedOn w:val="Normalny"/>
    <w:link w:val="Tekstpodstawowy2Znak"/>
    <w:rsid w:val="00014566"/>
    <w:pPr>
      <w:spacing w:after="120" w:line="480" w:lineRule="auto"/>
    </w:pPr>
  </w:style>
  <w:style w:type="character" w:customStyle="1" w:styleId="Tekstpodstawowy2Znak">
    <w:name w:val="Tekst podstawowy 2 Znak"/>
    <w:basedOn w:val="Domylnaczcionkaakapitu"/>
    <w:link w:val="Tekstpodstawowy2"/>
    <w:rsid w:val="00014566"/>
    <w:rPr>
      <w:rFonts w:eastAsiaTheme="minorEastAsia"/>
      <w:sz w:val="24"/>
    </w:rPr>
  </w:style>
  <w:style w:type="paragraph" w:styleId="Tekstpodstawowy3">
    <w:name w:val="Body Text 3"/>
    <w:basedOn w:val="Normalny"/>
    <w:link w:val="Tekstpodstawowy3Znak"/>
    <w:rsid w:val="00014566"/>
    <w:pPr>
      <w:spacing w:after="120"/>
    </w:pPr>
    <w:rPr>
      <w:sz w:val="16"/>
      <w:szCs w:val="16"/>
    </w:rPr>
  </w:style>
  <w:style w:type="character" w:customStyle="1" w:styleId="Tekstpodstawowy3Znak">
    <w:name w:val="Tekst podstawowy 3 Znak"/>
    <w:basedOn w:val="Domylnaczcionkaakapitu"/>
    <w:link w:val="Tekstpodstawowy3"/>
    <w:rsid w:val="00014566"/>
    <w:rPr>
      <w:rFonts w:eastAsiaTheme="minorEastAsia"/>
      <w:sz w:val="16"/>
      <w:szCs w:val="16"/>
    </w:rPr>
  </w:style>
  <w:style w:type="paragraph" w:styleId="Tekstpodstawowyzwciciem">
    <w:name w:val="Body Text First Indent"/>
    <w:basedOn w:val="Tekstpodstawowy"/>
    <w:link w:val="TekstpodstawowyzwciciemZnak"/>
    <w:rsid w:val="00014566"/>
    <w:pPr>
      <w:spacing w:after="0"/>
      <w:ind w:firstLine="360"/>
    </w:pPr>
  </w:style>
  <w:style w:type="character" w:customStyle="1" w:styleId="TekstpodstawowyzwciciemZnak">
    <w:name w:val="Tekst podstawowy z wcięciem Znak"/>
    <w:basedOn w:val="TekstpodstawowyZnak"/>
    <w:link w:val="Tekstpodstawowyzwciciem"/>
    <w:rsid w:val="00014566"/>
    <w:rPr>
      <w:rFonts w:eastAsiaTheme="minorEastAsia"/>
      <w:sz w:val="24"/>
    </w:rPr>
  </w:style>
  <w:style w:type="paragraph" w:styleId="Tekstpodstawowywcity">
    <w:name w:val="Body Text Indent"/>
    <w:basedOn w:val="Normalny"/>
    <w:link w:val="TekstpodstawowywcityZnak"/>
    <w:rsid w:val="00014566"/>
    <w:pPr>
      <w:spacing w:after="120"/>
      <w:ind w:left="283"/>
    </w:pPr>
  </w:style>
  <w:style w:type="character" w:customStyle="1" w:styleId="TekstpodstawowywcityZnak">
    <w:name w:val="Tekst podstawowy wcięty Znak"/>
    <w:basedOn w:val="Domylnaczcionkaakapitu"/>
    <w:link w:val="Tekstpodstawowywcity"/>
    <w:rsid w:val="00014566"/>
    <w:rPr>
      <w:rFonts w:eastAsiaTheme="minorEastAsia"/>
      <w:sz w:val="24"/>
    </w:rPr>
  </w:style>
  <w:style w:type="paragraph" w:styleId="Tekstpodstawowyzwciciem2">
    <w:name w:val="Body Text First Indent 2"/>
    <w:basedOn w:val="Tekstpodstawowywcity"/>
    <w:link w:val="Tekstpodstawowyzwciciem2Znak"/>
    <w:rsid w:val="00014566"/>
    <w:pPr>
      <w:spacing w:after="0"/>
      <w:ind w:left="360" w:firstLine="360"/>
    </w:pPr>
  </w:style>
  <w:style w:type="character" w:customStyle="1" w:styleId="Tekstpodstawowyzwciciem2Znak">
    <w:name w:val="Tekst podstawowy z wcięciem 2 Znak"/>
    <w:basedOn w:val="TekstpodstawowywcityZnak"/>
    <w:link w:val="Tekstpodstawowyzwciciem2"/>
    <w:rsid w:val="00014566"/>
    <w:rPr>
      <w:rFonts w:eastAsiaTheme="minorEastAsia"/>
      <w:sz w:val="24"/>
    </w:rPr>
  </w:style>
  <w:style w:type="paragraph" w:styleId="Tekstpodstawowywcity2">
    <w:name w:val="Body Text Indent 2"/>
    <w:basedOn w:val="Normalny"/>
    <w:link w:val="Tekstpodstawowywcity2Znak"/>
    <w:rsid w:val="00014566"/>
    <w:pPr>
      <w:spacing w:after="120" w:line="480" w:lineRule="auto"/>
      <w:ind w:left="283"/>
    </w:pPr>
  </w:style>
  <w:style w:type="character" w:customStyle="1" w:styleId="Tekstpodstawowywcity2Znak">
    <w:name w:val="Tekst podstawowy wcięty 2 Znak"/>
    <w:basedOn w:val="Domylnaczcionkaakapitu"/>
    <w:link w:val="Tekstpodstawowywcity2"/>
    <w:rsid w:val="00014566"/>
    <w:rPr>
      <w:rFonts w:eastAsiaTheme="minorEastAsia"/>
      <w:sz w:val="24"/>
    </w:rPr>
  </w:style>
  <w:style w:type="paragraph" w:styleId="Tekstpodstawowywcity3">
    <w:name w:val="Body Text Indent 3"/>
    <w:basedOn w:val="Normalny"/>
    <w:link w:val="Tekstpodstawowywcity3Znak"/>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rsid w:val="00014566"/>
    <w:rPr>
      <w:rFonts w:eastAsiaTheme="minorEastAsia"/>
      <w:sz w:val="16"/>
      <w:szCs w:val="16"/>
    </w:rPr>
  </w:style>
  <w:style w:type="paragraph" w:styleId="Legenda">
    <w:name w:val="caption"/>
    <w:basedOn w:val="Normalny"/>
    <w:next w:val="Normalny"/>
    <w:qFormat/>
    <w:rsid w:val="00014566"/>
    <w:pPr>
      <w:spacing w:after="200"/>
    </w:pPr>
    <w:rPr>
      <w:b/>
      <w:bCs/>
      <w:color w:val="0072BC" w:themeColor="accent1"/>
      <w:sz w:val="18"/>
      <w:szCs w:val="18"/>
    </w:rPr>
  </w:style>
  <w:style w:type="paragraph" w:styleId="Zwrotpoegnalny">
    <w:name w:val="Closing"/>
    <w:basedOn w:val="Normalny"/>
    <w:link w:val="ZwrotpoegnalnyZnak"/>
    <w:rsid w:val="00014566"/>
    <w:pPr>
      <w:ind w:left="4252"/>
    </w:pPr>
  </w:style>
  <w:style w:type="character" w:customStyle="1" w:styleId="ZwrotpoegnalnyZnak">
    <w:name w:val="Zwrot pożegnalny Znak"/>
    <w:basedOn w:val="Domylnaczcionkaakapitu"/>
    <w:link w:val="Zwrotpoegnalny"/>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rsid w:val="00014566"/>
  </w:style>
  <w:style w:type="character" w:customStyle="1" w:styleId="DataZnak">
    <w:name w:val="Data Znak"/>
    <w:basedOn w:val="Domylnaczcionkaakapitu"/>
    <w:link w:val="Data"/>
    <w:rsid w:val="00014566"/>
    <w:rPr>
      <w:rFonts w:eastAsiaTheme="minorEastAsia"/>
      <w:sz w:val="24"/>
    </w:rPr>
  </w:style>
  <w:style w:type="paragraph" w:styleId="Podpise-mail">
    <w:name w:val="E-mail Signature"/>
    <w:basedOn w:val="Normalny"/>
    <w:link w:val="Podpise-mailZnak"/>
    <w:rsid w:val="00014566"/>
  </w:style>
  <w:style w:type="character" w:customStyle="1" w:styleId="Podpise-mailZnak">
    <w:name w:val="Podpis e-mail Znak"/>
    <w:basedOn w:val="Domylnaczcionkaakapitu"/>
    <w:link w:val="Podpise-mail"/>
    <w:rsid w:val="00014566"/>
    <w:rPr>
      <w:rFonts w:eastAsiaTheme="minorEastAsia"/>
      <w:sz w:val="24"/>
    </w:rPr>
  </w:style>
  <w:style w:type="paragraph" w:styleId="Adresnakopercie">
    <w:name w:val="envelope address"/>
    <w:basedOn w:val="Normalny"/>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rsid w:val="00014566"/>
    <w:rPr>
      <w:rFonts w:asciiTheme="majorHAnsi" w:eastAsiaTheme="majorEastAsia" w:hAnsiTheme="majorHAnsi" w:cstheme="majorBidi"/>
      <w:sz w:val="20"/>
      <w:szCs w:val="20"/>
    </w:rPr>
  </w:style>
  <w:style w:type="character" w:styleId="HTML-akronim">
    <w:name w:val="HTML Acronym"/>
    <w:basedOn w:val="Domylnaczcionkaakapitu"/>
    <w:rsid w:val="00014566"/>
  </w:style>
  <w:style w:type="paragraph" w:styleId="HTML-adres">
    <w:name w:val="HTML Address"/>
    <w:basedOn w:val="Normalny"/>
    <w:link w:val="HTML-adresZnak"/>
    <w:rsid w:val="00014566"/>
    <w:rPr>
      <w:i/>
      <w:iCs/>
    </w:rPr>
  </w:style>
  <w:style w:type="character" w:customStyle="1" w:styleId="HTML-adresZnak">
    <w:name w:val="HTML - adres Znak"/>
    <w:basedOn w:val="Domylnaczcionkaakapitu"/>
    <w:link w:val="HTML-adres"/>
    <w:rsid w:val="00014566"/>
    <w:rPr>
      <w:rFonts w:eastAsiaTheme="minorEastAsia"/>
      <w:i/>
      <w:iCs/>
      <w:sz w:val="24"/>
    </w:rPr>
  </w:style>
  <w:style w:type="character" w:styleId="HTML-cytat">
    <w:name w:val="HTML Cite"/>
    <w:basedOn w:val="Domylnaczcionkaakapitu"/>
    <w:rsid w:val="00014566"/>
    <w:rPr>
      <w:i/>
      <w:iCs/>
    </w:rPr>
  </w:style>
  <w:style w:type="character" w:styleId="HTML-kod">
    <w:name w:val="HTML Code"/>
    <w:basedOn w:val="Domylnaczcionkaakapitu"/>
    <w:rsid w:val="00014566"/>
    <w:rPr>
      <w:rFonts w:ascii="Consolas" w:hAnsi="Consolas" w:cs="Consolas"/>
      <w:sz w:val="20"/>
      <w:szCs w:val="20"/>
    </w:rPr>
  </w:style>
  <w:style w:type="character" w:styleId="HTML-definicja">
    <w:name w:val="HTML Definition"/>
    <w:basedOn w:val="Domylnaczcionkaakapitu"/>
    <w:rsid w:val="00014566"/>
    <w:rPr>
      <w:i/>
      <w:iCs/>
    </w:rPr>
  </w:style>
  <w:style w:type="character" w:styleId="HTML-klawiatura">
    <w:name w:val="HTML Keyboard"/>
    <w:basedOn w:val="Domylnaczcionkaakapitu"/>
    <w:rsid w:val="00014566"/>
    <w:rPr>
      <w:rFonts w:ascii="Consolas" w:hAnsi="Consolas" w:cs="Consolas"/>
      <w:sz w:val="20"/>
      <w:szCs w:val="20"/>
    </w:rPr>
  </w:style>
  <w:style w:type="paragraph" w:styleId="HTML-wstpniesformatowany">
    <w:name w:val="HTML Preformatted"/>
    <w:basedOn w:val="Normalny"/>
    <w:link w:val="HTML-wstpniesformatowanyZnak"/>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rsid w:val="00014566"/>
    <w:rPr>
      <w:rFonts w:ascii="Consolas" w:eastAsiaTheme="minorEastAsia" w:hAnsi="Consolas" w:cs="Consolas"/>
      <w:sz w:val="20"/>
      <w:szCs w:val="20"/>
    </w:rPr>
  </w:style>
  <w:style w:type="character" w:styleId="HTML-przykad">
    <w:name w:val="HTML Sample"/>
    <w:basedOn w:val="Domylnaczcionkaakapitu"/>
    <w:rsid w:val="00014566"/>
    <w:rPr>
      <w:rFonts w:ascii="Consolas" w:hAnsi="Consolas" w:cs="Consolas"/>
      <w:sz w:val="24"/>
      <w:szCs w:val="24"/>
    </w:rPr>
  </w:style>
  <w:style w:type="character" w:styleId="HTML-staaszeroko">
    <w:name w:val="HTML Typewriter"/>
    <w:basedOn w:val="Domylnaczcionkaakapitu"/>
    <w:rsid w:val="00014566"/>
    <w:rPr>
      <w:rFonts w:ascii="Consolas" w:hAnsi="Consolas" w:cs="Consolas"/>
      <w:sz w:val="20"/>
      <w:szCs w:val="20"/>
    </w:rPr>
  </w:style>
  <w:style w:type="character" w:styleId="HTML-zmienna">
    <w:name w:val="HTML Variable"/>
    <w:basedOn w:val="Domylnaczcionkaakapitu"/>
    <w:rsid w:val="00014566"/>
    <w:rPr>
      <w:i/>
      <w:iCs/>
    </w:rPr>
  </w:style>
  <w:style w:type="paragraph" w:styleId="Indeks1">
    <w:name w:val="index 1"/>
    <w:basedOn w:val="Normalny"/>
    <w:next w:val="Normalny"/>
    <w:autoRedefine/>
    <w:semiHidden/>
    <w:rsid w:val="00014566"/>
    <w:pPr>
      <w:ind w:left="240" w:hanging="240"/>
    </w:pPr>
  </w:style>
  <w:style w:type="paragraph" w:styleId="Indeks2">
    <w:name w:val="index 2"/>
    <w:basedOn w:val="Normalny"/>
    <w:next w:val="Normalny"/>
    <w:autoRedefine/>
    <w:semiHidden/>
    <w:rsid w:val="00014566"/>
    <w:pPr>
      <w:ind w:left="480" w:hanging="240"/>
    </w:pPr>
  </w:style>
  <w:style w:type="paragraph" w:styleId="Indeks3">
    <w:name w:val="index 3"/>
    <w:basedOn w:val="Normalny"/>
    <w:next w:val="Normalny"/>
    <w:autoRedefine/>
    <w:semiHidden/>
    <w:rsid w:val="00014566"/>
    <w:pPr>
      <w:ind w:left="720" w:hanging="240"/>
    </w:pPr>
  </w:style>
  <w:style w:type="paragraph" w:styleId="Indeks4">
    <w:name w:val="index 4"/>
    <w:basedOn w:val="Normalny"/>
    <w:next w:val="Normalny"/>
    <w:autoRedefine/>
    <w:semiHidden/>
    <w:rsid w:val="00014566"/>
    <w:pPr>
      <w:ind w:left="960" w:hanging="240"/>
    </w:pPr>
  </w:style>
  <w:style w:type="paragraph" w:styleId="Indeks5">
    <w:name w:val="index 5"/>
    <w:basedOn w:val="Normalny"/>
    <w:next w:val="Normalny"/>
    <w:autoRedefine/>
    <w:semiHidden/>
    <w:rsid w:val="00014566"/>
    <w:pPr>
      <w:ind w:left="1200" w:hanging="240"/>
    </w:pPr>
  </w:style>
  <w:style w:type="paragraph" w:styleId="Indeks6">
    <w:name w:val="index 6"/>
    <w:basedOn w:val="Normalny"/>
    <w:next w:val="Normalny"/>
    <w:autoRedefine/>
    <w:semiHidden/>
    <w:rsid w:val="00014566"/>
    <w:pPr>
      <w:ind w:left="1440" w:hanging="240"/>
    </w:pPr>
  </w:style>
  <w:style w:type="paragraph" w:styleId="Indeks7">
    <w:name w:val="index 7"/>
    <w:basedOn w:val="Normalny"/>
    <w:next w:val="Normalny"/>
    <w:autoRedefine/>
    <w:semiHidden/>
    <w:rsid w:val="00014566"/>
    <w:pPr>
      <w:ind w:left="1680" w:hanging="240"/>
    </w:pPr>
  </w:style>
  <w:style w:type="paragraph" w:styleId="Indeks8">
    <w:name w:val="index 8"/>
    <w:basedOn w:val="Normalny"/>
    <w:next w:val="Normalny"/>
    <w:autoRedefine/>
    <w:semiHidden/>
    <w:rsid w:val="00014566"/>
    <w:pPr>
      <w:ind w:left="1920" w:hanging="240"/>
    </w:pPr>
  </w:style>
  <w:style w:type="paragraph" w:styleId="Indeks9">
    <w:name w:val="index 9"/>
    <w:basedOn w:val="Normalny"/>
    <w:next w:val="Normalny"/>
    <w:autoRedefine/>
    <w:semiHidden/>
    <w:rsid w:val="00014566"/>
    <w:pPr>
      <w:ind w:left="2160" w:hanging="240"/>
    </w:pPr>
  </w:style>
  <w:style w:type="paragraph" w:styleId="Nagwekindeksu">
    <w:name w:val="index heading"/>
    <w:basedOn w:val="Normalny"/>
    <w:next w:val="Indeks1"/>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rsid w:val="00014566"/>
  </w:style>
  <w:style w:type="paragraph" w:styleId="Lista">
    <w:name w:val="List"/>
    <w:basedOn w:val="Normalny"/>
    <w:rsid w:val="00014566"/>
    <w:pPr>
      <w:ind w:left="283" w:hanging="283"/>
      <w:contextualSpacing/>
    </w:pPr>
  </w:style>
  <w:style w:type="paragraph" w:styleId="Lista2">
    <w:name w:val="List 2"/>
    <w:basedOn w:val="Normalny"/>
    <w:rsid w:val="00014566"/>
    <w:pPr>
      <w:ind w:left="566" w:hanging="283"/>
      <w:contextualSpacing/>
    </w:pPr>
  </w:style>
  <w:style w:type="paragraph" w:styleId="Lista3">
    <w:name w:val="List 3"/>
    <w:basedOn w:val="Normalny"/>
    <w:rsid w:val="00014566"/>
    <w:pPr>
      <w:ind w:left="849" w:hanging="283"/>
      <w:contextualSpacing/>
    </w:pPr>
  </w:style>
  <w:style w:type="paragraph" w:styleId="Lista4">
    <w:name w:val="List 4"/>
    <w:basedOn w:val="Normalny"/>
    <w:rsid w:val="00014566"/>
    <w:pPr>
      <w:ind w:left="1132" w:hanging="283"/>
      <w:contextualSpacing/>
    </w:pPr>
  </w:style>
  <w:style w:type="paragraph" w:styleId="Lista5">
    <w:name w:val="List 5"/>
    <w:basedOn w:val="Normalny"/>
    <w:rsid w:val="00014566"/>
    <w:pPr>
      <w:ind w:left="1415" w:hanging="283"/>
      <w:contextualSpacing/>
    </w:pPr>
  </w:style>
  <w:style w:type="paragraph" w:styleId="Listapunktowana2">
    <w:name w:val="List Bullet 2"/>
    <w:basedOn w:val="Normalny"/>
    <w:rsid w:val="00014566"/>
    <w:pPr>
      <w:numPr>
        <w:numId w:val="12"/>
      </w:numPr>
      <w:contextualSpacing/>
    </w:pPr>
  </w:style>
  <w:style w:type="paragraph" w:styleId="Listapunktowana3">
    <w:name w:val="List Bullet 3"/>
    <w:basedOn w:val="Normalny"/>
    <w:rsid w:val="00014566"/>
    <w:pPr>
      <w:numPr>
        <w:numId w:val="13"/>
      </w:numPr>
      <w:contextualSpacing/>
    </w:pPr>
  </w:style>
  <w:style w:type="paragraph" w:styleId="Listapunktowana4">
    <w:name w:val="List Bullet 4"/>
    <w:basedOn w:val="Normalny"/>
    <w:rsid w:val="00014566"/>
    <w:pPr>
      <w:numPr>
        <w:numId w:val="14"/>
      </w:numPr>
      <w:contextualSpacing/>
    </w:pPr>
  </w:style>
  <w:style w:type="paragraph" w:styleId="Listapunktowana5">
    <w:name w:val="List Bullet 5"/>
    <w:basedOn w:val="Normalny"/>
    <w:rsid w:val="00014566"/>
    <w:pPr>
      <w:numPr>
        <w:numId w:val="15"/>
      </w:numPr>
      <w:contextualSpacing/>
    </w:pPr>
  </w:style>
  <w:style w:type="paragraph" w:styleId="Lista-kontynuacja">
    <w:name w:val="List Continue"/>
    <w:basedOn w:val="Normalny"/>
    <w:rsid w:val="00014566"/>
    <w:pPr>
      <w:spacing w:after="120"/>
      <w:ind w:left="283"/>
      <w:contextualSpacing/>
    </w:pPr>
  </w:style>
  <w:style w:type="paragraph" w:styleId="Lista-kontynuacja2">
    <w:name w:val="List Continue 2"/>
    <w:basedOn w:val="Normalny"/>
    <w:rsid w:val="00014566"/>
    <w:pPr>
      <w:spacing w:after="120"/>
      <w:ind w:left="566"/>
      <w:contextualSpacing/>
    </w:pPr>
  </w:style>
  <w:style w:type="paragraph" w:styleId="Lista-kontynuacja3">
    <w:name w:val="List Continue 3"/>
    <w:basedOn w:val="Normalny"/>
    <w:rsid w:val="00014566"/>
    <w:pPr>
      <w:spacing w:after="120"/>
      <w:ind w:left="849"/>
      <w:contextualSpacing/>
    </w:pPr>
  </w:style>
  <w:style w:type="paragraph" w:styleId="Lista-kontynuacja4">
    <w:name w:val="List Continue 4"/>
    <w:basedOn w:val="Normalny"/>
    <w:rsid w:val="00014566"/>
    <w:pPr>
      <w:spacing w:after="120"/>
      <w:ind w:left="1132"/>
      <w:contextualSpacing/>
    </w:pPr>
  </w:style>
  <w:style w:type="paragraph" w:styleId="Lista-kontynuacja5">
    <w:name w:val="List Continue 5"/>
    <w:basedOn w:val="Normalny"/>
    <w:rsid w:val="00014566"/>
    <w:pPr>
      <w:spacing w:after="120"/>
      <w:ind w:left="1415"/>
      <w:contextualSpacing/>
    </w:pPr>
  </w:style>
  <w:style w:type="paragraph" w:styleId="Listanumerowana">
    <w:name w:val="List Number"/>
    <w:basedOn w:val="Normalny"/>
    <w:rsid w:val="00014566"/>
    <w:pPr>
      <w:numPr>
        <w:numId w:val="16"/>
      </w:numPr>
      <w:contextualSpacing/>
    </w:pPr>
  </w:style>
  <w:style w:type="paragraph" w:styleId="Listanumerowana2">
    <w:name w:val="List Number 2"/>
    <w:basedOn w:val="Normalny"/>
    <w:rsid w:val="00014566"/>
    <w:pPr>
      <w:numPr>
        <w:numId w:val="17"/>
      </w:numPr>
      <w:contextualSpacing/>
    </w:pPr>
  </w:style>
  <w:style w:type="paragraph" w:styleId="Listanumerowana3">
    <w:name w:val="List Number 3"/>
    <w:basedOn w:val="Normalny"/>
    <w:rsid w:val="00014566"/>
    <w:pPr>
      <w:numPr>
        <w:numId w:val="18"/>
      </w:numPr>
      <w:contextualSpacing/>
    </w:pPr>
  </w:style>
  <w:style w:type="paragraph" w:styleId="Listanumerowana4">
    <w:name w:val="List Number 4"/>
    <w:basedOn w:val="Normalny"/>
    <w:rsid w:val="00014566"/>
    <w:pPr>
      <w:numPr>
        <w:numId w:val="19"/>
      </w:numPr>
      <w:contextualSpacing/>
    </w:pPr>
  </w:style>
  <w:style w:type="paragraph" w:styleId="Listanumerowana5">
    <w:name w:val="List Number 5"/>
    <w:basedOn w:val="Normalny"/>
    <w:rsid w:val="00014566"/>
    <w:pPr>
      <w:numPr>
        <w:numId w:val="20"/>
      </w:numPr>
      <w:contextualSpacing/>
    </w:pPr>
  </w:style>
  <w:style w:type="paragraph" w:styleId="Tekstmakra">
    <w:name w:val="macro"/>
    <w:link w:val="TekstmakraZnak"/>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rsid w:val="00014566"/>
    <w:rPr>
      <w:rFonts w:ascii="Times New Roman" w:hAnsi="Times New Roman" w:cs="Times New Roman"/>
      <w:szCs w:val="24"/>
    </w:rPr>
  </w:style>
  <w:style w:type="paragraph" w:styleId="Wcicienormalne">
    <w:name w:val="Normal Indent"/>
    <w:basedOn w:val="Normalny"/>
    <w:rsid w:val="00014566"/>
    <w:pPr>
      <w:ind w:left="720"/>
    </w:pPr>
  </w:style>
  <w:style w:type="paragraph" w:styleId="Nagweknotatki">
    <w:name w:val="Note Heading"/>
    <w:basedOn w:val="Normalny"/>
    <w:next w:val="Normalny"/>
    <w:link w:val="NagweknotatkiZnak"/>
    <w:rsid w:val="00014566"/>
  </w:style>
  <w:style w:type="character" w:customStyle="1" w:styleId="NagweknotatkiZnak">
    <w:name w:val="Nagłówek notatki Znak"/>
    <w:basedOn w:val="Domylnaczcionkaakapitu"/>
    <w:link w:val="Nagweknotatki"/>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rsid w:val="00014566"/>
    <w:rPr>
      <w:rFonts w:ascii="Consolas" w:hAnsi="Consolas" w:cs="Consolas"/>
      <w:sz w:val="21"/>
      <w:szCs w:val="21"/>
    </w:rPr>
  </w:style>
  <w:style w:type="character" w:customStyle="1" w:styleId="ZwykytekstZnak">
    <w:name w:val="Zwykły tekst Znak"/>
    <w:basedOn w:val="Domylnaczcionkaakapitu"/>
    <w:link w:val="Zwykytekst"/>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rsid w:val="00014566"/>
  </w:style>
  <w:style w:type="character" w:customStyle="1" w:styleId="ZwrotgrzecznociowyZnak">
    <w:name w:val="Zwrot grzecznościowy Znak"/>
    <w:basedOn w:val="Domylnaczcionkaakapitu"/>
    <w:link w:val="Zwrotgrzecznociowy"/>
    <w:rsid w:val="00014566"/>
    <w:rPr>
      <w:rFonts w:eastAsiaTheme="minorEastAsia"/>
      <w:sz w:val="24"/>
    </w:rPr>
  </w:style>
  <w:style w:type="paragraph" w:styleId="Podpis">
    <w:name w:val="Signature"/>
    <w:basedOn w:val="Normalny"/>
    <w:link w:val="PodpisZnak"/>
    <w:rsid w:val="00014566"/>
    <w:pPr>
      <w:ind w:left="4252"/>
    </w:pPr>
  </w:style>
  <w:style w:type="character" w:customStyle="1" w:styleId="PodpisZnak">
    <w:name w:val="Podpis Znak"/>
    <w:basedOn w:val="Domylnaczcionkaakapitu"/>
    <w:link w:val="Podpis"/>
    <w:rsid w:val="00014566"/>
    <w:rPr>
      <w:rFonts w:eastAsiaTheme="minorEastAsia"/>
      <w:sz w:val="24"/>
    </w:rPr>
  </w:style>
  <w:style w:type="table" w:styleId="Tabela-Efekty3W1">
    <w:name w:val="Table 3D effects 1"/>
    <w:basedOn w:val="Standardowy"/>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semiHidden/>
    <w:rsid w:val="00014566"/>
    <w:pPr>
      <w:ind w:left="240" w:hanging="240"/>
    </w:pPr>
  </w:style>
  <w:style w:type="paragraph" w:styleId="Spisilustracji">
    <w:name w:val="table of figures"/>
    <w:basedOn w:val="Normalny"/>
    <w:next w:val="Normalny"/>
    <w:semiHidden/>
    <w:rsid w:val="00014566"/>
  </w:style>
  <w:style w:type="table" w:styleId="Tabela-Profesjonalny">
    <w:name w:val="Table Professional"/>
    <w:basedOn w:val="Standardowy"/>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semiHidden/>
    <w:rsid w:val="00014566"/>
    <w:pPr>
      <w:spacing w:after="100"/>
      <w:ind w:left="1200"/>
    </w:pPr>
  </w:style>
  <w:style w:type="paragraph" w:styleId="Spistreci7">
    <w:name w:val="toc 7"/>
    <w:basedOn w:val="Normalny"/>
    <w:next w:val="Normalny"/>
    <w:autoRedefine/>
    <w:semiHidden/>
    <w:rsid w:val="00014566"/>
    <w:pPr>
      <w:spacing w:after="100"/>
      <w:ind w:left="1440"/>
    </w:pPr>
  </w:style>
  <w:style w:type="paragraph" w:styleId="Spistreci8">
    <w:name w:val="toc 8"/>
    <w:basedOn w:val="Normalny"/>
    <w:next w:val="Normalny"/>
    <w:autoRedefine/>
    <w:semiHidden/>
    <w:rsid w:val="00014566"/>
    <w:pPr>
      <w:spacing w:after="100"/>
      <w:ind w:left="1680"/>
    </w:pPr>
  </w:style>
  <w:style w:type="paragraph" w:styleId="Spistreci9">
    <w:name w:val="toc 9"/>
    <w:basedOn w:val="Normalny"/>
    <w:next w:val="Normalny"/>
    <w:autoRedefine/>
    <w:semiHidden/>
    <w:rsid w:val="00014566"/>
    <w:pPr>
      <w:spacing w:after="100"/>
      <w:ind w:left="1920"/>
    </w:pPr>
  </w:style>
  <w:style w:type="character" w:customStyle="1" w:styleId="JuParaCar">
    <w:name w:val="Ju_Para Car"/>
    <w:link w:val="ECHRPara"/>
    <w:rsid w:val="00765A7C"/>
    <w:rPr>
      <w:rFonts w:eastAsiaTheme="minorEastAsia"/>
      <w:sz w:val="24"/>
    </w:rPr>
  </w:style>
  <w:style w:type="character" w:customStyle="1" w:styleId="JuHIRomanChar">
    <w:name w:val="Ju_H_I_Roman Char"/>
    <w:link w:val="ECHRHeading1"/>
    <w:rsid w:val="00765A7C"/>
    <w:rPr>
      <w:rFonts w:asciiTheme="majorHAnsi" w:eastAsiaTheme="majorEastAsia" w:hAnsiTheme="majorHAnsi" w:cstheme="majorBidi"/>
      <w:bCs/>
      <w:sz w:val="24"/>
      <w:szCs w:val="28"/>
    </w:rPr>
  </w:style>
  <w:style w:type="character" w:customStyle="1" w:styleId="JuJudgesChar">
    <w:name w:val="Ju_Judges Char"/>
    <w:link w:val="ECHRDecisionBody"/>
    <w:rsid w:val="00765A7C"/>
    <w:rPr>
      <w:rFonts w:eastAsiaTheme="minorEastAsia"/>
      <w:sz w:val="24"/>
    </w:rPr>
  </w:style>
  <w:style w:type="paragraph" w:customStyle="1" w:styleId="ECHRFooter">
    <w:name w:val="ECHR_Footer"/>
    <w:aliases w:val="Footer_ECHR"/>
    <w:basedOn w:val="Stopka"/>
    <w:uiPriority w:val="57"/>
    <w:semiHidden/>
    <w:rsid w:val="00765A7C"/>
    <w:pPr>
      <w:tabs>
        <w:tab w:val="clear" w:pos="4536"/>
        <w:tab w:val="clear" w:pos="9696"/>
        <w:tab w:val="center" w:pos="3686"/>
        <w:tab w:val="right" w:pos="7371"/>
      </w:tabs>
      <w:suppressAutoHyphens/>
      <w:ind w:left="0" w:right="0"/>
      <w:jc w:val="left"/>
    </w:pPr>
    <w:rPr>
      <w:rFonts w:ascii="Times New Roman" w:eastAsia="Times New Roman" w:hAnsi="Times New Roman" w:cs="Times New Roman"/>
      <w:sz w:val="8"/>
      <w:szCs w:val="20"/>
      <w:lang w:val="fr-FR" w:eastAsia="fr-FR"/>
    </w:rPr>
  </w:style>
  <w:style w:type="paragraph" w:customStyle="1" w:styleId="ECHRFooterLine">
    <w:name w:val="ECHR_Footer_Line"/>
    <w:aliases w:val="Footer_Line"/>
    <w:basedOn w:val="Normalny"/>
    <w:next w:val="ECHRFooter"/>
    <w:uiPriority w:val="57"/>
    <w:semiHidden/>
    <w:rsid w:val="00765A7C"/>
    <w:pPr>
      <w:pBdr>
        <w:top w:val="single" w:sz="6" w:space="1" w:color="5F5F5F"/>
      </w:pBdr>
      <w:tabs>
        <w:tab w:val="center" w:pos="4536"/>
        <w:tab w:val="right" w:pos="9696"/>
      </w:tabs>
      <w:suppressAutoHyphens/>
      <w:ind w:left="-680" w:right="-680"/>
      <w:jc w:val="left"/>
    </w:pPr>
    <w:rPr>
      <w:rFonts w:ascii="Times New Roman" w:eastAsia="Times New Roman" w:hAnsi="Times New Roman" w:cs="Times New Roman"/>
      <w:color w:val="5F5F5F"/>
      <w:szCs w:val="20"/>
      <w:lang w:val="fr-FR" w:eastAsia="fr-FR"/>
    </w:rPr>
  </w:style>
  <w:style w:type="paragraph" w:customStyle="1" w:styleId="JuAppQuestion">
    <w:name w:val="Ju_App_Question"/>
    <w:basedOn w:val="Listapunktowana"/>
    <w:rsid w:val="00765A7C"/>
    <w:pPr>
      <w:numPr>
        <w:numId w:val="23"/>
      </w:numPr>
      <w:jc w:val="left"/>
    </w:pPr>
    <w:rPr>
      <w:rFonts w:ascii="Times New Roman" w:eastAsia="Times New Roman" w:hAnsi="Times New Roman" w:cs="Times New Roman"/>
      <w:b/>
      <w:color w:val="333333"/>
      <w:szCs w:val="20"/>
      <w:lang w:val="en-GB" w:eastAsia="fr-FR"/>
    </w:rPr>
  </w:style>
  <w:style w:type="paragraph" w:customStyle="1" w:styleId="ECHRTitleCentre2">
    <w:name w:val="ECHR_Title_Centre_2"/>
    <w:aliases w:val="Dec_H_Case"/>
    <w:basedOn w:val="DecHTitle"/>
    <w:next w:val="ECHRPara"/>
    <w:rsid w:val="00765A7C"/>
    <w:rPr>
      <w:sz w:val="24"/>
    </w:rPr>
  </w:style>
  <w:style w:type="paragraph" w:customStyle="1" w:styleId="JuTitle">
    <w:name w:val="Ju_Title"/>
    <w:basedOn w:val="Normalny"/>
    <w:next w:val="ECHRPara"/>
    <w:uiPriority w:val="3"/>
    <w:qFormat/>
    <w:rsid w:val="00765A7C"/>
    <w:pPr>
      <w:suppressAutoHyphens/>
      <w:spacing w:before="720" w:after="240"/>
      <w:jc w:val="center"/>
      <w:outlineLvl w:val="0"/>
    </w:pPr>
    <w:rPr>
      <w:rFonts w:asciiTheme="majorHAnsi" w:eastAsia="Times New Roman" w:hAnsiTheme="majorHAnsi" w:cs="Times New Roman"/>
      <w:b/>
      <w:caps/>
      <w:szCs w:val="20"/>
      <w:lang w:val="fr-FR" w:eastAsia="fr-FR"/>
    </w:rPr>
  </w:style>
  <w:style w:type="paragraph" w:customStyle="1" w:styleId="DecHTitle">
    <w:name w:val="Dec_H_Title"/>
    <w:basedOn w:val="NormalTimesNewRoman"/>
    <w:rsid w:val="00765A7C"/>
    <w:pPr>
      <w:spacing w:after="240"/>
      <w:jc w:val="center"/>
      <w:outlineLvl w:val="0"/>
    </w:pPr>
    <w:rPr>
      <w:sz w:val="28"/>
    </w:rPr>
  </w:style>
  <w:style w:type="paragraph" w:customStyle="1" w:styleId="DecList">
    <w:name w:val="Dec_List"/>
    <w:basedOn w:val="NormalTimesNewRoman"/>
    <w:rsid w:val="00765A7C"/>
    <w:pPr>
      <w:spacing w:before="240"/>
      <w:ind w:left="284"/>
      <w:jc w:val="both"/>
    </w:pPr>
  </w:style>
  <w:style w:type="paragraph" w:customStyle="1" w:styleId="JuParaChar">
    <w:name w:val="Ju_Para Char"/>
    <w:basedOn w:val="Normalny"/>
    <w:link w:val="JuParaCharChar"/>
    <w:rsid w:val="00765A7C"/>
    <w:pPr>
      <w:suppressAutoHyphens/>
      <w:ind w:firstLine="284"/>
      <w:jc w:val="left"/>
    </w:pPr>
    <w:rPr>
      <w:rFonts w:ascii="Times New Roman" w:eastAsia="Times New Roman" w:hAnsi="Times New Roman" w:cs="Times New Roman"/>
      <w:szCs w:val="20"/>
      <w:lang w:val="fr-FR" w:eastAsia="fr-FR"/>
    </w:rPr>
  </w:style>
  <w:style w:type="character" w:customStyle="1" w:styleId="JuParaCharChar">
    <w:name w:val="Ju_Para Char Char"/>
    <w:link w:val="JuParaChar"/>
    <w:rsid w:val="00765A7C"/>
    <w:rPr>
      <w:rFonts w:ascii="Times New Roman" w:eastAsia="Times New Roman" w:hAnsi="Times New Roman" w:cs="Times New Roman"/>
      <w:sz w:val="24"/>
      <w:szCs w:val="20"/>
      <w:lang w:val="fr-FR" w:eastAsia="fr-FR"/>
    </w:rPr>
  </w:style>
  <w:style w:type="character" w:customStyle="1" w:styleId="sb8d990e2">
    <w:name w:val="sb8d990e2"/>
    <w:rsid w:val="00765A7C"/>
  </w:style>
  <w:style w:type="character" w:customStyle="1" w:styleId="wordhighlighted">
    <w:name w:val="wordhighlighted"/>
    <w:rsid w:val="00765A7C"/>
  </w:style>
  <w:style w:type="character" w:customStyle="1" w:styleId="textcolumn">
    <w:name w:val="textcolumn"/>
    <w:basedOn w:val="Domylnaczcionkaakapitu"/>
    <w:rsid w:val="00765A7C"/>
    <w:rPr>
      <w:rFonts w:ascii="Times New Roman" w:hAnsi="Times New Roman" w:cs="Times New Roman"/>
    </w:rPr>
  </w:style>
  <w:style w:type="character" w:customStyle="1" w:styleId="JuHAChar">
    <w:name w:val="Ju_H_A Char"/>
    <w:basedOn w:val="Domylnaczcionkaakapitu"/>
    <w:link w:val="ECHRHeading2"/>
    <w:rsid w:val="00765A7C"/>
    <w:rPr>
      <w:rFonts w:asciiTheme="majorHAnsi" w:eastAsiaTheme="majorEastAsia" w:hAnsiTheme="majorHAnsi" w:cstheme="majorBidi"/>
      <w:b/>
      <w:bCs/>
      <w:sz w:val="24"/>
      <w:szCs w:val="26"/>
    </w:rPr>
  </w:style>
  <w:style w:type="paragraph" w:customStyle="1" w:styleId="s30eec3f8">
    <w:name w:val="s30eec3f8"/>
    <w:basedOn w:val="Normalny"/>
    <w:rsid w:val="00765A7C"/>
    <w:pPr>
      <w:suppressAutoHyphens/>
      <w:spacing w:before="100" w:beforeAutospacing="1" w:after="100" w:afterAutospacing="1"/>
      <w:jc w:val="left"/>
    </w:pPr>
    <w:rPr>
      <w:rFonts w:ascii="Times New Roman" w:eastAsia="Times New Roman" w:hAnsi="Times New Roman" w:cs="Times New Roman"/>
      <w:szCs w:val="24"/>
      <w:lang w:val="fr-FR" w:eastAsia="fr-FR"/>
    </w:rPr>
  </w:style>
  <w:style w:type="character" w:customStyle="1" w:styleId="sdfc50a6a">
    <w:name w:val="sdfc50a6a"/>
    <w:basedOn w:val="Domylnaczcionkaakapitu"/>
    <w:rsid w:val="00765A7C"/>
    <w:rPr>
      <w:rFonts w:ascii="Times New Roman" w:hAnsi="Times New Roman" w:cs="Times New Roman"/>
    </w:rPr>
  </w:style>
  <w:style w:type="character" w:customStyle="1" w:styleId="s6b621b36">
    <w:name w:val="s6b621b36"/>
    <w:rsid w:val="00765A7C"/>
  </w:style>
  <w:style w:type="character" w:customStyle="1" w:styleId="sea881cdf">
    <w:name w:val="sea881cdf"/>
    <w:rsid w:val="00765A7C"/>
  </w:style>
  <w:style w:type="character" w:customStyle="1" w:styleId="s7d2086b4">
    <w:name w:val="s7d2086b4"/>
    <w:basedOn w:val="Domylnaczcionkaakapitu"/>
    <w:rsid w:val="00765A7C"/>
    <w:rPr>
      <w:rFonts w:ascii="Times New Roman" w:hAnsi="Times New Roman" w:cs="Times New Roman"/>
    </w:rPr>
  </w:style>
  <w:style w:type="paragraph" w:styleId="Poprawka">
    <w:name w:val="Revision"/>
    <w:hidden/>
    <w:uiPriority w:val="99"/>
    <w:semiHidden/>
    <w:rsid w:val="00765A7C"/>
    <w:rPr>
      <w:rFonts w:eastAsiaTheme="minorEastAsia"/>
      <w:sz w:val="24"/>
    </w:rPr>
  </w:style>
  <w:style w:type="paragraph" w:customStyle="1" w:styleId="PubJuPara">
    <w:name w:val="Pub_Ju_Para"/>
    <w:basedOn w:val="NormalTimesNewRoman"/>
    <w:rsid w:val="00765A7C"/>
    <w:pPr>
      <w:ind w:firstLine="284"/>
      <w:jc w:val="both"/>
    </w:pPr>
  </w:style>
  <w:style w:type="paragraph" w:customStyle="1" w:styleId="PubJuQuot">
    <w:name w:val="Pub_Ju_Quot"/>
    <w:basedOn w:val="NormalTimesNewRoman"/>
    <w:rsid w:val="00765A7C"/>
    <w:pPr>
      <w:spacing w:before="120" w:after="120"/>
      <w:ind w:left="403" w:firstLine="176"/>
      <w:jc w:val="both"/>
    </w:pPr>
    <w:rPr>
      <w:sz w:val="20"/>
    </w:rPr>
  </w:style>
  <w:style w:type="paragraph" w:customStyle="1" w:styleId="PubListArticleSubject">
    <w:name w:val="Pub_List_ArticleSubject"/>
    <w:basedOn w:val="NormalTimesNewRoman"/>
    <w:rsid w:val="00765A7C"/>
    <w:pPr>
      <w:tabs>
        <w:tab w:val="left" w:pos="2977"/>
      </w:tabs>
      <w:ind w:left="2977" w:hanging="2977"/>
    </w:pPr>
  </w:style>
  <w:style w:type="paragraph" w:customStyle="1" w:styleId="OpiH10">
    <w:name w:val="Opi_H_1."/>
    <w:basedOn w:val="OpiHA"/>
    <w:next w:val="OpiPara"/>
    <w:rsid w:val="00765A7C"/>
    <w:pPr>
      <w:tabs>
        <w:tab w:val="clear" w:pos="357"/>
      </w:tabs>
      <w:spacing w:before="240" w:after="120"/>
      <w:ind w:left="635"/>
      <w:outlineLvl w:val="2"/>
    </w:pPr>
    <w:rPr>
      <w:rFonts w:ascii="Times New Roman" w:eastAsia="Times New Roman" w:hAnsi="Times New Roman" w:cs="Times New Roman"/>
      <w:i/>
      <w:szCs w:val="20"/>
      <w:lang w:val="fr-FR" w:eastAsia="fr-FR"/>
    </w:rPr>
  </w:style>
  <w:style w:type="paragraph" w:customStyle="1" w:styleId="PubListCaseNo">
    <w:name w:val="Pub_List_CaseNo"/>
    <w:basedOn w:val="NormalTimesNewRoman"/>
    <w:rsid w:val="00765A7C"/>
    <w:pPr>
      <w:tabs>
        <w:tab w:val="left" w:pos="1276"/>
      </w:tabs>
      <w:spacing w:line="288" w:lineRule="auto"/>
      <w:ind w:left="1276" w:hanging="1276"/>
    </w:pPr>
  </w:style>
  <w:style w:type="paragraph" w:customStyle="1" w:styleId="SuCoverTitle1">
    <w:name w:val="Su_Cover_Title1"/>
    <w:basedOn w:val="NormalTimesNewRoman"/>
    <w:next w:val="SuCoverTitle2"/>
    <w:rsid w:val="00765A7C"/>
    <w:pPr>
      <w:spacing w:before="2500"/>
      <w:jc w:val="center"/>
    </w:pPr>
    <w:rPr>
      <w:sz w:val="22"/>
    </w:rPr>
  </w:style>
  <w:style w:type="paragraph" w:customStyle="1" w:styleId="SuCoverTitle2">
    <w:name w:val="Su_Cover_Title2"/>
    <w:basedOn w:val="SuCoverTitle1"/>
    <w:next w:val="Normalny"/>
    <w:rsid w:val="00765A7C"/>
    <w:pPr>
      <w:spacing w:before="240"/>
    </w:pPr>
    <w:rPr>
      <w:sz w:val="18"/>
    </w:rPr>
  </w:style>
  <w:style w:type="paragraph" w:customStyle="1" w:styleId="SuPara">
    <w:name w:val="Su_Para"/>
    <w:basedOn w:val="SuKeywords"/>
    <w:rsid w:val="00765A7C"/>
    <w:pPr>
      <w:spacing w:before="0" w:after="0"/>
    </w:pPr>
    <w:rPr>
      <w:i w:val="0"/>
    </w:rPr>
  </w:style>
  <w:style w:type="paragraph" w:customStyle="1" w:styleId="SuKeywords">
    <w:name w:val="Su_Keywords"/>
    <w:basedOn w:val="SuHHead"/>
    <w:rsid w:val="00765A7C"/>
    <w:pPr>
      <w:spacing w:before="120"/>
    </w:pPr>
    <w:rPr>
      <w:b w:val="0"/>
      <w:i/>
    </w:rPr>
  </w:style>
  <w:style w:type="paragraph" w:customStyle="1" w:styleId="SuHHead">
    <w:name w:val="Su_H_Head"/>
    <w:basedOn w:val="SuSubject"/>
    <w:rsid w:val="00765A7C"/>
    <w:pPr>
      <w:spacing w:after="120"/>
    </w:pPr>
  </w:style>
  <w:style w:type="paragraph" w:customStyle="1" w:styleId="SuSubject">
    <w:name w:val="Su_Subject"/>
    <w:basedOn w:val="SuSummary"/>
    <w:rsid w:val="00765A7C"/>
    <w:pPr>
      <w:spacing w:before="360"/>
      <w:jc w:val="both"/>
    </w:pPr>
    <w:rPr>
      <w:b/>
      <w:sz w:val="22"/>
    </w:rPr>
  </w:style>
  <w:style w:type="paragraph" w:customStyle="1" w:styleId="SuSummary">
    <w:name w:val="Su_Summary"/>
    <w:basedOn w:val="NormalTimesNewRoman"/>
    <w:next w:val="SuSubject"/>
    <w:rsid w:val="00765A7C"/>
    <w:pPr>
      <w:spacing w:after="240"/>
      <w:jc w:val="center"/>
    </w:pPr>
  </w:style>
  <w:style w:type="paragraph" w:customStyle="1" w:styleId="PubListCases">
    <w:name w:val="Pub_List_Cases"/>
    <w:basedOn w:val="NormalTimesNewRoman"/>
    <w:rsid w:val="00765A7C"/>
    <w:pPr>
      <w:spacing w:line="288" w:lineRule="auto"/>
    </w:pPr>
  </w:style>
  <w:style w:type="paragraph" w:customStyle="1" w:styleId="PTextIntro">
    <w:name w:val="P_Text_Intro"/>
    <w:basedOn w:val="NormalTimesNewRoman"/>
    <w:rsid w:val="00765A7C"/>
    <w:pPr>
      <w:jc w:val="both"/>
    </w:pPr>
    <w:rPr>
      <w:i/>
      <w:sz w:val="20"/>
    </w:rPr>
  </w:style>
  <w:style w:type="paragraph" w:customStyle="1" w:styleId="PubTitleCover">
    <w:name w:val="Pub_Title_Cover"/>
    <w:basedOn w:val="NormalTimesNewRoman"/>
    <w:rsid w:val="00765A7C"/>
    <w:pPr>
      <w:spacing w:before="2500"/>
      <w:jc w:val="center"/>
    </w:pPr>
    <w:rPr>
      <w:b/>
      <w:smallCaps/>
      <w:sz w:val="30"/>
    </w:rPr>
  </w:style>
  <w:style w:type="paragraph" w:customStyle="1" w:styleId="PubTitle1Alpha">
    <w:name w:val="Pub_Title1_Alpha"/>
    <w:basedOn w:val="NormalTimesNewRoman"/>
    <w:next w:val="Normalny"/>
    <w:rsid w:val="00765A7C"/>
    <w:pPr>
      <w:spacing w:after="120"/>
      <w:jc w:val="center"/>
    </w:pPr>
    <w:rPr>
      <w:b/>
      <w:smallCaps/>
      <w:sz w:val="30"/>
    </w:rPr>
  </w:style>
  <w:style w:type="paragraph" w:customStyle="1" w:styleId="PubTitle1IndexArticle">
    <w:name w:val="Pub_Title1_IndexArticle"/>
    <w:basedOn w:val="NormalTimesNewRoman"/>
    <w:rsid w:val="00765A7C"/>
    <w:pPr>
      <w:spacing w:after="120"/>
      <w:jc w:val="center"/>
    </w:pPr>
    <w:rPr>
      <w:b/>
      <w:smallCaps/>
      <w:sz w:val="30"/>
    </w:rPr>
  </w:style>
  <w:style w:type="paragraph" w:customStyle="1" w:styleId="PubTitle1IndexKey">
    <w:name w:val="Pub_Title1_IndexKey"/>
    <w:basedOn w:val="NormalTimesNewRoman"/>
    <w:rsid w:val="00765A7C"/>
    <w:pPr>
      <w:spacing w:after="600"/>
      <w:jc w:val="center"/>
    </w:pPr>
    <w:rPr>
      <w:b/>
      <w:smallCaps/>
      <w:sz w:val="30"/>
    </w:rPr>
  </w:style>
  <w:style w:type="paragraph" w:customStyle="1" w:styleId="PubTitle1Num">
    <w:name w:val="Pub_Title1_Num"/>
    <w:basedOn w:val="NormalTimesNewRoman"/>
    <w:next w:val="PubListCaseNo"/>
    <w:rsid w:val="00765A7C"/>
    <w:pPr>
      <w:spacing w:after="720"/>
      <w:jc w:val="center"/>
    </w:pPr>
    <w:rPr>
      <w:b/>
      <w:smallCaps/>
      <w:sz w:val="30"/>
    </w:rPr>
  </w:style>
  <w:style w:type="paragraph" w:customStyle="1" w:styleId="PubTitle2Country">
    <w:name w:val="Pub_Title2_Country"/>
    <w:basedOn w:val="NormalTimesNewRoman"/>
    <w:next w:val="PubListCases"/>
    <w:rsid w:val="00765A7C"/>
    <w:pPr>
      <w:keepNext/>
      <w:keepLines/>
      <w:spacing w:before="600" w:after="360"/>
    </w:pPr>
    <w:rPr>
      <w:b/>
    </w:rPr>
  </w:style>
  <w:style w:type="paragraph" w:customStyle="1" w:styleId="PubTitle2Letters">
    <w:name w:val="Pub_Title2_Letters"/>
    <w:basedOn w:val="NormalTimesNewRoman"/>
    <w:next w:val="PubListCases"/>
    <w:rsid w:val="00765A7C"/>
    <w:pPr>
      <w:keepNext/>
      <w:keepLines/>
      <w:spacing w:before="600" w:after="360"/>
    </w:pPr>
    <w:rPr>
      <w:b/>
      <w:sz w:val="28"/>
    </w:rPr>
  </w:style>
  <w:style w:type="paragraph" w:customStyle="1" w:styleId="PubTitle2Part">
    <w:name w:val="Pub_Title2_Part"/>
    <w:basedOn w:val="NormalTimesNewRoman"/>
    <w:rsid w:val="00765A7C"/>
    <w:pPr>
      <w:keepNext/>
      <w:keepLines/>
      <w:spacing w:before="600" w:after="240"/>
      <w:jc w:val="center"/>
    </w:pPr>
    <w:rPr>
      <w:b/>
      <w:caps/>
    </w:rPr>
  </w:style>
  <w:style w:type="paragraph" w:customStyle="1" w:styleId="PubTitle3Article">
    <w:name w:val="Pub_Title3_Article"/>
    <w:basedOn w:val="NormalTimesNewRoman"/>
    <w:rsid w:val="00765A7C"/>
    <w:pPr>
      <w:keepNext/>
      <w:keepLines/>
      <w:spacing w:before="360" w:after="120"/>
      <w:jc w:val="center"/>
    </w:pPr>
    <w:rPr>
      <w:b/>
      <w:smallCaps/>
      <w:sz w:val="22"/>
    </w:rPr>
  </w:style>
  <w:style w:type="paragraph" w:customStyle="1" w:styleId="PubTitle4ArticleSub">
    <w:name w:val="Pub_Title4_Article_Sub"/>
    <w:basedOn w:val="PubTitle3Article"/>
    <w:rsid w:val="00765A7C"/>
    <w:pPr>
      <w:spacing w:before="240"/>
    </w:pPr>
    <w:rPr>
      <w:smallCaps w:val="0"/>
      <w:sz w:val="20"/>
    </w:rPr>
  </w:style>
  <w:style w:type="paragraph" w:customStyle="1" w:styleId="PubTitle5Subject">
    <w:name w:val="Pub_Title5_Subject"/>
    <w:basedOn w:val="NormalTimesNewRoman"/>
    <w:rsid w:val="00765A7C"/>
    <w:pPr>
      <w:keepNext/>
      <w:keepLines/>
      <w:spacing w:before="240" w:after="120"/>
      <w:jc w:val="both"/>
    </w:pPr>
    <w:rPr>
      <w:b/>
      <w:i/>
    </w:rPr>
  </w:style>
  <w:style w:type="paragraph" w:customStyle="1" w:styleId="PubTitle6SubjectSub">
    <w:name w:val="Pub_Title6_Subject_Sub"/>
    <w:basedOn w:val="NormalTimesNewRoman"/>
    <w:rsid w:val="00765A7C"/>
    <w:pPr>
      <w:keepNext/>
      <w:keepLines/>
      <w:spacing w:before="240" w:after="120"/>
      <w:ind w:left="284"/>
      <w:jc w:val="both"/>
    </w:pPr>
    <w:rPr>
      <w:b/>
      <w:sz w:val="20"/>
    </w:rPr>
  </w:style>
  <w:style w:type="paragraph" w:customStyle="1" w:styleId="PubTitle7CaseName">
    <w:name w:val="Pub_Title7_CaseName"/>
    <w:basedOn w:val="NormalTimesNewRoman"/>
    <w:rsid w:val="00765A7C"/>
    <w:pPr>
      <w:keepLines/>
      <w:spacing w:after="240"/>
      <w:jc w:val="right"/>
    </w:pPr>
    <w:rPr>
      <w:sz w:val="22"/>
    </w:rPr>
  </w:style>
  <w:style w:type="paragraph" w:customStyle="1" w:styleId="NormalTimesNewRoman">
    <w:name w:val="Normal_TimesNewRoman"/>
    <w:rsid w:val="00765A7C"/>
    <w:rPr>
      <w:rFonts w:ascii="Times New Roman" w:eastAsia="Times New Roman" w:hAnsi="Times New Roman" w:cs="Times New Roman"/>
      <w:sz w:val="24"/>
      <w:szCs w:val="20"/>
      <w:lang w:val="fr-FR" w:eastAsia="fr-FR"/>
    </w:rPr>
  </w:style>
  <w:style w:type="character" w:customStyle="1" w:styleId="DefaultTimesNewRoman">
    <w:name w:val="Default_TimesNewRoman"/>
    <w:basedOn w:val="Domylnaczcionkaakapitu"/>
    <w:rsid w:val="00765A7C"/>
    <w:rPr>
      <w:rFonts w:ascii="Times New Roman" w:hAnsi="Times New Roman" w:cs="Times New Roman"/>
    </w:rPr>
  </w:style>
  <w:style w:type="paragraph" w:customStyle="1" w:styleId="jupara">
    <w:name w:val="jupara"/>
    <w:basedOn w:val="Normalny"/>
    <w:rsid w:val="00765A7C"/>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765A7C"/>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lsdException w:name="No List" w:uiPriority="99"/>
    <w:lsdException w:name="Table Grid" w:semiHidden="0" w:unhideWhenUsed="0"/>
    <w:lsdException w:name="Placeholder Text" w:uiPriority="99" w:unhideWhenUsed="0"/>
    <w:lsdException w:name="No Spacing" w:semiHidden="0"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99" w:unhideWhenUsed="0"/>
    <w:lsdException w:name="Medium Grid 3" w:semiHidden="0" w:uiPriority="99" w:unhideWhenUsed="0"/>
    <w:lsdException w:name="Dark List" w:semiHidden="0" w:uiPriority="99" w:unhideWhenUsed="0"/>
    <w:lsdException w:name="Colorful Shading" w:semiHidden="0" w:uiPriority="99" w:unhideWhenUsed="0"/>
    <w:lsdException w:name="Colorful List" w:semiHidden="0" w:uiPriority="99" w:unhideWhenUsed="0"/>
    <w:lsdException w:name="Colorful Grid" w:semiHidden="0" w:uiPriority="99" w:unhideWhenUsed="0"/>
    <w:lsdException w:name="Light Shading Accent 1" w:semiHidden="0" w:uiPriority="99" w:unhideWhenUsed="0"/>
    <w:lsdException w:name="Light List Accent 1" w:semiHidden="0" w:uiPriority="99" w:unhideWhenUsed="0"/>
    <w:lsdException w:name="Light Grid Accent 1" w:semiHidden="0" w:uiPriority="99" w:unhideWhenUsed="0"/>
    <w:lsdException w:name="Medium Shading 1 Accent 1" w:semiHidden="0" w:uiPriority="99" w:unhideWhenUsed="0"/>
    <w:lsdException w:name="Medium Shading 2 Accent 1" w:semiHidden="0" w:uiPriority="99" w:unhideWhenUsed="0"/>
    <w:lsdException w:name="Medium List 1 Accent 1" w:semiHidden="0" w:uiPriority="99" w:unhideWhenUsed="0"/>
    <w:lsdException w:name="Revision" w:uiPriority="99" w:unhideWhenUsed="0"/>
    <w:lsdException w:name="List Paragraph" w:semiHidden="0" w:uiPriority="99" w:unhideWhenUsed="0" w:qFormat="1"/>
    <w:lsdException w:name="Quote" w:semiHidden="0" w:uiPriority="99" w:unhideWhenUsed="0" w:qFormat="1"/>
    <w:lsdException w:name="Intense Quote" w:semiHidden="0" w:uiPriority="99" w:unhideWhenUsed="0" w:qFormat="1"/>
    <w:lsdException w:name="Medium List 2 Accent 1" w:semiHidden="0" w:uiPriority="99" w:unhideWhenUsed="0"/>
    <w:lsdException w:name="Medium Grid 1 Accent 1" w:semiHidden="0" w:uiPriority="99" w:unhideWhenUsed="0"/>
    <w:lsdException w:name="Medium Grid 2 Accent 1" w:semiHidden="0" w:uiPriority="99" w:unhideWhenUsed="0"/>
    <w:lsdException w:name="Medium Grid 3 Accent 1" w:semiHidden="0" w:uiPriority="99" w:unhideWhenUsed="0"/>
    <w:lsdException w:name="Dark List Accent 1" w:semiHidden="0" w:uiPriority="99" w:unhideWhenUsed="0"/>
    <w:lsdException w:name="Colorful Shading Accent 1" w:semiHidden="0" w:uiPriority="99" w:unhideWhenUsed="0"/>
    <w:lsdException w:name="Colorful List Accent 1" w:semiHidden="0" w:uiPriority="99" w:unhideWhenUsed="0"/>
    <w:lsdException w:name="Colorful Grid Accent 1" w:semiHidden="0" w:uiPriority="99" w:unhideWhenUsed="0"/>
    <w:lsdException w:name="Light Shading Accent 2" w:semiHidden="0" w:uiPriority="99" w:unhideWhenUsed="0"/>
    <w:lsdException w:name="Light List Accent 2" w:semiHidden="0" w:uiPriority="99" w:unhideWhenUsed="0"/>
    <w:lsdException w:name="Light Grid Accent 2" w:semiHidden="0" w:uiPriority="99" w:unhideWhenUsed="0"/>
    <w:lsdException w:name="Medium Shading 1 Accent 2" w:semiHidden="0" w:uiPriority="99" w:unhideWhenUsed="0"/>
    <w:lsdException w:name="Medium Shading 2 Accent 2" w:semiHidden="0" w:uiPriority="99" w:unhideWhenUsed="0"/>
    <w:lsdException w:name="Medium List 1 Accent 2" w:semiHidden="0" w:uiPriority="99" w:unhideWhenUsed="0"/>
    <w:lsdException w:name="Medium List 2 Accent 2" w:semiHidden="0" w:uiPriority="99" w:unhideWhenUsed="0"/>
    <w:lsdException w:name="Medium Grid 1 Accent 2" w:semiHidden="0" w:uiPriority="99" w:unhideWhenUsed="0"/>
    <w:lsdException w:name="Medium Grid 2 Accent 2" w:semiHidden="0" w:uiPriority="99" w:unhideWhenUsed="0"/>
    <w:lsdException w:name="Medium Grid 3 Accent 2" w:semiHidden="0" w:uiPriority="99" w:unhideWhenUsed="0"/>
    <w:lsdException w:name="Dark List Accent 2" w:semiHidden="0" w:uiPriority="99" w:unhideWhenUsed="0"/>
    <w:lsdException w:name="Colorful Shading Accent 2" w:semiHidden="0" w:uiPriority="99" w:unhideWhenUsed="0"/>
    <w:lsdException w:name="Colorful List Accent 2" w:semiHidden="0" w:uiPriority="99" w:unhideWhenUsed="0"/>
    <w:lsdException w:name="Colorful Grid Accent 2" w:semiHidden="0" w:uiPriority="99" w:unhideWhenUsed="0"/>
    <w:lsdException w:name="Light Shading Accent 3" w:semiHidden="0" w:uiPriority="99" w:unhideWhenUsed="0"/>
    <w:lsdException w:name="Light List Accent 3" w:semiHidden="0" w:uiPriority="99" w:unhideWhenUsed="0"/>
    <w:lsdException w:name="Light Grid Accent 3" w:semiHidden="0" w:uiPriority="99" w:unhideWhenUsed="0"/>
    <w:lsdException w:name="Medium Shading 1 Accent 3" w:semiHidden="0" w:uiPriority="99" w:unhideWhenUsed="0"/>
    <w:lsdException w:name="Medium Shading 2 Accent 3" w:semiHidden="0" w:uiPriority="99" w:unhideWhenUsed="0"/>
    <w:lsdException w:name="Medium List 1 Accent 3" w:semiHidden="0" w:uiPriority="99" w:unhideWhenUsed="0"/>
    <w:lsdException w:name="Medium List 2 Accent 3" w:semiHidden="0" w:uiPriority="99" w:unhideWhenUsed="0"/>
    <w:lsdException w:name="Medium Grid 1 Accent 3" w:semiHidden="0" w:uiPriority="99" w:unhideWhenUsed="0"/>
    <w:lsdException w:name="Medium Grid 2 Accent 3" w:semiHidden="0" w:uiPriority="99" w:unhideWhenUsed="0"/>
    <w:lsdException w:name="Medium Grid 3 Accent 3" w:semiHidden="0" w:uiPriority="99" w:unhideWhenUsed="0"/>
    <w:lsdException w:name="Dark List Accent 3" w:semiHidden="0" w:uiPriority="99" w:unhideWhenUsed="0"/>
    <w:lsdException w:name="Colorful Shading Accent 3" w:semiHidden="0" w:uiPriority="99" w:unhideWhenUsed="0"/>
    <w:lsdException w:name="Colorful List Accent 3" w:semiHidden="0" w:uiPriority="99" w:unhideWhenUsed="0"/>
    <w:lsdException w:name="Colorful Grid Accent 3" w:semiHidden="0" w:uiPriority="99" w:unhideWhenUsed="0"/>
    <w:lsdException w:name="Light Shading Accent 4" w:semiHidden="0" w:uiPriority="99" w:unhideWhenUsed="0"/>
    <w:lsdException w:name="Light List Accent 4" w:semiHidden="0" w:uiPriority="99" w:unhideWhenUsed="0"/>
    <w:lsdException w:name="Light Grid Accent 4" w:semiHidden="0" w:uiPriority="99" w:unhideWhenUsed="0"/>
    <w:lsdException w:name="Medium Shading 1 Accent 4" w:semiHidden="0" w:uiPriority="99" w:unhideWhenUsed="0"/>
    <w:lsdException w:name="Medium Shading 2 Accent 4" w:semiHidden="0" w:uiPriority="99" w:unhideWhenUsed="0"/>
    <w:lsdException w:name="Medium List 1 Accent 4" w:semiHidden="0" w:uiPriority="99" w:unhideWhenUsed="0"/>
    <w:lsdException w:name="Medium List 2 Accent 4" w:semiHidden="0" w:uiPriority="99" w:unhideWhenUsed="0"/>
    <w:lsdException w:name="Medium Grid 1 Accent 4" w:semiHidden="0" w:uiPriority="99" w:unhideWhenUsed="0"/>
    <w:lsdException w:name="Medium Grid 2 Accent 4" w:semiHidden="0" w:uiPriority="99" w:unhideWhenUsed="0"/>
    <w:lsdException w:name="Medium Grid 3 Accent 4" w:semiHidden="0" w:uiPriority="99" w:unhideWhenUsed="0"/>
    <w:lsdException w:name="Dark List Accent 4" w:semiHidden="0" w:uiPriority="99" w:unhideWhenUsed="0"/>
    <w:lsdException w:name="Colorful Shading Accent 4" w:semiHidden="0" w:uiPriority="99" w:unhideWhenUsed="0"/>
    <w:lsdException w:name="Colorful List Accent 4" w:semiHidden="0" w:uiPriority="99" w:unhideWhenUsed="0"/>
    <w:lsdException w:name="Colorful Grid Accent 4" w:semiHidden="0" w:uiPriority="99" w:unhideWhenUsed="0"/>
    <w:lsdException w:name="Light Shading Accent 5" w:semiHidden="0" w:uiPriority="99" w:unhideWhenUsed="0"/>
    <w:lsdException w:name="Light List Accent 5" w:semiHidden="0" w:uiPriority="99" w:unhideWhenUsed="0"/>
    <w:lsdException w:name="Light Grid Accent 5" w:semiHidden="0" w:uiPriority="99" w:unhideWhenUsed="0"/>
    <w:lsdException w:name="Medium Shading 1 Accent 5" w:semiHidden="0" w:uiPriority="99" w:unhideWhenUsed="0"/>
    <w:lsdException w:name="Medium Shading 2 Accent 5" w:semiHidden="0" w:uiPriority="99" w:unhideWhenUsed="0"/>
    <w:lsdException w:name="Medium List 1 Accent 5" w:semiHidden="0" w:uiPriority="99" w:unhideWhenUsed="0"/>
    <w:lsdException w:name="Medium List 2 Accent 5" w:semiHidden="0" w:uiPriority="99" w:unhideWhenUsed="0"/>
    <w:lsdException w:name="Medium Grid 1 Accent 5" w:semiHidden="0" w:uiPriority="99" w:unhideWhenUsed="0"/>
    <w:lsdException w:name="Medium Grid 2 Accent 5" w:semiHidden="0" w:uiPriority="99" w:unhideWhenUsed="0"/>
    <w:lsdException w:name="Medium Grid 3 Accent 5" w:semiHidden="0" w:uiPriority="99" w:unhideWhenUsed="0"/>
    <w:lsdException w:name="Dark List Accent 5" w:semiHidden="0" w:uiPriority="99" w:unhideWhenUsed="0"/>
    <w:lsdException w:name="Colorful Shading Accent 5" w:semiHidden="0" w:uiPriority="99" w:unhideWhenUsed="0"/>
    <w:lsdException w:name="Colorful List Accent 5" w:semiHidden="0" w:uiPriority="99" w:unhideWhenUsed="0"/>
    <w:lsdException w:name="Colorful Grid Accent 5" w:semiHidden="0" w:uiPriority="99" w:unhideWhenUsed="0"/>
    <w:lsdException w:name="Light Shading Accent 6" w:semiHidden="0" w:uiPriority="99" w:unhideWhenUsed="0"/>
    <w:lsdException w:name="Light List Accent 6" w:semiHidden="0" w:uiPriority="99" w:unhideWhenUsed="0"/>
    <w:lsdException w:name="Light Grid Accent 6" w:semiHidden="0" w:uiPriority="99" w:unhideWhenUsed="0"/>
    <w:lsdException w:name="Medium Shading 1 Accent 6" w:semiHidden="0" w:uiPriority="99" w:unhideWhenUsed="0"/>
    <w:lsdException w:name="Medium Shading 2 Accent 6" w:semiHidden="0" w:uiPriority="99" w:unhideWhenUsed="0"/>
    <w:lsdException w:name="Medium List 1 Accent 6" w:semiHidden="0" w:uiPriority="99" w:unhideWhenUsed="0"/>
    <w:lsdException w:name="Medium List 2 Accent 6" w:semiHidden="0" w:uiPriority="99" w:unhideWhenUsed="0"/>
    <w:lsdException w:name="Medium Grid 1 Accent 6" w:semiHidden="0" w:uiPriority="99" w:unhideWhenUsed="0"/>
    <w:lsdException w:name="Medium Grid 2 Accent 6" w:semiHidden="0" w:uiPriority="99" w:unhideWhenUsed="0"/>
    <w:lsdException w:name="Medium Grid 3 Accent 6" w:semiHidden="0" w:uiPriority="99" w:unhideWhenUsed="0"/>
    <w:lsdException w:name="Dark List Accent 6" w:semiHidden="0" w:uiPriority="99" w:unhideWhenUsed="0"/>
    <w:lsdException w:name="Colorful Shading Accent 6" w:semiHidden="0" w:uiPriority="99" w:unhideWhenUsed="0"/>
    <w:lsdException w:name="Colorful List Accent 6" w:semiHidden="0" w:uiPriority="99" w:unhideWhenUsed="0"/>
    <w:lsdException w:name="Colorful Grid Accent 6" w:semiHidden="0" w:uiPriority="99" w:unhideWhenUsed="0"/>
    <w:lsdException w:name="Subtle Emphasis" w:semiHidden="0" w:uiPriority="99" w:unhideWhenUsed="0" w:qFormat="1"/>
    <w:lsdException w:name="Intense Emphasis" w:semiHidden="0" w:uiPriority="99" w:unhideWhenUsed="0" w:qFormat="1"/>
    <w:lsdException w:name="Subtle Reference" w:semiHidden="0" w:uiPriority="99" w:unhideWhenUsed="0" w:qFormat="1"/>
    <w:lsdException w:name="Intense Reference" w:semiHidden="0" w:uiPriority="99" w:unhideWhenUsed="0" w:qFormat="1"/>
    <w:lsdException w:name="Book Title" w:semiHidden="0" w:uiPriority="99" w:unhideWhenUsed="0" w:qFormat="1"/>
    <w:lsdException w:name="Bibliography" w:uiPriority="99"/>
    <w:lsdException w:name="TOC Heading" w:uiPriority="99" w:qFormat="1"/>
  </w:latentStyles>
  <w:style w:type="paragraph" w:default="1" w:styleId="Normalny">
    <w:name w:val="Normal"/>
    <w:semiHidden/>
    <w:rsid w:val="005E2A43"/>
    <w:pPr>
      <w:jc w:val="both"/>
    </w:pPr>
    <w:rPr>
      <w:rFonts w:eastAsiaTheme="minorEastAsia"/>
      <w:sz w:val="24"/>
    </w:rPr>
  </w:style>
  <w:style w:type="paragraph" w:styleId="Nagwek1">
    <w:name w:val="heading 1"/>
    <w:basedOn w:val="Normalny"/>
    <w:next w:val="Normalny"/>
    <w:link w:val="Nagwek1Znak"/>
    <w:qFormat/>
    <w:rsid w:val="00941747"/>
    <w:pPr>
      <w:numPr>
        <w:numId w:val="11"/>
      </w:numPr>
      <w:spacing w:before="480"/>
      <w:contextualSpacing/>
      <w:jc w:val="left"/>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qFormat/>
    <w:rsid w:val="00941747"/>
    <w:pPr>
      <w:numPr>
        <w:ilvl w:val="1"/>
        <w:numId w:val="11"/>
      </w:numPr>
      <w:spacing w:before="200"/>
      <w:jc w:val="left"/>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qFormat/>
    <w:rsid w:val="00941747"/>
    <w:pPr>
      <w:numPr>
        <w:ilvl w:val="2"/>
        <w:numId w:val="11"/>
      </w:numPr>
      <w:spacing w:before="200" w:line="271" w:lineRule="auto"/>
      <w:jc w:val="left"/>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qFormat/>
    <w:rsid w:val="00941747"/>
    <w:pPr>
      <w:numPr>
        <w:ilvl w:val="3"/>
        <w:numId w:val="11"/>
      </w:numPr>
      <w:spacing w:before="200"/>
      <w:jc w:val="left"/>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qFormat/>
    <w:rsid w:val="0001456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qFormat/>
    <w:rsid w:val="00941747"/>
    <w:pPr>
      <w:numPr>
        <w:ilvl w:val="5"/>
        <w:numId w:val="11"/>
      </w:numPr>
      <w:spacing w:line="271" w:lineRule="auto"/>
      <w:jc w:val="left"/>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qFormat/>
    <w:rsid w:val="0001456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qFormat/>
    <w:rsid w:val="0001456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qFormat/>
    <w:rsid w:val="0001456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semiHidden/>
    <w:rsid w:val="00941747"/>
    <w:rPr>
      <w:rFonts w:ascii="Tahoma" w:hAnsi="Tahoma" w:cs="Tahoma"/>
      <w:sz w:val="16"/>
      <w:szCs w:val="16"/>
    </w:rPr>
  </w:style>
  <w:style w:type="character" w:customStyle="1" w:styleId="TekstdymkaZnak">
    <w:name w:val="Tekst dymka Znak"/>
    <w:basedOn w:val="Domylnaczcionkaakapitu"/>
    <w:link w:val="Tekstdymka"/>
    <w:semiHidden/>
    <w:rsid w:val="00A671F8"/>
    <w:rPr>
      <w:rFonts w:ascii="Tahoma" w:eastAsiaTheme="minorEastAsia" w:hAnsi="Tahoma" w:cs="Tahoma"/>
      <w:sz w:val="16"/>
      <w:szCs w:val="16"/>
    </w:rPr>
  </w:style>
  <w:style w:type="character" w:styleId="Tytuksiki">
    <w:name w:val="Book Title"/>
    <w:uiPriority w:val="99"/>
    <w:semiHidden/>
    <w:qFormat/>
    <w:rsid w:val="00014566"/>
    <w:rPr>
      <w:i/>
      <w:iCs/>
      <w:smallCaps/>
      <w:spacing w:val="5"/>
    </w:rPr>
  </w:style>
  <w:style w:type="paragraph" w:customStyle="1" w:styleId="ECHRHeader">
    <w:name w:val="ECHR_Header"/>
    <w:aliases w:val="Ju_Header"/>
    <w:basedOn w:val="Nagwek"/>
    <w:qFormat/>
    <w:rsid w:val="00014566"/>
    <w:pPr>
      <w:tabs>
        <w:tab w:val="clear" w:pos="4536"/>
        <w:tab w:val="clear" w:pos="9696"/>
        <w:tab w:val="center" w:pos="3686"/>
        <w:tab w:val="right" w:pos="7371"/>
      </w:tabs>
      <w:ind w:left="0" w:right="0"/>
      <w:jc w:val="left"/>
    </w:pPr>
    <w:rPr>
      <w:rFonts w:eastAsiaTheme="minorHAnsi"/>
      <w:sz w:val="18"/>
    </w:rPr>
  </w:style>
  <w:style w:type="paragraph" w:customStyle="1" w:styleId="OpiPara">
    <w:name w:val="Opi_Para"/>
    <w:basedOn w:val="Normalny"/>
    <w:qFormat/>
    <w:rsid w:val="00C621C2"/>
    <w:pPr>
      <w:ind w:firstLine="284"/>
    </w:pPr>
  </w:style>
  <w:style w:type="character" w:styleId="Pogrubienie">
    <w:name w:val="Strong"/>
    <w:qFormat/>
    <w:rsid w:val="00014566"/>
    <w:rPr>
      <w:b/>
      <w:bCs/>
    </w:rPr>
  </w:style>
  <w:style w:type="paragraph" w:styleId="Bezodstpw">
    <w:name w:val="No Spacing"/>
    <w:basedOn w:val="Normalny"/>
    <w:link w:val="BezodstpwZnak"/>
    <w:semiHidden/>
    <w:qFormat/>
    <w:rsid w:val="00014566"/>
    <w:rPr>
      <w:sz w:val="22"/>
    </w:rPr>
  </w:style>
  <w:style w:type="character" w:customStyle="1" w:styleId="BezodstpwZnak">
    <w:name w:val="Bez odstępów Znak"/>
    <w:basedOn w:val="Domylnaczcionkaakapitu"/>
    <w:link w:val="Bezodstpw"/>
    <w:semiHidden/>
    <w:rsid w:val="00014566"/>
    <w:rPr>
      <w:rFonts w:eastAsiaTheme="minorEastAsia"/>
    </w:rPr>
  </w:style>
  <w:style w:type="paragraph" w:customStyle="1" w:styleId="JuParaSub">
    <w:name w:val="Ju_Para_Sub"/>
    <w:basedOn w:val="Normalny"/>
    <w:qFormat/>
    <w:rsid w:val="00C621C2"/>
    <w:pPr>
      <w:ind w:left="284" w:firstLine="284"/>
    </w:pPr>
  </w:style>
  <w:style w:type="paragraph" w:customStyle="1" w:styleId="OpiParaSub">
    <w:name w:val="Opi_Para_Sub"/>
    <w:basedOn w:val="JuParaSub"/>
    <w:qFormat/>
    <w:rsid w:val="00014566"/>
  </w:style>
  <w:style w:type="paragraph" w:customStyle="1" w:styleId="OpiQuot">
    <w:name w:val="Opi_Quot"/>
    <w:basedOn w:val="ECHRParaQuote"/>
    <w:qFormat/>
    <w:rsid w:val="00014566"/>
  </w:style>
  <w:style w:type="paragraph" w:customStyle="1" w:styleId="OpiQuotSub">
    <w:name w:val="Opi_Quot_Sub"/>
    <w:basedOn w:val="JuQuotSub"/>
    <w:qFormat/>
    <w:rsid w:val="00014566"/>
  </w:style>
  <w:style w:type="paragraph" w:customStyle="1" w:styleId="ECHRTitleCentre3">
    <w:name w:val="ECHR_Title_Centre_3"/>
    <w:aliases w:val="Ju_H_Article"/>
    <w:basedOn w:val="Normalny"/>
    <w:next w:val="ECHRParaQuote"/>
    <w:qFormat/>
    <w:rsid w:val="0001456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qFormat/>
    <w:rsid w:val="00014566"/>
    <w:pPr>
      <w:keepNext/>
      <w:keepLines/>
      <w:spacing w:after="240"/>
      <w:jc w:val="center"/>
      <w:outlineLvl w:val="0"/>
    </w:pPr>
    <w:rPr>
      <w:rFonts w:asciiTheme="majorHAnsi" w:hAnsiTheme="majorHAnsi"/>
      <w:sz w:val="28"/>
    </w:rPr>
  </w:style>
  <w:style w:type="paragraph" w:customStyle="1" w:styleId="JuQuotSub">
    <w:name w:val="Ju_Quot_Sub"/>
    <w:basedOn w:val="ECHRParaQuote"/>
    <w:qFormat/>
    <w:rsid w:val="00014566"/>
    <w:pPr>
      <w:ind w:left="567"/>
    </w:pPr>
  </w:style>
  <w:style w:type="paragraph" w:customStyle="1" w:styleId="JuInitialled">
    <w:name w:val="Ju_Initialled"/>
    <w:basedOn w:val="Normalny"/>
    <w:qFormat/>
    <w:rsid w:val="00014566"/>
    <w:pPr>
      <w:tabs>
        <w:tab w:val="center" w:pos="6407"/>
      </w:tabs>
      <w:spacing w:before="720"/>
      <w:jc w:val="right"/>
    </w:pPr>
  </w:style>
  <w:style w:type="paragraph" w:customStyle="1" w:styleId="OpiHA">
    <w:name w:val="Opi_H_A"/>
    <w:basedOn w:val="ECHRHeading1"/>
    <w:next w:val="OpiPara"/>
    <w:qFormat/>
    <w:rsid w:val="00014566"/>
    <w:pPr>
      <w:outlineLvl w:val="1"/>
    </w:pPr>
    <w:rPr>
      <w:bCs w:val="0"/>
    </w:rPr>
  </w:style>
  <w:style w:type="character" w:customStyle="1" w:styleId="JUNAMES">
    <w:name w:val="JU_NAMES"/>
    <w:uiPriority w:val="17"/>
    <w:qFormat/>
    <w:rsid w:val="00014566"/>
    <w:rPr>
      <w:caps w:val="0"/>
      <w:smallCaps/>
    </w:rPr>
  </w:style>
  <w:style w:type="paragraph" w:customStyle="1" w:styleId="OpiTranslation">
    <w:name w:val="Opi_Translation"/>
    <w:basedOn w:val="Normalny"/>
    <w:next w:val="OpiPara"/>
    <w:qFormat/>
    <w:rsid w:val="00014566"/>
    <w:pPr>
      <w:jc w:val="center"/>
      <w:outlineLvl w:val="0"/>
    </w:pPr>
    <w:rPr>
      <w:i/>
    </w:rPr>
  </w:style>
  <w:style w:type="paragraph" w:styleId="Tytu">
    <w:name w:val="Title"/>
    <w:basedOn w:val="Normalny"/>
    <w:next w:val="Normalny"/>
    <w:link w:val="TytuZnak"/>
    <w:qFormat/>
    <w:rsid w:val="0001456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rsid w:val="0001456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Normalny"/>
    <w:qFormat/>
    <w:rsid w:val="00014566"/>
    <w:pPr>
      <w:keepNext/>
      <w:keepLines/>
      <w:numPr>
        <w:ilvl w:val="0"/>
        <w:numId w:val="0"/>
      </w:numPr>
      <w:tabs>
        <w:tab w:val="left" w:pos="731"/>
      </w:tabs>
      <w:spacing w:before="240" w:after="120" w:line="240" w:lineRule="auto"/>
      <w:ind w:left="732" w:hanging="301"/>
      <w:jc w:val="both"/>
    </w:pPr>
    <w:rPr>
      <w:b w:val="0"/>
      <w:i/>
      <w:color w:val="auto"/>
    </w:rPr>
  </w:style>
  <w:style w:type="paragraph" w:customStyle="1" w:styleId="ECHRHeading4">
    <w:name w:val="ECHR_Heading_4"/>
    <w:aliases w:val="Ju_H_a"/>
    <w:basedOn w:val="Nagwek4"/>
    <w:next w:val="Normalny"/>
    <w:qFormat/>
    <w:rsid w:val="00014566"/>
    <w:pPr>
      <w:keepNext/>
      <w:keepLines/>
      <w:numPr>
        <w:ilvl w:val="0"/>
        <w:numId w:val="0"/>
      </w:numPr>
      <w:tabs>
        <w:tab w:val="left" w:pos="975"/>
      </w:tabs>
      <w:spacing w:before="240" w:after="120"/>
      <w:ind w:left="975" w:hanging="340"/>
      <w:jc w:val="both"/>
    </w:pPr>
    <w:rPr>
      <w:i w:val="0"/>
      <w:color w:val="auto"/>
      <w:sz w:val="20"/>
    </w:rPr>
  </w:style>
  <w:style w:type="paragraph" w:customStyle="1" w:styleId="ECHRHeading5">
    <w:name w:val="ECHR_Heading_5"/>
    <w:aliases w:val="Ju_H_i"/>
    <w:basedOn w:val="Nagwek5"/>
    <w:next w:val="Normalny"/>
    <w:qFormat/>
    <w:rsid w:val="0001456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Normalny"/>
    <w:qFormat/>
    <w:rsid w:val="00014566"/>
    <w:pPr>
      <w:keepNext/>
      <w:keepLines/>
      <w:numPr>
        <w:ilvl w:val="0"/>
        <w:numId w:val="0"/>
      </w:numPr>
      <w:tabs>
        <w:tab w:val="left" w:pos="1372"/>
      </w:tabs>
      <w:spacing w:before="240" w:after="120" w:line="240" w:lineRule="auto"/>
      <w:ind w:left="1373" w:hanging="335"/>
      <w:jc w:val="both"/>
    </w:pPr>
    <w:rPr>
      <w:b w:val="0"/>
      <w:color w:val="auto"/>
      <w:sz w:val="20"/>
    </w:rPr>
  </w:style>
  <w:style w:type="paragraph" w:customStyle="1" w:styleId="ECHRHeading7">
    <w:name w:val="ECHR_Heading_7"/>
    <w:aliases w:val="Ju_H_–"/>
    <w:basedOn w:val="Nagwek7"/>
    <w:next w:val="Normalny"/>
    <w:qFormat/>
    <w:rsid w:val="00014566"/>
    <w:pPr>
      <w:keepNext/>
      <w:keepLines/>
      <w:spacing w:before="240" w:after="120"/>
      <w:ind w:left="1236"/>
    </w:pPr>
    <w:rPr>
      <w:sz w:val="20"/>
    </w:rPr>
  </w:style>
  <w:style w:type="paragraph" w:customStyle="1" w:styleId="OpiH1">
    <w:name w:val="Opi_H_1"/>
    <w:basedOn w:val="ECHRHeading2"/>
    <w:uiPriority w:val="42"/>
    <w:qFormat/>
    <w:rsid w:val="00014566"/>
    <w:pPr>
      <w:ind w:left="635" w:hanging="357"/>
      <w:outlineLvl w:val="2"/>
    </w:pPr>
  </w:style>
  <w:style w:type="paragraph" w:customStyle="1" w:styleId="OpiHa0">
    <w:name w:val="Opi_H_a"/>
    <w:basedOn w:val="ECHRHeading3"/>
    <w:qFormat/>
    <w:rsid w:val="00014566"/>
    <w:pPr>
      <w:ind w:left="833" w:hanging="357"/>
      <w:outlineLvl w:val="3"/>
    </w:pPr>
    <w:rPr>
      <w:b/>
      <w:i w:val="0"/>
      <w:sz w:val="20"/>
    </w:rPr>
  </w:style>
  <w:style w:type="paragraph" w:customStyle="1" w:styleId="OpiHi">
    <w:name w:val="Opi_H_i"/>
    <w:basedOn w:val="ECHRHeading4"/>
    <w:qFormat/>
    <w:rsid w:val="00014566"/>
    <w:pPr>
      <w:ind w:left="1037" w:hanging="357"/>
      <w:outlineLvl w:val="4"/>
    </w:pPr>
    <w:rPr>
      <w:b w:val="0"/>
      <w:i/>
    </w:rPr>
  </w:style>
  <w:style w:type="paragraph" w:styleId="Nagwek">
    <w:name w:val="header"/>
    <w:basedOn w:val="Normalny"/>
    <w:link w:val="NagwekZnak"/>
    <w:rsid w:val="00941747"/>
    <w:pPr>
      <w:tabs>
        <w:tab w:val="center" w:pos="4536"/>
        <w:tab w:val="right" w:pos="9696"/>
      </w:tabs>
      <w:ind w:left="-680" w:right="-680"/>
    </w:pPr>
  </w:style>
  <w:style w:type="character" w:customStyle="1" w:styleId="NagwekZnak">
    <w:name w:val="Nagłówek Znak"/>
    <w:basedOn w:val="Domylnaczcionkaakapitu"/>
    <w:link w:val="Nagwek"/>
    <w:rsid w:val="008D4752"/>
  </w:style>
  <w:style w:type="character" w:customStyle="1" w:styleId="Nagwek1Znak">
    <w:name w:val="Nagłówek 1 Znak"/>
    <w:basedOn w:val="Domylnaczcionkaakapitu"/>
    <w:link w:val="Nagwek1"/>
    <w:rsid w:val="00A671F8"/>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Normalny"/>
    <w:link w:val="JuHIRomanChar"/>
    <w:qFormat/>
    <w:rsid w:val="00014566"/>
    <w:pPr>
      <w:keepNext/>
      <w:keepLines/>
      <w:numPr>
        <w:numId w:val="0"/>
      </w:numPr>
      <w:tabs>
        <w:tab w:val="left" w:pos="357"/>
      </w:tabs>
      <w:spacing w:before="360" w:after="240"/>
      <w:ind w:left="357" w:hanging="357"/>
      <w:contextualSpacing w:val="0"/>
      <w:jc w:val="both"/>
    </w:pPr>
    <w:rPr>
      <w:b w:val="0"/>
      <w:color w:val="auto"/>
      <w:sz w:val="24"/>
    </w:rPr>
  </w:style>
  <w:style w:type="paragraph" w:customStyle="1" w:styleId="ECHRHeading2">
    <w:name w:val="ECHR_Heading_2"/>
    <w:aliases w:val="Ju_H_A"/>
    <w:basedOn w:val="Nagwek2"/>
    <w:next w:val="Normalny"/>
    <w:link w:val="JuHAChar"/>
    <w:qFormat/>
    <w:rsid w:val="00014566"/>
    <w:pPr>
      <w:keepNext/>
      <w:keepLines/>
      <w:numPr>
        <w:ilvl w:val="0"/>
        <w:numId w:val="0"/>
      </w:numPr>
      <w:tabs>
        <w:tab w:val="left" w:pos="584"/>
      </w:tabs>
      <w:spacing w:before="360" w:after="240"/>
      <w:ind w:left="584" w:hanging="352"/>
      <w:jc w:val="both"/>
    </w:pPr>
    <w:rPr>
      <w:color w:val="auto"/>
      <w:sz w:val="24"/>
    </w:rPr>
  </w:style>
  <w:style w:type="character" w:customStyle="1" w:styleId="Nagwek2Znak">
    <w:name w:val="Nagłówek 2 Znak"/>
    <w:basedOn w:val="Domylnaczcionkaakapitu"/>
    <w:link w:val="Nagwek2"/>
    <w:rsid w:val="00A671F8"/>
    <w:rPr>
      <w:rFonts w:asciiTheme="majorHAnsi" w:eastAsiaTheme="majorEastAsia" w:hAnsiTheme="majorHAnsi" w:cstheme="majorBidi"/>
      <w:b/>
      <w:bCs/>
      <w:color w:val="4D4D4D"/>
      <w:sz w:val="26"/>
      <w:szCs w:val="26"/>
    </w:rPr>
  </w:style>
  <w:style w:type="paragraph" w:customStyle="1" w:styleId="DummyStyle">
    <w:name w:val="Dummy_Style"/>
    <w:basedOn w:val="Normalny"/>
    <w:semiHidden/>
    <w:qFormat/>
    <w:rsid w:val="00014566"/>
    <w:rPr>
      <w:color w:val="00B050"/>
    </w:rPr>
  </w:style>
  <w:style w:type="paragraph" w:customStyle="1" w:styleId="JuCase">
    <w:name w:val="Ju_Case"/>
    <w:basedOn w:val="Normalny"/>
    <w:next w:val="Normalny"/>
    <w:rsid w:val="00D60D87"/>
    <w:pPr>
      <w:ind w:firstLine="284"/>
    </w:pPr>
    <w:rPr>
      <w:b/>
    </w:rPr>
  </w:style>
  <w:style w:type="character" w:customStyle="1" w:styleId="Nagwek3Znak">
    <w:name w:val="Nagłówek 3 Znak"/>
    <w:basedOn w:val="Domylnaczcionkaakapitu"/>
    <w:link w:val="Nagwek3"/>
    <w:rsid w:val="00A671F8"/>
    <w:rPr>
      <w:rFonts w:asciiTheme="majorHAnsi" w:eastAsiaTheme="majorEastAsia" w:hAnsiTheme="majorHAnsi" w:cstheme="majorBidi"/>
      <w:b/>
      <w:bCs/>
      <w:color w:val="5F5F5F"/>
    </w:rPr>
  </w:style>
  <w:style w:type="character" w:customStyle="1" w:styleId="Nagwek4Znak">
    <w:name w:val="Nagłówek 4 Znak"/>
    <w:basedOn w:val="Domylnaczcionkaakapitu"/>
    <w:link w:val="Nagwek4"/>
    <w:rsid w:val="00A671F8"/>
    <w:rPr>
      <w:rFonts w:asciiTheme="majorHAnsi" w:eastAsiaTheme="majorEastAsia" w:hAnsiTheme="majorHAnsi" w:cstheme="majorBidi"/>
      <w:b/>
      <w:bCs/>
      <w:i/>
      <w:iCs/>
      <w:color w:val="777777"/>
    </w:rPr>
  </w:style>
  <w:style w:type="character" w:customStyle="1" w:styleId="Nagwek5Znak">
    <w:name w:val="Nagłówek 5 Znak"/>
    <w:basedOn w:val="Domylnaczcionkaakapitu"/>
    <w:link w:val="Nagwek5"/>
    <w:rsid w:val="00014566"/>
    <w:rPr>
      <w:rFonts w:asciiTheme="majorHAnsi" w:eastAsiaTheme="majorEastAsia" w:hAnsiTheme="majorHAnsi" w:cstheme="majorBidi"/>
      <w:b/>
      <w:bCs/>
      <w:color w:val="808080"/>
    </w:rPr>
  </w:style>
  <w:style w:type="character" w:styleId="Wyrnieniedelikatne">
    <w:name w:val="Subtle Emphasis"/>
    <w:uiPriority w:val="99"/>
    <w:semiHidden/>
    <w:qFormat/>
    <w:rsid w:val="0001456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Normalny"/>
    <w:qFormat/>
    <w:rsid w:val="00014566"/>
    <w:pPr>
      <w:keepNext/>
      <w:keepLines/>
      <w:spacing w:before="720" w:after="240"/>
      <w:outlineLvl w:val="0"/>
    </w:pPr>
    <w:rPr>
      <w:rFonts w:asciiTheme="majorHAnsi" w:hAnsiTheme="majorHAnsi"/>
      <w:sz w:val="28"/>
    </w:rPr>
  </w:style>
  <w:style w:type="character" w:styleId="Uwydatnienie">
    <w:name w:val="Emphasis"/>
    <w:qFormat/>
    <w:rsid w:val="00014566"/>
    <w:rPr>
      <w:b/>
      <w:bCs/>
      <w:i/>
      <w:iCs/>
      <w:spacing w:val="10"/>
      <w:bdr w:val="none" w:sz="0" w:space="0" w:color="auto"/>
      <w:shd w:val="clear" w:color="auto" w:fill="auto"/>
    </w:rPr>
  </w:style>
  <w:style w:type="paragraph" w:styleId="Stopka">
    <w:name w:val="footer"/>
    <w:basedOn w:val="Normalny"/>
    <w:link w:val="StopkaZnak"/>
    <w:rsid w:val="00941747"/>
    <w:pPr>
      <w:tabs>
        <w:tab w:val="center" w:pos="4536"/>
        <w:tab w:val="right" w:pos="9696"/>
      </w:tabs>
      <w:ind w:left="-680" w:right="-680"/>
    </w:pPr>
  </w:style>
  <w:style w:type="character" w:customStyle="1" w:styleId="StopkaZnak">
    <w:name w:val="Stopka Znak"/>
    <w:basedOn w:val="Domylnaczcionkaakapitu"/>
    <w:link w:val="Stopka"/>
    <w:rsid w:val="008D4752"/>
  </w:style>
  <w:style w:type="character" w:styleId="Odwoanieprzypisudolnego">
    <w:name w:val="footnote reference"/>
    <w:basedOn w:val="Domylnaczcionkaakapitu"/>
    <w:semiHidden/>
    <w:rsid w:val="00941747"/>
    <w:rPr>
      <w:vertAlign w:val="superscript"/>
    </w:rPr>
  </w:style>
  <w:style w:type="paragraph" w:styleId="Tekstprzypisudolnego">
    <w:name w:val="footnote text"/>
    <w:basedOn w:val="Normalny"/>
    <w:link w:val="TekstprzypisudolnegoZnak"/>
    <w:semiHidden/>
    <w:rsid w:val="00941747"/>
    <w:rPr>
      <w:sz w:val="20"/>
      <w:szCs w:val="20"/>
    </w:rPr>
  </w:style>
  <w:style w:type="character" w:customStyle="1" w:styleId="TekstprzypisudolnegoZnak">
    <w:name w:val="Tekst przypisu dolnego Znak"/>
    <w:basedOn w:val="Domylnaczcionkaakapitu"/>
    <w:link w:val="Tekstprzypisudolnego"/>
    <w:semiHidden/>
    <w:rsid w:val="00A671F8"/>
    <w:rPr>
      <w:rFonts w:eastAsiaTheme="minorEastAsia"/>
      <w:sz w:val="20"/>
      <w:szCs w:val="20"/>
    </w:rPr>
  </w:style>
  <w:style w:type="character" w:customStyle="1" w:styleId="Nagwek6Znak">
    <w:name w:val="Nagłówek 6 Znak"/>
    <w:basedOn w:val="Domylnaczcionkaakapitu"/>
    <w:link w:val="Nagwek6"/>
    <w:rsid w:val="00A671F8"/>
    <w:rPr>
      <w:rFonts w:asciiTheme="majorHAnsi" w:eastAsiaTheme="majorEastAsia" w:hAnsiTheme="majorHAnsi" w:cstheme="majorBidi"/>
      <w:b/>
      <w:bCs/>
      <w:i/>
      <w:iCs/>
      <w:color w:val="7F7F7F" w:themeColor="text1" w:themeTint="80"/>
      <w:lang w:bidi="en-US"/>
    </w:rPr>
  </w:style>
  <w:style w:type="character" w:customStyle="1" w:styleId="Nagwek7Znak">
    <w:name w:val="Nagłówek 7 Znak"/>
    <w:basedOn w:val="Domylnaczcionkaakapitu"/>
    <w:link w:val="Nagwek7"/>
    <w:rsid w:val="0001456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rsid w:val="0001456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rsid w:val="00014566"/>
    <w:rPr>
      <w:rFonts w:asciiTheme="majorHAnsi" w:eastAsiaTheme="majorEastAsia" w:hAnsiTheme="majorHAnsi" w:cstheme="majorBidi"/>
      <w:i/>
      <w:iCs/>
      <w:spacing w:val="5"/>
      <w:sz w:val="20"/>
      <w:szCs w:val="20"/>
      <w:lang w:bidi="en-US"/>
    </w:rPr>
  </w:style>
  <w:style w:type="character" w:styleId="Hipercze">
    <w:name w:val="Hyperlink"/>
    <w:basedOn w:val="Domylnaczcionkaakapitu"/>
    <w:rsid w:val="00941747"/>
    <w:rPr>
      <w:color w:val="0072BC" w:themeColor="hyperlink"/>
      <w:u w:val="single"/>
    </w:rPr>
  </w:style>
  <w:style w:type="character" w:styleId="Wyrnienieintensywne">
    <w:name w:val="Intense Emphasis"/>
    <w:uiPriority w:val="99"/>
    <w:semiHidden/>
    <w:qFormat/>
    <w:rsid w:val="00014566"/>
    <w:rPr>
      <w:b/>
      <w:bCs/>
    </w:rPr>
  </w:style>
  <w:style w:type="paragraph" w:styleId="Cytatintensywny">
    <w:name w:val="Intense Quote"/>
    <w:basedOn w:val="Normalny"/>
    <w:next w:val="Normalny"/>
    <w:link w:val="CytatintensywnyZnak"/>
    <w:uiPriority w:val="99"/>
    <w:semiHidden/>
    <w:qFormat/>
    <w:rsid w:val="0001456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014566"/>
    <w:rPr>
      <w:rFonts w:eastAsiaTheme="minorEastAsia"/>
      <w:b/>
      <w:bCs/>
      <w:i/>
      <w:iCs/>
      <w:lang w:bidi="en-US"/>
    </w:rPr>
  </w:style>
  <w:style w:type="character" w:styleId="Odwoanieintensywne">
    <w:name w:val="Intense Reference"/>
    <w:uiPriority w:val="99"/>
    <w:semiHidden/>
    <w:qFormat/>
    <w:rsid w:val="00014566"/>
    <w:rPr>
      <w:smallCaps/>
      <w:spacing w:val="5"/>
      <w:u w:val="single"/>
    </w:rPr>
  </w:style>
  <w:style w:type="paragraph" w:styleId="Akapitzlist">
    <w:name w:val="List Paragraph"/>
    <w:basedOn w:val="Normalny"/>
    <w:uiPriority w:val="99"/>
    <w:semiHidden/>
    <w:qFormat/>
    <w:rsid w:val="00014566"/>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014566"/>
    <w:pPr>
      <w:spacing w:before="200"/>
      <w:ind w:left="360" w:right="360"/>
    </w:pPr>
    <w:rPr>
      <w:i/>
      <w:iCs/>
      <w:sz w:val="22"/>
      <w:lang w:bidi="en-US"/>
    </w:rPr>
  </w:style>
  <w:style w:type="character" w:customStyle="1" w:styleId="CytatZnak">
    <w:name w:val="Cytat Znak"/>
    <w:basedOn w:val="Domylnaczcionkaakapitu"/>
    <w:link w:val="Cytat"/>
    <w:uiPriority w:val="99"/>
    <w:semiHidden/>
    <w:rsid w:val="00014566"/>
    <w:rPr>
      <w:rFonts w:eastAsiaTheme="minorEastAsia"/>
      <w:i/>
      <w:iCs/>
      <w:lang w:bidi="en-US"/>
    </w:rPr>
  </w:style>
  <w:style w:type="character" w:styleId="Odwoaniedelikatne">
    <w:name w:val="Subtle Reference"/>
    <w:uiPriority w:val="99"/>
    <w:semiHidden/>
    <w:qFormat/>
    <w:rsid w:val="00014566"/>
    <w:rPr>
      <w:smallCaps/>
    </w:rPr>
  </w:style>
  <w:style w:type="table" w:styleId="Tabela-Siatka">
    <w:name w:val="Table Grid"/>
    <w:basedOn w:val="Standardowy"/>
    <w:rsid w:val="00941747"/>
    <w:rPr>
      <w:rFonts w:eastAsiaTheme="minorEastAsia"/>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semiHidden/>
    <w:rsid w:val="00EA185E"/>
    <w:pPr>
      <w:spacing w:before="120" w:after="60"/>
      <w:ind w:left="340" w:right="340" w:hanging="340"/>
    </w:pPr>
    <w:rPr>
      <w:color w:val="0D0D0D" w:themeColor="text1" w:themeTint="F2"/>
    </w:rPr>
  </w:style>
  <w:style w:type="paragraph" w:styleId="Spistreci2">
    <w:name w:val="toc 2"/>
    <w:basedOn w:val="Normalny"/>
    <w:next w:val="Normalny"/>
    <w:autoRedefine/>
    <w:semiHidden/>
    <w:rsid w:val="00EA185E"/>
    <w:pPr>
      <w:spacing w:after="60"/>
      <w:ind w:left="680" w:right="340" w:hanging="340"/>
    </w:pPr>
  </w:style>
  <w:style w:type="paragraph" w:styleId="Spistreci3">
    <w:name w:val="toc 3"/>
    <w:basedOn w:val="Normalny"/>
    <w:next w:val="Normalny"/>
    <w:autoRedefine/>
    <w:semiHidden/>
    <w:rsid w:val="00EA185E"/>
    <w:pPr>
      <w:spacing w:after="60"/>
      <w:ind w:left="1020" w:right="340" w:hanging="340"/>
    </w:pPr>
  </w:style>
  <w:style w:type="paragraph" w:styleId="Spistreci4">
    <w:name w:val="toc 4"/>
    <w:basedOn w:val="Normalny"/>
    <w:next w:val="Normalny"/>
    <w:autoRedefine/>
    <w:semiHidden/>
    <w:rsid w:val="00EA185E"/>
    <w:pPr>
      <w:tabs>
        <w:tab w:val="right" w:leader="dot" w:pos="9017"/>
      </w:tabs>
      <w:spacing w:after="60"/>
      <w:ind w:left="1361" w:right="340" w:hanging="340"/>
    </w:pPr>
  </w:style>
  <w:style w:type="paragraph" w:styleId="Spistreci5">
    <w:name w:val="toc 5"/>
    <w:basedOn w:val="Normalny"/>
    <w:next w:val="Normalny"/>
    <w:autoRedefine/>
    <w:semiHidden/>
    <w:rsid w:val="00B46543"/>
    <w:pPr>
      <w:spacing w:after="60"/>
      <w:ind w:left="1701" w:right="340" w:hanging="340"/>
    </w:pPr>
  </w:style>
  <w:style w:type="paragraph" w:styleId="Nagwekspisutreci">
    <w:name w:val="TOC Heading"/>
    <w:basedOn w:val="Nagwek1"/>
    <w:next w:val="Normalny"/>
    <w:uiPriority w:val="99"/>
    <w:semiHidden/>
    <w:qFormat/>
    <w:rsid w:val="00014566"/>
    <w:pPr>
      <w:numPr>
        <w:numId w:val="0"/>
      </w:numPr>
      <w:jc w:val="both"/>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semiHidden/>
    <w:rsid w:val="00C333A0"/>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qFormat/>
    <w:rsid w:val="00014566"/>
    <w:pPr>
      <w:spacing w:before="120" w:after="120"/>
      <w:ind w:left="425" w:firstLine="142"/>
    </w:pPr>
    <w:rPr>
      <w:sz w:val="20"/>
    </w:rPr>
  </w:style>
  <w:style w:type="paragraph" w:customStyle="1" w:styleId="ECHRPara">
    <w:name w:val="ECHR_Para"/>
    <w:aliases w:val="Ju_Para"/>
    <w:basedOn w:val="Normalny"/>
    <w:link w:val="JuParaCar"/>
    <w:qFormat/>
    <w:rsid w:val="00C621C2"/>
    <w:pPr>
      <w:ind w:firstLine="284"/>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20BAA"/>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link w:val="JuJudgesChar"/>
    <w:qFormat/>
    <w:rsid w:val="00DF0549"/>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qFormat/>
    <w:rsid w:val="00C621C2"/>
    <w:pPr>
      <w:ind w:left="340" w:hanging="340"/>
    </w:pPr>
  </w:style>
  <w:style w:type="paragraph" w:customStyle="1" w:styleId="JuSigned">
    <w:name w:val="Ju_Signed"/>
    <w:basedOn w:val="Normalny"/>
    <w:next w:val="JuParaLast"/>
    <w:qFormat/>
    <w:rsid w:val="00C621C2"/>
    <w:pPr>
      <w:tabs>
        <w:tab w:val="center" w:pos="851"/>
        <w:tab w:val="center" w:pos="6407"/>
      </w:tabs>
      <w:spacing w:before="720"/>
      <w:jc w:val="left"/>
    </w:pPr>
  </w:style>
  <w:style w:type="paragraph" w:customStyle="1" w:styleId="JuParaLast">
    <w:name w:val="Ju_Para_Last"/>
    <w:basedOn w:val="Normalny"/>
    <w:next w:val="Normalny"/>
    <w:qFormat/>
    <w:rsid w:val="00014566"/>
    <w:pPr>
      <w:keepNext/>
      <w:keepLines/>
      <w:spacing w:before="240"/>
      <w:ind w:firstLine="284"/>
    </w:pPr>
  </w:style>
  <w:style w:type="paragraph" w:customStyle="1" w:styleId="JuCourt">
    <w:name w:val="Ju_Court"/>
    <w:basedOn w:val="Normalny"/>
    <w:next w:val="Normalny"/>
    <w:qFormat/>
    <w:rsid w:val="00014566"/>
    <w:pPr>
      <w:tabs>
        <w:tab w:val="left" w:pos="907"/>
        <w:tab w:val="left" w:pos="1701"/>
        <w:tab w:val="right" w:pos="7371"/>
      </w:tabs>
      <w:spacing w:before="240"/>
      <w:ind w:left="397" w:hanging="397"/>
      <w:jc w:val="left"/>
    </w:pPr>
    <w:rPr>
      <w:lang w:bidi="en-US"/>
    </w:rPr>
  </w:style>
  <w:style w:type="character" w:styleId="Numerstrony">
    <w:name w:val="page number"/>
    <w:rsid w:val="00014566"/>
    <w:rPr>
      <w:sz w:val="18"/>
    </w:rPr>
  </w:style>
  <w:style w:type="paragraph" w:customStyle="1" w:styleId="JuLista">
    <w:name w:val="Ju_List_a"/>
    <w:basedOn w:val="Normalny"/>
    <w:qFormat/>
    <w:rsid w:val="00C621C2"/>
    <w:pPr>
      <w:ind w:left="346"/>
    </w:pPr>
  </w:style>
  <w:style w:type="paragraph" w:customStyle="1" w:styleId="JuListi">
    <w:name w:val="Ju_List_i"/>
    <w:basedOn w:val="Normalny"/>
    <w:next w:val="JuLista"/>
    <w:qFormat/>
    <w:rsid w:val="00014566"/>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semiHidden/>
    <w:rsid w:val="00014566"/>
    <w:rPr>
      <w:vertAlign w:val="superscript"/>
    </w:rPr>
  </w:style>
  <w:style w:type="paragraph" w:styleId="Tekstprzypisukocowego">
    <w:name w:val="endnote text"/>
    <w:basedOn w:val="Normalny"/>
    <w:link w:val="TekstprzypisukocowegoZnak"/>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rsid w:val="00014566"/>
    <w:rPr>
      <w:color w:val="800080"/>
      <w:u w:val="single"/>
    </w:rPr>
  </w:style>
  <w:style w:type="paragraph" w:styleId="Mapadokumentu">
    <w:name w:val="Document Map"/>
    <w:basedOn w:val="Normalny"/>
    <w:link w:val="MapadokumentuZnak"/>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rsid w:val="00014566"/>
    <w:pPr>
      <w:numPr>
        <w:numId w:val="8"/>
      </w:numPr>
    </w:pPr>
  </w:style>
  <w:style w:type="character" w:customStyle="1" w:styleId="JuITMark">
    <w:name w:val="Ju_ITMark"/>
    <w:basedOn w:val="Domylnaczcionkaakapitu"/>
    <w:qFormat/>
    <w:rsid w:val="00014566"/>
    <w:rPr>
      <w:vanish w:val="0"/>
      <w:color w:val="auto"/>
      <w:sz w:val="14"/>
    </w:rPr>
  </w:style>
  <w:style w:type="paragraph" w:styleId="Podtytu">
    <w:name w:val="Subtitle"/>
    <w:basedOn w:val="Normalny"/>
    <w:next w:val="Normalny"/>
    <w:link w:val="PodtytuZnak"/>
    <w:qFormat/>
    <w:rsid w:val="0001456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rsid w:val="00014566"/>
    <w:rPr>
      <w:rFonts w:asciiTheme="majorHAnsi" w:eastAsiaTheme="majorEastAsia" w:hAnsiTheme="majorHAnsi" w:cstheme="majorBidi"/>
      <w:i/>
      <w:iCs/>
      <w:spacing w:val="13"/>
      <w:sz w:val="24"/>
      <w:szCs w:val="24"/>
      <w:lang w:bidi="en-US"/>
    </w:rPr>
  </w:style>
  <w:style w:type="numbering" w:styleId="111111">
    <w:name w:val="Outline List 2"/>
    <w:basedOn w:val="Bezlisty"/>
    <w:rsid w:val="00014566"/>
    <w:pPr>
      <w:numPr>
        <w:numId w:val="9"/>
      </w:numPr>
    </w:pPr>
  </w:style>
  <w:style w:type="numbering" w:styleId="1ai">
    <w:name w:val="Outline List 1"/>
    <w:basedOn w:val="Bezlisty"/>
    <w:rsid w:val="00014566"/>
    <w:pPr>
      <w:numPr>
        <w:numId w:val="10"/>
      </w:numPr>
    </w:pPr>
  </w:style>
  <w:style w:type="numbering" w:styleId="Artykusekcja">
    <w:name w:val="Outline List 3"/>
    <w:basedOn w:val="Bezlisty"/>
    <w:rsid w:val="00014566"/>
    <w:pPr>
      <w:numPr>
        <w:numId w:val="11"/>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rsid w:val="00014566"/>
    <w:pPr>
      <w:spacing w:after="120"/>
    </w:pPr>
  </w:style>
  <w:style w:type="character" w:customStyle="1" w:styleId="TekstpodstawowyZnak">
    <w:name w:val="Tekst podstawowy Znak"/>
    <w:basedOn w:val="Domylnaczcionkaakapitu"/>
    <w:link w:val="Tekstpodstawowy"/>
    <w:rsid w:val="00014566"/>
    <w:rPr>
      <w:rFonts w:eastAsiaTheme="minorEastAsia"/>
      <w:sz w:val="24"/>
    </w:rPr>
  </w:style>
  <w:style w:type="paragraph" w:styleId="Tekstpodstawowy2">
    <w:name w:val="Body Text 2"/>
    <w:basedOn w:val="Normalny"/>
    <w:link w:val="Tekstpodstawowy2Znak"/>
    <w:rsid w:val="00014566"/>
    <w:pPr>
      <w:spacing w:after="120" w:line="480" w:lineRule="auto"/>
    </w:pPr>
  </w:style>
  <w:style w:type="character" w:customStyle="1" w:styleId="Tekstpodstawowy2Znak">
    <w:name w:val="Tekst podstawowy 2 Znak"/>
    <w:basedOn w:val="Domylnaczcionkaakapitu"/>
    <w:link w:val="Tekstpodstawowy2"/>
    <w:rsid w:val="00014566"/>
    <w:rPr>
      <w:rFonts w:eastAsiaTheme="minorEastAsia"/>
      <w:sz w:val="24"/>
    </w:rPr>
  </w:style>
  <w:style w:type="paragraph" w:styleId="Tekstpodstawowy3">
    <w:name w:val="Body Text 3"/>
    <w:basedOn w:val="Normalny"/>
    <w:link w:val="Tekstpodstawowy3Znak"/>
    <w:rsid w:val="00014566"/>
    <w:pPr>
      <w:spacing w:after="120"/>
    </w:pPr>
    <w:rPr>
      <w:sz w:val="16"/>
      <w:szCs w:val="16"/>
    </w:rPr>
  </w:style>
  <w:style w:type="character" w:customStyle="1" w:styleId="Tekstpodstawowy3Znak">
    <w:name w:val="Tekst podstawowy 3 Znak"/>
    <w:basedOn w:val="Domylnaczcionkaakapitu"/>
    <w:link w:val="Tekstpodstawowy3"/>
    <w:rsid w:val="00014566"/>
    <w:rPr>
      <w:rFonts w:eastAsiaTheme="minorEastAsia"/>
      <w:sz w:val="16"/>
      <w:szCs w:val="16"/>
    </w:rPr>
  </w:style>
  <w:style w:type="paragraph" w:styleId="Tekstpodstawowyzwciciem">
    <w:name w:val="Body Text First Indent"/>
    <w:basedOn w:val="Tekstpodstawowy"/>
    <w:link w:val="TekstpodstawowyzwciciemZnak"/>
    <w:rsid w:val="00014566"/>
    <w:pPr>
      <w:spacing w:after="0"/>
      <w:ind w:firstLine="360"/>
    </w:pPr>
  </w:style>
  <w:style w:type="character" w:customStyle="1" w:styleId="TekstpodstawowyzwciciemZnak">
    <w:name w:val="Tekst podstawowy z wcięciem Znak"/>
    <w:basedOn w:val="TekstpodstawowyZnak"/>
    <w:link w:val="Tekstpodstawowyzwciciem"/>
    <w:rsid w:val="00014566"/>
    <w:rPr>
      <w:rFonts w:eastAsiaTheme="minorEastAsia"/>
      <w:sz w:val="24"/>
    </w:rPr>
  </w:style>
  <w:style w:type="paragraph" w:styleId="Tekstpodstawowywcity">
    <w:name w:val="Body Text Indent"/>
    <w:basedOn w:val="Normalny"/>
    <w:link w:val="TekstpodstawowywcityZnak"/>
    <w:rsid w:val="00014566"/>
    <w:pPr>
      <w:spacing w:after="120"/>
      <w:ind w:left="283"/>
    </w:pPr>
  </w:style>
  <w:style w:type="character" w:customStyle="1" w:styleId="TekstpodstawowywcityZnak">
    <w:name w:val="Tekst podstawowy wcięty Znak"/>
    <w:basedOn w:val="Domylnaczcionkaakapitu"/>
    <w:link w:val="Tekstpodstawowywcity"/>
    <w:rsid w:val="00014566"/>
    <w:rPr>
      <w:rFonts w:eastAsiaTheme="minorEastAsia"/>
      <w:sz w:val="24"/>
    </w:rPr>
  </w:style>
  <w:style w:type="paragraph" w:styleId="Tekstpodstawowyzwciciem2">
    <w:name w:val="Body Text First Indent 2"/>
    <w:basedOn w:val="Tekstpodstawowywcity"/>
    <w:link w:val="Tekstpodstawowyzwciciem2Znak"/>
    <w:rsid w:val="00014566"/>
    <w:pPr>
      <w:spacing w:after="0"/>
      <w:ind w:left="360" w:firstLine="360"/>
    </w:pPr>
  </w:style>
  <w:style w:type="character" w:customStyle="1" w:styleId="Tekstpodstawowyzwciciem2Znak">
    <w:name w:val="Tekst podstawowy z wcięciem 2 Znak"/>
    <w:basedOn w:val="TekstpodstawowywcityZnak"/>
    <w:link w:val="Tekstpodstawowyzwciciem2"/>
    <w:rsid w:val="00014566"/>
    <w:rPr>
      <w:rFonts w:eastAsiaTheme="minorEastAsia"/>
      <w:sz w:val="24"/>
    </w:rPr>
  </w:style>
  <w:style w:type="paragraph" w:styleId="Tekstpodstawowywcity2">
    <w:name w:val="Body Text Indent 2"/>
    <w:basedOn w:val="Normalny"/>
    <w:link w:val="Tekstpodstawowywcity2Znak"/>
    <w:rsid w:val="00014566"/>
    <w:pPr>
      <w:spacing w:after="120" w:line="480" w:lineRule="auto"/>
      <w:ind w:left="283"/>
    </w:pPr>
  </w:style>
  <w:style w:type="character" w:customStyle="1" w:styleId="Tekstpodstawowywcity2Znak">
    <w:name w:val="Tekst podstawowy wcięty 2 Znak"/>
    <w:basedOn w:val="Domylnaczcionkaakapitu"/>
    <w:link w:val="Tekstpodstawowywcity2"/>
    <w:rsid w:val="00014566"/>
    <w:rPr>
      <w:rFonts w:eastAsiaTheme="minorEastAsia"/>
      <w:sz w:val="24"/>
    </w:rPr>
  </w:style>
  <w:style w:type="paragraph" w:styleId="Tekstpodstawowywcity3">
    <w:name w:val="Body Text Indent 3"/>
    <w:basedOn w:val="Normalny"/>
    <w:link w:val="Tekstpodstawowywcity3Znak"/>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rsid w:val="00014566"/>
    <w:rPr>
      <w:rFonts w:eastAsiaTheme="minorEastAsia"/>
      <w:sz w:val="16"/>
      <w:szCs w:val="16"/>
    </w:rPr>
  </w:style>
  <w:style w:type="paragraph" w:styleId="Legenda">
    <w:name w:val="caption"/>
    <w:basedOn w:val="Normalny"/>
    <w:next w:val="Normalny"/>
    <w:qFormat/>
    <w:rsid w:val="00014566"/>
    <w:pPr>
      <w:spacing w:after="200"/>
    </w:pPr>
    <w:rPr>
      <w:b/>
      <w:bCs/>
      <w:color w:val="0072BC" w:themeColor="accent1"/>
      <w:sz w:val="18"/>
      <w:szCs w:val="18"/>
    </w:rPr>
  </w:style>
  <w:style w:type="paragraph" w:styleId="Zwrotpoegnalny">
    <w:name w:val="Closing"/>
    <w:basedOn w:val="Normalny"/>
    <w:link w:val="ZwrotpoegnalnyZnak"/>
    <w:rsid w:val="00014566"/>
    <w:pPr>
      <w:ind w:left="4252"/>
    </w:pPr>
  </w:style>
  <w:style w:type="character" w:customStyle="1" w:styleId="ZwrotpoegnalnyZnak">
    <w:name w:val="Zwrot pożegnalny Znak"/>
    <w:basedOn w:val="Domylnaczcionkaakapitu"/>
    <w:link w:val="Zwrotpoegnalny"/>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rsid w:val="00014566"/>
  </w:style>
  <w:style w:type="character" w:customStyle="1" w:styleId="DataZnak">
    <w:name w:val="Data Znak"/>
    <w:basedOn w:val="Domylnaczcionkaakapitu"/>
    <w:link w:val="Data"/>
    <w:rsid w:val="00014566"/>
    <w:rPr>
      <w:rFonts w:eastAsiaTheme="minorEastAsia"/>
      <w:sz w:val="24"/>
    </w:rPr>
  </w:style>
  <w:style w:type="paragraph" w:styleId="Podpise-mail">
    <w:name w:val="E-mail Signature"/>
    <w:basedOn w:val="Normalny"/>
    <w:link w:val="Podpise-mailZnak"/>
    <w:rsid w:val="00014566"/>
  </w:style>
  <w:style w:type="character" w:customStyle="1" w:styleId="Podpise-mailZnak">
    <w:name w:val="Podpis e-mail Znak"/>
    <w:basedOn w:val="Domylnaczcionkaakapitu"/>
    <w:link w:val="Podpise-mail"/>
    <w:rsid w:val="00014566"/>
    <w:rPr>
      <w:rFonts w:eastAsiaTheme="minorEastAsia"/>
      <w:sz w:val="24"/>
    </w:rPr>
  </w:style>
  <w:style w:type="paragraph" w:styleId="Adresnakopercie">
    <w:name w:val="envelope address"/>
    <w:basedOn w:val="Normalny"/>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rsid w:val="00014566"/>
    <w:rPr>
      <w:rFonts w:asciiTheme="majorHAnsi" w:eastAsiaTheme="majorEastAsia" w:hAnsiTheme="majorHAnsi" w:cstheme="majorBidi"/>
      <w:sz w:val="20"/>
      <w:szCs w:val="20"/>
    </w:rPr>
  </w:style>
  <w:style w:type="character" w:styleId="HTML-akronim">
    <w:name w:val="HTML Acronym"/>
    <w:basedOn w:val="Domylnaczcionkaakapitu"/>
    <w:rsid w:val="00014566"/>
  </w:style>
  <w:style w:type="paragraph" w:styleId="HTML-adres">
    <w:name w:val="HTML Address"/>
    <w:basedOn w:val="Normalny"/>
    <w:link w:val="HTML-adresZnak"/>
    <w:rsid w:val="00014566"/>
    <w:rPr>
      <w:i/>
      <w:iCs/>
    </w:rPr>
  </w:style>
  <w:style w:type="character" w:customStyle="1" w:styleId="HTML-adresZnak">
    <w:name w:val="HTML - adres Znak"/>
    <w:basedOn w:val="Domylnaczcionkaakapitu"/>
    <w:link w:val="HTML-adres"/>
    <w:rsid w:val="00014566"/>
    <w:rPr>
      <w:rFonts w:eastAsiaTheme="minorEastAsia"/>
      <w:i/>
      <w:iCs/>
      <w:sz w:val="24"/>
    </w:rPr>
  </w:style>
  <w:style w:type="character" w:styleId="HTML-cytat">
    <w:name w:val="HTML Cite"/>
    <w:basedOn w:val="Domylnaczcionkaakapitu"/>
    <w:rsid w:val="00014566"/>
    <w:rPr>
      <w:i/>
      <w:iCs/>
    </w:rPr>
  </w:style>
  <w:style w:type="character" w:styleId="HTML-kod">
    <w:name w:val="HTML Code"/>
    <w:basedOn w:val="Domylnaczcionkaakapitu"/>
    <w:rsid w:val="00014566"/>
    <w:rPr>
      <w:rFonts w:ascii="Consolas" w:hAnsi="Consolas" w:cs="Consolas"/>
      <w:sz w:val="20"/>
      <w:szCs w:val="20"/>
    </w:rPr>
  </w:style>
  <w:style w:type="character" w:styleId="HTML-definicja">
    <w:name w:val="HTML Definition"/>
    <w:basedOn w:val="Domylnaczcionkaakapitu"/>
    <w:rsid w:val="00014566"/>
    <w:rPr>
      <w:i/>
      <w:iCs/>
    </w:rPr>
  </w:style>
  <w:style w:type="character" w:styleId="HTML-klawiatura">
    <w:name w:val="HTML Keyboard"/>
    <w:basedOn w:val="Domylnaczcionkaakapitu"/>
    <w:rsid w:val="00014566"/>
    <w:rPr>
      <w:rFonts w:ascii="Consolas" w:hAnsi="Consolas" w:cs="Consolas"/>
      <w:sz w:val="20"/>
      <w:szCs w:val="20"/>
    </w:rPr>
  </w:style>
  <w:style w:type="paragraph" w:styleId="HTML-wstpniesformatowany">
    <w:name w:val="HTML Preformatted"/>
    <w:basedOn w:val="Normalny"/>
    <w:link w:val="HTML-wstpniesformatowanyZnak"/>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rsid w:val="00014566"/>
    <w:rPr>
      <w:rFonts w:ascii="Consolas" w:eastAsiaTheme="minorEastAsia" w:hAnsi="Consolas" w:cs="Consolas"/>
      <w:sz w:val="20"/>
      <w:szCs w:val="20"/>
    </w:rPr>
  </w:style>
  <w:style w:type="character" w:styleId="HTML-przykad">
    <w:name w:val="HTML Sample"/>
    <w:basedOn w:val="Domylnaczcionkaakapitu"/>
    <w:rsid w:val="00014566"/>
    <w:rPr>
      <w:rFonts w:ascii="Consolas" w:hAnsi="Consolas" w:cs="Consolas"/>
      <w:sz w:val="24"/>
      <w:szCs w:val="24"/>
    </w:rPr>
  </w:style>
  <w:style w:type="character" w:styleId="HTML-staaszeroko">
    <w:name w:val="HTML Typewriter"/>
    <w:basedOn w:val="Domylnaczcionkaakapitu"/>
    <w:rsid w:val="00014566"/>
    <w:rPr>
      <w:rFonts w:ascii="Consolas" w:hAnsi="Consolas" w:cs="Consolas"/>
      <w:sz w:val="20"/>
      <w:szCs w:val="20"/>
    </w:rPr>
  </w:style>
  <w:style w:type="character" w:styleId="HTML-zmienna">
    <w:name w:val="HTML Variable"/>
    <w:basedOn w:val="Domylnaczcionkaakapitu"/>
    <w:rsid w:val="00014566"/>
    <w:rPr>
      <w:i/>
      <w:iCs/>
    </w:rPr>
  </w:style>
  <w:style w:type="paragraph" w:styleId="Indeks1">
    <w:name w:val="index 1"/>
    <w:basedOn w:val="Normalny"/>
    <w:next w:val="Normalny"/>
    <w:autoRedefine/>
    <w:semiHidden/>
    <w:rsid w:val="00014566"/>
    <w:pPr>
      <w:ind w:left="240" w:hanging="240"/>
    </w:pPr>
  </w:style>
  <w:style w:type="paragraph" w:styleId="Indeks2">
    <w:name w:val="index 2"/>
    <w:basedOn w:val="Normalny"/>
    <w:next w:val="Normalny"/>
    <w:autoRedefine/>
    <w:semiHidden/>
    <w:rsid w:val="00014566"/>
    <w:pPr>
      <w:ind w:left="480" w:hanging="240"/>
    </w:pPr>
  </w:style>
  <w:style w:type="paragraph" w:styleId="Indeks3">
    <w:name w:val="index 3"/>
    <w:basedOn w:val="Normalny"/>
    <w:next w:val="Normalny"/>
    <w:autoRedefine/>
    <w:semiHidden/>
    <w:rsid w:val="00014566"/>
    <w:pPr>
      <w:ind w:left="720" w:hanging="240"/>
    </w:pPr>
  </w:style>
  <w:style w:type="paragraph" w:styleId="Indeks4">
    <w:name w:val="index 4"/>
    <w:basedOn w:val="Normalny"/>
    <w:next w:val="Normalny"/>
    <w:autoRedefine/>
    <w:semiHidden/>
    <w:rsid w:val="00014566"/>
    <w:pPr>
      <w:ind w:left="960" w:hanging="240"/>
    </w:pPr>
  </w:style>
  <w:style w:type="paragraph" w:styleId="Indeks5">
    <w:name w:val="index 5"/>
    <w:basedOn w:val="Normalny"/>
    <w:next w:val="Normalny"/>
    <w:autoRedefine/>
    <w:semiHidden/>
    <w:rsid w:val="00014566"/>
    <w:pPr>
      <w:ind w:left="1200" w:hanging="240"/>
    </w:pPr>
  </w:style>
  <w:style w:type="paragraph" w:styleId="Indeks6">
    <w:name w:val="index 6"/>
    <w:basedOn w:val="Normalny"/>
    <w:next w:val="Normalny"/>
    <w:autoRedefine/>
    <w:semiHidden/>
    <w:rsid w:val="00014566"/>
    <w:pPr>
      <w:ind w:left="1440" w:hanging="240"/>
    </w:pPr>
  </w:style>
  <w:style w:type="paragraph" w:styleId="Indeks7">
    <w:name w:val="index 7"/>
    <w:basedOn w:val="Normalny"/>
    <w:next w:val="Normalny"/>
    <w:autoRedefine/>
    <w:semiHidden/>
    <w:rsid w:val="00014566"/>
    <w:pPr>
      <w:ind w:left="1680" w:hanging="240"/>
    </w:pPr>
  </w:style>
  <w:style w:type="paragraph" w:styleId="Indeks8">
    <w:name w:val="index 8"/>
    <w:basedOn w:val="Normalny"/>
    <w:next w:val="Normalny"/>
    <w:autoRedefine/>
    <w:semiHidden/>
    <w:rsid w:val="00014566"/>
    <w:pPr>
      <w:ind w:left="1920" w:hanging="240"/>
    </w:pPr>
  </w:style>
  <w:style w:type="paragraph" w:styleId="Indeks9">
    <w:name w:val="index 9"/>
    <w:basedOn w:val="Normalny"/>
    <w:next w:val="Normalny"/>
    <w:autoRedefine/>
    <w:semiHidden/>
    <w:rsid w:val="00014566"/>
    <w:pPr>
      <w:ind w:left="2160" w:hanging="240"/>
    </w:pPr>
  </w:style>
  <w:style w:type="paragraph" w:styleId="Nagwekindeksu">
    <w:name w:val="index heading"/>
    <w:basedOn w:val="Normalny"/>
    <w:next w:val="Indeks1"/>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rsid w:val="00014566"/>
  </w:style>
  <w:style w:type="paragraph" w:styleId="Lista">
    <w:name w:val="List"/>
    <w:basedOn w:val="Normalny"/>
    <w:rsid w:val="00014566"/>
    <w:pPr>
      <w:ind w:left="283" w:hanging="283"/>
      <w:contextualSpacing/>
    </w:pPr>
  </w:style>
  <w:style w:type="paragraph" w:styleId="Lista2">
    <w:name w:val="List 2"/>
    <w:basedOn w:val="Normalny"/>
    <w:rsid w:val="00014566"/>
    <w:pPr>
      <w:ind w:left="566" w:hanging="283"/>
      <w:contextualSpacing/>
    </w:pPr>
  </w:style>
  <w:style w:type="paragraph" w:styleId="Lista3">
    <w:name w:val="List 3"/>
    <w:basedOn w:val="Normalny"/>
    <w:rsid w:val="00014566"/>
    <w:pPr>
      <w:ind w:left="849" w:hanging="283"/>
      <w:contextualSpacing/>
    </w:pPr>
  </w:style>
  <w:style w:type="paragraph" w:styleId="Lista4">
    <w:name w:val="List 4"/>
    <w:basedOn w:val="Normalny"/>
    <w:rsid w:val="00014566"/>
    <w:pPr>
      <w:ind w:left="1132" w:hanging="283"/>
      <w:contextualSpacing/>
    </w:pPr>
  </w:style>
  <w:style w:type="paragraph" w:styleId="Lista5">
    <w:name w:val="List 5"/>
    <w:basedOn w:val="Normalny"/>
    <w:rsid w:val="00014566"/>
    <w:pPr>
      <w:ind w:left="1415" w:hanging="283"/>
      <w:contextualSpacing/>
    </w:pPr>
  </w:style>
  <w:style w:type="paragraph" w:styleId="Listapunktowana2">
    <w:name w:val="List Bullet 2"/>
    <w:basedOn w:val="Normalny"/>
    <w:rsid w:val="00014566"/>
    <w:pPr>
      <w:numPr>
        <w:numId w:val="12"/>
      </w:numPr>
      <w:contextualSpacing/>
    </w:pPr>
  </w:style>
  <w:style w:type="paragraph" w:styleId="Listapunktowana3">
    <w:name w:val="List Bullet 3"/>
    <w:basedOn w:val="Normalny"/>
    <w:rsid w:val="00014566"/>
    <w:pPr>
      <w:numPr>
        <w:numId w:val="13"/>
      </w:numPr>
      <w:contextualSpacing/>
    </w:pPr>
  </w:style>
  <w:style w:type="paragraph" w:styleId="Listapunktowana4">
    <w:name w:val="List Bullet 4"/>
    <w:basedOn w:val="Normalny"/>
    <w:rsid w:val="00014566"/>
    <w:pPr>
      <w:numPr>
        <w:numId w:val="14"/>
      </w:numPr>
      <w:contextualSpacing/>
    </w:pPr>
  </w:style>
  <w:style w:type="paragraph" w:styleId="Listapunktowana5">
    <w:name w:val="List Bullet 5"/>
    <w:basedOn w:val="Normalny"/>
    <w:rsid w:val="00014566"/>
    <w:pPr>
      <w:numPr>
        <w:numId w:val="15"/>
      </w:numPr>
      <w:contextualSpacing/>
    </w:pPr>
  </w:style>
  <w:style w:type="paragraph" w:styleId="Lista-kontynuacja">
    <w:name w:val="List Continue"/>
    <w:basedOn w:val="Normalny"/>
    <w:rsid w:val="00014566"/>
    <w:pPr>
      <w:spacing w:after="120"/>
      <w:ind w:left="283"/>
      <w:contextualSpacing/>
    </w:pPr>
  </w:style>
  <w:style w:type="paragraph" w:styleId="Lista-kontynuacja2">
    <w:name w:val="List Continue 2"/>
    <w:basedOn w:val="Normalny"/>
    <w:rsid w:val="00014566"/>
    <w:pPr>
      <w:spacing w:after="120"/>
      <w:ind w:left="566"/>
      <w:contextualSpacing/>
    </w:pPr>
  </w:style>
  <w:style w:type="paragraph" w:styleId="Lista-kontynuacja3">
    <w:name w:val="List Continue 3"/>
    <w:basedOn w:val="Normalny"/>
    <w:rsid w:val="00014566"/>
    <w:pPr>
      <w:spacing w:after="120"/>
      <w:ind w:left="849"/>
      <w:contextualSpacing/>
    </w:pPr>
  </w:style>
  <w:style w:type="paragraph" w:styleId="Lista-kontynuacja4">
    <w:name w:val="List Continue 4"/>
    <w:basedOn w:val="Normalny"/>
    <w:rsid w:val="00014566"/>
    <w:pPr>
      <w:spacing w:after="120"/>
      <w:ind w:left="1132"/>
      <w:contextualSpacing/>
    </w:pPr>
  </w:style>
  <w:style w:type="paragraph" w:styleId="Lista-kontynuacja5">
    <w:name w:val="List Continue 5"/>
    <w:basedOn w:val="Normalny"/>
    <w:rsid w:val="00014566"/>
    <w:pPr>
      <w:spacing w:after="120"/>
      <w:ind w:left="1415"/>
      <w:contextualSpacing/>
    </w:pPr>
  </w:style>
  <w:style w:type="paragraph" w:styleId="Listanumerowana">
    <w:name w:val="List Number"/>
    <w:basedOn w:val="Normalny"/>
    <w:rsid w:val="00014566"/>
    <w:pPr>
      <w:numPr>
        <w:numId w:val="16"/>
      </w:numPr>
      <w:contextualSpacing/>
    </w:pPr>
  </w:style>
  <w:style w:type="paragraph" w:styleId="Listanumerowana2">
    <w:name w:val="List Number 2"/>
    <w:basedOn w:val="Normalny"/>
    <w:rsid w:val="00014566"/>
    <w:pPr>
      <w:numPr>
        <w:numId w:val="17"/>
      </w:numPr>
      <w:contextualSpacing/>
    </w:pPr>
  </w:style>
  <w:style w:type="paragraph" w:styleId="Listanumerowana3">
    <w:name w:val="List Number 3"/>
    <w:basedOn w:val="Normalny"/>
    <w:rsid w:val="00014566"/>
    <w:pPr>
      <w:numPr>
        <w:numId w:val="18"/>
      </w:numPr>
      <w:contextualSpacing/>
    </w:pPr>
  </w:style>
  <w:style w:type="paragraph" w:styleId="Listanumerowana4">
    <w:name w:val="List Number 4"/>
    <w:basedOn w:val="Normalny"/>
    <w:rsid w:val="00014566"/>
    <w:pPr>
      <w:numPr>
        <w:numId w:val="19"/>
      </w:numPr>
      <w:contextualSpacing/>
    </w:pPr>
  </w:style>
  <w:style w:type="paragraph" w:styleId="Listanumerowana5">
    <w:name w:val="List Number 5"/>
    <w:basedOn w:val="Normalny"/>
    <w:rsid w:val="00014566"/>
    <w:pPr>
      <w:numPr>
        <w:numId w:val="20"/>
      </w:numPr>
      <w:contextualSpacing/>
    </w:pPr>
  </w:style>
  <w:style w:type="paragraph" w:styleId="Tekstmakra">
    <w:name w:val="macro"/>
    <w:link w:val="TekstmakraZnak"/>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rsid w:val="00014566"/>
    <w:rPr>
      <w:rFonts w:ascii="Times New Roman" w:hAnsi="Times New Roman" w:cs="Times New Roman"/>
      <w:szCs w:val="24"/>
    </w:rPr>
  </w:style>
  <w:style w:type="paragraph" w:styleId="Wcicienormalne">
    <w:name w:val="Normal Indent"/>
    <w:basedOn w:val="Normalny"/>
    <w:rsid w:val="00014566"/>
    <w:pPr>
      <w:ind w:left="720"/>
    </w:pPr>
  </w:style>
  <w:style w:type="paragraph" w:styleId="Nagweknotatki">
    <w:name w:val="Note Heading"/>
    <w:basedOn w:val="Normalny"/>
    <w:next w:val="Normalny"/>
    <w:link w:val="NagweknotatkiZnak"/>
    <w:rsid w:val="00014566"/>
  </w:style>
  <w:style w:type="character" w:customStyle="1" w:styleId="NagweknotatkiZnak">
    <w:name w:val="Nagłówek notatki Znak"/>
    <w:basedOn w:val="Domylnaczcionkaakapitu"/>
    <w:link w:val="Nagweknotatki"/>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rsid w:val="00014566"/>
    <w:rPr>
      <w:rFonts w:ascii="Consolas" w:hAnsi="Consolas" w:cs="Consolas"/>
      <w:sz w:val="21"/>
      <w:szCs w:val="21"/>
    </w:rPr>
  </w:style>
  <w:style w:type="character" w:customStyle="1" w:styleId="ZwykytekstZnak">
    <w:name w:val="Zwykły tekst Znak"/>
    <w:basedOn w:val="Domylnaczcionkaakapitu"/>
    <w:link w:val="Zwykytekst"/>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rsid w:val="00014566"/>
  </w:style>
  <w:style w:type="character" w:customStyle="1" w:styleId="ZwrotgrzecznociowyZnak">
    <w:name w:val="Zwrot grzecznościowy Znak"/>
    <w:basedOn w:val="Domylnaczcionkaakapitu"/>
    <w:link w:val="Zwrotgrzecznociowy"/>
    <w:rsid w:val="00014566"/>
    <w:rPr>
      <w:rFonts w:eastAsiaTheme="minorEastAsia"/>
      <w:sz w:val="24"/>
    </w:rPr>
  </w:style>
  <w:style w:type="paragraph" w:styleId="Podpis">
    <w:name w:val="Signature"/>
    <w:basedOn w:val="Normalny"/>
    <w:link w:val="PodpisZnak"/>
    <w:rsid w:val="00014566"/>
    <w:pPr>
      <w:ind w:left="4252"/>
    </w:pPr>
  </w:style>
  <w:style w:type="character" w:customStyle="1" w:styleId="PodpisZnak">
    <w:name w:val="Podpis Znak"/>
    <w:basedOn w:val="Domylnaczcionkaakapitu"/>
    <w:link w:val="Podpis"/>
    <w:rsid w:val="00014566"/>
    <w:rPr>
      <w:rFonts w:eastAsiaTheme="minorEastAsia"/>
      <w:sz w:val="24"/>
    </w:rPr>
  </w:style>
  <w:style w:type="table" w:styleId="Tabela-Efekty3W1">
    <w:name w:val="Table 3D effects 1"/>
    <w:basedOn w:val="Standardowy"/>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semiHidden/>
    <w:rsid w:val="00014566"/>
    <w:pPr>
      <w:ind w:left="240" w:hanging="240"/>
    </w:pPr>
  </w:style>
  <w:style w:type="paragraph" w:styleId="Spisilustracji">
    <w:name w:val="table of figures"/>
    <w:basedOn w:val="Normalny"/>
    <w:next w:val="Normalny"/>
    <w:semiHidden/>
    <w:rsid w:val="00014566"/>
  </w:style>
  <w:style w:type="table" w:styleId="Tabela-Profesjonalny">
    <w:name w:val="Table Professional"/>
    <w:basedOn w:val="Standardowy"/>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semiHidden/>
    <w:rsid w:val="00014566"/>
    <w:pPr>
      <w:spacing w:after="100"/>
      <w:ind w:left="1200"/>
    </w:pPr>
  </w:style>
  <w:style w:type="paragraph" w:styleId="Spistreci7">
    <w:name w:val="toc 7"/>
    <w:basedOn w:val="Normalny"/>
    <w:next w:val="Normalny"/>
    <w:autoRedefine/>
    <w:semiHidden/>
    <w:rsid w:val="00014566"/>
    <w:pPr>
      <w:spacing w:after="100"/>
      <w:ind w:left="1440"/>
    </w:pPr>
  </w:style>
  <w:style w:type="paragraph" w:styleId="Spistreci8">
    <w:name w:val="toc 8"/>
    <w:basedOn w:val="Normalny"/>
    <w:next w:val="Normalny"/>
    <w:autoRedefine/>
    <w:semiHidden/>
    <w:rsid w:val="00014566"/>
    <w:pPr>
      <w:spacing w:after="100"/>
      <w:ind w:left="1680"/>
    </w:pPr>
  </w:style>
  <w:style w:type="paragraph" w:styleId="Spistreci9">
    <w:name w:val="toc 9"/>
    <w:basedOn w:val="Normalny"/>
    <w:next w:val="Normalny"/>
    <w:autoRedefine/>
    <w:semiHidden/>
    <w:rsid w:val="00014566"/>
    <w:pPr>
      <w:spacing w:after="100"/>
      <w:ind w:left="1920"/>
    </w:pPr>
  </w:style>
  <w:style w:type="character" w:customStyle="1" w:styleId="JuParaCar">
    <w:name w:val="Ju_Para Car"/>
    <w:link w:val="ECHRPara"/>
    <w:rsid w:val="00765A7C"/>
    <w:rPr>
      <w:rFonts w:eastAsiaTheme="minorEastAsia"/>
      <w:sz w:val="24"/>
    </w:rPr>
  </w:style>
  <w:style w:type="character" w:customStyle="1" w:styleId="JuHIRomanChar">
    <w:name w:val="Ju_H_I_Roman Char"/>
    <w:link w:val="ECHRHeading1"/>
    <w:rsid w:val="00765A7C"/>
    <w:rPr>
      <w:rFonts w:asciiTheme="majorHAnsi" w:eastAsiaTheme="majorEastAsia" w:hAnsiTheme="majorHAnsi" w:cstheme="majorBidi"/>
      <w:bCs/>
      <w:sz w:val="24"/>
      <w:szCs w:val="28"/>
    </w:rPr>
  </w:style>
  <w:style w:type="character" w:customStyle="1" w:styleId="JuJudgesChar">
    <w:name w:val="Ju_Judges Char"/>
    <w:link w:val="ECHRDecisionBody"/>
    <w:rsid w:val="00765A7C"/>
    <w:rPr>
      <w:rFonts w:eastAsiaTheme="minorEastAsia"/>
      <w:sz w:val="24"/>
    </w:rPr>
  </w:style>
  <w:style w:type="paragraph" w:customStyle="1" w:styleId="ECHRFooter">
    <w:name w:val="ECHR_Footer"/>
    <w:aliases w:val="Footer_ECHR"/>
    <w:basedOn w:val="Stopka"/>
    <w:uiPriority w:val="57"/>
    <w:semiHidden/>
    <w:rsid w:val="00765A7C"/>
    <w:pPr>
      <w:tabs>
        <w:tab w:val="clear" w:pos="4536"/>
        <w:tab w:val="clear" w:pos="9696"/>
        <w:tab w:val="center" w:pos="3686"/>
        <w:tab w:val="right" w:pos="7371"/>
      </w:tabs>
      <w:suppressAutoHyphens/>
      <w:ind w:left="0" w:right="0"/>
      <w:jc w:val="left"/>
    </w:pPr>
    <w:rPr>
      <w:rFonts w:ascii="Times New Roman" w:eastAsia="Times New Roman" w:hAnsi="Times New Roman" w:cs="Times New Roman"/>
      <w:sz w:val="8"/>
      <w:szCs w:val="20"/>
      <w:lang w:val="fr-FR" w:eastAsia="fr-FR"/>
    </w:rPr>
  </w:style>
  <w:style w:type="paragraph" w:customStyle="1" w:styleId="ECHRFooterLine">
    <w:name w:val="ECHR_Footer_Line"/>
    <w:aliases w:val="Footer_Line"/>
    <w:basedOn w:val="Normalny"/>
    <w:next w:val="ECHRFooter"/>
    <w:uiPriority w:val="57"/>
    <w:semiHidden/>
    <w:rsid w:val="00765A7C"/>
    <w:pPr>
      <w:pBdr>
        <w:top w:val="single" w:sz="6" w:space="1" w:color="5F5F5F"/>
      </w:pBdr>
      <w:tabs>
        <w:tab w:val="center" w:pos="4536"/>
        <w:tab w:val="right" w:pos="9696"/>
      </w:tabs>
      <w:suppressAutoHyphens/>
      <w:ind w:left="-680" w:right="-680"/>
      <w:jc w:val="left"/>
    </w:pPr>
    <w:rPr>
      <w:rFonts w:ascii="Times New Roman" w:eastAsia="Times New Roman" w:hAnsi="Times New Roman" w:cs="Times New Roman"/>
      <w:color w:val="5F5F5F"/>
      <w:szCs w:val="20"/>
      <w:lang w:val="fr-FR" w:eastAsia="fr-FR"/>
    </w:rPr>
  </w:style>
  <w:style w:type="paragraph" w:customStyle="1" w:styleId="JuAppQuestion">
    <w:name w:val="Ju_App_Question"/>
    <w:basedOn w:val="Listapunktowana"/>
    <w:rsid w:val="00765A7C"/>
    <w:pPr>
      <w:numPr>
        <w:numId w:val="23"/>
      </w:numPr>
      <w:jc w:val="left"/>
    </w:pPr>
    <w:rPr>
      <w:rFonts w:ascii="Times New Roman" w:eastAsia="Times New Roman" w:hAnsi="Times New Roman" w:cs="Times New Roman"/>
      <w:b/>
      <w:color w:val="333333"/>
      <w:szCs w:val="20"/>
      <w:lang w:val="en-GB" w:eastAsia="fr-FR"/>
    </w:rPr>
  </w:style>
  <w:style w:type="paragraph" w:customStyle="1" w:styleId="ECHRTitleCentre2">
    <w:name w:val="ECHR_Title_Centre_2"/>
    <w:aliases w:val="Dec_H_Case"/>
    <w:basedOn w:val="DecHTitle"/>
    <w:next w:val="ECHRPara"/>
    <w:rsid w:val="00765A7C"/>
    <w:rPr>
      <w:sz w:val="24"/>
    </w:rPr>
  </w:style>
  <w:style w:type="paragraph" w:customStyle="1" w:styleId="JuTitle">
    <w:name w:val="Ju_Title"/>
    <w:basedOn w:val="Normalny"/>
    <w:next w:val="ECHRPara"/>
    <w:uiPriority w:val="3"/>
    <w:qFormat/>
    <w:rsid w:val="00765A7C"/>
    <w:pPr>
      <w:suppressAutoHyphens/>
      <w:spacing w:before="720" w:after="240"/>
      <w:jc w:val="center"/>
      <w:outlineLvl w:val="0"/>
    </w:pPr>
    <w:rPr>
      <w:rFonts w:asciiTheme="majorHAnsi" w:eastAsia="Times New Roman" w:hAnsiTheme="majorHAnsi" w:cs="Times New Roman"/>
      <w:b/>
      <w:caps/>
      <w:szCs w:val="20"/>
      <w:lang w:val="fr-FR" w:eastAsia="fr-FR"/>
    </w:rPr>
  </w:style>
  <w:style w:type="paragraph" w:customStyle="1" w:styleId="DecHTitle">
    <w:name w:val="Dec_H_Title"/>
    <w:basedOn w:val="NormalTimesNewRoman"/>
    <w:rsid w:val="00765A7C"/>
    <w:pPr>
      <w:spacing w:after="240"/>
      <w:jc w:val="center"/>
      <w:outlineLvl w:val="0"/>
    </w:pPr>
    <w:rPr>
      <w:sz w:val="28"/>
    </w:rPr>
  </w:style>
  <w:style w:type="paragraph" w:customStyle="1" w:styleId="DecList">
    <w:name w:val="Dec_List"/>
    <w:basedOn w:val="NormalTimesNewRoman"/>
    <w:rsid w:val="00765A7C"/>
    <w:pPr>
      <w:spacing w:before="240"/>
      <w:ind w:left="284"/>
      <w:jc w:val="both"/>
    </w:pPr>
  </w:style>
  <w:style w:type="paragraph" w:customStyle="1" w:styleId="JuParaChar">
    <w:name w:val="Ju_Para Char"/>
    <w:basedOn w:val="Normalny"/>
    <w:link w:val="JuParaCharChar"/>
    <w:rsid w:val="00765A7C"/>
    <w:pPr>
      <w:suppressAutoHyphens/>
      <w:ind w:firstLine="284"/>
      <w:jc w:val="left"/>
    </w:pPr>
    <w:rPr>
      <w:rFonts w:ascii="Times New Roman" w:eastAsia="Times New Roman" w:hAnsi="Times New Roman" w:cs="Times New Roman"/>
      <w:szCs w:val="20"/>
      <w:lang w:val="fr-FR" w:eastAsia="fr-FR"/>
    </w:rPr>
  </w:style>
  <w:style w:type="character" w:customStyle="1" w:styleId="JuParaCharChar">
    <w:name w:val="Ju_Para Char Char"/>
    <w:link w:val="JuParaChar"/>
    <w:rsid w:val="00765A7C"/>
    <w:rPr>
      <w:rFonts w:ascii="Times New Roman" w:eastAsia="Times New Roman" w:hAnsi="Times New Roman" w:cs="Times New Roman"/>
      <w:sz w:val="24"/>
      <w:szCs w:val="20"/>
      <w:lang w:val="fr-FR" w:eastAsia="fr-FR"/>
    </w:rPr>
  </w:style>
  <w:style w:type="character" w:customStyle="1" w:styleId="sb8d990e2">
    <w:name w:val="sb8d990e2"/>
    <w:rsid w:val="00765A7C"/>
  </w:style>
  <w:style w:type="character" w:customStyle="1" w:styleId="wordhighlighted">
    <w:name w:val="wordhighlighted"/>
    <w:rsid w:val="00765A7C"/>
  </w:style>
  <w:style w:type="character" w:customStyle="1" w:styleId="textcolumn">
    <w:name w:val="textcolumn"/>
    <w:basedOn w:val="Domylnaczcionkaakapitu"/>
    <w:rsid w:val="00765A7C"/>
    <w:rPr>
      <w:rFonts w:ascii="Times New Roman" w:hAnsi="Times New Roman" w:cs="Times New Roman"/>
    </w:rPr>
  </w:style>
  <w:style w:type="character" w:customStyle="1" w:styleId="JuHAChar">
    <w:name w:val="Ju_H_A Char"/>
    <w:basedOn w:val="Domylnaczcionkaakapitu"/>
    <w:link w:val="ECHRHeading2"/>
    <w:rsid w:val="00765A7C"/>
    <w:rPr>
      <w:rFonts w:asciiTheme="majorHAnsi" w:eastAsiaTheme="majorEastAsia" w:hAnsiTheme="majorHAnsi" w:cstheme="majorBidi"/>
      <w:b/>
      <w:bCs/>
      <w:sz w:val="24"/>
      <w:szCs w:val="26"/>
    </w:rPr>
  </w:style>
  <w:style w:type="paragraph" w:customStyle="1" w:styleId="s30eec3f8">
    <w:name w:val="s30eec3f8"/>
    <w:basedOn w:val="Normalny"/>
    <w:rsid w:val="00765A7C"/>
    <w:pPr>
      <w:suppressAutoHyphens/>
      <w:spacing w:before="100" w:beforeAutospacing="1" w:after="100" w:afterAutospacing="1"/>
      <w:jc w:val="left"/>
    </w:pPr>
    <w:rPr>
      <w:rFonts w:ascii="Times New Roman" w:eastAsia="Times New Roman" w:hAnsi="Times New Roman" w:cs="Times New Roman"/>
      <w:szCs w:val="24"/>
      <w:lang w:val="fr-FR" w:eastAsia="fr-FR"/>
    </w:rPr>
  </w:style>
  <w:style w:type="character" w:customStyle="1" w:styleId="sdfc50a6a">
    <w:name w:val="sdfc50a6a"/>
    <w:basedOn w:val="Domylnaczcionkaakapitu"/>
    <w:rsid w:val="00765A7C"/>
    <w:rPr>
      <w:rFonts w:ascii="Times New Roman" w:hAnsi="Times New Roman" w:cs="Times New Roman"/>
    </w:rPr>
  </w:style>
  <w:style w:type="character" w:customStyle="1" w:styleId="s6b621b36">
    <w:name w:val="s6b621b36"/>
    <w:rsid w:val="00765A7C"/>
  </w:style>
  <w:style w:type="character" w:customStyle="1" w:styleId="sea881cdf">
    <w:name w:val="sea881cdf"/>
    <w:rsid w:val="00765A7C"/>
  </w:style>
  <w:style w:type="character" w:customStyle="1" w:styleId="s7d2086b4">
    <w:name w:val="s7d2086b4"/>
    <w:basedOn w:val="Domylnaczcionkaakapitu"/>
    <w:rsid w:val="00765A7C"/>
    <w:rPr>
      <w:rFonts w:ascii="Times New Roman" w:hAnsi="Times New Roman" w:cs="Times New Roman"/>
    </w:rPr>
  </w:style>
  <w:style w:type="paragraph" w:styleId="Poprawka">
    <w:name w:val="Revision"/>
    <w:hidden/>
    <w:uiPriority w:val="99"/>
    <w:semiHidden/>
    <w:rsid w:val="00765A7C"/>
    <w:rPr>
      <w:rFonts w:eastAsiaTheme="minorEastAsia"/>
      <w:sz w:val="24"/>
    </w:rPr>
  </w:style>
  <w:style w:type="paragraph" w:customStyle="1" w:styleId="PubJuPara">
    <w:name w:val="Pub_Ju_Para"/>
    <w:basedOn w:val="NormalTimesNewRoman"/>
    <w:rsid w:val="00765A7C"/>
    <w:pPr>
      <w:ind w:firstLine="284"/>
      <w:jc w:val="both"/>
    </w:pPr>
  </w:style>
  <w:style w:type="paragraph" w:customStyle="1" w:styleId="PubJuQuot">
    <w:name w:val="Pub_Ju_Quot"/>
    <w:basedOn w:val="NormalTimesNewRoman"/>
    <w:rsid w:val="00765A7C"/>
    <w:pPr>
      <w:spacing w:before="120" w:after="120"/>
      <w:ind w:left="403" w:firstLine="176"/>
      <w:jc w:val="both"/>
    </w:pPr>
    <w:rPr>
      <w:sz w:val="20"/>
    </w:rPr>
  </w:style>
  <w:style w:type="paragraph" w:customStyle="1" w:styleId="PubListArticleSubject">
    <w:name w:val="Pub_List_ArticleSubject"/>
    <w:basedOn w:val="NormalTimesNewRoman"/>
    <w:rsid w:val="00765A7C"/>
    <w:pPr>
      <w:tabs>
        <w:tab w:val="left" w:pos="2977"/>
      </w:tabs>
      <w:ind w:left="2977" w:hanging="2977"/>
    </w:pPr>
  </w:style>
  <w:style w:type="paragraph" w:customStyle="1" w:styleId="OpiH10">
    <w:name w:val="Opi_H_1."/>
    <w:basedOn w:val="OpiHA"/>
    <w:next w:val="OpiPara"/>
    <w:rsid w:val="00765A7C"/>
    <w:pPr>
      <w:tabs>
        <w:tab w:val="clear" w:pos="357"/>
      </w:tabs>
      <w:spacing w:before="240" w:after="120"/>
      <w:ind w:left="635"/>
      <w:outlineLvl w:val="2"/>
    </w:pPr>
    <w:rPr>
      <w:rFonts w:ascii="Times New Roman" w:eastAsia="Times New Roman" w:hAnsi="Times New Roman" w:cs="Times New Roman"/>
      <w:i/>
      <w:szCs w:val="20"/>
      <w:lang w:val="fr-FR" w:eastAsia="fr-FR"/>
    </w:rPr>
  </w:style>
  <w:style w:type="paragraph" w:customStyle="1" w:styleId="PubListCaseNo">
    <w:name w:val="Pub_List_CaseNo"/>
    <w:basedOn w:val="NormalTimesNewRoman"/>
    <w:rsid w:val="00765A7C"/>
    <w:pPr>
      <w:tabs>
        <w:tab w:val="left" w:pos="1276"/>
      </w:tabs>
      <w:spacing w:line="288" w:lineRule="auto"/>
      <w:ind w:left="1276" w:hanging="1276"/>
    </w:pPr>
  </w:style>
  <w:style w:type="paragraph" w:customStyle="1" w:styleId="SuCoverTitle1">
    <w:name w:val="Su_Cover_Title1"/>
    <w:basedOn w:val="NormalTimesNewRoman"/>
    <w:next w:val="SuCoverTitle2"/>
    <w:rsid w:val="00765A7C"/>
    <w:pPr>
      <w:spacing w:before="2500"/>
      <w:jc w:val="center"/>
    </w:pPr>
    <w:rPr>
      <w:sz w:val="22"/>
    </w:rPr>
  </w:style>
  <w:style w:type="paragraph" w:customStyle="1" w:styleId="SuCoverTitle2">
    <w:name w:val="Su_Cover_Title2"/>
    <w:basedOn w:val="SuCoverTitle1"/>
    <w:next w:val="Normalny"/>
    <w:rsid w:val="00765A7C"/>
    <w:pPr>
      <w:spacing w:before="240"/>
    </w:pPr>
    <w:rPr>
      <w:sz w:val="18"/>
    </w:rPr>
  </w:style>
  <w:style w:type="paragraph" w:customStyle="1" w:styleId="SuPara">
    <w:name w:val="Su_Para"/>
    <w:basedOn w:val="SuKeywords"/>
    <w:rsid w:val="00765A7C"/>
    <w:pPr>
      <w:spacing w:before="0" w:after="0"/>
    </w:pPr>
    <w:rPr>
      <w:i w:val="0"/>
    </w:rPr>
  </w:style>
  <w:style w:type="paragraph" w:customStyle="1" w:styleId="SuKeywords">
    <w:name w:val="Su_Keywords"/>
    <w:basedOn w:val="SuHHead"/>
    <w:rsid w:val="00765A7C"/>
    <w:pPr>
      <w:spacing w:before="120"/>
    </w:pPr>
    <w:rPr>
      <w:b w:val="0"/>
      <w:i/>
    </w:rPr>
  </w:style>
  <w:style w:type="paragraph" w:customStyle="1" w:styleId="SuHHead">
    <w:name w:val="Su_H_Head"/>
    <w:basedOn w:val="SuSubject"/>
    <w:rsid w:val="00765A7C"/>
    <w:pPr>
      <w:spacing w:after="120"/>
    </w:pPr>
  </w:style>
  <w:style w:type="paragraph" w:customStyle="1" w:styleId="SuSubject">
    <w:name w:val="Su_Subject"/>
    <w:basedOn w:val="SuSummary"/>
    <w:rsid w:val="00765A7C"/>
    <w:pPr>
      <w:spacing w:before="360"/>
      <w:jc w:val="both"/>
    </w:pPr>
    <w:rPr>
      <w:b/>
      <w:sz w:val="22"/>
    </w:rPr>
  </w:style>
  <w:style w:type="paragraph" w:customStyle="1" w:styleId="SuSummary">
    <w:name w:val="Su_Summary"/>
    <w:basedOn w:val="NormalTimesNewRoman"/>
    <w:next w:val="SuSubject"/>
    <w:rsid w:val="00765A7C"/>
    <w:pPr>
      <w:spacing w:after="240"/>
      <w:jc w:val="center"/>
    </w:pPr>
  </w:style>
  <w:style w:type="paragraph" w:customStyle="1" w:styleId="PubListCases">
    <w:name w:val="Pub_List_Cases"/>
    <w:basedOn w:val="NormalTimesNewRoman"/>
    <w:rsid w:val="00765A7C"/>
    <w:pPr>
      <w:spacing w:line="288" w:lineRule="auto"/>
    </w:pPr>
  </w:style>
  <w:style w:type="paragraph" w:customStyle="1" w:styleId="PTextIntro">
    <w:name w:val="P_Text_Intro"/>
    <w:basedOn w:val="NormalTimesNewRoman"/>
    <w:rsid w:val="00765A7C"/>
    <w:pPr>
      <w:jc w:val="both"/>
    </w:pPr>
    <w:rPr>
      <w:i/>
      <w:sz w:val="20"/>
    </w:rPr>
  </w:style>
  <w:style w:type="paragraph" w:customStyle="1" w:styleId="PubTitleCover">
    <w:name w:val="Pub_Title_Cover"/>
    <w:basedOn w:val="NormalTimesNewRoman"/>
    <w:rsid w:val="00765A7C"/>
    <w:pPr>
      <w:spacing w:before="2500"/>
      <w:jc w:val="center"/>
    </w:pPr>
    <w:rPr>
      <w:b/>
      <w:smallCaps/>
      <w:sz w:val="30"/>
    </w:rPr>
  </w:style>
  <w:style w:type="paragraph" w:customStyle="1" w:styleId="PubTitle1Alpha">
    <w:name w:val="Pub_Title1_Alpha"/>
    <w:basedOn w:val="NormalTimesNewRoman"/>
    <w:next w:val="Normalny"/>
    <w:rsid w:val="00765A7C"/>
    <w:pPr>
      <w:spacing w:after="120"/>
      <w:jc w:val="center"/>
    </w:pPr>
    <w:rPr>
      <w:b/>
      <w:smallCaps/>
      <w:sz w:val="30"/>
    </w:rPr>
  </w:style>
  <w:style w:type="paragraph" w:customStyle="1" w:styleId="PubTitle1IndexArticle">
    <w:name w:val="Pub_Title1_IndexArticle"/>
    <w:basedOn w:val="NormalTimesNewRoman"/>
    <w:rsid w:val="00765A7C"/>
    <w:pPr>
      <w:spacing w:after="120"/>
      <w:jc w:val="center"/>
    </w:pPr>
    <w:rPr>
      <w:b/>
      <w:smallCaps/>
      <w:sz w:val="30"/>
    </w:rPr>
  </w:style>
  <w:style w:type="paragraph" w:customStyle="1" w:styleId="PubTitle1IndexKey">
    <w:name w:val="Pub_Title1_IndexKey"/>
    <w:basedOn w:val="NormalTimesNewRoman"/>
    <w:rsid w:val="00765A7C"/>
    <w:pPr>
      <w:spacing w:after="600"/>
      <w:jc w:val="center"/>
    </w:pPr>
    <w:rPr>
      <w:b/>
      <w:smallCaps/>
      <w:sz w:val="30"/>
    </w:rPr>
  </w:style>
  <w:style w:type="paragraph" w:customStyle="1" w:styleId="PubTitle1Num">
    <w:name w:val="Pub_Title1_Num"/>
    <w:basedOn w:val="NormalTimesNewRoman"/>
    <w:next w:val="PubListCaseNo"/>
    <w:rsid w:val="00765A7C"/>
    <w:pPr>
      <w:spacing w:after="720"/>
      <w:jc w:val="center"/>
    </w:pPr>
    <w:rPr>
      <w:b/>
      <w:smallCaps/>
      <w:sz w:val="30"/>
    </w:rPr>
  </w:style>
  <w:style w:type="paragraph" w:customStyle="1" w:styleId="PubTitle2Country">
    <w:name w:val="Pub_Title2_Country"/>
    <w:basedOn w:val="NormalTimesNewRoman"/>
    <w:next w:val="PubListCases"/>
    <w:rsid w:val="00765A7C"/>
    <w:pPr>
      <w:keepNext/>
      <w:keepLines/>
      <w:spacing w:before="600" w:after="360"/>
    </w:pPr>
    <w:rPr>
      <w:b/>
    </w:rPr>
  </w:style>
  <w:style w:type="paragraph" w:customStyle="1" w:styleId="PubTitle2Letters">
    <w:name w:val="Pub_Title2_Letters"/>
    <w:basedOn w:val="NormalTimesNewRoman"/>
    <w:next w:val="PubListCases"/>
    <w:rsid w:val="00765A7C"/>
    <w:pPr>
      <w:keepNext/>
      <w:keepLines/>
      <w:spacing w:before="600" w:after="360"/>
    </w:pPr>
    <w:rPr>
      <w:b/>
      <w:sz w:val="28"/>
    </w:rPr>
  </w:style>
  <w:style w:type="paragraph" w:customStyle="1" w:styleId="PubTitle2Part">
    <w:name w:val="Pub_Title2_Part"/>
    <w:basedOn w:val="NormalTimesNewRoman"/>
    <w:rsid w:val="00765A7C"/>
    <w:pPr>
      <w:keepNext/>
      <w:keepLines/>
      <w:spacing w:before="600" w:after="240"/>
      <w:jc w:val="center"/>
    </w:pPr>
    <w:rPr>
      <w:b/>
      <w:caps/>
    </w:rPr>
  </w:style>
  <w:style w:type="paragraph" w:customStyle="1" w:styleId="PubTitle3Article">
    <w:name w:val="Pub_Title3_Article"/>
    <w:basedOn w:val="NormalTimesNewRoman"/>
    <w:rsid w:val="00765A7C"/>
    <w:pPr>
      <w:keepNext/>
      <w:keepLines/>
      <w:spacing w:before="360" w:after="120"/>
      <w:jc w:val="center"/>
    </w:pPr>
    <w:rPr>
      <w:b/>
      <w:smallCaps/>
      <w:sz w:val="22"/>
    </w:rPr>
  </w:style>
  <w:style w:type="paragraph" w:customStyle="1" w:styleId="PubTitle4ArticleSub">
    <w:name w:val="Pub_Title4_Article_Sub"/>
    <w:basedOn w:val="PubTitle3Article"/>
    <w:rsid w:val="00765A7C"/>
    <w:pPr>
      <w:spacing w:before="240"/>
    </w:pPr>
    <w:rPr>
      <w:smallCaps w:val="0"/>
      <w:sz w:val="20"/>
    </w:rPr>
  </w:style>
  <w:style w:type="paragraph" w:customStyle="1" w:styleId="PubTitle5Subject">
    <w:name w:val="Pub_Title5_Subject"/>
    <w:basedOn w:val="NormalTimesNewRoman"/>
    <w:rsid w:val="00765A7C"/>
    <w:pPr>
      <w:keepNext/>
      <w:keepLines/>
      <w:spacing w:before="240" w:after="120"/>
      <w:jc w:val="both"/>
    </w:pPr>
    <w:rPr>
      <w:b/>
      <w:i/>
    </w:rPr>
  </w:style>
  <w:style w:type="paragraph" w:customStyle="1" w:styleId="PubTitle6SubjectSub">
    <w:name w:val="Pub_Title6_Subject_Sub"/>
    <w:basedOn w:val="NormalTimesNewRoman"/>
    <w:rsid w:val="00765A7C"/>
    <w:pPr>
      <w:keepNext/>
      <w:keepLines/>
      <w:spacing w:before="240" w:after="120"/>
      <w:ind w:left="284"/>
      <w:jc w:val="both"/>
    </w:pPr>
    <w:rPr>
      <w:b/>
      <w:sz w:val="20"/>
    </w:rPr>
  </w:style>
  <w:style w:type="paragraph" w:customStyle="1" w:styleId="PubTitle7CaseName">
    <w:name w:val="Pub_Title7_CaseName"/>
    <w:basedOn w:val="NormalTimesNewRoman"/>
    <w:rsid w:val="00765A7C"/>
    <w:pPr>
      <w:keepLines/>
      <w:spacing w:after="240"/>
      <w:jc w:val="right"/>
    </w:pPr>
    <w:rPr>
      <w:sz w:val="22"/>
    </w:rPr>
  </w:style>
  <w:style w:type="paragraph" w:customStyle="1" w:styleId="NormalTimesNewRoman">
    <w:name w:val="Normal_TimesNewRoman"/>
    <w:rsid w:val="00765A7C"/>
    <w:rPr>
      <w:rFonts w:ascii="Times New Roman" w:eastAsia="Times New Roman" w:hAnsi="Times New Roman" w:cs="Times New Roman"/>
      <w:sz w:val="24"/>
      <w:szCs w:val="20"/>
      <w:lang w:val="fr-FR" w:eastAsia="fr-FR"/>
    </w:rPr>
  </w:style>
  <w:style w:type="character" w:customStyle="1" w:styleId="DefaultTimesNewRoman">
    <w:name w:val="Default_TimesNewRoman"/>
    <w:basedOn w:val="Domylnaczcionkaakapitu"/>
    <w:rsid w:val="00765A7C"/>
    <w:rPr>
      <w:rFonts w:ascii="Times New Roman" w:hAnsi="Times New Roman" w:cs="Times New Roman"/>
    </w:rPr>
  </w:style>
  <w:style w:type="paragraph" w:customStyle="1" w:styleId="jupara">
    <w:name w:val="jupara"/>
    <w:basedOn w:val="Normalny"/>
    <w:rsid w:val="00765A7C"/>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765A7C"/>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E29DF8-95AD-4680-A76B-46DAFBF0E36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137B892-CCF4-4884-88DA-270C6209A2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9FED229C-7E43-42C4-8EAE-0253B648D1B4}">
  <ds:schemaRefs>
    <ds:schemaRef ds:uri="http://schemas.microsoft.com/sharepoint/v3/contenttype/forms"/>
  </ds:schemaRefs>
</ds:datastoreItem>
</file>

<file path=customXml/itemProps4.xml><?xml version="1.0" encoding="utf-8"?>
<ds:datastoreItem xmlns:ds="http://schemas.openxmlformats.org/officeDocument/2006/customXml" ds:itemID="{EB098C2B-3BF8-447B-A8DD-24C76E95AD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5707</Words>
  <Characters>34247</Characters>
  <Application>Microsoft Office Word</Application>
  <DocSecurity>0</DocSecurity>
  <Lines>285</Lines>
  <Paragraphs>79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39875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2014-09-11T08:58:00Z</cp:lastPrinted>
  <dcterms:created xsi:type="dcterms:W3CDTF">2016-06-14T09:37:00Z</dcterms:created>
  <dcterms:modified xsi:type="dcterms:W3CDTF">2016-06-14T09:37:00Z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