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01B9" w:rsidRDefault="00EE01B9" w:rsidP="002D2C99">
      <w:pPr>
        <w:pStyle w:val="ECHRDecisionBody"/>
        <w:jc w:val="center"/>
        <w:rPr>
          <w:lang w:val="fr-FR"/>
        </w:rPr>
      </w:pPr>
      <w:bookmarkStart w:id="0" w:name="_GoBack"/>
      <w:bookmarkEnd w:id="0"/>
    </w:p>
    <w:p w:rsidR="00EE01B9" w:rsidRPr="009F65DC" w:rsidRDefault="00EE01B9" w:rsidP="002D2C99">
      <w:pPr>
        <w:pStyle w:val="ECHRDecisionBody"/>
        <w:jc w:val="center"/>
        <w:rPr>
          <w:lang w:val="fr-FR"/>
        </w:rPr>
      </w:pPr>
    </w:p>
    <w:p w:rsidR="002D2C99" w:rsidRPr="009F65DC" w:rsidRDefault="002D2C99" w:rsidP="002D2C99">
      <w:pPr>
        <w:jc w:val="center"/>
        <w:rPr>
          <w:lang w:val="fr-FR"/>
        </w:rPr>
      </w:pPr>
    </w:p>
    <w:p w:rsidR="002D2C99" w:rsidRPr="009F65DC" w:rsidRDefault="00BC0135" w:rsidP="002D2C99">
      <w:pPr>
        <w:tabs>
          <w:tab w:val="left" w:pos="5529"/>
        </w:tabs>
        <w:jc w:val="center"/>
        <w:rPr>
          <w:lang w:val="fr-FR"/>
        </w:rPr>
      </w:pPr>
      <w:r>
        <w:rPr>
          <w:lang w:val="fr-FR"/>
        </w:rPr>
        <w:t>TROISIÈME SECTION</w:t>
      </w:r>
    </w:p>
    <w:p w:rsidR="002D2C99" w:rsidRPr="009F65DC" w:rsidRDefault="002D2C99" w:rsidP="002D2C99">
      <w:pPr>
        <w:jc w:val="center"/>
        <w:rPr>
          <w:lang w:val="fr-FR"/>
        </w:rPr>
      </w:pPr>
    </w:p>
    <w:p w:rsidR="002D2C99" w:rsidRPr="009F65DC" w:rsidRDefault="002D2C99" w:rsidP="002D2C99">
      <w:pPr>
        <w:jc w:val="center"/>
        <w:rPr>
          <w:lang w:val="fr-FR"/>
        </w:rPr>
      </w:pPr>
    </w:p>
    <w:p w:rsidR="002D2C99" w:rsidRPr="009F65DC" w:rsidRDefault="002D2C99" w:rsidP="002D2C99">
      <w:pPr>
        <w:jc w:val="center"/>
        <w:rPr>
          <w:lang w:val="fr-FR"/>
        </w:rPr>
      </w:pPr>
    </w:p>
    <w:p w:rsidR="002D2C99" w:rsidRDefault="002D2C99" w:rsidP="002D2C99">
      <w:pPr>
        <w:jc w:val="center"/>
        <w:rPr>
          <w:lang w:val="fr-FR"/>
        </w:rPr>
      </w:pPr>
    </w:p>
    <w:p w:rsidR="00876E01" w:rsidRDefault="00876E01" w:rsidP="002D2C99">
      <w:pPr>
        <w:jc w:val="center"/>
        <w:rPr>
          <w:lang w:val="fr-FR"/>
        </w:rPr>
      </w:pPr>
    </w:p>
    <w:p w:rsidR="00876E01" w:rsidRPr="009F65DC" w:rsidRDefault="00876E01" w:rsidP="002D2C99">
      <w:pPr>
        <w:jc w:val="center"/>
        <w:rPr>
          <w:lang w:val="fr-FR"/>
        </w:rPr>
      </w:pPr>
    </w:p>
    <w:p w:rsidR="002D2C99" w:rsidRPr="009F65DC" w:rsidRDefault="002D2C99" w:rsidP="002D2C99">
      <w:pPr>
        <w:jc w:val="center"/>
        <w:rPr>
          <w:lang w:val="fr-FR"/>
        </w:rPr>
      </w:pPr>
    </w:p>
    <w:p w:rsidR="002D2C99" w:rsidRPr="009F65DC" w:rsidRDefault="002D2C99" w:rsidP="002D2C99">
      <w:pPr>
        <w:jc w:val="center"/>
        <w:rPr>
          <w:lang w:val="fr-FR"/>
        </w:rPr>
      </w:pPr>
    </w:p>
    <w:p w:rsidR="002D2C99" w:rsidRPr="009F65DC" w:rsidRDefault="002D2C99" w:rsidP="002D2C99">
      <w:pPr>
        <w:jc w:val="center"/>
        <w:outlineLvl w:val="0"/>
        <w:rPr>
          <w:b/>
          <w:lang w:val="fr-FR"/>
        </w:rPr>
      </w:pPr>
      <w:r w:rsidRPr="009F65DC">
        <w:rPr>
          <w:b/>
          <w:lang w:val="fr-FR"/>
        </w:rPr>
        <w:t xml:space="preserve">AFFAIRE </w:t>
      </w:r>
      <w:r w:rsidR="00BC0135">
        <w:rPr>
          <w:b/>
          <w:lang w:val="fr-FR"/>
        </w:rPr>
        <w:t>A.C. ET AUTRES c. ESPAGNE</w:t>
      </w:r>
    </w:p>
    <w:p w:rsidR="002D2C99" w:rsidRPr="009F65DC" w:rsidRDefault="002D2C99" w:rsidP="002D2C99">
      <w:pPr>
        <w:jc w:val="center"/>
        <w:rPr>
          <w:lang w:val="fr-FR"/>
        </w:rPr>
      </w:pPr>
    </w:p>
    <w:p w:rsidR="002D2C99" w:rsidRPr="009F65DC" w:rsidRDefault="002D2C99" w:rsidP="002D2C99">
      <w:pPr>
        <w:jc w:val="center"/>
        <w:rPr>
          <w:i/>
          <w:lang w:val="fr-FR"/>
        </w:rPr>
      </w:pPr>
      <w:r w:rsidRPr="009F65DC">
        <w:rPr>
          <w:i/>
          <w:lang w:val="fr-FR"/>
        </w:rPr>
        <w:t>(Requête n</w:t>
      </w:r>
      <w:r w:rsidRPr="009F65DC">
        <w:rPr>
          <w:i/>
          <w:vertAlign w:val="superscript"/>
          <w:lang w:val="fr-FR"/>
        </w:rPr>
        <w:t>o</w:t>
      </w:r>
      <w:r w:rsidRPr="009F65DC">
        <w:rPr>
          <w:i/>
          <w:lang w:val="fr-FR"/>
        </w:rPr>
        <w:t xml:space="preserve"> </w:t>
      </w:r>
      <w:r w:rsidR="00BC0135">
        <w:rPr>
          <w:i/>
          <w:lang w:val="fr-FR"/>
        </w:rPr>
        <w:t>6528/11</w:t>
      </w:r>
      <w:r w:rsidRPr="009F65DC">
        <w:rPr>
          <w:i/>
          <w:lang w:val="fr-FR"/>
        </w:rPr>
        <w:t>)</w:t>
      </w:r>
    </w:p>
    <w:p w:rsidR="002D2C99" w:rsidRPr="009F65DC" w:rsidRDefault="002D2C99" w:rsidP="002D2C99">
      <w:pPr>
        <w:jc w:val="center"/>
        <w:rPr>
          <w:lang w:val="fr-FR"/>
        </w:rPr>
      </w:pPr>
    </w:p>
    <w:p w:rsidR="002D2C99" w:rsidRPr="009F65DC" w:rsidRDefault="002D2C99" w:rsidP="002D2C99">
      <w:pPr>
        <w:jc w:val="center"/>
        <w:rPr>
          <w:lang w:val="fr-FR"/>
        </w:rPr>
      </w:pPr>
    </w:p>
    <w:p w:rsidR="002D2C99" w:rsidRPr="009F65DC" w:rsidRDefault="002D2C99" w:rsidP="002D2C99">
      <w:pPr>
        <w:jc w:val="center"/>
        <w:rPr>
          <w:lang w:val="fr-FR"/>
        </w:rPr>
      </w:pPr>
    </w:p>
    <w:p w:rsidR="002D2C99" w:rsidRPr="009F65DC" w:rsidRDefault="002D2C99" w:rsidP="002D2C99">
      <w:pPr>
        <w:jc w:val="center"/>
        <w:rPr>
          <w:lang w:val="fr-FR"/>
        </w:rPr>
      </w:pPr>
    </w:p>
    <w:p w:rsidR="002D2C99" w:rsidRPr="009F65DC" w:rsidRDefault="002D2C99" w:rsidP="002D2C99">
      <w:pPr>
        <w:jc w:val="center"/>
        <w:rPr>
          <w:lang w:val="fr-FR"/>
        </w:rPr>
      </w:pPr>
    </w:p>
    <w:p w:rsidR="002D2C99" w:rsidRPr="009F65DC" w:rsidRDefault="002D2C99" w:rsidP="002D2C99">
      <w:pPr>
        <w:jc w:val="center"/>
        <w:rPr>
          <w:lang w:val="fr-FR"/>
        </w:rPr>
      </w:pPr>
    </w:p>
    <w:p w:rsidR="002D2C99" w:rsidRPr="009F65DC" w:rsidRDefault="002D2C99" w:rsidP="002D2C99">
      <w:pPr>
        <w:jc w:val="center"/>
        <w:outlineLvl w:val="0"/>
        <w:rPr>
          <w:lang w:val="fr-FR"/>
        </w:rPr>
      </w:pPr>
      <w:r w:rsidRPr="009F65DC">
        <w:rPr>
          <w:lang w:val="fr-FR"/>
        </w:rPr>
        <w:t>ARRÊT</w:t>
      </w:r>
    </w:p>
    <w:p w:rsidR="002D2C99" w:rsidRPr="009F65DC" w:rsidRDefault="002D2C99" w:rsidP="002D2C99">
      <w:pPr>
        <w:jc w:val="center"/>
        <w:rPr>
          <w:i/>
          <w:lang w:val="fr-FR"/>
        </w:rPr>
      </w:pPr>
    </w:p>
    <w:p w:rsidR="002D2C99" w:rsidRPr="009F65DC" w:rsidRDefault="002D2C99" w:rsidP="002D2C99">
      <w:pPr>
        <w:jc w:val="center"/>
        <w:rPr>
          <w:lang w:val="fr-FR"/>
        </w:rPr>
      </w:pPr>
    </w:p>
    <w:p w:rsidR="002D2C99" w:rsidRPr="009F65DC" w:rsidRDefault="002D2C99" w:rsidP="002D2C99">
      <w:pPr>
        <w:jc w:val="center"/>
        <w:outlineLvl w:val="0"/>
        <w:rPr>
          <w:lang w:val="fr-FR"/>
        </w:rPr>
      </w:pPr>
      <w:r w:rsidRPr="009F65DC">
        <w:rPr>
          <w:lang w:val="fr-FR"/>
        </w:rPr>
        <w:t>STRASBOURG</w:t>
      </w:r>
    </w:p>
    <w:p w:rsidR="002D2C99" w:rsidRPr="009F65DC" w:rsidRDefault="002D2C99" w:rsidP="002D2C99">
      <w:pPr>
        <w:jc w:val="center"/>
        <w:rPr>
          <w:lang w:val="fr-FR"/>
        </w:rPr>
      </w:pPr>
    </w:p>
    <w:p w:rsidR="002D2C99" w:rsidRPr="009F65DC" w:rsidRDefault="00BC0135" w:rsidP="002D2C99">
      <w:pPr>
        <w:jc w:val="center"/>
        <w:rPr>
          <w:lang w:val="fr-FR"/>
        </w:rPr>
      </w:pPr>
      <w:r>
        <w:rPr>
          <w:lang w:val="fr-FR"/>
        </w:rPr>
        <w:t>22 avril 2014</w:t>
      </w:r>
    </w:p>
    <w:p w:rsidR="002D2C99" w:rsidRPr="009F65DC" w:rsidRDefault="002D2C99" w:rsidP="002D2C99">
      <w:pPr>
        <w:jc w:val="center"/>
        <w:rPr>
          <w:lang w:val="fr-FR"/>
        </w:rPr>
      </w:pPr>
    </w:p>
    <w:p w:rsidR="002D2C99" w:rsidRDefault="002D2C99" w:rsidP="002D2C99">
      <w:pPr>
        <w:jc w:val="center"/>
        <w:rPr>
          <w:lang w:val="fr-FR"/>
        </w:rPr>
      </w:pPr>
    </w:p>
    <w:p w:rsidR="00876E01" w:rsidRDefault="00876E01" w:rsidP="002D2C99">
      <w:pPr>
        <w:jc w:val="center"/>
        <w:rPr>
          <w:lang w:val="fr-FR"/>
        </w:rPr>
      </w:pPr>
    </w:p>
    <w:p w:rsidR="00A977F5" w:rsidRDefault="00A977F5" w:rsidP="00A977F5">
      <w:pPr>
        <w:pStyle w:val="jucase0"/>
        <w:ind w:firstLine="0"/>
        <w:jc w:val="center"/>
        <w:rPr>
          <w:color w:val="FF0000"/>
          <w:sz w:val="28"/>
          <w:szCs w:val="28"/>
          <w:u w:val="single"/>
          <w:lang w:val="fr-FR"/>
        </w:rPr>
      </w:pPr>
      <w:r>
        <w:rPr>
          <w:color w:val="FF0000"/>
          <w:sz w:val="28"/>
          <w:szCs w:val="28"/>
          <w:u w:val="single"/>
          <w:lang w:val="fr-FR"/>
        </w:rPr>
        <w:t>DÉFINITIF</w:t>
      </w:r>
    </w:p>
    <w:p w:rsidR="00A977F5" w:rsidRDefault="00A977F5" w:rsidP="00A977F5">
      <w:pPr>
        <w:pStyle w:val="jupara"/>
        <w:tabs>
          <w:tab w:val="left" w:pos="3450"/>
        </w:tabs>
        <w:ind w:firstLine="0"/>
        <w:rPr>
          <w:color w:val="FF0000"/>
          <w:sz w:val="28"/>
          <w:szCs w:val="28"/>
          <w:lang w:val="fr-FR"/>
        </w:rPr>
      </w:pPr>
      <w:r>
        <w:rPr>
          <w:color w:val="FF0000"/>
          <w:sz w:val="28"/>
          <w:szCs w:val="28"/>
          <w:lang w:val="fr-FR"/>
        </w:rPr>
        <w:tab/>
      </w:r>
    </w:p>
    <w:p w:rsidR="00A977F5" w:rsidRDefault="00A977F5" w:rsidP="00A977F5">
      <w:pPr>
        <w:pStyle w:val="jupara"/>
        <w:ind w:firstLine="0"/>
        <w:jc w:val="center"/>
        <w:rPr>
          <w:color w:val="FF0000"/>
          <w:sz w:val="28"/>
          <w:szCs w:val="28"/>
          <w:lang w:val="fr-FR"/>
        </w:rPr>
      </w:pPr>
      <w:r>
        <w:rPr>
          <w:color w:val="FF0000"/>
          <w:sz w:val="28"/>
          <w:szCs w:val="28"/>
          <w:lang w:val="fr-FR"/>
        </w:rPr>
        <w:t>22/07/2014</w:t>
      </w:r>
    </w:p>
    <w:p w:rsidR="00A977F5" w:rsidRDefault="00A977F5" w:rsidP="00A977F5">
      <w:pPr>
        <w:jc w:val="center"/>
        <w:rPr>
          <w:u w:val="single"/>
          <w:lang w:val="fr-FR"/>
        </w:rPr>
      </w:pPr>
    </w:p>
    <w:p w:rsidR="00A977F5" w:rsidRDefault="00A977F5" w:rsidP="00A977F5">
      <w:pPr>
        <w:rPr>
          <w:i/>
          <w:iCs/>
          <w:sz w:val="22"/>
          <w:lang w:val="fr-FR"/>
        </w:rPr>
      </w:pPr>
      <w:r>
        <w:rPr>
          <w:i/>
          <w:iCs/>
          <w:sz w:val="22"/>
          <w:lang w:val="fr-FR"/>
        </w:rPr>
        <w:t>Cet arrêt est devenu définitif en vertu de l’article 44 § 2 de la Convention. Il peut subir des retouches de forme.</w:t>
      </w:r>
    </w:p>
    <w:p w:rsidR="002D2C99" w:rsidRDefault="002D2C99" w:rsidP="002D2C99">
      <w:pPr>
        <w:rPr>
          <w:lang w:val="fr-FR"/>
        </w:rPr>
      </w:pPr>
    </w:p>
    <w:p w:rsidR="00876E01" w:rsidRPr="009F65DC" w:rsidRDefault="00876E01" w:rsidP="002D2C99">
      <w:pPr>
        <w:rPr>
          <w:lang w:val="fr-FR"/>
        </w:rPr>
        <w:sectPr w:rsidR="00876E01" w:rsidRPr="009F65DC">
          <w:headerReference w:type="default" r:id="rId12"/>
          <w:footerReference w:type="default" r:id="rId13"/>
          <w:pgSz w:w="11906" w:h="16838" w:code="9"/>
          <w:pgMar w:top="2274" w:right="2274" w:bottom="2274" w:left="2274" w:header="1701" w:footer="720" w:gutter="0"/>
          <w:pgNumType w:start="1"/>
          <w:cols w:space="720"/>
          <w:noEndnote/>
        </w:sectPr>
      </w:pPr>
    </w:p>
    <w:p w:rsidR="00BC0135" w:rsidRPr="003B6353" w:rsidRDefault="00BC0135" w:rsidP="00BC0135">
      <w:pPr>
        <w:ind w:firstLine="284"/>
        <w:rPr>
          <w:b/>
          <w:lang w:val="fr-FR" w:eastAsia="fr-FR"/>
        </w:rPr>
      </w:pPr>
      <w:r w:rsidRPr="003B6353">
        <w:rPr>
          <w:b/>
          <w:lang w:val="fr-FR" w:eastAsia="fr-FR"/>
        </w:rPr>
        <w:lastRenderedPageBreak/>
        <w:t>En l</w:t>
      </w:r>
      <w:r w:rsidR="00A977F5">
        <w:rPr>
          <w:b/>
          <w:lang w:val="fr-FR" w:eastAsia="fr-FR"/>
        </w:rPr>
        <w:t>’</w:t>
      </w:r>
      <w:r w:rsidRPr="003B6353">
        <w:rPr>
          <w:b/>
          <w:lang w:val="fr-FR" w:eastAsia="fr-FR"/>
        </w:rPr>
        <w:t xml:space="preserve">affaire A.C. </w:t>
      </w:r>
      <w:r w:rsidR="003B6353" w:rsidRPr="003B6353">
        <w:rPr>
          <w:b/>
          <w:lang w:val="fr-FR" w:eastAsia="fr-FR"/>
        </w:rPr>
        <w:t xml:space="preserve">et autres </w:t>
      </w:r>
      <w:r w:rsidRPr="003B6353">
        <w:rPr>
          <w:b/>
          <w:lang w:val="fr-FR" w:eastAsia="fr-FR"/>
        </w:rPr>
        <w:t>c. Espagne,</w:t>
      </w:r>
    </w:p>
    <w:p w:rsidR="00BC0135" w:rsidRPr="00BC0135" w:rsidRDefault="00BC0135" w:rsidP="00BC0135">
      <w:pPr>
        <w:rPr>
          <w:lang w:val="fr-FR" w:eastAsia="fr-FR"/>
        </w:rPr>
      </w:pPr>
      <w:r w:rsidRPr="00BC0135">
        <w:rPr>
          <w:lang w:val="fr-FR" w:eastAsia="fr-FR"/>
        </w:rPr>
        <w:t>La Cour européenne des droits de l</w:t>
      </w:r>
      <w:r w:rsidR="00A977F5">
        <w:rPr>
          <w:lang w:val="fr-FR" w:eastAsia="fr-FR"/>
        </w:rPr>
        <w:t>’</w:t>
      </w:r>
      <w:r w:rsidRPr="00BC0135">
        <w:rPr>
          <w:lang w:val="fr-FR" w:eastAsia="fr-FR"/>
        </w:rPr>
        <w:t xml:space="preserve">homme (troisième section), siégeant en </w:t>
      </w:r>
      <w:r w:rsidRPr="00BC0135">
        <w:rPr>
          <w:noProof/>
          <w:lang w:val="fr-FR" w:eastAsia="fr-FR"/>
        </w:rPr>
        <w:t>une chambre composée</w:t>
      </w:r>
      <w:r w:rsidRPr="00BC0135">
        <w:rPr>
          <w:lang w:val="fr-FR" w:eastAsia="fr-FR"/>
        </w:rPr>
        <w:t xml:space="preserve"> de :</w:t>
      </w:r>
    </w:p>
    <w:p w:rsidR="00BC0135" w:rsidRPr="00BC0135" w:rsidRDefault="00BC0135" w:rsidP="00BC0135">
      <w:pPr>
        <w:tabs>
          <w:tab w:val="left" w:pos="567"/>
          <w:tab w:val="left" w:pos="1134"/>
        </w:tabs>
        <w:jc w:val="left"/>
        <w:rPr>
          <w:lang w:val="fr-FR" w:eastAsia="fr-FR"/>
        </w:rPr>
      </w:pPr>
      <w:r w:rsidRPr="00BC0135">
        <w:rPr>
          <w:lang w:val="fr-FR" w:eastAsia="fr-FR"/>
        </w:rPr>
        <w:tab/>
        <w:t>Josep Casadevall,</w:t>
      </w:r>
      <w:r w:rsidRPr="00BC0135">
        <w:rPr>
          <w:i/>
          <w:lang w:val="fr-FR" w:eastAsia="fr-FR"/>
        </w:rPr>
        <w:t xml:space="preserve"> président,</w:t>
      </w:r>
      <w:r w:rsidRPr="00BC0135">
        <w:rPr>
          <w:i/>
          <w:lang w:val="fr-FR" w:eastAsia="fr-FR"/>
        </w:rPr>
        <w:br/>
      </w:r>
      <w:r w:rsidRPr="00BC0135">
        <w:rPr>
          <w:lang w:val="fr-FR" w:eastAsia="fr-FR"/>
        </w:rPr>
        <w:tab/>
        <w:t>Alvina Gyulumyan,</w:t>
      </w:r>
      <w:r w:rsidRPr="00BC0135">
        <w:rPr>
          <w:i/>
          <w:lang w:val="fr-FR" w:eastAsia="fr-FR"/>
        </w:rPr>
        <w:br/>
      </w:r>
      <w:r w:rsidRPr="00BC0135">
        <w:rPr>
          <w:lang w:val="fr-FR" w:eastAsia="fr-FR"/>
        </w:rPr>
        <w:tab/>
        <w:t>Ján Šikuta,</w:t>
      </w:r>
      <w:r w:rsidRPr="00BC0135">
        <w:rPr>
          <w:i/>
          <w:lang w:val="fr-FR" w:eastAsia="fr-FR"/>
        </w:rPr>
        <w:br/>
      </w:r>
      <w:r w:rsidRPr="00BC0135">
        <w:rPr>
          <w:lang w:val="fr-FR" w:eastAsia="fr-FR"/>
        </w:rPr>
        <w:tab/>
        <w:t>Dragoljub Popović,</w:t>
      </w:r>
      <w:r w:rsidRPr="00BC0135">
        <w:rPr>
          <w:i/>
          <w:lang w:val="fr-FR" w:eastAsia="fr-FR"/>
        </w:rPr>
        <w:br/>
      </w:r>
      <w:r w:rsidRPr="00BC0135">
        <w:rPr>
          <w:lang w:val="fr-FR" w:eastAsia="fr-FR"/>
        </w:rPr>
        <w:tab/>
        <w:t>Luis López Guerra,</w:t>
      </w:r>
      <w:r w:rsidRPr="00BC0135">
        <w:rPr>
          <w:i/>
          <w:lang w:val="fr-FR" w:eastAsia="fr-FR"/>
        </w:rPr>
        <w:br/>
      </w:r>
      <w:r w:rsidRPr="00BC0135">
        <w:rPr>
          <w:lang w:val="fr-FR" w:eastAsia="fr-FR"/>
        </w:rPr>
        <w:tab/>
        <w:t>Johannes Silvis,</w:t>
      </w:r>
      <w:r w:rsidRPr="00BC0135">
        <w:rPr>
          <w:i/>
          <w:lang w:val="fr-FR" w:eastAsia="fr-FR"/>
        </w:rPr>
        <w:br/>
      </w:r>
      <w:r w:rsidRPr="00BC0135">
        <w:rPr>
          <w:lang w:val="fr-FR" w:eastAsia="fr-FR"/>
        </w:rPr>
        <w:tab/>
        <w:t>Valeriu Griţco,</w:t>
      </w:r>
      <w:r w:rsidRPr="00BC0135">
        <w:rPr>
          <w:i/>
          <w:lang w:val="fr-FR" w:eastAsia="fr-FR"/>
        </w:rPr>
        <w:t xml:space="preserve"> juges,</w:t>
      </w:r>
      <w:r w:rsidRPr="00BC0135">
        <w:rPr>
          <w:lang w:val="fr-FR" w:eastAsia="fr-FR"/>
        </w:rPr>
        <w:br/>
        <w:t xml:space="preserve">et de </w:t>
      </w:r>
      <w:r w:rsidRPr="00BC0135">
        <w:rPr>
          <w:noProof/>
          <w:lang w:val="fr-FR" w:eastAsia="fr-FR"/>
        </w:rPr>
        <w:t>Santiago Quesada</w:t>
      </w:r>
      <w:r w:rsidRPr="00BC0135">
        <w:rPr>
          <w:lang w:val="fr-FR" w:eastAsia="fr-FR"/>
        </w:rPr>
        <w:t xml:space="preserve">, </w:t>
      </w:r>
      <w:r w:rsidRPr="00BC0135">
        <w:rPr>
          <w:i/>
          <w:noProof/>
          <w:lang w:val="fr-FR" w:eastAsia="fr-FR"/>
        </w:rPr>
        <w:t>greffier</w:t>
      </w:r>
      <w:r w:rsidRPr="00BC0135">
        <w:rPr>
          <w:iCs/>
          <w:noProof/>
          <w:lang w:val="fr-FR" w:eastAsia="fr-FR"/>
        </w:rPr>
        <w:t xml:space="preserve"> </w:t>
      </w:r>
      <w:r w:rsidRPr="00BC0135">
        <w:rPr>
          <w:i/>
          <w:iCs/>
          <w:noProof/>
          <w:lang w:val="fr-FR" w:eastAsia="fr-FR"/>
        </w:rPr>
        <w:t>d</w:t>
      </w:r>
      <w:r w:rsidRPr="00BC0135">
        <w:rPr>
          <w:i/>
          <w:noProof/>
          <w:lang w:val="fr-FR" w:eastAsia="fr-FR"/>
        </w:rPr>
        <w:t>e section</w:t>
      </w:r>
      <w:r w:rsidRPr="00BC0135">
        <w:rPr>
          <w:i/>
          <w:lang w:val="fr-FR" w:eastAsia="fr-FR"/>
        </w:rPr>
        <w:t>,</w:t>
      </w:r>
    </w:p>
    <w:p w:rsidR="00BC0135" w:rsidRPr="00BC0135" w:rsidRDefault="00BC0135" w:rsidP="00BC0135">
      <w:pPr>
        <w:ind w:firstLine="284"/>
        <w:rPr>
          <w:lang w:val="fr-FR" w:eastAsia="fr-FR"/>
        </w:rPr>
      </w:pPr>
      <w:r w:rsidRPr="00BC0135">
        <w:rPr>
          <w:lang w:val="fr-FR" w:eastAsia="fr-FR"/>
        </w:rPr>
        <w:t>Après en avoir délibéré en chambre du conseil le 1</w:t>
      </w:r>
      <w:r w:rsidRPr="00BC0135">
        <w:rPr>
          <w:vertAlign w:val="superscript"/>
          <w:lang w:val="fr-FR" w:eastAsia="fr-FR"/>
        </w:rPr>
        <w:t>er</w:t>
      </w:r>
      <w:r w:rsidRPr="00BC0135">
        <w:rPr>
          <w:lang w:val="fr-FR" w:eastAsia="fr-FR"/>
        </w:rPr>
        <w:t xml:space="preserve"> avril 2014,</w:t>
      </w:r>
    </w:p>
    <w:p w:rsidR="00BC0135" w:rsidRPr="00BC0135" w:rsidRDefault="00BC0135" w:rsidP="00BC0135">
      <w:pPr>
        <w:ind w:firstLine="284"/>
        <w:rPr>
          <w:lang w:val="fr-FR" w:eastAsia="fr-FR"/>
        </w:rPr>
      </w:pPr>
      <w:r w:rsidRPr="00BC0135">
        <w:rPr>
          <w:lang w:val="fr-FR" w:eastAsia="fr-FR"/>
        </w:rPr>
        <w:t>Rend l</w:t>
      </w:r>
      <w:r w:rsidR="00A977F5">
        <w:rPr>
          <w:lang w:val="fr-FR" w:eastAsia="fr-FR"/>
        </w:rPr>
        <w:t>’</w:t>
      </w:r>
      <w:r w:rsidRPr="00BC0135">
        <w:rPr>
          <w:lang w:val="fr-FR" w:eastAsia="fr-FR"/>
        </w:rPr>
        <w:t>arrêt que voici, adopté à cette date :</w:t>
      </w:r>
    </w:p>
    <w:p w:rsidR="00BC0135" w:rsidRPr="00BC0135" w:rsidRDefault="00BC0135" w:rsidP="00C46132">
      <w:pPr>
        <w:pStyle w:val="ECHRTitle1"/>
        <w:rPr>
          <w:lang w:val="fr-FR" w:eastAsia="fr-FR"/>
        </w:rPr>
      </w:pPr>
      <w:r w:rsidRPr="00BC0135">
        <w:rPr>
          <w:lang w:val="fr-FR" w:eastAsia="fr-FR"/>
        </w:rPr>
        <w:t>PROCÉDURE</w:t>
      </w:r>
    </w:p>
    <w:p w:rsidR="00BC0135" w:rsidRP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\r1</w:instrText>
      </w:r>
      <w:r w:rsidRPr="00BC0135">
        <w:rPr>
          <w:lang w:val="fr-FR" w:eastAsia="fr-FR"/>
        </w:rPr>
        <w:fldChar w:fldCharType="begin"/>
      </w:r>
      <w:r w:rsidRPr="00BC0135">
        <w:rPr>
          <w:lang w:val="fr-FR" w:eastAsia="fr-FR"/>
        </w:rPr>
        <w:instrText xml:space="preserve"> .  SEQ level0 \*arabic </w:instrText>
      </w:r>
      <w:r w:rsidRPr="00BC0135">
        <w:rPr>
          <w:lang w:val="fr-FR" w:eastAsia="fr-FR"/>
        </w:rPr>
        <w:fldChar w:fldCharType="separate"/>
      </w:r>
      <w:r w:rsidRPr="00BC0135">
        <w:rPr>
          <w:noProof/>
          <w:lang w:val="fr-FR" w:eastAsia="fr-FR"/>
        </w:rPr>
        <w:instrText>1</w:instrText>
      </w:r>
      <w:r w:rsidRPr="00BC0135">
        <w:rPr>
          <w:noProof/>
          <w:lang w:val="fr-FR" w:eastAsia="fr-FR"/>
        </w:rPr>
        <w:fldChar w:fldCharType="end"/>
      </w:r>
      <w:r w:rsidRPr="00BC0135">
        <w:rPr>
          <w:lang w:val="fr-FR" w:eastAsia="fr-FR"/>
        </w:rPr>
        <w:instrText xml:space="preserve">.   </w:instrText>
      </w:r>
      <w:r w:rsidRPr="00BC0135">
        <w:rPr>
          <w:lang w:val="fr-FR" w:eastAsia="fr-FR"/>
        </w:rPr>
        <w:fldChar w:fldCharType="separate"/>
      </w:r>
      <w:r w:rsidR="000A2932">
        <w:rPr>
          <w:noProof/>
          <w:lang w:val="fr-FR" w:eastAsia="fr-FR"/>
        </w:rPr>
        <w:t>1</w:t>
      </w:r>
      <w:r w:rsidRPr="00BC0135">
        <w:rPr>
          <w:lang w:val="fr-FR" w:eastAsia="fr-FR"/>
        </w:rPr>
        <w:fldChar w:fldCharType="end"/>
      </w:r>
      <w:r w:rsidRPr="00BC0135">
        <w:rPr>
          <w:lang w:val="fr-FR" w:eastAsia="fr-FR"/>
        </w:rPr>
        <w:t>.  À l</w:t>
      </w:r>
      <w:r w:rsidR="00A977F5">
        <w:rPr>
          <w:lang w:val="fr-FR" w:eastAsia="fr-FR"/>
        </w:rPr>
        <w:t>’</w:t>
      </w:r>
      <w:r w:rsidRPr="00BC0135">
        <w:rPr>
          <w:lang w:val="fr-FR" w:eastAsia="fr-FR"/>
        </w:rPr>
        <w:t>origine de l</w:t>
      </w:r>
      <w:r w:rsidR="00A977F5">
        <w:rPr>
          <w:lang w:val="fr-FR" w:eastAsia="fr-FR"/>
        </w:rPr>
        <w:t>’</w:t>
      </w:r>
      <w:r w:rsidRPr="00BC0135">
        <w:rPr>
          <w:lang w:val="fr-FR" w:eastAsia="fr-FR"/>
        </w:rPr>
        <w:t xml:space="preserve">affaire </w:t>
      </w:r>
      <w:r w:rsidRPr="00BC0135">
        <w:rPr>
          <w:noProof/>
          <w:lang w:val="fr-FR" w:eastAsia="fr-FR"/>
        </w:rPr>
        <w:t>se trouvent trente requêtes (voir détails en annexe) dirigées</w:t>
      </w:r>
      <w:r w:rsidRPr="00BC0135">
        <w:rPr>
          <w:lang w:val="fr-FR" w:eastAsia="fr-FR"/>
        </w:rPr>
        <w:t xml:space="preserve"> contre le Royaume d</w:t>
      </w:r>
      <w:r w:rsidR="00A977F5">
        <w:rPr>
          <w:lang w:val="fr-FR" w:eastAsia="fr-FR"/>
        </w:rPr>
        <w:t>’</w:t>
      </w:r>
      <w:r w:rsidRPr="00BC0135">
        <w:rPr>
          <w:lang w:val="fr-FR" w:eastAsia="fr-FR"/>
        </w:rPr>
        <w:t xml:space="preserve">Espagne et dont </w:t>
      </w:r>
      <w:r w:rsidRPr="00BC0135">
        <w:rPr>
          <w:noProof/>
          <w:lang w:val="fr-FR" w:eastAsia="fr-FR"/>
        </w:rPr>
        <w:t>trente personnes se déclarant d</w:t>
      </w:r>
      <w:r w:rsidR="00A977F5">
        <w:rPr>
          <w:noProof/>
          <w:lang w:val="fr-FR" w:eastAsia="fr-FR"/>
        </w:rPr>
        <w:t>’</w:t>
      </w:r>
      <w:r w:rsidRPr="00BC0135">
        <w:rPr>
          <w:noProof/>
          <w:lang w:val="fr-FR" w:eastAsia="fr-FR"/>
        </w:rPr>
        <w:t>origine sahraouie (« les requérants ») ont saisi la Cour les 28 et 31 janvier 2011, le 28 mars 2011, le 27 septembre 2012 et le 2 octobre 2012 respectivement</w:t>
      </w:r>
      <w:r w:rsidRPr="00BC0135">
        <w:rPr>
          <w:lang w:val="fr-FR" w:eastAsia="fr-FR"/>
        </w:rPr>
        <w:t xml:space="preserve"> en vertu de </w:t>
      </w:r>
      <w:r w:rsidRPr="00BC0135">
        <w:rPr>
          <w:noProof/>
          <w:lang w:val="fr-FR" w:eastAsia="fr-FR"/>
        </w:rPr>
        <w:t>l</w:t>
      </w:r>
      <w:r w:rsidR="00A977F5">
        <w:rPr>
          <w:noProof/>
          <w:lang w:val="fr-FR" w:eastAsia="fr-FR"/>
        </w:rPr>
        <w:t>’</w:t>
      </w:r>
      <w:r w:rsidRPr="00BC0135">
        <w:rPr>
          <w:noProof/>
          <w:lang w:val="fr-FR" w:eastAsia="fr-FR"/>
        </w:rPr>
        <w:t>article 34</w:t>
      </w:r>
      <w:r w:rsidRPr="00BC0135">
        <w:rPr>
          <w:lang w:val="fr-FR" w:eastAsia="fr-FR"/>
        </w:rPr>
        <w:t xml:space="preserve"> de la Convention de sauvegarde des droits de l</w:t>
      </w:r>
      <w:r w:rsidR="00A977F5">
        <w:rPr>
          <w:lang w:val="fr-FR" w:eastAsia="fr-FR"/>
        </w:rPr>
        <w:t>’</w:t>
      </w:r>
      <w:r w:rsidRPr="00BC0135">
        <w:rPr>
          <w:lang w:val="fr-FR" w:eastAsia="fr-FR"/>
        </w:rPr>
        <w:t>homme et des libertés fondamentales (« la Convention »).</w:t>
      </w:r>
      <w:r w:rsidRPr="00BC0135">
        <w:rPr>
          <w:noProof/>
          <w:lang w:val="fr-FR" w:eastAsia="fr-FR"/>
        </w:rPr>
        <w:t xml:space="preserve"> Le président de la section a décidé que l</w:t>
      </w:r>
      <w:r w:rsidR="00A977F5">
        <w:rPr>
          <w:noProof/>
          <w:lang w:val="fr-FR" w:eastAsia="fr-FR"/>
        </w:rPr>
        <w:t>’</w:t>
      </w:r>
      <w:r w:rsidRPr="00BC0135">
        <w:rPr>
          <w:noProof/>
          <w:lang w:val="fr-FR" w:eastAsia="fr-FR"/>
        </w:rPr>
        <w:t>identité des requérants ne serait pas divulguée (article 47 § 3 du règlement).</w:t>
      </w:r>
    </w:p>
    <w:p w:rsidR="00BC0135" w:rsidRP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2</w:t>
      </w:r>
      <w:r w:rsidRPr="00BC0135">
        <w:rPr>
          <w:noProof/>
          <w:lang w:val="fr-FR" w:eastAsia="fr-FR"/>
        </w:rPr>
        <w:fldChar w:fldCharType="end"/>
      </w:r>
      <w:r w:rsidRPr="00BC0135">
        <w:rPr>
          <w:lang w:val="fr-FR" w:eastAsia="fr-FR"/>
        </w:rPr>
        <w:t>.  </w:t>
      </w:r>
      <w:r w:rsidRPr="00BC0135">
        <w:rPr>
          <w:noProof/>
          <w:lang w:val="fr-FR" w:eastAsia="fr-FR"/>
        </w:rPr>
        <w:t>Les requérants ont été représentés respectivement (voir détails en annexe) par M</w:t>
      </w:r>
      <w:r w:rsidRPr="00BC0135">
        <w:rPr>
          <w:noProof/>
          <w:vertAlign w:val="superscript"/>
          <w:lang w:val="fr-FR" w:eastAsia="fr-FR"/>
        </w:rPr>
        <w:t>es</w:t>
      </w:r>
      <w:r w:rsidRPr="00BC0135">
        <w:rPr>
          <w:noProof/>
          <w:lang w:val="fr-FR" w:eastAsia="fr-FR"/>
        </w:rPr>
        <w:t> E. Gracia Cano, M. Valiente Ots et B. Alfonso Camacho, avocats de l</w:t>
      </w:r>
      <w:r w:rsidR="00A977F5">
        <w:rPr>
          <w:noProof/>
          <w:lang w:val="fr-FR" w:eastAsia="fr-FR"/>
        </w:rPr>
        <w:t>’</w:t>
      </w:r>
      <w:r w:rsidRPr="00BC0135">
        <w:rPr>
          <w:noProof/>
          <w:lang w:val="fr-FR" w:eastAsia="fr-FR"/>
        </w:rPr>
        <w:t>organisation non gouvernementale CEAR (Commission espagnole d</w:t>
      </w:r>
      <w:r w:rsidR="00A977F5">
        <w:rPr>
          <w:noProof/>
          <w:lang w:val="fr-FR" w:eastAsia="fr-FR"/>
        </w:rPr>
        <w:t>’</w:t>
      </w:r>
      <w:r w:rsidRPr="00BC0135">
        <w:rPr>
          <w:noProof/>
          <w:lang w:val="fr-FR" w:eastAsia="fr-FR"/>
        </w:rPr>
        <w:t xml:space="preserve">aide aux réfugiés). </w:t>
      </w:r>
      <w:r w:rsidRPr="00BC0135">
        <w:rPr>
          <w:lang w:val="fr-FR" w:eastAsia="fr-FR"/>
        </w:rPr>
        <w:t>Le gouvernement espagnol (« le Gouvernement ») a été représenté par son agent, F. de A. Sanz Gandasegui, avocat de l</w:t>
      </w:r>
      <w:r w:rsidR="00A977F5">
        <w:rPr>
          <w:lang w:val="fr-FR" w:eastAsia="fr-FR"/>
        </w:rPr>
        <w:t>’</w:t>
      </w:r>
      <w:r w:rsidRPr="00BC0135">
        <w:rPr>
          <w:lang w:val="fr-FR" w:eastAsia="fr-FR"/>
        </w:rPr>
        <w:t>État, chef du service juridique des droits de l</w:t>
      </w:r>
      <w:r w:rsidR="00A977F5">
        <w:rPr>
          <w:lang w:val="fr-FR" w:eastAsia="fr-FR"/>
        </w:rPr>
        <w:t>’</w:t>
      </w:r>
      <w:r w:rsidRPr="00BC0135">
        <w:rPr>
          <w:lang w:val="fr-FR" w:eastAsia="fr-FR"/>
        </w:rPr>
        <w:t>homme au ministère de la Justice.</w:t>
      </w:r>
    </w:p>
    <w:p w:rsidR="00BC0135" w:rsidRDefault="00BC0135" w:rsidP="00BC0135">
      <w:pPr>
        <w:ind w:firstLine="284"/>
        <w:rPr>
          <w:noProof/>
          <w:lang w:val="fr-FR" w:eastAsia="fr-FR"/>
        </w:rPr>
      </w:pPr>
      <w:r w:rsidRPr="00BC0135">
        <w:rPr>
          <w:noProof/>
          <w:lang w:val="fr-FR" w:eastAsia="fr-FR"/>
        </w:rPr>
        <w:fldChar w:fldCharType="begin"/>
      </w:r>
      <w:r w:rsidRPr="00BC0135">
        <w:rPr>
          <w:noProof/>
          <w:lang w:val="fr-FR" w:eastAsia="fr-FR"/>
        </w:rPr>
        <w:instrText xml:space="preserve"> SEQ level0 \*arabic </w:instrText>
      </w:r>
      <w:r w:rsidRPr="00BC0135">
        <w:rPr>
          <w:noProof/>
          <w:lang w:val="fr-FR" w:eastAsia="fr-FR"/>
        </w:rPr>
        <w:fldChar w:fldCharType="separate"/>
      </w:r>
      <w:r w:rsidR="000A2932">
        <w:rPr>
          <w:noProof/>
          <w:lang w:val="fr-FR" w:eastAsia="fr-FR"/>
        </w:rPr>
        <w:t>3</w:t>
      </w:r>
      <w:r w:rsidRPr="00BC0135">
        <w:rPr>
          <w:noProof/>
          <w:lang w:val="fr-FR" w:eastAsia="fr-FR"/>
        </w:rPr>
        <w:fldChar w:fldCharType="end"/>
      </w:r>
      <w:r w:rsidRPr="00BC0135">
        <w:rPr>
          <w:noProof/>
          <w:lang w:val="fr-FR" w:eastAsia="fr-FR"/>
        </w:rPr>
        <w:t>.  Les requêtes concernent des procédures de renvoi des requérants vers le Maroc (Sahara occidental). D</w:t>
      </w:r>
      <w:r w:rsidR="00A977F5">
        <w:rPr>
          <w:noProof/>
          <w:lang w:val="fr-FR" w:eastAsia="fr-FR"/>
        </w:rPr>
        <w:t>’</w:t>
      </w:r>
      <w:r w:rsidRPr="00BC0135">
        <w:rPr>
          <w:noProof/>
          <w:lang w:val="fr-FR" w:eastAsia="fr-FR"/>
        </w:rPr>
        <w:t>origine sahraouie, les requérants craignent, s</w:t>
      </w:r>
      <w:r w:rsidR="00A977F5">
        <w:rPr>
          <w:noProof/>
          <w:lang w:val="fr-FR" w:eastAsia="fr-FR"/>
        </w:rPr>
        <w:t>’</w:t>
      </w:r>
      <w:r w:rsidRPr="00BC0135">
        <w:rPr>
          <w:noProof/>
          <w:lang w:val="fr-FR" w:eastAsia="fr-FR"/>
        </w:rPr>
        <w:t>ils venaient à être expulsés, de faire l</w:t>
      </w:r>
      <w:r w:rsidR="00A977F5">
        <w:rPr>
          <w:noProof/>
          <w:lang w:val="fr-FR" w:eastAsia="fr-FR"/>
        </w:rPr>
        <w:t>’</w:t>
      </w:r>
      <w:r w:rsidRPr="00BC0135">
        <w:rPr>
          <w:noProof/>
          <w:lang w:val="fr-FR" w:eastAsia="fr-FR"/>
        </w:rPr>
        <w:t>objet de représailles de la part des autorités marocaines, en raison de leur participation au campement de protestation de Gdeim Izik, démantelé le 8 novembre 2010. Ils invoquent les articles 2, 3 et 13 de la Convention.</w:t>
      </w:r>
    </w:p>
    <w:bookmarkStart w:id="1" w:name="application39"/>
    <w:p w:rsidR="00BC0135" w:rsidRPr="00BC0135" w:rsidRDefault="00BC0135" w:rsidP="00BC0135">
      <w:pPr>
        <w:ind w:firstLine="284"/>
        <w:rPr>
          <w:noProof/>
          <w:lang w:val="fr-FR" w:eastAsia="fr-FR"/>
        </w:rPr>
      </w:pPr>
      <w:r w:rsidRPr="00BC0135">
        <w:rPr>
          <w:noProof/>
          <w:lang w:val="fr-FR" w:eastAsia="fr-FR"/>
        </w:rPr>
        <w:fldChar w:fldCharType="begin"/>
      </w:r>
      <w:r w:rsidRPr="00BC0135">
        <w:rPr>
          <w:noProof/>
          <w:lang w:val="fr-FR" w:eastAsia="fr-FR"/>
        </w:rPr>
        <w:instrText xml:space="preserve"> SEQ level0 \*arabic </w:instrText>
      </w:r>
      <w:r w:rsidRPr="00BC0135">
        <w:rPr>
          <w:noProof/>
          <w:lang w:val="fr-FR" w:eastAsia="fr-FR"/>
        </w:rPr>
        <w:fldChar w:fldCharType="separate"/>
      </w:r>
      <w:r w:rsidR="000A2932">
        <w:rPr>
          <w:noProof/>
          <w:lang w:val="fr-FR" w:eastAsia="fr-FR"/>
        </w:rPr>
        <w:t>4</w:t>
      </w:r>
      <w:r w:rsidRPr="00BC0135">
        <w:rPr>
          <w:noProof/>
          <w:lang w:val="fr-FR" w:eastAsia="fr-FR"/>
        </w:rPr>
        <w:fldChar w:fldCharType="end"/>
      </w:r>
      <w:bookmarkEnd w:id="1"/>
      <w:r w:rsidRPr="00BC0135">
        <w:rPr>
          <w:noProof/>
          <w:lang w:val="fr-FR" w:eastAsia="fr-FR"/>
        </w:rPr>
        <w:t>.  Les 31 janvier, 1</w:t>
      </w:r>
      <w:r w:rsidRPr="00BC0135">
        <w:rPr>
          <w:noProof/>
          <w:vertAlign w:val="superscript"/>
          <w:lang w:val="fr-FR" w:eastAsia="fr-FR"/>
        </w:rPr>
        <w:t>er</w:t>
      </w:r>
      <w:r w:rsidRPr="00BC0135">
        <w:rPr>
          <w:noProof/>
          <w:lang w:val="fr-FR" w:eastAsia="fr-FR"/>
        </w:rPr>
        <w:t xml:space="preserve"> février, 30 et 31 mars 2011, 27 septembre et 2 octobre 2012, le Président en exercice a décidé d</w:t>
      </w:r>
      <w:r w:rsidR="00A977F5">
        <w:rPr>
          <w:noProof/>
          <w:lang w:val="fr-FR" w:eastAsia="fr-FR"/>
        </w:rPr>
        <w:t>’</w:t>
      </w:r>
      <w:r w:rsidRPr="00BC0135">
        <w:rPr>
          <w:noProof/>
          <w:lang w:val="fr-FR" w:eastAsia="fr-FR"/>
        </w:rPr>
        <w:t>appliquer l</w:t>
      </w:r>
      <w:r w:rsidR="00A977F5">
        <w:rPr>
          <w:noProof/>
          <w:lang w:val="fr-FR" w:eastAsia="fr-FR"/>
        </w:rPr>
        <w:t>’</w:t>
      </w:r>
      <w:r w:rsidRPr="00BC0135">
        <w:rPr>
          <w:noProof/>
          <w:lang w:val="fr-FR" w:eastAsia="fr-FR"/>
        </w:rPr>
        <w:t>article 39 du règlement de la Cour et d</w:t>
      </w:r>
      <w:r w:rsidR="00A977F5">
        <w:rPr>
          <w:noProof/>
          <w:lang w:val="fr-FR" w:eastAsia="fr-FR"/>
        </w:rPr>
        <w:t>’</w:t>
      </w:r>
      <w:r w:rsidRPr="00BC0135">
        <w:rPr>
          <w:noProof/>
          <w:lang w:val="fr-FR" w:eastAsia="fr-FR"/>
        </w:rPr>
        <w:t>indiquer au Gouvernement qu</w:t>
      </w:r>
      <w:r w:rsidR="00A977F5">
        <w:rPr>
          <w:noProof/>
          <w:lang w:val="fr-FR" w:eastAsia="fr-FR"/>
        </w:rPr>
        <w:t>’</w:t>
      </w:r>
      <w:r w:rsidRPr="00BC0135">
        <w:rPr>
          <w:noProof/>
          <w:lang w:val="fr-FR" w:eastAsia="fr-FR"/>
        </w:rPr>
        <w:t>il était souhaitable, dans l</w:t>
      </w:r>
      <w:r w:rsidR="00A977F5">
        <w:rPr>
          <w:noProof/>
          <w:lang w:val="fr-FR" w:eastAsia="fr-FR"/>
        </w:rPr>
        <w:t>’</w:t>
      </w:r>
      <w:r w:rsidRPr="00BC0135">
        <w:rPr>
          <w:noProof/>
          <w:lang w:val="fr-FR" w:eastAsia="fr-FR"/>
        </w:rPr>
        <w:t xml:space="preserve">intérêt des parties et du bon déroulement de la procédure devant la </w:t>
      </w:r>
      <w:r w:rsidRPr="00BC0135">
        <w:rPr>
          <w:noProof/>
          <w:lang w:val="fr-FR" w:eastAsia="fr-FR"/>
        </w:rPr>
        <w:lastRenderedPageBreak/>
        <w:t>Cour, de ne pas expulser les requérants pendant la durée de la procédure devant la Cour.</w:t>
      </w:r>
    </w:p>
    <w:p w:rsidR="00BC0135" w:rsidRDefault="00BC0135" w:rsidP="00BC0135">
      <w:pPr>
        <w:ind w:firstLine="284"/>
        <w:rPr>
          <w:noProof/>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5</w:t>
      </w:r>
      <w:r w:rsidRPr="00BC0135">
        <w:rPr>
          <w:noProof/>
          <w:lang w:val="fr-FR" w:eastAsia="fr-FR"/>
        </w:rPr>
        <w:fldChar w:fldCharType="end"/>
      </w:r>
      <w:r w:rsidRPr="00BC0135">
        <w:rPr>
          <w:lang w:val="fr-FR" w:eastAsia="fr-FR"/>
        </w:rPr>
        <w:t xml:space="preserve">.  Les </w:t>
      </w:r>
      <w:r w:rsidRPr="00BC0135">
        <w:rPr>
          <w:noProof/>
          <w:lang w:val="fr-FR" w:eastAsia="fr-FR"/>
        </w:rPr>
        <w:t>7 novembre et 1</w:t>
      </w:r>
      <w:r w:rsidRPr="00BC0135">
        <w:rPr>
          <w:noProof/>
          <w:vertAlign w:val="superscript"/>
          <w:lang w:val="fr-FR" w:eastAsia="fr-FR"/>
        </w:rPr>
        <w:t>er</w:t>
      </w:r>
      <w:r w:rsidRPr="00BC0135">
        <w:rPr>
          <w:noProof/>
          <w:lang w:val="fr-FR" w:eastAsia="fr-FR"/>
        </w:rPr>
        <w:t xml:space="preserve"> décembre 2011 et les 2 et 3 octobre 2012</w:t>
      </w:r>
      <w:r w:rsidRPr="00BC0135">
        <w:rPr>
          <w:lang w:val="fr-FR" w:eastAsia="fr-FR"/>
        </w:rPr>
        <w:t xml:space="preserve">, </w:t>
      </w:r>
      <w:r w:rsidRPr="00BC0135">
        <w:rPr>
          <w:noProof/>
          <w:lang w:val="fr-FR" w:eastAsia="fr-FR"/>
        </w:rPr>
        <w:t>les requêtes ont</w:t>
      </w:r>
      <w:r w:rsidRPr="00BC0135">
        <w:rPr>
          <w:lang w:val="fr-FR" w:eastAsia="fr-FR"/>
        </w:rPr>
        <w:t xml:space="preserve"> été </w:t>
      </w:r>
      <w:r w:rsidRPr="00BC0135">
        <w:rPr>
          <w:noProof/>
          <w:lang w:val="fr-FR" w:eastAsia="fr-FR"/>
        </w:rPr>
        <w:t>communiquées</w:t>
      </w:r>
      <w:r w:rsidRPr="00BC0135">
        <w:rPr>
          <w:lang w:val="fr-FR" w:eastAsia="fr-FR"/>
        </w:rPr>
        <w:t xml:space="preserve"> au Gouvernement.</w:t>
      </w:r>
    </w:p>
    <w:p w:rsidR="00BC0135" w:rsidRPr="00BC0135" w:rsidRDefault="00BC0135" w:rsidP="00C46132">
      <w:pPr>
        <w:pStyle w:val="ECHRTitle1"/>
        <w:rPr>
          <w:lang w:val="fr-FR" w:eastAsia="fr-FR"/>
        </w:rPr>
      </w:pPr>
      <w:r w:rsidRPr="00BC0135">
        <w:rPr>
          <w:lang w:val="fr-FR" w:eastAsia="fr-FR"/>
        </w:rPr>
        <w:t>EN FAIT</w:t>
      </w:r>
    </w:p>
    <w:p w:rsidR="00BC0135" w:rsidRPr="00BC0135" w:rsidRDefault="00BC0135" w:rsidP="00C46132">
      <w:pPr>
        <w:pStyle w:val="ECHRHeading1"/>
        <w:rPr>
          <w:lang w:val="fr-FR" w:eastAsia="fr-FR"/>
        </w:rPr>
      </w:pPr>
      <w:r w:rsidRPr="00BC0135">
        <w:rPr>
          <w:lang w:val="fr-FR" w:eastAsia="fr-FR"/>
        </w:rPr>
        <w:t>I.  LES CIRCONSTANCES DE L</w:t>
      </w:r>
      <w:r w:rsidR="00A977F5">
        <w:rPr>
          <w:lang w:val="fr-FR" w:eastAsia="fr-FR"/>
        </w:rPr>
        <w:t>’</w:t>
      </w:r>
      <w:r w:rsidRPr="00BC0135">
        <w:rPr>
          <w:lang w:val="fr-FR" w:eastAsia="fr-FR"/>
        </w:rPr>
        <w:t>ESPÈCE</w:t>
      </w:r>
    </w:p>
    <w:p w:rsidR="00BC0135" w:rsidRDefault="00BC0135" w:rsidP="00BC0135">
      <w:pPr>
        <w:ind w:firstLine="284"/>
        <w:rPr>
          <w:noProof/>
          <w:lang w:val="fr-FR" w:eastAsia="fr-FR"/>
        </w:rPr>
      </w:pPr>
      <w:r w:rsidRPr="00BC0135">
        <w:rPr>
          <w:noProof/>
          <w:lang w:val="fr-FR" w:eastAsia="fr-FR"/>
        </w:rPr>
        <w:fldChar w:fldCharType="begin"/>
      </w:r>
      <w:r w:rsidRPr="00BC0135">
        <w:rPr>
          <w:noProof/>
          <w:lang w:val="fr-FR" w:eastAsia="fr-FR"/>
        </w:rPr>
        <w:instrText xml:space="preserve"> SEQ level0 \*arabic </w:instrText>
      </w:r>
      <w:r w:rsidRPr="00BC0135">
        <w:rPr>
          <w:noProof/>
          <w:lang w:val="fr-FR" w:eastAsia="fr-FR"/>
        </w:rPr>
        <w:fldChar w:fldCharType="separate"/>
      </w:r>
      <w:r w:rsidR="000A2932">
        <w:rPr>
          <w:noProof/>
          <w:lang w:val="fr-FR" w:eastAsia="fr-FR"/>
        </w:rPr>
        <w:t>6</w:t>
      </w:r>
      <w:r w:rsidRPr="00BC0135">
        <w:rPr>
          <w:noProof/>
          <w:lang w:val="fr-FR" w:eastAsia="fr-FR"/>
        </w:rPr>
        <w:fldChar w:fldCharType="end"/>
      </w:r>
      <w:r w:rsidRPr="00BC0135">
        <w:rPr>
          <w:noProof/>
          <w:lang w:val="fr-FR" w:eastAsia="fr-FR"/>
        </w:rPr>
        <w:t>.  Les requérants sont des demandeurs de protection internationale d</w:t>
      </w:r>
      <w:r w:rsidR="00A977F5">
        <w:rPr>
          <w:noProof/>
          <w:lang w:val="fr-FR" w:eastAsia="fr-FR"/>
        </w:rPr>
        <w:t>’</w:t>
      </w:r>
      <w:r w:rsidRPr="00BC0135">
        <w:rPr>
          <w:noProof/>
          <w:lang w:val="fr-FR" w:eastAsia="fr-FR"/>
        </w:rPr>
        <w:t>origine sahraouie.</w:t>
      </w:r>
    </w:p>
    <w:p w:rsidR="00BC0135" w:rsidRPr="00BC0135" w:rsidRDefault="00BC0135" w:rsidP="00C46132">
      <w:pPr>
        <w:pStyle w:val="ECHRHeading2"/>
        <w:rPr>
          <w:lang w:val="fr-FR" w:eastAsia="fr-FR"/>
        </w:rPr>
      </w:pPr>
      <w:r w:rsidRPr="00BC0135">
        <w:rPr>
          <w:lang w:val="fr-FR" w:eastAsia="fr-FR"/>
        </w:rPr>
        <w:t>A.  Faits survenus avant l</w:t>
      </w:r>
      <w:r w:rsidR="00A977F5">
        <w:rPr>
          <w:lang w:val="fr-FR" w:eastAsia="fr-FR"/>
        </w:rPr>
        <w:t>’</w:t>
      </w:r>
      <w:r w:rsidRPr="00BC0135">
        <w:rPr>
          <w:lang w:val="fr-FR" w:eastAsia="fr-FR"/>
        </w:rPr>
        <w:t>arrivée des requérants en Espagne</w:t>
      </w:r>
    </w:p>
    <w:p w:rsidR="00BC0135" w:rsidRPr="00BC0135" w:rsidRDefault="00BC0135" w:rsidP="000A2932">
      <w:pPr>
        <w:ind w:firstLine="232"/>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7</w:t>
      </w:r>
      <w:r w:rsidRPr="00BC0135">
        <w:rPr>
          <w:noProof/>
          <w:lang w:val="fr-FR" w:eastAsia="fr-FR"/>
        </w:rPr>
        <w:fldChar w:fldCharType="end"/>
      </w:r>
      <w:r w:rsidRPr="00BC0135">
        <w:rPr>
          <w:lang w:val="fr-FR" w:eastAsia="fr-FR"/>
        </w:rPr>
        <w:t>.  </w:t>
      </w:r>
      <w:r w:rsidR="00910515">
        <w:rPr>
          <w:lang w:val="fr-FR"/>
        </w:rPr>
        <w:t>L</w:t>
      </w:r>
      <w:r w:rsidRPr="00BC0135">
        <w:rPr>
          <w:lang w:val="fr-FR" w:eastAsia="fr-FR"/>
        </w:rPr>
        <w:t>e 10 octobre 2010, des personnes d</w:t>
      </w:r>
      <w:r w:rsidR="00A977F5">
        <w:rPr>
          <w:lang w:val="fr-FR" w:eastAsia="fr-FR"/>
        </w:rPr>
        <w:t>’</w:t>
      </w:r>
      <w:r w:rsidRPr="00BC0135">
        <w:rPr>
          <w:lang w:val="fr-FR" w:eastAsia="fr-FR"/>
        </w:rPr>
        <w:t>origine sahraouie installèrent des tentes, en signe de protestation contre leurs conditions de vie, leur marginalisation et pour réclamer des emplois et un logement convenable, au camp Gdeim Izik, à 12 km à l</w:t>
      </w:r>
      <w:r w:rsidR="00A977F5">
        <w:rPr>
          <w:lang w:val="fr-FR" w:eastAsia="fr-FR"/>
        </w:rPr>
        <w:t>’</w:t>
      </w:r>
      <w:r w:rsidRPr="00BC0135">
        <w:rPr>
          <w:lang w:val="fr-FR" w:eastAsia="fr-FR"/>
        </w:rPr>
        <w:t>est de Laâyoune, situé dans le territoire du Sahara occidental. Selon les autorités marocaines, l</w:t>
      </w:r>
      <w:r w:rsidR="00A977F5">
        <w:rPr>
          <w:lang w:val="fr-FR" w:eastAsia="fr-FR"/>
        </w:rPr>
        <w:t>’</w:t>
      </w:r>
      <w:r w:rsidRPr="00BC0135">
        <w:rPr>
          <w:lang w:val="fr-FR" w:eastAsia="fr-FR"/>
        </w:rPr>
        <w:t xml:space="preserve">installation du camp était illégale et non-autorisée. Le 8 novembre 2010, des affrontements éclatèrent lorsque les forces de sécurité marocaines intervinrent pour évacuer de force et démanteler le camp. Onze membres des forces de sécurité et deux Sahraouis furent tués dans ces violences. </w:t>
      </w:r>
      <w:r w:rsidR="00910515">
        <w:rPr>
          <w:lang w:val="fr-FR" w:eastAsia="fr-FR"/>
        </w:rPr>
        <w:t>D</w:t>
      </w:r>
      <w:r w:rsidR="00A977F5">
        <w:rPr>
          <w:lang w:val="fr-FR" w:eastAsia="fr-FR"/>
        </w:rPr>
        <w:t>’</w:t>
      </w:r>
      <w:r w:rsidR="00910515">
        <w:rPr>
          <w:lang w:val="fr-FR" w:eastAsia="fr-FR"/>
        </w:rPr>
        <w:t>après un rapport d</w:t>
      </w:r>
      <w:r w:rsidR="00A977F5">
        <w:rPr>
          <w:lang w:val="fr-FR" w:eastAsia="fr-FR"/>
        </w:rPr>
        <w:t>’</w:t>
      </w:r>
      <w:r w:rsidR="00910515" w:rsidRPr="0046321D">
        <w:rPr>
          <w:lang w:val="fr-FR"/>
        </w:rPr>
        <w:t>Amnesty international</w:t>
      </w:r>
      <w:r w:rsidR="00910515">
        <w:rPr>
          <w:lang w:val="fr-FR"/>
        </w:rPr>
        <w:t xml:space="preserve"> </w:t>
      </w:r>
      <w:r w:rsidR="00910515">
        <w:rPr>
          <w:lang w:val="fr-FR" w:eastAsia="fr-FR"/>
        </w:rPr>
        <w:t>(« </w:t>
      </w:r>
      <w:r w:rsidR="00910515" w:rsidRPr="0046321D">
        <w:rPr>
          <w:lang w:val="fr-FR"/>
        </w:rPr>
        <w:t>Des civils sahraouis jugés devant un tribunal militaire au Maroc</w:t>
      </w:r>
      <w:r w:rsidR="00910515">
        <w:rPr>
          <w:lang w:val="fr-FR"/>
        </w:rPr>
        <w:t xml:space="preserve"> </w:t>
      </w:r>
      <w:r w:rsidR="00910515" w:rsidRPr="0046321D">
        <w:rPr>
          <w:lang w:val="fr-FR"/>
        </w:rPr>
        <w:t>: un procès vicié à la base », document du 1</w:t>
      </w:r>
      <w:r w:rsidR="00910515" w:rsidRPr="0046321D">
        <w:rPr>
          <w:vertAlign w:val="superscript"/>
          <w:lang w:val="fr-FR"/>
        </w:rPr>
        <w:t>er</w:t>
      </w:r>
      <w:r w:rsidR="00910515" w:rsidRPr="0046321D">
        <w:rPr>
          <w:lang w:val="fr-FR"/>
        </w:rPr>
        <w:t xml:space="preserve"> février 2013</w:t>
      </w:r>
      <w:r w:rsidR="00910515">
        <w:rPr>
          <w:lang w:val="fr-FR"/>
        </w:rPr>
        <w:t>), q</w:t>
      </w:r>
      <w:r w:rsidRPr="00BC0135">
        <w:rPr>
          <w:lang w:val="fr-FR" w:eastAsia="fr-FR"/>
        </w:rPr>
        <w:t>uelque</w:t>
      </w:r>
      <w:r w:rsidR="00910515">
        <w:rPr>
          <w:lang w:val="fr-FR" w:eastAsia="fr-FR"/>
        </w:rPr>
        <w:t>s</w:t>
      </w:r>
      <w:r w:rsidRPr="00BC0135">
        <w:rPr>
          <w:lang w:val="fr-FR" w:eastAsia="fr-FR"/>
        </w:rPr>
        <w:t xml:space="preserve"> 200</w:t>
      </w:r>
      <w:r w:rsidR="00BC1775">
        <w:rPr>
          <w:lang w:val="fr-FR" w:eastAsia="fr-FR"/>
        </w:rPr>
        <w:t> </w:t>
      </w:r>
      <w:r w:rsidRPr="00BC0135">
        <w:rPr>
          <w:lang w:val="fr-FR" w:eastAsia="fr-FR"/>
        </w:rPr>
        <w:t>sahraouis furent arrêtés par les forces de sécurité dans les jours qui suivirent. D</w:t>
      </w:r>
      <w:r w:rsidR="00A977F5">
        <w:rPr>
          <w:lang w:val="fr-FR" w:eastAsia="fr-FR"/>
        </w:rPr>
        <w:t>’</w:t>
      </w:r>
      <w:r w:rsidRPr="00BC0135">
        <w:rPr>
          <w:lang w:val="fr-FR" w:eastAsia="fr-FR"/>
        </w:rPr>
        <w:t>autres interpellations intervinrent en décembre 2010</w:t>
      </w:r>
      <w:r w:rsidR="00910515">
        <w:rPr>
          <w:lang w:val="fr-FR" w:eastAsia="fr-FR"/>
        </w:rPr>
        <w:t>.</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8</w:t>
      </w:r>
      <w:r w:rsidRPr="00BC0135">
        <w:rPr>
          <w:noProof/>
          <w:lang w:val="fr-FR" w:eastAsia="fr-FR"/>
        </w:rPr>
        <w:fldChar w:fldCharType="end"/>
      </w:r>
      <w:r w:rsidRPr="00BC0135">
        <w:rPr>
          <w:lang w:val="fr-FR" w:eastAsia="fr-FR"/>
        </w:rPr>
        <w:t>.  À la suite du démantèlement du campement, les requérants arrivèrent à bord de bateaux de fortune sur les côtes de Fuerteventura, aux îles Canaries, entre le 5 janvier 2011 et le 19 août 2012. Quelques jours après leur arrivée, ils déposèrent des demandes de protection internationale auprès de l</w:t>
      </w:r>
      <w:r w:rsidR="00A977F5">
        <w:rPr>
          <w:lang w:val="fr-FR" w:eastAsia="fr-FR"/>
        </w:rPr>
        <w:t>’</w:t>
      </w:r>
      <w:r w:rsidRPr="00BC0135">
        <w:rPr>
          <w:lang w:val="fr-FR" w:eastAsia="fr-FR"/>
        </w:rPr>
        <w:t>Office de l</w:t>
      </w:r>
      <w:r w:rsidR="00A977F5">
        <w:rPr>
          <w:lang w:val="fr-FR" w:eastAsia="fr-FR"/>
        </w:rPr>
        <w:t>’</w:t>
      </w:r>
      <w:r w:rsidRPr="00BC0135">
        <w:rPr>
          <w:lang w:val="fr-FR" w:eastAsia="fr-FR"/>
        </w:rPr>
        <w:t>asile et des réfugiés du ministère de l</w:t>
      </w:r>
      <w:r w:rsidR="00A977F5">
        <w:rPr>
          <w:lang w:val="fr-FR" w:eastAsia="fr-FR"/>
        </w:rPr>
        <w:t>’</w:t>
      </w:r>
      <w:r w:rsidRPr="00BC0135">
        <w:rPr>
          <w:lang w:val="fr-FR" w:eastAsia="fr-FR"/>
        </w:rPr>
        <w:t>Intérieur.</w:t>
      </w:r>
    </w:p>
    <w:p w:rsidR="00BC0135" w:rsidRPr="00BC0135" w:rsidRDefault="00BC0135" w:rsidP="00C46132">
      <w:pPr>
        <w:pStyle w:val="ECHRHeading2"/>
        <w:rPr>
          <w:lang w:val="fr-FR" w:eastAsia="fr-FR"/>
        </w:rPr>
      </w:pPr>
      <w:r w:rsidRPr="00BC0135">
        <w:rPr>
          <w:lang w:val="fr-FR" w:eastAsia="fr-FR"/>
        </w:rPr>
        <w:t>B.  Demandes de protection internationale</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9</w:t>
      </w:r>
      <w:r w:rsidRPr="00BC0135">
        <w:rPr>
          <w:noProof/>
          <w:lang w:val="fr-FR" w:eastAsia="fr-FR"/>
        </w:rPr>
        <w:fldChar w:fldCharType="end"/>
      </w:r>
      <w:r w:rsidRPr="00BC0135">
        <w:rPr>
          <w:lang w:val="fr-FR" w:eastAsia="fr-FR"/>
        </w:rPr>
        <w:t>.  Les faits exposés par les requérants sont les suivants :</w:t>
      </w:r>
    </w:p>
    <w:p w:rsidR="00BC0135" w:rsidRDefault="00C46132" w:rsidP="00C46132">
      <w:pPr>
        <w:pStyle w:val="ECHRHeading3"/>
        <w:rPr>
          <w:lang w:val="fr-FR" w:eastAsia="fr-FR"/>
        </w:rPr>
      </w:pPr>
      <w:r>
        <w:rPr>
          <w:lang w:val="fr-FR" w:eastAsia="fr-FR"/>
        </w:rPr>
        <w:t>1.</w:t>
      </w:r>
      <w:r w:rsidR="00876E01">
        <w:rPr>
          <w:lang w:val="fr-FR" w:eastAsia="fr-FR"/>
        </w:rPr>
        <w:t>  </w:t>
      </w:r>
      <w:r>
        <w:rPr>
          <w:lang w:val="fr-FR" w:eastAsia="fr-FR"/>
        </w:rPr>
        <w:t>6528/11 A</w:t>
      </w:r>
      <w:r w:rsidR="00BC0135" w:rsidRPr="00BC0135">
        <w:rPr>
          <w:lang w:val="fr-FR" w:eastAsia="fr-FR"/>
        </w:rPr>
        <w:t xml:space="preserve"> C.</w:t>
      </w:r>
    </w:p>
    <w:bookmarkStart w:id="2" w:name="situationspersonnelles"/>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10</w:t>
      </w:r>
      <w:r w:rsidRPr="00BC0135">
        <w:rPr>
          <w:noProof/>
          <w:lang w:val="fr-FR" w:eastAsia="fr-FR"/>
        </w:rPr>
        <w:fldChar w:fldCharType="end"/>
      </w:r>
      <w:bookmarkEnd w:id="2"/>
      <w:r w:rsidRPr="00BC0135">
        <w:rPr>
          <w:lang w:val="fr-FR" w:eastAsia="fr-FR"/>
        </w:rPr>
        <w:t>. Au moment de présenter sa demande de protection internationale, le requérant aurait fourni une photo sur laquelle il apparait en compagnie d</w:t>
      </w:r>
      <w:r w:rsidR="00A977F5">
        <w:rPr>
          <w:lang w:val="fr-FR" w:eastAsia="fr-FR"/>
        </w:rPr>
        <w:t>’</w:t>
      </w:r>
      <w:r w:rsidRPr="00BC0135">
        <w:rPr>
          <w:lang w:val="fr-FR" w:eastAsia="fr-FR"/>
        </w:rPr>
        <w:t xml:space="preserve">un </w:t>
      </w:r>
      <w:r w:rsidRPr="00BC0135">
        <w:rPr>
          <w:lang w:val="fr-FR" w:eastAsia="fr-FR"/>
        </w:rPr>
        <w:lastRenderedPageBreak/>
        <w:t>autre activiste sahraoui, portant des drapeaux du Front Polisario. D</w:t>
      </w:r>
      <w:r w:rsidR="00A977F5">
        <w:rPr>
          <w:lang w:val="fr-FR" w:eastAsia="fr-FR"/>
        </w:rPr>
        <w:t>’</w:t>
      </w:r>
      <w:r w:rsidRPr="00BC0135">
        <w:rPr>
          <w:lang w:val="fr-FR" w:eastAsia="fr-FR"/>
        </w:rPr>
        <w:t>après lui, le frère de cet autre activiste aurait été brûlé vif par les autorités marocaines en 2005. Le requérant soutient avoir fait l</w:t>
      </w:r>
      <w:r w:rsidR="00A977F5">
        <w:rPr>
          <w:lang w:val="fr-FR" w:eastAsia="fr-FR"/>
        </w:rPr>
        <w:t>’</w:t>
      </w:r>
      <w:r w:rsidRPr="00BC0135">
        <w:rPr>
          <w:lang w:val="fr-FR" w:eastAsia="fr-FR"/>
        </w:rPr>
        <w:t>objet de mauvais traitements en 2008, lorsqu</w:t>
      </w:r>
      <w:r w:rsidR="00A977F5">
        <w:rPr>
          <w:lang w:val="fr-FR" w:eastAsia="fr-FR"/>
        </w:rPr>
        <w:t>’</w:t>
      </w:r>
      <w:r w:rsidRPr="00BC0135">
        <w:rPr>
          <w:lang w:val="fr-FR" w:eastAsia="fr-FR"/>
        </w:rPr>
        <w:t>il fut arrêté par la police marocaine dans son domicile familial et jugé dans le cadre d</w:t>
      </w:r>
      <w:r w:rsidR="00A977F5">
        <w:rPr>
          <w:lang w:val="fr-FR" w:eastAsia="fr-FR"/>
        </w:rPr>
        <w:t>’</w:t>
      </w:r>
      <w:r w:rsidRPr="00BC0135">
        <w:rPr>
          <w:lang w:val="fr-FR" w:eastAsia="fr-FR"/>
        </w:rPr>
        <w:t>un procès inéquitable à l</w:t>
      </w:r>
      <w:r w:rsidR="00A977F5">
        <w:rPr>
          <w:lang w:val="fr-FR" w:eastAsia="fr-FR"/>
        </w:rPr>
        <w:t>’</w:t>
      </w:r>
      <w:r w:rsidRPr="00BC0135">
        <w:rPr>
          <w:lang w:val="fr-FR" w:eastAsia="fr-FR"/>
        </w:rPr>
        <w:t>issue duquel il fut condamné à une peine de prison pour un délit de trafic de stupéfiants. Il affirme à cet égard que les jeunes activistes sahraouis sont habituellement accusés de la commission de ce type de délit et condamnés sans respecter les garanties du droit à un procès équitable. Le requérant purgea la peine dans la « prison noire » de Laâyoune où il affirme avoir été victime d</w:t>
      </w:r>
      <w:r w:rsidR="00A977F5">
        <w:rPr>
          <w:lang w:val="fr-FR" w:eastAsia="fr-FR"/>
        </w:rPr>
        <w:t>’</w:t>
      </w:r>
      <w:r w:rsidRPr="00BC0135">
        <w:rPr>
          <w:lang w:val="fr-FR" w:eastAsia="fr-FR"/>
        </w:rPr>
        <w:t>une agression sexuelle et de traitements dégradants.</w:t>
      </w:r>
    </w:p>
    <w:p w:rsidR="00BC0135" w:rsidRPr="00BC0135" w:rsidRDefault="00C46132" w:rsidP="00C46132">
      <w:pPr>
        <w:pStyle w:val="ECHRHeading3"/>
        <w:rPr>
          <w:lang w:val="fr-FR" w:eastAsia="fr-FR"/>
        </w:rPr>
      </w:pPr>
      <w:r>
        <w:rPr>
          <w:lang w:val="fr-FR" w:eastAsia="fr-FR"/>
        </w:rPr>
        <w:t>2.</w:t>
      </w:r>
      <w:r w:rsidR="00876E01">
        <w:rPr>
          <w:lang w:val="fr-FR" w:eastAsia="fr-FR"/>
        </w:rPr>
        <w:t>  </w:t>
      </w:r>
      <w:r>
        <w:rPr>
          <w:lang w:val="fr-FR" w:eastAsia="fr-FR"/>
        </w:rPr>
        <w:t>6529/11 M.</w:t>
      </w:r>
      <w:r w:rsidR="00BC0135" w:rsidRPr="00BC0135">
        <w:rPr>
          <w:lang w:val="fr-FR" w:eastAsia="fr-FR"/>
        </w:rPr>
        <w:t>L.</w:t>
      </w:r>
    </w:p>
    <w:p w:rsidR="00BC0135" w:rsidRP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11</w:t>
      </w:r>
      <w:r w:rsidRPr="00BC0135">
        <w:rPr>
          <w:noProof/>
          <w:lang w:val="fr-FR" w:eastAsia="fr-FR"/>
        </w:rPr>
        <w:fldChar w:fldCharType="end"/>
      </w:r>
      <w:r w:rsidRPr="00BC0135">
        <w:rPr>
          <w:lang w:val="fr-FR" w:eastAsia="fr-FR"/>
        </w:rPr>
        <w:t>.  Le requérant allègue avoir été cruellement frappé par les autorités marocaines lors de son arrestation au camp de protestation en novembre 2010. Il fut transféré à un endroit près de Río de Oro, d</w:t>
      </w:r>
      <w:r w:rsidR="00A977F5">
        <w:rPr>
          <w:lang w:val="fr-FR" w:eastAsia="fr-FR"/>
        </w:rPr>
        <w:t>’</w:t>
      </w:r>
      <w:r w:rsidRPr="00BC0135">
        <w:rPr>
          <w:lang w:val="fr-FR" w:eastAsia="fr-FR"/>
        </w:rPr>
        <w:t>où il s</w:t>
      </w:r>
      <w:r w:rsidR="00A977F5">
        <w:rPr>
          <w:lang w:val="fr-FR" w:eastAsia="fr-FR"/>
        </w:rPr>
        <w:t>’</w:t>
      </w:r>
      <w:r w:rsidRPr="00BC0135">
        <w:rPr>
          <w:lang w:val="fr-FR" w:eastAsia="fr-FR"/>
        </w:rPr>
        <w:t>enfuit. Il affirme que sa sœur aurait également été arrêtée et remise en liberté ultérieurement.</w:t>
      </w:r>
    </w:p>
    <w:p w:rsidR="00BC0135" w:rsidRPr="00BC0135" w:rsidRDefault="00C46132" w:rsidP="00C46132">
      <w:pPr>
        <w:pStyle w:val="ECHRHeading3"/>
        <w:rPr>
          <w:lang w:val="fr-FR" w:eastAsia="fr-FR"/>
        </w:rPr>
      </w:pPr>
      <w:r>
        <w:rPr>
          <w:lang w:val="fr-FR" w:eastAsia="fr-FR"/>
        </w:rPr>
        <w:t>3.</w:t>
      </w:r>
      <w:r w:rsidR="00876E01">
        <w:rPr>
          <w:lang w:val="fr-FR" w:eastAsia="fr-FR"/>
        </w:rPr>
        <w:t>  </w:t>
      </w:r>
      <w:r>
        <w:rPr>
          <w:lang w:val="fr-FR" w:eastAsia="fr-FR"/>
        </w:rPr>
        <w:t>6530/11 M.A.E.</w:t>
      </w:r>
      <w:r w:rsidR="00BC0135" w:rsidRPr="00BC0135">
        <w:rPr>
          <w:lang w:val="fr-FR" w:eastAsia="fr-FR"/>
        </w:rPr>
        <w:t>K.</w:t>
      </w:r>
    </w:p>
    <w:p w:rsidR="00BC0135" w:rsidRP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12</w:t>
      </w:r>
      <w:r w:rsidRPr="00BC0135">
        <w:rPr>
          <w:noProof/>
          <w:lang w:val="fr-FR" w:eastAsia="fr-FR"/>
        </w:rPr>
        <w:fldChar w:fldCharType="end"/>
      </w:r>
      <w:r w:rsidRPr="00BC0135">
        <w:rPr>
          <w:lang w:val="fr-FR" w:eastAsia="fr-FR"/>
        </w:rPr>
        <w:t>.  Le requérant se plaint d</w:t>
      </w:r>
      <w:r w:rsidR="00A977F5">
        <w:rPr>
          <w:lang w:val="fr-FR" w:eastAsia="fr-FR"/>
        </w:rPr>
        <w:t>’</w:t>
      </w:r>
      <w:r w:rsidRPr="00BC0135">
        <w:rPr>
          <w:lang w:val="fr-FR" w:eastAsia="fr-FR"/>
        </w:rPr>
        <w:t>avoir été frappé à la tête lors du démantèlement du campement. Au moment où il présenta sa demande de protection internationale devant les autorités espagnoles, il avait une cicatrice et se sentait désorienté à cause de forts maux de tête qui auraient leur origine dans le coup reçu.</w:t>
      </w:r>
    </w:p>
    <w:p w:rsidR="00BC0135" w:rsidRPr="00BC0135" w:rsidRDefault="00C46132" w:rsidP="00C46132">
      <w:pPr>
        <w:pStyle w:val="ECHRHeading3"/>
        <w:rPr>
          <w:lang w:val="fr-FR" w:eastAsia="fr-FR"/>
        </w:rPr>
      </w:pPr>
      <w:r>
        <w:rPr>
          <w:lang w:val="fr-FR" w:eastAsia="fr-FR"/>
        </w:rPr>
        <w:t>4.</w:t>
      </w:r>
      <w:r w:rsidR="00876E01">
        <w:rPr>
          <w:lang w:val="fr-FR" w:eastAsia="fr-FR"/>
        </w:rPr>
        <w:t>  </w:t>
      </w:r>
      <w:r>
        <w:rPr>
          <w:lang w:val="fr-FR" w:eastAsia="fr-FR"/>
        </w:rPr>
        <w:t>6559/11 H.</w:t>
      </w:r>
      <w:r w:rsidR="00BC0135" w:rsidRPr="00BC0135">
        <w:rPr>
          <w:lang w:val="fr-FR" w:eastAsia="fr-FR"/>
        </w:rPr>
        <w:t>B.</w:t>
      </w:r>
    </w:p>
    <w:p w:rsidR="00BC0135" w:rsidRP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13</w:t>
      </w:r>
      <w:r w:rsidRPr="00BC0135">
        <w:rPr>
          <w:noProof/>
          <w:lang w:val="fr-FR" w:eastAsia="fr-FR"/>
        </w:rPr>
        <w:fldChar w:fldCharType="end"/>
      </w:r>
      <w:r w:rsidRPr="00BC0135">
        <w:rPr>
          <w:lang w:val="fr-FR" w:eastAsia="fr-FR"/>
        </w:rPr>
        <w:t>.  Le 11 novembre 2010, des agents des forces de l</w:t>
      </w:r>
      <w:r w:rsidR="00A977F5">
        <w:rPr>
          <w:lang w:val="fr-FR" w:eastAsia="fr-FR"/>
        </w:rPr>
        <w:t>’</w:t>
      </w:r>
      <w:r w:rsidRPr="00BC0135">
        <w:rPr>
          <w:lang w:val="fr-FR" w:eastAsia="fr-FR"/>
        </w:rPr>
        <w:t>ordre marocaines entrèrent de force dans le domicile du requérant et d</w:t>
      </w:r>
      <w:r w:rsidR="00A977F5">
        <w:rPr>
          <w:lang w:val="fr-FR" w:eastAsia="fr-FR"/>
        </w:rPr>
        <w:t>’</w:t>
      </w:r>
      <w:r w:rsidRPr="00BC0135">
        <w:rPr>
          <w:lang w:val="fr-FR" w:eastAsia="fr-FR"/>
        </w:rPr>
        <w:t>autres personnes résidant à Laâyoune. Il se trouvait au travail au moment de l</w:t>
      </w:r>
      <w:r w:rsidR="00A977F5">
        <w:rPr>
          <w:lang w:val="fr-FR" w:eastAsia="fr-FR"/>
        </w:rPr>
        <w:t>’</w:t>
      </w:r>
      <w:r w:rsidRPr="00BC0135">
        <w:rPr>
          <w:lang w:val="fr-FR" w:eastAsia="fr-FR"/>
        </w:rPr>
        <w:t>intrusion, mais décida de porter plainte pour dénoncer les dégâts causés dans son domicile. Au commissariat de police, il affirme avoir été battu par les agents, accusé de collaborer avec la cause sahraouie.</w:t>
      </w:r>
    </w:p>
    <w:p w:rsidR="00BC0135" w:rsidRPr="00BC0135" w:rsidRDefault="00C46132" w:rsidP="00C46132">
      <w:pPr>
        <w:pStyle w:val="ECHRHeading3"/>
        <w:rPr>
          <w:lang w:val="fr-FR" w:eastAsia="fr-FR"/>
        </w:rPr>
      </w:pPr>
      <w:r>
        <w:rPr>
          <w:lang w:val="fr-FR" w:eastAsia="fr-FR"/>
        </w:rPr>
        <w:t>5.</w:t>
      </w:r>
      <w:r w:rsidR="00876E01">
        <w:rPr>
          <w:lang w:val="fr-FR" w:eastAsia="fr-FR"/>
        </w:rPr>
        <w:t>  </w:t>
      </w:r>
      <w:r>
        <w:rPr>
          <w:lang w:val="fr-FR" w:eastAsia="fr-FR"/>
        </w:rPr>
        <w:t>6562/11 M.</w:t>
      </w:r>
      <w:r w:rsidR="00BC0135" w:rsidRPr="00BC0135">
        <w:rPr>
          <w:lang w:val="fr-FR" w:eastAsia="fr-FR"/>
        </w:rPr>
        <w:t>M.</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14</w:t>
      </w:r>
      <w:r w:rsidRPr="00BC0135">
        <w:rPr>
          <w:noProof/>
          <w:lang w:val="fr-FR" w:eastAsia="fr-FR"/>
        </w:rPr>
        <w:fldChar w:fldCharType="end"/>
      </w:r>
      <w:r w:rsidRPr="00BC0135">
        <w:rPr>
          <w:lang w:val="fr-FR" w:eastAsia="fr-FR"/>
        </w:rPr>
        <w:t>.  Le requérant affirme que l</w:t>
      </w:r>
      <w:r w:rsidR="00A977F5">
        <w:rPr>
          <w:lang w:val="fr-FR" w:eastAsia="fr-FR"/>
        </w:rPr>
        <w:t>’</w:t>
      </w:r>
      <w:r w:rsidRPr="00BC0135">
        <w:rPr>
          <w:lang w:val="fr-FR" w:eastAsia="fr-FR"/>
        </w:rPr>
        <w:t>un de ses frères a été battu lors des affrontements entre les sahraouis et la police marocaine. Il est resté caché jusqu</w:t>
      </w:r>
      <w:r w:rsidR="00A977F5">
        <w:rPr>
          <w:lang w:val="fr-FR" w:eastAsia="fr-FR"/>
        </w:rPr>
        <w:t>’</w:t>
      </w:r>
      <w:r w:rsidRPr="00BC0135">
        <w:rPr>
          <w:lang w:val="fr-FR" w:eastAsia="fr-FR"/>
        </w:rPr>
        <w:t>à son départ vers l</w:t>
      </w:r>
      <w:r w:rsidR="00A977F5">
        <w:rPr>
          <w:lang w:val="fr-FR" w:eastAsia="fr-FR"/>
        </w:rPr>
        <w:t>’</w:t>
      </w:r>
      <w:r w:rsidRPr="00BC0135">
        <w:rPr>
          <w:lang w:val="fr-FR" w:eastAsia="fr-FR"/>
        </w:rPr>
        <w:t>Espagne. Des policiers l</w:t>
      </w:r>
      <w:r w:rsidR="00A977F5">
        <w:rPr>
          <w:lang w:val="fr-FR" w:eastAsia="fr-FR"/>
        </w:rPr>
        <w:t>’</w:t>
      </w:r>
      <w:r w:rsidRPr="00BC0135">
        <w:rPr>
          <w:lang w:val="fr-FR" w:eastAsia="fr-FR"/>
        </w:rPr>
        <w:t>ont depuis cherché à son domicile de Laâyoune.</w:t>
      </w:r>
    </w:p>
    <w:p w:rsidR="00BC0135" w:rsidRPr="00BC0135" w:rsidRDefault="00BC0135" w:rsidP="00C46132">
      <w:pPr>
        <w:pStyle w:val="ECHRHeading3"/>
        <w:rPr>
          <w:lang w:val="fr-FR" w:eastAsia="fr-FR"/>
        </w:rPr>
      </w:pPr>
      <w:r w:rsidRPr="00BC0135">
        <w:rPr>
          <w:lang w:val="fr-FR" w:eastAsia="fr-FR"/>
        </w:rPr>
        <w:t>6.</w:t>
      </w:r>
      <w:r w:rsidR="00876E01">
        <w:rPr>
          <w:lang w:val="fr-FR" w:eastAsia="fr-FR"/>
        </w:rPr>
        <w:t>  </w:t>
      </w:r>
      <w:r w:rsidRPr="00BC0135">
        <w:rPr>
          <w:lang w:val="fr-FR" w:eastAsia="fr-FR"/>
        </w:rPr>
        <w:t>656</w:t>
      </w:r>
      <w:r w:rsidR="00C46132">
        <w:rPr>
          <w:lang w:val="fr-FR" w:eastAsia="fr-FR"/>
        </w:rPr>
        <w:t>9/11 H.E.</w:t>
      </w:r>
      <w:r w:rsidRPr="00BC0135">
        <w:rPr>
          <w:lang w:val="fr-FR" w:eastAsia="fr-FR"/>
        </w:rPr>
        <w:t>M.</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15</w:t>
      </w:r>
      <w:r w:rsidRPr="00BC0135">
        <w:rPr>
          <w:noProof/>
          <w:lang w:val="fr-FR" w:eastAsia="fr-FR"/>
        </w:rPr>
        <w:fldChar w:fldCharType="end"/>
      </w:r>
      <w:r w:rsidRPr="00BC0135">
        <w:rPr>
          <w:lang w:val="fr-FR" w:eastAsia="fr-FR"/>
        </w:rPr>
        <w:t xml:space="preserve">.  Le requérant craint des représailles par les autorités marocaines. Après le démantèlement du campement, ses parents ont été arrêtés à leur </w:t>
      </w:r>
      <w:r w:rsidRPr="00BC0135">
        <w:rPr>
          <w:lang w:val="fr-FR" w:eastAsia="fr-FR"/>
        </w:rPr>
        <w:lastRenderedPageBreak/>
        <w:t>domicile et remis en liberté quelques heures plus tard. Ses cousins ont été aussi arrêtés et sont en prison. Il allègue avoir été arrêté à plusieurs reprises et battu au commissariat.</w:t>
      </w:r>
    </w:p>
    <w:p w:rsidR="00BC0135" w:rsidRPr="00BC0135" w:rsidRDefault="00C46132" w:rsidP="00C46132">
      <w:pPr>
        <w:pStyle w:val="ECHRHeading3"/>
        <w:rPr>
          <w:lang w:val="fr-FR" w:eastAsia="fr-FR"/>
        </w:rPr>
      </w:pPr>
      <w:r>
        <w:rPr>
          <w:lang w:val="fr-FR" w:eastAsia="fr-FR"/>
        </w:rPr>
        <w:t>7.</w:t>
      </w:r>
      <w:r w:rsidR="00876E01">
        <w:rPr>
          <w:lang w:val="fr-FR" w:eastAsia="fr-FR"/>
        </w:rPr>
        <w:t>  </w:t>
      </w:r>
      <w:r>
        <w:rPr>
          <w:lang w:val="fr-FR" w:eastAsia="fr-FR"/>
        </w:rPr>
        <w:t>6572/11 M.</w:t>
      </w:r>
      <w:r w:rsidR="00BC0135" w:rsidRPr="00BC0135">
        <w:rPr>
          <w:lang w:val="fr-FR" w:eastAsia="fr-FR"/>
        </w:rPr>
        <w:t>A.</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16</w:t>
      </w:r>
      <w:r w:rsidRPr="00BC0135">
        <w:rPr>
          <w:noProof/>
          <w:lang w:val="fr-FR" w:eastAsia="fr-FR"/>
        </w:rPr>
        <w:fldChar w:fldCharType="end"/>
      </w:r>
      <w:r w:rsidRPr="00BC0135">
        <w:rPr>
          <w:lang w:val="fr-FR" w:eastAsia="fr-FR"/>
        </w:rPr>
        <w:t>.  Le requérant craint des représailles du fait d</w:t>
      </w:r>
      <w:r w:rsidR="00A977F5">
        <w:rPr>
          <w:lang w:val="fr-FR" w:eastAsia="fr-FR"/>
        </w:rPr>
        <w:t>’</w:t>
      </w:r>
      <w:r w:rsidRPr="00BC0135">
        <w:rPr>
          <w:lang w:val="fr-FR" w:eastAsia="fr-FR"/>
        </w:rPr>
        <w:t>avoir été détenu à deux reprises par la police marocaine et condamné à une peine d</w:t>
      </w:r>
      <w:r w:rsidR="00A977F5">
        <w:rPr>
          <w:lang w:val="fr-FR" w:eastAsia="fr-FR"/>
        </w:rPr>
        <w:t>’</w:t>
      </w:r>
      <w:r w:rsidRPr="00BC0135">
        <w:rPr>
          <w:lang w:val="fr-FR" w:eastAsia="fr-FR"/>
        </w:rPr>
        <w:t>un mois de prison pour désordre public alors qu</w:t>
      </w:r>
      <w:r w:rsidR="00A977F5">
        <w:rPr>
          <w:lang w:val="fr-FR" w:eastAsia="fr-FR"/>
        </w:rPr>
        <w:t>’</w:t>
      </w:r>
      <w:r w:rsidRPr="00BC0135">
        <w:rPr>
          <w:lang w:val="fr-FR" w:eastAsia="fr-FR"/>
        </w:rPr>
        <w:t>il se promenait avec des amis sahraouis. Il n</w:t>
      </w:r>
      <w:r w:rsidR="00A977F5">
        <w:rPr>
          <w:lang w:val="fr-FR" w:eastAsia="fr-FR"/>
        </w:rPr>
        <w:t>’</w:t>
      </w:r>
      <w:r w:rsidRPr="00BC0135">
        <w:rPr>
          <w:lang w:val="fr-FR" w:eastAsia="fr-FR"/>
        </w:rPr>
        <w:t>a pas résidé dans le campement, il fournissait de l</w:t>
      </w:r>
      <w:r w:rsidR="00A977F5">
        <w:rPr>
          <w:lang w:val="fr-FR" w:eastAsia="fr-FR"/>
        </w:rPr>
        <w:t>’</w:t>
      </w:r>
      <w:r w:rsidRPr="00BC0135">
        <w:rPr>
          <w:lang w:val="fr-FR" w:eastAsia="fr-FR"/>
        </w:rPr>
        <w:t>eau et des aliments. Des agressions brutales par la police marocaine à d</w:t>
      </w:r>
      <w:r w:rsidR="00A977F5">
        <w:rPr>
          <w:lang w:val="fr-FR" w:eastAsia="fr-FR"/>
        </w:rPr>
        <w:t>’</w:t>
      </w:r>
      <w:r w:rsidRPr="00BC0135">
        <w:rPr>
          <w:lang w:val="fr-FR" w:eastAsia="fr-FR"/>
        </w:rPr>
        <w:t>autres sahraouis ont eu lieu et il craint une nouvelle détention.</w:t>
      </w:r>
    </w:p>
    <w:p w:rsidR="00BC0135" w:rsidRDefault="00BC0135" w:rsidP="00C46132">
      <w:pPr>
        <w:pStyle w:val="ECHRHeading3"/>
        <w:rPr>
          <w:lang w:val="fr-FR" w:eastAsia="fr-FR"/>
        </w:rPr>
      </w:pPr>
      <w:r w:rsidRPr="00BC0135">
        <w:rPr>
          <w:lang w:val="fr-FR" w:eastAsia="fr-FR"/>
        </w:rPr>
        <w:t>8.</w:t>
      </w:r>
      <w:r w:rsidR="00876E01">
        <w:rPr>
          <w:lang w:val="fr-FR" w:eastAsia="fr-FR"/>
        </w:rPr>
        <w:t>  </w:t>
      </w:r>
      <w:r w:rsidRPr="00BC0135">
        <w:rPr>
          <w:lang w:val="fr-FR" w:eastAsia="fr-FR"/>
        </w:rPr>
        <w:t>6574/11 R.E.K.</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17</w:t>
      </w:r>
      <w:r w:rsidRPr="00BC0135">
        <w:rPr>
          <w:noProof/>
          <w:lang w:val="fr-FR" w:eastAsia="fr-FR"/>
        </w:rPr>
        <w:fldChar w:fldCharType="end"/>
      </w:r>
      <w:r w:rsidRPr="00BC0135">
        <w:rPr>
          <w:lang w:val="fr-FR" w:eastAsia="fr-FR"/>
        </w:rPr>
        <w:t>.  Le requérant affirme avoir été battu par la police marocaine pendant le démantèlement du campement. Craignant des représailles par les autorités marocaines il s</w:t>
      </w:r>
      <w:r w:rsidR="00A977F5">
        <w:rPr>
          <w:lang w:val="fr-FR" w:eastAsia="fr-FR"/>
        </w:rPr>
        <w:t>’</w:t>
      </w:r>
      <w:r w:rsidRPr="00BC0135">
        <w:rPr>
          <w:lang w:val="fr-FR" w:eastAsia="fr-FR"/>
        </w:rPr>
        <w:t>enfuit dans le désert pour éviter son arrestation. Suite à la diffusion de sa demande de protection internationale et de son identité par des photographies dans les médias, les autorités marocaines ont harcelé sa famille.</w:t>
      </w:r>
    </w:p>
    <w:p w:rsidR="00BC0135" w:rsidRPr="00BC0135" w:rsidRDefault="00C46132" w:rsidP="00C46132">
      <w:pPr>
        <w:pStyle w:val="ECHRHeading3"/>
        <w:rPr>
          <w:lang w:val="fr-FR" w:eastAsia="fr-FR"/>
        </w:rPr>
      </w:pPr>
      <w:r>
        <w:rPr>
          <w:lang w:val="fr-FR" w:eastAsia="fr-FR"/>
        </w:rPr>
        <w:t>9.</w:t>
      </w:r>
      <w:r w:rsidR="00876E01">
        <w:rPr>
          <w:lang w:val="fr-FR" w:eastAsia="fr-FR"/>
        </w:rPr>
        <w:t>  </w:t>
      </w:r>
      <w:r>
        <w:rPr>
          <w:lang w:val="fr-FR" w:eastAsia="fr-FR"/>
        </w:rPr>
        <w:t>6586/11 B.</w:t>
      </w:r>
      <w:r w:rsidR="00BC0135" w:rsidRPr="00BC0135">
        <w:rPr>
          <w:lang w:val="fr-FR" w:eastAsia="fr-FR"/>
        </w:rPr>
        <w:t>B.</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18</w:t>
      </w:r>
      <w:r w:rsidRPr="00BC0135">
        <w:rPr>
          <w:noProof/>
          <w:lang w:val="fr-FR" w:eastAsia="fr-FR"/>
        </w:rPr>
        <w:fldChar w:fldCharType="end"/>
      </w:r>
      <w:r w:rsidRPr="00BC0135">
        <w:rPr>
          <w:lang w:val="fr-FR" w:eastAsia="fr-FR"/>
        </w:rPr>
        <w:t>.  Le requérant soutient avoir été battu par des autorités marocaines et ne pas avoir été soigné à hôpital après sa libération du fait de son origine sahraouie. Il affirme avoir déjà été arrêté et harcelé pendant deux jours par les autorités marocaines en 2005 pour avoir participé à une manifestation. Le 14 et le 21 novembre 2010 la police marocaine demanda des renseignements sur lui à son domicile. Il décida alors de se réfugier dans le désert. Il craint pour sa vie et son intégrité physique s</w:t>
      </w:r>
      <w:r w:rsidR="00A977F5">
        <w:rPr>
          <w:lang w:val="fr-FR" w:eastAsia="fr-FR"/>
        </w:rPr>
        <w:t>’</w:t>
      </w:r>
      <w:r w:rsidRPr="00BC0135">
        <w:rPr>
          <w:lang w:val="fr-FR" w:eastAsia="fr-FR"/>
        </w:rPr>
        <w:t>il était arrêté par les autorités marocaines.</w:t>
      </w:r>
    </w:p>
    <w:p w:rsidR="00BC0135" w:rsidRPr="00BC0135" w:rsidRDefault="00C46132" w:rsidP="00C46132">
      <w:pPr>
        <w:pStyle w:val="ECHRHeading3"/>
        <w:rPr>
          <w:lang w:val="fr-FR" w:eastAsia="fr-FR"/>
        </w:rPr>
      </w:pPr>
      <w:r>
        <w:rPr>
          <w:lang w:val="fr-FR" w:eastAsia="fr-FR"/>
        </w:rPr>
        <w:t>10.</w:t>
      </w:r>
      <w:r w:rsidR="00876E01">
        <w:rPr>
          <w:lang w:val="fr-FR" w:eastAsia="fr-FR"/>
        </w:rPr>
        <w:t>  </w:t>
      </w:r>
      <w:r>
        <w:rPr>
          <w:lang w:val="fr-FR" w:eastAsia="fr-FR"/>
        </w:rPr>
        <w:t>6590/11 F.E.</w:t>
      </w:r>
      <w:r w:rsidR="00BC0135" w:rsidRPr="00BC0135">
        <w:rPr>
          <w:lang w:val="fr-FR" w:eastAsia="fr-FR"/>
        </w:rPr>
        <w:t>W.</w:t>
      </w:r>
    </w:p>
    <w:p w:rsidR="00BC0135" w:rsidRP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19</w:t>
      </w:r>
      <w:r w:rsidRPr="00BC0135">
        <w:rPr>
          <w:noProof/>
          <w:lang w:val="fr-FR" w:eastAsia="fr-FR"/>
        </w:rPr>
        <w:fldChar w:fldCharType="end"/>
      </w:r>
      <w:r w:rsidRPr="00BC0135">
        <w:rPr>
          <w:lang w:val="fr-FR" w:eastAsia="fr-FR"/>
        </w:rPr>
        <w:t>.  Craignant de</w:t>
      </w:r>
      <w:r w:rsidR="00DD224D">
        <w:rPr>
          <w:lang w:val="fr-FR" w:eastAsia="fr-FR"/>
        </w:rPr>
        <w:t>s</w:t>
      </w:r>
      <w:r w:rsidRPr="00BC0135">
        <w:rPr>
          <w:lang w:val="fr-FR" w:eastAsia="fr-FR"/>
        </w:rPr>
        <w:t xml:space="preserve"> représailles par les autorités marocaines, le requérant s</w:t>
      </w:r>
      <w:r w:rsidR="00A977F5">
        <w:rPr>
          <w:lang w:val="fr-FR" w:eastAsia="fr-FR"/>
        </w:rPr>
        <w:t>’</w:t>
      </w:r>
      <w:r w:rsidRPr="00BC0135">
        <w:rPr>
          <w:lang w:val="fr-FR" w:eastAsia="fr-FR"/>
        </w:rPr>
        <w:t>enfuit dans le désert pour éviter son arrestation. Il soutient que des agents des forces de l</w:t>
      </w:r>
      <w:r w:rsidR="00A977F5">
        <w:rPr>
          <w:lang w:val="fr-FR" w:eastAsia="fr-FR"/>
        </w:rPr>
        <w:t>’</w:t>
      </w:r>
      <w:r w:rsidRPr="00BC0135">
        <w:rPr>
          <w:lang w:val="fr-FR" w:eastAsia="fr-FR"/>
        </w:rPr>
        <w:t>ordre marocaines entrèrent de force dans son domicile familial le jour du démantèlement du campement et causèrent des dégâts et violèrent sa sœur âgée de 18 ans. Son père porta plainte mais il ne fut pas assisté et, étant illettré, il ne put pas la déposer formellement. Il craint pour sa vie et son intégrité physique s</w:t>
      </w:r>
      <w:r w:rsidR="00A977F5">
        <w:rPr>
          <w:lang w:val="fr-FR" w:eastAsia="fr-FR"/>
        </w:rPr>
        <w:t>’</w:t>
      </w:r>
      <w:r w:rsidRPr="00BC0135">
        <w:rPr>
          <w:lang w:val="fr-FR" w:eastAsia="fr-FR"/>
        </w:rPr>
        <w:t>il était arrêté par les autorités marocaines</w:t>
      </w:r>
      <w:r w:rsidR="00031887">
        <w:rPr>
          <w:lang w:val="fr-FR" w:eastAsia="fr-FR"/>
        </w:rPr>
        <w:t>.</w:t>
      </w:r>
    </w:p>
    <w:p w:rsidR="00BC0135" w:rsidRPr="00BC0135" w:rsidRDefault="00C46132" w:rsidP="00C46132">
      <w:pPr>
        <w:pStyle w:val="ECHRHeading3"/>
        <w:rPr>
          <w:lang w:val="fr-FR" w:eastAsia="fr-FR"/>
        </w:rPr>
      </w:pPr>
      <w:r>
        <w:rPr>
          <w:lang w:val="fr-FR" w:eastAsia="fr-FR"/>
        </w:rPr>
        <w:t>11.</w:t>
      </w:r>
      <w:r w:rsidR="00876E01">
        <w:rPr>
          <w:lang w:val="fr-FR" w:eastAsia="fr-FR"/>
        </w:rPr>
        <w:t>  </w:t>
      </w:r>
      <w:r>
        <w:rPr>
          <w:lang w:val="fr-FR" w:eastAsia="fr-FR"/>
        </w:rPr>
        <w:t>6595/11 A.E.</w:t>
      </w:r>
      <w:r w:rsidR="00BC0135" w:rsidRPr="00BC0135">
        <w:rPr>
          <w:lang w:val="fr-FR" w:eastAsia="fr-FR"/>
        </w:rPr>
        <w:t>M.</w:t>
      </w:r>
    </w:p>
    <w:p w:rsidR="00BC0135" w:rsidRP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20</w:t>
      </w:r>
      <w:r w:rsidRPr="00BC0135">
        <w:rPr>
          <w:noProof/>
          <w:lang w:val="fr-FR" w:eastAsia="fr-FR"/>
        </w:rPr>
        <w:fldChar w:fldCharType="end"/>
      </w:r>
      <w:r w:rsidRPr="00BC0135">
        <w:rPr>
          <w:lang w:val="fr-FR" w:eastAsia="fr-FR"/>
        </w:rPr>
        <w:t>.  Le requérant craint des représailles par les autorités marocaines en raison de sa participation active en tant que membre d</w:t>
      </w:r>
      <w:r w:rsidR="00A977F5">
        <w:rPr>
          <w:lang w:val="fr-FR" w:eastAsia="fr-FR"/>
        </w:rPr>
        <w:t>’</w:t>
      </w:r>
      <w:r w:rsidRPr="00BC0135">
        <w:rPr>
          <w:lang w:val="fr-FR" w:eastAsia="fr-FR"/>
        </w:rPr>
        <w:t xml:space="preserve">un de ses groupes de surveillance du le camp de protestation de Gdeim Izik. Des membres de sa </w:t>
      </w:r>
      <w:r w:rsidRPr="00BC0135">
        <w:rPr>
          <w:lang w:val="fr-FR" w:eastAsia="fr-FR"/>
        </w:rPr>
        <w:lastRenderedPageBreak/>
        <w:t>famille ont été durement attaqués par les autorités marocaines après le démantèlement du campement, avec l</w:t>
      </w:r>
      <w:r w:rsidR="00A977F5">
        <w:rPr>
          <w:lang w:val="fr-FR" w:eastAsia="fr-FR"/>
        </w:rPr>
        <w:t>’</w:t>
      </w:r>
      <w:r w:rsidRPr="00BC0135">
        <w:rPr>
          <w:lang w:val="fr-FR" w:eastAsia="fr-FR"/>
        </w:rPr>
        <w:t>entrée de force au domicile de sa tante, où sa sœur fit l</w:t>
      </w:r>
      <w:r w:rsidR="00A977F5">
        <w:rPr>
          <w:lang w:val="fr-FR" w:eastAsia="fr-FR"/>
        </w:rPr>
        <w:t>’</w:t>
      </w:r>
      <w:r w:rsidRPr="00BC0135">
        <w:rPr>
          <w:lang w:val="fr-FR" w:eastAsia="fr-FR"/>
        </w:rPr>
        <w:t>objet d</w:t>
      </w:r>
      <w:r w:rsidR="00A977F5">
        <w:rPr>
          <w:lang w:val="fr-FR" w:eastAsia="fr-FR"/>
        </w:rPr>
        <w:t>’</w:t>
      </w:r>
      <w:r w:rsidRPr="00BC0135">
        <w:rPr>
          <w:lang w:val="fr-FR" w:eastAsia="fr-FR"/>
        </w:rPr>
        <w:t>une agression sexuelle par un/des agents de police. Le requérant empêcha ensuite le passage de la police marocaine en brûlant un véhicule. Il blessa avec un couteau un policier qui le menaçait avec une arme et s</w:t>
      </w:r>
      <w:r w:rsidR="00A977F5">
        <w:rPr>
          <w:lang w:val="fr-FR" w:eastAsia="fr-FR"/>
        </w:rPr>
        <w:t>’</w:t>
      </w:r>
      <w:r w:rsidRPr="00BC0135">
        <w:rPr>
          <w:lang w:val="fr-FR" w:eastAsia="fr-FR"/>
        </w:rPr>
        <w:t>enfuit alors dans le désert. Des policiers l</w:t>
      </w:r>
      <w:r w:rsidR="00A977F5">
        <w:rPr>
          <w:lang w:val="fr-FR" w:eastAsia="fr-FR"/>
        </w:rPr>
        <w:t>’</w:t>
      </w:r>
      <w:r w:rsidRPr="00BC0135">
        <w:rPr>
          <w:lang w:val="fr-FR" w:eastAsia="fr-FR"/>
        </w:rPr>
        <w:t>ont cherché depuis à son domicile de Laâyoune, et il craint pour sa vie.</w:t>
      </w:r>
    </w:p>
    <w:p w:rsidR="00BC0135" w:rsidRPr="00BC0135" w:rsidRDefault="00C46132" w:rsidP="00C46132">
      <w:pPr>
        <w:pStyle w:val="ECHRHeading3"/>
        <w:rPr>
          <w:lang w:val="fr-FR" w:eastAsia="fr-FR"/>
        </w:rPr>
      </w:pPr>
      <w:r>
        <w:rPr>
          <w:lang w:val="fr-FR" w:eastAsia="fr-FR"/>
        </w:rPr>
        <w:t>12.</w:t>
      </w:r>
      <w:r w:rsidR="00876E01">
        <w:rPr>
          <w:lang w:val="fr-FR" w:eastAsia="fr-FR"/>
        </w:rPr>
        <w:t>  </w:t>
      </w:r>
      <w:r>
        <w:rPr>
          <w:lang w:val="fr-FR" w:eastAsia="fr-FR"/>
        </w:rPr>
        <w:t>6602/11 S.</w:t>
      </w:r>
      <w:r w:rsidR="00BC0135" w:rsidRPr="00BC0135">
        <w:rPr>
          <w:lang w:val="fr-FR" w:eastAsia="fr-FR"/>
        </w:rPr>
        <w:t>R.</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21</w:t>
      </w:r>
      <w:r w:rsidRPr="00BC0135">
        <w:rPr>
          <w:noProof/>
          <w:lang w:val="fr-FR" w:eastAsia="fr-FR"/>
        </w:rPr>
        <w:fldChar w:fldCharType="end"/>
      </w:r>
      <w:r w:rsidRPr="00BC0135">
        <w:rPr>
          <w:lang w:val="fr-FR" w:eastAsia="fr-FR"/>
        </w:rPr>
        <w:t>.  Le jour du démantèlement du campement, les agents des forces de sécurité marocaine auraient battu tous les membres de sa famille. Le requérant craint d</w:t>
      </w:r>
      <w:r w:rsidR="00A977F5">
        <w:rPr>
          <w:lang w:val="fr-FR" w:eastAsia="fr-FR"/>
        </w:rPr>
        <w:t>’</w:t>
      </w:r>
      <w:r w:rsidRPr="00BC0135">
        <w:rPr>
          <w:lang w:val="fr-FR" w:eastAsia="fr-FR"/>
        </w:rPr>
        <w:t>être détenu et emprisonné en cas de retour au Maroc.</w:t>
      </w:r>
    </w:p>
    <w:p w:rsidR="00BC0135" w:rsidRPr="00BC0135" w:rsidRDefault="00C46132" w:rsidP="00C46132">
      <w:pPr>
        <w:pStyle w:val="ECHRHeading3"/>
        <w:rPr>
          <w:lang w:val="fr-FR" w:eastAsia="fr-FR"/>
        </w:rPr>
      </w:pPr>
      <w:r>
        <w:rPr>
          <w:lang w:val="fr-FR" w:eastAsia="fr-FR"/>
        </w:rPr>
        <w:t>13.</w:t>
      </w:r>
      <w:r w:rsidR="00876E01">
        <w:rPr>
          <w:lang w:val="fr-FR" w:eastAsia="fr-FR"/>
        </w:rPr>
        <w:t>  </w:t>
      </w:r>
      <w:r>
        <w:rPr>
          <w:lang w:val="fr-FR" w:eastAsia="fr-FR"/>
        </w:rPr>
        <w:t>6605/11 S.</w:t>
      </w:r>
      <w:r w:rsidR="00BC0135" w:rsidRPr="00BC0135">
        <w:rPr>
          <w:lang w:val="fr-FR" w:eastAsia="fr-FR"/>
        </w:rPr>
        <w:t>S.</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22</w:t>
      </w:r>
      <w:r w:rsidRPr="00BC0135">
        <w:rPr>
          <w:noProof/>
          <w:lang w:val="fr-FR" w:eastAsia="fr-FR"/>
        </w:rPr>
        <w:fldChar w:fldCharType="end"/>
      </w:r>
      <w:r w:rsidRPr="00BC0135">
        <w:rPr>
          <w:lang w:val="fr-FR" w:eastAsia="fr-FR"/>
        </w:rPr>
        <w:t>.  Le requérant se plaint que le 8 novembre 2010 lui et d</w:t>
      </w:r>
      <w:r w:rsidR="00A977F5">
        <w:rPr>
          <w:lang w:val="fr-FR" w:eastAsia="fr-FR"/>
        </w:rPr>
        <w:t>’</w:t>
      </w:r>
      <w:r w:rsidRPr="00BC0135">
        <w:rPr>
          <w:lang w:val="fr-FR" w:eastAsia="fr-FR"/>
        </w:rPr>
        <w:t>autres membres de sa famille firent l</w:t>
      </w:r>
      <w:r w:rsidR="00A977F5">
        <w:rPr>
          <w:lang w:val="fr-FR" w:eastAsia="fr-FR"/>
        </w:rPr>
        <w:t>’</w:t>
      </w:r>
      <w:r w:rsidRPr="00BC0135">
        <w:rPr>
          <w:lang w:val="fr-FR" w:eastAsia="fr-FR"/>
        </w:rPr>
        <w:t>objet de coups et blessures infligés par les autorités marocaines lorsqu</w:t>
      </w:r>
      <w:r w:rsidR="00A977F5">
        <w:rPr>
          <w:lang w:val="fr-FR" w:eastAsia="fr-FR"/>
        </w:rPr>
        <w:t>’</w:t>
      </w:r>
      <w:r w:rsidRPr="00BC0135">
        <w:rPr>
          <w:lang w:val="fr-FR" w:eastAsia="fr-FR"/>
        </w:rPr>
        <w:t>elles entrèrent de force dans leur domicile. Il affirme avoir participé aux combats entre des sahraouis, des marocains et des forces de l</w:t>
      </w:r>
      <w:r w:rsidR="00A977F5">
        <w:rPr>
          <w:lang w:val="fr-FR" w:eastAsia="fr-FR"/>
        </w:rPr>
        <w:t>’</w:t>
      </w:r>
      <w:r w:rsidRPr="00BC0135">
        <w:rPr>
          <w:lang w:val="fr-FR" w:eastAsia="fr-FR"/>
        </w:rPr>
        <w:t>ordre qui eurent lieu dans les rues de Laâyoune. Il craint des représailles des autorités marocaines, car il reconnait avoir commis un délit de désordre public. Il allègue avoir fait l</w:t>
      </w:r>
      <w:r w:rsidR="00A977F5">
        <w:rPr>
          <w:lang w:val="fr-FR" w:eastAsia="fr-FR"/>
        </w:rPr>
        <w:t>’</w:t>
      </w:r>
      <w:r w:rsidRPr="00BC0135">
        <w:rPr>
          <w:lang w:val="fr-FR" w:eastAsia="fr-FR"/>
        </w:rPr>
        <w:t>objet de persécution de la part des autorités marocaines dans le passé. Il dénonce en outre le harcèlement policier dont sa famille fait l</w:t>
      </w:r>
      <w:r w:rsidR="00A977F5">
        <w:rPr>
          <w:lang w:val="fr-FR" w:eastAsia="fr-FR"/>
        </w:rPr>
        <w:t>’</w:t>
      </w:r>
      <w:r w:rsidRPr="00BC0135">
        <w:rPr>
          <w:lang w:val="fr-FR" w:eastAsia="fr-FR"/>
        </w:rPr>
        <w:t>objet depuis son arrivé en Espagne.</w:t>
      </w:r>
    </w:p>
    <w:p w:rsidR="00BC0135" w:rsidRPr="00BC0135" w:rsidRDefault="00BC0135" w:rsidP="00C46132">
      <w:pPr>
        <w:pStyle w:val="ECHRHeading3"/>
        <w:rPr>
          <w:lang w:val="fr-FR" w:eastAsia="fr-FR"/>
        </w:rPr>
      </w:pPr>
      <w:r w:rsidRPr="00BC0135">
        <w:rPr>
          <w:lang w:val="fr-FR" w:eastAsia="fr-FR"/>
        </w:rPr>
        <w:t>14.</w:t>
      </w:r>
      <w:r w:rsidR="00876E01">
        <w:rPr>
          <w:lang w:val="fr-FR" w:eastAsia="fr-FR"/>
        </w:rPr>
        <w:t>  </w:t>
      </w:r>
      <w:r w:rsidRPr="00BC0135">
        <w:rPr>
          <w:lang w:val="fr-FR" w:eastAsia="fr-FR"/>
        </w:rPr>
        <w:t>6869/11 A.B.</w:t>
      </w:r>
    </w:p>
    <w:p w:rsidR="00BC0135" w:rsidRP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23</w:t>
      </w:r>
      <w:r w:rsidRPr="00BC0135">
        <w:rPr>
          <w:noProof/>
          <w:lang w:val="fr-FR" w:eastAsia="fr-FR"/>
        </w:rPr>
        <w:fldChar w:fldCharType="end"/>
      </w:r>
      <w:r w:rsidRPr="00BC0135">
        <w:rPr>
          <w:lang w:val="fr-FR" w:eastAsia="fr-FR"/>
        </w:rPr>
        <w:t>.  Le requ</w:t>
      </w:r>
      <w:r w:rsidRPr="00BC0135">
        <w:rPr>
          <w:rFonts w:hint="eastAsia"/>
          <w:lang w:val="fr-FR" w:eastAsia="fr-FR"/>
        </w:rPr>
        <w:t>é</w:t>
      </w:r>
      <w:r w:rsidRPr="00BC0135">
        <w:rPr>
          <w:lang w:val="fr-FR" w:eastAsia="fr-FR"/>
        </w:rPr>
        <w:t>rant all</w:t>
      </w:r>
      <w:r w:rsidRPr="00BC0135">
        <w:rPr>
          <w:rFonts w:hint="eastAsia"/>
          <w:lang w:val="fr-FR" w:eastAsia="fr-FR"/>
        </w:rPr>
        <w:t>è</w:t>
      </w:r>
      <w:r w:rsidRPr="00BC0135">
        <w:rPr>
          <w:lang w:val="fr-FR" w:eastAsia="fr-FR"/>
        </w:rPr>
        <w:t xml:space="preserve">gue avoir </w:t>
      </w:r>
      <w:r w:rsidRPr="00BC0135">
        <w:rPr>
          <w:rFonts w:hint="eastAsia"/>
          <w:lang w:val="fr-FR" w:eastAsia="fr-FR"/>
        </w:rPr>
        <w:t>é</w:t>
      </w:r>
      <w:r w:rsidRPr="00BC0135">
        <w:rPr>
          <w:lang w:val="fr-FR" w:eastAsia="fr-FR"/>
        </w:rPr>
        <w:t>t</w:t>
      </w:r>
      <w:r w:rsidRPr="00BC0135">
        <w:rPr>
          <w:rFonts w:hint="eastAsia"/>
          <w:lang w:val="fr-FR" w:eastAsia="fr-FR"/>
        </w:rPr>
        <w:t>é</w:t>
      </w:r>
      <w:r w:rsidRPr="00BC0135">
        <w:rPr>
          <w:lang w:val="fr-FR" w:eastAsia="fr-FR"/>
        </w:rPr>
        <w:t xml:space="preserve"> condamn</w:t>
      </w:r>
      <w:r w:rsidRPr="00BC0135">
        <w:rPr>
          <w:rFonts w:hint="eastAsia"/>
          <w:lang w:val="fr-FR" w:eastAsia="fr-FR"/>
        </w:rPr>
        <w:t>é</w:t>
      </w:r>
      <w:r w:rsidRPr="00BC0135">
        <w:rPr>
          <w:lang w:val="fr-FR" w:eastAsia="fr-FR"/>
        </w:rPr>
        <w:t xml:space="preserve"> et incarc</w:t>
      </w:r>
      <w:r w:rsidRPr="00BC0135">
        <w:rPr>
          <w:rFonts w:hint="eastAsia"/>
          <w:lang w:val="fr-FR" w:eastAsia="fr-FR"/>
        </w:rPr>
        <w:t>é</w:t>
      </w:r>
      <w:r w:rsidRPr="00BC0135">
        <w:rPr>
          <w:lang w:val="fr-FR" w:eastAsia="fr-FR"/>
        </w:rPr>
        <w:t>r</w:t>
      </w:r>
      <w:r w:rsidRPr="00BC0135">
        <w:rPr>
          <w:rFonts w:hint="eastAsia"/>
          <w:lang w:val="fr-FR" w:eastAsia="fr-FR"/>
        </w:rPr>
        <w:t>é</w:t>
      </w:r>
      <w:r w:rsidRPr="00BC0135">
        <w:rPr>
          <w:lang w:val="fr-FR" w:eastAsia="fr-FR"/>
        </w:rPr>
        <w:t xml:space="preserve"> dans la </w:t>
      </w:r>
      <w:r w:rsidRPr="00BC0135">
        <w:rPr>
          <w:rFonts w:hint="eastAsia"/>
          <w:lang w:val="fr-FR" w:eastAsia="fr-FR"/>
        </w:rPr>
        <w:t>«</w:t>
      </w:r>
      <w:r w:rsidRPr="00BC0135">
        <w:rPr>
          <w:lang w:val="fr-FR" w:eastAsia="fr-FR"/>
        </w:rPr>
        <w:t xml:space="preserve"> prison noire </w:t>
      </w:r>
      <w:r w:rsidRPr="00BC0135">
        <w:rPr>
          <w:rFonts w:hint="eastAsia"/>
          <w:lang w:val="fr-FR" w:eastAsia="fr-FR"/>
        </w:rPr>
        <w:t>»</w:t>
      </w:r>
      <w:r w:rsidRPr="00BC0135">
        <w:rPr>
          <w:lang w:val="fr-FR" w:eastAsia="fr-FR"/>
        </w:rPr>
        <w:t xml:space="preserve"> de Laâyoune en 2008 pour avoir battu un policier qui avait frapp</w:t>
      </w:r>
      <w:r w:rsidRPr="00BC0135">
        <w:rPr>
          <w:rFonts w:hint="eastAsia"/>
          <w:lang w:val="fr-FR" w:eastAsia="fr-FR"/>
        </w:rPr>
        <w:t>é</w:t>
      </w:r>
      <w:r w:rsidRPr="00BC0135">
        <w:rPr>
          <w:lang w:val="fr-FR" w:eastAsia="fr-FR"/>
        </w:rPr>
        <w:t xml:space="preserve"> sa m</w:t>
      </w:r>
      <w:r w:rsidRPr="00BC0135">
        <w:rPr>
          <w:rFonts w:hint="eastAsia"/>
          <w:lang w:val="fr-FR" w:eastAsia="fr-FR"/>
        </w:rPr>
        <w:t>è</w:t>
      </w:r>
      <w:r w:rsidRPr="00BC0135">
        <w:rPr>
          <w:lang w:val="fr-FR" w:eastAsia="fr-FR"/>
        </w:rPr>
        <w:t>re. Il affirme avoir particip</w:t>
      </w:r>
      <w:r w:rsidRPr="00BC0135">
        <w:rPr>
          <w:rFonts w:hint="eastAsia"/>
          <w:lang w:val="fr-FR" w:eastAsia="fr-FR"/>
        </w:rPr>
        <w:t>é</w:t>
      </w:r>
      <w:r w:rsidRPr="00BC0135">
        <w:rPr>
          <w:lang w:val="fr-FR" w:eastAsia="fr-FR"/>
        </w:rPr>
        <w:t xml:space="preserve"> </w:t>
      </w:r>
      <w:r w:rsidRPr="00BC0135">
        <w:rPr>
          <w:rFonts w:hint="eastAsia"/>
          <w:lang w:val="fr-FR" w:eastAsia="fr-FR"/>
        </w:rPr>
        <w:t>à</w:t>
      </w:r>
      <w:r w:rsidRPr="00BC0135">
        <w:rPr>
          <w:lang w:val="fr-FR" w:eastAsia="fr-FR"/>
        </w:rPr>
        <w:t xml:space="preserve"> des manifestations en 2006, 2007 et 2009, apr</w:t>
      </w:r>
      <w:r w:rsidRPr="00BC0135">
        <w:rPr>
          <w:rFonts w:hint="eastAsia"/>
          <w:lang w:val="fr-FR" w:eastAsia="fr-FR"/>
        </w:rPr>
        <w:t>è</w:t>
      </w:r>
      <w:r w:rsidRPr="00BC0135">
        <w:rPr>
          <w:lang w:val="fr-FR" w:eastAsia="fr-FR"/>
        </w:rPr>
        <w:t xml:space="preserve">s avoir </w:t>
      </w:r>
      <w:r w:rsidRPr="00BC0135">
        <w:rPr>
          <w:rFonts w:hint="eastAsia"/>
          <w:lang w:val="fr-FR" w:eastAsia="fr-FR"/>
        </w:rPr>
        <w:t>é</w:t>
      </w:r>
      <w:r w:rsidRPr="00BC0135">
        <w:rPr>
          <w:lang w:val="fr-FR" w:eastAsia="fr-FR"/>
        </w:rPr>
        <w:t>t</w:t>
      </w:r>
      <w:r w:rsidRPr="00BC0135">
        <w:rPr>
          <w:rFonts w:hint="eastAsia"/>
          <w:lang w:val="fr-FR" w:eastAsia="fr-FR"/>
        </w:rPr>
        <w:t>é</w:t>
      </w:r>
      <w:r w:rsidRPr="00BC0135">
        <w:rPr>
          <w:lang w:val="fr-FR" w:eastAsia="fr-FR"/>
        </w:rPr>
        <w:t xml:space="preserve"> mis en libert</w:t>
      </w:r>
      <w:r w:rsidRPr="00BC0135">
        <w:rPr>
          <w:rFonts w:hint="eastAsia"/>
          <w:lang w:val="fr-FR" w:eastAsia="fr-FR"/>
        </w:rPr>
        <w:t>é</w:t>
      </w:r>
      <w:r w:rsidRPr="00BC0135">
        <w:rPr>
          <w:lang w:val="fr-FR" w:eastAsia="fr-FR"/>
        </w:rPr>
        <w:t>. Lors du d</w:t>
      </w:r>
      <w:r w:rsidRPr="00BC0135">
        <w:rPr>
          <w:rFonts w:hint="eastAsia"/>
          <w:lang w:val="fr-FR" w:eastAsia="fr-FR"/>
        </w:rPr>
        <w:t>é</w:t>
      </w:r>
      <w:r w:rsidRPr="00BC0135">
        <w:rPr>
          <w:lang w:val="fr-FR" w:eastAsia="fr-FR"/>
        </w:rPr>
        <w:t>mant</w:t>
      </w:r>
      <w:r w:rsidRPr="00BC0135">
        <w:rPr>
          <w:rFonts w:hint="eastAsia"/>
          <w:lang w:val="fr-FR" w:eastAsia="fr-FR"/>
        </w:rPr>
        <w:t>è</w:t>
      </w:r>
      <w:r w:rsidRPr="00BC0135">
        <w:rPr>
          <w:lang w:val="fr-FR" w:eastAsia="fr-FR"/>
        </w:rPr>
        <w:t>lement du camp, la police militaire entra dans son domicile pour l</w:t>
      </w:r>
      <w:r w:rsidR="00A977F5">
        <w:rPr>
          <w:lang w:val="fr-FR" w:eastAsia="fr-FR"/>
        </w:rPr>
        <w:t>’</w:t>
      </w:r>
      <w:r w:rsidRPr="00BC0135">
        <w:rPr>
          <w:lang w:val="fr-FR" w:eastAsia="fr-FR"/>
        </w:rPr>
        <w:t>arr</w:t>
      </w:r>
      <w:r w:rsidRPr="00BC0135">
        <w:rPr>
          <w:rFonts w:hint="eastAsia"/>
          <w:lang w:val="fr-FR" w:eastAsia="fr-FR"/>
        </w:rPr>
        <w:t>ê</w:t>
      </w:r>
      <w:r w:rsidRPr="00BC0135">
        <w:rPr>
          <w:lang w:val="fr-FR" w:eastAsia="fr-FR"/>
        </w:rPr>
        <w:t>ter. Il fut frapp</w:t>
      </w:r>
      <w:r w:rsidRPr="00BC0135">
        <w:rPr>
          <w:rFonts w:hint="eastAsia"/>
          <w:lang w:val="fr-FR" w:eastAsia="fr-FR"/>
        </w:rPr>
        <w:t>é</w:t>
      </w:r>
      <w:r w:rsidRPr="00BC0135">
        <w:rPr>
          <w:lang w:val="fr-FR" w:eastAsia="fr-FR"/>
        </w:rPr>
        <w:t xml:space="preserve"> et s</w:t>
      </w:r>
      <w:r w:rsidR="00A977F5">
        <w:rPr>
          <w:lang w:val="fr-FR" w:eastAsia="fr-FR"/>
        </w:rPr>
        <w:t>’</w:t>
      </w:r>
      <w:r w:rsidRPr="00BC0135">
        <w:rPr>
          <w:lang w:val="fr-FR" w:eastAsia="fr-FR"/>
        </w:rPr>
        <w:t>évada par une fen</w:t>
      </w:r>
      <w:r w:rsidRPr="00BC0135">
        <w:rPr>
          <w:rFonts w:hint="eastAsia"/>
          <w:lang w:val="fr-FR" w:eastAsia="fr-FR"/>
        </w:rPr>
        <w:t>ê</w:t>
      </w:r>
      <w:r w:rsidRPr="00BC0135">
        <w:rPr>
          <w:lang w:val="fr-FR" w:eastAsia="fr-FR"/>
        </w:rPr>
        <w:t>tre, se cassant une cheville. L</w:t>
      </w:r>
      <w:r w:rsidR="00A977F5">
        <w:rPr>
          <w:lang w:val="fr-FR" w:eastAsia="fr-FR"/>
        </w:rPr>
        <w:t>’</w:t>
      </w:r>
      <w:r w:rsidRPr="00BC0135">
        <w:rPr>
          <w:lang w:val="fr-FR" w:eastAsia="fr-FR"/>
        </w:rPr>
        <w:t>h</w:t>
      </w:r>
      <w:r w:rsidRPr="00BC0135">
        <w:rPr>
          <w:rFonts w:hint="eastAsia"/>
          <w:lang w:val="fr-FR" w:eastAsia="fr-FR"/>
        </w:rPr>
        <w:t>ô</w:t>
      </w:r>
      <w:r w:rsidRPr="00BC0135">
        <w:rPr>
          <w:lang w:val="fr-FR" w:eastAsia="fr-FR"/>
        </w:rPr>
        <w:t>pital refusa de le soigner en raison de son origine sahraouie. Il dénonce que les agents de la police militaire agress</w:t>
      </w:r>
      <w:r w:rsidRPr="00BC0135">
        <w:rPr>
          <w:rFonts w:hint="eastAsia"/>
          <w:lang w:val="fr-FR" w:eastAsia="fr-FR"/>
        </w:rPr>
        <w:t>è</w:t>
      </w:r>
      <w:r w:rsidRPr="00BC0135">
        <w:rPr>
          <w:lang w:val="fr-FR" w:eastAsia="fr-FR"/>
        </w:rPr>
        <w:t>rent sexuellement ses sœurs. Les parents du requ</w:t>
      </w:r>
      <w:r w:rsidRPr="00BC0135">
        <w:rPr>
          <w:rFonts w:hint="eastAsia"/>
          <w:lang w:val="fr-FR" w:eastAsia="fr-FR"/>
        </w:rPr>
        <w:t>é</w:t>
      </w:r>
      <w:r w:rsidRPr="00BC0135">
        <w:rPr>
          <w:lang w:val="fr-FR" w:eastAsia="fr-FR"/>
        </w:rPr>
        <w:t>rant n</w:t>
      </w:r>
      <w:r w:rsidR="00A977F5">
        <w:rPr>
          <w:lang w:val="fr-FR" w:eastAsia="fr-FR"/>
        </w:rPr>
        <w:t>’</w:t>
      </w:r>
      <w:r w:rsidRPr="00BC0135">
        <w:rPr>
          <w:lang w:val="fr-FR" w:eastAsia="fr-FR"/>
        </w:rPr>
        <w:t>ont pas d</w:t>
      </w:r>
      <w:r w:rsidRPr="00BC0135">
        <w:rPr>
          <w:rFonts w:hint="eastAsia"/>
          <w:lang w:val="fr-FR" w:eastAsia="fr-FR"/>
        </w:rPr>
        <w:t>é</w:t>
      </w:r>
      <w:r w:rsidRPr="00BC0135">
        <w:rPr>
          <w:lang w:val="fr-FR" w:eastAsia="fr-FR"/>
        </w:rPr>
        <w:t>nonc</w:t>
      </w:r>
      <w:r w:rsidRPr="00BC0135">
        <w:rPr>
          <w:rFonts w:hint="eastAsia"/>
          <w:lang w:val="fr-FR" w:eastAsia="fr-FR"/>
        </w:rPr>
        <w:t>é</w:t>
      </w:r>
      <w:r w:rsidRPr="00BC0135">
        <w:rPr>
          <w:lang w:val="fr-FR" w:eastAsia="fr-FR"/>
        </w:rPr>
        <w:t xml:space="preserve"> les agressions sexuelles par peur des repr</w:t>
      </w:r>
      <w:r w:rsidRPr="00BC0135">
        <w:rPr>
          <w:rFonts w:hint="eastAsia"/>
          <w:lang w:val="fr-FR" w:eastAsia="fr-FR"/>
        </w:rPr>
        <w:t>é</w:t>
      </w:r>
      <w:r w:rsidRPr="00BC0135">
        <w:rPr>
          <w:lang w:val="fr-FR" w:eastAsia="fr-FR"/>
        </w:rPr>
        <w:t>sailles.</w:t>
      </w:r>
    </w:p>
    <w:p w:rsidR="00BC0135" w:rsidRPr="00BC0135" w:rsidRDefault="00C46132" w:rsidP="00C46132">
      <w:pPr>
        <w:pStyle w:val="ECHRHeading3"/>
        <w:rPr>
          <w:lang w:val="fr-FR" w:eastAsia="fr-FR"/>
        </w:rPr>
      </w:pPr>
      <w:r>
        <w:rPr>
          <w:lang w:val="fr-FR" w:eastAsia="fr-FR"/>
        </w:rPr>
        <w:t>15.</w:t>
      </w:r>
      <w:r w:rsidR="00876E01">
        <w:rPr>
          <w:lang w:val="fr-FR" w:eastAsia="fr-FR"/>
        </w:rPr>
        <w:t>  </w:t>
      </w:r>
      <w:r>
        <w:rPr>
          <w:lang w:val="fr-FR" w:eastAsia="fr-FR"/>
        </w:rPr>
        <w:t>6875/11 A.</w:t>
      </w:r>
      <w:r w:rsidR="00BC0135" w:rsidRPr="00BC0135">
        <w:rPr>
          <w:lang w:val="fr-FR" w:eastAsia="fr-FR"/>
        </w:rPr>
        <w:t>M.</w:t>
      </w:r>
    </w:p>
    <w:p w:rsidR="00BC0135" w:rsidRP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24</w:t>
      </w:r>
      <w:r w:rsidRPr="00BC0135">
        <w:rPr>
          <w:noProof/>
          <w:lang w:val="fr-FR" w:eastAsia="fr-FR"/>
        </w:rPr>
        <w:fldChar w:fldCharType="end"/>
      </w:r>
      <w:r w:rsidRPr="00BC0135">
        <w:rPr>
          <w:lang w:val="fr-FR" w:eastAsia="fr-FR"/>
        </w:rPr>
        <w:t>.  À la suite du démantèlement du camp de protestation, la police se pr</w:t>
      </w:r>
      <w:r w:rsidRPr="00BC0135">
        <w:rPr>
          <w:rFonts w:hint="eastAsia"/>
          <w:lang w:val="fr-FR" w:eastAsia="fr-FR"/>
        </w:rPr>
        <w:t>é</w:t>
      </w:r>
      <w:r w:rsidRPr="00BC0135">
        <w:rPr>
          <w:lang w:val="fr-FR" w:eastAsia="fr-FR"/>
        </w:rPr>
        <w:t>senta dans le domicile familial pour arr</w:t>
      </w:r>
      <w:r w:rsidRPr="00BC0135">
        <w:rPr>
          <w:rFonts w:hint="eastAsia"/>
          <w:lang w:val="fr-FR" w:eastAsia="fr-FR"/>
        </w:rPr>
        <w:t>ê</w:t>
      </w:r>
      <w:r w:rsidRPr="00BC0135">
        <w:rPr>
          <w:lang w:val="fr-FR" w:eastAsia="fr-FR"/>
        </w:rPr>
        <w:t>ter le requ</w:t>
      </w:r>
      <w:r w:rsidRPr="00BC0135">
        <w:rPr>
          <w:rFonts w:hint="eastAsia"/>
          <w:lang w:val="fr-FR" w:eastAsia="fr-FR"/>
        </w:rPr>
        <w:t>é</w:t>
      </w:r>
      <w:r w:rsidRPr="00BC0135">
        <w:rPr>
          <w:lang w:val="fr-FR" w:eastAsia="fr-FR"/>
        </w:rPr>
        <w:t>rant. Il s</w:t>
      </w:r>
      <w:r w:rsidR="00A977F5">
        <w:rPr>
          <w:lang w:val="fr-FR" w:eastAsia="fr-FR"/>
        </w:rPr>
        <w:t>’</w:t>
      </w:r>
      <w:r w:rsidRPr="00BC0135">
        <w:rPr>
          <w:lang w:val="fr-FR" w:eastAsia="fr-FR"/>
        </w:rPr>
        <w:t>enfuit et se cacha dans le d</w:t>
      </w:r>
      <w:r w:rsidRPr="00BC0135">
        <w:rPr>
          <w:rFonts w:hint="eastAsia"/>
          <w:lang w:val="fr-FR" w:eastAsia="fr-FR"/>
        </w:rPr>
        <w:t>é</w:t>
      </w:r>
      <w:r w:rsidRPr="00BC0135">
        <w:rPr>
          <w:lang w:val="fr-FR" w:eastAsia="fr-FR"/>
        </w:rPr>
        <w:t>sert. Sachant que la police le recherchait, le requérant embarqua sur un bateau de fortune pour les Iles Canaries.</w:t>
      </w:r>
    </w:p>
    <w:p w:rsidR="00BC0135" w:rsidRDefault="00C46132" w:rsidP="00C46132">
      <w:pPr>
        <w:pStyle w:val="ECHRHeading3"/>
        <w:rPr>
          <w:lang w:val="fr-FR" w:eastAsia="fr-FR"/>
        </w:rPr>
      </w:pPr>
      <w:r>
        <w:rPr>
          <w:lang w:val="fr-FR" w:eastAsia="fr-FR"/>
        </w:rPr>
        <w:lastRenderedPageBreak/>
        <w:t>16.</w:t>
      </w:r>
      <w:r w:rsidR="00876E01">
        <w:rPr>
          <w:lang w:val="fr-FR" w:eastAsia="fr-FR"/>
        </w:rPr>
        <w:t>  </w:t>
      </w:r>
      <w:r>
        <w:rPr>
          <w:lang w:val="fr-FR" w:eastAsia="fr-FR"/>
        </w:rPr>
        <w:t>19730/11 B.</w:t>
      </w:r>
      <w:r w:rsidR="00BC0135" w:rsidRPr="00BC0135">
        <w:rPr>
          <w:lang w:val="fr-FR" w:eastAsia="fr-FR"/>
        </w:rPr>
        <w:t>T.</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25</w:t>
      </w:r>
      <w:r w:rsidRPr="00BC0135">
        <w:rPr>
          <w:noProof/>
          <w:lang w:val="fr-FR" w:eastAsia="fr-FR"/>
        </w:rPr>
        <w:fldChar w:fldCharType="end"/>
      </w:r>
      <w:r w:rsidRPr="00BC0135">
        <w:rPr>
          <w:lang w:val="fr-FR" w:eastAsia="fr-FR"/>
        </w:rPr>
        <w:t>.  La requérante soutient avoir été arrêtée en 2006 pour avoir particip</w:t>
      </w:r>
      <w:r w:rsidRPr="00BC0135">
        <w:rPr>
          <w:rFonts w:hint="eastAsia"/>
          <w:lang w:val="fr-FR" w:eastAsia="fr-FR"/>
        </w:rPr>
        <w:t>é</w:t>
      </w:r>
      <w:r w:rsidRPr="00BC0135">
        <w:rPr>
          <w:lang w:val="fr-FR" w:eastAsia="fr-FR"/>
        </w:rPr>
        <w:t xml:space="preserve"> </w:t>
      </w:r>
      <w:r w:rsidRPr="00BC0135">
        <w:rPr>
          <w:rFonts w:hint="eastAsia"/>
          <w:lang w:val="fr-FR" w:eastAsia="fr-FR"/>
        </w:rPr>
        <w:t>à</w:t>
      </w:r>
      <w:r w:rsidRPr="00BC0135">
        <w:rPr>
          <w:lang w:val="fr-FR" w:eastAsia="fr-FR"/>
        </w:rPr>
        <w:t xml:space="preserve"> des manifestations et avoir été violée par un agent de police. Elle ne dénonça pas le viol pour ne pas déshonneur sa famille et fut mariée de force. Au camp de Gdeim Izik elle put s</w:t>
      </w:r>
      <w:r w:rsidR="00A977F5">
        <w:rPr>
          <w:lang w:val="fr-FR" w:eastAsia="fr-FR"/>
        </w:rPr>
        <w:t>’</w:t>
      </w:r>
      <w:r w:rsidRPr="00BC0135">
        <w:rPr>
          <w:lang w:val="fr-FR" w:eastAsia="fr-FR"/>
        </w:rPr>
        <w:t>exprimer librement en faveur du peuple Sahraoui. Le 8 novembre 2010 elle affronta l</w:t>
      </w:r>
      <w:r w:rsidR="00A977F5">
        <w:rPr>
          <w:lang w:val="fr-FR" w:eastAsia="fr-FR"/>
        </w:rPr>
        <w:t>’</w:t>
      </w:r>
      <w:r w:rsidRPr="00BC0135">
        <w:rPr>
          <w:lang w:val="fr-FR" w:eastAsia="fr-FR"/>
        </w:rPr>
        <w:t>assaut des forces de sécurité marocaines avec des pierres et des bâtons. Elle s</w:t>
      </w:r>
      <w:r w:rsidR="00A977F5">
        <w:rPr>
          <w:lang w:val="fr-FR" w:eastAsia="fr-FR"/>
        </w:rPr>
        <w:t>’</w:t>
      </w:r>
      <w:r w:rsidRPr="00BC0135">
        <w:rPr>
          <w:lang w:val="fr-FR" w:eastAsia="fr-FR"/>
        </w:rPr>
        <w:t>enfuit en Espagne par crainte de représailles. Depuis, la police l</w:t>
      </w:r>
      <w:r w:rsidR="00A977F5">
        <w:rPr>
          <w:lang w:val="fr-FR" w:eastAsia="fr-FR"/>
        </w:rPr>
        <w:t>’</w:t>
      </w:r>
      <w:r w:rsidRPr="00BC0135">
        <w:rPr>
          <w:lang w:val="fr-FR" w:eastAsia="fr-FR"/>
        </w:rPr>
        <w:t>a cherché à trois reprises à son domicile.</w:t>
      </w:r>
    </w:p>
    <w:p w:rsidR="00BC0135" w:rsidRDefault="00BC0135" w:rsidP="00DD224D">
      <w:pPr>
        <w:pStyle w:val="ECHRHeading3"/>
        <w:rPr>
          <w:lang w:val="fr-FR" w:eastAsia="fr-FR"/>
        </w:rPr>
      </w:pPr>
      <w:r w:rsidRPr="00BC0135">
        <w:rPr>
          <w:lang w:val="fr-FR" w:eastAsia="fr-FR"/>
        </w:rPr>
        <w:t>17.</w:t>
      </w:r>
      <w:r w:rsidR="00876E01">
        <w:rPr>
          <w:lang w:val="fr-FR" w:eastAsia="fr-FR"/>
        </w:rPr>
        <w:t>  </w:t>
      </w:r>
      <w:r w:rsidRPr="00BC0135">
        <w:rPr>
          <w:lang w:val="fr-FR" w:eastAsia="fr-FR"/>
        </w:rPr>
        <w:t>19739/11 S.A.</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26</w:t>
      </w:r>
      <w:r w:rsidRPr="00BC0135">
        <w:rPr>
          <w:noProof/>
          <w:lang w:val="fr-FR" w:eastAsia="fr-FR"/>
        </w:rPr>
        <w:fldChar w:fldCharType="end"/>
      </w:r>
      <w:r w:rsidRPr="00BC0135">
        <w:rPr>
          <w:lang w:val="fr-FR" w:eastAsia="fr-FR"/>
        </w:rPr>
        <w:t>.  Le requérant allègue avoir été poursuivi par les autorités marocaines lors de sa participation, avec d</w:t>
      </w:r>
      <w:r w:rsidR="00A977F5">
        <w:rPr>
          <w:lang w:val="fr-FR" w:eastAsia="fr-FR"/>
        </w:rPr>
        <w:t>’</w:t>
      </w:r>
      <w:r w:rsidRPr="00BC0135">
        <w:rPr>
          <w:lang w:val="fr-FR" w:eastAsia="fr-FR"/>
        </w:rPr>
        <w:t>autres jeunes, à des manifestations pour l</w:t>
      </w:r>
      <w:r w:rsidR="00A977F5">
        <w:rPr>
          <w:lang w:val="fr-FR" w:eastAsia="fr-FR"/>
        </w:rPr>
        <w:t>’</w:t>
      </w:r>
      <w:r w:rsidRPr="00BC0135">
        <w:rPr>
          <w:lang w:val="fr-FR" w:eastAsia="fr-FR"/>
        </w:rPr>
        <w:t>indépendance du Sahara. Il affirme avoir été arrêté pendant trois jours au cours desquels il fut torturé et soumis à des interrogatoires. L</w:t>
      </w:r>
      <w:r w:rsidR="00A977F5">
        <w:rPr>
          <w:lang w:val="fr-FR" w:eastAsia="fr-FR"/>
        </w:rPr>
        <w:t>’</w:t>
      </w:r>
      <w:r w:rsidRPr="00BC0135">
        <w:rPr>
          <w:lang w:val="fr-FR" w:eastAsia="fr-FR"/>
        </w:rPr>
        <w:t>auteur des tortures fut « Tuhima », connu pour ses techniques de torture. Par ailleurs, la police aurait fouillé son domicile.</w:t>
      </w:r>
    </w:p>
    <w:p w:rsidR="00BC0135" w:rsidRDefault="00BC0135" w:rsidP="00DD224D">
      <w:pPr>
        <w:pStyle w:val="ECHRHeading3"/>
        <w:rPr>
          <w:u w:val="single"/>
          <w:lang w:val="fr-FR" w:eastAsia="fr-FR"/>
        </w:rPr>
      </w:pPr>
      <w:r w:rsidRPr="00BC0135">
        <w:rPr>
          <w:lang w:val="fr-FR" w:eastAsia="fr-FR"/>
        </w:rPr>
        <w:t>18.</w:t>
      </w:r>
      <w:r w:rsidR="00876E01">
        <w:rPr>
          <w:lang w:val="fr-FR" w:eastAsia="fr-FR"/>
        </w:rPr>
        <w:t>  </w:t>
      </w:r>
      <w:r w:rsidRPr="00BC0135">
        <w:rPr>
          <w:lang w:val="fr-FR" w:eastAsia="fr-FR"/>
        </w:rPr>
        <w:t>19766/11 M.A.</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27</w:t>
      </w:r>
      <w:r w:rsidRPr="00BC0135">
        <w:rPr>
          <w:noProof/>
          <w:lang w:val="fr-FR" w:eastAsia="fr-FR"/>
        </w:rPr>
        <w:fldChar w:fldCharType="end"/>
      </w:r>
      <w:r w:rsidRPr="00BC0135">
        <w:rPr>
          <w:lang w:val="fr-FR" w:eastAsia="fr-FR"/>
        </w:rPr>
        <w:t xml:space="preserve">.  Le requérant allègue avoir été arrêté pour la première fois en 2006 pour avoir participé à une manifestation où il </w:t>
      </w:r>
      <w:r w:rsidR="00235A32">
        <w:rPr>
          <w:lang w:val="fr-FR" w:eastAsia="fr-FR"/>
        </w:rPr>
        <w:t>a été</w:t>
      </w:r>
      <w:r w:rsidRPr="00BC0135">
        <w:rPr>
          <w:lang w:val="fr-FR" w:eastAsia="fr-FR"/>
        </w:rPr>
        <w:t xml:space="preserve"> pris en photo par les autorités marocaines avec d</w:t>
      </w:r>
      <w:r w:rsidR="00A977F5">
        <w:rPr>
          <w:lang w:val="fr-FR" w:eastAsia="fr-FR"/>
        </w:rPr>
        <w:t>’</w:t>
      </w:r>
      <w:r w:rsidRPr="00BC0135">
        <w:rPr>
          <w:lang w:val="fr-FR" w:eastAsia="fr-FR"/>
        </w:rPr>
        <w:t>autres manifestants. Après s</w:t>
      </w:r>
      <w:r w:rsidR="00A977F5">
        <w:rPr>
          <w:lang w:val="fr-FR" w:eastAsia="fr-FR"/>
        </w:rPr>
        <w:t>’</w:t>
      </w:r>
      <w:r w:rsidRPr="00BC0135">
        <w:rPr>
          <w:lang w:val="fr-FR" w:eastAsia="fr-FR"/>
        </w:rPr>
        <w:t>être refugié en Mauritanie, il retourna au Maroc où il fut arrêté et détenu pendant une semaine à la prison de Laâyoune où il affirme avoir été torturé. Il participa à une manifestation l</w:t>
      </w:r>
      <w:r w:rsidR="00A977F5">
        <w:rPr>
          <w:lang w:val="fr-FR" w:eastAsia="fr-FR"/>
        </w:rPr>
        <w:t>’</w:t>
      </w:r>
      <w:r w:rsidRPr="00BC0135">
        <w:rPr>
          <w:lang w:val="fr-FR" w:eastAsia="fr-FR"/>
        </w:rPr>
        <w:t>année suivante et il fut de nouveau détenu et torturé. Suite au démantèlement du campement, il retourna à Laâyoune. Depuis, la police s</w:t>
      </w:r>
      <w:r w:rsidR="00A977F5">
        <w:rPr>
          <w:lang w:val="fr-FR" w:eastAsia="fr-FR"/>
        </w:rPr>
        <w:t>’</w:t>
      </w:r>
      <w:r w:rsidRPr="00BC0135">
        <w:rPr>
          <w:lang w:val="fr-FR" w:eastAsia="fr-FR"/>
        </w:rPr>
        <w:t>est présenté à son domicile à plusieurs reprises.</w:t>
      </w:r>
    </w:p>
    <w:p w:rsidR="00BC0135" w:rsidRDefault="00BC0135" w:rsidP="00DD224D">
      <w:pPr>
        <w:pStyle w:val="ECHRHeading3"/>
        <w:rPr>
          <w:u w:val="single"/>
          <w:lang w:val="fr-FR" w:eastAsia="fr-FR"/>
        </w:rPr>
      </w:pPr>
      <w:r w:rsidRPr="00BC0135">
        <w:rPr>
          <w:lang w:val="fr-FR" w:eastAsia="fr-FR"/>
        </w:rPr>
        <w:t>19.</w:t>
      </w:r>
      <w:r w:rsidR="00876E01">
        <w:rPr>
          <w:lang w:val="fr-FR" w:eastAsia="fr-FR"/>
        </w:rPr>
        <w:t>  </w:t>
      </w:r>
      <w:r w:rsidRPr="00BC0135">
        <w:rPr>
          <w:lang w:val="fr-FR" w:eastAsia="fr-FR"/>
        </w:rPr>
        <w:t>19774/11 H.B.</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28</w:t>
      </w:r>
      <w:r w:rsidRPr="00BC0135">
        <w:rPr>
          <w:noProof/>
          <w:lang w:val="fr-FR" w:eastAsia="fr-FR"/>
        </w:rPr>
        <w:fldChar w:fldCharType="end"/>
      </w:r>
      <w:r w:rsidRPr="00BC0135">
        <w:rPr>
          <w:lang w:val="fr-FR" w:eastAsia="fr-FR"/>
        </w:rPr>
        <w:t>.  Le requérant indique qu</w:t>
      </w:r>
      <w:r w:rsidR="00A977F5">
        <w:rPr>
          <w:lang w:val="fr-FR" w:eastAsia="fr-FR"/>
        </w:rPr>
        <w:t>’</w:t>
      </w:r>
      <w:r w:rsidRPr="00BC0135">
        <w:rPr>
          <w:lang w:val="fr-FR" w:eastAsia="fr-FR"/>
        </w:rPr>
        <w:t>il a déjà participé à des actes de protestation contre l</w:t>
      </w:r>
      <w:r w:rsidR="00A977F5">
        <w:rPr>
          <w:lang w:val="fr-FR" w:eastAsia="fr-FR"/>
        </w:rPr>
        <w:t>’</w:t>
      </w:r>
      <w:r w:rsidRPr="00BC0135">
        <w:rPr>
          <w:lang w:val="fr-FR" w:eastAsia="fr-FR"/>
        </w:rPr>
        <w:t>occupation du Sahara occidental avec le groupe El Uali auquel il appartenait. En 2005, il fut arrêté en raison de ses activités dans ce groupe, ainsi que pour avoir participé à une manifestation en faveur de l</w:t>
      </w:r>
      <w:r w:rsidR="00A977F5">
        <w:rPr>
          <w:lang w:val="fr-FR" w:eastAsia="fr-FR"/>
        </w:rPr>
        <w:t>’</w:t>
      </w:r>
      <w:r w:rsidRPr="00BC0135">
        <w:rPr>
          <w:lang w:val="fr-FR" w:eastAsia="fr-FR"/>
        </w:rPr>
        <w:t>indépendance du Sahara dans le quartier de Matallah. La police lui reprocha également l</w:t>
      </w:r>
      <w:r w:rsidR="00A977F5">
        <w:rPr>
          <w:lang w:val="fr-FR" w:eastAsia="fr-FR"/>
        </w:rPr>
        <w:t>’</w:t>
      </w:r>
      <w:r w:rsidRPr="00BC0135">
        <w:rPr>
          <w:lang w:val="fr-FR" w:eastAsia="fr-FR"/>
        </w:rPr>
        <w:t>exposition sur la voie publique de drapeaux du Front Polisario. Il fut arrêté pendant 15 jours au commissariat central de Laâyoune, puis purgea une peine de prison à la « Prison noire » de la même ville. En 2006, il fut arrêté pendant deux mois, accusé de distribuer des brochures pour l</w:t>
      </w:r>
      <w:r w:rsidR="00A977F5">
        <w:rPr>
          <w:lang w:val="fr-FR" w:eastAsia="fr-FR"/>
        </w:rPr>
        <w:t>’</w:t>
      </w:r>
      <w:r w:rsidRPr="00BC0135">
        <w:rPr>
          <w:lang w:val="fr-FR" w:eastAsia="fr-FR"/>
        </w:rPr>
        <w:t>indépendance du Sahara. Il affirme que les autorités marocaines contrôlent ses mouvements. Il soutient que la police a menacé sa famille si elle ne dévoilait pas l</w:t>
      </w:r>
      <w:r w:rsidR="00A977F5">
        <w:rPr>
          <w:lang w:val="fr-FR" w:eastAsia="fr-FR"/>
        </w:rPr>
        <w:t>’</w:t>
      </w:r>
      <w:r w:rsidRPr="00BC0135">
        <w:rPr>
          <w:lang w:val="fr-FR" w:eastAsia="fr-FR"/>
        </w:rPr>
        <w:t>endroit où il se trouve.</w:t>
      </w:r>
    </w:p>
    <w:p w:rsidR="00BC0135" w:rsidRDefault="00C46132" w:rsidP="00DD224D">
      <w:pPr>
        <w:pStyle w:val="ECHRHeading3"/>
        <w:rPr>
          <w:lang w:val="fr-FR" w:eastAsia="fr-FR"/>
        </w:rPr>
      </w:pPr>
      <w:r>
        <w:rPr>
          <w:lang w:val="fr-FR" w:eastAsia="fr-FR"/>
        </w:rPr>
        <w:lastRenderedPageBreak/>
        <w:t>20.</w:t>
      </w:r>
      <w:r w:rsidR="00876E01">
        <w:rPr>
          <w:lang w:val="fr-FR" w:eastAsia="fr-FR"/>
        </w:rPr>
        <w:t>  </w:t>
      </w:r>
      <w:r>
        <w:rPr>
          <w:lang w:val="fr-FR" w:eastAsia="fr-FR"/>
        </w:rPr>
        <w:t>19783/11 H.</w:t>
      </w:r>
      <w:r w:rsidR="00BC0135" w:rsidRPr="00BC0135">
        <w:rPr>
          <w:lang w:val="fr-FR" w:eastAsia="fr-FR"/>
        </w:rPr>
        <w:t>A.</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29</w:t>
      </w:r>
      <w:r w:rsidRPr="00BC0135">
        <w:rPr>
          <w:noProof/>
          <w:lang w:val="fr-FR" w:eastAsia="fr-FR"/>
        </w:rPr>
        <w:fldChar w:fldCharType="end"/>
      </w:r>
      <w:r w:rsidRPr="00BC0135">
        <w:rPr>
          <w:lang w:val="fr-FR" w:eastAsia="fr-FR"/>
        </w:rPr>
        <w:t>.  Le requérant est membre d</w:t>
      </w:r>
      <w:r w:rsidR="00A977F5">
        <w:rPr>
          <w:lang w:val="fr-FR" w:eastAsia="fr-FR"/>
        </w:rPr>
        <w:t>’</w:t>
      </w:r>
      <w:r w:rsidRPr="00BC0135">
        <w:rPr>
          <w:lang w:val="fr-FR" w:eastAsia="fr-FR"/>
        </w:rPr>
        <w:t>une famille pro-sahraouie qui inclut d</w:t>
      </w:r>
      <w:r w:rsidR="00A977F5">
        <w:rPr>
          <w:lang w:val="fr-FR" w:eastAsia="fr-FR"/>
        </w:rPr>
        <w:t>’</w:t>
      </w:r>
      <w:r w:rsidRPr="00BC0135">
        <w:rPr>
          <w:lang w:val="fr-FR" w:eastAsia="fr-FR"/>
        </w:rPr>
        <w:t>éminents dissidents. Il soutient avoir été arrêté et maltraité à plusieurs reprises du fait de sa participation à diverses manifestations en 2008 et 2010. À la suite du démantèlement du campement, où il s</w:t>
      </w:r>
      <w:r w:rsidR="00A977F5">
        <w:rPr>
          <w:lang w:val="fr-FR" w:eastAsia="fr-FR"/>
        </w:rPr>
        <w:t>’</w:t>
      </w:r>
      <w:r w:rsidRPr="00BC0135">
        <w:rPr>
          <w:lang w:val="fr-FR" w:eastAsia="fr-FR"/>
        </w:rPr>
        <w:t>était installé avec sa famille, il se réfugia à Smara mais fut détenu et battu par la police. De retour à Laâyoune, la police le chercha infructueusement.</w:t>
      </w:r>
    </w:p>
    <w:p w:rsidR="00BC0135" w:rsidRDefault="00BC0135" w:rsidP="00DD224D">
      <w:pPr>
        <w:pStyle w:val="ECHRHeading3"/>
        <w:rPr>
          <w:lang w:val="fr-FR" w:eastAsia="fr-FR"/>
        </w:rPr>
      </w:pPr>
      <w:r w:rsidRPr="00BC0135">
        <w:rPr>
          <w:lang w:val="fr-FR" w:eastAsia="fr-FR"/>
        </w:rPr>
        <w:t>21.</w:t>
      </w:r>
      <w:r w:rsidR="00876E01">
        <w:rPr>
          <w:lang w:val="fr-FR" w:eastAsia="fr-FR"/>
        </w:rPr>
        <w:t>  </w:t>
      </w:r>
      <w:r w:rsidRPr="00BC0135">
        <w:rPr>
          <w:lang w:val="fr-FR" w:eastAsia="fr-FR"/>
        </w:rPr>
        <w:t>19791/11 E.G.</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30</w:t>
      </w:r>
      <w:r w:rsidRPr="00BC0135">
        <w:rPr>
          <w:noProof/>
          <w:lang w:val="fr-FR" w:eastAsia="fr-FR"/>
        </w:rPr>
        <w:fldChar w:fldCharType="end"/>
      </w:r>
      <w:r w:rsidRPr="00BC0135">
        <w:rPr>
          <w:lang w:val="fr-FR" w:eastAsia="fr-FR"/>
        </w:rPr>
        <w:t>.  Le requérant s</w:t>
      </w:r>
      <w:r w:rsidR="00A977F5">
        <w:rPr>
          <w:lang w:val="fr-FR" w:eastAsia="fr-FR"/>
        </w:rPr>
        <w:t>’</w:t>
      </w:r>
      <w:r w:rsidRPr="00BC0135">
        <w:rPr>
          <w:lang w:val="fr-FR" w:eastAsia="fr-FR"/>
        </w:rPr>
        <w:t>installa au campement de Gdeim Izik entre le 12 octobre et le 8 novembre 2010, où il était un membre actif du groupe chargé de la sécurité. Étudiant, il avait participé à des manifestations en faveur de l</w:t>
      </w:r>
      <w:r w:rsidR="00A977F5">
        <w:rPr>
          <w:lang w:val="fr-FR" w:eastAsia="fr-FR"/>
        </w:rPr>
        <w:t>’</w:t>
      </w:r>
      <w:r w:rsidRPr="00BC0135">
        <w:rPr>
          <w:lang w:val="fr-FR" w:eastAsia="fr-FR"/>
        </w:rPr>
        <w:t>Indépendance du Sahara occidental à Laâyoune et avait été persécuté par les autorités marocaines de ce fait. Sa participation à une manifestation promue par Mohamed Salem Ayach entraina son arrestation et sa détention pendant trois jours au commissariat de Skeikima Avenue où il fut torturé. Il fut par la suite arrêté à plusieurs reprises pour sa participation à des manifestations en faveur du Front Polisario. La police marocaine fouilla son domicile plusieurs fois. Son frère ainé fut arrêté dans le campement, torturé et puis relâché. Le requérant craint des représailles en raison de ses activités en tant que dissident.</w:t>
      </w:r>
    </w:p>
    <w:p w:rsidR="00BC0135" w:rsidRDefault="00876E01" w:rsidP="00DD224D">
      <w:pPr>
        <w:pStyle w:val="ECHRHeading3"/>
        <w:rPr>
          <w:lang w:val="fr-FR" w:eastAsia="fr-FR"/>
        </w:rPr>
      </w:pPr>
      <w:r>
        <w:rPr>
          <w:lang w:val="fr-FR" w:eastAsia="fr-FR"/>
        </w:rPr>
        <w:t>22.  </w:t>
      </w:r>
      <w:r w:rsidR="00BC0135" w:rsidRPr="00BC0135">
        <w:rPr>
          <w:lang w:val="fr-FR" w:eastAsia="fr-FR"/>
        </w:rPr>
        <w:t>19796/11 E.E.M.</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31</w:t>
      </w:r>
      <w:r w:rsidRPr="00BC0135">
        <w:rPr>
          <w:noProof/>
          <w:lang w:val="fr-FR" w:eastAsia="fr-FR"/>
        </w:rPr>
        <w:fldChar w:fldCharType="end"/>
      </w:r>
      <w:r w:rsidRPr="00BC0135">
        <w:rPr>
          <w:lang w:val="fr-FR" w:eastAsia="fr-FR"/>
        </w:rPr>
        <w:t>.  Le requérant fut arrêté en raison de sa participation à des mouvements de protestation contre l</w:t>
      </w:r>
      <w:r w:rsidR="00A977F5">
        <w:rPr>
          <w:lang w:val="fr-FR" w:eastAsia="fr-FR"/>
        </w:rPr>
        <w:t>’</w:t>
      </w:r>
      <w:r w:rsidRPr="00BC0135">
        <w:rPr>
          <w:lang w:val="fr-FR" w:eastAsia="fr-FR"/>
        </w:rPr>
        <w:t>occupation marocaine du Sahara occidental. Au cours de celles-ci et d</w:t>
      </w:r>
      <w:r w:rsidR="00A977F5">
        <w:rPr>
          <w:lang w:val="fr-FR" w:eastAsia="fr-FR"/>
        </w:rPr>
        <w:t>’</w:t>
      </w:r>
      <w:r w:rsidRPr="00BC0135">
        <w:rPr>
          <w:lang w:val="fr-FR" w:eastAsia="fr-FR"/>
        </w:rPr>
        <w:t>autres détentions il affirme avoir été torturé par Aziz Awuche. Il se plaint également d</w:t>
      </w:r>
      <w:r w:rsidR="00A977F5">
        <w:rPr>
          <w:lang w:val="fr-FR" w:eastAsia="fr-FR"/>
        </w:rPr>
        <w:t>’</w:t>
      </w:r>
      <w:r w:rsidRPr="00BC0135">
        <w:rPr>
          <w:lang w:val="fr-FR" w:eastAsia="fr-FR"/>
        </w:rPr>
        <w:t>avoir été arrêté puis torturé après le démantèlement du camp Gdeim Izik. De peur des représailles, il se réfugia dans le désert et quitta le pays à bord d</w:t>
      </w:r>
      <w:r w:rsidR="00A977F5">
        <w:rPr>
          <w:lang w:val="fr-FR" w:eastAsia="fr-FR"/>
        </w:rPr>
        <w:t>’</w:t>
      </w:r>
      <w:r w:rsidRPr="00BC0135">
        <w:rPr>
          <w:lang w:val="fr-FR" w:eastAsia="fr-FR"/>
        </w:rPr>
        <w:t>un bateau de fortune</w:t>
      </w:r>
      <w:r w:rsidRPr="00BC0135">
        <w:rPr>
          <w:i/>
          <w:lang w:val="fr-FR" w:eastAsia="fr-FR"/>
        </w:rPr>
        <w:t>.</w:t>
      </w:r>
    </w:p>
    <w:p w:rsidR="00BC0135" w:rsidRPr="00BC0135" w:rsidRDefault="00876E01" w:rsidP="00DD224D">
      <w:pPr>
        <w:pStyle w:val="ECHRHeading3"/>
        <w:rPr>
          <w:lang w:val="fr-FR" w:eastAsia="fr-FR"/>
        </w:rPr>
      </w:pPr>
      <w:r>
        <w:rPr>
          <w:lang w:val="fr-FR" w:eastAsia="fr-FR"/>
        </w:rPr>
        <w:t>23.  </w:t>
      </w:r>
      <w:r w:rsidR="00BC0135" w:rsidRPr="00BC0135">
        <w:rPr>
          <w:lang w:val="fr-FR" w:eastAsia="fr-FR"/>
        </w:rPr>
        <w:t>19837/11 A.E.J.</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32</w:t>
      </w:r>
      <w:r w:rsidRPr="00BC0135">
        <w:rPr>
          <w:noProof/>
          <w:lang w:val="fr-FR" w:eastAsia="fr-FR"/>
        </w:rPr>
        <w:fldChar w:fldCharType="end"/>
      </w:r>
      <w:r w:rsidRPr="00BC0135">
        <w:rPr>
          <w:lang w:val="fr-FR" w:eastAsia="fr-FR"/>
        </w:rPr>
        <w:t>.  Le requérant craint des représailles en raison de sa participation au camp de protestation de Gdeim Izik. Il signale qu</w:t>
      </w:r>
      <w:r w:rsidR="00A977F5">
        <w:rPr>
          <w:lang w:val="fr-FR" w:eastAsia="fr-FR"/>
        </w:rPr>
        <w:t>’</w:t>
      </w:r>
      <w:r w:rsidRPr="00BC0135">
        <w:rPr>
          <w:lang w:val="fr-FR" w:eastAsia="fr-FR"/>
        </w:rPr>
        <w:t>il fut arrêté pour la première fois en raison de son activité dissidente le 15 juillet 2001, alors qu</w:t>
      </w:r>
      <w:r w:rsidR="00A977F5">
        <w:rPr>
          <w:lang w:val="fr-FR" w:eastAsia="fr-FR"/>
        </w:rPr>
        <w:t>’</w:t>
      </w:r>
      <w:r w:rsidRPr="00BC0135">
        <w:rPr>
          <w:lang w:val="fr-FR" w:eastAsia="fr-FR"/>
        </w:rPr>
        <w:t>il distribuait des drapeaux du Front Polisario. Il faisait alors partie d</w:t>
      </w:r>
      <w:r w:rsidR="00A977F5">
        <w:rPr>
          <w:lang w:val="fr-FR" w:eastAsia="fr-FR"/>
        </w:rPr>
        <w:t>’</w:t>
      </w:r>
      <w:r w:rsidRPr="00BC0135">
        <w:rPr>
          <w:lang w:val="fr-FR" w:eastAsia="fr-FR"/>
        </w:rPr>
        <w:t>une organisation d</w:t>
      </w:r>
      <w:r w:rsidR="00A977F5">
        <w:rPr>
          <w:lang w:val="fr-FR" w:eastAsia="fr-FR"/>
        </w:rPr>
        <w:t>’</w:t>
      </w:r>
      <w:r w:rsidRPr="00BC0135">
        <w:rPr>
          <w:lang w:val="fr-FR" w:eastAsia="fr-FR"/>
        </w:rPr>
        <w:t>étudiants nommée Chahid el Hafed, promue par les sympathisants d</w:t>
      </w:r>
      <w:r w:rsidR="00A977F5">
        <w:rPr>
          <w:lang w:val="fr-FR" w:eastAsia="fr-FR"/>
        </w:rPr>
        <w:t>’</w:t>
      </w:r>
      <w:r w:rsidRPr="00BC0135">
        <w:rPr>
          <w:lang w:val="fr-FR" w:eastAsia="fr-FR"/>
        </w:rPr>
        <w:t>Ali Salem Tamek, un important activiste politique détenu dans la prison de Casablanca. Ce dernier serait également en contact avec Aminetu Haidar. Le requérant fut arrêté pendant 15 jours au commissariat central de Laâyoune, où il fut battu, avec comme résultat des cicatrices au visage et une déviation de l</w:t>
      </w:r>
      <w:r w:rsidR="00A977F5">
        <w:rPr>
          <w:lang w:val="fr-FR" w:eastAsia="fr-FR"/>
        </w:rPr>
        <w:t>’</w:t>
      </w:r>
      <w:r w:rsidRPr="00BC0135">
        <w:rPr>
          <w:lang w:val="fr-FR" w:eastAsia="fr-FR"/>
        </w:rPr>
        <w:t>os frontal du nez. Il fut également victime d</w:t>
      </w:r>
      <w:r w:rsidR="00A977F5">
        <w:rPr>
          <w:lang w:val="fr-FR" w:eastAsia="fr-FR"/>
        </w:rPr>
        <w:t>’</w:t>
      </w:r>
      <w:r w:rsidRPr="00BC0135">
        <w:rPr>
          <w:lang w:val="fr-FR" w:eastAsia="fr-FR"/>
        </w:rPr>
        <w:t xml:space="preserve">une hémorragie interne pour laquelle il fut opéré dans une clinique à Agadir. Le </w:t>
      </w:r>
      <w:r w:rsidRPr="00BC0135">
        <w:rPr>
          <w:lang w:val="fr-FR" w:eastAsia="fr-FR"/>
        </w:rPr>
        <w:lastRenderedPageBreak/>
        <w:t>20 mai 2005 il fut arrêté à nouveau lors d</w:t>
      </w:r>
      <w:r w:rsidR="00A977F5">
        <w:rPr>
          <w:lang w:val="fr-FR" w:eastAsia="fr-FR"/>
        </w:rPr>
        <w:t>’</w:t>
      </w:r>
      <w:r w:rsidRPr="00BC0135">
        <w:rPr>
          <w:lang w:val="fr-FR" w:eastAsia="fr-FR"/>
        </w:rPr>
        <w:t>une manifestation pour l</w:t>
      </w:r>
      <w:r w:rsidR="00A977F5">
        <w:rPr>
          <w:lang w:val="fr-FR" w:eastAsia="fr-FR"/>
        </w:rPr>
        <w:t>’</w:t>
      </w:r>
      <w:r w:rsidRPr="00BC0135">
        <w:rPr>
          <w:lang w:val="fr-FR" w:eastAsia="fr-FR"/>
        </w:rPr>
        <w:t>indépendance du Sahara. Lorsqu</w:t>
      </w:r>
      <w:r w:rsidR="00A977F5">
        <w:rPr>
          <w:lang w:val="fr-FR" w:eastAsia="fr-FR"/>
        </w:rPr>
        <w:t>’</w:t>
      </w:r>
      <w:r w:rsidRPr="00BC0135">
        <w:rPr>
          <w:lang w:val="fr-FR" w:eastAsia="fr-FR"/>
        </w:rPr>
        <w:t>il quitta le camp de Gdeim Izik, le requérant se réfugia provisoirement chez des amis à Tan Tan. Ultérieurement, il regagna son domicile pour quitter le pays peu après de peur que la police ne vienne le chercher.</w:t>
      </w:r>
    </w:p>
    <w:p w:rsidR="00BC0135" w:rsidRDefault="00876E01" w:rsidP="00DD224D">
      <w:pPr>
        <w:pStyle w:val="ECHRHeading3"/>
        <w:rPr>
          <w:u w:val="single"/>
          <w:lang w:val="fr-FR" w:eastAsia="fr-FR"/>
        </w:rPr>
      </w:pPr>
      <w:r>
        <w:rPr>
          <w:lang w:val="fr-FR" w:eastAsia="fr-FR"/>
        </w:rPr>
        <w:t>24.  </w:t>
      </w:r>
      <w:r w:rsidR="00BC0135" w:rsidRPr="00BC0135">
        <w:rPr>
          <w:lang w:val="fr-FR" w:eastAsia="fr-FR"/>
        </w:rPr>
        <w:t>19846/11 M.C.</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33</w:t>
      </w:r>
      <w:r w:rsidRPr="00BC0135">
        <w:rPr>
          <w:noProof/>
          <w:lang w:val="fr-FR" w:eastAsia="fr-FR"/>
        </w:rPr>
        <w:fldChar w:fldCharType="end"/>
      </w:r>
      <w:r w:rsidRPr="00BC0135">
        <w:rPr>
          <w:lang w:val="fr-FR" w:eastAsia="fr-FR"/>
        </w:rPr>
        <w:t>.  Le requérant affirme avoir fait l</w:t>
      </w:r>
      <w:r w:rsidR="00A977F5">
        <w:rPr>
          <w:lang w:val="fr-FR" w:eastAsia="fr-FR"/>
        </w:rPr>
        <w:t>’</w:t>
      </w:r>
      <w:r w:rsidRPr="00BC0135">
        <w:rPr>
          <w:lang w:val="fr-FR" w:eastAsia="fr-FR"/>
        </w:rPr>
        <w:t>objet de détentions arbitraires. En 2005 il fut illégalement accusé d</w:t>
      </w:r>
      <w:r w:rsidR="00A977F5">
        <w:rPr>
          <w:lang w:val="fr-FR" w:eastAsia="fr-FR"/>
        </w:rPr>
        <w:t>’</w:t>
      </w:r>
      <w:r w:rsidRPr="00BC0135">
        <w:rPr>
          <w:lang w:val="fr-FR" w:eastAsia="fr-FR"/>
        </w:rPr>
        <w:t>avoir brûlé une voiture de police dans la station-service de Joumani. Il fut arrêté et détenu pendant une semaine dans une prison où il fut torturé pour obtenir des aveux. En 2006, alors qu</w:t>
      </w:r>
      <w:r w:rsidR="00A977F5">
        <w:rPr>
          <w:lang w:val="fr-FR" w:eastAsia="fr-FR"/>
        </w:rPr>
        <w:t>’</w:t>
      </w:r>
      <w:r w:rsidRPr="00BC0135">
        <w:rPr>
          <w:lang w:val="fr-FR" w:eastAsia="fr-FR"/>
        </w:rPr>
        <w:t>il était en vacances, il fut détenu pendant treize jours au commissariat à Douirat, où il fut de nouveau torturé. Le requérant se référa à ses blessures à la tête lors de sa demande de protection internationale. Il affirme que le jour du démantèlement du campement, il fut arrêté dans le quartier de Al Mataar où il fut brutalement battu dans une voiture. Le 11 novembre 2010 il fut convoqué au commissariat mais ne s</w:t>
      </w:r>
      <w:r w:rsidR="00A977F5">
        <w:rPr>
          <w:lang w:val="fr-FR" w:eastAsia="fr-FR"/>
        </w:rPr>
        <w:t>’</w:t>
      </w:r>
      <w:r w:rsidRPr="00BC0135">
        <w:rPr>
          <w:lang w:val="fr-FR" w:eastAsia="fr-FR"/>
        </w:rPr>
        <w:t>y présenta pas par crainte de représailles. Sa mère comparut à sa place et fut gardée au commissariat pendant six heures. Il s</w:t>
      </w:r>
      <w:r w:rsidR="00A977F5">
        <w:rPr>
          <w:lang w:val="fr-FR" w:eastAsia="fr-FR"/>
        </w:rPr>
        <w:t>’</w:t>
      </w:r>
      <w:r w:rsidRPr="00BC0135">
        <w:rPr>
          <w:lang w:val="fr-FR" w:eastAsia="fr-FR"/>
        </w:rPr>
        <w:t>enfuit et se cacha pendant un mois dans le désert, avant d</w:t>
      </w:r>
      <w:r w:rsidR="00A977F5">
        <w:rPr>
          <w:lang w:val="fr-FR" w:eastAsia="fr-FR"/>
        </w:rPr>
        <w:t>’</w:t>
      </w:r>
      <w:r w:rsidRPr="00BC0135">
        <w:rPr>
          <w:lang w:val="fr-FR" w:eastAsia="fr-FR"/>
        </w:rPr>
        <w:t>arriver en Espagne.</w:t>
      </w:r>
    </w:p>
    <w:p w:rsidR="00BC0135" w:rsidRDefault="00876E01" w:rsidP="00DD224D">
      <w:pPr>
        <w:pStyle w:val="ECHRHeading3"/>
        <w:rPr>
          <w:lang w:val="fr-FR" w:eastAsia="fr-FR"/>
        </w:rPr>
      </w:pPr>
      <w:r>
        <w:rPr>
          <w:lang w:val="fr-FR" w:eastAsia="fr-FR"/>
        </w:rPr>
        <w:t>25.  </w:t>
      </w:r>
      <w:r w:rsidR="00BC0135" w:rsidRPr="00BC0135">
        <w:rPr>
          <w:lang w:val="fr-FR" w:eastAsia="fr-FR"/>
        </w:rPr>
        <w:t>19854/11 M.M.E.A.</w:t>
      </w:r>
    </w:p>
    <w:p w:rsidR="00BC0135" w:rsidRP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34</w:t>
      </w:r>
      <w:r w:rsidRPr="00BC0135">
        <w:rPr>
          <w:noProof/>
          <w:lang w:val="fr-FR" w:eastAsia="fr-FR"/>
        </w:rPr>
        <w:fldChar w:fldCharType="end"/>
      </w:r>
      <w:r w:rsidRPr="00BC0135">
        <w:rPr>
          <w:lang w:val="fr-FR" w:eastAsia="fr-FR"/>
        </w:rPr>
        <w:t>.  Le requérant fut arrêté en 2009 dans le cadre d</w:t>
      </w:r>
      <w:r w:rsidR="00A977F5">
        <w:rPr>
          <w:lang w:val="fr-FR" w:eastAsia="fr-FR"/>
        </w:rPr>
        <w:t>’</w:t>
      </w:r>
      <w:r w:rsidRPr="00BC0135">
        <w:rPr>
          <w:lang w:val="fr-FR" w:eastAsia="fr-FR"/>
        </w:rPr>
        <w:t>une protestation lorsqu</w:t>
      </w:r>
      <w:r w:rsidR="00A977F5">
        <w:rPr>
          <w:lang w:val="fr-FR" w:eastAsia="fr-FR"/>
        </w:rPr>
        <w:t>’</w:t>
      </w:r>
      <w:r w:rsidRPr="00BC0135">
        <w:rPr>
          <w:lang w:val="fr-FR" w:eastAsia="fr-FR"/>
        </w:rPr>
        <w:t>il était en train de placer des drapeaux sahraouis. De ce fait, il fut condamné à deux ans de prison pour (fausse) accusation de vol. Il quitta la prison trois mois plus tard, sa famille ayant soudoyé le ministère public. Il s</w:t>
      </w:r>
      <w:r w:rsidR="00A977F5">
        <w:rPr>
          <w:lang w:val="fr-FR" w:eastAsia="fr-FR"/>
        </w:rPr>
        <w:t>’</w:t>
      </w:r>
      <w:r w:rsidRPr="00BC0135">
        <w:rPr>
          <w:lang w:val="fr-FR" w:eastAsia="fr-FR"/>
        </w:rPr>
        <w:t>installa alors au camp Gdeim Izik. Lors du démantèlement violent du camp, il fut blessé par arme blanche à une jambe et fut transporté dans un hôpital éloigné, les hôpitaux proches refusant de traiter les blessés sahraouis. La police est entrée de force à son domicile à deux reprises. Son frère a été arrêté et détenu afin qu</w:t>
      </w:r>
      <w:r w:rsidR="00A977F5">
        <w:rPr>
          <w:lang w:val="fr-FR" w:eastAsia="fr-FR"/>
        </w:rPr>
        <w:t>’</w:t>
      </w:r>
      <w:r w:rsidRPr="00BC0135">
        <w:rPr>
          <w:lang w:val="fr-FR" w:eastAsia="fr-FR"/>
        </w:rPr>
        <w:t>il donne de</w:t>
      </w:r>
      <w:r w:rsidR="00235A32">
        <w:rPr>
          <w:lang w:val="fr-FR" w:eastAsia="fr-FR"/>
        </w:rPr>
        <w:t>s</w:t>
      </w:r>
      <w:r w:rsidRPr="00BC0135">
        <w:rPr>
          <w:lang w:val="fr-FR" w:eastAsia="fr-FR"/>
        </w:rPr>
        <w:t xml:space="preserve"> renseignement</w:t>
      </w:r>
      <w:r w:rsidR="00235A32">
        <w:rPr>
          <w:lang w:val="fr-FR" w:eastAsia="fr-FR"/>
        </w:rPr>
        <w:t>s</w:t>
      </w:r>
      <w:r w:rsidRPr="00BC0135">
        <w:rPr>
          <w:lang w:val="fr-FR" w:eastAsia="fr-FR"/>
        </w:rPr>
        <w:t> sur le requérant. Il fut remis en liberté sous la menace de représailles si M.M.E.A. ne se présentait pas devant les autorités. De peur d</w:t>
      </w:r>
      <w:r w:rsidR="00A977F5">
        <w:rPr>
          <w:lang w:val="fr-FR" w:eastAsia="fr-FR"/>
        </w:rPr>
        <w:t>’</w:t>
      </w:r>
      <w:r w:rsidRPr="00BC0135">
        <w:rPr>
          <w:lang w:val="fr-FR" w:eastAsia="fr-FR"/>
        </w:rPr>
        <w:t>être arrêté et incarcéré, le requérant quitta le pays à bord d</w:t>
      </w:r>
      <w:r w:rsidR="00A977F5">
        <w:rPr>
          <w:lang w:val="fr-FR" w:eastAsia="fr-FR"/>
        </w:rPr>
        <w:t>’</w:t>
      </w:r>
      <w:r w:rsidRPr="00BC0135">
        <w:rPr>
          <w:lang w:val="fr-FR" w:eastAsia="fr-FR"/>
        </w:rPr>
        <w:t xml:space="preserve">un bateau </w:t>
      </w:r>
      <w:r w:rsidRPr="00BC0135">
        <w:rPr>
          <w:iCs/>
          <w:lang w:val="fr-FR" w:eastAsia="fr-FR"/>
        </w:rPr>
        <w:t>de fortune.</w:t>
      </w:r>
    </w:p>
    <w:p w:rsidR="00BC0135" w:rsidRDefault="00876E01" w:rsidP="00DD224D">
      <w:pPr>
        <w:pStyle w:val="ECHRHeading3"/>
        <w:rPr>
          <w:lang w:val="fr-FR" w:eastAsia="fr-FR"/>
        </w:rPr>
      </w:pPr>
      <w:r>
        <w:rPr>
          <w:lang w:val="fr-FR" w:eastAsia="fr-FR"/>
        </w:rPr>
        <w:t>26.  </w:t>
      </w:r>
      <w:r w:rsidR="00DD224D">
        <w:rPr>
          <w:lang w:val="fr-FR" w:eastAsia="fr-FR"/>
        </w:rPr>
        <w:t>19913/11</w:t>
      </w:r>
      <w:r w:rsidR="00BC0135" w:rsidRPr="00BC0135">
        <w:rPr>
          <w:lang w:val="fr-FR" w:eastAsia="fr-FR"/>
        </w:rPr>
        <w:t xml:space="preserve"> Y.E.Y.</w:t>
      </w:r>
    </w:p>
    <w:p w:rsidR="00BC0135" w:rsidRP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35</w:t>
      </w:r>
      <w:r w:rsidRPr="00BC0135">
        <w:rPr>
          <w:noProof/>
          <w:lang w:val="fr-FR" w:eastAsia="fr-FR"/>
        </w:rPr>
        <w:fldChar w:fldCharType="end"/>
      </w:r>
      <w:r w:rsidRPr="00BC0135">
        <w:rPr>
          <w:lang w:val="fr-FR" w:eastAsia="fr-FR"/>
        </w:rPr>
        <w:t>.  Le requérant fut  détenu en  2005  pendant deux jours, pour avoir participé à une manifestation. Il s</w:t>
      </w:r>
      <w:r w:rsidR="00A977F5">
        <w:rPr>
          <w:lang w:val="fr-FR" w:eastAsia="fr-FR"/>
        </w:rPr>
        <w:t>’</w:t>
      </w:r>
      <w:r w:rsidRPr="00BC0135">
        <w:rPr>
          <w:lang w:val="fr-FR" w:eastAsia="fr-FR"/>
        </w:rPr>
        <w:t>installa au camp Gdeim Izik.  Il fait valoir que sa famille est harcelée et persécutée pour des raisons politiques (ils sont liés de façon directe et active avec le Front Polisario).  Ceci est accrédité par son oncle, qui travaille dans la délégation du Front Polisario à Las Palmas. Un autre oncle est l</w:t>
      </w:r>
      <w:r w:rsidR="00A977F5">
        <w:rPr>
          <w:lang w:val="fr-FR" w:eastAsia="fr-FR"/>
        </w:rPr>
        <w:t>’</w:t>
      </w:r>
      <w:r w:rsidRPr="00BC0135">
        <w:rPr>
          <w:lang w:val="fr-FR" w:eastAsia="fr-FR"/>
        </w:rPr>
        <w:t>adjoint au représentant du Front Polisario à Madrid.  Il a été convoqué à plusieurs reprises par l</w:t>
      </w:r>
      <w:r w:rsidR="00A977F5">
        <w:rPr>
          <w:lang w:val="fr-FR" w:eastAsia="fr-FR"/>
        </w:rPr>
        <w:t>’</w:t>
      </w:r>
      <w:r w:rsidRPr="00BC0135">
        <w:rPr>
          <w:lang w:val="fr-FR" w:eastAsia="fr-FR"/>
        </w:rPr>
        <w:t xml:space="preserve">ancien gouverneur (wali) de </w:t>
      </w:r>
      <w:r w:rsidRPr="00BC0135">
        <w:rPr>
          <w:lang w:val="fr-FR" w:eastAsia="fr-FR"/>
        </w:rPr>
        <w:lastRenderedPageBreak/>
        <w:t>Laâyoune pour être interrogé sur les activités de sa famille. En 2010 il fut arrêté et détenu, avec 22 autres jeunes, lors de l</w:t>
      </w:r>
      <w:r w:rsidR="00A977F5">
        <w:rPr>
          <w:lang w:val="fr-FR" w:eastAsia="fr-FR"/>
        </w:rPr>
        <w:t>’</w:t>
      </w:r>
      <w:r w:rsidRPr="00BC0135">
        <w:rPr>
          <w:lang w:val="fr-FR" w:eastAsia="fr-FR"/>
        </w:rPr>
        <w:t>arrivée de l</w:t>
      </w:r>
      <w:r w:rsidR="00A977F5">
        <w:rPr>
          <w:lang w:val="fr-FR" w:eastAsia="fr-FR"/>
        </w:rPr>
        <w:t>’</w:t>
      </w:r>
      <w:r w:rsidRPr="00BC0135">
        <w:rPr>
          <w:lang w:val="fr-FR" w:eastAsia="fr-FR"/>
        </w:rPr>
        <w:t>activiste sahraoui Aminetu Haidar à Laâyoune, et fut torturé pendant la nuit et remis en liberté le lendemain. Il a joué un rôle très actif au camp Gdeim Izik, où il s</w:t>
      </w:r>
      <w:r w:rsidR="00A977F5">
        <w:rPr>
          <w:lang w:val="fr-FR" w:eastAsia="fr-FR"/>
        </w:rPr>
        <w:t>’</w:t>
      </w:r>
      <w:r w:rsidRPr="00BC0135">
        <w:rPr>
          <w:lang w:val="fr-FR" w:eastAsia="fr-FR"/>
        </w:rPr>
        <w:t>occupait de la sécurité, sous la supervision de son frère Mohamed Yahyaoui, résident en Espagne, qui se rendit à Laâyoune pour s</w:t>
      </w:r>
      <w:r w:rsidR="00A977F5">
        <w:rPr>
          <w:lang w:val="fr-FR" w:eastAsia="fr-FR"/>
        </w:rPr>
        <w:t>’</w:t>
      </w:r>
      <w:r w:rsidRPr="00BC0135">
        <w:rPr>
          <w:lang w:val="fr-FR" w:eastAsia="fr-FR"/>
        </w:rPr>
        <w:t>installer dans le camp. Après le démantèlement du camp, les autorités marocaines ont exercé des représailles contra sa famille. Elles sont entrées de force au domicile familiale. Il s</w:t>
      </w:r>
      <w:r w:rsidR="00A977F5">
        <w:rPr>
          <w:lang w:val="fr-FR" w:eastAsia="fr-FR"/>
        </w:rPr>
        <w:t>’</w:t>
      </w:r>
      <w:r w:rsidRPr="00BC0135">
        <w:rPr>
          <w:lang w:val="fr-FR" w:eastAsia="fr-FR"/>
        </w:rPr>
        <w:t>enfuit et, de peur de représailles, il quitta le pays à bord d</w:t>
      </w:r>
      <w:r w:rsidR="00A977F5">
        <w:rPr>
          <w:lang w:val="fr-FR" w:eastAsia="fr-FR"/>
        </w:rPr>
        <w:t>’</w:t>
      </w:r>
      <w:r w:rsidRPr="00BC0135">
        <w:rPr>
          <w:lang w:val="fr-FR" w:eastAsia="fr-FR"/>
        </w:rPr>
        <w:t>un bateau de fortune.</w:t>
      </w:r>
    </w:p>
    <w:p w:rsidR="00BC0135" w:rsidRDefault="00876E01" w:rsidP="00DD224D">
      <w:pPr>
        <w:pStyle w:val="ECHRHeading3"/>
        <w:rPr>
          <w:u w:val="single"/>
          <w:lang w:val="fr-FR" w:eastAsia="fr-FR"/>
        </w:rPr>
      </w:pPr>
      <w:r>
        <w:rPr>
          <w:lang w:val="fr-FR" w:eastAsia="fr-FR"/>
        </w:rPr>
        <w:t>27.  </w:t>
      </w:r>
      <w:r w:rsidR="00BC0135" w:rsidRPr="00BC0135">
        <w:rPr>
          <w:lang w:val="fr-FR" w:eastAsia="fr-FR"/>
        </w:rPr>
        <w:t>19920/11 H.H.</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36</w:t>
      </w:r>
      <w:r w:rsidRPr="00BC0135">
        <w:rPr>
          <w:noProof/>
          <w:lang w:val="fr-FR" w:eastAsia="fr-FR"/>
        </w:rPr>
        <w:fldChar w:fldCharType="end"/>
      </w:r>
      <w:r w:rsidRPr="00BC0135">
        <w:rPr>
          <w:lang w:val="fr-FR" w:eastAsia="fr-FR"/>
        </w:rPr>
        <w:t>.  Le requérant craint les représailles des autorités marocaines en raison de sa participation au camp de Gdeim Izik. Il explique qu</w:t>
      </w:r>
      <w:r w:rsidR="00A977F5">
        <w:rPr>
          <w:lang w:val="fr-FR" w:eastAsia="fr-FR"/>
        </w:rPr>
        <w:t>’</w:t>
      </w:r>
      <w:r w:rsidRPr="00BC0135">
        <w:rPr>
          <w:lang w:val="fr-FR" w:eastAsia="fr-FR"/>
        </w:rPr>
        <w:t>il est connu pour son intervention dans des mouvements de protestation contre l</w:t>
      </w:r>
      <w:r w:rsidR="00A977F5">
        <w:rPr>
          <w:lang w:val="fr-FR" w:eastAsia="fr-FR"/>
        </w:rPr>
        <w:t>’</w:t>
      </w:r>
      <w:r w:rsidRPr="00BC0135">
        <w:rPr>
          <w:lang w:val="fr-FR" w:eastAsia="fr-FR"/>
        </w:rPr>
        <w:t>occupation marocaine du Sahara occidental, à la suite desquels il fut arrêté et torturé à plusieurs reprises entre 2006 et 2008. Par ailleurs, le requérant souligne que la maison de sa famille fut attaquée et son frère emprisonné dans la « Prison noire » de Laâyoune, motifs qui l</w:t>
      </w:r>
      <w:r w:rsidR="00A977F5">
        <w:rPr>
          <w:lang w:val="fr-FR" w:eastAsia="fr-FR"/>
        </w:rPr>
        <w:t>’</w:t>
      </w:r>
      <w:r w:rsidRPr="00BC0135">
        <w:rPr>
          <w:lang w:val="fr-FR" w:eastAsia="fr-FR"/>
        </w:rPr>
        <w:t>amenèrent à quitter le pays.</w:t>
      </w:r>
    </w:p>
    <w:p w:rsidR="00BC0135" w:rsidRDefault="00876E01" w:rsidP="00DD224D">
      <w:pPr>
        <w:pStyle w:val="ECHRHeading3"/>
        <w:rPr>
          <w:lang w:val="fr-FR" w:eastAsia="fr-FR"/>
        </w:rPr>
      </w:pPr>
      <w:r>
        <w:rPr>
          <w:lang w:val="fr-FR" w:eastAsia="fr-FR"/>
        </w:rPr>
        <w:t>28.  </w:t>
      </w:r>
      <w:r w:rsidR="00C46132">
        <w:rPr>
          <w:lang w:val="fr-FR" w:eastAsia="fr-FR"/>
        </w:rPr>
        <w:t>19951/11 I.</w:t>
      </w:r>
      <w:r w:rsidR="00BC0135" w:rsidRPr="00BC0135">
        <w:rPr>
          <w:lang w:val="fr-FR" w:eastAsia="fr-FR"/>
        </w:rPr>
        <w:t>S.</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37</w:t>
      </w:r>
      <w:r w:rsidRPr="00BC0135">
        <w:rPr>
          <w:noProof/>
          <w:lang w:val="fr-FR" w:eastAsia="fr-FR"/>
        </w:rPr>
        <w:fldChar w:fldCharType="end"/>
      </w:r>
      <w:r w:rsidRPr="00BC0135">
        <w:rPr>
          <w:lang w:val="fr-FR" w:eastAsia="fr-FR"/>
        </w:rPr>
        <w:t>.  Le requérant fut arrêté par la police marocaine en 2005 du fait qu</w:t>
      </w:r>
      <w:r w:rsidR="00A977F5">
        <w:rPr>
          <w:lang w:val="fr-FR" w:eastAsia="fr-FR"/>
        </w:rPr>
        <w:t>’</w:t>
      </w:r>
      <w:r w:rsidRPr="00BC0135">
        <w:rPr>
          <w:lang w:val="fr-FR" w:eastAsia="fr-FR"/>
        </w:rPr>
        <w:t>il portait des drapeaux sahraouis et fut accusé, jugé et condamné à deux ans d</w:t>
      </w:r>
      <w:r w:rsidR="00A977F5">
        <w:rPr>
          <w:lang w:val="fr-FR" w:eastAsia="fr-FR"/>
        </w:rPr>
        <w:t>’</w:t>
      </w:r>
      <w:r w:rsidRPr="00BC0135">
        <w:rPr>
          <w:lang w:val="fr-FR" w:eastAsia="fr-FR"/>
        </w:rPr>
        <w:t>emprisonnement pour un délit de trafic de stupéfiants. Il purgea sa peine dans la « prison noire » et dans la prison de Melloul. Il fut violemment expulsé du campement de Gdeim Izik lors du démantèlement et partit à Laâyoune. Face à la situation de désordres qu</w:t>
      </w:r>
      <w:r w:rsidR="00A977F5">
        <w:rPr>
          <w:lang w:val="fr-FR" w:eastAsia="fr-FR"/>
        </w:rPr>
        <w:t>’</w:t>
      </w:r>
      <w:r w:rsidRPr="00BC0135">
        <w:rPr>
          <w:lang w:val="fr-FR" w:eastAsia="fr-FR"/>
        </w:rPr>
        <w:t>il y retrouva, il décida de s</w:t>
      </w:r>
      <w:r w:rsidR="00A977F5">
        <w:rPr>
          <w:lang w:val="fr-FR" w:eastAsia="fr-FR"/>
        </w:rPr>
        <w:t>’</w:t>
      </w:r>
      <w:r w:rsidRPr="00BC0135">
        <w:rPr>
          <w:lang w:val="fr-FR" w:eastAsia="fr-FR"/>
        </w:rPr>
        <w:t>enfuir. Il craint des représailles pour ses activités dans le campement ainsi qu</w:t>
      </w:r>
      <w:r w:rsidR="00A977F5">
        <w:rPr>
          <w:lang w:val="fr-FR" w:eastAsia="fr-FR"/>
        </w:rPr>
        <w:t>’</w:t>
      </w:r>
      <w:r w:rsidRPr="00BC0135">
        <w:rPr>
          <w:lang w:val="fr-FR" w:eastAsia="fr-FR"/>
        </w:rPr>
        <w:t>en raison de son casier judiciaire.</w:t>
      </w:r>
    </w:p>
    <w:p w:rsidR="00BC0135" w:rsidRDefault="00876E01" w:rsidP="00DD224D">
      <w:pPr>
        <w:pStyle w:val="ECHRHeading3"/>
        <w:rPr>
          <w:lang w:val="fr-FR" w:eastAsia="fr-FR"/>
        </w:rPr>
      </w:pPr>
      <w:r>
        <w:rPr>
          <w:lang w:val="fr-FR" w:eastAsia="fr-FR"/>
        </w:rPr>
        <w:t>29.  </w:t>
      </w:r>
      <w:r w:rsidR="00BC0135" w:rsidRPr="00BC0135">
        <w:rPr>
          <w:lang w:val="fr-FR" w:eastAsia="fr-FR"/>
        </w:rPr>
        <w:t>61912/12 Y.H.</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38</w:t>
      </w:r>
      <w:r w:rsidRPr="00BC0135">
        <w:rPr>
          <w:noProof/>
          <w:lang w:val="fr-FR" w:eastAsia="fr-FR"/>
        </w:rPr>
        <w:fldChar w:fldCharType="end"/>
      </w:r>
      <w:r w:rsidRPr="00BC0135">
        <w:rPr>
          <w:lang w:val="fr-FR" w:eastAsia="fr-FR"/>
        </w:rPr>
        <w:t>.  Le requérant craint que s</w:t>
      </w:r>
      <w:r w:rsidR="00A977F5">
        <w:rPr>
          <w:lang w:val="fr-FR" w:eastAsia="fr-FR"/>
        </w:rPr>
        <w:t>’</w:t>
      </w:r>
      <w:r w:rsidRPr="00BC0135">
        <w:rPr>
          <w:lang w:val="fr-FR" w:eastAsia="fr-FR"/>
        </w:rPr>
        <w:t>il est expulsé vers le Maroc, il fasse l</w:t>
      </w:r>
      <w:r w:rsidR="00A977F5">
        <w:rPr>
          <w:lang w:val="fr-FR" w:eastAsia="fr-FR"/>
        </w:rPr>
        <w:t>’</w:t>
      </w:r>
      <w:r w:rsidRPr="00BC0135">
        <w:rPr>
          <w:lang w:val="fr-FR" w:eastAsia="fr-FR"/>
        </w:rPr>
        <w:t>objet de représailles de la part des autorités marocaines, en raison de sa participation au camp de protestation de Gdeim Izik, démantelé le 8</w:t>
      </w:r>
      <w:r w:rsidR="00235A32">
        <w:rPr>
          <w:lang w:val="fr-FR" w:eastAsia="fr-FR"/>
        </w:rPr>
        <w:t> </w:t>
      </w:r>
      <w:r w:rsidRPr="00BC0135">
        <w:rPr>
          <w:lang w:val="fr-FR" w:eastAsia="fr-FR"/>
        </w:rPr>
        <w:t>novembre 2010. Il explique appartenir à la tribu sahraoui</w:t>
      </w:r>
      <w:r>
        <w:rPr>
          <w:lang w:val="fr-FR" w:eastAsia="fr-FR"/>
        </w:rPr>
        <w:t xml:space="preserve"> </w:t>
      </w:r>
      <w:r w:rsidRPr="00BC0135">
        <w:rPr>
          <w:lang w:val="fr-FR" w:eastAsia="fr-FR"/>
        </w:rPr>
        <w:t>Erguibat Sahel. Lui et sa famille auraient été parmi les premiers à participer à ce camp. Avant cela, le requérant affirme avoir pris part à plusieurs actions organisées par le peuple sahraoui et avoir été arrêté et frappé par la police. Par ailleurs, un groupe policier nommé « le groupe de la mort » l</w:t>
      </w:r>
      <w:r w:rsidR="00A977F5">
        <w:rPr>
          <w:lang w:val="fr-FR" w:eastAsia="fr-FR"/>
        </w:rPr>
        <w:t>’</w:t>
      </w:r>
      <w:r w:rsidRPr="00BC0135">
        <w:rPr>
          <w:lang w:val="fr-FR" w:eastAsia="fr-FR"/>
        </w:rPr>
        <w:t>aurait menacé de l</w:t>
      </w:r>
      <w:r w:rsidR="00A977F5">
        <w:rPr>
          <w:lang w:val="fr-FR" w:eastAsia="fr-FR"/>
        </w:rPr>
        <w:t>’</w:t>
      </w:r>
      <w:r w:rsidRPr="00BC0135">
        <w:rPr>
          <w:lang w:val="fr-FR" w:eastAsia="fr-FR"/>
        </w:rPr>
        <w:t>accuser de trafic de drogues s</w:t>
      </w:r>
      <w:r w:rsidR="00A977F5">
        <w:rPr>
          <w:lang w:val="fr-FR" w:eastAsia="fr-FR"/>
        </w:rPr>
        <w:t>’</w:t>
      </w:r>
      <w:r w:rsidRPr="00BC0135">
        <w:rPr>
          <w:lang w:val="fr-FR" w:eastAsia="fr-FR"/>
        </w:rPr>
        <w:t>il n</w:t>
      </w:r>
      <w:r w:rsidR="00A977F5">
        <w:rPr>
          <w:lang w:val="fr-FR" w:eastAsia="fr-FR"/>
        </w:rPr>
        <w:t>’</w:t>
      </w:r>
      <w:r w:rsidRPr="00BC0135">
        <w:rPr>
          <w:lang w:val="fr-FR" w:eastAsia="fr-FR"/>
        </w:rPr>
        <w:t xml:space="preserve">arrêtait pas ses revendications. Finalement, il informe que depuis sa fuite, sa famille a reçu </w:t>
      </w:r>
      <w:r w:rsidRPr="00BC0135">
        <w:rPr>
          <w:lang w:val="fr-FR" w:eastAsia="fr-FR"/>
        </w:rPr>
        <w:lastRenderedPageBreak/>
        <w:t>la visite de la police à son domicile à sa recherche, ce qui lui fait craindre pour son intégrité physique s</w:t>
      </w:r>
      <w:r w:rsidR="00A977F5">
        <w:rPr>
          <w:lang w:val="fr-FR" w:eastAsia="fr-FR"/>
        </w:rPr>
        <w:t>’</w:t>
      </w:r>
      <w:r w:rsidRPr="00BC0135">
        <w:rPr>
          <w:lang w:val="fr-FR" w:eastAsia="fr-FR"/>
        </w:rPr>
        <w:t>il retourne au Maroc.</w:t>
      </w:r>
    </w:p>
    <w:p w:rsidR="00BC0135" w:rsidRPr="00BC0135" w:rsidRDefault="00876E01" w:rsidP="00DD224D">
      <w:pPr>
        <w:pStyle w:val="ECHRHeading3"/>
        <w:rPr>
          <w:lang w:val="fr-FR" w:eastAsia="fr-FR"/>
        </w:rPr>
      </w:pPr>
      <w:r>
        <w:rPr>
          <w:lang w:val="fr-FR" w:eastAsia="fr-FR"/>
        </w:rPr>
        <w:t>30.  </w:t>
      </w:r>
      <w:r w:rsidR="00BC0135" w:rsidRPr="00BC0135">
        <w:rPr>
          <w:lang w:val="fr-FR" w:eastAsia="fr-FR"/>
        </w:rPr>
        <w:t>6249/12 A.E.G.</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39</w:t>
      </w:r>
      <w:r w:rsidRPr="00BC0135">
        <w:rPr>
          <w:noProof/>
          <w:lang w:val="fr-FR" w:eastAsia="fr-FR"/>
        </w:rPr>
        <w:fldChar w:fldCharType="end"/>
      </w:r>
      <w:r w:rsidRPr="00BC0135">
        <w:rPr>
          <w:lang w:val="fr-FR" w:eastAsia="fr-FR"/>
        </w:rPr>
        <w:t>.  Le requérant craint que s</w:t>
      </w:r>
      <w:r w:rsidR="00A977F5">
        <w:rPr>
          <w:lang w:val="fr-FR" w:eastAsia="fr-FR"/>
        </w:rPr>
        <w:t>’</w:t>
      </w:r>
      <w:r w:rsidRPr="00BC0135">
        <w:rPr>
          <w:lang w:val="fr-FR" w:eastAsia="fr-FR"/>
        </w:rPr>
        <w:t>il est expulsé vers le Maroc, il fasse l</w:t>
      </w:r>
      <w:r w:rsidR="00A977F5">
        <w:rPr>
          <w:lang w:val="fr-FR" w:eastAsia="fr-FR"/>
        </w:rPr>
        <w:t>’</w:t>
      </w:r>
      <w:r w:rsidRPr="00BC0135">
        <w:rPr>
          <w:lang w:val="fr-FR" w:eastAsia="fr-FR"/>
        </w:rPr>
        <w:t>objet de représailles de la part des autorités marocaines. Il affirme être le neveu de Brahim Noumria, activiste politique défenseur des droits fondamentaux dans le Sahara occidental, emprisonné et torturé à plusieurs reprises en raison de ses activités en défense du peuple sahraoui. Le requérant affirme avoir pris part à plusieurs actions organisées par le peuple sahraoui, et avoir été arrêté et frappé par la police.</w:t>
      </w:r>
    </w:p>
    <w:p w:rsidR="00BC0135" w:rsidRP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40</w:t>
      </w:r>
      <w:r w:rsidRPr="00BC0135">
        <w:rPr>
          <w:noProof/>
          <w:lang w:val="fr-FR" w:eastAsia="fr-FR"/>
        </w:rPr>
        <w:fldChar w:fldCharType="end"/>
      </w:r>
      <w:r w:rsidRPr="00BC0135">
        <w:rPr>
          <w:lang w:val="fr-FR" w:eastAsia="fr-FR"/>
        </w:rPr>
        <w:t>.  Suite à la diffusion de leurs demandes de protection internationale et de leurs identités par des photographies dans les médias, les autorités marocaines auraient harcelé les familles de certains de ces requérants.</w:t>
      </w:r>
    </w:p>
    <w:p w:rsidR="00BC0135" w:rsidRPr="00BC0135" w:rsidRDefault="00BC0135" w:rsidP="00BC0135">
      <w:pPr>
        <w:keepNext/>
        <w:keepLines/>
        <w:tabs>
          <w:tab w:val="left" w:pos="584"/>
        </w:tabs>
        <w:spacing w:before="360" w:after="240"/>
        <w:ind w:left="584" w:hanging="352"/>
        <w:outlineLvl w:val="1"/>
        <w:rPr>
          <w:rFonts w:asciiTheme="majorHAnsi" w:eastAsiaTheme="majorEastAsia" w:hAnsiTheme="majorHAnsi" w:cstheme="majorBidi"/>
          <w:b/>
          <w:bCs/>
          <w:szCs w:val="26"/>
          <w:lang w:val="fr-FR" w:eastAsia="fr-FR"/>
        </w:rPr>
      </w:pPr>
      <w:r w:rsidRPr="00BC0135">
        <w:rPr>
          <w:rFonts w:asciiTheme="majorHAnsi" w:eastAsiaTheme="majorEastAsia" w:hAnsiTheme="majorHAnsi" w:cstheme="majorBidi"/>
          <w:b/>
          <w:bCs/>
          <w:szCs w:val="26"/>
          <w:lang w:val="fr-FR" w:eastAsia="fr-FR"/>
        </w:rPr>
        <w:t>C.  Procédures entamées en Espagne</w:t>
      </w:r>
    </w:p>
    <w:p w:rsidR="00BC0135" w:rsidRPr="00BC0135" w:rsidRDefault="00876E01" w:rsidP="00BC0135">
      <w:pPr>
        <w:keepNext/>
        <w:keepLines/>
        <w:tabs>
          <w:tab w:val="left" w:pos="731"/>
        </w:tabs>
        <w:spacing w:before="240" w:after="120"/>
        <w:ind w:left="732" w:hanging="301"/>
        <w:outlineLvl w:val="2"/>
        <w:rPr>
          <w:rFonts w:asciiTheme="majorHAnsi" w:eastAsiaTheme="majorEastAsia" w:hAnsiTheme="majorHAnsi" w:cstheme="majorBidi"/>
          <w:bCs/>
          <w:i/>
          <w:lang w:val="fr-FR" w:eastAsia="fr-FR"/>
        </w:rPr>
      </w:pPr>
      <w:r>
        <w:rPr>
          <w:rFonts w:asciiTheme="majorHAnsi" w:eastAsiaTheme="majorEastAsia" w:hAnsiTheme="majorHAnsi" w:cstheme="majorBidi"/>
          <w:bCs/>
          <w:i/>
          <w:lang w:val="fr-FR" w:eastAsia="fr-FR"/>
        </w:rPr>
        <w:t>1.  </w:t>
      </w:r>
      <w:r w:rsidR="00BC0135" w:rsidRPr="00BC0135">
        <w:rPr>
          <w:rFonts w:asciiTheme="majorHAnsi" w:eastAsiaTheme="majorEastAsia" w:hAnsiTheme="majorHAnsi" w:cstheme="majorBidi"/>
          <w:bCs/>
          <w:i/>
          <w:lang w:val="fr-FR" w:eastAsia="fr-FR"/>
        </w:rPr>
        <w:t>Procédures administratives</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41</w:t>
      </w:r>
      <w:r w:rsidRPr="00BC0135">
        <w:rPr>
          <w:noProof/>
          <w:lang w:val="fr-FR" w:eastAsia="fr-FR"/>
        </w:rPr>
        <w:fldChar w:fldCharType="end"/>
      </w:r>
      <w:r w:rsidRPr="00BC0135">
        <w:rPr>
          <w:lang w:val="fr-FR" w:eastAsia="fr-FR"/>
        </w:rPr>
        <w:t>.  Entre le 14 janvier 2011 et le 3 septembre 2012, le ministre de l</w:t>
      </w:r>
      <w:r w:rsidR="00A977F5">
        <w:rPr>
          <w:lang w:val="fr-FR" w:eastAsia="fr-FR"/>
        </w:rPr>
        <w:t>’</w:t>
      </w:r>
      <w:r w:rsidRPr="00BC0135">
        <w:rPr>
          <w:lang w:val="fr-FR" w:eastAsia="fr-FR"/>
        </w:rPr>
        <w:t>Intérieur rendit trente décisions de rejet de ces demandes de protection internationale. Il motiva les décisions en se référant à l</w:t>
      </w:r>
      <w:r w:rsidR="00A977F5">
        <w:rPr>
          <w:lang w:val="fr-FR" w:eastAsia="fr-FR"/>
        </w:rPr>
        <w:t>’</w:t>
      </w:r>
      <w:r w:rsidRPr="00BC0135">
        <w:rPr>
          <w:lang w:val="fr-FR" w:eastAsia="fr-FR"/>
        </w:rPr>
        <w:t>article 21 § 2 b) de la loi 12/2009 du 30 octobre 2009 relative au droit d</w:t>
      </w:r>
      <w:r w:rsidR="00A977F5">
        <w:rPr>
          <w:lang w:val="fr-FR" w:eastAsia="fr-FR"/>
        </w:rPr>
        <w:t>’</w:t>
      </w:r>
      <w:r w:rsidRPr="00BC0135">
        <w:rPr>
          <w:lang w:val="fr-FR" w:eastAsia="fr-FR"/>
        </w:rPr>
        <w:t>asile, considérant que les demandes des requérants étaient fondées sur des allégations contradictoires et insuffisantes, leurs exposés des faits étant vagues et imprécis quant aux motifs qui auraient animé la persécution alléguée.</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42</w:t>
      </w:r>
      <w:r w:rsidRPr="00BC0135">
        <w:rPr>
          <w:noProof/>
          <w:lang w:val="fr-FR" w:eastAsia="fr-FR"/>
        </w:rPr>
        <w:fldChar w:fldCharType="end"/>
      </w:r>
      <w:r w:rsidRPr="00BC0135">
        <w:rPr>
          <w:lang w:val="fr-FR" w:eastAsia="fr-FR"/>
        </w:rPr>
        <w:t>.  Les requérants sollicitèrent le réexamen de ces décisions en fournissant de nouvelles informations. La délégation du Haut-Commissariat des Nations unies pour les réfugiés (HCR) en Espagne indiqua que les motifs invoqués et les informations fournies par les requérants étaient cohérents et apportaient des indices suffisants pour justifier la recevabilité de leurs demandes de protection internationale. Toutefois, par des décisions rendues entre le 19 janvier 2011 et le 6 septembre 2012, le ministre de l</w:t>
      </w:r>
      <w:r w:rsidR="00A977F5">
        <w:rPr>
          <w:lang w:val="fr-FR" w:eastAsia="fr-FR"/>
        </w:rPr>
        <w:t>’</w:t>
      </w:r>
      <w:r w:rsidRPr="00BC0135">
        <w:rPr>
          <w:lang w:val="fr-FR" w:eastAsia="fr-FR"/>
        </w:rPr>
        <w:t>Intérieur confirma les décisions attaquées.</w:t>
      </w:r>
    </w:p>
    <w:p w:rsidR="00BC0135" w:rsidRPr="00BC0135" w:rsidRDefault="00BC0135" w:rsidP="00BC0135">
      <w:pPr>
        <w:keepNext/>
        <w:keepLines/>
        <w:tabs>
          <w:tab w:val="left" w:pos="731"/>
        </w:tabs>
        <w:spacing w:before="240" w:after="120"/>
        <w:ind w:left="732" w:hanging="301"/>
        <w:outlineLvl w:val="2"/>
        <w:rPr>
          <w:rFonts w:asciiTheme="majorHAnsi" w:eastAsiaTheme="majorEastAsia" w:hAnsiTheme="majorHAnsi" w:cstheme="majorBidi"/>
          <w:bCs/>
          <w:i/>
          <w:lang w:val="fr-FR" w:eastAsia="fr-FR"/>
        </w:rPr>
      </w:pPr>
      <w:r w:rsidRPr="00BC0135">
        <w:rPr>
          <w:rFonts w:asciiTheme="majorHAnsi" w:eastAsiaTheme="majorEastAsia" w:hAnsiTheme="majorHAnsi" w:cstheme="majorBidi"/>
          <w:bCs/>
          <w:i/>
          <w:lang w:val="fr-FR" w:eastAsia="fr-FR"/>
        </w:rPr>
        <w:t>2.</w:t>
      </w:r>
      <w:r w:rsidR="00876E01">
        <w:rPr>
          <w:rFonts w:asciiTheme="majorHAnsi" w:eastAsiaTheme="majorEastAsia" w:hAnsiTheme="majorHAnsi" w:cstheme="majorBidi"/>
          <w:bCs/>
          <w:i/>
          <w:lang w:val="fr-FR" w:eastAsia="fr-FR"/>
        </w:rPr>
        <w:t>  </w:t>
      </w:r>
      <w:r w:rsidRPr="00BC0135">
        <w:rPr>
          <w:rFonts w:asciiTheme="majorHAnsi" w:eastAsiaTheme="majorEastAsia" w:hAnsiTheme="majorHAnsi" w:cstheme="majorBidi"/>
          <w:bCs/>
          <w:i/>
          <w:lang w:val="fr-FR" w:eastAsia="fr-FR"/>
        </w:rPr>
        <w:t>Procédures judiciaires</w:t>
      </w:r>
    </w:p>
    <w:p w:rsidR="00BC0135" w:rsidRP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43</w:t>
      </w:r>
      <w:r w:rsidRPr="00BC0135">
        <w:rPr>
          <w:noProof/>
          <w:lang w:val="fr-FR" w:eastAsia="fr-FR"/>
        </w:rPr>
        <w:fldChar w:fldCharType="end"/>
      </w:r>
      <w:r w:rsidRPr="00BC0135">
        <w:rPr>
          <w:lang w:val="fr-FR" w:eastAsia="fr-FR"/>
        </w:rPr>
        <w:t>.  Le 21 janvier 2011, les treize premiers requérants formèrent des recours de contentieux administratif devant l</w:t>
      </w:r>
      <w:r w:rsidR="00A977F5">
        <w:rPr>
          <w:lang w:val="fr-FR" w:eastAsia="fr-FR"/>
        </w:rPr>
        <w:t>’</w:t>
      </w:r>
      <w:r w:rsidRPr="00BC0135">
        <w:rPr>
          <w:i/>
          <w:lang w:val="fr-FR" w:eastAsia="fr-FR"/>
        </w:rPr>
        <w:t xml:space="preserve">Audiencia Nacional </w:t>
      </w:r>
      <w:r w:rsidRPr="00BC0135">
        <w:rPr>
          <w:lang w:val="fr-FR" w:eastAsia="fr-FR"/>
        </w:rPr>
        <w:t>contre les décisions du ministre de l</w:t>
      </w:r>
      <w:r w:rsidR="00A977F5">
        <w:rPr>
          <w:lang w:val="fr-FR" w:eastAsia="fr-FR"/>
        </w:rPr>
        <w:t>’</w:t>
      </w:r>
      <w:r w:rsidRPr="00BC0135">
        <w:rPr>
          <w:lang w:val="fr-FR" w:eastAsia="fr-FR"/>
        </w:rPr>
        <w:t>Intérieur. En même temps, ils demandèrent la suspension de l</w:t>
      </w:r>
      <w:r w:rsidR="00A977F5">
        <w:rPr>
          <w:lang w:val="fr-FR" w:eastAsia="fr-FR"/>
        </w:rPr>
        <w:t>’</w:t>
      </w:r>
      <w:r w:rsidRPr="00BC0135">
        <w:rPr>
          <w:lang w:val="fr-FR" w:eastAsia="fr-FR"/>
        </w:rPr>
        <w:t>exécution de la mesure d</w:t>
      </w:r>
      <w:r w:rsidR="00A977F5">
        <w:rPr>
          <w:lang w:val="fr-FR" w:eastAsia="fr-FR"/>
        </w:rPr>
        <w:t>’</w:t>
      </w:r>
      <w:r w:rsidRPr="00BC0135">
        <w:rPr>
          <w:lang w:val="fr-FR" w:eastAsia="fr-FR"/>
        </w:rPr>
        <w:t>expulsion, sur la base de l</w:t>
      </w:r>
      <w:r w:rsidR="00A977F5">
        <w:rPr>
          <w:lang w:val="fr-FR" w:eastAsia="fr-FR"/>
        </w:rPr>
        <w:t>’</w:t>
      </w:r>
      <w:r w:rsidR="00235A32">
        <w:rPr>
          <w:lang w:val="fr-FR" w:eastAsia="fr-FR"/>
        </w:rPr>
        <w:t>article </w:t>
      </w:r>
      <w:r w:rsidRPr="00BC0135">
        <w:rPr>
          <w:lang w:val="fr-FR" w:eastAsia="fr-FR"/>
        </w:rPr>
        <w:t>135 de la loi n</w:t>
      </w:r>
      <w:r w:rsidRPr="00BC0135">
        <w:rPr>
          <w:vertAlign w:val="superscript"/>
          <w:lang w:val="fr-FR" w:eastAsia="fr-FR"/>
        </w:rPr>
        <w:t>o</w:t>
      </w:r>
      <w:r w:rsidRPr="00BC0135">
        <w:rPr>
          <w:lang w:val="fr-FR" w:eastAsia="fr-FR"/>
        </w:rPr>
        <w:t> 29/1998 du 13 juillet 1998 sur la juridiction du contentieux administratif. Le restant des requérants fit de mêmes à des dates ultérieures.</w:t>
      </w:r>
    </w:p>
    <w:bookmarkStart w:id="3" w:name="cautelarisima"/>
    <w:p w:rsidR="00BC0135" w:rsidRDefault="00BC0135" w:rsidP="00BC0135">
      <w:pPr>
        <w:ind w:firstLine="284"/>
        <w:rPr>
          <w:lang w:val="fr-FR" w:eastAsia="fr-FR"/>
        </w:rPr>
      </w:pPr>
      <w:r w:rsidRPr="00BC0135">
        <w:rPr>
          <w:lang w:val="fr-FR" w:eastAsia="fr-FR"/>
        </w:rPr>
        <w:lastRenderedPageBreak/>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44</w:t>
      </w:r>
      <w:r w:rsidRPr="00BC0135">
        <w:rPr>
          <w:noProof/>
          <w:lang w:val="fr-FR" w:eastAsia="fr-FR"/>
        </w:rPr>
        <w:fldChar w:fldCharType="end"/>
      </w:r>
      <w:bookmarkEnd w:id="3"/>
      <w:r w:rsidRPr="00BC0135">
        <w:rPr>
          <w:lang w:val="fr-FR" w:eastAsia="fr-FR"/>
        </w:rPr>
        <w:t>.  Pour ce qui est des treize premiers requérants, le 27 janvier 2011, l</w:t>
      </w:r>
      <w:r w:rsidR="00A977F5">
        <w:rPr>
          <w:lang w:val="fr-FR" w:eastAsia="fr-FR"/>
        </w:rPr>
        <w:t>’</w:t>
      </w:r>
      <w:r w:rsidRPr="00BC0135">
        <w:rPr>
          <w:i/>
          <w:lang w:val="fr-FR" w:eastAsia="fr-FR"/>
        </w:rPr>
        <w:t>Audiencia Nacional</w:t>
      </w:r>
      <w:r w:rsidRPr="00BC0135">
        <w:rPr>
          <w:lang w:val="fr-FR" w:eastAsia="fr-FR"/>
        </w:rPr>
        <w:t xml:space="preserve"> ordonna à l</w:t>
      </w:r>
      <w:r w:rsidR="00A977F5">
        <w:rPr>
          <w:lang w:val="fr-FR" w:eastAsia="fr-FR"/>
        </w:rPr>
        <w:t>’</w:t>
      </w:r>
      <w:r w:rsidRPr="00BC0135">
        <w:rPr>
          <w:lang w:val="fr-FR" w:eastAsia="fr-FR"/>
        </w:rPr>
        <w:t>Administration de surseoir provisoirement aux expulsions (</w:t>
      </w:r>
      <w:r w:rsidRPr="00BC0135">
        <w:rPr>
          <w:i/>
          <w:lang w:val="fr-FR" w:eastAsia="fr-FR"/>
        </w:rPr>
        <w:t>suspensión cautelarísima)</w:t>
      </w:r>
      <w:r w:rsidRPr="00BC0135">
        <w:rPr>
          <w:lang w:val="fr-FR" w:eastAsia="fr-FR"/>
        </w:rPr>
        <w:t>, le temps d</w:t>
      </w:r>
      <w:r w:rsidR="00A977F5">
        <w:rPr>
          <w:lang w:val="fr-FR" w:eastAsia="fr-FR"/>
        </w:rPr>
        <w:t>’</w:t>
      </w:r>
      <w:r w:rsidRPr="00BC0135">
        <w:rPr>
          <w:lang w:val="fr-FR" w:eastAsia="fr-FR"/>
        </w:rPr>
        <w:t>examiner les demandes de mesures provisoires présentées. Toutefois, le 28 janvier 2011, l</w:t>
      </w:r>
      <w:r w:rsidR="00A977F5">
        <w:rPr>
          <w:lang w:val="fr-FR" w:eastAsia="fr-FR"/>
        </w:rPr>
        <w:t>’</w:t>
      </w:r>
      <w:r w:rsidRPr="00BC0135">
        <w:rPr>
          <w:i/>
          <w:lang w:val="fr-FR" w:eastAsia="fr-FR"/>
        </w:rPr>
        <w:t xml:space="preserve">Audiencia Nacional </w:t>
      </w:r>
      <w:r w:rsidRPr="00BC0135">
        <w:rPr>
          <w:lang w:val="fr-FR" w:eastAsia="fr-FR"/>
        </w:rPr>
        <w:t>décida de rejeter lesdites demandes de suspension des ordres d</w:t>
      </w:r>
      <w:r w:rsidR="00A977F5">
        <w:rPr>
          <w:lang w:val="fr-FR" w:eastAsia="fr-FR"/>
        </w:rPr>
        <w:t>’</w:t>
      </w:r>
      <w:r w:rsidRPr="00BC0135">
        <w:rPr>
          <w:lang w:val="fr-FR" w:eastAsia="fr-FR"/>
        </w:rPr>
        <w:t>expulsion pris à l</w:t>
      </w:r>
      <w:r w:rsidR="00A977F5">
        <w:rPr>
          <w:lang w:val="fr-FR" w:eastAsia="fr-FR"/>
        </w:rPr>
        <w:t>’</w:t>
      </w:r>
      <w:r w:rsidRPr="00BC0135">
        <w:rPr>
          <w:lang w:val="fr-FR" w:eastAsia="fr-FR"/>
        </w:rPr>
        <w:t>encontre desdits requérants, considérant que les moyens formulés à l</w:t>
      </w:r>
      <w:r w:rsidR="00A977F5">
        <w:rPr>
          <w:lang w:val="fr-FR" w:eastAsia="fr-FR"/>
        </w:rPr>
        <w:t>’</w:t>
      </w:r>
      <w:r w:rsidRPr="00BC0135">
        <w:rPr>
          <w:lang w:val="fr-FR" w:eastAsia="fr-FR"/>
        </w:rPr>
        <w:t>appui de leurs recours ne permettaient de conclure ni à l</w:t>
      </w:r>
      <w:r w:rsidR="00A977F5">
        <w:rPr>
          <w:lang w:val="fr-FR" w:eastAsia="fr-FR"/>
        </w:rPr>
        <w:t>’</w:t>
      </w:r>
      <w:r w:rsidRPr="00BC0135">
        <w:rPr>
          <w:lang w:val="fr-FR" w:eastAsia="fr-FR"/>
        </w:rPr>
        <w:t>existence dans leur chef de situations d</w:t>
      </w:r>
      <w:r w:rsidR="00A977F5">
        <w:rPr>
          <w:lang w:val="fr-FR" w:eastAsia="fr-FR"/>
        </w:rPr>
        <w:t>’</w:t>
      </w:r>
      <w:r w:rsidRPr="00BC0135">
        <w:rPr>
          <w:lang w:val="fr-FR" w:eastAsia="fr-FR"/>
        </w:rPr>
        <w:t>urgence spéciale susceptibles de justifier une suspension de toute expulsion du territoire national ni à la perte d</w:t>
      </w:r>
      <w:r w:rsidR="00A977F5">
        <w:rPr>
          <w:lang w:val="fr-FR" w:eastAsia="fr-FR"/>
        </w:rPr>
        <w:t>’</w:t>
      </w:r>
      <w:r w:rsidRPr="00BC0135">
        <w:rPr>
          <w:lang w:val="fr-FR" w:eastAsia="fr-FR"/>
        </w:rPr>
        <w:t>efficacité de la procédure au fond en cas d</w:t>
      </w:r>
      <w:r w:rsidR="00A977F5">
        <w:rPr>
          <w:lang w:val="fr-FR" w:eastAsia="fr-FR"/>
        </w:rPr>
        <w:t>’</w:t>
      </w:r>
      <w:r w:rsidRPr="00BC0135">
        <w:rPr>
          <w:lang w:val="fr-FR" w:eastAsia="fr-FR"/>
        </w:rPr>
        <w:t>exécution des mesures d</w:t>
      </w:r>
      <w:r w:rsidR="00A977F5">
        <w:rPr>
          <w:lang w:val="fr-FR" w:eastAsia="fr-FR"/>
        </w:rPr>
        <w:t>’</w:t>
      </w:r>
      <w:r w:rsidRPr="00BC0135">
        <w:rPr>
          <w:lang w:val="fr-FR" w:eastAsia="fr-FR"/>
        </w:rPr>
        <w:t>expulsion en cause. Par diverses décisions rendues entre janvier 2011 et septembre 2012, L</w:t>
      </w:r>
      <w:r w:rsidR="00A977F5">
        <w:rPr>
          <w:lang w:val="fr-FR" w:eastAsia="fr-FR"/>
        </w:rPr>
        <w:t>’</w:t>
      </w:r>
      <w:r w:rsidRPr="00BC0135">
        <w:rPr>
          <w:i/>
          <w:lang w:val="fr-FR" w:eastAsia="fr-FR"/>
        </w:rPr>
        <w:t>Audiencia Nacional</w:t>
      </w:r>
      <w:r w:rsidRPr="00BC0135">
        <w:rPr>
          <w:lang w:val="fr-FR" w:eastAsia="fr-FR"/>
        </w:rPr>
        <w:t xml:space="preserve"> rejeta également les demandes de suspension des ordres d</w:t>
      </w:r>
      <w:r w:rsidR="00A977F5">
        <w:rPr>
          <w:lang w:val="fr-FR" w:eastAsia="fr-FR"/>
        </w:rPr>
        <w:t>’</w:t>
      </w:r>
      <w:r w:rsidRPr="00BC0135">
        <w:rPr>
          <w:lang w:val="fr-FR" w:eastAsia="fr-FR"/>
        </w:rPr>
        <w:t>expulsion pris à l</w:t>
      </w:r>
      <w:r w:rsidR="00A977F5">
        <w:rPr>
          <w:lang w:val="fr-FR" w:eastAsia="fr-FR"/>
        </w:rPr>
        <w:t>’</w:t>
      </w:r>
      <w:r w:rsidRPr="00BC0135">
        <w:rPr>
          <w:lang w:val="fr-FR" w:eastAsia="fr-FR"/>
        </w:rPr>
        <w:t>encontre des autres requérants, par des décisions adoptées aussi dans des courts délais après le sursis provisoire à l</w:t>
      </w:r>
      <w:r w:rsidR="00A977F5">
        <w:rPr>
          <w:lang w:val="fr-FR" w:eastAsia="fr-FR"/>
        </w:rPr>
        <w:t>’</w:t>
      </w:r>
      <w:r w:rsidRPr="00BC0135">
        <w:rPr>
          <w:lang w:val="fr-FR" w:eastAsia="fr-FR"/>
        </w:rPr>
        <w:t>Administration.</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45</w:t>
      </w:r>
      <w:r w:rsidRPr="00BC0135">
        <w:rPr>
          <w:noProof/>
          <w:lang w:val="fr-FR" w:eastAsia="fr-FR"/>
        </w:rPr>
        <w:fldChar w:fldCharType="end"/>
      </w:r>
      <w:r w:rsidRPr="00BC0135">
        <w:rPr>
          <w:lang w:val="fr-FR" w:eastAsia="fr-FR"/>
        </w:rPr>
        <w:t>.  Entre le 28 janvier 2011 et le 1</w:t>
      </w:r>
      <w:r w:rsidRPr="00BC0135">
        <w:rPr>
          <w:vertAlign w:val="superscript"/>
          <w:lang w:val="fr-FR" w:eastAsia="fr-FR"/>
        </w:rPr>
        <w:t>er</w:t>
      </w:r>
      <w:r w:rsidRPr="00BC0135">
        <w:rPr>
          <w:lang w:val="fr-FR" w:eastAsia="fr-FR"/>
        </w:rPr>
        <w:t xml:space="preserve"> octobre 2012, les requérants saisirent la Cour de trente demandes de mesures provisoires sur le fondement de l</w:t>
      </w:r>
      <w:r w:rsidR="00A977F5">
        <w:rPr>
          <w:lang w:val="fr-FR" w:eastAsia="fr-FR"/>
        </w:rPr>
        <w:t>’</w:t>
      </w:r>
      <w:r w:rsidRPr="00BC0135">
        <w:rPr>
          <w:lang w:val="fr-FR" w:eastAsia="fr-FR"/>
        </w:rPr>
        <w:t xml:space="preserve">article 39 de son règlement. Ils exposaient avoir subi par le passé ou lors de leur arrestation et pendant le démantèlement du camp de Gdeim Izik en novembre 2010 des mauvais traitements de la part des autorités marocaines, en rapport avec leur origine sahraouie, ou indiquaient se sentir menacés et avoir peur de représailles. Aux dates indiquées au paragraphe </w:t>
      </w:r>
      <w:r w:rsidRPr="00BC0135">
        <w:rPr>
          <w:lang w:val="fr-FR" w:eastAsia="fr-FR"/>
        </w:rPr>
        <w:fldChar w:fldCharType="begin"/>
      </w:r>
      <w:r w:rsidRPr="00BC0135">
        <w:rPr>
          <w:lang w:val="fr-FR" w:eastAsia="fr-FR"/>
        </w:rPr>
        <w:instrText xml:space="preserve"> REF application39  \* MERGEFORMAT </w:instrText>
      </w:r>
      <w:r w:rsidRPr="00BC0135">
        <w:rPr>
          <w:lang w:val="fr-FR" w:eastAsia="fr-FR"/>
        </w:rPr>
        <w:fldChar w:fldCharType="separate"/>
      </w:r>
      <w:r w:rsidR="000A2932">
        <w:rPr>
          <w:noProof/>
          <w:lang w:val="fr-FR" w:eastAsia="fr-FR"/>
        </w:rPr>
        <w:t>4</w:t>
      </w:r>
      <w:r w:rsidRPr="00BC0135">
        <w:rPr>
          <w:noProof/>
          <w:lang w:val="fr-FR" w:eastAsia="fr-FR"/>
        </w:rPr>
        <w:fldChar w:fldCharType="end"/>
      </w:r>
      <w:r w:rsidRPr="00BC0135">
        <w:rPr>
          <w:lang w:val="fr-FR" w:eastAsia="fr-FR"/>
        </w:rPr>
        <w:t xml:space="preserve"> ci-dessus, la Cour décida d</w:t>
      </w:r>
      <w:r w:rsidR="00A977F5">
        <w:rPr>
          <w:lang w:val="fr-FR" w:eastAsia="fr-FR"/>
        </w:rPr>
        <w:t>’</w:t>
      </w:r>
      <w:r w:rsidRPr="00BC0135">
        <w:rPr>
          <w:lang w:val="fr-FR" w:eastAsia="fr-FR"/>
        </w:rPr>
        <w:t>indiquer au gouvernement espagnol, en application de l</w:t>
      </w:r>
      <w:r w:rsidR="00A977F5">
        <w:rPr>
          <w:lang w:val="fr-FR" w:eastAsia="fr-FR"/>
        </w:rPr>
        <w:t>’</w:t>
      </w:r>
      <w:r w:rsidRPr="00BC0135">
        <w:rPr>
          <w:lang w:val="fr-FR" w:eastAsia="fr-FR"/>
        </w:rPr>
        <w:t>article 39 de son règlement, de ne pas procéder au renvoi des requérants pendant la durée de la procédure devant la Cour.</w:t>
      </w:r>
    </w:p>
    <w:bookmarkStart w:id="4" w:name="pourvoiscassation"/>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46</w:t>
      </w:r>
      <w:r w:rsidRPr="00BC0135">
        <w:rPr>
          <w:noProof/>
          <w:lang w:val="fr-FR" w:eastAsia="fr-FR"/>
        </w:rPr>
        <w:fldChar w:fldCharType="end"/>
      </w:r>
      <w:bookmarkEnd w:id="4"/>
      <w:r w:rsidRPr="00BC0135">
        <w:rPr>
          <w:lang w:val="fr-FR" w:eastAsia="fr-FR"/>
        </w:rPr>
        <w:t>.  Les procédures entamées auprès de l</w:t>
      </w:r>
      <w:r w:rsidR="00A977F5">
        <w:rPr>
          <w:lang w:val="fr-FR" w:eastAsia="fr-FR"/>
        </w:rPr>
        <w:t>’</w:t>
      </w:r>
      <w:r w:rsidRPr="00BC0135">
        <w:rPr>
          <w:i/>
          <w:lang w:val="fr-FR" w:eastAsia="fr-FR"/>
        </w:rPr>
        <w:t>Audiencia Nacional</w:t>
      </w:r>
      <w:r w:rsidRPr="00BC0135">
        <w:rPr>
          <w:lang w:val="fr-FR" w:eastAsia="fr-FR"/>
        </w:rPr>
        <w:t xml:space="preserve"> suivirent leur cours. Par divers arrêts dont les dates figurent en annexe, elle rejeta les recours présentés par certains des requérants (la Cour ne dispose pas d</w:t>
      </w:r>
      <w:r w:rsidR="00A977F5">
        <w:rPr>
          <w:lang w:val="fr-FR" w:eastAsia="fr-FR"/>
        </w:rPr>
        <w:t>’</w:t>
      </w:r>
      <w:r w:rsidRPr="00BC0135">
        <w:rPr>
          <w:lang w:val="fr-FR" w:eastAsia="fr-FR"/>
        </w:rPr>
        <w:t>information sur les éventuels arrêts ou décisions prononcés à l</w:t>
      </w:r>
      <w:r w:rsidR="00A977F5">
        <w:rPr>
          <w:lang w:val="fr-FR" w:eastAsia="fr-FR"/>
        </w:rPr>
        <w:t>’</w:t>
      </w:r>
      <w:r w:rsidRPr="00BC0135">
        <w:rPr>
          <w:lang w:val="fr-FR" w:eastAsia="fr-FR"/>
        </w:rPr>
        <w:t>égard de tous les requérants). Ils ont saisi le Tribunal suprême de pourvois en cassation. Les suites desdits pourvois n</w:t>
      </w:r>
      <w:r w:rsidR="00A977F5">
        <w:rPr>
          <w:lang w:val="fr-FR" w:eastAsia="fr-FR"/>
        </w:rPr>
        <w:t>’</w:t>
      </w:r>
      <w:r w:rsidRPr="00BC0135">
        <w:rPr>
          <w:lang w:val="fr-FR" w:eastAsia="fr-FR"/>
        </w:rPr>
        <w:t>ont pas été portées à la connaissance de la Cour par les parties à ce jour.</w:t>
      </w:r>
    </w:p>
    <w:p w:rsidR="00BC0135" w:rsidRDefault="00BC0135" w:rsidP="00BC0135">
      <w:pPr>
        <w:keepNext/>
        <w:keepLines/>
        <w:tabs>
          <w:tab w:val="left" w:pos="357"/>
        </w:tabs>
        <w:spacing w:before="360" w:after="240"/>
        <w:ind w:left="357" w:hanging="357"/>
        <w:outlineLvl w:val="0"/>
        <w:rPr>
          <w:rFonts w:asciiTheme="majorHAnsi" w:eastAsiaTheme="majorEastAsia" w:hAnsiTheme="majorHAnsi" w:cstheme="majorBidi"/>
          <w:bCs/>
          <w:szCs w:val="28"/>
          <w:lang w:val="fr-FR" w:eastAsia="fr-FR"/>
        </w:rPr>
      </w:pPr>
      <w:r w:rsidRPr="00BC0135">
        <w:rPr>
          <w:rFonts w:asciiTheme="majorHAnsi" w:eastAsiaTheme="majorEastAsia" w:hAnsiTheme="majorHAnsi" w:cstheme="majorBidi"/>
          <w:bCs/>
          <w:szCs w:val="28"/>
          <w:lang w:val="fr-FR" w:eastAsia="fr-FR"/>
        </w:rPr>
        <w:t>II.  CONTEXTE DE L</w:t>
      </w:r>
      <w:r w:rsidR="00A977F5">
        <w:rPr>
          <w:rFonts w:asciiTheme="majorHAnsi" w:eastAsiaTheme="majorEastAsia" w:hAnsiTheme="majorHAnsi" w:cstheme="majorBidi"/>
          <w:bCs/>
          <w:szCs w:val="28"/>
          <w:lang w:val="fr-FR" w:eastAsia="fr-FR"/>
        </w:rPr>
        <w:t>’</w:t>
      </w:r>
      <w:r w:rsidRPr="00BC0135">
        <w:rPr>
          <w:rFonts w:asciiTheme="majorHAnsi" w:eastAsiaTheme="majorEastAsia" w:hAnsiTheme="majorHAnsi" w:cstheme="majorBidi"/>
          <w:bCs/>
          <w:szCs w:val="28"/>
          <w:lang w:val="fr-FR" w:eastAsia="fr-FR"/>
        </w:rPr>
        <w:t>AFFAIRE</w:t>
      </w:r>
    </w:p>
    <w:p w:rsidR="00BC0135" w:rsidRPr="00BC0135" w:rsidRDefault="00BC0135" w:rsidP="00BC0135">
      <w:pPr>
        <w:keepNext/>
        <w:keepLines/>
        <w:tabs>
          <w:tab w:val="left" w:pos="584"/>
        </w:tabs>
        <w:spacing w:before="360" w:after="240"/>
        <w:ind w:left="584" w:hanging="352"/>
        <w:outlineLvl w:val="1"/>
        <w:rPr>
          <w:rFonts w:asciiTheme="majorHAnsi" w:eastAsiaTheme="majorEastAsia" w:hAnsiTheme="majorHAnsi" w:cstheme="majorBidi"/>
          <w:b/>
          <w:bCs/>
          <w:szCs w:val="26"/>
          <w:lang w:val="fr-FR" w:eastAsia="fr-FR"/>
        </w:rPr>
      </w:pPr>
      <w:r w:rsidRPr="00BC0135">
        <w:rPr>
          <w:rFonts w:asciiTheme="majorHAnsi" w:eastAsiaTheme="majorEastAsia" w:hAnsiTheme="majorHAnsi" w:cstheme="majorBidi"/>
          <w:b/>
          <w:bCs/>
          <w:szCs w:val="26"/>
          <w:lang w:val="fr-FR" w:eastAsia="fr-FR"/>
        </w:rPr>
        <w:t>A.</w:t>
      </w:r>
      <w:r w:rsidR="00876E01">
        <w:rPr>
          <w:rFonts w:asciiTheme="majorHAnsi" w:eastAsiaTheme="majorEastAsia" w:hAnsiTheme="majorHAnsi" w:cstheme="majorBidi"/>
          <w:b/>
          <w:bCs/>
          <w:szCs w:val="26"/>
          <w:lang w:val="fr-FR" w:eastAsia="fr-FR"/>
        </w:rPr>
        <w:t>  </w:t>
      </w:r>
      <w:r w:rsidRPr="00BC0135">
        <w:rPr>
          <w:rFonts w:asciiTheme="majorHAnsi" w:eastAsiaTheme="majorEastAsia" w:hAnsiTheme="majorHAnsi" w:cstheme="majorBidi"/>
          <w:b/>
          <w:bCs/>
          <w:szCs w:val="26"/>
          <w:lang w:val="fr-FR" w:eastAsia="fr-FR"/>
        </w:rPr>
        <w:t>Le Sahara occidental</w:t>
      </w:r>
    </w:p>
    <w:bookmarkStart w:id="5" w:name="contexte"/>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47</w:t>
      </w:r>
      <w:r w:rsidRPr="00BC0135">
        <w:rPr>
          <w:noProof/>
          <w:lang w:val="fr-FR" w:eastAsia="fr-FR"/>
        </w:rPr>
        <w:fldChar w:fldCharType="end"/>
      </w:r>
      <w:bookmarkEnd w:id="5"/>
      <w:r w:rsidRPr="00BC0135">
        <w:rPr>
          <w:lang w:val="fr-FR" w:eastAsia="fr-FR"/>
        </w:rPr>
        <w:t>.  Selon la lettre du 29 janvier 2002 adressée au président du Conseil de sécurité des Nations unies par le Secrétaire général adjoint aux affaires juridiques de cette organisation, le statut juridique du Sahara occidental est le suivant :</w:t>
      </w:r>
    </w:p>
    <w:p w:rsidR="00BC0135" w:rsidRPr="00BC0135" w:rsidRDefault="00BC0135" w:rsidP="00BC0135">
      <w:pPr>
        <w:ind w:firstLine="284"/>
        <w:rPr>
          <w:lang w:val="fr-FR" w:eastAsia="fr-FR"/>
        </w:rPr>
      </w:pPr>
      <w:r w:rsidRPr="00BC0135">
        <w:rPr>
          <w:lang w:val="fr-FR" w:eastAsia="fr-FR"/>
        </w:rPr>
        <w:t xml:space="preserve">Protectorat espagnol depuis 1884, le Sahara espagnol a été inscrit en 1963 sur la liste des territoires non autonomes relevant du Chapitre XI de la Charte des Nations unies (A/5514, annexe III). Le 14 novembre 1975, une </w:t>
      </w:r>
      <w:r w:rsidRPr="00BC0135">
        <w:rPr>
          <w:lang w:val="fr-FR" w:eastAsia="fr-FR"/>
        </w:rPr>
        <w:lastRenderedPageBreak/>
        <w:t>Déclaration de principes sur le Sahara occidental a été signée à Madrid par l</w:t>
      </w:r>
      <w:r w:rsidR="00A977F5">
        <w:rPr>
          <w:lang w:val="fr-FR" w:eastAsia="fr-FR"/>
        </w:rPr>
        <w:t>’</w:t>
      </w:r>
      <w:r w:rsidRPr="00BC0135">
        <w:rPr>
          <w:lang w:val="fr-FR" w:eastAsia="fr-FR"/>
        </w:rPr>
        <w:t>Espagne, le Maroc et la Mauritanie (l</w:t>
      </w:r>
      <w:r w:rsidR="00A977F5">
        <w:rPr>
          <w:lang w:val="fr-FR" w:eastAsia="fr-FR"/>
        </w:rPr>
        <w:t>’</w:t>
      </w:r>
      <w:r w:rsidRPr="00BC0135">
        <w:rPr>
          <w:lang w:val="fr-FR" w:eastAsia="fr-FR"/>
        </w:rPr>
        <w:t>Accord de Madrid). En vertu de cette déclaration, les pouvoirs et responsabilités de l</w:t>
      </w:r>
      <w:r w:rsidR="00A977F5">
        <w:rPr>
          <w:lang w:val="fr-FR" w:eastAsia="fr-FR"/>
        </w:rPr>
        <w:t>’</w:t>
      </w:r>
      <w:r w:rsidRPr="00BC0135">
        <w:rPr>
          <w:lang w:val="fr-FR" w:eastAsia="fr-FR"/>
        </w:rPr>
        <w:t>Espagne, en tant que Puissance administrante du territoire, ont été transférés à une administration tripartite temporaire. L</w:t>
      </w:r>
      <w:r w:rsidR="00A977F5">
        <w:rPr>
          <w:lang w:val="fr-FR" w:eastAsia="fr-FR"/>
        </w:rPr>
        <w:t>’</w:t>
      </w:r>
      <w:r w:rsidRPr="00BC0135">
        <w:rPr>
          <w:lang w:val="fr-FR" w:eastAsia="fr-FR"/>
        </w:rPr>
        <w:t>Accord de Madrid ne prévoyait pas de transfert de souveraineté sur le territoire ni ne conférait à aucun des signataires le statut de puissance administrante, statut que l</w:t>
      </w:r>
      <w:r w:rsidR="00A977F5">
        <w:rPr>
          <w:lang w:val="fr-FR" w:eastAsia="fr-FR"/>
        </w:rPr>
        <w:t>’</w:t>
      </w:r>
      <w:r w:rsidRPr="00BC0135">
        <w:rPr>
          <w:lang w:val="fr-FR" w:eastAsia="fr-FR"/>
        </w:rPr>
        <w:t>Espagne ne pouvait d</w:t>
      </w:r>
      <w:r w:rsidR="00A977F5">
        <w:rPr>
          <w:lang w:val="fr-FR" w:eastAsia="fr-FR"/>
        </w:rPr>
        <w:t>’</w:t>
      </w:r>
      <w:r w:rsidRPr="00BC0135">
        <w:rPr>
          <w:lang w:val="fr-FR" w:eastAsia="fr-FR"/>
        </w:rPr>
        <w:t>ailleurs unilatéralement transférer. Le transfert des pouvoirs administratifs au Maroc et à la Mauritanie en 1975 n</w:t>
      </w:r>
      <w:r w:rsidR="00A977F5">
        <w:rPr>
          <w:lang w:val="fr-FR" w:eastAsia="fr-FR"/>
        </w:rPr>
        <w:t>’</w:t>
      </w:r>
      <w:r w:rsidRPr="00BC0135">
        <w:rPr>
          <w:lang w:val="fr-FR" w:eastAsia="fr-FR"/>
        </w:rPr>
        <w:t>a pas eu d</w:t>
      </w:r>
      <w:r w:rsidR="00A977F5">
        <w:rPr>
          <w:lang w:val="fr-FR" w:eastAsia="fr-FR"/>
        </w:rPr>
        <w:t>’</w:t>
      </w:r>
      <w:r w:rsidRPr="00BC0135">
        <w:rPr>
          <w:lang w:val="fr-FR" w:eastAsia="fr-FR"/>
        </w:rPr>
        <w:t>incidence sur le statut du Sahara occidental en tant que territoire non autonome.</w:t>
      </w:r>
    </w:p>
    <w:p w:rsidR="00BC0135" w:rsidRP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48</w:t>
      </w:r>
      <w:r w:rsidRPr="00BC0135">
        <w:rPr>
          <w:noProof/>
          <w:lang w:val="fr-FR" w:eastAsia="fr-FR"/>
        </w:rPr>
        <w:fldChar w:fldCharType="end"/>
      </w:r>
      <w:r w:rsidRPr="00BC0135">
        <w:rPr>
          <w:lang w:val="fr-FR" w:eastAsia="fr-FR"/>
        </w:rPr>
        <w:t>.  Le 26 février 1976, l</w:t>
      </w:r>
      <w:r w:rsidR="00A977F5">
        <w:rPr>
          <w:lang w:val="fr-FR" w:eastAsia="fr-FR"/>
        </w:rPr>
        <w:t>’</w:t>
      </w:r>
      <w:r w:rsidRPr="00BC0135">
        <w:rPr>
          <w:lang w:val="fr-FR" w:eastAsia="fr-FR"/>
        </w:rPr>
        <w:t>Espagne a informé le Secrétaire général des Nations unies qu</w:t>
      </w:r>
      <w:r w:rsidR="00A977F5">
        <w:rPr>
          <w:lang w:val="fr-FR" w:eastAsia="fr-FR"/>
        </w:rPr>
        <w:t>’</w:t>
      </w:r>
      <w:r w:rsidRPr="00BC0135">
        <w:rPr>
          <w:lang w:val="fr-FR" w:eastAsia="fr-FR"/>
        </w:rPr>
        <w:t>à dater de ce jour, elle mettait fin à sa présence au Sahara occidental et renonçait à ses responsabilités sur le territoire, laissant ainsi de fait le Maroc et la Mauritanie administrer le territoire dans les zones placées respectivement sous leur contrôle. La Mauritanie s</w:t>
      </w:r>
      <w:r w:rsidR="00A977F5">
        <w:rPr>
          <w:lang w:val="fr-FR" w:eastAsia="fr-FR"/>
        </w:rPr>
        <w:t>’</w:t>
      </w:r>
      <w:r w:rsidRPr="00BC0135">
        <w:rPr>
          <w:lang w:val="fr-FR" w:eastAsia="fr-FR"/>
        </w:rPr>
        <w:t>étant retirée du territoire en 1979, à la suite de la conclusion de l</w:t>
      </w:r>
      <w:r w:rsidR="00A977F5">
        <w:rPr>
          <w:lang w:val="fr-FR" w:eastAsia="fr-FR"/>
        </w:rPr>
        <w:t>’</w:t>
      </w:r>
      <w:r w:rsidRPr="00BC0135">
        <w:rPr>
          <w:lang w:val="fr-FR" w:eastAsia="fr-FR"/>
        </w:rPr>
        <w:t>accord mauritano-sahraoui du 19 août 1979 (S/13503, annexe I), le Maroc administre seul le territoire du Sahara occidental depuis cette date. Toutefois, le Maroc ne figurant pas comme puissance administrante du territoire sur la liste des territoires non autonomes de l</w:t>
      </w:r>
      <w:r w:rsidR="00A977F5">
        <w:rPr>
          <w:lang w:val="fr-FR" w:eastAsia="fr-FR"/>
        </w:rPr>
        <w:t>’</w:t>
      </w:r>
      <w:r w:rsidRPr="00BC0135">
        <w:rPr>
          <w:lang w:val="fr-FR" w:eastAsia="fr-FR"/>
        </w:rPr>
        <w:t>ONU, il ne communique pas de renseignements sur le territoire en vertu de l</w:t>
      </w:r>
      <w:r w:rsidR="00A977F5">
        <w:rPr>
          <w:lang w:val="fr-FR" w:eastAsia="fr-FR"/>
        </w:rPr>
        <w:t>’</w:t>
      </w:r>
      <w:r w:rsidRPr="00BC0135">
        <w:rPr>
          <w:lang w:val="fr-FR" w:eastAsia="fr-FR"/>
        </w:rPr>
        <w:t>alinéa e de l</w:t>
      </w:r>
      <w:r w:rsidR="00A977F5">
        <w:rPr>
          <w:lang w:val="fr-FR" w:eastAsia="fr-FR"/>
        </w:rPr>
        <w:t>’</w:t>
      </w:r>
      <w:r w:rsidRPr="00BC0135">
        <w:rPr>
          <w:lang w:val="fr-FR" w:eastAsia="fr-FR"/>
        </w:rPr>
        <w:t>Article 73 de la Charte des Nations unies.</w:t>
      </w:r>
    </w:p>
    <w:p w:rsidR="00BC0135" w:rsidRPr="00BC0135" w:rsidRDefault="00BC0135" w:rsidP="00BC0135">
      <w:pPr>
        <w:keepNext/>
        <w:keepLines/>
        <w:tabs>
          <w:tab w:val="left" w:pos="584"/>
        </w:tabs>
        <w:spacing w:before="360" w:after="240"/>
        <w:ind w:left="584" w:hanging="352"/>
        <w:outlineLvl w:val="1"/>
        <w:rPr>
          <w:rFonts w:asciiTheme="majorHAnsi" w:eastAsiaTheme="majorEastAsia" w:hAnsiTheme="majorHAnsi" w:cstheme="majorBidi"/>
          <w:b/>
          <w:bCs/>
          <w:szCs w:val="26"/>
          <w:lang w:val="fr-FR" w:eastAsia="fr-FR"/>
        </w:rPr>
      </w:pPr>
      <w:r w:rsidRPr="00BC0135">
        <w:rPr>
          <w:rFonts w:asciiTheme="majorHAnsi" w:eastAsiaTheme="majorEastAsia" w:hAnsiTheme="majorHAnsi" w:cstheme="majorBidi"/>
          <w:b/>
          <w:bCs/>
          <w:szCs w:val="26"/>
          <w:lang w:val="fr-FR" w:eastAsia="fr-FR"/>
        </w:rPr>
        <w:t>B.</w:t>
      </w:r>
      <w:r w:rsidR="00876E01">
        <w:rPr>
          <w:rFonts w:asciiTheme="majorHAnsi" w:eastAsiaTheme="majorEastAsia" w:hAnsiTheme="majorHAnsi" w:cstheme="majorBidi"/>
          <w:b/>
          <w:bCs/>
          <w:szCs w:val="26"/>
          <w:lang w:val="fr-FR" w:eastAsia="fr-FR"/>
        </w:rPr>
        <w:t>  </w:t>
      </w:r>
      <w:r w:rsidRPr="00BC0135">
        <w:rPr>
          <w:rFonts w:asciiTheme="majorHAnsi" w:eastAsiaTheme="majorEastAsia" w:hAnsiTheme="majorHAnsi" w:cstheme="majorBidi"/>
          <w:b/>
          <w:bCs/>
          <w:szCs w:val="26"/>
          <w:lang w:val="fr-FR" w:eastAsia="fr-FR"/>
        </w:rPr>
        <w:t>Le Rapport d</w:t>
      </w:r>
      <w:r w:rsidR="00A977F5">
        <w:rPr>
          <w:rFonts w:asciiTheme="majorHAnsi" w:eastAsiaTheme="majorEastAsia" w:hAnsiTheme="majorHAnsi" w:cstheme="majorBidi"/>
          <w:b/>
          <w:bCs/>
          <w:szCs w:val="26"/>
          <w:lang w:val="fr-FR" w:eastAsia="fr-FR"/>
        </w:rPr>
        <w:t>’</w:t>
      </w:r>
      <w:r w:rsidRPr="00BC0135">
        <w:rPr>
          <w:rFonts w:asciiTheme="majorHAnsi" w:eastAsiaTheme="majorEastAsia" w:hAnsiTheme="majorHAnsi" w:cstheme="majorBidi"/>
          <w:b/>
          <w:bCs/>
          <w:szCs w:val="26"/>
          <w:lang w:val="fr-FR" w:eastAsia="fr-FR"/>
        </w:rPr>
        <w:t>Amnesty International du 20 décembre 2010</w:t>
      </w:r>
    </w:p>
    <w:bookmarkStart w:id="6" w:name="Amnesty"/>
    <w:p w:rsidR="00BC0135" w:rsidRP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49</w:t>
      </w:r>
      <w:r w:rsidRPr="00BC0135">
        <w:rPr>
          <w:noProof/>
          <w:lang w:val="fr-FR" w:eastAsia="fr-FR"/>
        </w:rPr>
        <w:fldChar w:fldCharType="end"/>
      </w:r>
      <w:bookmarkEnd w:id="6"/>
      <w:r w:rsidRPr="00BC0135">
        <w:rPr>
          <w:lang w:val="fr-FR" w:eastAsia="fr-FR"/>
        </w:rPr>
        <w:t>.  Dans un rapport rendu publique le 20 décembre 2010, l</w:t>
      </w:r>
      <w:r w:rsidR="00A977F5">
        <w:rPr>
          <w:lang w:val="fr-FR" w:eastAsia="fr-FR"/>
        </w:rPr>
        <w:t>’</w:t>
      </w:r>
      <w:r w:rsidRPr="00BC0135">
        <w:rPr>
          <w:lang w:val="fr-FR" w:eastAsia="fr-FR"/>
        </w:rPr>
        <w:t>organisation non gouvernementale Amnesty International appela les autorités marocaines à mener une enquête approfondie, indépendante et impartiale sur l</w:t>
      </w:r>
      <w:r w:rsidR="00A977F5">
        <w:rPr>
          <w:lang w:val="fr-FR" w:eastAsia="fr-FR"/>
        </w:rPr>
        <w:t>’</w:t>
      </w:r>
      <w:r w:rsidRPr="00BC0135">
        <w:rPr>
          <w:lang w:val="fr-FR" w:eastAsia="fr-FR"/>
        </w:rPr>
        <w:t>ensemble des atteintes aux droits humains qui se seraient produites en lien avec les évènements du 8 novembre 2010 à Laâyoune, et à poursuivre en justice les auteurs des abus perpétrés. Selon ce rapport, des affrontements violents éclatèrent en début de journée lundi 8 novembre, lorsque les forces de sécurité marocaines intervinrent pour faire évacuer le campement de Gdeim Izik, qui avait été dressé dans le désert, à quelques kilomètres de Laâyoune, début octobre 2010, par des sahraouis pour protester contre la marginalisation dont ils se disaient victimes et contre l</w:t>
      </w:r>
      <w:r w:rsidR="00A977F5">
        <w:rPr>
          <w:lang w:val="fr-FR" w:eastAsia="fr-FR"/>
        </w:rPr>
        <w:t>’</w:t>
      </w:r>
      <w:r w:rsidRPr="00BC0135">
        <w:rPr>
          <w:lang w:val="fr-FR" w:eastAsia="fr-FR"/>
        </w:rPr>
        <w:t>absence d</w:t>
      </w:r>
      <w:r w:rsidR="00A977F5">
        <w:rPr>
          <w:lang w:val="fr-FR" w:eastAsia="fr-FR"/>
        </w:rPr>
        <w:t>’</w:t>
      </w:r>
      <w:r w:rsidRPr="00BC0135">
        <w:rPr>
          <w:lang w:val="fr-FR" w:eastAsia="fr-FR"/>
        </w:rPr>
        <w:t>emplois et de logements appropriés.</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50</w:t>
      </w:r>
      <w:r w:rsidRPr="00BC0135">
        <w:rPr>
          <w:noProof/>
          <w:lang w:val="fr-FR" w:eastAsia="fr-FR"/>
        </w:rPr>
        <w:fldChar w:fldCharType="end"/>
      </w:r>
      <w:r w:rsidRPr="00BC0135">
        <w:rPr>
          <w:lang w:val="fr-FR" w:eastAsia="fr-FR"/>
        </w:rPr>
        <w:t xml:space="preserve">.  Le rapport, intitulé </w:t>
      </w:r>
      <w:r w:rsidRPr="00BC0135">
        <w:rPr>
          <w:i/>
          <w:iCs/>
          <w:lang w:val="fr-FR" w:eastAsia="fr-FR"/>
        </w:rPr>
        <w:t>Rights Trampled : Protests, Violence and Repression in Western Saha</w:t>
      </w:r>
      <w:r w:rsidR="00843AD8">
        <w:rPr>
          <w:i/>
          <w:iCs/>
          <w:lang w:val="fr-FR" w:eastAsia="fr-FR"/>
        </w:rPr>
        <w:t>ra</w:t>
      </w:r>
      <w:r w:rsidR="00D83B25" w:rsidRPr="00D74A59">
        <w:rPr>
          <w:iCs/>
          <w:lang w:val="fr-FR" w:eastAsia="fr-FR"/>
        </w:rPr>
        <w:t>,</w:t>
      </w:r>
      <w:r w:rsidR="00D83B25">
        <w:rPr>
          <w:i/>
          <w:iCs/>
          <w:lang w:val="fr-FR" w:eastAsia="fr-FR"/>
        </w:rPr>
        <w:t xml:space="preserve"> </w:t>
      </w:r>
      <w:r w:rsidRPr="00BC0135">
        <w:rPr>
          <w:lang w:val="fr-FR" w:eastAsia="fr-FR"/>
        </w:rPr>
        <w:t>fait état des affrontements violents qui éclatèrent</w:t>
      </w:r>
      <w:r w:rsidR="00843AD8">
        <w:rPr>
          <w:lang w:val="fr-FR" w:eastAsia="fr-FR"/>
        </w:rPr>
        <w:t xml:space="preserve"> en début de journée le lundi 8 </w:t>
      </w:r>
      <w:r w:rsidRPr="00BC0135">
        <w:rPr>
          <w:lang w:val="fr-FR" w:eastAsia="fr-FR"/>
        </w:rPr>
        <w:t>novembre 2010, lorsque les forces de sécurité marocaines intervinrent pour faire évacuer le camp de Gdeim Izik, qui avait été dressé dans le désert à quelques kilomètres de Laâyoune au début du mois d</w:t>
      </w:r>
      <w:r w:rsidR="00A977F5">
        <w:rPr>
          <w:lang w:val="fr-FR" w:eastAsia="fr-FR"/>
        </w:rPr>
        <w:t>’</w:t>
      </w:r>
      <w:r w:rsidRPr="00BC0135">
        <w:rPr>
          <w:lang w:val="fr-FR" w:eastAsia="fr-FR"/>
        </w:rPr>
        <w:t>octobre 2010 par des sahraouis, pour protester contre la marginalisation dont ils se disaient victimes et contre l</w:t>
      </w:r>
      <w:r w:rsidR="00A977F5">
        <w:rPr>
          <w:lang w:val="fr-FR" w:eastAsia="fr-FR"/>
        </w:rPr>
        <w:t>’</w:t>
      </w:r>
      <w:r w:rsidRPr="00BC0135">
        <w:rPr>
          <w:lang w:val="fr-FR" w:eastAsia="fr-FR"/>
        </w:rPr>
        <w:t>absence d</w:t>
      </w:r>
      <w:r w:rsidR="00A977F5">
        <w:rPr>
          <w:lang w:val="fr-FR" w:eastAsia="fr-FR"/>
        </w:rPr>
        <w:t>’</w:t>
      </w:r>
      <w:r w:rsidRPr="00BC0135">
        <w:rPr>
          <w:lang w:val="fr-FR" w:eastAsia="fr-FR"/>
        </w:rPr>
        <w:t xml:space="preserve">emplois et </w:t>
      </w:r>
      <w:r w:rsidRPr="00BC0135">
        <w:rPr>
          <w:lang w:val="fr-FR" w:eastAsia="fr-FR"/>
        </w:rPr>
        <w:lastRenderedPageBreak/>
        <w:t>de logements appropriés. Les troubles s</w:t>
      </w:r>
      <w:r w:rsidR="00A977F5">
        <w:rPr>
          <w:lang w:val="fr-FR" w:eastAsia="fr-FR"/>
        </w:rPr>
        <w:t>’</w:t>
      </w:r>
      <w:r w:rsidRPr="00BC0135">
        <w:rPr>
          <w:lang w:val="fr-FR" w:eastAsia="fr-FR"/>
        </w:rPr>
        <w:t>étendirent ensuite à Laâyoune, où manifestants sahraouis et résidents marocains se livrèrent à des attaques incendiaires contre des maisons, des boutiques et des commerces ainsi que des bâtiments publics. De nombreux sahraouis furent arrêtés et frappés ou soumis à des actes de torture ou autres mauvais traitements.</w:t>
      </w:r>
    </w:p>
    <w:p w:rsidR="00BC0135" w:rsidRP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51</w:t>
      </w:r>
      <w:r w:rsidRPr="00BC0135">
        <w:rPr>
          <w:noProof/>
          <w:lang w:val="fr-FR" w:eastAsia="fr-FR"/>
        </w:rPr>
        <w:fldChar w:fldCharType="end"/>
      </w:r>
      <w:r w:rsidRPr="00BC0135">
        <w:rPr>
          <w:lang w:val="fr-FR" w:eastAsia="fr-FR"/>
        </w:rPr>
        <w:t xml:space="preserve">.  Selon ce rapport, treize personnes, </w:t>
      </w:r>
      <w:r w:rsidR="00843AD8">
        <w:rPr>
          <w:lang w:val="fr-FR" w:eastAsia="fr-FR"/>
        </w:rPr>
        <w:t>onze</w:t>
      </w:r>
      <w:r w:rsidRPr="00BC0135">
        <w:rPr>
          <w:lang w:val="fr-FR" w:eastAsia="fr-FR"/>
        </w:rPr>
        <w:t> membres des forces de sécurité et deux sahraouis, décédèrent à la suite des violences dans le campement et à Laâyoune. Le bilan le plus lourd fut enregistré lors de l</w:t>
      </w:r>
      <w:r w:rsidR="00A977F5">
        <w:rPr>
          <w:lang w:val="fr-FR" w:eastAsia="fr-FR"/>
        </w:rPr>
        <w:t>’</w:t>
      </w:r>
      <w:r w:rsidRPr="00BC0135">
        <w:rPr>
          <w:lang w:val="fr-FR" w:eastAsia="fr-FR"/>
        </w:rPr>
        <w:t>opération de démantèlement du campement par les forces de sécurité marocaines qui perdirent neuf de leurs hommes, tués lors des affrontements ou dans des attaques délibérées par des sahraouis résistant à la destruction de leur campement. Les enquêteurs d</w:t>
      </w:r>
      <w:r w:rsidR="00A977F5">
        <w:rPr>
          <w:lang w:val="fr-FR" w:eastAsia="fr-FR"/>
        </w:rPr>
        <w:t>’</w:t>
      </w:r>
      <w:r w:rsidRPr="00BC0135">
        <w:rPr>
          <w:lang w:val="fr-FR" w:eastAsia="fr-FR"/>
        </w:rPr>
        <w:t>Amnesty International qui se rendirent sur place fin novembre interrogèrent de nombreux témoins qui affirmèrent que des membres des forces de sécurité n</w:t>
      </w:r>
      <w:r w:rsidR="00A977F5">
        <w:rPr>
          <w:lang w:val="fr-FR" w:eastAsia="fr-FR"/>
        </w:rPr>
        <w:t>’</w:t>
      </w:r>
      <w:r w:rsidRPr="00BC0135">
        <w:rPr>
          <w:lang w:val="fr-FR" w:eastAsia="fr-FR"/>
        </w:rPr>
        <w:t>avaient pas hésité à frapper des femmes âgées à coups de matraque pour les obliger à partir avant de déchirer leurs tentes. Certaines portaient encore des blessures visibles plus de deux semaines plus tard.</w:t>
      </w:r>
    </w:p>
    <w:p w:rsidR="00BC0135" w:rsidRP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52</w:t>
      </w:r>
      <w:r w:rsidRPr="00BC0135">
        <w:rPr>
          <w:noProof/>
          <w:lang w:val="fr-FR" w:eastAsia="fr-FR"/>
        </w:rPr>
        <w:fldChar w:fldCharType="end"/>
      </w:r>
      <w:r w:rsidRPr="00BC0135">
        <w:rPr>
          <w:lang w:val="fr-FR" w:eastAsia="fr-FR"/>
        </w:rPr>
        <w:t>.  La nouvelle de l</w:t>
      </w:r>
      <w:r w:rsidR="00A977F5">
        <w:rPr>
          <w:lang w:val="fr-FR" w:eastAsia="fr-FR"/>
        </w:rPr>
        <w:t>’</w:t>
      </w:r>
      <w:r w:rsidRPr="00BC0135">
        <w:rPr>
          <w:lang w:val="fr-FR" w:eastAsia="fr-FR"/>
        </w:rPr>
        <w:t>évacuation du campement par les forces de sécurité atteignit Laâyoune où, alimentée par des rumeurs exagérément alarmistes faisant état de morts parmi les sahraouis et d</w:t>
      </w:r>
      <w:r w:rsidR="00A977F5">
        <w:rPr>
          <w:lang w:val="fr-FR" w:eastAsia="fr-FR"/>
        </w:rPr>
        <w:t>’</w:t>
      </w:r>
      <w:r w:rsidRPr="00BC0135">
        <w:rPr>
          <w:lang w:val="fr-FR" w:eastAsia="fr-FR"/>
        </w:rPr>
        <w:t>actes de brutalité de la part des forces de sécurité, elle provoqua de violentes manifestations des sahraouis qui s</w:t>
      </w:r>
      <w:r w:rsidR="00A977F5">
        <w:rPr>
          <w:lang w:val="fr-FR" w:eastAsia="fr-FR"/>
        </w:rPr>
        <w:t>’</w:t>
      </w:r>
      <w:r w:rsidRPr="00BC0135">
        <w:rPr>
          <w:lang w:val="fr-FR" w:eastAsia="fr-FR"/>
        </w:rPr>
        <w:t>en prirent à des bâtiments publics, des banques, des voitures et autres biens appartenant à des citoyens marocains ou à des sahraouis considérés comme favorables à l</w:t>
      </w:r>
      <w:r w:rsidR="00A977F5">
        <w:rPr>
          <w:lang w:val="fr-FR" w:eastAsia="fr-FR"/>
        </w:rPr>
        <w:t>’</w:t>
      </w:r>
      <w:r w:rsidRPr="00BC0135">
        <w:rPr>
          <w:lang w:val="fr-FR" w:eastAsia="fr-FR"/>
        </w:rPr>
        <w:t>administration du Sahara occidental par le Maroc. Après une période d</w:t>
      </w:r>
      <w:r w:rsidR="00A977F5">
        <w:rPr>
          <w:lang w:val="fr-FR" w:eastAsia="fr-FR"/>
        </w:rPr>
        <w:t>’</w:t>
      </w:r>
      <w:r w:rsidRPr="00BC0135">
        <w:rPr>
          <w:lang w:val="fr-FR" w:eastAsia="fr-FR"/>
        </w:rPr>
        <w:t>accalmie, de nouvelles violences éclatèrent, les résidents marocains s</w:t>
      </w:r>
      <w:r w:rsidR="00A977F5">
        <w:rPr>
          <w:lang w:val="fr-FR" w:eastAsia="fr-FR"/>
        </w:rPr>
        <w:t>’</w:t>
      </w:r>
      <w:r w:rsidRPr="00BC0135">
        <w:rPr>
          <w:lang w:val="fr-FR" w:eastAsia="fr-FR"/>
        </w:rPr>
        <w:t>en prenant à des maisons, des boutiques et des commerces appartenant à des sahraouis ; plusieurs résidents sahraouis furent frappés. Les forces de sécurité présentes n</w:t>
      </w:r>
      <w:r w:rsidR="00A977F5">
        <w:rPr>
          <w:lang w:val="fr-FR" w:eastAsia="fr-FR"/>
        </w:rPr>
        <w:t>’</w:t>
      </w:r>
      <w:r w:rsidRPr="00BC0135">
        <w:rPr>
          <w:lang w:val="fr-FR" w:eastAsia="fr-FR"/>
        </w:rPr>
        <w:t>intervinrent pas lors des attaques des maisons et des commerces sahraouis et prêtèrent même parfois main forte aux agresseurs.</w:t>
      </w:r>
    </w:p>
    <w:p w:rsidR="00BC0135" w:rsidRP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53</w:t>
      </w:r>
      <w:r w:rsidRPr="00BC0135">
        <w:rPr>
          <w:noProof/>
          <w:lang w:val="fr-FR" w:eastAsia="fr-FR"/>
        </w:rPr>
        <w:fldChar w:fldCharType="end"/>
      </w:r>
      <w:r w:rsidRPr="00BC0135">
        <w:rPr>
          <w:lang w:val="fr-FR" w:eastAsia="fr-FR"/>
        </w:rPr>
        <w:t>.  Les forces de sécurité marocaines arrêtèrent environ 200 sahraouis lundi 8 novembre et dans les jours et les semaines qui suivirent. Toutefois, selon Amnesty International, aucune interpellation ni poursuite en justice en lien avec les attaques menées par des résidents marocains contre des sahraouis, leurs maisons ou leurs biens n</w:t>
      </w:r>
      <w:r w:rsidR="00A977F5">
        <w:rPr>
          <w:lang w:val="fr-FR" w:eastAsia="fr-FR"/>
        </w:rPr>
        <w:t>’</w:t>
      </w:r>
      <w:r w:rsidRPr="00BC0135">
        <w:rPr>
          <w:lang w:val="fr-FR" w:eastAsia="fr-FR"/>
        </w:rPr>
        <w:t>avaient été enregistrées à la date de publication du rapport.</w:t>
      </w:r>
    </w:p>
    <w:p w:rsidR="00BC0135" w:rsidRP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54</w:t>
      </w:r>
      <w:r w:rsidRPr="00BC0135">
        <w:rPr>
          <w:noProof/>
          <w:lang w:val="fr-FR" w:eastAsia="fr-FR"/>
        </w:rPr>
        <w:fldChar w:fldCharType="end"/>
      </w:r>
      <w:r w:rsidRPr="00BC0135">
        <w:rPr>
          <w:lang w:val="fr-FR" w:eastAsia="fr-FR"/>
        </w:rPr>
        <w:t>.  Tous les sahraouis interviewés par Amnesty international décrivirent la façon dont ils avaient été battus, torturés ou les mauvais traitements qui leur avaient été infligés au moment de leur arrestation ou lors de leur garde à vue par les autorités marocaines ; la plupart d</w:t>
      </w:r>
      <w:r w:rsidR="00A977F5">
        <w:rPr>
          <w:lang w:val="fr-FR" w:eastAsia="fr-FR"/>
        </w:rPr>
        <w:t>’</w:t>
      </w:r>
      <w:r w:rsidRPr="00BC0135">
        <w:rPr>
          <w:lang w:val="fr-FR" w:eastAsia="fr-FR"/>
        </w:rPr>
        <w:t>entre eux avaient des cicatrices et des blessures visibles à l</w:t>
      </w:r>
      <w:r w:rsidR="00A977F5">
        <w:rPr>
          <w:lang w:val="fr-FR" w:eastAsia="fr-FR"/>
        </w:rPr>
        <w:t>’</w:t>
      </w:r>
      <w:r w:rsidRPr="00BC0135">
        <w:rPr>
          <w:lang w:val="fr-FR" w:eastAsia="fr-FR"/>
        </w:rPr>
        <w:t xml:space="preserve">appui de leur témoignage. Malgré cela, les autorités marocaines ne prirent aucune mesure pour enquêter sur les allégations de torture et autres mauvais traitements comme le prévoient la Convention des Nations unies contre la torture et autres peines ou </w:t>
      </w:r>
      <w:r w:rsidRPr="00BC0135">
        <w:rPr>
          <w:lang w:val="fr-FR" w:eastAsia="fr-FR"/>
        </w:rPr>
        <w:lastRenderedPageBreak/>
        <w:t>traitements cruels, inhumains ou dégradants et le Pacte international relatif aux droits civils et politiques, auxquels le Maroc est État partie.</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55</w:t>
      </w:r>
      <w:r w:rsidRPr="00BC0135">
        <w:rPr>
          <w:noProof/>
          <w:lang w:val="fr-FR" w:eastAsia="fr-FR"/>
        </w:rPr>
        <w:fldChar w:fldCharType="end"/>
      </w:r>
      <w:r w:rsidRPr="00BC0135">
        <w:rPr>
          <w:lang w:val="fr-FR" w:eastAsia="fr-FR"/>
        </w:rPr>
        <w:t>.  Plus de 130 sahraouis étaient passibles de poursuites en justice après les évènements du lundi 8 novembre. Certains sont des militants politiques sahraouis déjà connus qui prônent l</w:t>
      </w:r>
      <w:r w:rsidR="00A977F5">
        <w:rPr>
          <w:lang w:val="fr-FR" w:eastAsia="fr-FR"/>
        </w:rPr>
        <w:t>’</w:t>
      </w:r>
      <w:r w:rsidRPr="00BC0135">
        <w:rPr>
          <w:lang w:val="fr-FR" w:eastAsia="fr-FR"/>
        </w:rPr>
        <w:t>autodétermination du Sahara occidental. Leur arrestation a fait renaître la crainte que les autorités ne cherchent à impliquer dans les évènements du 8 novembre des personnes critiques du gouvernement et des opposants pacifiques, du fait de leurs opinions politiques.</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56</w:t>
      </w:r>
      <w:r w:rsidRPr="00BC0135">
        <w:rPr>
          <w:noProof/>
          <w:lang w:val="fr-FR" w:eastAsia="fr-FR"/>
        </w:rPr>
        <w:fldChar w:fldCharType="end"/>
      </w:r>
      <w:r w:rsidRPr="00BC0135">
        <w:rPr>
          <w:lang w:val="fr-FR" w:eastAsia="fr-FR"/>
        </w:rPr>
        <w:t>.  Certains des accusés comparurent devant un juge d</w:t>
      </w:r>
      <w:r w:rsidR="00A977F5">
        <w:rPr>
          <w:lang w:val="fr-FR" w:eastAsia="fr-FR"/>
        </w:rPr>
        <w:t>’</w:t>
      </w:r>
      <w:r w:rsidRPr="00BC0135">
        <w:rPr>
          <w:lang w:val="fr-FR" w:eastAsia="fr-FR"/>
        </w:rPr>
        <w:t>instruction sans assistance juridique et plusieurs d</w:t>
      </w:r>
      <w:r w:rsidR="00A977F5">
        <w:rPr>
          <w:lang w:val="fr-FR" w:eastAsia="fr-FR"/>
        </w:rPr>
        <w:t>’</w:t>
      </w:r>
      <w:r w:rsidRPr="00BC0135">
        <w:rPr>
          <w:lang w:val="fr-FR" w:eastAsia="fr-FR"/>
        </w:rPr>
        <w:t>entre eux auraient présenté des signes visibles de torture et autres mauvais traitements et se seraient plaints des violences subies. Aucun ne fut cependant vu par un médecin et aucune enquête n</w:t>
      </w:r>
      <w:r w:rsidR="00A977F5">
        <w:rPr>
          <w:lang w:val="fr-FR" w:eastAsia="fr-FR"/>
        </w:rPr>
        <w:t>’</w:t>
      </w:r>
      <w:r w:rsidRPr="00BC0135">
        <w:rPr>
          <w:lang w:val="fr-FR" w:eastAsia="fr-FR"/>
        </w:rPr>
        <w:t>aurait été diligentée concernant l</w:t>
      </w:r>
      <w:r w:rsidR="00A977F5">
        <w:rPr>
          <w:lang w:val="fr-FR" w:eastAsia="fr-FR"/>
        </w:rPr>
        <w:t>’</w:t>
      </w:r>
      <w:r w:rsidRPr="00BC0135">
        <w:rPr>
          <w:lang w:val="fr-FR" w:eastAsia="fr-FR"/>
        </w:rPr>
        <w:t>objet de leurs plaintes. Des détenus déclarèrent qu</w:t>
      </w:r>
      <w:r w:rsidR="00A977F5">
        <w:rPr>
          <w:lang w:val="fr-FR" w:eastAsia="fr-FR"/>
        </w:rPr>
        <w:t>’</w:t>
      </w:r>
      <w:r w:rsidRPr="00BC0135">
        <w:rPr>
          <w:lang w:val="fr-FR" w:eastAsia="fr-FR"/>
        </w:rPr>
        <w:t>à l</w:t>
      </w:r>
      <w:r w:rsidR="00A977F5">
        <w:rPr>
          <w:lang w:val="fr-FR" w:eastAsia="fr-FR"/>
        </w:rPr>
        <w:t>’</w:t>
      </w:r>
      <w:r w:rsidRPr="00BC0135">
        <w:rPr>
          <w:lang w:val="fr-FR" w:eastAsia="fr-FR"/>
        </w:rPr>
        <w:t>issue de leur interrogatoire, ils avaient dû signer ou apposer l</w:t>
      </w:r>
      <w:r w:rsidR="00A977F5">
        <w:rPr>
          <w:lang w:val="fr-FR" w:eastAsia="fr-FR"/>
        </w:rPr>
        <w:t>’</w:t>
      </w:r>
      <w:r w:rsidRPr="00BC0135">
        <w:rPr>
          <w:lang w:val="fr-FR" w:eastAsia="fr-FR"/>
        </w:rPr>
        <w:t>empreinte du pouce au bas de déclarations qu</w:t>
      </w:r>
      <w:r w:rsidR="00A977F5">
        <w:rPr>
          <w:lang w:val="fr-FR" w:eastAsia="fr-FR"/>
        </w:rPr>
        <w:t>’</w:t>
      </w:r>
      <w:r w:rsidRPr="00BC0135">
        <w:rPr>
          <w:lang w:val="fr-FR" w:eastAsia="fr-FR"/>
        </w:rPr>
        <w:t>ils n</w:t>
      </w:r>
      <w:r w:rsidR="00A977F5">
        <w:rPr>
          <w:lang w:val="fr-FR" w:eastAsia="fr-FR"/>
        </w:rPr>
        <w:t>’</w:t>
      </w:r>
      <w:r w:rsidRPr="00BC0135">
        <w:rPr>
          <w:lang w:val="fr-FR" w:eastAsia="fr-FR"/>
        </w:rPr>
        <w:t>avaient pas été autorisés à lire, ce qui faisait craindre que ces déclarations faites sous la torture ou la contrainte ne soient utilisées comme preuve à charge contre eux lors de leur procès, en violation du droit international.</w:t>
      </w:r>
    </w:p>
    <w:p w:rsidR="00BC0135" w:rsidRP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57</w:t>
      </w:r>
      <w:r w:rsidRPr="00BC0135">
        <w:rPr>
          <w:noProof/>
          <w:lang w:val="fr-FR" w:eastAsia="fr-FR"/>
        </w:rPr>
        <w:fldChar w:fldCharType="end"/>
      </w:r>
      <w:r w:rsidRPr="00BC0135">
        <w:rPr>
          <w:lang w:val="fr-FR" w:eastAsia="fr-FR"/>
        </w:rPr>
        <w:t>.  Les conclusions de ce rapport se fondèrent sur une visite d</w:t>
      </w:r>
      <w:r w:rsidR="00A977F5">
        <w:rPr>
          <w:lang w:val="fr-FR" w:eastAsia="fr-FR"/>
        </w:rPr>
        <w:t>’</w:t>
      </w:r>
      <w:r w:rsidRPr="00BC0135">
        <w:rPr>
          <w:lang w:val="fr-FR" w:eastAsia="fr-FR"/>
        </w:rPr>
        <w:t>établissement des faits réalisée par Amnesty International au Maroc et au Sahara occidental entre le 22 novembre et le 4 décembre 2010. Dans le cadre de cette visite, Amnesty International rencontra des responsables gouvernementaux à Rabat et Laâyoune et s</w:t>
      </w:r>
      <w:r w:rsidR="00A977F5">
        <w:rPr>
          <w:lang w:val="fr-FR" w:eastAsia="fr-FR"/>
        </w:rPr>
        <w:t>’</w:t>
      </w:r>
      <w:r w:rsidRPr="00BC0135">
        <w:rPr>
          <w:lang w:val="fr-FR" w:eastAsia="fr-FR"/>
        </w:rPr>
        <w:t>entretinrent avec des familles de sahraouis et des membres des forces de sécurité tués ou blessés, des proches de détenus, d</w:t>
      </w:r>
      <w:r w:rsidR="00A977F5">
        <w:rPr>
          <w:lang w:val="fr-FR" w:eastAsia="fr-FR"/>
        </w:rPr>
        <w:t>’</w:t>
      </w:r>
      <w:r w:rsidRPr="00BC0135">
        <w:rPr>
          <w:lang w:val="fr-FR" w:eastAsia="fr-FR"/>
        </w:rPr>
        <w:t>anciens détenus, des défenseurs des droits humains et des avocats, entre autres.</w:t>
      </w:r>
    </w:p>
    <w:p w:rsidR="00BC0135" w:rsidRDefault="00BC0135" w:rsidP="00BC0135">
      <w:pPr>
        <w:keepNext/>
        <w:keepLines/>
        <w:tabs>
          <w:tab w:val="left" w:pos="584"/>
        </w:tabs>
        <w:spacing w:before="360" w:after="240"/>
        <w:ind w:left="584" w:hanging="352"/>
        <w:outlineLvl w:val="1"/>
        <w:rPr>
          <w:rFonts w:asciiTheme="majorHAnsi" w:eastAsiaTheme="majorEastAsia" w:hAnsiTheme="majorHAnsi" w:cstheme="majorBidi"/>
          <w:b/>
          <w:bCs/>
          <w:i/>
          <w:szCs w:val="26"/>
          <w:lang w:val="fr-FR" w:eastAsia="fr-FR"/>
        </w:rPr>
      </w:pPr>
      <w:r w:rsidRPr="00BC0135">
        <w:rPr>
          <w:rFonts w:asciiTheme="majorHAnsi" w:eastAsiaTheme="majorEastAsia" w:hAnsiTheme="majorHAnsi" w:cstheme="majorBidi"/>
          <w:b/>
          <w:bCs/>
          <w:szCs w:val="26"/>
          <w:lang w:val="fr-FR" w:eastAsia="fr-FR"/>
        </w:rPr>
        <w:t>C.</w:t>
      </w:r>
      <w:r w:rsidR="00876E01">
        <w:rPr>
          <w:rFonts w:asciiTheme="majorHAnsi" w:eastAsiaTheme="majorEastAsia" w:hAnsiTheme="majorHAnsi" w:cstheme="majorBidi"/>
          <w:b/>
          <w:bCs/>
          <w:szCs w:val="26"/>
          <w:lang w:val="fr-FR" w:eastAsia="fr-FR"/>
        </w:rPr>
        <w:t>  </w:t>
      </w:r>
      <w:r w:rsidRPr="00BC0135">
        <w:rPr>
          <w:rFonts w:asciiTheme="majorHAnsi" w:eastAsiaTheme="majorEastAsia" w:hAnsiTheme="majorHAnsi" w:cstheme="majorBidi"/>
          <w:b/>
          <w:bCs/>
          <w:szCs w:val="26"/>
          <w:lang w:val="fr-FR" w:eastAsia="fr-FR"/>
        </w:rPr>
        <w:t>Human Rights Watch</w:t>
      </w:r>
    </w:p>
    <w:bookmarkStart w:id="7" w:name="Humanrightswatch"/>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58</w:t>
      </w:r>
      <w:r w:rsidRPr="00BC0135">
        <w:rPr>
          <w:lang w:val="fr-FR" w:eastAsia="fr-FR"/>
        </w:rPr>
        <w:fldChar w:fldCharType="end"/>
      </w:r>
      <w:bookmarkEnd w:id="7"/>
      <w:r w:rsidRPr="00BC0135">
        <w:rPr>
          <w:lang w:val="fr-FR" w:eastAsia="fr-FR"/>
        </w:rPr>
        <w:t>.  Selon l</w:t>
      </w:r>
      <w:r w:rsidR="00A977F5">
        <w:rPr>
          <w:lang w:val="fr-FR" w:eastAsia="fr-FR"/>
        </w:rPr>
        <w:t>’</w:t>
      </w:r>
      <w:r w:rsidRPr="00BC0135">
        <w:rPr>
          <w:lang w:val="fr-FR" w:eastAsia="fr-FR"/>
        </w:rPr>
        <w:t>organisation non-gouvernementale Human Rights Watch</w:t>
      </w:r>
      <w:r w:rsidR="00843AD8">
        <w:rPr>
          <w:lang w:val="fr-FR" w:eastAsia="fr-FR"/>
        </w:rPr>
        <w:t xml:space="preserve"> </w:t>
      </w:r>
      <w:r w:rsidRPr="00BC0135">
        <w:rPr>
          <w:lang w:val="fr-FR" w:eastAsia="fr-FR"/>
        </w:rPr>
        <w:t>dans une dépêche publiée le 26 novembre 2010, les autorités marocaines devraient ouvrir une enquête sur la riposte violente aux affrontements du 8 novembre 2010. Le texte de la dépêche était le suivant :</w:t>
      </w:r>
    </w:p>
    <w:p w:rsidR="00BC0135" w:rsidRDefault="00BC0135" w:rsidP="00BC0135">
      <w:pPr>
        <w:spacing w:before="120" w:after="120"/>
        <w:ind w:left="425" w:firstLine="142"/>
        <w:rPr>
          <w:sz w:val="20"/>
          <w:lang w:val="fr-FR" w:eastAsia="fr-FR"/>
        </w:rPr>
      </w:pPr>
      <w:r w:rsidRPr="00BC0135">
        <w:rPr>
          <w:sz w:val="20"/>
          <w:lang w:val="fr-FR" w:eastAsia="fr-FR"/>
        </w:rPr>
        <w:t>« Les forces de sécurité marocaines ont à plusieurs reprises battu et maltraité des personnes qu</w:t>
      </w:r>
      <w:r w:rsidR="00A977F5">
        <w:rPr>
          <w:sz w:val="20"/>
          <w:lang w:val="fr-FR" w:eastAsia="fr-FR"/>
        </w:rPr>
        <w:t>’</w:t>
      </w:r>
      <w:r w:rsidRPr="00BC0135">
        <w:rPr>
          <w:sz w:val="20"/>
          <w:lang w:val="fr-FR" w:eastAsia="fr-FR"/>
        </w:rPr>
        <w:t>elles ont arrêtées à la suite des troubles survenus le 8 novembre 2010 à El-Ayoun, capitale du Sahara occidental, a déclaré Human Rights Watch aujourd</w:t>
      </w:r>
      <w:r w:rsidR="00A977F5">
        <w:rPr>
          <w:sz w:val="20"/>
          <w:lang w:val="fr-FR" w:eastAsia="fr-FR"/>
        </w:rPr>
        <w:t>’</w:t>
      </w:r>
      <w:r w:rsidRPr="00BC0135">
        <w:rPr>
          <w:sz w:val="20"/>
          <w:lang w:val="fr-FR" w:eastAsia="fr-FR"/>
        </w:rPr>
        <w:t>hui. Une enquête de Human Rights Watch a démontré qu</w:t>
      </w:r>
      <w:r w:rsidR="00A977F5">
        <w:rPr>
          <w:sz w:val="20"/>
          <w:lang w:val="fr-FR" w:eastAsia="fr-FR"/>
        </w:rPr>
        <w:t>’</w:t>
      </w:r>
      <w:r w:rsidRPr="00BC0135">
        <w:rPr>
          <w:sz w:val="20"/>
          <w:lang w:val="fr-FR" w:eastAsia="fr-FR"/>
        </w:rPr>
        <w:t>elles avaient également attaqué directement des civils. Les autorités marocaines doivent immédiatement mettre fin aux mauvais traitements des détenus et mener une enquête indépendante sur ces exactions, a indiqué Human Rights Watch.</w:t>
      </w:r>
    </w:p>
    <w:p w:rsidR="00BC0135" w:rsidRDefault="00BC0135" w:rsidP="00BC0135">
      <w:pPr>
        <w:spacing w:before="120" w:after="120"/>
        <w:ind w:left="425" w:firstLine="142"/>
        <w:rPr>
          <w:sz w:val="20"/>
          <w:lang w:val="fr-FR" w:eastAsia="fr-FR"/>
        </w:rPr>
      </w:pPr>
      <w:r w:rsidRPr="00BC0135">
        <w:rPr>
          <w:sz w:val="20"/>
          <w:lang w:val="fr-FR" w:eastAsia="fr-FR"/>
        </w:rPr>
        <w:t>Le 8 novembre à l</w:t>
      </w:r>
      <w:r w:rsidR="00A977F5">
        <w:rPr>
          <w:sz w:val="20"/>
          <w:lang w:val="fr-FR" w:eastAsia="fr-FR"/>
        </w:rPr>
        <w:t>’</w:t>
      </w:r>
      <w:r w:rsidRPr="00BC0135">
        <w:rPr>
          <w:sz w:val="20"/>
          <w:lang w:val="fr-FR" w:eastAsia="fr-FR"/>
        </w:rPr>
        <w:t>aube, les forces de sécurité marocaines sont intervenues pour démanteler le camp de tentes de Gdeim Izik où des Sah</w:t>
      </w:r>
      <w:r w:rsidR="00843AD8">
        <w:rPr>
          <w:sz w:val="20"/>
          <w:lang w:val="fr-FR" w:eastAsia="fr-FR"/>
        </w:rPr>
        <w:t>raouis avaient dressé quelque 6 </w:t>
      </w:r>
      <w:r w:rsidRPr="00BC0135">
        <w:rPr>
          <w:sz w:val="20"/>
          <w:lang w:val="fr-FR" w:eastAsia="fr-FR"/>
        </w:rPr>
        <w:t>500 tentes au début du mois d</w:t>
      </w:r>
      <w:r w:rsidR="00A977F5">
        <w:rPr>
          <w:sz w:val="20"/>
          <w:lang w:val="fr-FR" w:eastAsia="fr-FR"/>
        </w:rPr>
        <w:t>’</w:t>
      </w:r>
      <w:r w:rsidRPr="00BC0135">
        <w:rPr>
          <w:sz w:val="20"/>
          <w:lang w:val="fr-FR" w:eastAsia="fr-FR"/>
        </w:rPr>
        <w:t xml:space="preserve">octobre en signe de protestation contre leurs conditions économiques et sociales au Sahara occidental, région sous contrôle </w:t>
      </w:r>
      <w:r w:rsidRPr="00BC0135">
        <w:rPr>
          <w:sz w:val="20"/>
          <w:lang w:val="fr-FR" w:eastAsia="fr-FR"/>
        </w:rPr>
        <w:lastRenderedPageBreak/>
        <w:t>marocain. Ceci a déclenché de violents affrontements entre les résidents et les forces de sécurité tant au sein du camp que dans la ville voisine d</w:t>
      </w:r>
      <w:r w:rsidR="00A977F5">
        <w:rPr>
          <w:sz w:val="20"/>
          <w:lang w:val="fr-FR" w:eastAsia="fr-FR"/>
        </w:rPr>
        <w:t>’</w:t>
      </w:r>
      <w:r w:rsidRPr="00BC0135">
        <w:rPr>
          <w:sz w:val="20"/>
          <w:lang w:val="fr-FR" w:eastAsia="fr-FR"/>
        </w:rPr>
        <w:t>El-Ayoun. Onze membres des forces de sécurité et au moins deux civils ont été tués, d</w:t>
      </w:r>
      <w:r w:rsidR="00A977F5">
        <w:rPr>
          <w:sz w:val="20"/>
          <w:lang w:val="fr-FR" w:eastAsia="fr-FR"/>
        </w:rPr>
        <w:t>’</w:t>
      </w:r>
      <w:r w:rsidRPr="00BC0135">
        <w:rPr>
          <w:sz w:val="20"/>
          <w:lang w:val="fr-FR" w:eastAsia="fr-FR"/>
        </w:rPr>
        <w:t>après les chiffres officiels. Un grand nombre de bâtiments publics et privés et de véhicules ont été incendiés dans la ville.</w:t>
      </w:r>
    </w:p>
    <w:p w:rsidR="00BC0135" w:rsidRDefault="00BC0135" w:rsidP="00BC0135">
      <w:pPr>
        <w:spacing w:before="120" w:after="120"/>
        <w:ind w:left="425" w:firstLine="142"/>
        <w:rPr>
          <w:sz w:val="20"/>
          <w:lang w:val="fr-FR" w:eastAsia="fr-FR"/>
        </w:rPr>
      </w:pPr>
      <w:r w:rsidRPr="00BC0135">
        <w:rPr>
          <w:sz w:val="20"/>
          <w:lang w:val="fr-FR" w:eastAsia="fr-FR"/>
        </w:rPr>
        <w:t xml:space="preserve">« </w:t>
      </w:r>
      <w:r w:rsidRPr="00BC0135">
        <w:rPr>
          <w:i/>
          <w:sz w:val="20"/>
          <w:lang w:val="fr-FR" w:eastAsia="fr-FR"/>
        </w:rPr>
        <w:t>Les forces de sécurité marocaines ont le droit de recourir à la force avec mesure pour empêcher la violence et protéger les vies humaines, mais rien ne peut justifier le passage à tabac de personnes en détention provisoire jusqu</w:t>
      </w:r>
      <w:r w:rsidR="00A977F5">
        <w:rPr>
          <w:i/>
          <w:sz w:val="20"/>
          <w:lang w:val="fr-FR" w:eastAsia="fr-FR"/>
        </w:rPr>
        <w:t>’</w:t>
      </w:r>
      <w:r w:rsidRPr="00BC0135">
        <w:rPr>
          <w:i/>
          <w:sz w:val="20"/>
          <w:lang w:val="fr-FR" w:eastAsia="fr-FR"/>
        </w:rPr>
        <w:t>à ce qu</w:t>
      </w:r>
      <w:r w:rsidR="00A977F5">
        <w:rPr>
          <w:i/>
          <w:sz w:val="20"/>
          <w:lang w:val="fr-FR" w:eastAsia="fr-FR"/>
        </w:rPr>
        <w:t>’</w:t>
      </w:r>
      <w:r w:rsidRPr="00BC0135">
        <w:rPr>
          <w:i/>
          <w:sz w:val="20"/>
          <w:lang w:val="fr-FR" w:eastAsia="fr-FR"/>
        </w:rPr>
        <w:t>elles perdent conscience</w:t>
      </w:r>
      <w:r w:rsidRPr="00BC0135">
        <w:rPr>
          <w:sz w:val="20"/>
          <w:lang w:val="fr-FR" w:eastAsia="fr-FR"/>
        </w:rPr>
        <w:t xml:space="preserve"> », a déclaré Sarah Leah Whitson, directrice de la division Moyen-Orient et Afrique du Nord à Human Rights Watch.</w:t>
      </w:r>
    </w:p>
    <w:p w:rsidR="00BC0135" w:rsidRDefault="00BC0135" w:rsidP="00BC0135">
      <w:pPr>
        <w:spacing w:before="120" w:after="120"/>
        <w:ind w:left="425" w:firstLine="142"/>
        <w:rPr>
          <w:sz w:val="20"/>
          <w:lang w:val="fr-FR" w:eastAsia="fr-FR"/>
        </w:rPr>
      </w:pPr>
      <w:r w:rsidRPr="00BC0135">
        <w:rPr>
          <w:sz w:val="20"/>
          <w:lang w:val="fr-FR" w:eastAsia="fr-FR"/>
        </w:rPr>
        <w:t>Suite à ces premiers affrontements violents, les forces de sécurité marocaines ont participé avec des civils marocains à des attaques en représailles contre des civils et des maisons et ont empêché des Sahraouis blessés d</w:t>
      </w:r>
      <w:r w:rsidR="00A977F5">
        <w:rPr>
          <w:sz w:val="20"/>
          <w:lang w:val="fr-FR" w:eastAsia="fr-FR"/>
        </w:rPr>
        <w:t>’</w:t>
      </w:r>
      <w:r w:rsidRPr="00BC0135">
        <w:rPr>
          <w:sz w:val="20"/>
          <w:lang w:val="fr-FR" w:eastAsia="fr-FR"/>
        </w:rPr>
        <w:t>avoir accès à des soins médicaux. Ce comportement et le passage à tabac de personnes en détention ne peuvent être considérés comme un usage légitime de la force pour empêcher ou mettre un terme à des actes violents perpétrés par quelques manifestants comme par exemple des jets de pierres ou des incendies volontaires, a indiqué Human Rights Watch.</w:t>
      </w:r>
    </w:p>
    <w:p w:rsidR="00BC0135" w:rsidRDefault="00BC0135" w:rsidP="00BC0135">
      <w:pPr>
        <w:spacing w:before="120" w:after="120"/>
        <w:ind w:left="425" w:firstLine="142"/>
        <w:rPr>
          <w:sz w:val="20"/>
          <w:lang w:val="fr-FR" w:eastAsia="fr-FR"/>
        </w:rPr>
      </w:pPr>
      <w:r w:rsidRPr="00BC0135">
        <w:rPr>
          <w:sz w:val="20"/>
          <w:lang w:val="fr-FR" w:eastAsia="fr-FR"/>
        </w:rPr>
        <w:t>À la suite des violences du 8 novembre, les responsables marocains de la sécurité ont arrêté des centaines de Sahraouis dans le cadre des troubles survenus, dont plus d</w:t>
      </w:r>
      <w:r w:rsidR="00A977F5">
        <w:rPr>
          <w:sz w:val="20"/>
          <w:lang w:val="fr-FR" w:eastAsia="fr-FR"/>
        </w:rPr>
        <w:t>’</w:t>
      </w:r>
      <w:r w:rsidRPr="00BC0135">
        <w:rPr>
          <w:sz w:val="20"/>
          <w:lang w:val="fr-FR" w:eastAsia="fr-FR"/>
        </w:rPr>
        <w:t>une centaine sont toujours détenus. Neuf autres ont été transférés à Rabat pour qu</w:t>
      </w:r>
      <w:r w:rsidR="00A977F5">
        <w:rPr>
          <w:sz w:val="20"/>
          <w:lang w:val="fr-FR" w:eastAsia="fr-FR"/>
        </w:rPr>
        <w:t>’</w:t>
      </w:r>
      <w:r w:rsidRPr="00BC0135">
        <w:rPr>
          <w:sz w:val="20"/>
          <w:lang w:val="fr-FR" w:eastAsia="fr-FR"/>
        </w:rPr>
        <w:t>une enquête soit menée par un tribunal militaire, ont raconté à Human Rights Watch des avocats sahraouis d</w:t>
      </w:r>
      <w:r w:rsidR="00A977F5">
        <w:rPr>
          <w:sz w:val="20"/>
          <w:lang w:val="fr-FR" w:eastAsia="fr-FR"/>
        </w:rPr>
        <w:t>’</w:t>
      </w:r>
      <w:r w:rsidRPr="00BC0135">
        <w:rPr>
          <w:sz w:val="20"/>
          <w:lang w:val="fr-FR" w:eastAsia="fr-FR"/>
        </w:rPr>
        <w:t>El-Ayoun spécialistes des droits humains.</w:t>
      </w:r>
    </w:p>
    <w:p w:rsidR="00BC0135" w:rsidRPr="00BC0135" w:rsidRDefault="00BC0135" w:rsidP="00BC0135">
      <w:pPr>
        <w:spacing w:before="120" w:after="120"/>
        <w:ind w:left="425" w:firstLine="142"/>
        <w:rPr>
          <w:sz w:val="20"/>
          <w:lang w:val="fr-FR" w:eastAsia="fr-FR"/>
        </w:rPr>
      </w:pPr>
      <w:r w:rsidRPr="00BC0135">
        <w:rPr>
          <w:sz w:val="20"/>
          <w:lang w:val="fr-FR" w:eastAsia="fr-FR"/>
        </w:rPr>
        <w:t>Un accès limité aux informations :</w:t>
      </w:r>
    </w:p>
    <w:p w:rsidR="00BC0135" w:rsidRDefault="00BC0135" w:rsidP="00BC0135">
      <w:pPr>
        <w:spacing w:before="120" w:after="120"/>
        <w:ind w:left="425" w:firstLine="142"/>
        <w:rPr>
          <w:sz w:val="20"/>
          <w:lang w:val="fr-FR" w:eastAsia="fr-FR"/>
        </w:rPr>
      </w:pPr>
      <w:r w:rsidRPr="00BC0135">
        <w:rPr>
          <w:sz w:val="20"/>
          <w:lang w:val="fr-FR" w:eastAsia="fr-FR"/>
        </w:rPr>
        <w:t>Après le démantèlement du camp de tentes, les autorités marocaines ont rigoureusement limité l</w:t>
      </w:r>
      <w:r w:rsidR="00A977F5">
        <w:rPr>
          <w:sz w:val="20"/>
          <w:lang w:val="fr-FR" w:eastAsia="fr-FR"/>
        </w:rPr>
        <w:t>’</w:t>
      </w:r>
      <w:r w:rsidRPr="00BC0135">
        <w:rPr>
          <w:sz w:val="20"/>
          <w:lang w:val="fr-FR" w:eastAsia="fr-FR"/>
        </w:rPr>
        <w:t>accès à El-Ayoun, n</w:t>
      </w:r>
      <w:r w:rsidR="00A977F5">
        <w:rPr>
          <w:sz w:val="20"/>
          <w:lang w:val="fr-FR" w:eastAsia="fr-FR"/>
        </w:rPr>
        <w:t>’</w:t>
      </w:r>
      <w:r w:rsidRPr="00BC0135">
        <w:rPr>
          <w:sz w:val="20"/>
          <w:lang w:val="fr-FR" w:eastAsia="fr-FR"/>
        </w:rPr>
        <w:t>autorisant que peu de journalistes ou de représentants d</w:t>
      </w:r>
      <w:r w:rsidR="00A977F5">
        <w:rPr>
          <w:sz w:val="20"/>
          <w:lang w:val="fr-FR" w:eastAsia="fr-FR"/>
        </w:rPr>
        <w:t>’</w:t>
      </w:r>
      <w:r w:rsidRPr="00BC0135">
        <w:rPr>
          <w:sz w:val="20"/>
          <w:lang w:val="fr-FR" w:eastAsia="fr-FR"/>
        </w:rPr>
        <w:t>organisations non gouvernementales à atteindre la ville et faisant faire demi-tour à nombre de ceux qui ont essayé. Un chercheur de Human Rights Watch a été empêché à deux reprises d</w:t>
      </w:r>
      <w:r w:rsidR="00A977F5">
        <w:rPr>
          <w:sz w:val="20"/>
          <w:lang w:val="fr-FR" w:eastAsia="fr-FR"/>
        </w:rPr>
        <w:t>’</w:t>
      </w:r>
      <w:r w:rsidRPr="00BC0135">
        <w:rPr>
          <w:sz w:val="20"/>
          <w:lang w:val="fr-FR" w:eastAsia="fr-FR"/>
        </w:rPr>
        <w:t>embarquer sur un vol à destination d</w:t>
      </w:r>
      <w:r w:rsidR="00A977F5">
        <w:rPr>
          <w:sz w:val="20"/>
          <w:lang w:val="fr-FR" w:eastAsia="fr-FR"/>
        </w:rPr>
        <w:t>’</w:t>
      </w:r>
      <w:r w:rsidRPr="00BC0135">
        <w:rPr>
          <w:sz w:val="20"/>
          <w:lang w:val="fr-FR" w:eastAsia="fr-FR"/>
        </w:rPr>
        <w:t>El-Ayoun le 11</w:t>
      </w:r>
      <w:r w:rsidR="00BC1775">
        <w:rPr>
          <w:sz w:val="20"/>
          <w:lang w:val="fr-FR" w:eastAsia="fr-FR"/>
        </w:rPr>
        <w:t> </w:t>
      </w:r>
      <w:r w:rsidRPr="00BC0135">
        <w:rPr>
          <w:sz w:val="20"/>
          <w:lang w:val="fr-FR" w:eastAsia="fr-FR"/>
        </w:rPr>
        <w:t>novembre et a finalement pu prendre un vol pour s</w:t>
      </w:r>
      <w:r w:rsidR="00A977F5">
        <w:rPr>
          <w:sz w:val="20"/>
          <w:lang w:val="fr-FR" w:eastAsia="fr-FR"/>
        </w:rPr>
        <w:t>’</w:t>
      </w:r>
      <w:r w:rsidRPr="00BC0135">
        <w:rPr>
          <w:sz w:val="20"/>
          <w:lang w:val="fr-FR" w:eastAsia="fr-FR"/>
        </w:rPr>
        <w:t>y rendre le 12 novembre. Le chercheur et un assistant de recherche de Human Rights Watch basé à El-Ayoun ont été en mesure, entre le 12 et le 16 novembre, d</w:t>
      </w:r>
      <w:r w:rsidR="00A977F5">
        <w:rPr>
          <w:sz w:val="20"/>
          <w:lang w:val="fr-FR" w:eastAsia="fr-FR"/>
        </w:rPr>
        <w:t>’</w:t>
      </w:r>
      <w:r w:rsidRPr="00BC0135">
        <w:rPr>
          <w:sz w:val="20"/>
          <w:lang w:val="fr-FR" w:eastAsia="fr-FR"/>
        </w:rPr>
        <w:t>interroger des civils et des policiers blessés dans les hôpitaux et à leur domicile. Ils ont également rencontré Mohamed Jelmous, gouverneur de la région d</w:t>
      </w:r>
      <w:r w:rsidR="00A977F5">
        <w:rPr>
          <w:sz w:val="20"/>
          <w:lang w:val="fr-FR" w:eastAsia="fr-FR"/>
        </w:rPr>
        <w:t>’</w:t>
      </w:r>
      <w:r w:rsidRPr="00BC0135">
        <w:rPr>
          <w:sz w:val="20"/>
          <w:lang w:val="fr-FR" w:eastAsia="fr-FR"/>
        </w:rPr>
        <w:t>El-Ayoun-Boujdour-Saguia el-Hamra.</w:t>
      </w:r>
    </w:p>
    <w:p w:rsidR="00BC0135" w:rsidRDefault="00BC0135" w:rsidP="00BC0135">
      <w:pPr>
        <w:spacing w:before="120" w:after="120"/>
        <w:ind w:left="425" w:firstLine="142"/>
        <w:rPr>
          <w:i/>
          <w:sz w:val="20"/>
          <w:lang w:val="fr-FR" w:eastAsia="fr-FR"/>
        </w:rPr>
      </w:pPr>
      <w:r w:rsidRPr="00BC0135">
        <w:rPr>
          <w:i/>
          <w:sz w:val="20"/>
          <w:lang w:val="fr-FR" w:eastAsia="fr-FR"/>
        </w:rPr>
        <w:t>« Nous sommes heureux que le Maroc ait changé de position et ait autorisé Human Rights Watch à mener une enquête à El-Ayoun », a déclaré Sarah Leah Whitson, « mais un gouvernement qui n</w:t>
      </w:r>
      <w:r w:rsidR="00A977F5">
        <w:rPr>
          <w:i/>
          <w:sz w:val="20"/>
          <w:lang w:val="fr-FR" w:eastAsia="fr-FR"/>
        </w:rPr>
        <w:t>’</w:t>
      </w:r>
      <w:r w:rsidRPr="00BC0135">
        <w:rPr>
          <w:i/>
          <w:sz w:val="20"/>
          <w:lang w:val="fr-FR" w:eastAsia="fr-FR"/>
        </w:rPr>
        <w:t>a de cesse de répéter qu</w:t>
      </w:r>
      <w:r w:rsidR="00A977F5">
        <w:rPr>
          <w:i/>
          <w:sz w:val="20"/>
          <w:lang w:val="fr-FR" w:eastAsia="fr-FR"/>
        </w:rPr>
        <w:t>’</w:t>
      </w:r>
      <w:r w:rsidRPr="00BC0135">
        <w:rPr>
          <w:i/>
          <w:sz w:val="20"/>
          <w:lang w:val="fr-FR" w:eastAsia="fr-FR"/>
        </w:rPr>
        <w:t>il n</w:t>
      </w:r>
      <w:r w:rsidR="00A977F5">
        <w:rPr>
          <w:i/>
          <w:sz w:val="20"/>
          <w:lang w:val="fr-FR" w:eastAsia="fr-FR"/>
        </w:rPr>
        <w:t>’</w:t>
      </w:r>
      <w:r w:rsidRPr="00BC0135">
        <w:rPr>
          <w:i/>
          <w:sz w:val="20"/>
          <w:lang w:val="fr-FR" w:eastAsia="fr-FR"/>
        </w:rPr>
        <w:t>a rien à cacher se doit de le prouver en autorisant tous les médias et toutes les organisations non gouvernementales à se rendre sur place et recueillir des informations sans entraves. »</w:t>
      </w:r>
    </w:p>
    <w:p w:rsidR="00BC0135" w:rsidRPr="00BC0135" w:rsidRDefault="00BC0135" w:rsidP="00BC0135">
      <w:pPr>
        <w:spacing w:before="120" w:after="120"/>
        <w:ind w:left="425" w:firstLine="142"/>
        <w:rPr>
          <w:sz w:val="20"/>
          <w:lang w:val="fr-FR" w:eastAsia="fr-FR"/>
        </w:rPr>
      </w:pPr>
      <w:r w:rsidRPr="00BC0135">
        <w:rPr>
          <w:sz w:val="20"/>
          <w:lang w:val="fr-FR" w:eastAsia="fr-FR"/>
        </w:rPr>
        <w:t>(...)</w:t>
      </w:r>
    </w:p>
    <w:p w:rsidR="00BC0135" w:rsidRPr="00BC0135" w:rsidRDefault="00BC0135" w:rsidP="00BC0135">
      <w:pPr>
        <w:spacing w:before="120" w:after="120"/>
        <w:ind w:left="425" w:firstLine="142"/>
        <w:rPr>
          <w:sz w:val="20"/>
          <w:lang w:val="fr-FR" w:eastAsia="fr-FR"/>
        </w:rPr>
      </w:pPr>
      <w:r w:rsidRPr="00BC0135">
        <w:rPr>
          <w:sz w:val="20"/>
          <w:lang w:val="fr-FR" w:eastAsia="fr-FR"/>
        </w:rPr>
        <w:t>Mauvais traitements en détention :</w:t>
      </w:r>
    </w:p>
    <w:p w:rsidR="00BC0135" w:rsidRDefault="00BC0135" w:rsidP="00BC0135">
      <w:pPr>
        <w:spacing w:before="120" w:after="120"/>
        <w:ind w:left="425" w:firstLine="142"/>
        <w:rPr>
          <w:sz w:val="20"/>
          <w:lang w:val="fr-FR" w:eastAsia="fr-FR"/>
        </w:rPr>
      </w:pPr>
      <w:r w:rsidRPr="00BC0135">
        <w:rPr>
          <w:sz w:val="20"/>
          <w:lang w:val="fr-FR" w:eastAsia="fr-FR"/>
        </w:rPr>
        <w:t>Human Rights a interrogé sept Sahraouis détenus suite aux violences du 8 novembre puis libérés. Tous ont affirmé que la police ou les gendarmes les avaient maltraités en détention, les passant même à tabac dans certains cas jusqu</w:t>
      </w:r>
      <w:r w:rsidR="00A977F5">
        <w:rPr>
          <w:sz w:val="20"/>
          <w:lang w:val="fr-FR" w:eastAsia="fr-FR"/>
        </w:rPr>
        <w:t>’</w:t>
      </w:r>
      <w:r w:rsidRPr="00BC0135">
        <w:rPr>
          <w:sz w:val="20"/>
          <w:lang w:val="fr-FR" w:eastAsia="fr-FR"/>
        </w:rPr>
        <w:t>à ce qu</w:t>
      </w:r>
      <w:r w:rsidR="00A977F5">
        <w:rPr>
          <w:sz w:val="20"/>
          <w:lang w:val="fr-FR" w:eastAsia="fr-FR"/>
        </w:rPr>
        <w:t>’</w:t>
      </w:r>
      <w:r w:rsidRPr="00BC0135">
        <w:rPr>
          <w:sz w:val="20"/>
          <w:lang w:val="fr-FR" w:eastAsia="fr-FR"/>
        </w:rPr>
        <w:t>ils perdent conscience, leur jetant de l</w:t>
      </w:r>
      <w:r w:rsidR="00A977F5">
        <w:rPr>
          <w:sz w:val="20"/>
          <w:lang w:val="fr-FR" w:eastAsia="fr-FR"/>
        </w:rPr>
        <w:t>’</w:t>
      </w:r>
      <w:r w:rsidRPr="00BC0135">
        <w:rPr>
          <w:sz w:val="20"/>
          <w:lang w:val="fr-FR" w:eastAsia="fr-FR"/>
        </w:rPr>
        <w:t>urine dessus, et les menaçant de viol. Les avocats représentant ceux restant en détention ont raconté à Human Rights Watch qu</w:t>
      </w:r>
      <w:r w:rsidR="00A977F5">
        <w:rPr>
          <w:sz w:val="20"/>
          <w:lang w:val="fr-FR" w:eastAsia="fr-FR"/>
        </w:rPr>
        <w:t>’</w:t>
      </w:r>
      <w:r w:rsidRPr="00BC0135">
        <w:rPr>
          <w:sz w:val="20"/>
          <w:lang w:val="fr-FR" w:eastAsia="fr-FR"/>
        </w:rPr>
        <w:t>au moins l</w:t>
      </w:r>
      <w:r w:rsidR="00A977F5">
        <w:rPr>
          <w:sz w:val="20"/>
          <w:lang w:val="fr-FR" w:eastAsia="fr-FR"/>
        </w:rPr>
        <w:t>’</w:t>
      </w:r>
      <w:r w:rsidRPr="00BC0135">
        <w:rPr>
          <w:sz w:val="20"/>
          <w:lang w:val="fr-FR" w:eastAsia="fr-FR"/>
        </w:rPr>
        <w:t>un des détenus avait déclaré à un juge d</w:t>
      </w:r>
      <w:r w:rsidR="00A977F5">
        <w:rPr>
          <w:sz w:val="20"/>
          <w:lang w:val="fr-FR" w:eastAsia="fr-FR"/>
        </w:rPr>
        <w:t>’</w:t>
      </w:r>
      <w:r w:rsidRPr="00BC0135">
        <w:rPr>
          <w:sz w:val="20"/>
          <w:lang w:val="fr-FR" w:eastAsia="fr-FR"/>
        </w:rPr>
        <w:t>instruction qu</w:t>
      </w:r>
      <w:r w:rsidR="00A977F5">
        <w:rPr>
          <w:sz w:val="20"/>
          <w:lang w:val="fr-FR" w:eastAsia="fr-FR"/>
        </w:rPr>
        <w:t>’</w:t>
      </w:r>
      <w:r w:rsidRPr="00BC0135">
        <w:rPr>
          <w:sz w:val="20"/>
          <w:lang w:val="fr-FR" w:eastAsia="fr-FR"/>
        </w:rPr>
        <w:t>il avait été violé en détention, tandis que nombre d</w:t>
      </w:r>
      <w:r w:rsidR="00A977F5">
        <w:rPr>
          <w:sz w:val="20"/>
          <w:lang w:val="fr-FR" w:eastAsia="fr-FR"/>
        </w:rPr>
        <w:t>’</w:t>
      </w:r>
      <w:r w:rsidRPr="00BC0135">
        <w:rPr>
          <w:sz w:val="20"/>
          <w:lang w:val="fr-FR" w:eastAsia="fr-FR"/>
        </w:rPr>
        <w:t>autres ont indiqué au juge d</w:t>
      </w:r>
      <w:r w:rsidR="00A977F5">
        <w:rPr>
          <w:sz w:val="20"/>
          <w:lang w:val="fr-FR" w:eastAsia="fr-FR"/>
        </w:rPr>
        <w:t>’</w:t>
      </w:r>
      <w:r w:rsidRPr="00BC0135">
        <w:rPr>
          <w:sz w:val="20"/>
          <w:lang w:val="fr-FR" w:eastAsia="fr-FR"/>
        </w:rPr>
        <w:t>instruction et au procureur des passages à tabac et autres abus qu</w:t>
      </w:r>
      <w:r w:rsidR="00A977F5">
        <w:rPr>
          <w:sz w:val="20"/>
          <w:lang w:val="fr-FR" w:eastAsia="fr-FR"/>
        </w:rPr>
        <w:t>’</w:t>
      </w:r>
      <w:r w:rsidRPr="00BC0135">
        <w:rPr>
          <w:sz w:val="20"/>
          <w:lang w:val="fr-FR" w:eastAsia="fr-FR"/>
        </w:rPr>
        <w:t>ils auraient endurés en détention.</w:t>
      </w:r>
    </w:p>
    <w:p w:rsidR="00BC0135" w:rsidRDefault="00BC0135" w:rsidP="00BC0135">
      <w:pPr>
        <w:spacing w:before="120" w:after="120"/>
        <w:ind w:left="425" w:firstLine="142"/>
        <w:rPr>
          <w:sz w:val="20"/>
          <w:lang w:val="fr-FR" w:eastAsia="fr-FR"/>
        </w:rPr>
      </w:pPr>
      <w:r w:rsidRPr="00BC0135">
        <w:rPr>
          <w:sz w:val="20"/>
          <w:lang w:val="fr-FR" w:eastAsia="fr-FR"/>
        </w:rPr>
        <w:lastRenderedPageBreak/>
        <w:t>Les témoins interrogés par Human Rights Watch présentaient de graves contusions et d</w:t>
      </w:r>
      <w:r w:rsidR="00A977F5">
        <w:rPr>
          <w:sz w:val="20"/>
          <w:lang w:val="fr-FR" w:eastAsia="fr-FR"/>
        </w:rPr>
        <w:t>’</w:t>
      </w:r>
      <w:r w:rsidRPr="00BC0135">
        <w:rPr>
          <w:sz w:val="20"/>
          <w:lang w:val="fr-FR" w:eastAsia="fr-FR"/>
        </w:rPr>
        <w:t>autres blessures récentes suggérant qu</w:t>
      </w:r>
      <w:r w:rsidR="00A977F5">
        <w:rPr>
          <w:sz w:val="20"/>
          <w:lang w:val="fr-FR" w:eastAsia="fr-FR"/>
        </w:rPr>
        <w:t>’</w:t>
      </w:r>
      <w:r w:rsidRPr="00BC0135">
        <w:rPr>
          <w:sz w:val="20"/>
          <w:lang w:val="fr-FR" w:eastAsia="fr-FR"/>
        </w:rPr>
        <w:t>ils avaient été passés à tabac en détention.</w:t>
      </w:r>
    </w:p>
    <w:p w:rsidR="00BC0135" w:rsidRDefault="00BC0135" w:rsidP="00BC0135">
      <w:pPr>
        <w:spacing w:before="120" w:after="120"/>
        <w:ind w:left="425" w:firstLine="142"/>
        <w:rPr>
          <w:sz w:val="20"/>
          <w:lang w:val="fr-FR" w:eastAsia="fr-FR"/>
        </w:rPr>
      </w:pPr>
      <w:r w:rsidRPr="00BC0135">
        <w:rPr>
          <w:sz w:val="20"/>
          <w:lang w:val="fr-FR" w:eastAsia="fr-FR"/>
        </w:rPr>
        <w:t>Les membres des familles des détenus ont affirmé à Human Rights Watch que les autorités marocaines ne les avaient pas informées des détentions pendant plusieurs jours et qu</w:t>
      </w:r>
      <w:r w:rsidR="00A977F5">
        <w:rPr>
          <w:sz w:val="20"/>
          <w:lang w:val="fr-FR" w:eastAsia="fr-FR"/>
        </w:rPr>
        <w:t>’</w:t>
      </w:r>
      <w:r w:rsidRPr="00BC0135">
        <w:rPr>
          <w:sz w:val="20"/>
          <w:lang w:val="fr-FR" w:eastAsia="fr-FR"/>
        </w:rPr>
        <w:t>en date du 23 novembre, les autorités ne leur avaient pas encore donné l</w:t>
      </w:r>
      <w:r w:rsidR="00A977F5">
        <w:rPr>
          <w:sz w:val="20"/>
          <w:lang w:val="fr-FR" w:eastAsia="fr-FR"/>
        </w:rPr>
        <w:t>’</w:t>
      </w:r>
      <w:r w:rsidRPr="00BC0135">
        <w:rPr>
          <w:sz w:val="20"/>
          <w:lang w:val="fr-FR" w:eastAsia="fr-FR"/>
        </w:rPr>
        <w:t>autorisation de rendre visite à leurs proches mis en détention pour certains depuis deux semaines, bien que les avocats chargés de leur défense aient pu les voir pour la première fois ce jour-là. Du fait de ces délais, il a été difficile pour nombre de familles d</w:t>
      </w:r>
      <w:r w:rsidR="00A977F5">
        <w:rPr>
          <w:sz w:val="20"/>
          <w:lang w:val="fr-FR" w:eastAsia="fr-FR"/>
        </w:rPr>
        <w:t>’</w:t>
      </w:r>
      <w:r w:rsidRPr="00BC0135">
        <w:rPr>
          <w:sz w:val="20"/>
          <w:lang w:val="fr-FR" w:eastAsia="fr-FR"/>
        </w:rPr>
        <w:t>établir rapidement le lieu où se trouvaient les personnes disparues ou d</w:t>
      </w:r>
      <w:r w:rsidR="00A977F5">
        <w:rPr>
          <w:sz w:val="20"/>
          <w:lang w:val="fr-FR" w:eastAsia="fr-FR"/>
        </w:rPr>
        <w:t>’</w:t>
      </w:r>
      <w:r w:rsidRPr="00BC0135">
        <w:rPr>
          <w:sz w:val="20"/>
          <w:lang w:val="fr-FR" w:eastAsia="fr-FR"/>
        </w:rPr>
        <w:t>obtenir des informations sur la manière dont elles étaient traitées en détention.</w:t>
      </w:r>
    </w:p>
    <w:p w:rsidR="00BC0135" w:rsidRDefault="00BC0135" w:rsidP="00BC0135">
      <w:pPr>
        <w:spacing w:before="120" w:after="120"/>
        <w:ind w:left="425" w:firstLine="142"/>
        <w:rPr>
          <w:sz w:val="20"/>
          <w:lang w:val="fr-FR" w:eastAsia="fr-FR"/>
        </w:rPr>
      </w:pPr>
      <w:r w:rsidRPr="00BC0135">
        <w:rPr>
          <w:sz w:val="20"/>
          <w:lang w:val="fr-FR" w:eastAsia="fr-FR"/>
        </w:rPr>
        <w:t>Human Rights Watch a prié les autorités d</w:t>
      </w:r>
      <w:r w:rsidR="00A977F5">
        <w:rPr>
          <w:sz w:val="20"/>
          <w:lang w:val="fr-FR" w:eastAsia="fr-FR"/>
        </w:rPr>
        <w:t>’</w:t>
      </w:r>
      <w:r w:rsidRPr="00BC0135">
        <w:rPr>
          <w:sz w:val="20"/>
          <w:lang w:val="fr-FR" w:eastAsia="fr-FR"/>
        </w:rPr>
        <w:t>informer immédiatement la famille de chaque personne placée en détention, comme le prévoit l</w:t>
      </w:r>
      <w:r w:rsidR="00A977F5">
        <w:rPr>
          <w:sz w:val="20"/>
          <w:lang w:val="fr-FR" w:eastAsia="fr-FR"/>
        </w:rPr>
        <w:t>’</w:t>
      </w:r>
      <w:r w:rsidRPr="00BC0135">
        <w:rPr>
          <w:sz w:val="20"/>
          <w:lang w:val="fr-FR" w:eastAsia="fr-FR"/>
        </w:rPr>
        <w:t>article 67 du Code de Procédure Pénale marocain.</w:t>
      </w:r>
    </w:p>
    <w:p w:rsidR="00BC0135" w:rsidRDefault="00BC0135" w:rsidP="00BC0135">
      <w:pPr>
        <w:spacing w:before="120" w:after="120"/>
        <w:ind w:left="425" w:firstLine="142"/>
        <w:rPr>
          <w:sz w:val="20"/>
          <w:lang w:val="fr-FR" w:eastAsia="fr-FR"/>
        </w:rPr>
      </w:pPr>
      <w:r w:rsidRPr="00BC0135">
        <w:rPr>
          <w:sz w:val="20"/>
          <w:lang w:val="fr-FR" w:eastAsia="fr-FR"/>
        </w:rPr>
        <w:t>Les Sahraouis incarcérés à la prison d</w:t>
      </w:r>
      <w:r w:rsidR="00A977F5">
        <w:rPr>
          <w:sz w:val="20"/>
          <w:lang w:val="fr-FR" w:eastAsia="fr-FR"/>
        </w:rPr>
        <w:t>’</w:t>
      </w:r>
      <w:r w:rsidRPr="00BC0135">
        <w:rPr>
          <w:sz w:val="20"/>
          <w:lang w:val="fr-FR" w:eastAsia="fr-FR"/>
        </w:rPr>
        <w:t>El-Ayoun faisaient l</w:t>
      </w:r>
      <w:r w:rsidR="00A977F5">
        <w:rPr>
          <w:sz w:val="20"/>
          <w:lang w:val="fr-FR" w:eastAsia="fr-FR"/>
        </w:rPr>
        <w:t>’</w:t>
      </w:r>
      <w:r w:rsidRPr="00BC0135">
        <w:rPr>
          <w:sz w:val="20"/>
          <w:lang w:val="fr-FR" w:eastAsia="fr-FR"/>
        </w:rPr>
        <w:t>objet d</w:t>
      </w:r>
      <w:r w:rsidR="00A977F5">
        <w:rPr>
          <w:sz w:val="20"/>
          <w:lang w:val="fr-FR" w:eastAsia="fr-FR"/>
        </w:rPr>
        <w:t>’</w:t>
      </w:r>
      <w:r w:rsidRPr="00BC0135">
        <w:rPr>
          <w:sz w:val="20"/>
          <w:lang w:val="fr-FR" w:eastAsia="fr-FR"/>
        </w:rPr>
        <w:t>une enquête pour des accusations telles que la création d</w:t>
      </w:r>
      <w:r w:rsidR="00A977F5">
        <w:rPr>
          <w:sz w:val="20"/>
          <w:lang w:val="fr-FR" w:eastAsia="fr-FR"/>
        </w:rPr>
        <w:t>’</w:t>
      </w:r>
      <w:r w:rsidRPr="00BC0135">
        <w:rPr>
          <w:sz w:val="20"/>
          <w:lang w:val="fr-FR" w:eastAsia="fr-FR"/>
        </w:rPr>
        <w:t>un gang criminel dans le but de commettre des crimes contre des personnes et des biens, la possession d</w:t>
      </w:r>
      <w:r w:rsidR="00A977F5">
        <w:rPr>
          <w:sz w:val="20"/>
          <w:lang w:val="fr-FR" w:eastAsia="fr-FR"/>
        </w:rPr>
        <w:t>’</w:t>
      </w:r>
      <w:r w:rsidRPr="00BC0135">
        <w:rPr>
          <w:sz w:val="20"/>
          <w:lang w:val="fr-FR" w:eastAsia="fr-FR"/>
        </w:rPr>
        <w:t>armes, la destruction de biens publics ou encore la participation à la prise en otage et séquestration de personnes, à l</w:t>
      </w:r>
      <w:r w:rsidR="00A977F5">
        <w:rPr>
          <w:sz w:val="20"/>
          <w:lang w:val="fr-FR" w:eastAsia="fr-FR"/>
        </w:rPr>
        <w:t>’</w:t>
      </w:r>
      <w:r w:rsidRPr="00BC0135">
        <w:rPr>
          <w:sz w:val="20"/>
          <w:lang w:val="fr-FR" w:eastAsia="fr-FR"/>
        </w:rPr>
        <w:t>incendie volontaire de bâtiments, à l</w:t>
      </w:r>
      <w:r w:rsidR="00A977F5">
        <w:rPr>
          <w:sz w:val="20"/>
          <w:lang w:val="fr-FR" w:eastAsia="fr-FR"/>
        </w:rPr>
        <w:t>’</w:t>
      </w:r>
      <w:r w:rsidRPr="00BC0135">
        <w:rPr>
          <w:sz w:val="20"/>
          <w:lang w:val="fr-FR" w:eastAsia="fr-FR"/>
        </w:rPr>
        <w:t>usage de la violence contre des membres des forces de l</w:t>
      </w:r>
      <w:r w:rsidR="00A977F5">
        <w:rPr>
          <w:sz w:val="20"/>
          <w:lang w:val="fr-FR" w:eastAsia="fr-FR"/>
        </w:rPr>
        <w:t>’</w:t>
      </w:r>
      <w:r w:rsidRPr="00BC0135">
        <w:rPr>
          <w:sz w:val="20"/>
          <w:lang w:val="fr-FR" w:eastAsia="fr-FR"/>
        </w:rPr>
        <w:t>ordre entraînant des blessures et la mort et à des groupements armés.</w:t>
      </w:r>
    </w:p>
    <w:p w:rsidR="00BC0135" w:rsidRPr="00BC0135" w:rsidRDefault="00BC0135" w:rsidP="00BC0135">
      <w:pPr>
        <w:spacing w:before="120" w:after="120"/>
        <w:ind w:left="425" w:firstLine="142"/>
        <w:rPr>
          <w:sz w:val="20"/>
          <w:lang w:val="fr-FR" w:eastAsia="fr-FR"/>
        </w:rPr>
      </w:pPr>
      <w:r w:rsidRPr="00BC0135">
        <w:rPr>
          <w:sz w:val="20"/>
          <w:lang w:val="fr-FR" w:eastAsia="fr-FR"/>
        </w:rPr>
        <w:t>(...)</w:t>
      </w:r>
    </w:p>
    <w:p w:rsidR="00BC0135" w:rsidRPr="00BC0135" w:rsidRDefault="00BC0135" w:rsidP="00BC0135">
      <w:pPr>
        <w:spacing w:before="120" w:after="120"/>
        <w:ind w:left="425" w:firstLine="142"/>
        <w:rPr>
          <w:sz w:val="20"/>
          <w:lang w:val="fr-FR" w:eastAsia="fr-FR"/>
        </w:rPr>
      </w:pPr>
      <w:r w:rsidRPr="00BC0135">
        <w:rPr>
          <w:sz w:val="20"/>
          <w:lang w:val="fr-FR" w:eastAsia="fr-FR"/>
        </w:rPr>
        <w:t>Attaques de maisons appartenant à des Sahraouis :</w:t>
      </w:r>
    </w:p>
    <w:p w:rsidR="00BC0135" w:rsidRDefault="00BC0135" w:rsidP="00BC0135">
      <w:pPr>
        <w:spacing w:before="120" w:after="120"/>
        <w:ind w:left="425" w:firstLine="142"/>
        <w:rPr>
          <w:sz w:val="20"/>
          <w:lang w:val="fr-FR" w:eastAsia="fr-FR"/>
        </w:rPr>
      </w:pPr>
      <w:r w:rsidRPr="00BC0135">
        <w:rPr>
          <w:sz w:val="20"/>
          <w:lang w:val="fr-FR" w:eastAsia="fr-FR"/>
        </w:rPr>
        <w:t>Human Rights Watch s</w:t>
      </w:r>
      <w:r w:rsidR="00A977F5">
        <w:rPr>
          <w:sz w:val="20"/>
          <w:lang w:val="fr-FR" w:eastAsia="fr-FR"/>
        </w:rPr>
        <w:t>’</w:t>
      </w:r>
      <w:r w:rsidRPr="00BC0135">
        <w:rPr>
          <w:sz w:val="20"/>
          <w:lang w:val="fr-FR" w:eastAsia="fr-FR"/>
        </w:rPr>
        <w:t>est rendu dans les quartiers de Haï Essalam et Colomina Nueva, où de nombreuses maisons appartenant à des Sahraouis ont été attaquées les 8 et 9 novembre par des groupes composés notamment de membres des forces de sécurité et de personnes en tenue de ville, parmi lesquelles certaines semblaient être des civils marocains, ont déclaré les habitants. Les personnes interrogées ont décrit la façon dont les agresseurs avaient passé à tabac les résidents dans leurs maisons et avaient causé des dégâts matériels. Les autorités ont, selon certaines informations, pris des mesures pour dédommager les propriétaires des dégâts causés, mais n</w:t>
      </w:r>
      <w:r w:rsidR="00A977F5">
        <w:rPr>
          <w:sz w:val="20"/>
          <w:lang w:val="fr-FR" w:eastAsia="fr-FR"/>
        </w:rPr>
        <w:t>’</w:t>
      </w:r>
      <w:r w:rsidRPr="00BC0135">
        <w:rPr>
          <w:sz w:val="20"/>
          <w:lang w:val="fr-FR" w:eastAsia="fr-FR"/>
        </w:rPr>
        <w:t>ont annoncé, d</w:t>
      </w:r>
      <w:r w:rsidR="00A977F5">
        <w:rPr>
          <w:sz w:val="20"/>
          <w:lang w:val="fr-FR" w:eastAsia="fr-FR"/>
        </w:rPr>
        <w:t>’</w:t>
      </w:r>
      <w:r w:rsidRPr="00BC0135">
        <w:rPr>
          <w:sz w:val="20"/>
          <w:lang w:val="fr-FR" w:eastAsia="fr-FR"/>
        </w:rPr>
        <w:t>après ce que Human Rights Watch a pu établir, aucune arrestation ni aucune inculpation de civils marocains impliqués dans les violences.</w:t>
      </w:r>
    </w:p>
    <w:p w:rsidR="00BC0135" w:rsidRDefault="00BC0135" w:rsidP="00BC0135">
      <w:pPr>
        <w:spacing w:before="120" w:after="120"/>
        <w:ind w:left="425" w:firstLine="142"/>
        <w:rPr>
          <w:sz w:val="20"/>
          <w:lang w:val="fr-FR" w:eastAsia="fr-FR"/>
        </w:rPr>
      </w:pPr>
      <w:r w:rsidRPr="00BC0135">
        <w:rPr>
          <w:sz w:val="20"/>
          <w:lang w:val="fr-FR" w:eastAsia="fr-FR"/>
        </w:rPr>
        <w:t>Un résident du quartier de Columina Nueva âgé de 30 ans a décrit la manière dont un groupe de civils marocains s</w:t>
      </w:r>
      <w:r w:rsidR="00A977F5">
        <w:rPr>
          <w:sz w:val="20"/>
          <w:lang w:val="fr-FR" w:eastAsia="fr-FR"/>
        </w:rPr>
        <w:t>’</w:t>
      </w:r>
      <w:r w:rsidRPr="00BC0135">
        <w:rPr>
          <w:sz w:val="20"/>
          <w:lang w:val="fr-FR" w:eastAsia="fr-FR"/>
        </w:rPr>
        <w:t>est rassemblé devant sa maison près de la rue Moulay Ismaïl, aux environs de 15h00 le 8 novembre. Les Marocains étaient accompagnés de policiers en civil, identifiables grâce à leur équipement de protection, et de policiers en uniforme armés de gaz lacrymogène et de pistolets. Les civils sont entrés dans sa maison par effraction et l</w:t>
      </w:r>
      <w:r w:rsidR="00A977F5">
        <w:rPr>
          <w:sz w:val="20"/>
          <w:lang w:val="fr-FR" w:eastAsia="fr-FR"/>
        </w:rPr>
        <w:t>’</w:t>
      </w:r>
      <w:r w:rsidRPr="00BC0135">
        <w:rPr>
          <w:sz w:val="20"/>
          <w:lang w:val="fr-FR" w:eastAsia="fr-FR"/>
        </w:rPr>
        <w:t>ont frappé à la tête avec une machette, le laissant inconscient et avec une entaille profonde. Son frère a été témoin de la scène pendant laquelle les civils ont saccagé sa maison, volant des télévisions, des appareils ménagers de cuisine et beaucoup d</w:t>
      </w:r>
      <w:r w:rsidR="00A977F5">
        <w:rPr>
          <w:sz w:val="20"/>
          <w:lang w:val="fr-FR" w:eastAsia="fr-FR"/>
        </w:rPr>
        <w:t>’</w:t>
      </w:r>
      <w:r w:rsidRPr="00BC0135">
        <w:rPr>
          <w:sz w:val="20"/>
          <w:lang w:val="fr-FR" w:eastAsia="fr-FR"/>
        </w:rPr>
        <w:t>autres objets de valeur et détruisant fenêtres et meubles.</w:t>
      </w:r>
    </w:p>
    <w:p w:rsidR="00BC0135" w:rsidRDefault="00BC0135" w:rsidP="00876E01">
      <w:pPr>
        <w:keepNext/>
        <w:keepLines/>
        <w:spacing w:before="120" w:after="120"/>
        <w:ind w:left="425" w:firstLine="142"/>
        <w:rPr>
          <w:sz w:val="20"/>
          <w:lang w:val="fr-FR" w:eastAsia="fr-FR"/>
        </w:rPr>
      </w:pPr>
      <w:r w:rsidRPr="00BC0135">
        <w:rPr>
          <w:sz w:val="20"/>
          <w:lang w:val="fr-FR" w:eastAsia="fr-FR"/>
        </w:rPr>
        <w:lastRenderedPageBreak/>
        <w:t>Environ une douzaine de maisons sahraouies de la rue Moulay Ismaïl ou à proximité ont été envahies et endommagées. À deux pâtés de maisons de là, un groupe composé de quelque 40 soldats et policiers ont envahi le domicile de deux femmes âgées à 10h30 le 8 novembre. Les femmes ont déclaré que les envahisseurs avaient ouvert le feu dans la maison avec des fusils anti-émeute à balles en plastique, dit à la famille de quitter les lieux et volé un ordinateur et des bijoux.</w:t>
      </w:r>
    </w:p>
    <w:p w:rsidR="00BC0135" w:rsidRPr="00BC0135" w:rsidRDefault="00BC0135" w:rsidP="00876E01">
      <w:pPr>
        <w:keepNext/>
        <w:keepLines/>
        <w:spacing w:before="120" w:after="120"/>
        <w:ind w:left="425" w:firstLine="142"/>
        <w:rPr>
          <w:sz w:val="20"/>
          <w:lang w:val="fr-FR" w:eastAsia="fr-FR"/>
        </w:rPr>
      </w:pPr>
      <w:r w:rsidRPr="00BC0135">
        <w:rPr>
          <w:sz w:val="20"/>
          <w:lang w:val="fr-FR" w:eastAsia="fr-FR"/>
        </w:rPr>
        <w:t>(...)</w:t>
      </w:r>
    </w:p>
    <w:p w:rsidR="00BC0135" w:rsidRDefault="00BC0135" w:rsidP="00BC0135">
      <w:pPr>
        <w:keepNext/>
        <w:keepLines/>
        <w:tabs>
          <w:tab w:val="left" w:pos="357"/>
        </w:tabs>
        <w:spacing w:before="360" w:after="240"/>
        <w:ind w:left="357" w:hanging="357"/>
        <w:outlineLvl w:val="0"/>
        <w:rPr>
          <w:rFonts w:asciiTheme="majorHAnsi" w:eastAsiaTheme="majorEastAsia" w:hAnsiTheme="majorHAnsi" w:cstheme="majorBidi"/>
          <w:bCs/>
          <w:szCs w:val="28"/>
          <w:lang w:val="fr-FR" w:eastAsia="fr-FR"/>
        </w:rPr>
      </w:pPr>
      <w:r w:rsidRPr="00BC0135">
        <w:rPr>
          <w:rFonts w:asciiTheme="majorHAnsi" w:eastAsiaTheme="majorEastAsia" w:hAnsiTheme="majorHAnsi" w:cstheme="majorBidi"/>
          <w:bCs/>
          <w:szCs w:val="28"/>
          <w:lang w:val="fr-FR" w:eastAsia="fr-FR"/>
        </w:rPr>
        <w:t>III.</w:t>
      </w:r>
      <w:r w:rsidR="00876E01">
        <w:rPr>
          <w:rFonts w:asciiTheme="majorHAnsi" w:eastAsiaTheme="majorEastAsia" w:hAnsiTheme="majorHAnsi" w:cstheme="majorBidi"/>
          <w:bCs/>
          <w:szCs w:val="28"/>
          <w:lang w:val="fr-FR" w:eastAsia="fr-FR"/>
        </w:rPr>
        <w:t>  </w:t>
      </w:r>
      <w:r w:rsidRPr="00BC0135">
        <w:rPr>
          <w:rFonts w:asciiTheme="majorHAnsi" w:eastAsiaTheme="majorEastAsia" w:hAnsiTheme="majorHAnsi" w:cstheme="majorBidi"/>
          <w:bCs/>
          <w:szCs w:val="28"/>
          <w:lang w:val="fr-FR" w:eastAsia="fr-FR"/>
        </w:rPr>
        <w:t>LE DROIT INTERNE ET INTERNATIONAL PERTINENT</w:t>
      </w:r>
    </w:p>
    <w:p w:rsidR="00BC0135" w:rsidRPr="00BC0135" w:rsidRDefault="00BC0135" w:rsidP="00BC0135">
      <w:pPr>
        <w:ind w:firstLine="284"/>
        <w:rPr>
          <w:i/>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59</w:t>
      </w:r>
      <w:r w:rsidRPr="00BC0135">
        <w:rPr>
          <w:noProof/>
          <w:lang w:val="fr-FR" w:eastAsia="fr-FR"/>
        </w:rPr>
        <w:fldChar w:fldCharType="end"/>
      </w:r>
      <w:r w:rsidRPr="00BC0135">
        <w:rPr>
          <w:lang w:val="fr-FR" w:eastAsia="fr-FR"/>
        </w:rPr>
        <w:t>.  Pour un exposé du droit du Conseil de l</w:t>
      </w:r>
      <w:r w:rsidR="00A977F5">
        <w:rPr>
          <w:lang w:val="fr-FR" w:eastAsia="fr-FR"/>
        </w:rPr>
        <w:t>’</w:t>
      </w:r>
      <w:r w:rsidRPr="00BC0135">
        <w:rPr>
          <w:lang w:val="fr-FR" w:eastAsia="fr-FR"/>
        </w:rPr>
        <w:t>Europe en matière d</w:t>
      </w:r>
      <w:r w:rsidR="00A977F5">
        <w:rPr>
          <w:lang w:val="fr-FR" w:eastAsia="fr-FR"/>
        </w:rPr>
        <w:t>’</w:t>
      </w:r>
      <w:r w:rsidRPr="00BC0135">
        <w:rPr>
          <w:lang w:val="fr-FR" w:eastAsia="fr-FR"/>
        </w:rPr>
        <w:t>asile, la Cour renvoie aux paragraphes 75, 76 et 82 de l</w:t>
      </w:r>
      <w:r w:rsidR="00A977F5">
        <w:rPr>
          <w:lang w:val="fr-FR" w:eastAsia="fr-FR"/>
        </w:rPr>
        <w:t>’</w:t>
      </w:r>
      <w:r w:rsidRPr="00BC0135">
        <w:rPr>
          <w:lang w:val="fr-FR" w:eastAsia="fr-FR"/>
        </w:rPr>
        <w:t xml:space="preserve">arrêt </w:t>
      </w:r>
      <w:r w:rsidRPr="00BC0135">
        <w:rPr>
          <w:i/>
          <w:lang w:val="fr-FR" w:eastAsia="fr-FR"/>
        </w:rPr>
        <w:t>I.M. c. France</w:t>
      </w:r>
      <w:r w:rsidRPr="00BC0135">
        <w:rPr>
          <w:lang w:val="fr-FR" w:eastAsia="fr-FR"/>
        </w:rPr>
        <w:t xml:space="preserve"> (n</w:t>
      </w:r>
      <w:r w:rsidRPr="00BC0135">
        <w:rPr>
          <w:vertAlign w:val="superscript"/>
          <w:lang w:val="fr-FR" w:eastAsia="fr-FR"/>
        </w:rPr>
        <w:t>o</w:t>
      </w:r>
      <w:r w:rsidRPr="00BC0135">
        <w:rPr>
          <w:lang w:val="fr-FR" w:eastAsia="fr-FR"/>
        </w:rPr>
        <w:t> 9152/09</w:t>
      </w:r>
      <w:r w:rsidRPr="00BC0135">
        <w:rPr>
          <w:snapToGrid w:val="0"/>
          <w:szCs w:val="24"/>
          <w:lang w:val="fr-FR" w:eastAsia="fr-FR"/>
        </w:rPr>
        <w:t xml:space="preserve">, </w:t>
      </w:r>
      <w:r w:rsidRPr="00BC0135">
        <w:rPr>
          <w:szCs w:val="24"/>
          <w:lang w:val="fr-FR" w:eastAsia="fr-FR"/>
        </w:rPr>
        <w:t xml:space="preserve">2 février </w:t>
      </w:r>
      <w:r w:rsidRPr="00BC0135">
        <w:rPr>
          <w:snapToGrid w:val="0"/>
          <w:szCs w:val="24"/>
          <w:lang w:val="fr-FR" w:eastAsia="fr-FR"/>
        </w:rPr>
        <w:t>2012)</w:t>
      </w:r>
      <w:r w:rsidRPr="00BC0135">
        <w:rPr>
          <w:lang w:val="fr-FR" w:eastAsia="fr-FR"/>
        </w:rPr>
        <w:t>.</w:t>
      </w:r>
    </w:p>
    <w:bookmarkStart w:id="8" w:name="art18asile"/>
    <w:p w:rsidR="00BC0135" w:rsidRP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60</w:t>
      </w:r>
      <w:r w:rsidRPr="00BC0135">
        <w:rPr>
          <w:lang w:val="fr-FR" w:eastAsia="fr-FR"/>
        </w:rPr>
        <w:fldChar w:fldCharType="end"/>
      </w:r>
      <w:bookmarkEnd w:id="8"/>
      <w:r w:rsidRPr="00BC0135">
        <w:rPr>
          <w:lang w:val="fr-FR" w:eastAsia="fr-FR"/>
        </w:rPr>
        <w:t>.  Pour ce qui est du droit espagnol, les demandes de protection internationale présentées par les requérants ont été traitées selon la procédure prévue pour les demandes présentées aux frontières, avec les garanties prévues dans la loi n</w:t>
      </w:r>
      <w:r w:rsidRPr="00BC0135">
        <w:rPr>
          <w:sz w:val="22"/>
          <w:vertAlign w:val="superscript"/>
          <w:lang w:val="fr-FR" w:eastAsia="fr-FR"/>
        </w:rPr>
        <w:t>o</w:t>
      </w:r>
      <w:r w:rsidRPr="00BC0135">
        <w:rPr>
          <w:lang w:val="fr-FR" w:eastAsia="fr-FR"/>
        </w:rPr>
        <w:t xml:space="preserve"> 12/2009 du 30 octobre 2009 relative au droit d</w:t>
      </w:r>
      <w:r w:rsidR="00A977F5">
        <w:rPr>
          <w:lang w:val="fr-FR" w:eastAsia="fr-FR"/>
        </w:rPr>
        <w:t>’</w:t>
      </w:r>
      <w:r w:rsidRPr="00BC0135">
        <w:rPr>
          <w:lang w:val="fr-FR" w:eastAsia="fr-FR"/>
        </w:rPr>
        <w:t>asile et à la protection subsidiaire qui, en la matière, dispose ce qui suit:</w:t>
      </w:r>
    </w:p>
    <w:p w:rsidR="00BC0135" w:rsidRPr="00BC0135" w:rsidRDefault="00BC0135" w:rsidP="00BC0135">
      <w:pPr>
        <w:keepNext/>
        <w:keepLines/>
        <w:spacing w:before="240" w:after="120"/>
        <w:jc w:val="center"/>
        <w:outlineLvl w:val="3"/>
        <w:rPr>
          <w:rFonts w:asciiTheme="majorHAnsi" w:hAnsiTheme="majorHAnsi"/>
          <w:b/>
          <w:sz w:val="20"/>
          <w:lang w:val="fr-FR" w:eastAsia="fr-FR" w:bidi="en-US"/>
        </w:rPr>
      </w:pPr>
      <w:r w:rsidRPr="00BC0135">
        <w:rPr>
          <w:rFonts w:asciiTheme="majorHAnsi" w:hAnsiTheme="majorHAnsi"/>
          <w:b/>
          <w:sz w:val="20"/>
          <w:lang w:val="fr-FR" w:eastAsia="fr-FR" w:bidi="en-US"/>
        </w:rPr>
        <w:t>Article 18. Droits et obligations des demandeurs.</w:t>
      </w:r>
    </w:p>
    <w:p w:rsidR="00BC0135" w:rsidRPr="00BC0135" w:rsidRDefault="00BC0135" w:rsidP="00BC0135">
      <w:pPr>
        <w:spacing w:before="120" w:after="120"/>
        <w:ind w:left="425" w:firstLine="142"/>
        <w:rPr>
          <w:sz w:val="20"/>
          <w:lang w:val="fr-FR" w:eastAsia="fr-FR"/>
        </w:rPr>
      </w:pPr>
      <w:r w:rsidRPr="00BC0135">
        <w:rPr>
          <w:sz w:val="20"/>
          <w:lang w:val="fr-FR" w:eastAsia="fr-FR"/>
        </w:rPr>
        <w:t>1. Après avoir présenté sa demande, le demandeur d</w:t>
      </w:r>
      <w:r w:rsidR="00A977F5">
        <w:rPr>
          <w:sz w:val="20"/>
          <w:lang w:val="fr-FR" w:eastAsia="fr-FR"/>
        </w:rPr>
        <w:t>’</w:t>
      </w:r>
      <w:r w:rsidRPr="00BC0135">
        <w:rPr>
          <w:sz w:val="20"/>
          <w:lang w:val="fr-FR" w:eastAsia="fr-FR"/>
        </w:rPr>
        <w:t>asile a droit, selon les termes des articles 16, 17, 19, 33 et 34 de la présente loi :</w:t>
      </w:r>
    </w:p>
    <w:p w:rsidR="00BC0135" w:rsidRPr="00BC0135" w:rsidRDefault="00BC0135" w:rsidP="00BC0135">
      <w:pPr>
        <w:spacing w:before="120" w:after="120"/>
        <w:ind w:left="567" w:firstLine="142"/>
        <w:rPr>
          <w:sz w:val="20"/>
          <w:lang w:val="fr-FR" w:eastAsia="fr-FR"/>
        </w:rPr>
      </w:pPr>
      <w:r w:rsidRPr="00BC0135">
        <w:rPr>
          <w:sz w:val="20"/>
          <w:lang w:val="fr-FR" w:eastAsia="fr-FR"/>
        </w:rPr>
        <w:t>a) à recevoir un document attestant de son statut de demandeur de protection internationale ;</w:t>
      </w:r>
    </w:p>
    <w:p w:rsidR="00BC0135" w:rsidRPr="00BC0135" w:rsidRDefault="00BC0135" w:rsidP="00BC0135">
      <w:pPr>
        <w:spacing w:before="120" w:after="120"/>
        <w:ind w:left="567" w:firstLine="142"/>
        <w:rPr>
          <w:sz w:val="20"/>
          <w:lang w:val="fr-FR" w:eastAsia="fr-FR"/>
        </w:rPr>
      </w:pPr>
      <w:r w:rsidRPr="00BC0135">
        <w:rPr>
          <w:sz w:val="20"/>
          <w:lang w:val="fr-FR" w:eastAsia="fr-FR"/>
        </w:rPr>
        <w:t>b) à l</w:t>
      </w:r>
      <w:r w:rsidR="00A977F5">
        <w:rPr>
          <w:sz w:val="20"/>
          <w:lang w:val="fr-FR" w:eastAsia="fr-FR"/>
        </w:rPr>
        <w:t>’</w:t>
      </w:r>
      <w:r w:rsidRPr="00BC0135">
        <w:rPr>
          <w:sz w:val="20"/>
          <w:lang w:val="fr-FR" w:eastAsia="fr-FR"/>
        </w:rPr>
        <w:t>aide juridictionnelle gratuite et aux services d</w:t>
      </w:r>
      <w:r w:rsidR="00A977F5">
        <w:rPr>
          <w:sz w:val="20"/>
          <w:lang w:val="fr-FR" w:eastAsia="fr-FR"/>
        </w:rPr>
        <w:t>’</w:t>
      </w:r>
      <w:r w:rsidRPr="00BC0135">
        <w:rPr>
          <w:sz w:val="20"/>
          <w:lang w:val="fr-FR" w:eastAsia="fr-FR"/>
        </w:rPr>
        <w:t>un interprète ;</w:t>
      </w:r>
    </w:p>
    <w:p w:rsidR="00BC0135" w:rsidRPr="00BC0135" w:rsidRDefault="00BC0135" w:rsidP="00BC0135">
      <w:pPr>
        <w:spacing w:before="120" w:after="120"/>
        <w:ind w:left="567" w:firstLine="142"/>
        <w:rPr>
          <w:sz w:val="20"/>
          <w:lang w:val="fr-FR" w:eastAsia="fr-FR"/>
        </w:rPr>
      </w:pPr>
      <w:r w:rsidRPr="00BC0135">
        <w:rPr>
          <w:sz w:val="20"/>
          <w:lang w:val="fr-FR" w:eastAsia="fr-FR"/>
        </w:rPr>
        <w:t>c) à ce que sa demande soit communiquée au HCR ;</w:t>
      </w:r>
    </w:p>
    <w:p w:rsidR="00BC0135" w:rsidRPr="00BC0135" w:rsidRDefault="00BC0135" w:rsidP="00BC0135">
      <w:pPr>
        <w:spacing w:before="120" w:after="120"/>
        <w:ind w:left="567" w:firstLine="142"/>
        <w:rPr>
          <w:sz w:val="20"/>
          <w:lang w:val="fr-FR" w:eastAsia="fr-FR"/>
        </w:rPr>
      </w:pPr>
      <w:r w:rsidRPr="00BC0135">
        <w:rPr>
          <w:sz w:val="20"/>
          <w:lang w:val="fr-FR" w:eastAsia="fr-FR"/>
        </w:rPr>
        <w:t>d) à ce que toute procédure d</w:t>
      </w:r>
      <w:r w:rsidR="00A977F5">
        <w:rPr>
          <w:sz w:val="20"/>
          <w:lang w:val="fr-FR" w:eastAsia="fr-FR"/>
        </w:rPr>
        <w:t>’</w:t>
      </w:r>
      <w:r w:rsidRPr="00BC0135">
        <w:rPr>
          <w:sz w:val="20"/>
          <w:lang w:val="fr-FR" w:eastAsia="fr-FR"/>
        </w:rPr>
        <w:t>éloignement, d</w:t>
      </w:r>
      <w:r w:rsidR="00A977F5">
        <w:rPr>
          <w:sz w:val="20"/>
          <w:lang w:val="fr-FR" w:eastAsia="fr-FR"/>
        </w:rPr>
        <w:t>’</w:t>
      </w:r>
      <w:r w:rsidRPr="00BC0135">
        <w:rPr>
          <w:sz w:val="20"/>
          <w:lang w:val="fr-FR" w:eastAsia="fr-FR"/>
        </w:rPr>
        <w:t>expulsion ou d</w:t>
      </w:r>
      <w:r w:rsidR="00A977F5">
        <w:rPr>
          <w:sz w:val="20"/>
          <w:lang w:val="fr-FR" w:eastAsia="fr-FR"/>
        </w:rPr>
        <w:t>’</w:t>
      </w:r>
      <w:r w:rsidRPr="00BC0135">
        <w:rPr>
          <w:sz w:val="20"/>
          <w:lang w:val="fr-FR" w:eastAsia="fr-FR"/>
        </w:rPr>
        <w:t>extradition qui pourrait affecter le demandeur soit suspendue ;</w:t>
      </w:r>
    </w:p>
    <w:p w:rsidR="00BC0135" w:rsidRPr="00BC0135" w:rsidRDefault="00BC0135" w:rsidP="00BC0135">
      <w:pPr>
        <w:spacing w:before="120" w:after="120"/>
        <w:ind w:left="567" w:firstLine="142"/>
        <w:rPr>
          <w:sz w:val="20"/>
          <w:lang w:val="fr-FR" w:eastAsia="fr-FR"/>
        </w:rPr>
      </w:pPr>
      <w:r w:rsidRPr="00BC0135">
        <w:rPr>
          <w:sz w:val="20"/>
          <w:lang w:val="fr-FR" w:eastAsia="fr-FR"/>
        </w:rPr>
        <w:t>e) à prendre connaissance du contenu du dossier à tout moment ;</w:t>
      </w:r>
    </w:p>
    <w:p w:rsidR="00BC0135" w:rsidRPr="00BC0135" w:rsidRDefault="00BC0135" w:rsidP="00BC0135">
      <w:pPr>
        <w:spacing w:before="120" w:after="120"/>
        <w:ind w:left="567" w:firstLine="142"/>
        <w:rPr>
          <w:sz w:val="20"/>
          <w:lang w:val="fr-FR" w:eastAsia="fr-FR"/>
        </w:rPr>
      </w:pPr>
      <w:r w:rsidRPr="00BC0135">
        <w:rPr>
          <w:sz w:val="20"/>
          <w:lang w:val="fr-FR" w:eastAsia="fr-FR"/>
        </w:rPr>
        <w:t>f) aux soins de santé dans les conditions applicables ;</w:t>
      </w:r>
    </w:p>
    <w:p w:rsidR="00BC0135" w:rsidRPr="00BC0135" w:rsidRDefault="00BC0135" w:rsidP="00BC0135">
      <w:pPr>
        <w:spacing w:before="120" w:after="120"/>
        <w:ind w:left="567" w:firstLine="142"/>
        <w:rPr>
          <w:sz w:val="20"/>
          <w:lang w:val="fr-FR" w:eastAsia="fr-FR"/>
        </w:rPr>
      </w:pPr>
      <w:r w:rsidRPr="00BC0135">
        <w:rPr>
          <w:sz w:val="20"/>
          <w:lang w:val="fr-FR" w:eastAsia="fr-FR"/>
        </w:rPr>
        <w:t>g) à percevoir les prestations sociales spéciales selon les termes de la présente loi.</w:t>
      </w:r>
    </w:p>
    <w:p w:rsidR="00BC0135" w:rsidRPr="00BC0135" w:rsidRDefault="00BC0135" w:rsidP="00BC0135">
      <w:pPr>
        <w:keepNext/>
        <w:keepLines/>
        <w:spacing w:before="240" w:after="120"/>
        <w:jc w:val="center"/>
        <w:outlineLvl w:val="3"/>
        <w:rPr>
          <w:rFonts w:asciiTheme="majorHAnsi" w:hAnsiTheme="majorHAnsi"/>
          <w:b/>
          <w:sz w:val="20"/>
          <w:lang w:val="fr-FR" w:eastAsia="fr-FR" w:bidi="en-US"/>
        </w:rPr>
      </w:pPr>
      <w:r w:rsidRPr="00BC0135">
        <w:rPr>
          <w:rFonts w:asciiTheme="majorHAnsi" w:hAnsiTheme="majorHAnsi"/>
          <w:b/>
          <w:sz w:val="20"/>
          <w:lang w:val="fr-FR" w:eastAsia="fr-FR" w:bidi="en-US"/>
        </w:rPr>
        <w:t>Article 21. Demandes introduites aux postes-frontière.</w:t>
      </w:r>
    </w:p>
    <w:p w:rsidR="00BC0135" w:rsidRPr="00BC0135" w:rsidRDefault="00BC0135" w:rsidP="00BC0135">
      <w:pPr>
        <w:spacing w:before="120" w:after="120"/>
        <w:ind w:left="425" w:firstLine="142"/>
        <w:rPr>
          <w:sz w:val="20"/>
          <w:lang w:val="fr-FR" w:eastAsia="fr-FR"/>
        </w:rPr>
      </w:pPr>
      <w:r w:rsidRPr="00BC0135">
        <w:rPr>
          <w:sz w:val="20"/>
          <w:lang w:val="fr-FR" w:eastAsia="fr-FR"/>
        </w:rPr>
        <w:t>« 1. Lorsqu</w:t>
      </w:r>
      <w:r w:rsidR="00A977F5">
        <w:rPr>
          <w:sz w:val="20"/>
          <w:lang w:val="fr-FR" w:eastAsia="fr-FR"/>
        </w:rPr>
        <w:t>’</w:t>
      </w:r>
      <w:r w:rsidRPr="00BC0135">
        <w:rPr>
          <w:sz w:val="20"/>
          <w:lang w:val="fr-FR" w:eastAsia="fr-FR"/>
        </w:rPr>
        <w:t>un étranger ne réunissant pas les conditions lui permettant d</w:t>
      </w:r>
      <w:r w:rsidR="00A977F5">
        <w:rPr>
          <w:sz w:val="20"/>
          <w:lang w:val="fr-FR" w:eastAsia="fr-FR"/>
        </w:rPr>
        <w:t>’</w:t>
      </w:r>
      <w:r w:rsidRPr="00BC0135">
        <w:rPr>
          <w:sz w:val="20"/>
          <w:lang w:val="fr-FR" w:eastAsia="fr-FR"/>
        </w:rPr>
        <w:t>entrer sur le territoire espagnol présente une demande de protection internationale à un poste-frontière, le ministre de l</w:t>
      </w:r>
      <w:r w:rsidR="00A977F5">
        <w:rPr>
          <w:sz w:val="20"/>
          <w:lang w:val="fr-FR" w:eastAsia="fr-FR"/>
        </w:rPr>
        <w:t>’</w:t>
      </w:r>
      <w:r w:rsidRPr="00BC0135">
        <w:rPr>
          <w:sz w:val="20"/>
          <w:lang w:val="fr-FR" w:eastAsia="fr-FR"/>
        </w:rPr>
        <w:t>Intérieur peut déclarer la demande irrecevable, par la voie d</w:t>
      </w:r>
      <w:r w:rsidR="00A977F5">
        <w:rPr>
          <w:sz w:val="20"/>
          <w:lang w:val="fr-FR" w:eastAsia="fr-FR"/>
        </w:rPr>
        <w:t>’</w:t>
      </w:r>
      <w:r w:rsidRPr="00BC0135">
        <w:rPr>
          <w:sz w:val="20"/>
          <w:lang w:val="fr-FR" w:eastAsia="fr-FR"/>
        </w:rPr>
        <w:t>une décision motivée, dans les cas visés à l</w:t>
      </w:r>
      <w:r w:rsidR="00A977F5">
        <w:rPr>
          <w:sz w:val="20"/>
          <w:lang w:val="fr-FR" w:eastAsia="fr-FR"/>
        </w:rPr>
        <w:t>’</w:t>
      </w:r>
      <w:r w:rsidRPr="00BC0135">
        <w:rPr>
          <w:sz w:val="20"/>
          <w:lang w:val="fr-FR" w:eastAsia="fr-FR"/>
        </w:rPr>
        <w:t>article 20 § 1. Dans tous les cas, la décision doit être notifiée à l</w:t>
      </w:r>
      <w:r w:rsidR="00A977F5">
        <w:rPr>
          <w:sz w:val="20"/>
          <w:lang w:val="fr-FR" w:eastAsia="fr-FR"/>
        </w:rPr>
        <w:t>’</w:t>
      </w:r>
      <w:r w:rsidRPr="00BC0135">
        <w:rPr>
          <w:sz w:val="20"/>
          <w:lang w:val="fr-FR" w:eastAsia="fr-FR"/>
        </w:rPr>
        <w:t>intéressé dans un délai maximal de quatre jours à compter de la présentation de la demande.</w:t>
      </w:r>
    </w:p>
    <w:p w:rsidR="00BC0135" w:rsidRPr="00BC0135" w:rsidRDefault="00BC0135" w:rsidP="00BC0135">
      <w:pPr>
        <w:spacing w:before="120" w:after="120"/>
        <w:ind w:left="425" w:firstLine="142"/>
        <w:rPr>
          <w:sz w:val="20"/>
          <w:lang w:val="fr-FR" w:eastAsia="fr-FR"/>
        </w:rPr>
      </w:pPr>
      <w:r w:rsidRPr="00BC0135">
        <w:rPr>
          <w:sz w:val="20"/>
          <w:lang w:val="fr-FR" w:eastAsia="fr-FR"/>
        </w:rPr>
        <w:t>2. De même, le ministre de l</w:t>
      </w:r>
      <w:r w:rsidR="00A977F5">
        <w:rPr>
          <w:sz w:val="20"/>
          <w:lang w:val="fr-FR" w:eastAsia="fr-FR"/>
        </w:rPr>
        <w:t>’</w:t>
      </w:r>
      <w:r w:rsidRPr="00BC0135">
        <w:rPr>
          <w:sz w:val="20"/>
          <w:lang w:val="fr-FR" w:eastAsia="fr-FR"/>
        </w:rPr>
        <w:t>Intérieur peut rejeter la demande par la voie d</w:t>
      </w:r>
      <w:r w:rsidR="00A977F5">
        <w:rPr>
          <w:sz w:val="20"/>
          <w:lang w:val="fr-FR" w:eastAsia="fr-FR"/>
        </w:rPr>
        <w:t>’</w:t>
      </w:r>
      <w:r w:rsidRPr="00BC0135">
        <w:rPr>
          <w:sz w:val="20"/>
          <w:lang w:val="fr-FR" w:eastAsia="fr-FR"/>
        </w:rPr>
        <w:t>une décision motivée, qui sera notifiée à l</w:t>
      </w:r>
      <w:r w:rsidR="00A977F5">
        <w:rPr>
          <w:sz w:val="20"/>
          <w:lang w:val="fr-FR" w:eastAsia="fr-FR"/>
        </w:rPr>
        <w:t>’</w:t>
      </w:r>
      <w:r w:rsidRPr="00BC0135">
        <w:rPr>
          <w:sz w:val="20"/>
          <w:lang w:val="fr-FR" w:eastAsia="fr-FR"/>
        </w:rPr>
        <w:t>intéressé dans un délai maximal de quatre jours à compter de la présentation de ladite demande, dans les cas visés ci-après :</w:t>
      </w:r>
    </w:p>
    <w:p w:rsidR="00BC0135" w:rsidRPr="00BC0135" w:rsidRDefault="00BC0135" w:rsidP="00BC0135">
      <w:pPr>
        <w:spacing w:before="120" w:after="120"/>
        <w:ind w:left="706" w:firstLine="142"/>
        <w:rPr>
          <w:sz w:val="20"/>
          <w:lang w:val="fr-FR" w:eastAsia="fr-FR"/>
        </w:rPr>
      </w:pPr>
      <w:r w:rsidRPr="00BC0135">
        <w:rPr>
          <w:sz w:val="20"/>
          <w:lang w:val="fr-FR" w:eastAsia="fr-FR"/>
        </w:rPr>
        <w:t>a) dans les cas visés à l</w:t>
      </w:r>
      <w:r w:rsidR="00A977F5">
        <w:rPr>
          <w:sz w:val="20"/>
          <w:lang w:val="fr-FR" w:eastAsia="fr-FR"/>
        </w:rPr>
        <w:t>’</w:t>
      </w:r>
      <w:r w:rsidRPr="00BC0135">
        <w:rPr>
          <w:sz w:val="20"/>
          <w:lang w:val="fr-FR" w:eastAsia="fr-FR"/>
        </w:rPr>
        <w:t>article 25 § 1 c), d) et f) ;</w:t>
      </w:r>
    </w:p>
    <w:p w:rsidR="00BC0135" w:rsidRPr="00BC0135" w:rsidRDefault="00BC0135" w:rsidP="00BC0135">
      <w:pPr>
        <w:spacing w:before="120" w:after="120"/>
        <w:ind w:left="706" w:firstLine="142"/>
        <w:rPr>
          <w:sz w:val="20"/>
          <w:lang w:val="fr-FR" w:eastAsia="fr-FR"/>
        </w:rPr>
      </w:pPr>
      <w:r w:rsidRPr="00BC0135">
        <w:rPr>
          <w:sz w:val="20"/>
          <w:lang w:val="fr-FR" w:eastAsia="fr-FR"/>
        </w:rPr>
        <w:lastRenderedPageBreak/>
        <w:t>b) lorsque le demandeur présente des arguments incohérents, contradictoires, invraisemblables, insuffisants ou contredisant les informations suffisamment vérifiées sur son pays d</w:t>
      </w:r>
      <w:r w:rsidR="00A977F5">
        <w:rPr>
          <w:sz w:val="20"/>
          <w:lang w:val="fr-FR" w:eastAsia="fr-FR"/>
        </w:rPr>
        <w:t>’</w:t>
      </w:r>
      <w:r w:rsidRPr="00BC0135">
        <w:rPr>
          <w:sz w:val="20"/>
          <w:lang w:val="fr-FR" w:eastAsia="fr-FR"/>
        </w:rPr>
        <w:t>origine, ou de résidence habituelle dans le cas d</w:t>
      </w:r>
      <w:r w:rsidR="00A977F5">
        <w:rPr>
          <w:sz w:val="20"/>
          <w:lang w:val="fr-FR" w:eastAsia="fr-FR"/>
        </w:rPr>
        <w:t>’</w:t>
      </w:r>
      <w:r w:rsidRPr="00BC0135">
        <w:rPr>
          <w:sz w:val="20"/>
          <w:lang w:val="fr-FR" w:eastAsia="fr-FR"/>
        </w:rPr>
        <w:t>un apatride, de telle manière que lesdits arguments mettent en évidence que la demande est infondée quant à l</w:t>
      </w:r>
      <w:r w:rsidR="00A977F5">
        <w:rPr>
          <w:sz w:val="20"/>
          <w:lang w:val="fr-FR" w:eastAsia="fr-FR"/>
        </w:rPr>
        <w:t>’</w:t>
      </w:r>
      <w:r w:rsidRPr="00BC0135">
        <w:rPr>
          <w:sz w:val="20"/>
          <w:lang w:val="fr-FR" w:eastAsia="fr-FR"/>
        </w:rPr>
        <w:t>existence d</w:t>
      </w:r>
      <w:r w:rsidR="00A977F5">
        <w:rPr>
          <w:sz w:val="20"/>
          <w:lang w:val="fr-FR" w:eastAsia="fr-FR"/>
        </w:rPr>
        <w:t>’</w:t>
      </w:r>
      <w:r w:rsidRPr="00BC0135">
        <w:rPr>
          <w:sz w:val="20"/>
          <w:lang w:val="fr-FR" w:eastAsia="fr-FR"/>
        </w:rPr>
        <w:t>une crainte fondée d</w:t>
      </w:r>
      <w:r w:rsidR="00A977F5">
        <w:rPr>
          <w:sz w:val="20"/>
          <w:lang w:val="fr-FR" w:eastAsia="fr-FR"/>
        </w:rPr>
        <w:t>’</w:t>
      </w:r>
      <w:r w:rsidRPr="00BC0135">
        <w:rPr>
          <w:sz w:val="20"/>
          <w:lang w:val="fr-FR" w:eastAsia="fr-FR"/>
        </w:rPr>
        <w:t>être poursuivi ou de souffrir un dommage grave.</w:t>
      </w:r>
    </w:p>
    <w:p w:rsidR="00BC0135" w:rsidRPr="00BC0135" w:rsidRDefault="00BC0135" w:rsidP="00BC0135">
      <w:pPr>
        <w:spacing w:before="120" w:after="120"/>
        <w:ind w:left="425" w:firstLine="142"/>
        <w:rPr>
          <w:sz w:val="20"/>
          <w:lang w:val="fr-FR" w:eastAsia="fr-FR"/>
        </w:rPr>
      </w:pPr>
      <w:r w:rsidRPr="00BC0135">
        <w:rPr>
          <w:sz w:val="20"/>
          <w:lang w:val="fr-FR" w:eastAsia="fr-FR"/>
        </w:rPr>
        <w:t>3. Le délai prévu au précédent paragraphe peut être prolongé jusqu</w:t>
      </w:r>
      <w:r w:rsidR="00A977F5">
        <w:rPr>
          <w:sz w:val="20"/>
          <w:lang w:val="fr-FR" w:eastAsia="fr-FR"/>
        </w:rPr>
        <w:t>’</w:t>
      </w:r>
      <w:r w:rsidRPr="00BC0135">
        <w:rPr>
          <w:sz w:val="20"/>
          <w:lang w:val="fr-FR" w:eastAsia="fr-FR"/>
        </w:rPr>
        <w:t>à dix jours maximum par une décision du ministre de l</w:t>
      </w:r>
      <w:r w:rsidR="00A977F5">
        <w:rPr>
          <w:sz w:val="20"/>
          <w:lang w:val="fr-FR" w:eastAsia="fr-FR"/>
        </w:rPr>
        <w:t>’</w:t>
      </w:r>
      <w:r w:rsidRPr="00BC0135">
        <w:rPr>
          <w:sz w:val="20"/>
          <w:lang w:val="fr-FR" w:eastAsia="fr-FR"/>
        </w:rPr>
        <w:t>Intérieur, sur demande motivée du HCR, si l</w:t>
      </w:r>
      <w:r w:rsidR="00A977F5">
        <w:rPr>
          <w:sz w:val="20"/>
          <w:lang w:val="fr-FR" w:eastAsia="fr-FR"/>
        </w:rPr>
        <w:t>’</w:t>
      </w:r>
      <w:r w:rsidRPr="00BC0135">
        <w:rPr>
          <w:sz w:val="20"/>
          <w:lang w:val="fr-FR" w:eastAsia="fr-FR"/>
        </w:rPr>
        <w:t>une des conditions prévues à l</w:t>
      </w:r>
      <w:r w:rsidR="00A977F5">
        <w:rPr>
          <w:sz w:val="20"/>
          <w:lang w:val="fr-FR" w:eastAsia="fr-FR"/>
        </w:rPr>
        <w:t>’</w:t>
      </w:r>
      <w:r w:rsidRPr="00BC0135">
        <w:rPr>
          <w:sz w:val="20"/>
          <w:lang w:val="fr-FR" w:eastAsia="fr-FR"/>
        </w:rPr>
        <w:t>article 25 § 1 f) est remplie.</w:t>
      </w:r>
    </w:p>
    <w:p w:rsidR="00BC0135" w:rsidRPr="00BC0135" w:rsidRDefault="00BC0135" w:rsidP="00BC0135">
      <w:pPr>
        <w:spacing w:before="120" w:after="120"/>
        <w:ind w:left="425" w:firstLine="142"/>
        <w:rPr>
          <w:sz w:val="20"/>
          <w:lang w:val="fr-FR" w:eastAsia="fr-FR"/>
        </w:rPr>
      </w:pPr>
      <w:r w:rsidRPr="00BC0135">
        <w:rPr>
          <w:sz w:val="20"/>
          <w:lang w:val="fr-FR" w:eastAsia="fr-FR"/>
        </w:rPr>
        <w:t>4. Lorsqu</w:t>
      </w:r>
      <w:r w:rsidR="00A977F5">
        <w:rPr>
          <w:sz w:val="20"/>
          <w:lang w:val="fr-FR" w:eastAsia="fr-FR"/>
        </w:rPr>
        <w:t>’</w:t>
      </w:r>
      <w:r w:rsidRPr="00BC0135">
        <w:rPr>
          <w:sz w:val="20"/>
          <w:lang w:val="fr-FR" w:eastAsia="fr-FR"/>
        </w:rPr>
        <w:t>une décision d</w:t>
      </w:r>
      <w:r w:rsidR="00A977F5">
        <w:rPr>
          <w:sz w:val="20"/>
          <w:lang w:val="fr-FR" w:eastAsia="fr-FR"/>
        </w:rPr>
        <w:t>’</w:t>
      </w:r>
      <w:r w:rsidRPr="00BC0135">
        <w:rPr>
          <w:sz w:val="20"/>
          <w:lang w:val="fr-FR" w:eastAsia="fr-FR"/>
        </w:rPr>
        <w:t>irrecevabilité ou de rejet de la demande est rendue, le demandeur dispose d</w:t>
      </w:r>
      <w:r w:rsidR="00A977F5">
        <w:rPr>
          <w:sz w:val="20"/>
          <w:lang w:val="fr-FR" w:eastAsia="fr-FR"/>
        </w:rPr>
        <w:t>’</w:t>
      </w:r>
      <w:r w:rsidRPr="00BC0135">
        <w:rPr>
          <w:sz w:val="20"/>
          <w:lang w:val="fr-FR" w:eastAsia="fr-FR"/>
        </w:rPr>
        <w:t>un délai de deux jours à compter de la notification [de cette décision] pour présenter une demande de réexamen, qui est [alors] suspensive des effets de la décision. La décision relative à cette demande incombe au ministre de l</w:t>
      </w:r>
      <w:r w:rsidR="00A977F5">
        <w:rPr>
          <w:sz w:val="20"/>
          <w:lang w:val="fr-FR" w:eastAsia="fr-FR"/>
        </w:rPr>
        <w:t>’</w:t>
      </w:r>
      <w:r w:rsidRPr="00BC0135">
        <w:rPr>
          <w:sz w:val="20"/>
          <w:lang w:val="fr-FR" w:eastAsia="fr-FR"/>
        </w:rPr>
        <w:t>Intérieur et doit être notifiée à l</w:t>
      </w:r>
      <w:r w:rsidR="00A977F5">
        <w:rPr>
          <w:sz w:val="20"/>
          <w:lang w:val="fr-FR" w:eastAsia="fr-FR"/>
        </w:rPr>
        <w:t>’</w:t>
      </w:r>
      <w:r w:rsidRPr="00BC0135">
        <w:rPr>
          <w:sz w:val="20"/>
          <w:lang w:val="fr-FR" w:eastAsia="fr-FR"/>
        </w:rPr>
        <w:t>intéressé dans un délai de deux jours à compter de la présentation de la demande.</w:t>
      </w:r>
    </w:p>
    <w:p w:rsidR="00BC0135" w:rsidRPr="00BC0135" w:rsidRDefault="00BC0135" w:rsidP="00BC0135">
      <w:pPr>
        <w:spacing w:before="120" w:after="120"/>
        <w:ind w:left="425" w:firstLine="142"/>
        <w:rPr>
          <w:sz w:val="20"/>
          <w:lang w:val="fr-FR" w:eastAsia="fr-FR"/>
        </w:rPr>
      </w:pPr>
      <w:r w:rsidRPr="00BC0135">
        <w:rPr>
          <w:sz w:val="20"/>
          <w:lang w:val="fr-FR" w:eastAsia="fr-FR"/>
        </w:rPr>
        <w:t>5. À l</w:t>
      </w:r>
      <w:r w:rsidR="00A977F5">
        <w:rPr>
          <w:sz w:val="20"/>
          <w:lang w:val="fr-FR" w:eastAsia="fr-FR"/>
        </w:rPr>
        <w:t>’</w:t>
      </w:r>
      <w:r w:rsidRPr="00BC0135">
        <w:rPr>
          <w:sz w:val="20"/>
          <w:lang w:val="fr-FR" w:eastAsia="fr-FR"/>
        </w:rPr>
        <w:t>expiration du délai imparti pour décider de l</w:t>
      </w:r>
      <w:r w:rsidR="00A977F5">
        <w:rPr>
          <w:sz w:val="20"/>
          <w:lang w:val="fr-FR" w:eastAsia="fr-FR"/>
        </w:rPr>
        <w:t>’</w:t>
      </w:r>
      <w:r w:rsidRPr="00BC0135">
        <w:rPr>
          <w:sz w:val="20"/>
          <w:lang w:val="fr-FR" w:eastAsia="fr-FR"/>
        </w:rPr>
        <w:t>irrecevabilité ou du rejet d</w:t>
      </w:r>
      <w:r w:rsidR="00A977F5">
        <w:rPr>
          <w:sz w:val="20"/>
          <w:lang w:val="fr-FR" w:eastAsia="fr-FR"/>
        </w:rPr>
        <w:t>’</w:t>
      </w:r>
      <w:r w:rsidRPr="00BC0135">
        <w:rPr>
          <w:sz w:val="20"/>
          <w:lang w:val="fr-FR" w:eastAsia="fr-FR"/>
        </w:rPr>
        <w:t>une demande présentée aux frontières, ou d</w:t>
      </w:r>
      <w:r w:rsidR="00A977F5">
        <w:rPr>
          <w:sz w:val="20"/>
          <w:lang w:val="fr-FR" w:eastAsia="fr-FR"/>
        </w:rPr>
        <w:t>’</w:t>
      </w:r>
      <w:r w:rsidRPr="00BC0135">
        <w:rPr>
          <w:sz w:val="20"/>
          <w:lang w:val="fr-FR" w:eastAsia="fr-FR"/>
        </w:rPr>
        <w:t>une demande de réexamen, ou pour statuer sur un recours en</w:t>
      </w:r>
      <w:r w:rsidRPr="00BC0135">
        <w:rPr>
          <w:i/>
          <w:sz w:val="20"/>
          <w:lang w:val="fr-FR" w:eastAsia="fr-FR"/>
        </w:rPr>
        <w:t xml:space="preserve"> reposición</w:t>
      </w:r>
      <w:r w:rsidRPr="00BC0135">
        <w:rPr>
          <w:sz w:val="20"/>
          <w:lang w:val="fr-FR" w:eastAsia="fr-FR"/>
        </w:rPr>
        <w:t xml:space="preserve"> e</w:t>
      </w:r>
      <w:r w:rsidRPr="00BC0135">
        <w:rPr>
          <w:i/>
          <w:sz w:val="20"/>
          <w:lang w:val="fr-FR" w:eastAsia="fr-FR"/>
        </w:rPr>
        <w:t>n cas d</w:t>
      </w:r>
      <w:r w:rsidR="00A977F5">
        <w:rPr>
          <w:i/>
          <w:sz w:val="20"/>
          <w:lang w:val="fr-FR" w:eastAsia="fr-FR"/>
        </w:rPr>
        <w:t>’</w:t>
      </w:r>
      <w:r w:rsidRPr="00BC0135">
        <w:rPr>
          <w:i/>
          <w:sz w:val="20"/>
          <w:lang w:val="fr-FR" w:eastAsia="fr-FR"/>
        </w:rPr>
        <w:t>absence de notification expresse de la décision</w:t>
      </w:r>
      <w:r w:rsidRPr="00BC0135">
        <w:rPr>
          <w:sz w:val="20"/>
          <w:lang w:val="fr-FR" w:eastAsia="fr-FR"/>
        </w:rPr>
        <w:t>, la [demande d</w:t>
      </w:r>
      <w:r w:rsidR="00A977F5">
        <w:rPr>
          <w:sz w:val="20"/>
          <w:lang w:val="fr-FR" w:eastAsia="fr-FR"/>
        </w:rPr>
        <w:t>’</w:t>
      </w:r>
      <w:r w:rsidRPr="00BC0135">
        <w:rPr>
          <w:sz w:val="20"/>
          <w:lang w:val="fr-FR" w:eastAsia="fr-FR"/>
        </w:rPr>
        <w:t>asile] suit la procédure ordinaire [applicable en dehors des postes-frontière] et implique la concession de l</w:t>
      </w:r>
      <w:r w:rsidR="00A977F5">
        <w:rPr>
          <w:sz w:val="20"/>
          <w:lang w:val="fr-FR" w:eastAsia="fr-FR"/>
        </w:rPr>
        <w:t>’</w:t>
      </w:r>
      <w:r w:rsidRPr="00BC0135">
        <w:rPr>
          <w:sz w:val="20"/>
          <w:lang w:val="fr-FR" w:eastAsia="fr-FR"/>
        </w:rPr>
        <w:t>autorisation d</w:t>
      </w:r>
      <w:r w:rsidR="00A977F5">
        <w:rPr>
          <w:sz w:val="20"/>
          <w:lang w:val="fr-FR" w:eastAsia="fr-FR"/>
        </w:rPr>
        <w:t>’</w:t>
      </w:r>
      <w:r w:rsidRPr="00BC0135">
        <w:rPr>
          <w:sz w:val="20"/>
          <w:lang w:val="fr-FR" w:eastAsia="fr-FR"/>
        </w:rPr>
        <w:t>entrée et de séjour provisoire</w:t>
      </w:r>
      <w:r>
        <w:rPr>
          <w:sz w:val="20"/>
          <w:lang w:val="fr-FR" w:eastAsia="fr-FR"/>
        </w:rPr>
        <w:t xml:space="preserve"> </w:t>
      </w:r>
      <w:r w:rsidRPr="00BC0135">
        <w:rPr>
          <w:sz w:val="20"/>
          <w:lang w:val="fr-FR" w:eastAsia="fr-FR"/>
        </w:rPr>
        <w:t>au demandeur, sans préjudice de la décision définitive qui sera rendue dans chaque cas. »</w:t>
      </w:r>
    </w:p>
    <w:p w:rsidR="00BC0135" w:rsidRPr="00BC0135" w:rsidRDefault="00BC0135" w:rsidP="00BC0135">
      <w:pPr>
        <w:keepNext/>
        <w:keepLines/>
        <w:spacing w:before="240" w:after="120"/>
        <w:jc w:val="center"/>
        <w:outlineLvl w:val="3"/>
        <w:rPr>
          <w:rFonts w:asciiTheme="majorHAnsi" w:hAnsiTheme="majorHAnsi"/>
          <w:b/>
          <w:sz w:val="20"/>
          <w:lang w:val="fr-FR" w:eastAsia="fr-FR" w:bidi="en-US"/>
        </w:rPr>
      </w:pPr>
      <w:r w:rsidRPr="00BC0135">
        <w:rPr>
          <w:rFonts w:asciiTheme="majorHAnsi" w:hAnsiTheme="majorHAnsi"/>
          <w:b/>
          <w:sz w:val="20"/>
          <w:lang w:val="fr-FR" w:eastAsia="fr-FR" w:bidi="en-US"/>
        </w:rPr>
        <w:t>Article 22. Séjour du demandeur d</w:t>
      </w:r>
      <w:r w:rsidR="00A977F5">
        <w:rPr>
          <w:rFonts w:asciiTheme="majorHAnsi" w:hAnsiTheme="majorHAnsi"/>
          <w:b/>
          <w:sz w:val="20"/>
          <w:lang w:val="fr-FR" w:eastAsia="fr-FR" w:bidi="en-US"/>
        </w:rPr>
        <w:t>’</w:t>
      </w:r>
      <w:r w:rsidRPr="00BC0135">
        <w:rPr>
          <w:rFonts w:asciiTheme="majorHAnsi" w:hAnsiTheme="majorHAnsi"/>
          <w:b/>
          <w:sz w:val="20"/>
          <w:lang w:val="fr-FR" w:eastAsia="fr-FR" w:bidi="en-US"/>
        </w:rPr>
        <w:t xml:space="preserve">asile </w:t>
      </w:r>
      <w:r w:rsidRPr="00BC0135">
        <w:rPr>
          <w:rFonts w:asciiTheme="majorHAnsi" w:hAnsiTheme="majorHAnsi"/>
          <w:b/>
          <w:sz w:val="20"/>
          <w:lang w:val="fr-FR" w:eastAsia="fr-FR" w:bidi="en-US"/>
        </w:rPr>
        <w:br/>
        <w:t>pendant la durée du traitement de sa demande.</w:t>
      </w:r>
    </w:p>
    <w:p w:rsidR="00BC0135" w:rsidRPr="00BC0135" w:rsidRDefault="00BC0135" w:rsidP="00BC0135">
      <w:pPr>
        <w:spacing w:before="120" w:after="120"/>
        <w:ind w:left="425" w:firstLine="142"/>
        <w:rPr>
          <w:sz w:val="20"/>
          <w:lang w:val="fr-FR" w:eastAsia="fr-FR"/>
        </w:rPr>
      </w:pPr>
      <w:r w:rsidRPr="00BC0135">
        <w:rPr>
          <w:sz w:val="20"/>
          <w:lang w:val="fr-FR" w:eastAsia="fr-FR"/>
        </w:rPr>
        <w:t xml:space="preserve">« Dans tous les cas, pendant la durée du traitement de la demande de réexamen et du recours en </w:t>
      </w:r>
      <w:r w:rsidRPr="00BC0135">
        <w:rPr>
          <w:i/>
          <w:sz w:val="20"/>
          <w:lang w:val="fr-FR" w:eastAsia="fr-FR"/>
        </w:rPr>
        <w:t xml:space="preserve">reposición </w:t>
      </w:r>
      <w:r w:rsidRPr="00BC0135">
        <w:rPr>
          <w:sz w:val="20"/>
          <w:lang w:val="fr-FR" w:eastAsia="fr-FR"/>
        </w:rPr>
        <w:t>prévus à l</w:t>
      </w:r>
      <w:r w:rsidR="00A977F5">
        <w:rPr>
          <w:sz w:val="20"/>
          <w:lang w:val="fr-FR" w:eastAsia="fr-FR"/>
        </w:rPr>
        <w:t>’</w:t>
      </w:r>
      <w:r w:rsidRPr="00BC0135">
        <w:rPr>
          <w:sz w:val="20"/>
          <w:lang w:val="fr-FR" w:eastAsia="fr-FR"/>
        </w:rPr>
        <w:t>article 21§§ 4 et 5 de la présente loi, ainsi que dans les cas où une demande d</w:t>
      </w:r>
      <w:r w:rsidR="00A977F5">
        <w:rPr>
          <w:sz w:val="20"/>
          <w:lang w:val="fr-FR" w:eastAsia="fr-FR"/>
        </w:rPr>
        <w:t>’</w:t>
      </w:r>
      <w:r w:rsidRPr="00BC0135">
        <w:rPr>
          <w:sz w:val="20"/>
          <w:lang w:val="fr-FR" w:eastAsia="fr-FR"/>
        </w:rPr>
        <w:t>adoption des mesures visées à l</w:t>
      </w:r>
      <w:r w:rsidR="00A977F5">
        <w:rPr>
          <w:sz w:val="20"/>
          <w:lang w:val="fr-FR" w:eastAsia="fr-FR"/>
        </w:rPr>
        <w:t>’</w:t>
      </w:r>
      <w:r w:rsidRPr="00BC0135">
        <w:rPr>
          <w:sz w:val="20"/>
          <w:lang w:val="fr-FR" w:eastAsia="fr-FR"/>
        </w:rPr>
        <w:t>article 29 § 2 est introduite, le demandeur d</w:t>
      </w:r>
      <w:r w:rsidR="00A977F5">
        <w:rPr>
          <w:sz w:val="20"/>
          <w:lang w:val="fr-FR" w:eastAsia="fr-FR"/>
        </w:rPr>
        <w:t>’</w:t>
      </w:r>
      <w:r w:rsidRPr="00BC0135">
        <w:rPr>
          <w:sz w:val="20"/>
          <w:lang w:val="fr-FR" w:eastAsia="fr-FR"/>
        </w:rPr>
        <w:t>asile séjournera dans les locaux habilités à cet effet. »</w:t>
      </w:r>
    </w:p>
    <w:p w:rsidR="00BC0135" w:rsidRPr="00BC0135" w:rsidRDefault="00BC0135" w:rsidP="00BC0135">
      <w:pPr>
        <w:keepNext/>
        <w:keepLines/>
        <w:spacing w:before="240" w:after="120"/>
        <w:jc w:val="center"/>
        <w:outlineLvl w:val="3"/>
        <w:rPr>
          <w:rFonts w:asciiTheme="majorHAnsi" w:hAnsiTheme="majorHAnsi"/>
          <w:b/>
          <w:sz w:val="20"/>
          <w:lang w:val="fr-FR" w:eastAsia="fr-FR" w:bidi="en-US"/>
        </w:rPr>
      </w:pPr>
      <w:r w:rsidRPr="00BC0135">
        <w:rPr>
          <w:rFonts w:asciiTheme="majorHAnsi" w:hAnsiTheme="majorHAnsi"/>
          <w:b/>
          <w:sz w:val="20"/>
          <w:lang w:val="fr-FR" w:eastAsia="fr-FR" w:bidi="en-US"/>
        </w:rPr>
        <w:t>Article 25. Procédure d</w:t>
      </w:r>
      <w:r w:rsidR="00A977F5">
        <w:rPr>
          <w:rFonts w:asciiTheme="majorHAnsi" w:hAnsiTheme="majorHAnsi"/>
          <w:b/>
          <w:sz w:val="20"/>
          <w:lang w:val="fr-FR" w:eastAsia="fr-FR" w:bidi="en-US"/>
        </w:rPr>
        <w:t>’</w:t>
      </w:r>
      <w:r w:rsidRPr="00BC0135">
        <w:rPr>
          <w:rFonts w:asciiTheme="majorHAnsi" w:hAnsiTheme="majorHAnsi"/>
          <w:b/>
          <w:sz w:val="20"/>
          <w:lang w:val="fr-FR" w:eastAsia="fr-FR" w:bidi="en-US"/>
        </w:rPr>
        <w:t>urgence.</w:t>
      </w:r>
    </w:p>
    <w:p w:rsidR="00BC0135" w:rsidRPr="00BC0135" w:rsidRDefault="00BC0135" w:rsidP="00BC0135">
      <w:pPr>
        <w:spacing w:before="120" w:after="120"/>
        <w:ind w:left="425" w:firstLine="142"/>
        <w:rPr>
          <w:sz w:val="20"/>
          <w:lang w:val="fr-FR" w:eastAsia="fr-FR"/>
        </w:rPr>
      </w:pPr>
      <w:r w:rsidRPr="00BC0135">
        <w:rPr>
          <w:sz w:val="20"/>
          <w:lang w:val="fr-FR" w:eastAsia="fr-FR"/>
        </w:rPr>
        <w:t>« (...)</w:t>
      </w:r>
    </w:p>
    <w:p w:rsidR="00BC0135" w:rsidRPr="00BC0135" w:rsidRDefault="00BC0135" w:rsidP="00BC0135">
      <w:pPr>
        <w:spacing w:before="120" w:after="120"/>
        <w:ind w:left="425" w:firstLine="142"/>
        <w:rPr>
          <w:sz w:val="20"/>
          <w:lang w:val="fr-FR" w:eastAsia="fr-FR"/>
        </w:rPr>
      </w:pPr>
      <w:r w:rsidRPr="00BC0135">
        <w:rPr>
          <w:sz w:val="20"/>
          <w:lang w:val="fr-FR" w:eastAsia="fr-FR"/>
        </w:rPr>
        <w:t>2. Lorsque la demande de protection internationale est présentée dans un centre de rétention pour étrangers, celle-ci est traitée selon les dispositions de l</w:t>
      </w:r>
      <w:r w:rsidR="00A977F5">
        <w:rPr>
          <w:sz w:val="20"/>
          <w:lang w:val="fr-FR" w:eastAsia="fr-FR"/>
        </w:rPr>
        <w:t>’</w:t>
      </w:r>
      <w:r w:rsidRPr="00BC0135">
        <w:rPr>
          <w:sz w:val="20"/>
          <w:lang w:val="fr-FR" w:eastAsia="fr-FR"/>
        </w:rPr>
        <w:t>article 21 de la loi, relatif aux demandes présentées aux frontières. Dans tous les cas, les demandes ainsi présentées et jugées recevables sont traitées selon la procédure d</w:t>
      </w:r>
      <w:r w:rsidR="00A977F5">
        <w:rPr>
          <w:sz w:val="20"/>
          <w:lang w:val="fr-FR" w:eastAsia="fr-FR"/>
        </w:rPr>
        <w:t>’</w:t>
      </w:r>
      <w:r w:rsidRPr="00BC0135">
        <w:rPr>
          <w:sz w:val="20"/>
          <w:lang w:val="fr-FR" w:eastAsia="fr-FR"/>
        </w:rPr>
        <w:t>urgence visée au présent article. »</w:t>
      </w:r>
    </w:p>
    <w:p w:rsidR="00BC0135" w:rsidRPr="00BC0135" w:rsidRDefault="00BC0135" w:rsidP="00BC0135">
      <w:pPr>
        <w:keepNext/>
        <w:keepLines/>
        <w:spacing w:before="240" w:after="120"/>
        <w:jc w:val="center"/>
        <w:outlineLvl w:val="3"/>
        <w:rPr>
          <w:rFonts w:asciiTheme="majorHAnsi" w:hAnsiTheme="majorHAnsi"/>
          <w:b/>
          <w:sz w:val="20"/>
          <w:lang w:val="fr-FR" w:eastAsia="fr-FR" w:bidi="en-US"/>
        </w:rPr>
      </w:pPr>
      <w:r w:rsidRPr="00BC0135">
        <w:rPr>
          <w:rFonts w:asciiTheme="majorHAnsi" w:hAnsiTheme="majorHAnsi"/>
          <w:b/>
          <w:sz w:val="20"/>
          <w:lang w:val="fr-FR" w:eastAsia="fr-FR" w:bidi="en-US"/>
        </w:rPr>
        <w:t>Article 29. Recours.</w:t>
      </w:r>
    </w:p>
    <w:p w:rsidR="00BC0135" w:rsidRPr="00BC0135" w:rsidRDefault="00BC0135" w:rsidP="00BC0135">
      <w:pPr>
        <w:spacing w:before="120" w:after="120"/>
        <w:ind w:left="425" w:firstLine="142"/>
        <w:rPr>
          <w:sz w:val="20"/>
          <w:lang w:val="fr-FR" w:eastAsia="fr-FR"/>
        </w:rPr>
      </w:pPr>
      <w:r w:rsidRPr="00BC0135">
        <w:rPr>
          <w:sz w:val="20"/>
          <w:lang w:val="fr-FR" w:eastAsia="fr-FR"/>
        </w:rPr>
        <w:t>« (...)</w:t>
      </w:r>
    </w:p>
    <w:p w:rsidR="00BC0135" w:rsidRPr="00BC0135" w:rsidRDefault="00BC0135" w:rsidP="00BC0135">
      <w:pPr>
        <w:spacing w:before="120" w:after="120"/>
        <w:ind w:left="425" w:firstLine="142"/>
        <w:rPr>
          <w:sz w:val="20"/>
          <w:lang w:val="fr-FR" w:eastAsia="fr-FR"/>
        </w:rPr>
      </w:pPr>
      <w:r w:rsidRPr="00BC0135">
        <w:rPr>
          <w:sz w:val="20"/>
          <w:lang w:val="fr-FR" w:eastAsia="fr-FR"/>
        </w:rPr>
        <w:t>2. Lorsqu</w:t>
      </w:r>
      <w:r w:rsidR="00A977F5">
        <w:rPr>
          <w:sz w:val="20"/>
          <w:lang w:val="fr-FR" w:eastAsia="fr-FR"/>
        </w:rPr>
        <w:t>’</w:t>
      </w:r>
      <w:r w:rsidRPr="00BC0135">
        <w:rPr>
          <w:sz w:val="20"/>
          <w:lang w:val="fr-FR" w:eastAsia="fr-FR"/>
        </w:rPr>
        <w:t>un recours de contentieux administratif est introduit et que la suspension de l</w:t>
      </w:r>
      <w:r w:rsidR="00A977F5">
        <w:rPr>
          <w:sz w:val="20"/>
          <w:lang w:val="fr-FR" w:eastAsia="fr-FR"/>
        </w:rPr>
        <w:t>’</w:t>
      </w:r>
      <w:r w:rsidRPr="00BC0135">
        <w:rPr>
          <w:sz w:val="20"/>
          <w:lang w:val="fr-FR" w:eastAsia="fr-FR"/>
        </w:rPr>
        <w:t>acte attaqué est demandée, cette demande entre dans la catégorie des cas d</w:t>
      </w:r>
      <w:r w:rsidR="00A977F5">
        <w:rPr>
          <w:sz w:val="20"/>
          <w:lang w:val="fr-FR" w:eastAsia="fr-FR"/>
        </w:rPr>
        <w:t>’</w:t>
      </w:r>
      <w:r w:rsidRPr="00BC0135">
        <w:rPr>
          <w:sz w:val="20"/>
          <w:lang w:val="fr-FR" w:eastAsia="fr-FR"/>
        </w:rPr>
        <w:t>urgence particulière visés à l</w:t>
      </w:r>
      <w:r w:rsidR="00A977F5">
        <w:rPr>
          <w:sz w:val="20"/>
          <w:lang w:val="fr-FR" w:eastAsia="fr-FR"/>
        </w:rPr>
        <w:t>’</w:t>
      </w:r>
      <w:r w:rsidRPr="00BC0135">
        <w:rPr>
          <w:sz w:val="20"/>
          <w:lang w:val="fr-FR" w:eastAsia="fr-FR"/>
        </w:rPr>
        <w:t>article 135 de la loi n</w:t>
      </w:r>
      <w:r w:rsidRPr="00BC0135">
        <w:rPr>
          <w:sz w:val="20"/>
          <w:vertAlign w:val="superscript"/>
          <w:lang w:val="fr-FR" w:eastAsia="fr-FR"/>
        </w:rPr>
        <w:t>o</w:t>
      </w:r>
      <w:r w:rsidRPr="00BC0135">
        <w:rPr>
          <w:sz w:val="20"/>
          <w:lang w:val="fr-FR" w:eastAsia="fr-FR"/>
        </w:rPr>
        <w:t> 29/1998 du 13 juillet 1998 sur la juridiction du contentieux administratif. »</w:t>
      </w:r>
    </w:p>
    <w:p w:rsidR="00BC0135" w:rsidRPr="00BC0135" w:rsidRDefault="00BC0135" w:rsidP="00BC0135">
      <w:pPr>
        <w:keepNext/>
        <w:keepLines/>
        <w:spacing w:before="240" w:after="120"/>
        <w:jc w:val="center"/>
        <w:outlineLvl w:val="3"/>
        <w:rPr>
          <w:rFonts w:asciiTheme="majorHAnsi" w:hAnsiTheme="majorHAnsi"/>
          <w:b/>
          <w:sz w:val="20"/>
          <w:lang w:val="fr-FR" w:eastAsia="fr-FR" w:bidi="en-US"/>
        </w:rPr>
      </w:pPr>
      <w:r w:rsidRPr="00BC0135">
        <w:rPr>
          <w:rFonts w:asciiTheme="majorHAnsi" w:hAnsiTheme="majorHAnsi"/>
          <w:b/>
          <w:sz w:val="20"/>
          <w:lang w:val="fr-FR" w:eastAsia="fr-FR" w:bidi="en-US"/>
        </w:rPr>
        <w:t>Article 34. Intervention dans la procédure de demande.</w:t>
      </w:r>
    </w:p>
    <w:p w:rsidR="00BC0135" w:rsidRPr="00BC0135" w:rsidRDefault="00BC0135" w:rsidP="00BC0135">
      <w:pPr>
        <w:spacing w:before="120" w:after="120"/>
        <w:ind w:left="425" w:firstLine="142"/>
        <w:rPr>
          <w:sz w:val="20"/>
          <w:lang w:val="fr-FR" w:eastAsia="fr-FR"/>
        </w:rPr>
      </w:pPr>
      <w:r w:rsidRPr="00BC0135">
        <w:rPr>
          <w:sz w:val="20"/>
          <w:lang w:val="fr-FR" w:eastAsia="fr-FR"/>
        </w:rPr>
        <w:t>« Toute présentation d</w:t>
      </w:r>
      <w:r w:rsidR="00A977F5">
        <w:rPr>
          <w:sz w:val="20"/>
          <w:lang w:val="fr-FR" w:eastAsia="fr-FR"/>
        </w:rPr>
        <w:t>’</w:t>
      </w:r>
      <w:r w:rsidRPr="00BC0135">
        <w:rPr>
          <w:sz w:val="20"/>
          <w:lang w:val="fr-FR" w:eastAsia="fr-FR"/>
        </w:rPr>
        <w:t>une demande de protection internationale est communiquée au HCR [des Nations unies], lequel pourra s</w:t>
      </w:r>
      <w:r w:rsidR="00A977F5">
        <w:rPr>
          <w:sz w:val="20"/>
          <w:lang w:val="fr-FR" w:eastAsia="fr-FR"/>
        </w:rPr>
        <w:t>’</w:t>
      </w:r>
      <w:r w:rsidRPr="00BC0135">
        <w:rPr>
          <w:sz w:val="20"/>
          <w:lang w:val="fr-FR" w:eastAsia="fr-FR"/>
        </w:rPr>
        <w:t xml:space="preserve">informer de la situation du dossier, être </w:t>
      </w:r>
      <w:r w:rsidRPr="00BC0135">
        <w:rPr>
          <w:sz w:val="20"/>
          <w:lang w:val="fr-FR" w:eastAsia="fr-FR"/>
        </w:rPr>
        <w:lastRenderedPageBreak/>
        <w:t>présent lors des auditions du demandeur et présenter des rapports, qui devront être versés au dossier.</w:t>
      </w:r>
    </w:p>
    <w:p w:rsidR="00BC0135" w:rsidRPr="00BC0135" w:rsidRDefault="00BC0135" w:rsidP="00BC0135">
      <w:pPr>
        <w:spacing w:before="120" w:after="120"/>
        <w:ind w:left="425" w:firstLine="142"/>
        <w:rPr>
          <w:sz w:val="20"/>
          <w:lang w:val="fr-FR" w:eastAsia="fr-FR"/>
        </w:rPr>
      </w:pPr>
      <w:r w:rsidRPr="00BC0135">
        <w:rPr>
          <w:sz w:val="20"/>
          <w:lang w:val="fr-FR" w:eastAsia="fr-FR"/>
        </w:rPr>
        <w:t>À cet effet, le HCR a accès aux demandeurs de protection, y compris ceux qui se trouvent dans les locaux des postes-frontière, les centres de rétention pour étrangers ou les centres pénitentiaires ».</w:t>
      </w:r>
    </w:p>
    <w:p w:rsidR="00BC0135" w:rsidRPr="00BC0135" w:rsidRDefault="00BC0135" w:rsidP="00BC0135">
      <w:pPr>
        <w:keepNext/>
        <w:keepLines/>
        <w:spacing w:before="240" w:after="120"/>
        <w:jc w:val="center"/>
        <w:outlineLvl w:val="3"/>
        <w:rPr>
          <w:rFonts w:asciiTheme="majorHAnsi" w:hAnsiTheme="majorHAnsi"/>
          <w:b/>
          <w:sz w:val="20"/>
          <w:lang w:val="fr-FR" w:eastAsia="fr-FR" w:bidi="en-US"/>
        </w:rPr>
      </w:pPr>
      <w:r w:rsidRPr="00BC0135">
        <w:rPr>
          <w:rFonts w:asciiTheme="majorHAnsi" w:hAnsiTheme="majorHAnsi"/>
          <w:b/>
          <w:sz w:val="20"/>
          <w:lang w:val="fr-FR" w:eastAsia="fr-FR" w:bidi="en-US"/>
        </w:rPr>
        <w:t>Article 35. Intervention dans le traitement de la protection internationale.</w:t>
      </w:r>
    </w:p>
    <w:p w:rsidR="00BC0135" w:rsidRPr="00BC0135" w:rsidRDefault="00BC0135" w:rsidP="00BC0135">
      <w:pPr>
        <w:spacing w:before="120" w:after="120"/>
        <w:ind w:left="425" w:firstLine="142"/>
        <w:rPr>
          <w:sz w:val="20"/>
          <w:lang w:val="fr-FR" w:eastAsia="fr-FR"/>
        </w:rPr>
      </w:pPr>
      <w:r w:rsidRPr="00BC0135">
        <w:rPr>
          <w:sz w:val="20"/>
          <w:lang w:val="fr-FR" w:eastAsia="fr-FR"/>
        </w:rPr>
        <w:t>« 1. Le représentant du HCR en Espagne est convoqué aux séances de la Commission interministérielle de l</w:t>
      </w:r>
      <w:r w:rsidR="00A977F5">
        <w:rPr>
          <w:sz w:val="20"/>
          <w:lang w:val="fr-FR" w:eastAsia="fr-FR"/>
        </w:rPr>
        <w:t>’</w:t>
      </w:r>
      <w:r w:rsidRPr="00BC0135">
        <w:rPr>
          <w:sz w:val="20"/>
          <w:lang w:val="fr-FR" w:eastAsia="fr-FR"/>
        </w:rPr>
        <w:t>asile et des réfugiés.</w:t>
      </w:r>
    </w:p>
    <w:p w:rsidR="00BC0135" w:rsidRPr="00BC0135" w:rsidRDefault="00BC0135" w:rsidP="00BC0135">
      <w:pPr>
        <w:spacing w:before="120" w:after="120"/>
        <w:ind w:left="425" w:firstLine="142"/>
        <w:rPr>
          <w:sz w:val="20"/>
          <w:lang w:val="fr-FR" w:eastAsia="fr-FR"/>
        </w:rPr>
      </w:pPr>
      <w:r w:rsidRPr="00BC0135">
        <w:rPr>
          <w:sz w:val="20"/>
          <w:lang w:val="fr-FR" w:eastAsia="fr-FR"/>
        </w:rPr>
        <w:t>2. De même, il est immédiatement informé de la présentation des demandes aux frontières et peut rencontrer les demandeurs s</w:t>
      </w:r>
      <w:r w:rsidR="00A977F5">
        <w:rPr>
          <w:sz w:val="20"/>
          <w:lang w:val="fr-FR" w:eastAsia="fr-FR"/>
        </w:rPr>
        <w:t>’</w:t>
      </w:r>
      <w:r w:rsidRPr="00BC0135">
        <w:rPr>
          <w:sz w:val="20"/>
          <w:lang w:val="fr-FR" w:eastAsia="fr-FR"/>
        </w:rPr>
        <w:t>il le souhaite. Avant qu</w:t>
      </w:r>
      <w:r w:rsidR="00A977F5">
        <w:rPr>
          <w:sz w:val="20"/>
          <w:lang w:val="fr-FR" w:eastAsia="fr-FR"/>
        </w:rPr>
        <w:t>’</w:t>
      </w:r>
      <w:r w:rsidRPr="00BC0135">
        <w:rPr>
          <w:sz w:val="20"/>
          <w:lang w:val="fr-FR" w:eastAsia="fr-FR"/>
        </w:rPr>
        <w:t>une décision sur une demande ne soit prise, selon les termes de l</w:t>
      </w:r>
      <w:r w:rsidR="00A977F5">
        <w:rPr>
          <w:sz w:val="20"/>
          <w:lang w:val="fr-FR" w:eastAsia="fr-FR"/>
        </w:rPr>
        <w:t>’</w:t>
      </w:r>
      <w:r w:rsidRPr="00BC0135">
        <w:rPr>
          <w:sz w:val="20"/>
          <w:lang w:val="fr-FR" w:eastAsia="fr-FR"/>
        </w:rPr>
        <w:t>article 21 §§ 1, 2 et 3, le HCR est entendu.</w:t>
      </w:r>
    </w:p>
    <w:p w:rsidR="00BC0135" w:rsidRDefault="00BC0135" w:rsidP="00BC0135">
      <w:pPr>
        <w:spacing w:before="120" w:after="120"/>
        <w:ind w:left="425" w:firstLine="142"/>
        <w:rPr>
          <w:sz w:val="20"/>
          <w:lang w:val="fr-FR" w:eastAsia="fr-FR"/>
        </w:rPr>
      </w:pPr>
      <w:r w:rsidRPr="00BC0135">
        <w:rPr>
          <w:sz w:val="20"/>
          <w:lang w:val="fr-FR" w:eastAsia="fr-FR"/>
        </w:rPr>
        <w:t>3. Lorsque les demandes sont traitées selon la procédure d</w:t>
      </w:r>
      <w:r w:rsidR="00A977F5">
        <w:rPr>
          <w:sz w:val="20"/>
          <w:lang w:val="fr-FR" w:eastAsia="fr-FR"/>
        </w:rPr>
        <w:t>’</w:t>
      </w:r>
      <w:r w:rsidRPr="00BC0135">
        <w:rPr>
          <w:sz w:val="20"/>
          <w:lang w:val="fr-FR" w:eastAsia="fr-FR"/>
        </w:rPr>
        <w:t>urgence, (...) si la décision proposée par l</w:t>
      </w:r>
      <w:r w:rsidR="00A977F5">
        <w:rPr>
          <w:sz w:val="20"/>
          <w:lang w:val="fr-FR" w:eastAsia="fr-FR"/>
        </w:rPr>
        <w:t>’</w:t>
      </w:r>
      <w:r w:rsidRPr="00BC0135">
        <w:rPr>
          <w:sz w:val="20"/>
          <w:lang w:val="fr-FR" w:eastAsia="fr-FR"/>
        </w:rPr>
        <w:t>Office de l</w:t>
      </w:r>
      <w:r w:rsidR="00A977F5">
        <w:rPr>
          <w:sz w:val="20"/>
          <w:lang w:val="fr-FR" w:eastAsia="fr-FR"/>
        </w:rPr>
        <w:t>’</w:t>
      </w:r>
      <w:r w:rsidRPr="00BC0135">
        <w:rPr>
          <w:sz w:val="20"/>
          <w:lang w:val="fr-FR" w:eastAsia="fr-FR"/>
        </w:rPr>
        <w:t>asile et des réfugiés est défavorable, le HCR dispose d</w:t>
      </w:r>
      <w:r w:rsidR="00A977F5">
        <w:rPr>
          <w:sz w:val="20"/>
          <w:lang w:val="fr-FR" w:eastAsia="fr-FR"/>
        </w:rPr>
        <w:t>’</w:t>
      </w:r>
      <w:r w:rsidRPr="00BC0135">
        <w:rPr>
          <w:sz w:val="20"/>
          <w:lang w:val="fr-FR" w:eastAsia="fr-FR"/>
        </w:rPr>
        <w:t>un délai de dix jours pour présenter, s</w:t>
      </w:r>
      <w:r w:rsidR="00A977F5">
        <w:rPr>
          <w:sz w:val="20"/>
          <w:lang w:val="fr-FR" w:eastAsia="fr-FR"/>
        </w:rPr>
        <w:t>’</w:t>
      </w:r>
      <w:r w:rsidRPr="00BC0135">
        <w:rPr>
          <w:sz w:val="20"/>
          <w:lang w:val="fr-FR" w:eastAsia="fr-FR"/>
        </w:rPr>
        <w:t>il y a lieu, un rapport. »</w:t>
      </w:r>
    </w:p>
    <w:p w:rsidR="00876E01" w:rsidRDefault="007B6D8B" w:rsidP="007B6D8B">
      <w:pPr>
        <w:ind w:firstLine="284"/>
        <w:rPr>
          <w:rFonts w:ascii="Times New Roman" w:hAnsi="Times New Roman"/>
          <w:szCs w:val="24"/>
          <w:lang w:val="fr-FR"/>
        </w:rPr>
      </w:pPr>
      <w:r w:rsidRPr="00D74A59">
        <w:rPr>
          <w:rFonts w:ascii="Times New Roman" w:hAnsi="Times New Roman"/>
          <w:szCs w:val="24"/>
          <w:lang w:val="fr-FR"/>
        </w:rPr>
        <w:fldChar w:fldCharType="begin"/>
      </w:r>
      <w:r w:rsidRPr="00D74A59">
        <w:rPr>
          <w:rFonts w:ascii="Times New Roman" w:hAnsi="Times New Roman"/>
          <w:szCs w:val="24"/>
          <w:lang w:val="fr-FR"/>
        </w:rPr>
        <w:instrText xml:space="preserve"> SEQ level0 \*arabic </w:instrText>
      </w:r>
      <w:r w:rsidRPr="00D74A59">
        <w:rPr>
          <w:rFonts w:ascii="Times New Roman" w:hAnsi="Times New Roman"/>
          <w:szCs w:val="24"/>
          <w:lang w:val="fr-FR"/>
        </w:rPr>
        <w:fldChar w:fldCharType="separate"/>
      </w:r>
      <w:r w:rsidR="000A2932">
        <w:rPr>
          <w:rFonts w:ascii="Times New Roman" w:hAnsi="Times New Roman"/>
          <w:noProof/>
          <w:szCs w:val="24"/>
          <w:lang w:val="fr-FR"/>
        </w:rPr>
        <w:t>61</w:t>
      </w:r>
      <w:r w:rsidRPr="00D74A59">
        <w:rPr>
          <w:rFonts w:ascii="Times New Roman" w:hAnsi="Times New Roman"/>
          <w:szCs w:val="24"/>
          <w:lang w:val="fr-FR"/>
        </w:rPr>
        <w:fldChar w:fldCharType="end"/>
      </w:r>
      <w:r w:rsidRPr="00D74A59">
        <w:rPr>
          <w:rFonts w:ascii="Times New Roman" w:hAnsi="Times New Roman"/>
          <w:szCs w:val="24"/>
          <w:lang w:val="fr-FR"/>
        </w:rPr>
        <w:t>.  </w:t>
      </w:r>
      <w:r w:rsidR="00504B0C" w:rsidRPr="00D74A59">
        <w:rPr>
          <w:rFonts w:ascii="Times New Roman" w:hAnsi="Times New Roman"/>
          <w:color w:val="000000"/>
          <w:szCs w:val="24"/>
          <w:lang w:val="fr-FR"/>
        </w:rPr>
        <w:t>D</w:t>
      </w:r>
      <w:r w:rsidR="00504B0C" w:rsidRPr="00D74A59">
        <w:rPr>
          <w:rFonts w:ascii="Times New Roman" w:hAnsi="Times New Roman"/>
          <w:szCs w:val="24"/>
          <w:lang w:val="fr-FR"/>
        </w:rPr>
        <w:t>ans sa rédaction en vigueur jusqu</w:t>
      </w:r>
      <w:r w:rsidR="00A977F5">
        <w:rPr>
          <w:rFonts w:ascii="Times New Roman" w:hAnsi="Times New Roman"/>
          <w:szCs w:val="24"/>
          <w:lang w:val="fr-FR"/>
        </w:rPr>
        <w:t>’</w:t>
      </w:r>
      <w:r w:rsidR="00504B0C" w:rsidRPr="00D74A59">
        <w:rPr>
          <w:rFonts w:ascii="Times New Roman" w:hAnsi="Times New Roman"/>
          <w:szCs w:val="24"/>
          <w:lang w:val="fr-FR"/>
        </w:rPr>
        <w:t>au 30 octobre 2011, l</w:t>
      </w:r>
      <w:r w:rsidR="00A977F5">
        <w:rPr>
          <w:rFonts w:ascii="Times New Roman" w:hAnsi="Times New Roman"/>
          <w:szCs w:val="24"/>
          <w:lang w:val="fr-FR"/>
        </w:rPr>
        <w:t>’</w:t>
      </w:r>
      <w:r w:rsidRPr="00D74A59">
        <w:rPr>
          <w:rFonts w:ascii="Times New Roman" w:hAnsi="Times New Roman"/>
          <w:szCs w:val="24"/>
          <w:lang w:val="fr-FR"/>
        </w:rPr>
        <w:t>article 135 de la loi n</w:t>
      </w:r>
      <w:r w:rsidRPr="00D74A59">
        <w:rPr>
          <w:rFonts w:ascii="Times New Roman" w:hAnsi="Times New Roman"/>
          <w:vertAlign w:val="superscript"/>
          <w:lang w:val="fr-FR"/>
        </w:rPr>
        <w:t xml:space="preserve">o </w:t>
      </w:r>
      <w:r w:rsidRPr="00D74A59">
        <w:rPr>
          <w:rFonts w:ascii="Times New Roman" w:hAnsi="Times New Roman"/>
          <w:szCs w:val="24"/>
          <w:lang w:val="fr-FR"/>
        </w:rPr>
        <w:t xml:space="preserve">29/1998 du 13 juillet 1998 sur la juridiction </w:t>
      </w:r>
      <w:r w:rsidR="006705DC" w:rsidRPr="00D74A59">
        <w:rPr>
          <w:rFonts w:ascii="Times New Roman" w:hAnsi="Times New Roman"/>
          <w:szCs w:val="24"/>
          <w:lang w:val="fr-FR"/>
        </w:rPr>
        <w:t xml:space="preserve">du </w:t>
      </w:r>
      <w:r w:rsidRPr="00D74A59">
        <w:rPr>
          <w:rFonts w:ascii="Times New Roman" w:hAnsi="Times New Roman"/>
          <w:szCs w:val="24"/>
          <w:lang w:val="fr-FR"/>
        </w:rPr>
        <w:t>contentieu</w:t>
      </w:r>
      <w:r w:rsidR="006705DC" w:rsidRPr="00D74A59">
        <w:rPr>
          <w:rFonts w:ascii="Times New Roman" w:hAnsi="Times New Roman"/>
          <w:color w:val="000000"/>
          <w:szCs w:val="24"/>
          <w:lang w:val="fr-FR"/>
        </w:rPr>
        <w:t xml:space="preserve">x </w:t>
      </w:r>
      <w:r w:rsidRPr="00D74A59">
        <w:rPr>
          <w:rFonts w:ascii="Times New Roman" w:hAnsi="Times New Roman"/>
          <w:szCs w:val="24"/>
          <w:lang w:val="fr-FR"/>
        </w:rPr>
        <w:t>administrati</w:t>
      </w:r>
      <w:r w:rsidR="006705DC" w:rsidRPr="00D74A59">
        <w:rPr>
          <w:rFonts w:ascii="Times New Roman" w:hAnsi="Times New Roman"/>
          <w:color w:val="000000"/>
          <w:szCs w:val="24"/>
          <w:lang w:val="fr-FR"/>
        </w:rPr>
        <w:t>f</w:t>
      </w:r>
      <w:r w:rsidR="00504B0C" w:rsidRPr="00D74A59">
        <w:rPr>
          <w:rFonts w:ascii="Times New Roman" w:hAnsi="Times New Roman"/>
          <w:color w:val="000000"/>
          <w:szCs w:val="24"/>
          <w:lang w:val="fr-FR"/>
        </w:rPr>
        <w:t>, relatif aux mesures d</w:t>
      </w:r>
      <w:r w:rsidR="00A977F5">
        <w:rPr>
          <w:rFonts w:ascii="Times New Roman" w:hAnsi="Times New Roman"/>
          <w:color w:val="000000"/>
          <w:szCs w:val="24"/>
          <w:lang w:val="fr-FR"/>
        </w:rPr>
        <w:t>’</w:t>
      </w:r>
      <w:r w:rsidR="00504B0C" w:rsidRPr="00D74A59">
        <w:rPr>
          <w:rFonts w:ascii="Times New Roman" w:hAnsi="Times New Roman"/>
          <w:color w:val="000000"/>
          <w:szCs w:val="24"/>
          <w:lang w:val="fr-FR"/>
        </w:rPr>
        <w:t>urgence,</w:t>
      </w:r>
      <w:r w:rsidR="00504B0C" w:rsidRPr="00D74A59">
        <w:rPr>
          <w:rFonts w:ascii="Times New Roman" w:hAnsi="Times New Roman"/>
          <w:szCs w:val="24"/>
          <w:lang w:val="fr-FR"/>
        </w:rPr>
        <w:t xml:space="preserve"> </w:t>
      </w:r>
      <w:r w:rsidRPr="00D74A59">
        <w:rPr>
          <w:rFonts w:ascii="Times New Roman" w:hAnsi="Times New Roman"/>
          <w:szCs w:val="24"/>
          <w:lang w:val="fr-FR"/>
        </w:rPr>
        <w:t>était ainsi libellé:</w:t>
      </w:r>
    </w:p>
    <w:p w:rsidR="00876E01" w:rsidRDefault="00504B0C" w:rsidP="007B6D8B">
      <w:pPr>
        <w:spacing w:before="120" w:after="120"/>
        <w:ind w:left="425" w:firstLine="142"/>
        <w:rPr>
          <w:rFonts w:ascii="Times New Roman" w:hAnsi="Times New Roman"/>
          <w:sz w:val="20"/>
          <w:szCs w:val="20"/>
          <w:lang w:val="fr-FR" w:eastAsia="fr-FR"/>
        </w:rPr>
      </w:pPr>
      <w:r w:rsidRPr="00D74A59">
        <w:rPr>
          <w:rFonts w:ascii="Times New Roman" w:hAnsi="Times New Roman"/>
          <w:sz w:val="20"/>
          <w:szCs w:val="20"/>
          <w:lang w:val="fr-FR" w:eastAsia="fr-FR"/>
        </w:rPr>
        <w:t>« </w:t>
      </w:r>
      <w:r w:rsidR="007B6D8B" w:rsidRPr="00D74A59">
        <w:rPr>
          <w:rFonts w:ascii="Times New Roman" w:hAnsi="Times New Roman"/>
          <w:sz w:val="20"/>
          <w:szCs w:val="20"/>
          <w:lang w:val="fr-FR" w:eastAsia="fr-FR"/>
        </w:rPr>
        <w:t>Le juge ou</w:t>
      </w:r>
      <w:r w:rsidR="006705DC" w:rsidRPr="00D74A59">
        <w:rPr>
          <w:rFonts w:ascii="Times New Roman" w:hAnsi="Times New Roman"/>
          <w:sz w:val="20"/>
          <w:szCs w:val="20"/>
          <w:lang w:val="fr-FR" w:eastAsia="fr-FR"/>
        </w:rPr>
        <w:t xml:space="preserve"> le</w:t>
      </w:r>
      <w:r w:rsidR="007B6D8B" w:rsidRPr="00D74A59">
        <w:rPr>
          <w:rFonts w:ascii="Times New Roman" w:hAnsi="Times New Roman"/>
          <w:sz w:val="20"/>
          <w:szCs w:val="20"/>
          <w:lang w:val="fr-FR" w:eastAsia="fr-FR"/>
        </w:rPr>
        <w:t xml:space="preserve"> tribunal</w:t>
      </w:r>
      <w:r w:rsidR="00AB10A6" w:rsidRPr="00D74A59">
        <w:rPr>
          <w:rFonts w:ascii="Times New Roman" w:hAnsi="Times New Roman"/>
          <w:sz w:val="20"/>
          <w:szCs w:val="20"/>
          <w:lang w:val="fr-FR" w:eastAsia="fr-FR"/>
        </w:rPr>
        <w:t xml:space="preserve"> </w:t>
      </w:r>
      <w:r w:rsidR="001145DC" w:rsidRPr="00D74A59">
        <w:rPr>
          <w:rFonts w:ascii="Times New Roman" w:hAnsi="Times New Roman"/>
          <w:sz w:val="20"/>
          <w:szCs w:val="20"/>
          <w:lang w:val="fr-FR" w:eastAsia="fr-FR"/>
        </w:rPr>
        <w:t>peut</w:t>
      </w:r>
      <w:r w:rsidR="00AB10A6" w:rsidRPr="00D74A59">
        <w:rPr>
          <w:rFonts w:ascii="Times New Roman" w:hAnsi="Times New Roman"/>
          <w:sz w:val="20"/>
          <w:szCs w:val="20"/>
          <w:lang w:val="fr-FR" w:eastAsia="fr-FR"/>
        </w:rPr>
        <w:t xml:space="preserve"> [dans un premier temps]</w:t>
      </w:r>
      <w:r w:rsidR="007B6D8B" w:rsidRPr="00D74A59">
        <w:rPr>
          <w:rFonts w:ascii="Times New Roman" w:hAnsi="Times New Roman"/>
          <w:sz w:val="20"/>
          <w:szCs w:val="20"/>
          <w:lang w:val="fr-FR" w:eastAsia="fr-FR"/>
        </w:rPr>
        <w:t xml:space="preserve">, </w:t>
      </w:r>
      <w:r w:rsidRPr="00D74A59">
        <w:rPr>
          <w:rFonts w:ascii="Times New Roman" w:hAnsi="Times New Roman"/>
          <w:sz w:val="20"/>
          <w:szCs w:val="20"/>
          <w:lang w:val="fr-FR" w:eastAsia="fr-FR"/>
        </w:rPr>
        <w:t>au terme d</w:t>
      </w:r>
      <w:r w:rsidR="00A977F5">
        <w:rPr>
          <w:rFonts w:ascii="Times New Roman" w:hAnsi="Times New Roman"/>
          <w:sz w:val="20"/>
          <w:szCs w:val="20"/>
          <w:lang w:val="fr-FR" w:eastAsia="fr-FR"/>
        </w:rPr>
        <w:t>’</w:t>
      </w:r>
      <w:r w:rsidRPr="00D74A59">
        <w:rPr>
          <w:rFonts w:ascii="Times New Roman" w:hAnsi="Times New Roman"/>
          <w:sz w:val="20"/>
          <w:szCs w:val="20"/>
          <w:lang w:val="fr-FR" w:eastAsia="fr-FR"/>
        </w:rPr>
        <w:t>une appréciation des</w:t>
      </w:r>
      <w:r w:rsidR="007B6D8B" w:rsidRPr="00D74A59">
        <w:rPr>
          <w:rFonts w:ascii="Times New Roman" w:hAnsi="Times New Roman"/>
          <w:sz w:val="20"/>
          <w:szCs w:val="20"/>
          <w:lang w:val="fr-FR" w:eastAsia="fr-FR"/>
        </w:rPr>
        <w:t xml:space="preserve"> circonstances </w:t>
      </w:r>
      <w:r w:rsidRPr="00D74A59">
        <w:rPr>
          <w:rFonts w:ascii="Times New Roman" w:hAnsi="Times New Roman"/>
          <w:sz w:val="20"/>
          <w:szCs w:val="20"/>
          <w:lang w:val="fr-FR" w:eastAsia="fr-FR"/>
        </w:rPr>
        <w:t>d</w:t>
      </w:r>
      <w:r w:rsidR="00A977F5">
        <w:rPr>
          <w:rFonts w:ascii="Times New Roman" w:hAnsi="Times New Roman"/>
          <w:sz w:val="20"/>
          <w:szCs w:val="20"/>
          <w:lang w:val="fr-FR" w:eastAsia="fr-FR"/>
        </w:rPr>
        <w:t>’</w:t>
      </w:r>
      <w:r w:rsidR="007B6D8B" w:rsidRPr="00D74A59">
        <w:rPr>
          <w:rFonts w:ascii="Times New Roman" w:hAnsi="Times New Roman"/>
          <w:sz w:val="20"/>
          <w:szCs w:val="20"/>
          <w:lang w:val="fr-FR" w:eastAsia="fr-FR"/>
        </w:rPr>
        <w:t xml:space="preserve">urgence </w:t>
      </w:r>
      <w:r w:rsidR="00AC6A97" w:rsidRPr="00D74A59">
        <w:rPr>
          <w:rFonts w:ascii="Times New Roman" w:hAnsi="Times New Roman"/>
          <w:sz w:val="20"/>
          <w:szCs w:val="20"/>
          <w:lang w:val="fr-FR" w:eastAsia="fr-FR"/>
        </w:rPr>
        <w:t>particulière</w:t>
      </w:r>
      <w:r w:rsidRPr="00D74A59">
        <w:rPr>
          <w:rFonts w:ascii="Times New Roman" w:hAnsi="Times New Roman"/>
          <w:sz w:val="20"/>
          <w:szCs w:val="20"/>
          <w:lang w:val="fr-FR" w:eastAsia="fr-FR"/>
        </w:rPr>
        <w:t xml:space="preserve"> </w:t>
      </w:r>
      <w:r w:rsidR="007B6D8B" w:rsidRPr="00D74A59">
        <w:rPr>
          <w:rFonts w:ascii="Times New Roman" w:hAnsi="Times New Roman"/>
          <w:sz w:val="20"/>
          <w:szCs w:val="20"/>
          <w:lang w:val="fr-FR" w:eastAsia="fr-FR"/>
        </w:rPr>
        <w:t>présentes dans le cas</w:t>
      </w:r>
      <w:r w:rsidR="007B6D8B" w:rsidRPr="00D74A59">
        <w:rPr>
          <w:rFonts w:ascii="Times New Roman" w:hAnsi="Times New Roman"/>
          <w:color w:val="000000"/>
          <w:sz w:val="20"/>
          <w:szCs w:val="20"/>
          <w:lang w:val="fr-FR" w:eastAsia="fr-FR"/>
        </w:rPr>
        <w:t xml:space="preserve"> d</w:t>
      </w:r>
      <w:r w:rsidR="00A977F5">
        <w:rPr>
          <w:rFonts w:ascii="Times New Roman" w:hAnsi="Times New Roman"/>
          <w:color w:val="000000"/>
          <w:sz w:val="20"/>
          <w:szCs w:val="20"/>
          <w:lang w:val="fr-FR" w:eastAsia="fr-FR"/>
        </w:rPr>
        <w:t>’</w:t>
      </w:r>
      <w:r w:rsidR="007B6D8B" w:rsidRPr="00D74A59">
        <w:rPr>
          <w:rFonts w:ascii="Times New Roman" w:hAnsi="Times New Roman"/>
          <w:color w:val="000000"/>
          <w:sz w:val="20"/>
          <w:szCs w:val="20"/>
          <w:lang w:val="fr-FR" w:eastAsia="fr-FR"/>
        </w:rPr>
        <w:t>espèce</w:t>
      </w:r>
      <w:r w:rsidR="007B6D8B" w:rsidRPr="00D74A59">
        <w:rPr>
          <w:rFonts w:ascii="Times New Roman" w:hAnsi="Times New Roman"/>
          <w:sz w:val="20"/>
          <w:szCs w:val="20"/>
          <w:lang w:val="fr-FR" w:eastAsia="fr-FR"/>
        </w:rPr>
        <w:t>, adopter</w:t>
      </w:r>
      <w:r w:rsidRPr="00D74A59">
        <w:rPr>
          <w:rFonts w:ascii="Times New Roman" w:hAnsi="Times New Roman"/>
          <w:sz w:val="20"/>
          <w:szCs w:val="20"/>
          <w:lang w:val="fr-FR" w:eastAsia="fr-FR"/>
        </w:rPr>
        <w:t xml:space="preserve"> </w:t>
      </w:r>
      <w:r w:rsidR="007B6D8B" w:rsidRPr="00D74A59">
        <w:rPr>
          <w:rFonts w:ascii="Times New Roman" w:hAnsi="Times New Roman"/>
          <w:sz w:val="20"/>
          <w:szCs w:val="20"/>
          <w:lang w:val="fr-FR" w:eastAsia="fr-FR"/>
        </w:rPr>
        <w:t>la mesure sans audi</w:t>
      </w:r>
      <w:r w:rsidR="006705DC" w:rsidRPr="00D74A59">
        <w:rPr>
          <w:rFonts w:ascii="Times New Roman" w:hAnsi="Times New Roman"/>
          <w:sz w:val="20"/>
          <w:szCs w:val="20"/>
          <w:lang w:val="fr-FR" w:eastAsia="fr-FR"/>
        </w:rPr>
        <w:t xml:space="preserve">tion </w:t>
      </w:r>
      <w:r w:rsidR="007B6D8B" w:rsidRPr="00D74A59">
        <w:rPr>
          <w:rFonts w:ascii="Times New Roman" w:hAnsi="Times New Roman"/>
          <w:sz w:val="20"/>
          <w:szCs w:val="20"/>
          <w:lang w:val="fr-FR" w:eastAsia="fr-FR"/>
        </w:rPr>
        <w:t>de la partie adverse. Cette décision n</w:t>
      </w:r>
      <w:r w:rsidR="00A977F5">
        <w:rPr>
          <w:rFonts w:ascii="Times New Roman" w:hAnsi="Times New Roman"/>
          <w:sz w:val="20"/>
          <w:szCs w:val="20"/>
          <w:lang w:val="fr-FR" w:eastAsia="fr-FR"/>
        </w:rPr>
        <w:t>’</w:t>
      </w:r>
      <w:r w:rsidR="007B6D8B" w:rsidRPr="00D74A59">
        <w:rPr>
          <w:rFonts w:ascii="Times New Roman" w:hAnsi="Times New Roman"/>
          <w:sz w:val="20"/>
          <w:szCs w:val="20"/>
          <w:lang w:val="fr-FR" w:eastAsia="fr-FR"/>
        </w:rPr>
        <w:t xml:space="preserve">est pas susceptible de recours. Dans la même décision, le juge ou </w:t>
      </w:r>
      <w:r w:rsidRPr="00D74A59">
        <w:rPr>
          <w:rFonts w:ascii="Times New Roman" w:hAnsi="Times New Roman"/>
          <w:sz w:val="20"/>
          <w:szCs w:val="20"/>
          <w:lang w:val="fr-FR" w:eastAsia="fr-FR"/>
        </w:rPr>
        <w:t xml:space="preserve">le </w:t>
      </w:r>
      <w:r w:rsidR="007B6D8B" w:rsidRPr="00D74A59">
        <w:rPr>
          <w:rFonts w:ascii="Times New Roman" w:hAnsi="Times New Roman"/>
          <w:sz w:val="20"/>
          <w:szCs w:val="20"/>
          <w:lang w:val="fr-FR" w:eastAsia="fr-FR"/>
        </w:rPr>
        <w:t xml:space="preserve">tribunal convoque les parties </w:t>
      </w:r>
      <w:r w:rsidRPr="00D74A59">
        <w:rPr>
          <w:rFonts w:ascii="Times New Roman" w:hAnsi="Times New Roman"/>
          <w:sz w:val="20"/>
          <w:szCs w:val="20"/>
          <w:lang w:val="fr-FR" w:eastAsia="fr-FR"/>
        </w:rPr>
        <w:t xml:space="preserve">à </w:t>
      </w:r>
      <w:r w:rsidR="007B6D8B" w:rsidRPr="00D74A59">
        <w:rPr>
          <w:rFonts w:ascii="Times New Roman" w:hAnsi="Times New Roman"/>
          <w:sz w:val="20"/>
          <w:szCs w:val="20"/>
          <w:lang w:val="fr-FR" w:eastAsia="fr-FR"/>
        </w:rPr>
        <w:t xml:space="preserve">une audience qui </w:t>
      </w:r>
      <w:r w:rsidR="001145DC" w:rsidRPr="00D74A59">
        <w:rPr>
          <w:rFonts w:ascii="Times New Roman" w:hAnsi="Times New Roman"/>
          <w:sz w:val="20"/>
          <w:szCs w:val="20"/>
          <w:lang w:val="fr-FR" w:eastAsia="fr-FR"/>
        </w:rPr>
        <w:t xml:space="preserve">doit </w:t>
      </w:r>
      <w:r w:rsidR="007B6D8B" w:rsidRPr="00D74A59">
        <w:rPr>
          <w:rFonts w:ascii="Times New Roman" w:hAnsi="Times New Roman"/>
          <w:sz w:val="20"/>
          <w:szCs w:val="20"/>
          <w:lang w:val="fr-FR" w:eastAsia="fr-FR"/>
        </w:rPr>
        <w:t>se tenir dans un délai de trois jour</w:t>
      </w:r>
      <w:r w:rsidR="007B6D8B" w:rsidRPr="00D74A59">
        <w:rPr>
          <w:rFonts w:ascii="Times New Roman" w:hAnsi="Times New Roman"/>
          <w:color w:val="000000"/>
          <w:sz w:val="20"/>
          <w:szCs w:val="20"/>
          <w:lang w:val="fr-FR" w:eastAsia="fr-FR"/>
        </w:rPr>
        <w:t>s et qui</w:t>
      </w:r>
      <w:r w:rsidR="007B6D8B" w:rsidRPr="00D74A59">
        <w:rPr>
          <w:rFonts w:ascii="Times New Roman" w:hAnsi="Times New Roman"/>
          <w:sz w:val="20"/>
          <w:szCs w:val="20"/>
          <w:lang w:val="fr-FR" w:eastAsia="fr-FR"/>
        </w:rPr>
        <w:t xml:space="preserve"> </w:t>
      </w:r>
      <w:r w:rsidR="007B6D8B" w:rsidRPr="00D74A59">
        <w:rPr>
          <w:rFonts w:ascii="Times New Roman" w:hAnsi="Times New Roman"/>
          <w:color w:val="000000"/>
          <w:sz w:val="20"/>
          <w:szCs w:val="20"/>
          <w:lang w:val="fr-FR" w:eastAsia="fr-FR"/>
        </w:rPr>
        <w:t>porte sur</w:t>
      </w:r>
      <w:r w:rsidR="007B6D8B" w:rsidRPr="00D74A59">
        <w:rPr>
          <w:rFonts w:ascii="Times New Roman" w:hAnsi="Times New Roman"/>
          <w:sz w:val="20"/>
          <w:szCs w:val="20"/>
          <w:lang w:val="fr-FR" w:eastAsia="fr-FR"/>
        </w:rPr>
        <w:t xml:space="preserve"> </w:t>
      </w:r>
      <w:r w:rsidR="007B6D8B" w:rsidRPr="00D74A59">
        <w:rPr>
          <w:rFonts w:ascii="Times New Roman" w:hAnsi="Times New Roman"/>
          <w:color w:val="000000"/>
          <w:sz w:val="20"/>
          <w:szCs w:val="20"/>
          <w:lang w:val="fr-FR" w:eastAsia="fr-FR"/>
        </w:rPr>
        <w:t>la levée</w:t>
      </w:r>
      <w:r w:rsidR="007B6D8B" w:rsidRPr="00D74A59">
        <w:rPr>
          <w:rFonts w:ascii="Times New Roman" w:hAnsi="Times New Roman"/>
          <w:sz w:val="20"/>
          <w:szCs w:val="20"/>
          <w:lang w:val="fr-FR" w:eastAsia="fr-FR"/>
        </w:rPr>
        <w:t xml:space="preserve">, le maintien ou la modification de la mesure adoptée. </w:t>
      </w:r>
      <w:r w:rsidR="007B6D8B" w:rsidRPr="00D74A59">
        <w:rPr>
          <w:rFonts w:ascii="Times New Roman" w:hAnsi="Times New Roman"/>
          <w:color w:val="000000"/>
          <w:sz w:val="20"/>
          <w:szCs w:val="20"/>
          <w:lang w:val="fr-FR" w:eastAsia="fr-FR"/>
        </w:rPr>
        <w:t>Après la tenue de l</w:t>
      </w:r>
      <w:r w:rsidR="00A977F5">
        <w:rPr>
          <w:rFonts w:ascii="Times New Roman" w:hAnsi="Times New Roman"/>
          <w:sz w:val="20"/>
          <w:szCs w:val="20"/>
          <w:lang w:val="fr-FR" w:eastAsia="fr-FR"/>
        </w:rPr>
        <w:t>’</w:t>
      </w:r>
      <w:r w:rsidR="007B6D8B" w:rsidRPr="00D74A59">
        <w:rPr>
          <w:rFonts w:ascii="Times New Roman" w:hAnsi="Times New Roman"/>
          <w:sz w:val="20"/>
          <w:szCs w:val="20"/>
          <w:lang w:val="fr-FR" w:eastAsia="fr-FR"/>
        </w:rPr>
        <w:t>audience</w:t>
      </w:r>
      <w:r w:rsidR="007B6D8B" w:rsidRPr="00D74A59">
        <w:rPr>
          <w:rFonts w:ascii="Times New Roman" w:hAnsi="Times New Roman"/>
          <w:color w:val="000000"/>
          <w:sz w:val="20"/>
          <w:szCs w:val="20"/>
          <w:lang w:val="fr-FR" w:eastAsia="fr-FR"/>
        </w:rPr>
        <w:t>,</w:t>
      </w:r>
      <w:r w:rsidR="007B6D8B" w:rsidRPr="00D74A59">
        <w:rPr>
          <w:rFonts w:ascii="Times New Roman" w:hAnsi="Times New Roman"/>
          <w:sz w:val="20"/>
          <w:szCs w:val="20"/>
          <w:lang w:val="fr-FR" w:eastAsia="fr-FR"/>
        </w:rPr>
        <w:t xml:space="preserve"> le juge ou </w:t>
      </w:r>
      <w:r w:rsidRPr="00D74A59">
        <w:rPr>
          <w:rFonts w:ascii="Times New Roman" w:hAnsi="Times New Roman"/>
          <w:sz w:val="20"/>
          <w:szCs w:val="20"/>
          <w:lang w:val="fr-FR" w:eastAsia="fr-FR"/>
        </w:rPr>
        <w:t xml:space="preserve">le </w:t>
      </w:r>
      <w:r w:rsidR="007B6D8B" w:rsidRPr="00D74A59">
        <w:rPr>
          <w:rFonts w:ascii="Times New Roman" w:hAnsi="Times New Roman"/>
          <w:sz w:val="20"/>
          <w:szCs w:val="20"/>
          <w:lang w:val="fr-FR" w:eastAsia="fr-FR"/>
        </w:rPr>
        <w:t xml:space="preserve">tribunal statue par une décision, qui </w:t>
      </w:r>
      <w:r w:rsidR="001145DC" w:rsidRPr="00D74A59">
        <w:rPr>
          <w:rFonts w:ascii="Times New Roman" w:hAnsi="Times New Roman"/>
          <w:sz w:val="20"/>
          <w:szCs w:val="20"/>
          <w:lang w:val="fr-FR" w:eastAsia="fr-FR"/>
        </w:rPr>
        <w:t xml:space="preserve">est </w:t>
      </w:r>
      <w:r w:rsidR="007B6D8B" w:rsidRPr="00D74A59">
        <w:rPr>
          <w:rFonts w:ascii="Times New Roman" w:hAnsi="Times New Roman"/>
          <w:sz w:val="20"/>
          <w:szCs w:val="20"/>
          <w:lang w:val="fr-FR" w:eastAsia="fr-FR"/>
        </w:rPr>
        <w:t>susceptible de recours conformément aux règles générales.</w:t>
      </w:r>
    </w:p>
    <w:p w:rsidR="007B6D8B" w:rsidRPr="00D74A59" w:rsidRDefault="007B6D8B" w:rsidP="007B6D8B">
      <w:pPr>
        <w:spacing w:before="120" w:after="120"/>
        <w:ind w:left="425" w:firstLine="142"/>
        <w:rPr>
          <w:rFonts w:ascii="Times New Roman" w:hAnsi="Times New Roman"/>
          <w:sz w:val="20"/>
          <w:szCs w:val="20"/>
          <w:lang w:val="fr-FR" w:eastAsia="fr-FR"/>
        </w:rPr>
      </w:pPr>
      <w:r w:rsidRPr="00D74A59">
        <w:rPr>
          <w:rFonts w:ascii="Times New Roman" w:hAnsi="Times New Roman"/>
          <w:sz w:val="20"/>
          <w:szCs w:val="20"/>
          <w:lang w:val="fr-FR" w:eastAsia="fr-FR"/>
        </w:rPr>
        <w:t>(</w:t>
      </w:r>
      <w:r w:rsidR="00876E01">
        <w:rPr>
          <w:rFonts w:ascii="Times New Roman" w:hAnsi="Times New Roman"/>
          <w:sz w:val="20"/>
          <w:szCs w:val="20"/>
          <w:lang w:val="fr-FR" w:eastAsia="fr-FR"/>
        </w:rPr>
        <w:t>...</w:t>
      </w:r>
      <w:r w:rsidRPr="00D74A59">
        <w:rPr>
          <w:rFonts w:ascii="Times New Roman" w:hAnsi="Times New Roman"/>
          <w:sz w:val="20"/>
          <w:szCs w:val="20"/>
          <w:lang w:val="fr-FR" w:eastAsia="fr-FR"/>
        </w:rPr>
        <w:t>)»</w:t>
      </w:r>
    </w:p>
    <w:p w:rsidR="007B6D8B" w:rsidRPr="00D74A59" w:rsidRDefault="007B6D8B" w:rsidP="007B6D8B">
      <w:pPr>
        <w:ind w:firstLine="284"/>
        <w:rPr>
          <w:rFonts w:ascii="Times New Roman" w:hAnsi="Times New Roman"/>
          <w:szCs w:val="24"/>
          <w:lang w:val="fr-FR"/>
        </w:rPr>
      </w:pPr>
      <w:r w:rsidRPr="00D74A59">
        <w:rPr>
          <w:rFonts w:ascii="Times New Roman" w:hAnsi="Times New Roman"/>
          <w:szCs w:val="24"/>
          <w:lang w:val="fr-FR"/>
        </w:rPr>
        <w:fldChar w:fldCharType="begin"/>
      </w:r>
      <w:r w:rsidRPr="00D74A59">
        <w:rPr>
          <w:rFonts w:ascii="Times New Roman" w:hAnsi="Times New Roman"/>
          <w:szCs w:val="24"/>
          <w:lang w:val="fr-FR"/>
        </w:rPr>
        <w:instrText xml:space="preserve"> SEQ level0 \*arabic </w:instrText>
      </w:r>
      <w:r w:rsidRPr="00D74A59">
        <w:rPr>
          <w:rFonts w:ascii="Times New Roman" w:hAnsi="Times New Roman"/>
          <w:szCs w:val="24"/>
          <w:lang w:val="fr-FR"/>
        </w:rPr>
        <w:fldChar w:fldCharType="separate"/>
      </w:r>
      <w:r w:rsidR="000A2932">
        <w:rPr>
          <w:rFonts w:ascii="Times New Roman" w:hAnsi="Times New Roman"/>
          <w:noProof/>
          <w:szCs w:val="24"/>
          <w:lang w:val="fr-FR"/>
        </w:rPr>
        <w:t>62</w:t>
      </w:r>
      <w:r w:rsidRPr="00D74A59">
        <w:rPr>
          <w:rFonts w:ascii="Times New Roman" w:hAnsi="Times New Roman"/>
          <w:szCs w:val="24"/>
          <w:lang w:val="fr-FR"/>
        </w:rPr>
        <w:fldChar w:fldCharType="end"/>
      </w:r>
      <w:r w:rsidRPr="00D74A59">
        <w:rPr>
          <w:rFonts w:ascii="Times New Roman" w:hAnsi="Times New Roman"/>
          <w:szCs w:val="24"/>
          <w:lang w:val="fr-FR"/>
        </w:rPr>
        <w:t>.  </w:t>
      </w:r>
      <w:r w:rsidR="006705DC" w:rsidRPr="00D74A59">
        <w:rPr>
          <w:rFonts w:ascii="Times New Roman" w:hAnsi="Times New Roman"/>
          <w:szCs w:val="24"/>
          <w:lang w:val="fr-FR"/>
        </w:rPr>
        <w:t>Depuis le</w:t>
      </w:r>
      <w:r w:rsidRPr="00D74A59">
        <w:rPr>
          <w:rFonts w:ascii="Times New Roman" w:hAnsi="Times New Roman"/>
          <w:szCs w:val="24"/>
          <w:lang w:val="fr-FR"/>
        </w:rPr>
        <w:t xml:space="preserve"> 31 octobre 2011</w:t>
      </w:r>
      <w:r w:rsidR="006705DC" w:rsidRPr="00D74A59">
        <w:rPr>
          <w:rFonts w:ascii="Times New Roman" w:hAnsi="Times New Roman"/>
          <w:szCs w:val="24"/>
          <w:lang w:val="fr-FR"/>
        </w:rPr>
        <w:t>,</w:t>
      </w:r>
      <w:r w:rsidRPr="00D74A59">
        <w:rPr>
          <w:rFonts w:ascii="Times New Roman" w:hAnsi="Times New Roman"/>
          <w:szCs w:val="24"/>
          <w:lang w:val="fr-FR"/>
        </w:rPr>
        <w:t xml:space="preserve"> </w:t>
      </w:r>
      <w:r w:rsidR="006705DC" w:rsidRPr="00D74A59">
        <w:rPr>
          <w:rFonts w:ascii="Times New Roman" w:hAnsi="Times New Roman"/>
          <w:szCs w:val="24"/>
          <w:lang w:val="fr-FR"/>
        </w:rPr>
        <w:t>l</w:t>
      </w:r>
      <w:r w:rsidR="00A977F5">
        <w:rPr>
          <w:rFonts w:ascii="Times New Roman" w:hAnsi="Times New Roman"/>
          <w:szCs w:val="24"/>
          <w:lang w:val="fr-FR"/>
        </w:rPr>
        <w:t>’</w:t>
      </w:r>
      <w:r w:rsidR="006705DC" w:rsidRPr="00D74A59">
        <w:rPr>
          <w:rFonts w:ascii="Times New Roman" w:hAnsi="Times New Roman"/>
          <w:szCs w:val="24"/>
          <w:lang w:val="fr-FR"/>
        </w:rPr>
        <w:t>article 135 de ladite loi se lit ainsi</w:t>
      </w:r>
      <w:r w:rsidRPr="00D74A59">
        <w:rPr>
          <w:rFonts w:ascii="Times New Roman" w:hAnsi="Times New Roman"/>
          <w:szCs w:val="24"/>
          <w:lang w:val="fr-FR"/>
        </w:rPr>
        <w:t> :</w:t>
      </w:r>
    </w:p>
    <w:p w:rsidR="00876E01" w:rsidRDefault="007B6D8B" w:rsidP="007B6D8B">
      <w:pPr>
        <w:spacing w:before="120" w:after="120"/>
        <w:ind w:left="425" w:firstLine="142"/>
        <w:rPr>
          <w:rFonts w:ascii="Times New Roman" w:hAnsi="Times New Roman"/>
          <w:sz w:val="20"/>
          <w:szCs w:val="20"/>
          <w:lang w:val="fr-FR" w:eastAsia="fr-FR"/>
        </w:rPr>
      </w:pPr>
      <w:r w:rsidRPr="00D74A59">
        <w:rPr>
          <w:rFonts w:ascii="Times New Roman" w:hAnsi="Times New Roman"/>
          <w:sz w:val="20"/>
          <w:szCs w:val="20"/>
          <w:lang w:val="fr-FR" w:eastAsia="fr-FR"/>
        </w:rPr>
        <w:t xml:space="preserve">« 1. Lorsque les intéressés invoquent des circonstances </w:t>
      </w:r>
      <w:r w:rsidR="00504B0C" w:rsidRPr="00D74A59">
        <w:rPr>
          <w:rFonts w:ascii="Times New Roman" w:hAnsi="Times New Roman"/>
          <w:sz w:val="20"/>
          <w:szCs w:val="20"/>
          <w:lang w:val="fr-FR" w:eastAsia="fr-FR"/>
        </w:rPr>
        <w:t>d</w:t>
      </w:r>
      <w:r w:rsidR="00A977F5">
        <w:rPr>
          <w:rFonts w:ascii="Times New Roman" w:hAnsi="Times New Roman"/>
          <w:sz w:val="20"/>
          <w:szCs w:val="20"/>
          <w:lang w:val="fr-FR" w:eastAsia="fr-FR"/>
        </w:rPr>
        <w:t>’</w:t>
      </w:r>
      <w:r w:rsidRPr="00D74A59">
        <w:rPr>
          <w:rFonts w:ascii="Times New Roman" w:hAnsi="Times New Roman"/>
          <w:sz w:val="20"/>
          <w:szCs w:val="20"/>
          <w:lang w:val="fr-FR" w:eastAsia="fr-FR"/>
        </w:rPr>
        <w:t>urgence</w:t>
      </w:r>
      <w:r w:rsidR="00504B0C" w:rsidRPr="00D74A59">
        <w:rPr>
          <w:rFonts w:ascii="Times New Roman" w:hAnsi="Times New Roman"/>
          <w:sz w:val="20"/>
          <w:szCs w:val="20"/>
          <w:lang w:val="fr-FR" w:eastAsia="fr-FR"/>
        </w:rPr>
        <w:t xml:space="preserve"> </w:t>
      </w:r>
      <w:r w:rsidR="00AC6A97" w:rsidRPr="00D74A59">
        <w:rPr>
          <w:rFonts w:ascii="Times New Roman" w:hAnsi="Times New Roman"/>
          <w:sz w:val="20"/>
          <w:szCs w:val="20"/>
          <w:lang w:val="fr-FR" w:eastAsia="fr-FR"/>
        </w:rPr>
        <w:t>particulière</w:t>
      </w:r>
      <w:r w:rsidRPr="00D74A59">
        <w:rPr>
          <w:rFonts w:ascii="Times New Roman" w:hAnsi="Times New Roman"/>
          <w:sz w:val="20"/>
          <w:szCs w:val="20"/>
          <w:lang w:val="fr-FR" w:eastAsia="fr-FR"/>
        </w:rPr>
        <w:t xml:space="preserve">, le juge ou </w:t>
      </w:r>
      <w:r w:rsidR="00504B0C" w:rsidRPr="00D74A59">
        <w:rPr>
          <w:rFonts w:ascii="Times New Roman" w:hAnsi="Times New Roman"/>
          <w:sz w:val="20"/>
          <w:szCs w:val="20"/>
          <w:lang w:val="fr-FR" w:eastAsia="fr-FR"/>
        </w:rPr>
        <w:t xml:space="preserve">le </w:t>
      </w:r>
      <w:r w:rsidRPr="00D74A59">
        <w:rPr>
          <w:rFonts w:ascii="Times New Roman" w:hAnsi="Times New Roman"/>
          <w:sz w:val="20"/>
          <w:szCs w:val="20"/>
          <w:lang w:val="fr-FR" w:eastAsia="fr-FR"/>
        </w:rPr>
        <w:t xml:space="preserve">tribunal </w:t>
      </w:r>
      <w:r w:rsidR="001145DC" w:rsidRPr="00D74A59">
        <w:rPr>
          <w:rFonts w:ascii="Times New Roman" w:hAnsi="Times New Roman"/>
          <w:sz w:val="20"/>
          <w:szCs w:val="20"/>
          <w:lang w:val="fr-FR" w:eastAsia="fr-FR"/>
        </w:rPr>
        <w:t>peut</w:t>
      </w:r>
      <w:r w:rsidRPr="00D74A59">
        <w:rPr>
          <w:rFonts w:ascii="Times New Roman" w:hAnsi="Times New Roman"/>
          <w:sz w:val="20"/>
          <w:szCs w:val="20"/>
          <w:lang w:val="fr-FR" w:eastAsia="fr-FR"/>
        </w:rPr>
        <w:t>, sans audi</w:t>
      </w:r>
      <w:r w:rsidR="00504B0C" w:rsidRPr="00D74A59">
        <w:rPr>
          <w:rFonts w:ascii="Times New Roman" w:hAnsi="Times New Roman"/>
          <w:sz w:val="20"/>
          <w:szCs w:val="20"/>
          <w:lang w:val="fr-FR" w:eastAsia="fr-FR"/>
        </w:rPr>
        <w:t>tion</w:t>
      </w:r>
      <w:r w:rsidRPr="00D74A59">
        <w:rPr>
          <w:rFonts w:ascii="Times New Roman" w:hAnsi="Times New Roman"/>
          <w:sz w:val="20"/>
          <w:szCs w:val="20"/>
          <w:lang w:val="fr-FR" w:eastAsia="fr-FR"/>
        </w:rPr>
        <w:t xml:space="preserve"> de la partie adverse, </w:t>
      </w:r>
      <w:r w:rsidR="00AC6A97" w:rsidRPr="00D74A59">
        <w:rPr>
          <w:rFonts w:ascii="Times New Roman" w:hAnsi="Times New Roman"/>
          <w:sz w:val="20"/>
          <w:szCs w:val="20"/>
          <w:lang w:val="fr-FR" w:eastAsia="fr-FR"/>
        </w:rPr>
        <w:t xml:space="preserve">par </w:t>
      </w:r>
      <w:r w:rsidRPr="00D74A59">
        <w:rPr>
          <w:rFonts w:ascii="Times New Roman" w:hAnsi="Times New Roman"/>
          <w:sz w:val="20"/>
          <w:szCs w:val="20"/>
          <w:lang w:val="fr-FR" w:eastAsia="fr-FR"/>
        </w:rPr>
        <w:t xml:space="preserve">une décision </w:t>
      </w:r>
      <w:r w:rsidR="00AC6A97" w:rsidRPr="00D74A59">
        <w:rPr>
          <w:rFonts w:ascii="Times New Roman" w:hAnsi="Times New Roman"/>
          <w:sz w:val="20"/>
          <w:szCs w:val="20"/>
          <w:lang w:val="fr-FR" w:eastAsia="fr-FR"/>
        </w:rPr>
        <w:t xml:space="preserve">[prise] </w:t>
      </w:r>
      <w:r w:rsidRPr="00D74A59">
        <w:rPr>
          <w:rFonts w:ascii="Times New Roman" w:hAnsi="Times New Roman"/>
          <w:sz w:val="20"/>
          <w:szCs w:val="20"/>
          <w:lang w:val="fr-FR" w:eastAsia="fr-FR"/>
        </w:rPr>
        <w:t>dans un délai de deux jours :</w:t>
      </w:r>
    </w:p>
    <w:p w:rsidR="007B6D8B" w:rsidRPr="00D74A59" w:rsidRDefault="007B6D8B" w:rsidP="007B6D8B">
      <w:pPr>
        <w:spacing w:before="120" w:after="120"/>
        <w:ind w:left="425" w:firstLine="142"/>
        <w:rPr>
          <w:rFonts w:ascii="Times New Roman" w:hAnsi="Times New Roman"/>
          <w:sz w:val="20"/>
          <w:szCs w:val="20"/>
          <w:lang w:val="fr-FR" w:eastAsia="fr-FR"/>
        </w:rPr>
      </w:pPr>
      <w:r w:rsidRPr="00D74A59">
        <w:rPr>
          <w:rFonts w:ascii="Times New Roman" w:hAnsi="Times New Roman"/>
          <w:sz w:val="20"/>
          <w:szCs w:val="20"/>
          <w:lang w:val="fr-FR" w:eastAsia="fr-FR"/>
        </w:rPr>
        <w:t>a) Estimer qu</w:t>
      </w:r>
      <w:r w:rsidR="00A977F5">
        <w:rPr>
          <w:rFonts w:ascii="Times New Roman" w:hAnsi="Times New Roman"/>
          <w:sz w:val="20"/>
          <w:szCs w:val="20"/>
          <w:lang w:val="fr-FR" w:eastAsia="fr-FR"/>
        </w:rPr>
        <w:t>’</w:t>
      </w:r>
      <w:r w:rsidRPr="00D74A59">
        <w:rPr>
          <w:rFonts w:ascii="Times New Roman" w:hAnsi="Times New Roman"/>
          <w:sz w:val="20"/>
          <w:szCs w:val="20"/>
          <w:lang w:val="fr-FR" w:eastAsia="fr-FR"/>
        </w:rPr>
        <w:t xml:space="preserve">il existe des circonstances </w:t>
      </w:r>
      <w:r w:rsidR="00AC6A97" w:rsidRPr="00D74A59">
        <w:rPr>
          <w:rFonts w:ascii="Times New Roman" w:hAnsi="Times New Roman"/>
          <w:sz w:val="20"/>
          <w:szCs w:val="20"/>
          <w:lang w:val="fr-FR" w:eastAsia="fr-FR"/>
        </w:rPr>
        <w:t>d</w:t>
      </w:r>
      <w:r w:rsidR="00A977F5">
        <w:rPr>
          <w:rFonts w:ascii="Times New Roman" w:hAnsi="Times New Roman"/>
          <w:sz w:val="20"/>
          <w:szCs w:val="20"/>
          <w:lang w:val="fr-FR" w:eastAsia="fr-FR"/>
        </w:rPr>
        <w:t>’</w:t>
      </w:r>
      <w:r w:rsidR="00AC6A97" w:rsidRPr="00D74A59">
        <w:rPr>
          <w:rFonts w:ascii="Times New Roman" w:hAnsi="Times New Roman"/>
          <w:sz w:val="20"/>
          <w:szCs w:val="20"/>
          <w:lang w:val="fr-FR" w:eastAsia="fr-FR"/>
        </w:rPr>
        <w:t>urgence particulière</w:t>
      </w:r>
      <w:r w:rsidRPr="00D74A59">
        <w:rPr>
          <w:rFonts w:ascii="Times New Roman" w:hAnsi="Times New Roman"/>
          <w:sz w:val="20"/>
          <w:szCs w:val="20"/>
          <w:lang w:val="fr-FR" w:eastAsia="fr-FR"/>
        </w:rPr>
        <w:t xml:space="preserve"> </w:t>
      </w:r>
      <w:r w:rsidR="00AB10A6" w:rsidRPr="00D74A59">
        <w:rPr>
          <w:rFonts w:ascii="Times New Roman" w:hAnsi="Times New Roman"/>
          <w:sz w:val="20"/>
          <w:szCs w:val="20"/>
          <w:lang w:val="fr-FR" w:eastAsia="fr-FR"/>
        </w:rPr>
        <w:t>justifiant d</w:t>
      </w:r>
      <w:r w:rsidR="00A977F5">
        <w:rPr>
          <w:rFonts w:ascii="Times New Roman" w:hAnsi="Times New Roman"/>
          <w:sz w:val="20"/>
          <w:szCs w:val="20"/>
          <w:lang w:val="fr-FR" w:eastAsia="fr-FR"/>
        </w:rPr>
        <w:t>’</w:t>
      </w:r>
      <w:r w:rsidR="00AB10A6" w:rsidRPr="00D74A59">
        <w:rPr>
          <w:rFonts w:ascii="Times New Roman" w:hAnsi="Times New Roman"/>
          <w:sz w:val="20"/>
          <w:szCs w:val="20"/>
          <w:lang w:val="fr-FR" w:eastAsia="fr-FR"/>
        </w:rPr>
        <w:t>adopter</w:t>
      </w:r>
      <w:r w:rsidRPr="00D74A59">
        <w:rPr>
          <w:rFonts w:ascii="Times New Roman" w:hAnsi="Times New Roman"/>
          <w:sz w:val="20"/>
          <w:szCs w:val="20"/>
          <w:lang w:val="fr-FR" w:eastAsia="fr-FR"/>
        </w:rPr>
        <w:t xml:space="preserve"> ou </w:t>
      </w:r>
      <w:r w:rsidR="00AB10A6" w:rsidRPr="00D74A59">
        <w:rPr>
          <w:rFonts w:ascii="Times New Roman" w:hAnsi="Times New Roman"/>
          <w:sz w:val="20"/>
          <w:szCs w:val="20"/>
          <w:lang w:val="fr-FR" w:eastAsia="fr-FR"/>
        </w:rPr>
        <w:t xml:space="preserve">de </w:t>
      </w:r>
      <w:r w:rsidRPr="00D74A59">
        <w:rPr>
          <w:rFonts w:ascii="Times New Roman" w:hAnsi="Times New Roman"/>
          <w:sz w:val="20"/>
          <w:szCs w:val="20"/>
          <w:lang w:val="fr-FR" w:eastAsia="fr-FR"/>
        </w:rPr>
        <w:t>refuser la mesure</w:t>
      </w:r>
      <w:r w:rsidR="00CA564E" w:rsidRPr="00D74A59">
        <w:rPr>
          <w:rFonts w:ascii="Times New Roman" w:hAnsi="Times New Roman"/>
          <w:sz w:val="20"/>
          <w:szCs w:val="20"/>
          <w:lang w:val="fr-FR" w:eastAsia="fr-FR"/>
        </w:rPr>
        <w:t xml:space="preserve"> par la voie</w:t>
      </w:r>
      <w:r w:rsidR="006705DC" w:rsidRPr="00D74A59">
        <w:rPr>
          <w:rFonts w:ascii="Times New Roman" w:hAnsi="Times New Roman"/>
          <w:sz w:val="20"/>
          <w:szCs w:val="20"/>
          <w:lang w:val="fr-FR" w:eastAsia="fr-FR"/>
        </w:rPr>
        <w:t xml:space="preserve"> de</w:t>
      </w:r>
      <w:r w:rsidRPr="00D74A59">
        <w:rPr>
          <w:rFonts w:ascii="Times New Roman" w:hAnsi="Times New Roman"/>
          <w:sz w:val="20"/>
          <w:szCs w:val="20"/>
          <w:lang w:val="fr-FR" w:eastAsia="fr-FR"/>
        </w:rPr>
        <w:t xml:space="preserve"> l</w:t>
      </w:r>
      <w:r w:rsidR="00A977F5">
        <w:rPr>
          <w:rFonts w:ascii="Times New Roman" w:hAnsi="Times New Roman"/>
          <w:sz w:val="20"/>
          <w:szCs w:val="20"/>
          <w:lang w:val="fr-FR" w:eastAsia="fr-FR"/>
        </w:rPr>
        <w:t>’</w:t>
      </w:r>
      <w:r w:rsidRPr="00D74A59">
        <w:rPr>
          <w:rFonts w:ascii="Times New Roman" w:hAnsi="Times New Roman"/>
          <w:sz w:val="20"/>
          <w:szCs w:val="20"/>
          <w:lang w:val="fr-FR" w:eastAsia="fr-FR"/>
        </w:rPr>
        <w:t>article 130. Cette décision n</w:t>
      </w:r>
      <w:r w:rsidR="00A977F5">
        <w:rPr>
          <w:rFonts w:ascii="Times New Roman" w:hAnsi="Times New Roman"/>
          <w:sz w:val="20"/>
          <w:szCs w:val="20"/>
          <w:lang w:val="fr-FR" w:eastAsia="fr-FR"/>
        </w:rPr>
        <w:t>’</w:t>
      </w:r>
      <w:r w:rsidRPr="00D74A59">
        <w:rPr>
          <w:rFonts w:ascii="Times New Roman" w:hAnsi="Times New Roman"/>
          <w:sz w:val="20"/>
          <w:szCs w:val="20"/>
          <w:lang w:val="fr-FR" w:eastAsia="fr-FR"/>
        </w:rPr>
        <w:t>est pas susceptible de recours. Dans la même décision, l</w:t>
      </w:r>
      <w:r w:rsidR="00A977F5">
        <w:rPr>
          <w:rFonts w:ascii="Times New Roman" w:hAnsi="Times New Roman"/>
          <w:sz w:val="20"/>
          <w:szCs w:val="20"/>
          <w:lang w:val="fr-FR" w:eastAsia="fr-FR"/>
        </w:rPr>
        <w:t>’</w:t>
      </w:r>
      <w:r w:rsidRPr="00D74A59">
        <w:rPr>
          <w:rFonts w:ascii="Times New Roman" w:hAnsi="Times New Roman"/>
          <w:sz w:val="20"/>
          <w:szCs w:val="20"/>
          <w:lang w:val="fr-FR" w:eastAsia="fr-FR"/>
        </w:rPr>
        <w:t xml:space="preserve">organe judiciaire </w:t>
      </w:r>
      <w:r w:rsidR="00AB10A6" w:rsidRPr="00D74A59">
        <w:rPr>
          <w:rFonts w:ascii="Times New Roman" w:hAnsi="Times New Roman"/>
          <w:sz w:val="20"/>
          <w:szCs w:val="20"/>
          <w:lang w:val="fr-FR" w:eastAsia="fr-FR"/>
        </w:rPr>
        <w:t xml:space="preserve">invite </w:t>
      </w:r>
      <w:r w:rsidRPr="00D74A59">
        <w:rPr>
          <w:rFonts w:ascii="Times New Roman" w:hAnsi="Times New Roman"/>
          <w:sz w:val="20"/>
          <w:szCs w:val="20"/>
          <w:lang w:val="fr-FR" w:eastAsia="fr-FR"/>
        </w:rPr>
        <w:t xml:space="preserve">la partie adverse </w:t>
      </w:r>
      <w:r w:rsidR="00AB10A6" w:rsidRPr="00D74A59">
        <w:rPr>
          <w:rFonts w:ascii="Times New Roman" w:hAnsi="Times New Roman"/>
          <w:sz w:val="20"/>
          <w:szCs w:val="20"/>
          <w:lang w:val="fr-FR" w:eastAsia="fr-FR"/>
        </w:rPr>
        <w:t>à présenter</w:t>
      </w:r>
      <w:r w:rsidRPr="00D74A59">
        <w:rPr>
          <w:rFonts w:ascii="Times New Roman" w:hAnsi="Times New Roman"/>
          <w:sz w:val="20"/>
          <w:szCs w:val="20"/>
          <w:lang w:val="fr-FR" w:eastAsia="fr-FR"/>
        </w:rPr>
        <w:t xml:space="preserve">, dans un délai de trois jours, </w:t>
      </w:r>
      <w:r w:rsidR="001145DC" w:rsidRPr="00D74A59">
        <w:rPr>
          <w:rFonts w:ascii="Times New Roman" w:hAnsi="Times New Roman"/>
          <w:sz w:val="20"/>
          <w:szCs w:val="20"/>
          <w:lang w:val="fr-FR" w:eastAsia="fr-FR"/>
        </w:rPr>
        <w:t>les observations</w:t>
      </w:r>
      <w:r w:rsidRPr="00D74A59">
        <w:rPr>
          <w:rFonts w:ascii="Times New Roman" w:hAnsi="Times New Roman"/>
          <w:sz w:val="20"/>
          <w:szCs w:val="20"/>
          <w:lang w:val="fr-FR" w:eastAsia="fr-FR"/>
        </w:rPr>
        <w:t xml:space="preserve"> qu</w:t>
      </w:r>
      <w:r w:rsidR="00A977F5">
        <w:rPr>
          <w:rFonts w:ascii="Times New Roman" w:hAnsi="Times New Roman"/>
          <w:sz w:val="20"/>
          <w:szCs w:val="20"/>
          <w:lang w:val="fr-FR" w:eastAsia="fr-FR"/>
        </w:rPr>
        <w:t>’</w:t>
      </w:r>
      <w:r w:rsidRPr="00D74A59">
        <w:rPr>
          <w:rFonts w:ascii="Times New Roman" w:hAnsi="Times New Roman"/>
          <w:sz w:val="20"/>
          <w:szCs w:val="20"/>
          <w:lang w:val="fr-FR" w:eastAsia="fr-FR"/>
        </w:rPr>
        <w:t>elle estime pertinent</w:t>
      </w:r>
      <w:r w:rsidR="001145DC" w:rsidRPr="00D74A59">
        <w:rPr>
          <w:rFonts w:ascii="Times New Roman" w:hAnsi="Times New Roman"/>
          <w:sz w:val="20"/>
          <w:szCs w:val="20"/>
          <w:lang w:val="fr-FR" w:eastAsia="fr-FR"/>
        </w:rPr>
        <w:t>es</w:t>
      </w:r>
      <w:r w:rsidRPr="00D74A59">
        <w:rPr>
          <w:rFonts w:ascii="Times New Roman" w:hAnsi="Times New Roman"/>
          <w:sz w:val="20"/>
          <w:szCs w:val="20"/>
          <w:lang w:val="fr-FR" w:eastAsia="fr-FR"/>
        </w:rPr>
        <w:t xml:space="preserve">, ou bien cite les parties à </w:t>
      </w:r>
      <w:r w:rsidR="001145DC" w:rsidRPr="00D74A59">
        <w:rPr>
          <w:rFonts w:ascii="Times New Roman" w:hAnsi="Times New Roman"/>
          <w:sz w:val="20"/>
          <w:szCs w:val="20"/>
          <w:lang w:val="fr-FR" w:eastAsia="fr-FR"/>
        </w:rPr>
        <w:t>comparaître en audience</w:t>
      </w:r>
      <w:r w:rsidRPr="00D74A59">
        <w:rPr>
          <w:rFonts w:ascii="Times New Roman" w:hAnsi="Times New Roman"/>
          <w:sz w:val="20"/>
          <w:szCs w:val="20"/>
          <w:lang w:val="fr-FR" w:eastAsia="fr-FR"/>
        </w:rPr>
        <w:t xml:space="preserve"> dans les trois jours de l</w:t>
      </w:r>
      <w:r w:rsidR="00A977F5">
        <w:rPr>
          <w:rFonts w:ascii="Times New Roman" w:hAnsi="Times New Roman"/>
          <w:sz w:val="20"/>
          <w:szCs w:val="20"/>
          <w:lang w:val="fr-FR" w:eastAsia="fr-FR"/>
        </w:rPr>
        <w:t>’</w:t>
      </w:r>
      <w:r w:rsidRPr="00D74A59">
        <w:rPr>
          <w:rFonts w:ascii="Times New Roman" w:hAnsi="Times New Roman"/>
          <w:sz w:val="20"/>
          <w:szCs w:val="20"/>
          <w:lang w:val="fr-FR" w:eastAsia="fr-FR"/>
        </w:rPr>
        <w:t xml:space="preserve">adoption de la mesure. Une fois les </w:t>
      </w:r>
      <w:r w:rsidR="001145DC" w:rsidRPr="00D74A59">
        <w:rPr>
          <w:rFonts w:ascii="Times New Roman" w:hAnsi="Times New Roman"/>
          <w:sz w:val="20"/>
          <w:szCs w:val="20"/>
          <w:lang w:val="fr-FR" w:eastAsia="fr-FR"/>
        </w:rPr>
        <w:t xml:space="preserve">observations </w:t>
      </w:r>
      <w:r w:rsidRPr="00D74A59">
        <w:rPr>
          <w:rFonts w:ascii="Times New Roman" w:hAnsi="Times New Roman"/>
          <w:sz w:val="20"/>
          <w:szCs w:val="20"/>
          <w:lang w:val="fr-FR" w:eastAsia="fr-FR"/>
        </w:rPr>
        <w:t xml:space="preserve">reçues, </w:t>
      </w:r>
      <w:r w:rsidR="001145DC" w:rsidRPr="00D74A59">
        <w:rPr>
          <w:rFonts w:ascii="Times New Roman" w:hAnsi="Times New Roman"/>
          <w:sz w:val="20"/>
          <w:szCs w:val="20"/>
          <w:lang w:val="fr-FR" w:eastAsia="fr-FR"/>
        </w:rPr>
        <w:t>les parties comparues ou le délai écoulé selon le cas</w:t>
      </w:r>
      <w:r w:rsidRPr="00D74A59">
        <w:rPr>
          <w:rFonts w:ascii="Times New Roman" w:hAnsi="Times New Roman"/>
          <w:sz w:val="20"/>
          <w:szCs w:val="20"/>
          <w:lang w:val="fr-FR" w:eastAsia="fr-FR"/>
        </w:rPr>
        <w:t xml:space="preserve">, le juge ou </w:t>
      </w:r>
      <w:r w:rsidR="001145DC" w:rsidRPr="00D74A59">
        <w:rPr>
          <w:rFonts w:ascii="Times New Roman" w:hAnsi="Times New Roman"/>
          <w:sz w:val="20"/>
          <w:szCs w:val="20"/>
          <w:lang w:val="fr-FR" w:eastAsia="fr-FR"/>
        </w:rPr>
        <w:t xml:space="preserve">le </w:t>
      </w:r>
      <w:r w:rsidRPr="00D74A59">
        <w:rPr>
          <w:rFonts w:ascii="Times New Roman" w:hAnsi="Times New Roman"/>
          <w:sz w:val="20"/>
          <w:szCs w:val="20"/>
          <w:lang w:val="fr-FR" w:eastAsia="fr-FR"/>
        </w:rPr>
        <w:t xml:space="preserve">tribunal rend </w:t>
      </w:r>
      <w:r w:rsidR="001145DC" w:rsidRPr="00D74A59">
        <w:rPr>
          <w:rFonts w:ascii="Times New Roman" w:hAnsi="Times New Roman"/>
          <w:sz w:val="20"/>
          <w:szCs w:val="20"/>
          <w:lang w:val="fr-FR" w:eastAsia="fr-FR"/>
        </w:rPr>
        <w:t xml:space="preserve">une </w:t>
      </w:r>
      <w:r w:rsidRPr="00D74A59">
        <w:rPr>
          <w:rFonts w:ascii="Times New Roman" w:hAnsi="Times New Roman"/>
          <w:sz w:val="20"/>
          <w:szCs w:val="20"/>
          <w:lang w:val="fr-FR" w:eastAsia="fr-FR"/>
        </w:rPr>
        <w:t>décision d</w:t>
      </w:r>
      <w:r w:rsidRPr="00D74A59">
        <w:rPr>
          <w:rFonts w:ascii="Times New Roman" w:hAnsi="Times New Roman"/>
          <w:color w:val="000000"/>
          <w:sz w:val="20"/>
          <w:szCs w:val="20"/>
          <w:lang w:val="fr-FR" w:eastAsia="fr-FR"/>
        </w:rPr>
        <w:t>e levée</w:t>
      </w:r>
      <w:r w:rsidRPr="00D74A59">
        <w:rPr>
          <w:rFonts w:ascii="Times New Roman" w:hAnsi="Times New Roman"/>
          <w:sz w:val="20"/>
          <w:szCs w:val="20"/>
          <w:lang w:val="fr-FR" w:eastAsia="fr-FR"/>
        </w:rPr>
        <w:t xml:space="preserve">, de maintien ou de modification de la mesure adoptée, </w:t>
      </w:r>
      <w:r w:rsidR="001145DC" w:rsidRPr="00D74A59">
        <w:rPr>
          <w:rFonts w:ascii="Times New Roman" w:hAnsi="Times New Roman"/>
          <w:sz w:val="20"/>
          <w:szCs w:val="20"/>
          <w:lang w:val="fr-FR" w:eastAsia="fr-FR"/>
        </w:rPr>
        <w:t xml:space="preserve">décision </w:t>
      </w:r>
      <w:r w:rsidRPr="00D74A59">
        <w:rPr>
          <w:rFonts w:ascii="Times New Roman" w:hAnsi="Times New Roman"/>
          <w:sz w:val="20"/>
          <w:szCs w:val="20"/>
          <w:lang w:val="fr-FR" w:eastAsia="fr-FR"/>
        </w:rPr>
        <w:t xml:space="preserve">qui </w:t>
      </w:r>
      <w:r w:rsidR="001145DC" w:rsidRPr="00D74A59">
        <w:rPr>
          <w:rFonts w:ascii="Times New Roman" w:hAnsi="Times New Roman"/>
          <w:sz w:val="20"/>
          <w:szCs w:val="20"/>
          <w:lang w:val="fr-FR" w:eastAsia="fr-FR"/>
        </w:rPr>
        <w:t xml:space="preserve">est </w:t>
      </w:r>
      <w:r w:rsidRPr="00D74A59">
        <w:rPr>
          <w:rFonts w:ascii="Times New Roman" w:hAnsi="Times New Roman"/>
          <w:sz w:val="20"/>
          <w:szCs w:val="20"/>
          <w:lang w:val="fr-FR" w:eastAsia="fr-FR"/>
        </w:rPr>
        <w:t>susceptible de recours conformément aux règles générales.</w:t>
      </w:r>
    </w:p>
    <w:p w:rsidR="007B6D8B" w:rsidRPr="00D74A59" w:rsidRDefault="007B6D8B" w:rsidP="007B6D8B">
      <w:pPr>
        <w:spacing w:before="120" w:after="120"/>
        <w:ind w:left="425" w:firstLine="142"/>
        <w:rPr>
          <w:rFonts w:ascii="Times New Roman" w:hAnsi="Times New Roman"/>
          <w:sz w:val="20"/>
          <w:szCs w:val="20"/>
          <w:lang w:val="fr-FR" w:eastAsia="fr-FR"/>
        </w:rPr>
      </w:pPr>
      <w:r w:rsidRPr="00D74A59">
        <w:rPr>
          <w:rFonts w:ascii="Times New Roman" w:hAnsi="Times New Roman"/>
          <w:sz w:val="20"/>
          <w:szCs w:val="20"/>
          <w:lang w:val="fr-FR" w:eastAsia="fr-FR"/>
        </w:rPr>
        <w:t>(</w:t>
      </w:r>
      <w:r w:rsidR="00876E01">
        <w:rPr>
          <w:rFonts w:ascii="Times New Roman" w:hAnsi="Times New Roman"/>
          <w:sz w:val="20"/>
          <w:szCs w:val="20"/>
          <w:lang w:val="fr-FR" w:eastAsia="fr-FR"/>
        </w:rPr>
        <w:t>...</w:t>
      </w:r>
      <w:r w:rsidRPr="00D74A59">
        <w:rPr>
          <w:rFonts w:ascii="Times New Roman" w:hAnsi="Times New Roman"/>
          <w:sz w:val="20"/>
          <w:szCs w:val="20"/>
          <w:lang w:val="fr-FR" w:eastAsia="fr-FR"/>
        </w:rPr>
        <w:t>)</w:t>
      </w:r>
    </w:p>
    <w:p w:rsidR="00876E01" w:rsidRDefault="007B6D8B" w:rsidP="007B6D8B">
      <w:pPr>
        <w:spacing w:before="120" w:after="120"/>
        <w:ind w:left="425" w:firstLine="142"/>
        <w:rPr>
          <w:rFonts w:ascii="Times New Roman" w:hAnsi="Times New Roman"/>
          <w:sz w:val="20"/>
          <w:szCs w:val="20"/>
          <w:lang w:val="fr-FR" w:eastAsia="fr-FR"/>
        </w:rPr>
      </w:pPr>
      <w:r w:rsidRPr="00D74A59">
        <w:rPr>
          <w:rFonts w:ascii="Times New Roman" w:hAnsi="Times New Roman"/>
          <w:sz w:val="20"/>
          <w:szCs w:val="20"/>
          <w:lang w:val="fr-FR" w:eastAsia="fr-FR"/>
        </w:rPr>
        <w:t>b) Estimer qu</w:t>
      </w:r>
      <w:r w:rsidR="00A977F5">
        <w:rPr>
          <w:rFonts w:ascii="Times New Roman" w:hAnsi="Times New Roman"/>
          <w:sz w:val="20"/>
          <w:szCs w:val="20"/>
          <w:lang w:val="fr-FR" w:eastAsia="fr-FR"/>
        </w:rPr>
        <w:t>’</w:t>
      </w:r>
      <w:r w:rsidRPr="00D74A59">
        <w:rPr>
          <w:rFonts w:ascii="Times New Roman" w:hAnsi="Times New Roman"/>
          <w:sz w:val="20"/>
          <w:szCs w:val="20"/>
          <w:lang w:val="fr-FR" w:eastAsia="fr-FR"/>
        </w:rPr>
        <w:t>il n</w:t>
      </w:r>
      <w:r w:rsidR="00A977F5">
        <w:rPr>
          <w:rFonts w:ascii="Times New Roman" w:hAnsi="Times New Roman"/>
          <w:sz w:val="20"/>
          <w:szCs w:val="20"/>
          <w:lang w:val="fr-FR" w:eastAsia="fr-FR"/>
        </w:rPr>
        <w:t>’</w:t>
      </w:r>
      <w:r w:rsidRPr="00D74A59">
        <w:rPr>
          <w:rFonts w:ascii="Times New Roman" w:hAnsi="Times New Roman"/>
          <w:sz w:val="20"/>
          <w:szCs w:val="20"/>
          <w:lang w:val="fr-FR" w:eastAsia="fr-FR"/>
        </w:rPr>
        <w:t xml:space="preserve">existe pas de circonstances </w:t>
      </w:r>
      <w:r w:rsidR="001145DC" w:rsidRPr="00D74A59">
        <w:rPr>
          <w:rFonts w:ascii="Times New Roman" w:hAnsi="Times New Roman"/>
          <w:sz w:val="20"/>
          <w:szCs w:val="20"/>
          <w:lang w:val="fr-FR" w:eastAsia="fr-FR"/>
        </w:rPr>
        <w:t>d</w:t>
      </w:r>
      <w:r w:rsidR="00A977F5">
        <w:rPr>
          <w:rFonts w:ascii="Times New Roman" w:hAnsi="Times New Roman"/>
          <w:sz w:val="20"/>
          <w:szCs w:val="20"/>
          <w:lang w:val="fr-FR" w:eastAsia="fr-FR"/>
        </w:rPr>
        <w:t>’</w:t>
      </w:r>
      <w:r w:rsidRPr="00D74A59">
        <w:rPr>
          <w:rFonts w:ascii="Times New Roman" w:hAnsi="Times New Roman"/>
          <w:sz w:val="20"/>
          <w:szCs w:val="20"/>
          <w:lang w:val="fr-FR" w:eastAsia="fr-FR"/>
        </w:rPr>
        <w:t xml:space="preserve">urgence </w:t>
      </w:r>
      <w:r w:rsidR="001145DC" w:rsidRPr="00D74A59">
        <w:rPr>
          <w:rFonts w:ascii="Times New Roman" w:hAnsi="Times New Roman"/>
          <w:sz w:val="20"/>
          <w:szCs w:val="20"/>
          <w:lang w:val="fr-FR" w:eastAsia="fr-FR"/>
        </w:rPr>
        <w:t xml:space="preserve">particulière </w:t>
      </w:r>
      <w:r w:rsidRPr="00D74A59">
        <w:rPr>
          <w:rFonts w:ascii="Times New Roman" w:hAnsi="Times New Roman"/>
          <w:sz w:val="20"/>
          <w:szCs w:val="20"/>
          <w:lang w:val="fr-FR" w:eastAsia="fr-FR"/>
        </w:rPr>
        <w:t>et ordonner l</w:t>
      </w:r>
      <w:r w:rsidR="00A977F5">
        <w:rPr>
          <w:rFonts w:ascii="Times New Roman" w:hAnsi="Times New Roman"/>
          <w:sz w:val="20"/>
          <w:szCs w:val="20"/>
          <w:lang w:val="fr-FR" w:eastAsia="fr-FR"/>
        </w:rPr>
        <w:t>’</w:t>
      </w:r>
      <w:r w:rsidRPr="00D74A59">
        <w:rPr>
          <w:rFonts w:ascii="Times New Roman" w:hAnsi="Times New Roman"/>
          <w:sz w:val="20"/>
          <w:szCs w:val="20"/>
          <w:lang w:val="fr-FR" w:eastAsia="fr-FR"/>
        </w:rPr>
        <w:t xml:space="preserve">examen de la demande de mesures provisoires </w:t>
      </w:r>
      <w:r w:rsidR="00CA564E" w:rsidRPr="00D74A59">
        <w:rPr>
          <w:rFonts w:ascii="Times New Roman" w:hAnsi="Times New Roman"/>
          <w:sz w:val="20"/>
          <w:szCs w:val="20"/>
          <w:lang w:val="fr-FR" w:eastAsia="fr-FR"/>
        </w:rPr>
        <w:t xml:space="preserve">par la voie de </w:t>
      </w:r>
      <w:r w:rsidRPr="00D74A59">
        <w:rPr>
          <w:rFonts w:ascii="Times New Roman" w:hAnsi="Times New Roman"/>
          <w:sz w:val="20"/>
          <w:szCs w:val="20"/>
          <w:lang w:val="fr-FR" w:eastAsia="fr-FR"/>
        </w:rPr>
        <w:t>l</w:t>
      </w:r>
      <w:r w:rsidR="00A977F5">
        <w:rPr>
          <w:rFonts w:ascii="Times New Roman" w:hAnsi="Times New Roman"/>
          <w:sz w:val="20"/>
          <w:szCs w:val="20"/>
          <w:lang w:val="fr-FR" w:eastAsia="fr-FR"/>
        </w:rPr>
        <w:t>’</w:t>
      </w:r>
      <w:r w:rsidRPr="00D74A59">
        <w:rPr>
          <w:rFonts w:ascii="Times New Roman" w:hAnsi="Times New Roman"/>
          <w:sz w:val="20"/>
          <w:szCs w:val="20"/>
          <w:lang w:val="fr-FR" w:eastAsia="fr-FR"/>
        </w:rPr>
        <w:t xml:space="preserve">article 131, </w:t>
      </w:r>
      <w:r w:rsidR="00472633">
        <w:rPr>
          <w:rFonts w:ascii="Times New Roman" w:hAnsi="Times New Roman"/>
          <w:sz w:val="20"/>
          <w:szCs w:val="20"/>
          <w:lang w:val="fr-FR" w:eastAsia="fr-FR"/>
        </w:rPr>
        <w:t>auquel cas</w:t>
      </w:r>
      <w:r w:rsidR="00D74A59">
        <w:rPr>
          <w:rFonts w:ascii="Times New Roman" w:hAnsi="Times New Roman"/>
          <w:sz w:val="20"/>
          <w:szCs w:val="20"/>
          <w:lang w:val="fr-FR" w:eastAsia="fr-FR"/>
        </w:rPr>
        <w:t xml:space="preserve"> les </w:t>
      </w:r>
      <w:r w:rsidRPr="00D74A59">
        <w:rPr>
          <w:rFonts w:ascii="Times New Roman" w:hAnsi="Times New Roman"/>
          <w:sz w:val="20"/>
          <w:szCs w:val="20"/>
          <w:lang w:val="fr-FR" w:eastAsia="fr-FR"/>
        </w:rPr>
        <w:t xml:space="preserve">intéressés </w:t>
      </w:r>
      <w:r w:rsidR="00D74A59">
        <w:rPr>
          <w:rFonts w:ascii="Times New Roman" w:hAnsi="Times New Roman"/>
          <w:sz w:val="20"/>
          <w:szCs w:val="20"/>
          <w:lang w:val="fr-FR" w:eastAsia="fr-FR"/>
        </w:rPr>
        <w:t>ne pourront plus</w:t>
      </w:r>
      <w:r w:rsidR="00D74A59" w:rsidRPr="00D74A59">
        <w:rPr>
          <w:rFonts w:ascii="Times New Roman" w:hAnsi="Times New Roman"/>
          <w:sz w:val="20"/>
          <w:szCs w:val="20"/>
          <w:lang w:val="fr-FR" w:eastAsia="fr-FR"/>
        </w:rPr>
        <w:t xml:space="preserve"> </w:t>
      </w:r>
      <w:r w:rsidRPr="00D74A59">
        <w:rPr>
          <w:rFonts w:ascii="Times New Roman" w:hAnsi="Times New Roman"/>
          <w:sz w:val="20"/>
          <w:szCs w:val="20"/>
          <w:lang w:val="fr-FR" w:eastAsia="fr-FR"/>
        </w:rPr>
        <w:t>demander d</w:t>
      </w:r>
      <w:r w:rsidR="00A977F5">
        <w:rPr>
          <w:rFonts w:ascii="Times New Roman" w:hAnsi="Times New Roman"/>
          <w:sz w:val="20"/>
          <w:szCs w:val="20"/>
          <w:lang w:val="fr-FR" w:eastAsia="fr-FR"/>
        </w:rPr>
        <w:t>’</w:t>
      </w:r>
      <w:r w:rsidRPr="00D74A59">
        <w:rPr>
          <w:rFonts w:ascii="Times New Roman" w:hAnsi="Times New Roman"/>
          <w:sz w:val="20"/>
          <w:szCs w:val="20"/>
          <w:lang w:val="fr-FR" w:eastAsia="fr-FR"/>
        </w:rPr>
        <w:t xml:space="preserve">autres mesures prévues par </w:t>
      </w:r>
      <w:r w:rsidR="001145DC" w:rsidRPr="00D74A59">
        <w:rPr>
          <w:rFonts w:ascii="Times New Roman" w:hAnsi="Times New Roman"/>
          <w:sz w:val="20"/>
          <w:szCs w:val="20"/>
          <w:lang w:val="fr-FR" w:eastAsia="fr-FR"/>
        </w:rPr>
        <w:t>le présent article</w:t>
      </w:r>
      <w:r w:rsidRPr="00D74A59">
        <w:rPr>
          <w:rFonts w:ascii="Times New Roman" w:hAnsi="Times New Roman"/>
          <w:sz w:val="20"/>
          <w:szCs w:val="20"/>
          <w:lang w:val="fr-FR" w:eastAsia="fr-FR"/>
        </w:rPr>
        <w:t>.</w:t>
      </w:r>
    </w:p>
    <w:p w:rsidR="007B6D8B" w:rsidRDefault="007B6D8B" w:rsidP="007B6D8B">
      <w:pPr>
        <w:spacing w:before="120" w:after="120"/>
        <w:ind w:left="425" w:firstLine="142"/>
        <w:rPr>
          <w:rFonts w:ascii="Times New Roman" w:hAnsi="Times New Roman"/>
          <w:sz w:val="20"/>
          <w:szCs w:val="20"/>
          <w:lang w:val="fr-FR" w:eastAsia="fr-FR"/>
        </w:rPr>
      </w:pPr>
      <w:r w:rsidRPr="00D74A59">
        <w:rPr>
          <w:rFonts w:ascii="Times New Roman" w:hAnsi="Times New Roman"/>
          <w:sz w:val="20"/>
          <w:szCs w:val="20"/>
          <w:lang w:val="fr-FR" w:eastAsia="fr-FR"/>
        </w:rPr>
        <w:lastRenderedPageBreak/>
        <w:t xml:space="preserve">2. Dans </w:t>
      </w:r>
      <w:r w:rsidR="00444802" w:rsidRPr="00D74A59">
        <w:rPr>
          <w:rFonts w:ascii="Times New Roman" w:hAnsi="Times New Roman"/>
          <w:sz w:val="20"/>
          <w:szCs w:val="20"/>
          <w:lang w:val="fr-FR" w:eastAsia="fr-FR"/>
        </w:rPr>
        <w:t>le cas de</w:t>
      </w:r>
      <w:r w:rsidRPr="00D74A59">
        <w:rPr>
          <w:rFonts w:ascii="Times New Roman" w:hAnsi="Times New Roman"/>
          <w:sz w:val="20"/>
          <w:szCs w:val="20"/>
          <w:lang w:val="fr-FR" w:eastAsia="fr-FR"/>
        </w:rPr>
        <w:t xml:space="preserve"> procédures </w:t>
      </w:r>
      <w:r w:rsidR="00444802" w:rsidRPr="00D74A59">
        <w:rPr>
          <w:rFonts w:ascii="Times New Roman" w:hAnsi="Times New Roman"/>
          <w:sz w:val="20"/>
          <w:szCs w:val="20"/>
          <w:lang w:val="fr-FR" w:eastAsia="fr-FR"/>
        </w:rPr>
        <w:t>administratives</w:t>
      </w:r>
      <w:r w:rsidRPr="00D74A59">
        <w:rPr>
          <w:rFonts w:ascii="Times New Roman" w:hAnsi="Times New Roman"/>
          <w:sz w:val="20"/>
          <w:szCs w:val="20"/>
          <w:lang w:val="fr-FR" w:eastAsia="fr-FR"/>
        </w:rPr>
        <w:t xml:space="preserve"> en matière d</w:t>
      </w:r>
      <w:r w:rsidR="00A977F5">
        <w:rPr>
          <w:rFonts w:ascii="Times New Roman" w:hAnsi="Times New Roman"/>
          <w:sz w:val="20"/>
          <w:szCs w:val="20"/>
          <w:lang w:val="fr-FR" w:eastAsia="fr-FR"/>
        </w:rPr>
        <w:t>’</w:t>
      </w:r>
      <w:r w:rsidRPr="00D74A59">
        <w:rPr>
          <w:rFonts w:ascii="Times New Roman" w:hAnsi="Times New Roman"/>
          <w:sz w:val="20"/>
          <w:szCs w:val="20"/>
          <w:lang w:val="fr-FR" w:eastAsia="fr-FR"/>
        </w:rPr>
        <w:t>étrangers, d</w:t>
      </w:r>
      <w:r w:rsidR="00A977F5">
        <w:rPr>
          <w:rFonts w:ascii="Times New Roman" w:hAnsi="Times New Roman"/>
          <w:sz w:val="20"/>
          <w:szCs w:val="20"/>
          <w:lang w:val="fr-FR" w:eastAsia="fr-FR"/>
        </w:rPr>
        <w:t>’</w:t>
      </w:r>
      <w:r w:rsidRPr="00D74A59">
        <w:rPr>
          <w:rFonts w:ascii="Times New Roman" w:hAnsi="Times New Roman"/>
          <w:sz w:val="20"/>
          <w:szCs w:val="20"/>
          <w:lang w:val="fr-FR" w:eastAsia="fr-FR"/>
        </w:rPr>
        <w:t>asile ou d</w:t>
      </w:r>
      <w:r w:rsidR="00A977F5">
        <w:rPr>
          <w:rFonts w:ascii="Times New Roman" w:hAnsi="Times New Roman"/>
          <w:sz w:val="20"/>
          <w:szCs w:val="20"/>
          <w:lang w:val="fr-FR" w:eastAsia="fr-FR"/>
        </w:rPr>
        <w:t>’</w:t>
      </w:r>
      <w:r w:rsidRPr="00D74A59">
        <w:rPr>
          <w:rFonts w:ascii="Times New Roman" w:hAnsi="Times New Roman"/>
          <w:sz w:val="20"/>
          <w:szCs w:val="20"/>
          <w:lang w:val="fr-FR" w:eastAsia="fr-FR"/>
        </w:rPr>
        <w:t>octroi d</w:t>
      </w:r>
      <w:r w:rsidR="00444802" w:rsidRPr="00D74A59">
        <w:rPr>
          <w:rFonts w:ascii="Times New Roman" w:hAnsi="Times New Roman"/>
          <w:sz w:val="20"/>
          <w:szCs w:val="20"/>
          <w:lang w:val="fr-FR" w:eastAsia="fr-FR"/>
        </w:rPr>
        <w:t xml:space="preserve">u statut </w:t>
      </w:r>
      <w:r w:rsidRPr="00D74A59">
        <w:rPr>
          <w:rFonts w:ascii="Times New Roman" w:hAnsi="Times New Roman"/>
          <w:sz w:val="20"/>
          <w:szCs w:val="20"/>
          <w:lang w:val="fr-FR" w:eastAsia="fr-FR"/>
        </w:rPr>
        <w:t xml:space="preserve">de réfugié </w:t>
      </w:r>
      <w:r w:rsidR="005C14EC" w:rsidRPr="00D74A59">
        <w:rPr>
          <w:rFonts w:ascii="Times New Roman" w:hAnsi="Times New Roman"/>
          <w:sz w:val="20"/>
          <w:szCs w:val="20"/>
          <w:lang w:val="fr-FR" w:eastAsia="fr-FR"/>
        </w:rPr>
        <w:t>pouvant</w:t>
      </w:r>
      <w:r w:rsidR="00444802" w:rsidRPr="00D74A59">
        <w:rPr>
          <w:rFonts w:ascii="Times New Roman" w:hAnsi="Times New Roman"/>
          <w:sz w:val="20"/>
          <w:szCs w:val="20"/>
          <w:lang w:val="fr-FR" w:eastAsia="fr-FR"/>
        </w:rPr>
        <w:t xml:space="preserve"> déboucher sur </w:t>
      </w:r>
      <w:r w:rsidR="005C14EC" w:rsidRPr="00D74A59">
        <w:rPr>
          <w:rFonts w:ascii="Times New Roman" w:hAnsi="Times New Roman"/>
          <w:sz w:val="20"/>
          <w:szCs w:val="20"/>
          <w:lang w:val="fr-FR" w:eastAsia="fr-FR"/>
        </w:rPr>
        <w:t xml:space="preserve">un éloignement </w:t>
      </w:r>
      <w:r w:rsidR="00444802" w:rsidRPr="00D74A59">
        <w:rPr>
          <w:rFonts w:ascii="Times New Roman" w:hAnsi="Times New Roman"/>
          <w:sz w:val="20"/>
          <w:szCs w:val="20"/>
          <w:lang w:val="fr-FR" w:eastAsia="fr-FR"/>
        </w:rPr>
        <w:t>de l</w:t>
      </w:r>
      <w:r w:rsidR="00A977F5">
        <w:rPr>
          <w:rFonts w:ascii="Times New Roman" w:hAnsi="Times New Roman"/>
          <w:sz w:val="20"/>
          <w:szCs w:val="20"/>
          <w:lang w:val="fr-FR" w:eastAsia="fr-FR"/>
        </w:rPr>
        <w:t>’</w:t>
      </w:r>
      <w:r w:rsidR="00444802" w:rsidRPr="00D74A59">
        <w:rPr>
          <w:rFonts w:ascii="Times New Roman" w:hAnsi="Times New Roman"/>
          <w:sz w:val="20"/>
          <w:szCs w:val="20"/>
          <w:lang w:val="fr-FR" w:eastAsia="fr-FR"/>
        </w:rPr>
        <w:t>intéressé</w:t>
      </w:r>
      <w:r w:rsidR="005C14EC" w:rsidRPr="00D74A59">
        <w:rPr>
          <w:rFonts w:ascii="Times New Roman" w:hAnsi="Times New Roman"/>
          <w:sz w:val="20"/>
          <w:szCs w:val="20"/>
          <w:lang w:val="fr-FR" w:eastAsia="fr-FR"/>
        </w:rPr>
        <w:t xml:space="preserve"> [du territoire national]</w:t>
      </w:r>
      <w:r w:rsidR="00C119A2" w:rsidRPr="00D74A59">
        <w:rPr>
          <w:rFonts w:ascii="Times New Roman" w:hAnsi="Times New Roman"/>
          <w:sz w:val="20"/>
          <w:szCs w:val="20"/>
          <w:lang w:val="fr-FR" w:eastAsia="fr-FR"/>
        </w:rPr>
        <w:t>,</w:t>
      </w:r>
      <w:r w:rsidR="00444802" w:rsidRPr="00D74A59">
        <w:rPr>
          <w:rFonts w:ascii="Times New Roman" w:hAnsi="Times New Roman"/>
          <w:sz w:val="20"/>
          <w:szCs w:val="20"/>
          <w:lang w:val="fr-FR" w:eastAsia="fr-FR"/>
        </w:rPr>
        <w:t xml:space="preserve"> </w:t>
      </w:r>
      <w:r w:rsidR="00C119A2" w:rsidRPr="00D74A59">
        <w:rPr>
          <w:rFonts w:ascii="Times New Roman" w:hAnsi="Times New Roman"/>
          <w:sz w:val="20"/>
          <w:szCs w:val="20"/>
          <w:lang w:val="fr-FR" w:eastAsia="fr-FR"/>
        </w:rPr>
        <w:t>si</w:t>
      </w:r>
      <w:r w:rsidR="00444802" w:rsidRPr="00D74A59">
        <w:rPr>
          <w:rFonts w:ascii="Times New Roman" w:hAnsi="Times New Roman"/>
          <w:sz w:val="20"/>
          <w:szCs w:val="20"/>
          <w:lang w:val="fr-FR" w:eastAsia="fr-FR"/>
        </w:rPr>
        <w:t xml:space="preserve"> celui-ci </w:t>
      </w:r>
      <w:r w:rsidRPr="00D74A59">
        <w:rPr>
          <w:rFonts w:ascii="Times New Roman" w:hAnsi="Times New Roman"/>
          <w:sz w:val="20"/>
          <w:szCs w:val="20"/>
          <w:lang w:val="fr-FR" w:eastAsia="fr-FR"/>
        </w:rPr>
        <w:t>est mineur l</w:t>
      </w:r>
      <w:r w:rsidR="00A977F5">
        <w:rPr>
          <w:rFonts w:ascii="Times New Roman" w:hAnsi="Times New Roman"/>
          <w:sz w:val="20"/>
          <w:szCs w:val="20"/>
          <w:lang w:val="fr-FR" w:eastAsia="fr-FR"/>
        </w:rPr>
        <w:t>’</w:t>
      </w:r>
      <w:r w:rsidRPr="00D74A59">
        <w:rPr>
          <w:rFonts w:ascii="Times New Roman" w:hAnsi="Times New Roman"/>
          <w:sz w:val="20"/>
          <w:szCs w:val="20"/>
          <w:lang w:val="fr-FR" w:eastAsia="fr-FR"/>
        </w:rPr>
        <w:t xml:space="preserve">organe judiciaire entend le ministère public avant de rendre </w:t>
      </w:r>
      <w:r w:rsidR="00444802" w:rsidRPr="00D74A59">
        <w:rPr>
          <w:rFonts w:ascii="Times New Roman" w:hAnsi="Times New Roman"/>
          <w:sz w:val="20"/>
          <w:szCs w:val="20"/>
          <w:lang w:val="fr-FR" w:eastAsia="fr-FR"/>
        </w:rPr>
        <w:t xml:space="preserve">la </w:t>
      </w:r>
      <w:r w:rsidRPr="00D74A59">
        <w:rPr>
          <w:rFonts w:ascii="Times New Roman" w:hAnsi="Times New Roman"/>
          <w:sz w:val="20"/>
          <w:szCs w:val="20"/>
          <w:lang w:val="fr-FR" w:eastAsia="fr-FR"/>
        </w:rPr>
        <w:t xml:space="preserve">décision motivée mentionnée au paragraphe 1 </w:t>
      </w:r>
      <w:r w:rsidR="00504B0C" w:rsidRPr="00D74A59">
        <w:rPr>
          <w:rFonts w:ascii="Times New Roman" w:hAnsi="Times New Roman"/>
          <w:sz w:val="20"/>
          <w:szCs w:val="20"/>
          <w:lang w:val="fr-FR" w:eastAsia="fr-FR"/>
        </w:rPr>
        <w:t>du présent article</w:t>
      </w:r>
      <w:r w:rsidRPr="00D74A59">
        <w:rPr>
          <w:rFonts w:ascii="Times New Roman" w:hAnsi="Times New Roman"/>
          <w:sz w:val="20"/>
          <w:szCs w:val="20"/>
          <w:lang w:val="fr-FR" w:eastAsia="fr-FR"/>
        </w:rPr>
        <w:t>. »</w:t>
      </w:r>
    </w:p>
    <w:p w:rsidR="00BC0135" w:rsidRPr="00BC0135" w:rsidRDefault="00BC0135" w:rsidP="00BC0135">
      <w:pPr>
        <w:keepNext/>
        <w:keepLines/>
        <w:spacing w:before="720" w:after="240"/>
        <w:outlineLvl w:val="0"/>
        <w:rPr>
          <w:rFonts w:asciiTheme="majorHAnsi" w:hAnsiTheme="majorHAnsi"/>
          <w:sz w:val="28"/>
          <w:lang w:val="fr-FR" w:eastAsia="fr-FR"/>
        </w:rPr>
      </w:pPr>
      <w:r w:rsidRPr="00BC0135">
        <w:rPr>
          <w:rFonts w:asciiTheme="majorHAnsi" w:hAnsiTheme="majorHAnsi"/>
          <w:sz w:val="28"/>
          <w:lang w:val="fr-FR" w:eastAsia="fr-FR"/>
        </w:rPr>
        <w:t>EN DROIT</w:t>
      </w:r>
    </w:p>
    <w:p w:rsidR="00BC0135" w:rsidRPr="00BC0135" w:rsidRDefault="00BC0135" w:rsidP="00BC0135">
      <w:pPr>
        <w:keepNext/>
        <w:keepLines/>
        <w:tabs>
          <w:tab w:val="left" w:pos="357"/>
        </w:tabs>
        <w:spacing w:before="360" w:after="240"/>
        <w:ind w:left="357" w:hanging="357"/>
        <w:outlineLvl w:val="0"/>
        <w:rPr>
          <w:rFonts w:asciiTheme="majorHAnsi" w:eastAsiaTheme="majorEastAsia" w:hAnsiTheme="majorHAnsi" w:cstheme="majorBidi"/>
          <w:bCs/>
          <w:szCs w:val="28"/>
          <w:lang w:val="fr-FR" w:eastAsia="fr-FR"/>
        </w:rPr>
      </w:pPr>
      <w:r w:rsidRPr="00BC0135">
        <w:rPr>
          <w:rFonts w:asciiTheme="majorHAnsi" w:eastAsiaTheme="majorEastAsia" w:hAnsiTheme="majorHAnsi" w:cstheme="majorBidi"/>
          <w:bCs/>
          <w:szCs w:val="28"/>
          <w:lang w:val="fr-FR" w:eastAsia="fr-FR"/>
        </w:rPr>
        <w:t>I.  JONCTION DES REQUÊTES</w:t>
      </w:r>
    </w:p>
    <w:p w:rsidR="00BC0135" w:rsidRPr="00BC0135" w:rsidRDefault="007B6D8B" w:rsidP="00BC0135">
      <w:pPr>
        <w:ind w:firstLine="284"/>
        <w:rPr>
          <w:lang w:val="fr-FR" w:eastAsia="fr-FR"/>
        </w:rPr>
      </w:pPr>
      <w:r>
        <w:rPr>
          <w:lang w:val="fr-FR" w:eastAsia="fr-FR"/>
        </w:rPr>
        <w:fldChar w:fldCharType="begin"/>
      </w:r>
      <w:r>
        <w:rPr>
          <w:lang w:val="fr-FR" w:eastAsia="fr-FR"/>
        </w:rPr>
        <w:instrText xml:space="preserve"> SEQ level0 \*arabic </w:instrText>
      </w:r>
      <w:r>
        <w:rPr>
          <w:lang w:val="fr-FR" w:eastAsia="fr-FR"/>
        </w:rPr>
        <w:fldChar w:fldCharType="separate"/>
      </w:r>
      <w:r w:rsidR="000A2932">
        <w:rPr>
          <w:noProof/>
          <w:lang w:val="fr-FR" w:eastAsia="fr-FR"/>
        </w:rPr>
        <w:t>63</w:t>
      </w:r>
      <w:r>
        <w:rPr>
          <w:lang w:val="fr-FR" w:eastAsia="fr-FR"/>
        </w:rPr>
        <w:fldChar w:fldCharType="end"/>
      </w:r>
      <w:r>
        <w:rPr>
          <w:lang w:val="fr-FR" w:eastAsia="fr-FR"/>
        </w:rPr>
        <w:t>.  </w:t>
      </w:r>
      <w:r w:rsidR="00BC0135" w:rsidRPr="00BC0135">
        <w:rPr>
          <w:lang w:val="fr-FR" w:eastAsia="fr-FR"/>
        </w:rPr>
        <w:t>Compte tenu de la connexité des requêtes quant aux faits et aux questions de fond qu</w:t>
      </w:r>
      <w:r w:rsidR="00A977F5">
        <w:rPr>
          <w:lang w:val="fr-FR" w:eastAsia="fr-FR"/>
        </w:rPr>
        <w:t>’</w:t>
      </w:r>
      <w:r w:rsidR="00BC0135" w:rsidRPr="00BC0135">
        <w:rPr>
          <w:lang w:val="fr-FR" w:eastAsia="fr-FR"/>
        </w:rPr>
        <w:t>elles soulèvent, la Cour juge approprié de les joindre et de les examiner conjointement dans un seul et même arrêt.</w:t>
      </w:r>
    </w:p>
    <w:p w:rsidR="00BC0135" w:rsidRPr="00BC0135" w:rsidRDefault="00BC0135" w:rsidP="00BC0135">
      <w:pPr>
        <w:keepNext/>
        <w:keepLines/>
        <w:tabs>
          <w:tab w:val="left" w:pos="357"/>
        </w:tabs>
        <w:spacing w:before="360" w:after="240"/>
        <w:ind w:left="357" w:hanging="357"/>
        <w:outlineLvl w:val="0"/>
        <w:rPr>
          <w:rFonts w:asciiTheme="majorHAnsi" w:eastAsiaTheme="majorEastAsia" w:hAnsiTheme="majorHAnsi" w:cstheme="majorBidi"/>
          <w:bCs/>
          <w:szCs w:val="28"/>
          <w:lang w:val="fr-FR" w:eastAsia="fr-FR"/>
        </w:rPr>
      </w:pPr>
      <w:r w:rsidRPr="00BC0135">
        <w:rPr>
          <w:rFonts w:asciiTheme="majorHAnsi" w:eastAsiaTheme="majorEastAsia" w:hAnsiTheme="majorHAnsi" w:cstheme="majorBidi"/>
          <w:bCs/>
          <w:szCs w:val="28"/>
          <w:lang w:val="fr-FR" w:eastAsia="fr-FR"/>
        </w:rPr>
        <w:t>II.  SUR LA VIOLATION ALLÉGUÉE DE L</w:t>
      </w:r>
      <w:r w:rsidR="00A977F5">
        <w:rPr>
          <w:rFonts w:asciiTheme="majorHAnsi" w:eastAsiaTheme="majorEastAsia" w:hAnsiTheme="majorHAnsi" w:cstheme="majorBidi"/>
          <w:bCs/>
          <w:szCs w:val="28"/>
          <w:lang w:val="fr-FR" w:eastAsia="fr-FR"/>
        </w:rPr>
        <w:t>’</w:t>
      </w:r>
      <w:r w:rsidRPr="00BC0135">
        <w:rPr>
          <w:rFonts w:asciiTheme="majorHAnsi" w:eastAsiaTheme="majorEastAsia" w:hAnsiTheme="majorHAnsi" w:cstheme="majorBidi"/>
          <w:bCs/>
          <w:szCs w:val="28"/>
          <w:lang w:val="fr-FR" w:eastAsia="fr-FR"/>
        </w:rPr>
        <w:t>ARTICLE 13 COMBINÉ AVEC LES ARTICLES 2 ET 3 DE LA CONVENTION</w:t>
      </w:r>
    </w:p>
    <w:p w:rsidR="00BC0135" w:rsidRP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64</w:t>
      </w:r>
      <w:r w:rsidRPr="00BC0135">
        <w:rPr>
          <w:noProof/>
          <w:lang w:val="fr-FR" w:eastAsia="fr-FR"/>
        </w:rPr>
        <w:fldChar w:fldCharType="end"/>
      </w:r>
      <w:r w:rsidRPr="00BC0135">
        <w:rPr>
          <w:lang w:val="fr-FR" w:eastAsia="fr-FR"/>
        </w:rPr>
        <w:t>.  Les requérants se plaignent de ne pas avoir bénéficié, comme l</w:t>
      </w:r>
      <w:r w:rsidR="00A977F5">
        <w:rPr>
          <w:lang w:val="fr-FR" w:eastAsia="fr-FR"/>
        </w:rPr>
        <w:t>’</w:t>
      </w:r>
      <w:r w:rsidRPr="00BC0135">
        <w:rPr>
          <w:lang w:val="fr-FR" w:eastAsia="fr-FR"/>
        </w:rPr>
        <w:t>aurait voulu l</w:t>
      </w:r>
      <w:r w:rsidR="00A977F5">
        <w:rPr>
          <w:lang w:val="fr-FR" w:eastAsia="fr-FR"/>
        </w:rPr>
        <w:t>’</w:t>
      </w:r>
      <w:r w:rsidRPr="00BC0135">
        <w:rPr>
          <w:lang w:val="fr-FR" w:eastAsia="fr-FR"/>
        </w:rPr>
        <w:t>article 13 de la Convention, d</w:t>
      </w:r>
      <w:r w:rsidR="00A977F5">
        <w:rPr>
          <w:lang w:val="fr-FR" w:eastAsia="fr-FR"/>
        </w:rPr>
        <w:t>’</w:t>
      </w:r>
      <w:r w:rsidRPr="00BC0135">
        <w:rPr>
          <w:lang w:val="fr-FR" w:eastAsia="fr-FR"/>
        </w:rPr>
        <w:t>un recours effectif pour faire valoir leurs griefs tirés des articles 2 et 3.</w:t>
      </w:r>
      <w:r w:rsidRPr="00BC0135">
        <w:rPr>
          <w:noProof/>
          <w:lang w:val="fr-FR" w:eastAsia="fr-FR"/>
        </w:rPr>
        <w:t xml:space="preserve"> Les dispositions invoquées </w:t>
      </w:r>
      <w:r w:rsidRPr="00BC0135">
        <w:rPr>
          <w:lang w:val="fr-FR" w:eastAsia="fr-FR"/>
        </w:rPr>
        <w:t>sont ainsi libellées :</w:t>
      </w:r>
    </w:p>
    <w:p w:rsidR="00BC0135" w:rsidRPr="00BC0135" w:rsidRDefault="00BC0135" w:rsidP="00BC0135">
      <w:pPr>
        <w:keepNext/>
        <w:keepLines/>
        <w:spacing w:before="240" w:after="120"/>
        <w:jc w:val="center"/>
        <w:outlineLvl w:val="3"/>
        <w:rPr>
          <w:rFonts w:asciiTheme="majorHAnsi" w:hAnsiTheme="majorHAnsi"/>
          <w:b/>
          <w:sz w:val="20"/>
          <w:lang w:val="fr-FR" w:eastAsia="fr-FR" w:bidi="en-US"/>
        </w:rPr>
      </w:pPr>
      <w:r w:rsidRPr="00BC0135">
        <w:rPr>
          <w:rFonts w:asciiTheme="majorHAnsi" w:hAnsiTheme="majorHAnsi"/>
          <w:b/>
          <w:sz w:val="20"/>
          <w:lang w:val="fr-FR" w:eastAsia="fr-FR" w:bidi="en-US"/>
        </w:rPr>
        <w:t>Article 2</w:t>
      </w:r>
    </w:p>
    <w:p w:rsidR="00BC0135" w:rsidRPr="00BC0135" w:rsidRDefault="00BC0135" w:rsidP="00BC0135">
      <w:pPr>
        <w:spacing w:before="120" w:after="120"/>
        <w:ind w:left="425" w:firstLine="142"/>
        <w:rPr>
          <w:sz w:val="20"/>
          <w:lang w:val="fr-FR" w:eastAsia="fr-FR"/>
        </w:rPr>
      </w:pPr>
      <w:r w:rsidRPr="00BC0135">
        <w:rPr>
          <w:sz w:val="20"/>
          <w:lang w:val="fr-FR" w:eastAsia="fr-FR"/>
        </w:rPr>
        <w:t>« 1.  Le droit de toute personne à la vie est protégé par la loi (...) »</w:t>
      </w:r>
    </w:p>
    <w:p w:rsidR="00BC0135" w:rsidRDefault="00BC0135" w:rsidP="00BC0135">
      <w:pPr>
        <w:keepNext/>
        <w:keepLines/>
        <w:spacing w:before="240" w:after="120"/>
        <w:jc w:val="center"/>
        <w:outlineLvl w:val="3"/>
        <w:rPr>
          <w:rFonts w:asciiTheme="majorHAnsi" w:hAnsiTheme="majorHAnsi"/>
          <w:b/>
          <w:sz w:val="20"/>
          <w:lang w:val="fr-FR" w:eastAsia="fr-FR" w:bidi="en-US"/>
        </w:rPr>
      </w:pPr>
      <w:r w:rsidRPr="00BC0135">
        <w:rPr>
          <w:rFonts w:asciiTheme="majorHAnsi" w:hAnsiTheme="majorHAnsi"/>
          <w:b/>
          <w:sz w:val="20"/>
          <w:lang w:val="fr-FR" w:eastAsia="fr-FR" w:bidi="en-US"/>
        </w:rPr>
        <w:t>Article 3</w:t>
      </w:r>
    </w:p>
    <w:p w:rsidR="00BC0135" w:rsidRPr="00BC0135" w:rsidRDefault="00BC0135" w:rsidP="00BC0135">
      <w:pPr>
        <w:spacing w:before="120" w:after="120"/>
        <w:ind w:left="425" w:firstLine="142"/>
        <w:rPr>
          <w:sz w:val="20"/>
          <w:lang w:val="fr-FR" w:eastAsia="fr-FR" w:bidi="en-US"/>
        </w:rPr>
      </w:pPr>
      <w:r w:rsidRPr="00BC0135">
        <w:rPr>
          <w:sz w:val="20"/>
          <w:lang w:val="fr-FR" w:eastAsia="fr-FR"/>
        </w:rPr>
        <w:t>« Nul ne peut être soumis à la torture ni à des peines ou traitements inhumains ou dégradants. »</w:t>
      </w:r>
    </w:p>
    <w:p w:rsidR="00BC0135" w:rsidRPr="00BC0135" w:rsidRDefault="00BC0135" w:rsidP="00BC0135">
      <w:pPr>
        <w:keepNext/>
        <w:keepLines/>
        <w:spacing w:before="240" w:after="120"/>
        <w:jc w:val="center"/>
        <w:outlineLvl w:val="3"/>
        <w:rPr>
          <w:rFonts w:asciiTheme="majorHAnsi" w:hAnsiTheme="majorHAnsi"/>
          <w:b/>
          <w:sz w:val="20"/>
          <w:lang w:val="fr-FR" w:eastAsia="fr-FR" w:bidi="en-US"/>
        </w:rPr>
      </w:pPr>
      <w:r w:rsidRPr="00BC0135">
        <w:rPr>
          <w:rFonts w:asciiTheme="majorHAnsi" w:hAnsiTheme="majorHAnsi"/>
          <w:b/>
          <w:sz w:val="20"/>
          <w:lang w:val="fr-FR" w:eastAsia="fr-FR" w:bidi="en-US"/>
        </w:rPr>
        <w:t>Article 13</w:t>
      </w:r>
    </w:p>
    <w:p w:rsidR="00BC0135" w:rsidRPr="00BC0135" w:rsidRDefault="00BC0135" w:rsidP="00BC0135">
      <w:pPr>
        <w:spacing w:before="120" w:after="120"/>
        <w:ind w:left="425" w:firstLine="142"/>
        <w:rPr>
          <w:sz w:val="20"/>
          <w:lang w:val="fr-FR" w:eastAsia="fr-FR"/>
        </w:rPr>
      </w:pPr>
      <w:r w:rsidRPr="00BC0135">
        <w:rPr>
          <w:sz w:val="20"/>
          <w:lang w:val="fr-FR" w:eastAsia="fr-FR"/>
        </w:rPr>
        <w:t>« Toute personne dont les droits et libertés reconnus dans la (...) Convention ont été violés, a droit à l</w:t>
      </w:r>
      <w:r w:rsidR="00A977F5">
        <w:rPr>
          <w:sz w:val="20"/>
          <w:lang w:val="fr-FR" w:eastAsia="fr-FR"/>
        </w:rPr>
        <w:t>’</w:t>
      </w:r>
      <w:r w:rsidRPr="00BC0135">
        <w:rPr>
          <w:sz w:val="20"/>
          <w:lang w:val="fr-FR" w:eastAsia="fr-FR"/>
        </w:rPr>
        <w:t>octroi d</w:t>
      </w:r>
      <w:r w:rsidR="00A977F5">
        <w:rPr>
          <w:sz w:val="20"/>
          <w:lang w:val="fr-FR" w:eastAsia="fr-FR"/>
        </w:rPr>
        <w:t>’</w:t>
      </w:r>
      <w:r w:rsidRPr="00BC0135">
        <w:rPr>
          <w:sz w:val="20"/>
          <w:lang w:val="fr-FR" w:eastAsia="fr-FR"/>
        </w:rPr>
        <w:t>un recours effectif devant une instance nationale (...) »</w:t>
      </w:r>
    </w:p>
    <w:p w:rsidR="00BC0135" w:rsidRDefault="00BC0135" w:rsidP="00BC0135">
      <w:pPr>
        <w:keepNext/>
        <w:keepLines/>
        <w:tabs>
          <w:tab w:val="left" w:pos="584"/>
        </w:tabs>
        <w:spacing w:before="360" w:after="240"/>
        <w:ind w:left="584" w:hanging="352"/>
        <w:outlineLvl w:val="1"/>
        <w:rPr>
          <w:rFonts w:asciiTheme="majorHAnsi" w:eastAsiaTheme="majorEastAsia" w:hAnsiTheme="majorHAnsi" w:cstheme="majorBidi"/>
          <w:b/>
          <w:bCs/>
          <w:szCs w:val="26"/>
          <w:lang w:val="fr-FR" w:eastAsia="fr-FR"/>
        </w:rPr>
      </w:pPr>
      <w:r w:rsidRPr="00BC0135">
        <w:rPr>
          <w:rFonts w:asciiTheme="majorHAnsi" w:eastAsiaTheme="majorEastAsia" w:hAnsiTheme="majorHAnsi" w:cstheme="majorBidi"/>
          <w:b/>
          <w:bCs/>
          <w:szCs w:val="26"/>
          <w:lang w:val="fr-FR" w:eastAsia="fr-FR"/>
        </w:rPr>
        <w:t>A  Sur la recevabilité</w:t>
      </w:r>
    </w:p>
    <w:p w:rsidR="00BC0135" w:rsidRP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65</w:t>
      </w:r>
      <w:r w:rsidRPr="00BC0135">
        <w:rPr>
          <w:noProof/>
          <w:lang w:val="fr-FR" w:eastAsia="fr-FR"/>
        </w:rPr>
        <w:fldChar w:fldCharType="end"/>
      </w:r>
      <w:r w:rsidRPr="00BC0135">
        <w:rPr>
          <w:lang w:val="fr-FR" w:eastAsia="fr-FR"/>
        </w:rPr>
        <w:t>.  Le Gouvernement excipe du non-épuisement des voies de recours internes. Il fait valoir qu</w:t>
      </w:r>
      <w:r w:rsidR="00A977F5">
        <w:rPr>
          <w:lang w:val="fr-FR" w:eastAsia="fr-FR"/>
        </w:rPr>
        <w:t>’</w:t>
      </w:r>
      <w:r w:rsidRPr="00BC0135">
        <w:rPr>
          <w:lang w:val="fr-FR" w:eastAsia="fr-FR"/>
        </w:rPr>
        <w:t>après avoir pris connaissance de la décision de la chambre du contentieux administratif de l</w:t>
      </w:r>
      <w:r w:rsidR="00A977F5">
        <w:rPr>
          <w:lang w:val="fr-FR" w:eastAsia="fr-FR"/>
        </w:rPr>
        <w:t>’</w:t>
      </w:r>
      <w:r w:rsidRPr="00BC0135">
        <w:rPr>
          <w:i/>
          <w:lang w:val="fr-FR" w:eastAsia="fr-FR"/>
        </w:rPr>
        <w:t>Audiencia Nacional</w:t>
      </w:r>
      <w:r w:rsidRPr="00BC0135">
        <w:rPr>
          <w:lang w:val="fr-FR" w:eastAsia="fr-FR"/>
        </w:rPr>
        <w:t xml:space="preserve"> de ne pas suspendre les ordres d</w:t>
      </w:r>
      <w:r w:rsidR="00A977F5">
        <w:rPr>
          <w:lang w:val="fr-FR" w:eastAsia="fr-FR"/>
        </w:rPr>
        <w:t>’</w:t>
      </w:r>
      <w:r w:rsidRPr="00BC0135">
        <w:rPr>
          <w:lang w:val="fr-FR" w:eastAsia="fr-FR"/>
        </w:rPr>
        <w:t>expulsion du territoire national pris à leur encontre, les requérants ont directement saisi la Cour pour solliciter l</w:t>
      </w:r>
      <w:r w:rsidR="00A977F5">
        <w:rPr>
          <w:lang w:val="fr-FR" w:eastAsia="fr-FR"/>
        </w:rPr>
        <w:t>’</w:t>
      </w:r>
      <w:r w:rsidRPr="00BC0135">
        <w:rPr>
          <w:lang w:val="fr-FR" w:eastAsia="fr-FR"/>
        </w:rPr>
        <w:t>adoption de mesures provisoires et présenter aussitôt leurs requêtes. Or, expose-t-il, il n</w:t>
      </w:r>
      <w:r w:rsidR="00A977F5">
        <w:rPr>
          <w:lang w:val="fr-FR" w:eastAsia="fr-FR"/>
        </w:rPr>
        <w:t>’</w:t>
      </w:r>
      <w:r w:rsidRPr="00BC0135">
        <w:rPr>
          <w:lang w:val="fr-FR" w:eastAsia="fr-FR"/>
        </w:rPr>
        <w:t>apparaît pas qu</w:t>
      </w:r>
      <w:r w:rsidR="00A977F5">
        <w:rPr>
          <w:lang w:val="fr-FR" w:eastAsia="fr-FR"/>
        </w:rPr>
        <w:t>’</w:t>
      </w:r>
      <w:r w:rsidRPr="00BC0135">
        <w:rPr>
          <w:lang w:val="fr-FR" w:eastAsia="fr-FR"/>
        </w:rPr>
        <w:t>un quelconque recours ait été formé contre la décision de l</w:t>
      </w:r>
      <w:r w:rsidR="00A977F5">
        <w:rPr>
          <w:lang w:val="fr-FR" w:eastAsia="fr-FR"/>
        </w:rPr>
        <w:t>’</w:t>
      </w:r>
      <w:r w:rsidRPr="00BC0135">
        <w:rPr>
          <w:i/>
          <w:lang w:val="fr-FR" w:eastAsia="fr-FR"/>
        </w:rPr>
        <w:t>Audiencia Nacional</w:t>
      </w:r>
      <w:r w:rsidRPr="00BC0135">
        <w:rPr>
          <w:lang w:val="fr-FR" w:eastAsia="fr-FR"/>
        </w:rPr>
        <w:t xml:space="preserve"> mettant fin au sursis provisoire à l</w:t>
      </w:r>
      <w:r w:rsidR="00A977F5">
        <w:rPr>
          <w:lang w:val="fr-FR" w:eastAsia="fr-FR"/>
        </w:rPr>
        <w:t>’</w:t>
      </w:r>
      <w:r w:rsidRPr="00BC0135">
        <w:rPr>
          <w:lang w:val="fr-FR" w:eastAsia="fr-FR"/>
        </w:rPr>
        <w:t>exécution de l</w:t>
      </w:r>
      <w:r w:rsidR="00A977F5">
        <w:rPr>
          <w:lang w:val="fr-FR" w:eastAsia="fr-FR"/>
        </w:rPr>
        <w:t>’</w:t>
      </w:r>
      <w:r w:rsidRPr="00BC0135">
        <w:rPr>
          <w:lang w:val="fr-FR" w:eastAsia="fr-FR"/>
        </w:rPr>
        <w:t xml:space="preserve">expulsion (paragraphe </w:t>
      </w:r>
      <w:r w:rsidRPr="00BC0135">
        <w:rPr>
          <w:lang w:val="fr-FR" w:eastAsia="fr-FR"/>
        </w:rPr>
        <w:fldChar w:fldCharType="begin"/>
      </w:r>
      <w:r w:rsidRPr="00BC0135">
        <w:rPr>
          <w:lang w:val="fr-FR" w:eastAsia="fr-FR"/>
        </w:rPr>
        <w:instrText xml:space="preserve"> REF cautelarisima  \* MERGEFORMAT </w:instrText>
      </w:r>
      <w:r w:rsidRPr="00BC0135">
        <w:rPr>
          <w:lang w:val="fr-FR" w:eastAsia="fr-FR"/>
        </w:rPr>
        <w:fldChar w:fldCharType="separate"/>
      </w:r>
      <w:r w:rsidR="000A2932">
        <w:rPr>
          <w:noProof/>
          <w:lang w:val="fr-FR" w:eastAsia="fr-FR"/>
        </w:rPr>
        <w:t>44</w:t>
      </w:r>
      <w:r w:rsidRPr="00BC0135">
        <w:rPr>
          <w:noProof/>
          <w:lang w:val="fr-FR" w:eastAsia="fr-FR"/>
        </w:rPr>
        <w:fldChar w:fldCharType="end"/>
      </w:r>
      <w:r w:rsidRPr="00BC0135">
        <w:rPr>
          <w:lang w:val="fr-FR" w:eastAsia="fr-FR"/>
        </w:rPr>
        <w:t xml:space="preserve"> ci-dessus) que ce soit auprès du Tribunal </w:t>
      </w:r>
      <w:r w:rsidRPr="00BC0135">
        <w:rPr>
          <w:lang w:val="fr-FR" w:eastAsia="fr-FR"/>
        </w:rPr>
        <w:lastRenderedPageBreak/>
        <w:t>suprême ou auprès du Tribunal constitutionnel. De même, aucune mesure provisoire conservatoire n</w:t>
      </w:r>
      <w:r w:rsidR="00A977F5">
        <w:rPr>
          <w:lang w:val="fr-FR" w:eastAsia="fr-FR"/>
        </w:rPr>
        <w:t>’</w:t>
      </w:r>
      <w:r w:rsidRPr="00BC0135">
        <w:rPr>
          <w:lang w:val="fr-FR" w:eastAsia="fr-FR"/>
        </w:rPr>
        <w:t>a été demandée à l</w:t>
      </w:r>
      <w:r w:rsidR="00A977F5">
        <w:rPr>
          <w:lang w:val="fr-FR" w:eastAsia="fr-FR"/>
        </w:rPr>
        <w:t>’</w:t>
      </w:r>
      <w:r w:rsidRPr="00BC0135">
        <w:rPr>
          <w:lang w:val="fr-FR" w:eastAsia="fr-FR"/>
        </w:rPr>
        <w:t>une ou l</w:t>
      </w:r>
      <w:r w:rsidR="00A977F5">
        <w:rPr>
          <w:lang w:val="fr-FR" w:eastAsia="fr-FR"/>
        </w:rPr>
        <w:t>’</w:t>
      </w:r>
      <w:r w:rsidRPr="00BC0135">
        <w:rPr>
          <w:lang w:val="fr-FR" w:eastAsia="fr-FR"/>
        </w:rPr>
        <w:t>autre de ces deux juridictions après la levée du sursis par l</w:t>
      </w:r>
      <w:r w:rsidR="00A977F5">
        <w:rPr>
          <w:lang w:val="fr-FR" w:eastAsia="fr-FR"/>
        </w:rPr>
        <w:t>’</w:t>
      </w:r>
      <w:r w:rsidRPr="00BC0135">
        <w:rPr>
          <w:i/>
          <w:lang w:val="fr-FR" w:eastAsia="fr-FR"/>
        </w:rPr>
        <w:t>Audiencia Nacional</w:t>
      </w:r>
      <w:r w:rsidRPr="00BC0135">
        <w:rPr>
          <w:lang w:val="fr-FR" w:eastAsia="fr-FR"/>
        </w:rPr>
        <w:t>. Par conséquent, les voies de recours internes n</w:t>
      </w:r>
      <w:r w:rsidR="00A977F5">
        <w:rPr>
          <w:lang w:val="fr-FR" w:eastAsia="fr-FR"/>
        </w:rPr>
        <w:t>’</w:t>
      </w:r>
      <w:r w:rsidRPr="00BC0135">
        <w:rPr>
          <w:lang w:val="fr-FR" w:eastAsia="fr-FR"/>
        </w:rPr>
        <w:t xml:space="preserve">ont pas été épuisées. En outre, les affaires au principal sont toujours en cours auprès des organes juridictionnels espagnols (paragraphe </w:t>
      </w:r>
      <w:r w:rsidRPr="00BC0135">
        <w:rPr>
          <w:lang w:val="fr-FR" w:eastAsia="fr-FR"/>
        </w:rPr>
        <w:fldChar w:fldCharType="begin"/>
      </w:r>
      <w:r w:rsidRPr="00BC0135">
        <w:rPr>
          <w:lang w:val="fr-FR" w:eastAsia="fr-FR"/>
        </w:rPr>
        <w:instrText xml:space="preserve"> REF pourvoiscassation  \* MERGEFORMAT </w:instrText>
      </w:r>
      <w:r w:rsidRPr="00BC0135">
        <w:rPr>
          <w:lang w:val="fr-FR" w:eastAsia="fr-FR"/>
        </w:rPr>
        <w:fldChar w:fldCharType="separate"/>
      </w:r>
      <w:r w:rsidR="000A2932">
        <w:rPr>
          <w:noProof/>
          <w:lang w:val="fr-FR" w:eastAsia="fr-FR"/>
        </w:rPr>
        <w:t>46</w:t>
      </w:r>
      <w:r w:rsidRPr="00BC0135">
        <w:rPr>
          <w:noProof/>
          <w:lang w:val="fr-FR" w:eastAsia="fr-FR"/>
        </w:rPr>
        <w:fldChar w:fldCharType="end"/>
      </w:r>
      <w:r w:rsidRPr="00BC0135">
        <w:rPr>
          <w:lang w:val="fr-FR" w:eastAsia="fr-FR"/>
        </w:rPr>
        <w:t xml:space="preserve"> ci-dessus).</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66</w:t>
      </w:r>
      <w:r w:rsidRPr="00BC0135">
        <w:rPr>
          <w:noProof/>
          <w:lang w:val="fr-FR" w:eastAsia="fr-FR"/>
        </w:rPr>
        <w:fldChar w:fldCharType="end"/>
      </w:r>
      <w:r w:rsidRPr="00BC0135">
        <w:rPr>
          <w:lang w:val="fr-FR" w:eastAsia="fr-FR"/>
        </w:rPr>
        <w:t>.  Dans leurs observations en réplique, les requérants rappellent qu</w:t>
      </w:r>
      <w:r w:rsidR="00A977F5">
        <w:rPr>
          <w:lang w:val="fr-FR" w:eastAsia="fr-FR"/>
        </w:rPr>
        <w:t>’</w:t>
      </w:r>
      <w:r w:rsidRPr="00BC0135">
        <w:rPr>
          <w:lang w:val="fr-FR" w:eastAsia="fr-FR"/>
        </w:rPr>
        <w:t>après le rejet de leurs demandes de mesures provisoires présentées auprès de l</w:t>
      </w:r>
      <w:r w:rsidR="00A977F5">
        <w:rPr>
          <w:lang w:val="fr-FR" w:eastAsia="fr-FR"/>
        </w:rPr>
        <w:t>’</w:t>
      </w:r>
      <w:r w:rsidRPr="00BC0135">
        <w:rPr>
          <w:i/>
          <w:lang w:val="fr-FR" w:eastAsia="fr-FR"/>
        </w:rPr>
        <w:t>Audiencia Nacional</w:t>
      </w:r>
      <w:r w:rsidRPr="00BC0135">
        <w:rPr>
          <w:lang w:val="fr-FR" w:eastAsia="fr-FR"/>
        </w:rPr>
        <w:t>, ils pouvaient être expulsés à tout moment.</w:t>
      </w:r>
    </w:p>
    <w:p w:rsidR="00BC0135" w:rsidRP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67</w:t>
      </w:r>
      <w:r w:rsidRPr="00BC0135">
        <w:rPr>
          <w:noProof/>
          <w:lang w:val="fr-FR" w:eastAsia="fr-FR"/>
        </w:rPr>
        <w:fldChar w:fldCharType="end"/>
      </w:r>
      <w:r w:rsidRPr="00BC0135">
        <w:rPr>
          <w:lang w:val="fr-FR" w:eastAsia="fr-FR"/>
        </w:rPr>
        <w:t>.  </w:t>
      </w:r>
      <w:bookmarkStart w:id="9" w:name="OLE_LINK1"/>
      <w:r w:rsidRPr="00BC0135">
        <w:rPr>
          <w:lang w:val="fr-FR" w:eastAsia="fr-FR"/>
        </w:rPr>
        <w:t>La Cour considère que les arguments avancés par le Gouvernement sont étroitement liés à la substance des griefs énoncés par les requérants. Elle estime par conséquent qu</w:t>
      </w:r>
      <w:r w:rsidR="00A977F5">
        <w:rPr>
          <w:lang w:val="fr-FR" w:eastAsia="fr-FR"/>
        </w:rPr>
        <w:t>’</w:t>
      </w:r>
      <w:r w:rsidRPr="00BC0135">
        <w:rPr>
          <w:lang w:val="fr-FR" w:eastAsia="fr-FR"/>
        </w:rPr>
        <w:t>il y a lieu de joindre l</w:t>
      </w:r>
      <w:r w:rsidR="00A977F5">
        <w:rPr>
          <w:lang w:val="fr-FR" w:eastAsia="fr-FR"/>
        </w:rPr>
        <w:t>’</w:t>
      </w:r>
      <w:r w:rsidRPr="00BC0135">
        <w:rPr>
          <w:lang w:val="fr-FR" w:eastAsia="fr-FR"/>
        </w:rPr>
        <w:t>exception au fond (</w:t>
      </w:r>
      <w:r w:rsidRPr="00BC0135">
        <w:rPr>
          <w:i/>
          <w:lang w:val="fr-FR" w:eastAsia="fr-FR"/>
        </w:rPr>
        <w:t>Mohammed c. Autriche</w:t>
      </w:r>
      <w:r w:rsidRPr="00BC0135">
        <w:rPr>
          <w:lang w:val="fr-FR" w:eastAsia="fr-FR"/>
        </w:rPr>
        <w:t>, n</w:t>
      </w:r>
      <w:r w:rsidRPr="00BC0135">
        <w:rPr>
          <w:vertAlign w:val="superscript"/>
          <w:lang w:val="fr-FR" w:eastAsia="fr-FR"/>
        </w:rPr>
        <w:t>o</w:t>
      </w:r>
      <w:r w:rsidRPr="00BC0135">
        <w:rPr>
          <w:lang w:val="fr-FR" w:eastAsia="fr-FR"/>
        </w:rPr>
        <w:t> 2283/12, § 63, 6 juin 2013).</w:t>
      </w:r>
    </w:p>
    <w:p w:rsidR="00BC0135" w:rsidRPr="00BC0135" w:rsidRDefault="00BC0135" w:rsidP="00BC0135">
      <w:pPr>
        <w:keepNext/>
        <w:keepLines/>
        <w:tabs>
          <w:tab w:val="left" w:pos="584"/>
        </w:tabs>
        <w:spacing w:before="360" w:after="240"/>
        <w:ind w:left="584" w:hanging="352"/>
        <w:outlineLvl w:val="1"/>
        <w:rPr>
          <w:rFonts w:asciiTheme="majorHAnsi" w:eastAsiaTheme="majorEastAsia" w:hAnsiTheme="majorHAnsi" w:cstheme="majorBidi"/>
          <w:b/>
          <w:bCs/>
          <w:szCs w:val="26"/>
          <w:lang w:val="fr-FR" w:eastAsia="fr-FR"/>
        </w:rPr>
      </w:pPr>
      <w:r w:rsidRPr="00BC0135">
        <w:rPr>
          <w:rFonts w:asciiTheme="majorHAnsi" w:eastAsiaTheme="majorEastAsia" w:hAnsiTheme="majorHAnsi" w:cstheme="majorBidi"/>
          <w:b/>
          <w:bCs/>
          <w:szCs w:val="26"/>
          <w:lang w:val="fr-FR" w:eastAsia="fr-FR"/>
        </w:rPr>
        <w:t>B.  Sur le bien-fondé</w:t>
      </w:r>
    </w:p>
    <w:p w:rsidR="00BC0135" w:rsidRPr="00BC0135" w:rsidRDefault="00BC0135" w:rsidP="00BC0135">
      <w:pPr>
        <w:keepNext/>
        <w:keepLines/>
        <w:tabs>
          <w:tab w:val="left" w:pos="731"/>
        </w:tabs>
        <w:spacing w:before="240" w:after="120"/>
        <w:ind w:left="732" w:hanging="301"/>
        <w:outlineLvl w:val="2"/>
        <w:rPr>
          <w:rFonts w:asciiTheme="majorHAnsi" w:eastAsiaTheme="majorEastAsia" w:hAnsiTheme="majorHAnsi" w:cstheme="majorBidi"/>
          <w:bCs/>
          <w:i/>
          <w:lang w:val="fr-FR" w:eastAsia="fr-FR"/>
        </w:rPr>
      </w:pPr>
      <w:r w:rsidRPr="00BC0135">
        <w:rPr>
          <w:rFonts w:asciiTheme="majorHAnsi" w:eastAsiaTheme="majorEastAsia" w:hAnsiTheme="majorHAnsi" w:cstheme="majorBidi"/>
          <w:bCs/>
          <w:i/>
          <w:lang w:val="fr-FR" w:eastAsia="fr-FR"/>
        </w:rPr>
        <w:t>1.  Arguments des parties</w:t>
      </w:r>
    </w:p>
    <w:p w:rsidR="00BC0135" w:rsidRPr="00BC0135" w:rsidRDefault="00BC0135" w:rsidP="00BC0135">
      <w:pPr>
        <w:keepNext/>
        <w:keepLines/>
        <w:tabs>
          <w:tab w:val="left" w:pos="975"/>
        </w:tabs>
        <w:spacing w:before="240" w:after="120"/>
        <w:ind w:left="975" w:hanging="340"/>
        <w:outlineLvl w:val="3"/>
        <w:rPr>
          <w:rFonts w:asciiTheme="majorHAnsi" w:eastAsiaTheme="majorEastAsia" w:hAnsiTheme="majorHAnsi" w:cstheme="majorBidi"/>
          <w:b/>
          <w:bCs/>
          <w:iCs/>
          <w:sz w:val="20"/>
          <w:lang w:val="fr-FR" w:eastAsia="fr-FR"/>
        </w:rPr>
      </w:pPr>
      <w:r w:rsidRPr="00BC0135">
        <w:rPr>
          <w:rFonts w:asciiTheme="majorHAnsi" w:eastAsiaTheme="majorEastAsia" w:hAnsiTheme="majorHAnsi" w:cstheme="majorBidi"/>
          <w:b/>
          <w:bCs/>
          <w:iCs/>
          <w:sz w:val="20"/>
          <w:lang w:val="fr-FR" w:eastAsia="fr-FR"/>
        </w:rPr>
        <w:t>a)  Le Gouvernement</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68</w:t>
      </w:r>
      <w:r w:rsidRPr="00BC0135">
        <w:rPr>
          <w:noProof/>
          <w:lang w:val="fr-FR" w:eastAsia="fr-FR"/>
        </w:rPr>
        <w:fldChar w:fldCharType="end"/>
      </w:r>
      <w:r w:rsidRPr="00BC0135">
        <w:rPr>
          <w:lang w:val="fr-FR" w:eastAsia="fr-FR"/>
        </w:rPr>
        <w:t>.  Le Gouvernement indique que la procédure administrative et judiciaire espagnole relative à l</w:t>
      </w:r>
      <w:r w:rsidR="00A977F5">
        <w:rPr>
          <w:lang w:val="fr-FR" w:eastAsia="fr-FR"/>
        </w:rPr>
        <w:t>’</w:t>
      </w:r>
      <w:r w:rsidRPr="00BC0135">
        <w:rPr>
          <w:lang w:val="fr-FR" w:eastAsia="fr-FR"/>
        </w:rPr>
        <w:t>exercice du droit à l</w:t>
      </w:r>
      <w:r w:rsidR="00A977F5">
        <w:rPr>
          <w:lang w:val="fr-FR" w:eastAsia="fr-FR"/>
        </w:rPr>
        <w:t>’</w:t>
      </w:r>
      <w:r w:rsidRPr="00BC0135">
        <w:rPr>
          <w:lang w:val="fr-FR" w:eastAsia="fr-FR"/>
        </w:rPr>
        <w:t>asile ou à la protection internationale comprend deux phases : une phase administrative et une phase judiciaire.</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69</w:t>
      </w:r>
      <w:r w:rsidRPr="00BC0135">
        <w:rPr>
          <w:noProof/>
          <w:lang w:val="fr-FR" w:eastAsia="fr-FR"/>
        </w:rPr>
        <w:fldChar w:fldCharType="end"/>
      </w:r>
      <w:r w:rsidRPr="00BC0135">
        <w:rPr>
          <w:lang w:val="fr-FR" w:eastAsia="fr-FR"/>
        </w:rPr>
        <w:t>.  La phase administrative, relevant du ministre de l</w:t>
      </w:r>
      <w:r w:rsidR="00A977F5">
        <w:rPr>
          <w:lang w:val="fr-FR" w:eastAsia="fr-FR"/>
        </w:rPr>
        <w:t>’</w:t>
      </w:r>
      <w:r w:rsidRPr="00BC0135">
        <w:rPr>
          <w:lang w:val="fr-FR" w:eastAsia="fr-FR"/>
        </w:rPr>
        <w:t>Intérieur, est assortie des garanties prévues par l</w:t>
      </w:r>
      <w:r w:rsidR="00A977F5">
        <w:rPr>
          <w:lang w:val="fr-FR" w:eastAsia="fr-FR"/>
        </w:rPr>
        <w:t>’</w:t>
      </w:r>
      <w:r w:rsidRPr="00BC0135">
        <w:rPr>
          <w:lang w:val="fr-FR" w:eastAsia="fr-FR"/>
        </w:rPr>
        <w:t>article 18 de la loi sur le droit d</w:t>
      </w:r>
      <w:r w:rsidR="00A977F5">
        <w:rPr>
          <w:lang w:val="fr-FR" w:eastAsia="fr-FR"/>
        </w:rPr>
        <w:t>’</w:t>
      </w:r>
      <w:r w:rsidRPr="00BC0135">
        <w:rPr>
          <w:lang w:val="fr-FR" w:eastAsia="fr-FR"/>
        </w:rPr>
        <w:t>asile, au nombre desquelles figure l</w:t>
      </w:r>
      <w:r w:rsidR="00A977F5">
        <w:rPr>
          <w:lang w:val="fr-FR" w:eastAsia="fr-FR"/>
        </w:rPr>
        <w:t>’</w:t>
      </w:r>
      <w:r w:rsidRPr="00BC0135">
        <w:rPr>
          <w:lang w:val="fr-FR" w:eastAsia="fr-FR"/>
        </w:rPr>
        <w:t>assistance d</w:t>
      </w:r>
      <w:r w:rsidR="00A977F5">
        <w:rPr>
          <w:lang w:val="fr-FR" w:eastAsia="fr-FR"/>
        </w:rPr>
        <w:t>’</w:t>
      </w:r>
      <w:r w:rsidRPr="00BC0135">
        <w:rPr>
          <w:lang w:val="fr-FR" w:eastAsia="fr-FR"/>
        </w:rPr>
        <w:t>un avocat et d</w:t>
      </w:r>
      <w:r w:rsidR="00A977F5">
        <w:rPr>
          <w:lang w:val="fr-FR" w:eastAsia="fr-FR"/>
        </w:rPr>
        <w:t>’</w:t>
      </w:r>
      <w:r w:rsidRPr="00BC0135">
        <w:rPr>
          <w:lang w:val="fr-FR" w:eastAsia="fr-FR"/>
        </w:rPr>
        <w:t xml:space="preserve">un interprète (paragraphe </w:t>
      </w:r>
      <w:r w:rsidRPr="00BC0135">
        <w:rPr>
          <w:lang w:val="fr-FR" w:eastAsia="fr-FR"/>
        </w:rPr>
        <w:fldChar w:fldCharType="begin"/>
      </w:r>
      <w:r w:rsidRPr="00BC0135">
        <w:rPr>
          <w:lang w:val="fr-FR" w:eastAsia="fr-FR"/>
        </w:rPr>
        <w:instrText xml:space="preserve"> REF art18asile  \* MERGEFORMAT </w:instrText>
      </w:r>
      <w:r w:rsidRPr="00BC0135">
        <w:rPr>
          <w:lang w:val="fr-FR" w:eastAsia="fr-FR"/>
        </w:rPr>
        <w:fldChar w:fldCharType="separate"/>
      </w:r>
      <w:r w:rsidR="000A2932">
        <w:rPr>
          <w:noProof/>
          <w:lang w:val="fr-FR" w:eastAsia="fr-FR"/>
        </w:rPr>
        <w:t>60</w:t>
      </w:r>
      <w:r w:rsidRPr="00BC0135">
        <w:rPr>
          <w:noProof/>
          <w:lang w:val="fr-FR" w:eastAsia="fr-FR"/>
        </w:rPr>
        <w:fldChar w:fldCharType="end"/>
      </w:r>
      <w:r w:rsidRPr="00BC0135">
        <w:rPr>
          <w:lang w:val="fr-FR" w:eastAsia="fr-FR"/>
        </w:rPr>
        <w:t xml:space="preserve"> ci-dessus). Après un premier examen de la demande d</w:t>
      </w:r>
      <w:r w:rsidR="00A977F5">
        <w:rPr>
          <w:lang w:val="fr-FR" w:eastAsia="fr-FR"/>
        </w:rPr>
        <w:t>’</w:t>
      </w:r>
      <w:r w:rsidRPr="00BC0135">
        <w:rPr>
          <w:lang w:val="fr-FR" w:eastAsia="fr-FR"/>
        </w:rPr>
        <w:t>asile, si celle-ci est rejetée, l</w:t>
      </w:r>
      <w:r w:rsidR="00A977F5">
        <w:rPr>
          <w:lang w:val="fr-FR" w:eastAsia="fr-FR"/>
        </w:rPr>
        <w:t>’</w:t>
      </w:r>
      <w:r w:rsidRPr="00BC0135">
        <w:rPr>
          <w:lang w:val="fr-FR" w:eastAsia="fr-FR"/>
        </w:rPr>
        <w:t>intéressé a le droit de demander aux autorités administratives un réexamen de sa demande et de présenter de nouveaux arguments, voire de nouvelles preuves.</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70</w:t>
      </w:r>
      <w:r w:rsidRPr="00BC0135">
        <w:rPr>
          <w:noProof/>
          <w:lang w:val="fr-FR" w:eastAsia="fr-FR"/>
        </w:rPr>
        <w:fldChar w:fldCharType="end"/>
      </w:r>
      <w:r w:rsidRPr="00BC0135">
        <w:rPr>
          <w:lang w:val="fr-FR" w:eastAsia="fr-FR"/>
        </w:rPr>
        <w:t>.  Le Gouvernement souligne que, conformément aux articles 34 et 35 de la loi sur le droit d</w:t>
      </w:r>
      <w:r w:rsidR="00A977F5">
        <w:rPr>
          <w:lang w:val="fr-FR" w:eastAsia="fr-FR"/>
        </w:rPr>
        <w:t>’</w:t>
      </w:r>
      <w:r w:rsidRPr="00BC0135">
        <w:rPr>
          <w:lang w:val="fr-FR" w:eastAsia="fr-FR"/>
        </w:rPr>
        <w:t xml:space="preserve">asile (paragraphe </w:t>
      </w:r>
      <w:r w:rsidRPr="00BC0135">
        <w:rPr>
          <w:lang w:val="fr-FR" w:eastAsia="fr-FR"/>
        </w:rPr>
        <w:fldChar w:fldCharType="begin"/>
      </w:r>
      <w:r w:rsidRPr="00BC0135">
        <w:rPr>
          <w:lang w:val="fr-FR" w:eastAsia="fr-FR"/>
        </w:rPr>
        <w:instrText xml:space="preserve"> REF art18asile  \* MERGEFORMAT </w:instrText>
      </w:r>
      <w:r w:rsidRPr="00BC0135">
        <w:rPr>
          <w:lang w:val="fr-FR" w:eastAsia="fr-FR"/>
        </w:rPr>
        <w:fldChar w:fldCharType="separate"/>
      </w:r>
      <w:r w:rsidR="000A2932">
        <w:rPr>
          <w:noProof/>
          <w:lang w:val="fr-FR" w:eastAsia="fr-FR"/>
        </w:rPr>
        <w:t>60</w:t>
      </w:r>
      <w:r w:rsidRPr="00BC0135">
        <w:rPr>
          <w:noProof/>
          <w:lang w:val="fr-FR" w:eastAsia="fr-FR"/>
        </w:rPr>
        <w:fldChar w:fldCharType="end"/>
      </w:r>
      <w:r w:rsidRPr="00BC0135">
        <w:rPr>
          <w:lang w:val="fr-FR" w:eastAsia="fr-FR"/>
        </w:rPr>
        <w:t xml:space="preserve"> ci-dessus), de très vastes prérogatives sont attribuées au HCR des Nations unies pour intervenir dans la procédure : le HCR peut notamment se faire communiquer toutes les demandes par l</w:t>
      </w:r>
      <w:r w:rsidR="00A977F5">
        <w:rPr>
          <w:lang w:val="fr-FR" w:eastAsia="fr-FR"/>
        </w:rPr>
        <w:t>’</w:t>
      </w:r>
      <w:r w:rsidRPr="00BC0135">
        <w:rPr>
          <w:lang w:val="fr-FR" w:eastAsia="fr-FR"/>
        </w:rPr>
        <w:t>autorité compétente, assister aux entretiens avec le demandeur, présenter des rapports à joindre aux dossiers, avoir accès au demandeur de façon permanente, et participer à la Commission interministérielle de l</w:t>
      </w:r>
      <w:r w:rsidR="00A977F5">
        <w:rPr>
          <w:lang w:val="fr-FR" w:eastAsia="fr-FR"/>
        </w:rPr>
        <w:t>’</w:t>
      </w:r>
      <w:r w:rsidRPr="00BC0135">
        <w:rPr>
          <w:lang w:val="fr-FR" w:eastAsia="fr-FR"/>
        </w:rPr>
        <w:t>asile et des réfugiés.</w:t>
      </w:r>
    </w:p>
    <w:p w:rsidR="00BC0135" w:rsidRP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71</w:t>
      </w:r>
      <w:r w:rsidRPr="00BC0135">
        <w:rPr>
          <w:noProof/>
          <w:lang w:val="fr-FR" w:eastAsia="fr-FR"/>
        </w:rPr>
        <w:fldChar w:fldCharType="end"/>
      </w:r>
      <w:r w:rsidRPr="00BC0135">
        <w:rPr>
          <w:lang w:val="fr-FR" w:eastAsia="fr-FR"/>
        </w:rPr>
        <w:t>.  À l</w:t>
      </w:r>
      <w:r w:rsidR="00A977F5">
        <w:rPr>
          <w:lang w:val="fr-FR" w:eastAsia="fr-FR"/>
        </w:rPr>
        <w:t>’</w:t>
      </w:r>
      <w:r w:rsidRPr="00BC0135">
        <w:rPr>
          <w:lang w:val="fr-FR" w:eastAsia="fr-FR"/>
        </w:rPr>
        <w:t>issue de la phase administrative, si la demande de protection internationale est rejetée, l</w:t>
      </w:r>
      <w:r w:rsidR="00A977F5">
        <w:rPr>
          <w:lang w:val="fr-FR" w:eastAsia="fr-FR"/>
        </w:rPr>
        <w:t>’</w:t>
      </w:r>
      <w:r w:rsidRPr="00BC0135">
        <w:rPr>
          <w:lang w:val="fr-FR" w:eastAsia="fr-FR"/>
        </w:rPr>
        <w:t>intéressé peut solliciter un contrôle juridictionnel de la décision administrative, en présentant un recours de contentieux administratif auprès des juges centraux du contentieux administratif (</w:t>
      </w:r>
      <w:r w:rsidRPr="00BC0135">
        <w:rPr>
          <w:i/>
          <w:lang w:val="fr-FR" w:eastAsia="fr-FR"/>
        </w:rPr>
        <w:t>Juzgados Centrales</w:t>
      </w:r>
      <w:r w:rsidRPr="00BC0135">
        <w:rPr>
          <w:lang w:val="fr-FR" w:eastAsia="fr-FR"/>
        </w:rPr>
        <w:t>) ou de la chambre du contentieux administratif de l</w:t>
      </w:r>
      <w:r w:rsidR="00A977F5">
        <w:rPr>
          <w:lang w:val="fr-FR" w:eastAsia="fr-FR"/>
        </w:rPr>
        <w:t>’</w:t>
      </w:r>
      <w:r w:rsidRPr="00BC0135">
        <w:rPr>
          <w:i/>
          <w:lang w:val="fr-FR" w:eastAsia="fr-FR"/>
        </w:rPr>
        <w:t>Audiencia Nacional</w:t>
      </w:r>
      <w:r w:rsidRPr="00BC0135">
        <w:rPr>
          <w:lang w:val="fr-FR" w:eastAsia="fr-FR"/>
        </w:rPr>
        <w:t>, selon le cas.</w:t>
      </w:r>
    </w:p>
    <w:p w:rsidR="00BC0135" w:rsidRPr="00BC0135" w:rsidRDefault="00BC0135" w:rsidP="00BC0135">
      <w:pPr>
        <w:ind w:firstLine="284"/>
        <w:rPr>
          <w:lang w:val="fr-FR" w:eastAsia="fr-FR"/>
        </w:rPr>
      </w:pPr>
      <w:r w:rsidRPr="00BC0135">
        <w:rPr>
          <w:lang w:val="fr-FR" w:eastAsia="fr-FR"/>
        </w:rPr>
        <w:lastRenderedPageBreak/>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72</w:t>
      </w:r>
      <w:r w:rsidRPr="00BC0135">
        <w:rPr>
          <w:noProof/>
          <w:lang w:val="fr-FR" w:eastAsia="fr-FR"/>
        </w:rPr>
        <w:fldChar w:fldCharType="end"/>
      </w:r>
      <w:r w:rsidRPr="00BC0135">
        <w:rPr>
          <w:lang w:val="fr-FR" w:eastAsia="fr-FR"/>
        </w:rPr>
        <w:t>.  Le Gouvernement souligne que, en vertu de l</w:t>
      </w:r>
      <w:r w:rsidR="00A977F5">
        <w:rPr>
          <w:lang w:val="fr-FR" w:eastAsia="fr-FR"/>
        </w:rPr>
        <w:t>’</w:t>
      </w:r>
      <w:r w:rsidRPr="00BC0135">
        <w:rPr>
          <w:lang w:val="fr-FR" w:eastAsia="fr-FR"/>
        </w:rPr>
        <w:t>article 29 de la loi sur le droit d</w:t>
      </w:r>
      <w:r w:rsidR="00A977F5">
        <w:rPr>
          <w:lang w:val="fr-FR" w:eastAsia="fr-FR"/>
        </w:rPr>
        <w:t>’</w:t>
      </w:r>
      <w:r w:rsidRPr="00BC0135">
        <w:rPr>
          <w:lang w:val="fr-FR" w:eastAsia="fr-FR"/>
        </w:rPr>
        <w:t>asile, « lorsqu</w:t>
      </w:r>
      <w:r w:rsidR="00A977F5">
        <w:rPr>
          <w:lang w:val="fr-FR" w:eastAsia="fr-FR"/>
        </w:rPr>
        <w:t>’</w:t>
      </w:r>
      <w:r w:rsidRPr="00BC0135">
        <w:rPr>
          <w:lang w:val="fr-FR" w:eastAsia="fr-FR"/>
        </w:rPr>
        <w:t>un recours de contentieux administratif est introduit et que la suspension de l</w:t>
      </w:r>
      <w:r w:rsidR="00A977F5">
        <w:rPr>
          <w:lang w:val="fr-FR" w:eastAsia="fr-FR"/>
        </w:rPr>
        <w:t>’</w:t>
      </w:r>
      <w:r w:rsidRPr="00BC0135">
        <w:rPr>
          <w:lang w:val="fr-FR" w:eastAsia="fr-FR"/>
        </w:rPr>
        <w:t>acte attaqué est demandée, cette demande entre dans la catégorie des cas d</w:t>
      </w:r>
      <w:r w:rsidR="00A977F5">
        <w:rPr>
          <w:lang w:val="fr-FR" w:eastAsia="fr-FR"/>
        </w:rPr>
        <w:t>’</w:t>
      </w:r>
      <w:r w:rsidRPr="00BC0135">
        <w:rPr>
          <w:lang w:val="fr-FR" w:eastAsia="fr-FR"/>
        </w:rPr>
        <w:t>urgence particulière visés à l</w:t>
      </w:r>
      <w:r w:rsidR="00A977F5">
        <w:rPr>
          <w:lang w:val="fr-FR" w:eastAsia="fr-FR"/>
        </w:rPr>
        <w:t>’</w:t>
      </w:r>
      <w:r w:rsidRPr="00BC0135">
        <w:rPr>
          <w:lang w:val="fr-FR" w:eastAsia="fr-FR"/>
        </w:rPr>
        <w:t>article 135 de la loi n</w:t>
      </w:r>
      <w:r w:rsidRPr="00BC0135">
        <w:rPr>
          <w:vertAlign w:val="superscript"/>
          <w:lang w:val="fr-FR" w:eastAsia="fr-FR"/>
        </w:rPr>
        <w:t>o</w:t>
      </w:r>
      <w:r w:rsidRPr="00BC0135">
        <w:rPr>
          <w:lang w:val="fr-FR" w:eastAsia="fr-FR"/>
        </w:rPr>
        <w:t> 29/1998 du 13 juillet 1998 sur la juridiction du contentieux administratif ». En d</w:t>
      </w:r>
      <w:r w:rsidR="00A977F5">
        <w:rPr>
          <w:lang w:val="fr-FR" w:eastAsia="fr-FR"/>
        </w:rPr>
        <w:t>’</w:t>
      </w:r>
      <w:r w:rsidRPr="00BC0135">
        <w:rPr>
          <w:lang w:val="fr-FR" w:eastAsia="fr-FR"/>
        </w:rPr>
        <w:t>autres termes, une fois qu</w:t>
      </w:r>
      <w:r w:rsidR="00A977F5">
        <w:rPr>
          <w:lang w:val="fr-FR" w:eastAsia="fr-FR"/>
        </w:rPr>
        <w:t>’</w:t>
      </w:r>
      <w:r w:rsidRPr="00BC0135">
        <w:rPr>
          <w:lang w:val="fr-FR" w:eastAsia="fr-FR"/>
        </w:rPr>
        <w:t>un recours de contentieux administratif a été déposé, si l</w:t>
      </w:r>
      <w:r w:rsidR="00A977F5">
        <w:rPr>
          <w:lang w:val="fr-FR" w:eastAsia="fr-FR"/>
        </w:rPr>
        <w:t>’</w:t>
      </w:r>
      <w:r w:rsidRPr="00BC0135">
        <w:rPr>
          <w:lang w:val="fr-FR" w:eastAsia="fr-FR"/>
        </w:rPr>
        <w:t>intéressé demande la suspension de l</w:t>
      </w:r>
      <w:r w:rsidR="00A977F5">
        <w:rPr>
          <w:lang w:val="fr-FR" w:eastAsia="fr-FR"/>
        </w:rPr>
        <w:t>’</w:t>
      </w:r>
      <w:r w:rsidRPr="00BC0135">
        <w:rPr>
          <w:lang w:val="fr-FR" w:eastAsia="fr-FR"/>
        </w:rPr>
        <w:t>ordre d</w:t>
      </w:r>
      <w:r w:rsidR="00A977F5">
        <w:rPr>
          <w:lang w:val="fr-FR" w:eastAsia="fr-FR"/>
        </w:rPr>
        <w:t>’</w:t>
      </w:r>
      <w:r w:rsidRPr="00BC0135">
        <w:rPr>
          <w:lang w:val="fr-FR" w:eastAsia="fr-FR"/>
        </w:rPr>
        <w:t>expulsion découlant du refus d</w:t>
      </w:r>
      <w:r w:rsidR="00A977F5">
        <w:rPr>
          <w:lang w:val="fr-FR" w:eastAsia="fr-FR"/>
        </w:rPr>
        <w:t>’</w:t>
      </w:r>
      <w:r w:rsidRPr="00BC0135">
        <w:rPr>
          <w:lang w:val="fr-FR" w:eastAsia="fr-FR"/>
        </w:rPr>
        <w:t>accorder la protection internationale, cette mesure d</w:t>
      </w:r>
      <w:r w:rsidR="00A977F5">
        <w:rPr>
          <w:lang w:val="fr-FR" w:eastAsia="fr-FR"/>
        </w:rPr>
        <w:t>’</w:t>
      </w:r>
      <w:r w:rsidRPr="00BC0135">
        <w:rPr>
          <w:lang w:val="fr-FR" w:eastAsia="fr-FR"/>
        </w:rPr>
        <w:t>expulsion est automatiquement suspendue en attendant la décision de l</w:t>
      </w:r>
      <w:r w:rsidR="00A977F5">
        <w:rPr>
          <w:lang w:val="fr-FR" w:eastAsia="fr-FR"/>
        </w:rPr>
        <w:t>’</w:t>
      </w:r>
      <w:r w:rsidRPr="00BC0135">
        <w:rPr>
          <w:lang w:val="fr-FR" w:eastAsia="fr-FR"/>
        </w:rPr>
        <w:t>organe judiciaire.</w:t>
      </w:r>
    </w:p>
    <w:p w:rsidR="00BC0135" w:rsidRDefault="00BC0135" w:rsidP="00BC0135">
      <w:pPr>
        <w:ind w:firstLine="284"/>
        <w:rPr>
          <w:lang w:val="fr-FR" w:eastAsia="fr-FR"/>
        </w:rPr>
      </w:pPr>
      <w:r w:rsidRPr="00BC0135">
        <w:rPr>
          <w:lang w:val="fr-FR" w:eastAsia="fr-FR"/>
        </w:rPr>
        <w:t>En vertu de l</w:t>
      </w:r>
      <w:r w:rsidR="00A977F5">
        <w:rPr>
          <w:lang w:val="fr-FR" w:eastAsia="fr-FR"/>
        </w:rPr>
        <w:t>’</w:t>
      </w:r>
      <w:r w:rsidRPr="00BC0135">
        <w:rPr>
          <w:lang w:val="fr-FR" w:eastAsia="fr-FR"/>
        </w:rPr>
        <w:t>article 135 de la loi sur la juridiction du contentieux administratif, la décision de l</w:t>
      </w:r>
      <w:r w:rsidR="00A977F5">
        <w:rPr>
          <w:lang w:val="fr-FR" w:eastAsia="fr-FR"/>
        </w:rPr>
        <w:t>’</w:t>
      </w:r>
      <w:r w:rsidRPr="00BC0135">
        <w:rPr>
          <w:lang w:val="fr-FR" w:eastAsia="fr-FR"/>
        </w:rPr>
        <w:t>organe judiciaire porte sur l</w:t>
      </w:r>
      <w:r w:rsidR="00A977F5">
        <w:rPr>
          <w:lang w:val="fr-FR" w:eastAsia="fr-FR"/>
        </w:rPr>
        <w:t>’</w:t>
      </w:r>
      <w:r w:rsidRPr="00BC0135">
        <w:rPr>
          <w:lang w:val="fr-FR" w:eastAsia="fr-FR"/>
        </w:rPr>
        <w:t>existence de motifs suffisants pour suspendre l</w:t>
      </w:r>
      <w:r w:rsidR="00A977F5">
        <w:rPr>
          <w:lang w:val="fr-FR" w:eastAsia="fr-FR"/>
        </w:rPr>
        <w:t>’</w:t>
      </w:r>
      <w:r w:rsidRPr="00BC0135">
        <w:rPr>
          <w:lang w:val="fr-FR" w:eastAsia="fr-FR"/>
        </w:rPr>
        <w:t>expulsion du territoire en attendant que ledit organe puisse examiner de manière approfondie le bien-fondé de la demande de protection internationale. L</w:t>
      </w:r>
      <w:r w:rsidR="00A977F5">
        <w:rPr>
          <w:lang w:val="fr-FR" w:eastAsia="fr-FR"/>
        </w:rPr>
        <w:t>’</w:t>
      </w:r>
      <w:r w:rsidRPr="00BC0135">
        <w:rPr>
          <w:lang w:val="fr-FR" w:eastAsia="fr-FR"/>
        </w:rPr>
        <w:t>un des aspects que l</w:t>
      </w:r>
      <w:r w:rsidR="00A977F5">
        <w:rPr>
          <w:lang w:val="fr-FR" w:eastAsia="fr-FR"/>
        </w:rPr>
        <w:t>’</w:t>
      </w:r>
      <w:r w:rsidRPr="00BC0135">
        <w:rPr>
          <w:lang w:val="fr-FR" w:eastAsia="fr-FR"/>
        </w:rPr>
        <w:t>organe judiciaire est appelé à examiner à ce stade de la procédure est l</w:t>
      </w:r>
      <w:r w:rsidR="00A977F5">
        <w:rPr>
          <w:lang w:val="fr-FR" w:eastAsia="fr-FR"/>
        </w:rPr>
        <w:t>’</w:t>
      </w:r>
      <w:r w:rsidRPr="00BC0135">
        <w:rPr>
          <w:lang w:val="fr-FR" w:eastAsia="fr-FR"/>
        </w:rPr>
        <w:t>existence d</w:t>
      </w:r>
      <w:r w:rsidR="00A977F5">
        <w:rPr>
          <w:lang w:val="fr-FR" w:eastAsia="fr-FR"/>
        </w:rPr>
        <w:t>’</w:t>
      </w:r>
      <w:r w:rsidRPr="00BC0135">
        <w:rPr>
          <w:lang w:val="fr-FR" w:eastAsia="fr-FR"/>
        </w:rPr>
        <w:t>un risque de préjudice irréparable pour l</w:t>
      </w:r>
      <w:r w:rsidR="00A977F5">
        <w:rPr>
          <w:lang w:val="fr-FR" w:eastAsia="fr-FR"/>
        </w:rPr>
        <w:t>’</w:t>
      </w:r>
      <w:r w:rsidRPr="00BC0135">
        <w:rPr>
          <w:lang w:val="fr-FR" w:eastAsia="fr-FR"/>
        </w:rPr>
        <w:t>intéressé en cas de retour dans son pays d</w:t>
      </w:r>
      <w:r w:rsidR="00A977F5">
        <w:rPr>
          <w:lang w:val="fr-FR" w:eastAsia="fr-FR"/>
        </w:rPr>
        <w:t>’</w:t>
      </w:r>
      <w:r w:rsidRPr="00BC0135">
        <w:rPr>
          <w:lang w:val="fr-FR" w:eastAsia="fr-FR"/>
        </w:rPr>
        <w:t>origine, par exemple le risque d</w:t>
      </w:r>
      <w:r w:rsidR="00A977F5">
        <w:rPr>
          <w:lang w:val="fr-FR" w:eastAsia="fr-FR"/>
        </w:rPr>
        <w:t>’</w:t>
      </w:r>
      <w:r w:rsidRPr="00BC0135">
        <w:rPr>
          <w:lang w:val="fr-FR" w:eastAsia="fr-FR"/>
        </w:rPr>
        <w:t>être soumis à un traitement contraire à l</w:t>
      </w:r>
      <w:r w:rsidR="00A977F5">
        <w:rPr>
          <w:lang w:val="fr-FR" w:eastAsia="fr-FR"/>
        </w:rPr>
        <w:t>’</w:t>
      </w:r>
      <w:r w:rsidRPr="00BC0135">
        <w:rPr>
          <w:lang w:val="fr-FR" w:eastAsia="fr-FR"/>
        </w:rPr>
        <w:t>article 3 de la Convention.</w:t>
      </w:r>
    </w:p>
    <w:p w:rsidR="00BC0135" w:rsidRDefault="00BC0135" w:rsidP="00BC0135">
      <w:pPr>
        <w:ind w:firstLine="284"/>
        <w:rPr>
          <w:lang w:val="fr-FR" w:eastAsia="fr-FR"/>
        </w:rPr>
      </w:pPr>
      <w:r w:rsidRPr="00BC0135">
        <w:rPr>
          <w:lang w:val="fr-FR" w:eastAsia="fr-FR"/>
        </w:rPr>
        <w:t>Alors que l</w:t>
      </w:r>
      <w:r w:rsidR="00A977F5">
        <w:rPr>
          <w:lang w:val="fr-FR" w:eastAsia="fr-FR"/>
        </w:rPr>
        <w:t>’</w:t>
      </w:r>
      <w:r w:rsidRPr="00BC0135">
        <w:rPr>
          <w:lang w:val="fr-FR" w:eastAsia="fr-FR"/>
        </w:rPr>
        <w:t>octroi du droit d</w:t>
      </w:r>
      <w:r w:rsidR="00A977F5">
        <w:rPr>
          <w:lang w:val="fr-FR" w:eastAsia="fr-FR"/>
        </w:rPr>
        <w:t>’</w:t>
      </w:r>
      <w:r w:rsidRPr="00BC0135">
        <w:rPr>
          <w:lang w:val="fr-FR" w:eastAsia="fr-FR"/>
        </w:rPr>
        <w:t>asile ou de la protection internationale subsidiaire fait l</w:t>
      </w:r>
      <w:r w:rsidR="00A977F5">
        <w:rPr>
          <w:lang w:val="fr-FR" w:eastAsia="fr-FR"/>
        </w:rPr>
        <w:t>’</w:t>
      </w:r>
      <w:r w:rsidRPr="00BC0135">
        <w:rPr>
          <w:lang w:val="fr-FR" w:eastAsia="fr-FR"/>
        </w:rPr>
        <w:t>objet d</w:t>
      </w:r>
      <w:r w:rsidR="00A977F5">
        <w:rPr>
          <w:lang w:val="fr-FR" w:eastAsia="fr-FR"/>
        </w:rPr>
        <w:t>’</w:t>
      </w:r>
      <w:r w:rsidRPr="00BC0135">
        <w:rPr>
          <w:lang w:val="fr-FR" w:eastAsia="fr-FR"/>
        </w:rPr>
        <w:t>une révision judicaire débouchant sur une décision de justice, la demande de mesures provisoires constitue le recours effectif contre une éventuelle violation de l</w:t>
      </w:r>
      <w:r w:rsidR="00A977F5">
        <w:rPr>
          <w:lang w:val="fr-FR" w:eastAsia="fr-FR"/>
        </w:rPr>
        <w:t>’</w:t>
      </w:r>
      <w:r w:rsidRPr="00BC0135">
        <w:rPr>
          <w:lang w:val="fr-FR" w:eastAsia="fr-FR"/>
        </w:rPr>
        <w:t>article 3 de la Convention en cas d</w:t>
      </w:r>
      <w:r w:rsidR="00A977F5">
        <w:rPr>
          <w:lang w:val="fr-FR" w:eastAsia="fr-FR"/>
        </w:rPr>
        <w:t>’</w:t>
      </w:r>
      <w:r w:rsidRPr="00BC0135">
        <w:rPr>
          <w:lang w:val="fr-FR" w:eastAsia="fr-FR"/>
        </w:rPr>
        <w:t>expulsion.</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73</w:t>
      </w:r>
      <w:r w:rsidRPr="00BC0135">
        <w:rPr>
          <w:noProof/>
          <w:lang w:val="fr-FR" w:eastAsia="fr-FR"/>
        </w:rPr>
        <w:fldChar w:fldCharType="end"/>
      </w:r>
      <w:r w:rsidRPr="00BC0135">
        <w:rPr>
          <w:lang w:val="fr-FR" w:eastAsia="fr-FR"/>
        </w:rPr>
        <w:t>.  Les requérants ont bénéficié d</w:t>
      </w:r>
      <w:r w:rsidR="00A977F5">
        <w:rPr>
          <w:lang w:val="fr-FR" w:eastAsia="fr-FR"/>
        </w:rPr>
        <w:t>’</w:t>
      </w:r>
      <w:r w:rsidRPr="00BC0135">
        <w:rPr>
          <w:lang w:val="fr-FR" w:eastAsia="fr-FR"/>
        </w:rPr>
        <w:t>un examen complet des faits et des dossiers par la chambre du contentieux administratif de l</w:t>
      </w:r>
      <w:r w:rsidR="00A977F5">
        <w:rPr>
          <w:lang w:val="fr-FR" w:eastAsia="fr-FR"/>
        </w:rPr>
        <w:t>’</w:t>
      </w:r>
      <w:r w:rsidRPr="00BC0135">
        <w:rPr>
          <w:i/>
          <w:lang w:val="fr-FR" w:eastAsia="fr-FR"/>
        </w:rPr>
        <w:t>Audiencia Nacional</w:t>
      </w:r>
      <w:r w:rsidRPr="00BC0135">
        <w:rPr>
          <w:lang w:val="fr-FR" w:eastAsia="fr-FR"/>
        </w:rPr>
        <w:t>. Leurs preuves et leurs arguments auront été examinés à trois reprises (deux fois par l</w:t>
      </w:r>
      <w:r w:rsidR="00A977F5">
        <w:rPr>
          <w:lang w:val="fr-FR" w:eastAsia="fr-FR"/>
        </w:rPr>
        <w:t>’</w:t>
      </w:r>
      <w:r w:rsidRPr="00BC0135">
        <w:rPr>
          <w:lang w:val="fr-FR" w:eastAsia="fr-FR"/>
        </w:rPr>
        <w:t>autorité administrative et une fois par l</w:t>
      </w:r>
      <w:r w:rsidR="00A977F5">
        <w:rPr>
          <w:lang w:val="fr-FR" w:eastAsia="fr-FR"/>
        </w:rPr>
        <w:t>’</w:t>
      </w:r>
      <w:r w:rsidRPr="00BC0135">
        <w:rPr>
          <w:lang w:val="fr-FR" w:eastAsia="fr-FR"/>
        </w:rPr>
        <w:t>autorité judiciaire) avant que leur retour éventuel au Maroc ne devienne possible. Les autorités administratives et judiciaires ont analysé concrètement les risques que pourraient courir les requérants en cas d</w:t>
      </w:r>
      <w:r w:rsidR="00A977F5">
        <w:rPr>
          <w:lang w:val="fr-FR" w:eastAsia="fr-FR"/>
        </w:rPr>
        <w:t>’</w:t>
      </w:r>
      <w:r w:rsidRPr="00BC0135">
        <w:rPr>
          <w:lang w:val="fr-FR" w:eastAsia="fr-FR"/>
        </w:rPr>
        <w:t>expulsion. Pour évaluer ces risques, les autorités espagnoles ont pris en considération les rapports du HCR et les informations émanant de sources indépendantes figurant dans le dossier. La rigueur et la précision de l</w:t>
      </w:r>
      <w:r w:rsidR="00A977F5">
        <w:rPr>
          <w:lang w:val="fr-FR" w:eastAsia="fr-FR"/>
        </w:rPr>
        <w:t>’</w:t>
      </w:r>
      <w:r w:rsidRPr="00BC0135">
        <w:rPr>
          <w:lang w:val="fr-FR" w:eastAsia="fr-FR"/>
        </w:rPr>
        <w:t>examen au niveau judiciaire sont mises en évidence par le fait que les autorités judiciaires ont décidé de revoir une nouvelle fois le cas de trois autres demandeurs sahraouis (qui ne sont pas requérants devant la Cour), ce qui a finalement conduit à la suspension de l</w:t>
      </w:r>
      <w:r w:rsidR="00A977F5">
        <w:rPr>
          <w:lang w:val="fr-FR" w:eastAsia="fr-FR"/>
        </w:rPr>
        <w:t>’</w:t>
      </w:r>
      <w:r w:rsidRPr="00BC0135">
        <w:rPr>
          <w:lang w:val="fr-FR" w:eastAsia="fr-FR"/>
        </w:rPr>
        <w:t>expulsion de l</w:t>
      </w:r>
      <w:r w:rsidR="00A977F5">
        <w:rPr>
          <w:lang w:val="fr-FR" w:eastAsia="fr-FR"/>
        </w:rPr>
        <w:t>’</w:t>
      </w:r>
      <w:r w:rsidRPr="00BC0135">
        <w:rPr>
          <w:lang w:val="fr-FR" w:eastAsia="fr-FR"/>
        </w:rPr>
        <w:t>un des intéressés. Par conséquent, les autorités espagnoles ont examiné les arguments des requérants de manière attentive et rigoureuse et ceux-ci ont bien bénéficié d</w:t>
      </w:r>
      <w:r w:rsidR="00A977F5">
        <w:rPr>
          <w:lang w:val="fr-FR" w:eastAsia="fr-FR"/>
        </w:rPr>
        <w:t>’</w:t>
      </w:r>
      <w:r w:rsidRPr="00BC0135">
        <w:rPr>
          <w:lang w:val="fr-FR" w:eastAsia="fr-FR"/>
        </w:rPr>
        <w:t>un recours effectif.</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74</w:t>
      </w:r>
      <w:r w:rsidRPr="00BC0135">
        <w:rPr>
          <w:noProof/>
          <w:lang w:val="fr-FR" w:eastAsia="fr-FR"/>
        </w:rPr>
        <w:fldChar w:fldCharType="end"/>
      </w:r>
      <w:r w:rsidRPr="00BC0135">
        <w:rPr>
          <w:lang w:val="fr-FR" w:eastAsia="fr-FR"/>
        </w:rPr>
        <w:t>.  En ce qui concerne la mise à exécution de leur expulsion du territoire espagnol, dans la mesure où les requérants ont demandé la suspension de l</w:t>
      </w:r>
      <w:r w:rsidR="00A977F5">
        <w:rPr>
          <w:lang w:val="fr-FR" w:eastAsia="fr-FR"/>
        </w:rPr>
        <w:t>’</w:t>
      </w:r>
      <w:r w:rsidRPr="00BC0135">
        <w:rPr>
          <w:lang w:val="fr-FR" w:eastAsia="fr-FR"/>
        </w:rPr>
        <w:t xml:space="preserve">expulsion à titre conservatoire au moment où ils ont introduit leurs recours de contentieux administratif, leur expulsion concrète ne peut pas avoir lieu </w:t>
      </w:r>
      <w:r w:rsidRPr="00BC0135">
        <w:rPr>
          <w:lang w:val="fr-FR" w:eastAsia="fr-FR"/>
        </w:rPr>
        <w:lastRenderedPageBreak/>
        <w:t>(en vertu de l</w:t>
      </w:r>
      <w:r w:rsidR="00A977F5">
        <w:rPr>
          <w:lang w:val="fr-FR" w:eastAsia="fr-FR"/>
        </w:rPr>
        <w:t>’</w:t>
      </w:r>
      <w:r w:rsidRPr="00BC0135">
        <w:rPr>
          <w:lang w:val="fr-FR" w:eastAsia="fr-FR"/>
        </w:rPr>
        <w:t>article 29 de la loi sur le droit d</w:t>
      </w:r>
      <w:r w:rsidR="00A977F5">
        <w:rPr>
          <w:lang w:val="fr-FR" w:eastAsia="fr-FR"/>
        </w:rPr>
        <w:t>’</w:t>
      </w:r>
      <w:r w:rsidRPr="00BC0135">
        <w:rPr>
          <w:lang w:val="fr-FR" w:eastAsia="fr-FR"/>
        </w:rPr>
        <w:t>asile) tant que le tribunal n</w:t>
      </w:r>
      <w:r w:rsidR="00A977F5">
        <w:rPr>
          <w:lang w:val="fr-FR" w:eastAsia="fr-FR"/>
        </w:rPr>
        <w:t>’</w:t>
      </w:r>
      <w:r w:rsidRPr="00BC0135">
        <w:rPr>
          <w:lang w:val="fr-FR" w:eastAsia="fr-FR"/>
        </w:rPr>
        <w:t>a pas eu la possibilité d</w:t>
      </w:r>
      <w:r w:rsidR="00A977F5">
        <w:rPr>
          <w:lang w:val="fr-FR" w:eastAsia="fr-FR"/>
        </w:rPr>
        <w:t>’</w:t>
      </w:r>
      <w:r w:rsidRPr="00BC0135">
        <w:rPr>
          <w:lang w:val="fr-FR" w:eastAsia="fr-FR"/>
        </w:rPr>
        <w:t>examiner en profondeur l</w:t>
      </w:r>
      <w:r w:rsidR="00A977F5">
        <w:rPr>
          <w:lang w:val="fr-FR" w:eastAsia="fr-FR"/>
        </w:rPr>
        <w:t>’</w:t>
      </w:r>
      <w:r w:rsidRPr="00BC0135">
        <w:rPr>
          <w:lang w:val="fr-FR" w:eastAsia="fr-FR"/>
        </w:rPr>
        <w:t>existence d</w:t>
      </w:r>
      <w:r w:rsidR="00A977F5">
        <w:rPr>
          <w:lang w:val="fr-FR" w:eastAsia="fr-FR"/>
        </w:rPr>
        <w:t>’</w:t>
      </w:r>
      <w:r w:rsidRPr="00BC0135">
        <w:rPr>
          <w:lang w:val="fr-FR" w:eastAsia="fr-FR"/>
        </w:rPr>
        <w:t>un risque de violation de leurs droits dans le cadre de la procédure afférente à cette demande de suspension.</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75</w:t>
      </w:r>
      <w:r w:rsidRPr="00BC0135">
        <w:rPr>
          <w:noProof/>
          <w:lang w:val="fr-FR" w:eastAsia="fr-FR"/>
        </w:rPr>
        <w:fldChar w:fldCharType="end"/>
      </w:r>
      <w:r w:rsidRPr="00BC0135">
        <w:rPr>
          <w:lang w:val="fr-FR" w:eastAsia="fr-FR"/>
        </w:rPr>
        <w:t>.  En conclusion, le Gouvernement estime que les griefs formulés par les requérants doivent être rejetés comme non fondés.</w:t>
      </w:r>
    </w:p>
    <w:p w:rsidR="00BC0135" w:rsidRPr="00BC0135" w:rsidRDefault="00BC0135" w:rsidP="00BC0135">
      <w:pPr>
        <w:keepNext/>
        <w:keepLines/>
        <w:tabs>
          <w:tab w:val="left" w:pos="975"/>
        </w:tabs>
        <w:spacing w:before="240" w:after="120"/>
        <w:ind w:left="975" w:hanging="340"/>
        <w:outlineLvl w:val="3"/>
        <w:rPr>
          <w:rFonts w:asciiTheme="majorHAnsi" w:eastAsiaTheme="majorEastAsia" w:hAnsiTheme="majorHAnsi" w:cstheme="majorBidi"/>
          <w:b/>
          <w:bCs/>
          <w:iCs/>
          <w:sz w:val="20"/>
          <w:lang w:val="fr-FR" w:eastAsia="fr-FR"/>
        </w:rPr>
      </w:pPr>
      <w:r w:rsidRPr="00BC0135">
        <w:rPr>
          <w:rFonts w:asciiTheme="majorHAnsi" w:eastAsiaTheme="majorEastAsia" w:hAnsiTheme="majorHAnsi" w:cstheme="majorBidi"/>
          <w:b/>
          <w:bCs/>
          <w:iCs/>
          <w:sz w:val="20"/>
          <w:lang w:val="fr-FR" w:eastAsia="fr-FR"/>
        </w:rPr>
        <w:t>b)  Les requérants</w:t>
      </w:r>
    </w:p>
    <w:p w:rsidR="00BC0135" w:rsidRP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76</w:t>
      </w:r>
      <w:r w:rsidRPr="00BC0135">
        <w:rPr>
          <w:noProof/>
          <w:lang w:val="fr-FR" w:eastAsia="fr-FR"/>
        </w:rPr>
        <w:fldChar w:fldCharType="end"/>
      </w:r>
      <w:r w:rsidRPr="00BC0135">
        <w:rPr>
          <w:lang w:val="fr-FR" w:eastAsia="fr-FR"/>
        </w:rPr>
        <w:t>.  Les requérants rappellent que, compte tenu de la nature irréversible du dommage susceptible d</w:t>
      </w:r>
      <w:r w:rsidR="00A977F5">
        <w:rPr>
          <w:lang w:val="fr-FR" w:eastAsia="fr-FR"/>
        </w:rPr>
        <w:t>’</w:t>
      </w:r>
      <w:r w:rsidRPr="00BC0135">
        <w:rPr>
          <w:lang w:val="fr-FR" w:eastAsia="fr-FR"/>
        </w:rPr>
        <w:t>être causé en cas de réalisation du risque de torture ou de mauvais traitements et vu l</w:t>
      </w:r>
      <w:r w:rsidR="00A977F5">
        <w:rPr>
          <w:lang w:val="fr-FR" w:eastAsia="fr-FR"/>
        </w:rPr>
        <w:t>’</w:t>
      </w:r>
      <w:r w:rsidRPr="00BC0135">
        <w:rPr>
          <w:lang w:val="fr-FR" w:eastAsia="fr-FR"/>
        </w:rPr>
        <w:t>importance que la Cour attache à l</w:t>
      </w:r>
      <w:r w:rsidR="00A977F5">
        <w:rPr>
          <w:lang w:val="fr-FR" w:eastAsia="fr-FR"/>
        </w:rPr>
        <w:t>’</w:t>
      </w:r>
      <w:r w:rsidRPr="00BC0135">
        <w:rPr>
          <w:lang w:val="fr-FR" w:eastAsia="fr-FR"/>
        </w:rPr>
        <w:t>article 3, la notion de recours effectif au sens de l</w:t>
      </w:r>
      <w:r w:rsidR="00A977F5">
        <w:rPr>
          <w:lang w:val="fr-FR" w:eastAsia="fr-FR"/>
        </w:rPr>
        <w:t>’</w:t>
      </w:r>
      <w:r w:rsidRPr="00BC0135">
        <w:rPr>
          <w:lang w:val="fr-FR" w:eastAsia="fr-FR"/>
        </w:rPr>
        <w:t>article 13 requiert, d</w:t>
      </w:r>
      <w:r w:rsidR="00A977F5">
        <w:rPr>
          <w:lang w:val="fr-FR" w:eastAsia="fr-FR"/>
        </w:rPr>
        <w:t>’</w:t>
      </w:r>
      <w:r w:rsidRPr="00BC0135">
        <w:rPr>
          <w:lang w:val="fr-FR" w:eastAsia="fr-FR"/>
        </w:rPr>
        <w:t>une part, un examen indépendant et rigoureux de tout grief aux termes duquel il existe des motifs sérieux de croire à l</w:t>
      </w:r>
      <w:r w:rsidR="00A977F5">
        <w:rPr>
          <w:lang w:val="fr-FR" w:eastAsia="fr-FR"/>
        </w:rPr>
        <w:t>’</w:t>
      </w:r>
      <w:r w:rsidRPr="00BC0135">
        <w:rPr>
          <w:lang w:val="fr-FR" w:eastAsia="fr-FR"/>
        </w:rPr>
        <w:t>existence d</w:t>
      </w:r>
      <w:r w:rsidR="00A977F5">
        <w:rPr>
          <w:lang w:val="fr-FR" w:eastAsia="fr-FR"/>
        </w:rPr>
        <w:t>’</w:t>
      </w:r>
      <w:r w:rsidRPr="00BC0135">
        <w:rPr>
          <w:lang w:val="fr-FR" w:eastAsia="fr-FR"/>
        </w:rPr>
        <w:t>un risque réel de traitements contraires à l</w:t>
      </w:r>
      <w:r w:rsidR="00A977F5">
        <w:rPr>
          <w:lang w:val="fr-FR" w:eastAsia="fr-FR"/>
        </w:rPr>
        <w:t>’</w:t>
      </w:r>
      <w:r w:rsidRPr="00BC0135">
        <w:rPr>
          <w:lang w:val="fr-FR" w:eastAsia="fr-FR"/>
        </w:rPr>
        <w:t>article 3 et, d</w:t>
      </w:r>
      <w:r w:rsidR="00A977F5">
        <w:rPr>
          <w:lang w:val="fr-FR" w:eastAsia="fr-FR"/>
        </w:rPr>
        <w:t>’</w:t>
      </w:r>
      <w:r w:rsidRPr="00BC0135">
        <w:rPr>
          <w:lang w:val="fr-FR" w:eastAsia="fr-FR"/>
        </w:rPr>
        <w:t>autre part, la possibilité de faire surseoir à l</w:t>
      </w:r>
      <w:r w:rsidR="00A977F5">
        <w:rPr>
          <w:lang w:val="fr-FR" w:eastAsia="fr-FR"/>
        </w:rPr>
        <w:t>’</w:t>
      </w:r>
      <w:r w:rsidRPr="00BC0135">
        <w:rPr>
          <w:lang w:val="fr-FR" w:eastAsia="fr-FR"/>
        </w:rPr>
        <w:t>exécution de la mesure litigieuse (</w:t>
      </w:r>
      <w:r w:rsidRPr="00BC0135">
        <w:rPr>
          <w:i/>
          <w:lang w:val="fr-FR" w:eastAsia="fr-FR"/>
        </w:rPr>
        <w:t>Jabari c. Turquie</w:t>
      </w:r>
      <w:r w:rsidRPr="00BC0135">
        <w:rPr>
          <w:lang w:val="fr-FR" w:eastAsia="fr-FR"/>
        </w:rPr>
        <w:t>, n</w:t>
      </w:r>
      <w:r w:rsidRPr="00BC0135">
        <w:rPr>
          <w:vertAlign w:val="superscript"/>
          <w:lang w:val="fr-FR" w:eastAsia="fr-FR"/>
        </w:rPr>
        <w:t>o</w:t>
      </w:r>
      <w:r w:rsidRPr="00BC0135">
        <w:rPr>
          <w:lang w:val="fr-FR" w:eastAsia="fr-FR"/>
        </w:rPr>
        <w:t> 40035/98, § 50, CEDH 2000</w:t>
      </w:r>
      <w:r w:rsidRPr="00BC0135">
        <w:rPr>
          <w:lang w:val="fr-FR" w:eastAsia="fr-FR"/>
        </w:rPr>
        <w:noBreakHyphen/>
        <w:t>VIII).</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77</w:t>
      </w:r>
      <w:r w:rsidRPr="00BC0135">
        <w:rPr>
          <w:noProof/>
          <w:lang w:val="fr-FR" w:eastAsia="fr-FR"/>
        </w:rPr>
        <w:fldChar w:fldCharType="end"/>
      </w:r>
      <w:r w:rsidRPr="00BC0135">
        <w:rPr>
          <w:lang w:val="fr-FR" w:eastAsia="fr-FR"/>
        </w:rPr>
        <w:t>.  Se référant à l</w:t>
      </w:r>
      <w:r w:rsidR="00A977F5">
        <w:rPr>
          <w:lang w:val="fr-FR" w:eastAsia="fr-FR"/>
        </w:rPr>
        <w:t>’</w:t>
      </w:r>
      <w:r w:rsidRPr="00BC0135">
        <w:rPr>
          <w:lang w:val="fr-FR" w:eastAsia="fr-FR"/>
        </w:rPr>
        <w:t xml:space="preserve">arrêt </w:t>
      </w:r>
      <w:r w:rsidRPr="00BC0135">
        <w:rPr>
          <w:i/>
          <w:lang w:val="fr-FR" w:eastAsia="fr-FR"/>
        </w:rPr>
        <w:t xml:space="preserve">Čonka c. Belgique </w:t>
      </w:r>
      <w:r w:rsidRPr="00BC0135">
        <w:rPr>
          <w:lang w:val="fr-FR" w:eastAsia="fr-FR"/>
        </w:rPr>
        <w:t>(n</w:t>
      </w:r>
      <w:r w:rsidRPr="00BC0135">
        <w:rPr>
          <w:vertAlign w:val="superscript"/>
          <w:lang w:val="fr-FR" w:eastAsia="fr-FR"/>
        </w:rPr>
        <w:t>o</w:t>
      </w:r>
      <w:r w:rsidRPr="00BC0135">
        <w:rPr>
          <w:lang w:val="fr-FR" w:eastAsia="fr-FR"/>
        </w:rPr>
        <w:t> 51564/99, CEDH 2002</w:t>
      </w:r>
      <w:r w:rsidRPr="00BC0135">
        <w:rPr>
          <w:lang w:val="fr-FR" w:eastAsia="fr-FR"/>
        </w:rPr>
        <w:noBreakHyphen/>
        <w:t>I), les requérants soulignent que les exigences de l</w:t>
      </w:r>
      <w:r w:rsidR="00A977F5">
        <w:rPr>
          <w:lang w:val="fr-FR" w:eastAsia="fr-FR"/>
        </w:rPr>
        <w:t>’</w:t>
      </w:r>
      <w:r w:rsidRPr="00BC0135">
        <w:rPr>
          <w:lang w:val="fr-FR" w:eastAsia="fr-FR"/>
        </w:rPr>
        <w:t>article 13 sont de l</w:t>
      </w:r>
      <w:r w:rsidR="00A977F5">
        <w:rPr>
          <w:lang w:val="fr-FR" w:eastAsia="fr-FR"/>
        </w:rPr>
        <w:t>’</w:t>
      </w:r>
      <w:r w:rsidRPr="00BC0135">
        <w:rPr>
          <w:lang w:val="fr-FR" w:eastAsia="fr-FR"/>
        </w:rPr>
        <w:t>ordre de la garantie, et non du simple bon vouloir ou de l</w:t>
      </w:r>
      <w:r w:rsidR="00A977F5">
        <w:rPr>
          <w:lang w:val="fr-FR" w:eastAsia="fr-FR"/>
        </w:rPr>
        <w:t>’</w:t>
      </w:r>
      <w:r w:rsidRPr="00BC0135">
        <w:rPr>
          <w:lang w:val="fr-FR" w:eastAsia="fr-FR"/>
        </w:rPr>
        <w:t>arrangement pratique. Ils estiment que les recours comme ceux qu</w:t>
      </w:r>
      <w:r w:rsidR="00A977F5">
        <w:rPr>
          <w:lang w:val="fr-FR" w:eastAsia="fr-FR"/>
        </w:rPr>
        <w:t>’</w:t>
      </w:r>
      <w:r w:rsidRPr="00BC0135">
        <w:rPr>
          <w:lang w:val="fr-FR" w:eastAsia="fr-FR"/>
        </w:rPr>
        <w:t>ils ont présentés en l</w:t>
      </w:r>
      <w:r w:rsidR="00A977F5">
        <w:rPr>
          <w:lang w:val="fr-FR" w:eastAsia="fr-FR"/>
        </w:rPr>
        <w:t>’</w:t>
      </w:r>
      <w:r w:rsidRPr="00BC0135">
        <w:rPr>
          <w:lang w:val="fr-FR" w:eastAsia="fr-FR"/>
        </w:rPr>
        <w:t>espèce doivent avoir des effets suspensifs au moins pendant une période raisonnable, et que la simple possibilité de demander la suspension de l</w:t>
      </w:r>
      <w:r w:rsidR="00A977F5">
        <w:rPr>
          <w:lang w:val="fr-FR" w:eastAsia="fr-FR"/>
        </w:rPr>
        <w:t>’</w:t>
      </w:r>
      <w:r w:rsidRPr="00BC0135">
        <w:rPr>
          <w:lang w:val="fr-FR" w:eastAsia="fr-FR"/>
        </w:rPr>
        <w:t>exécution de l</w:t>
      </w:r>
      <w:r w:rsidR="00A977F5">
        <w:rPr>
          <w:lang w:val="fr-FR" w:eastAsia="fr-FR"/>
        </w:rPr>
        <w:t>’</w:t>
      </w:r>
      <w:r w:rsidRPr="00BC0135">
        <w:rPr>
          <w:lang w:val="fr-FR" w:eastAsia="fr-FR"/>
        </w:rPr>
        <w:t>acte administratif est insuffisante.</w:t>
      </w:r>
    </w:p>
    <w:p w:rsidR="00BC0135" w:rsidRP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78</w:t>
      </w:r>
      <w:r w:rsidRPr="00BC0135">
        <w:rPr>
          <w:noProof/>
          <w:lang w:val="fr-FR" w:eastAsia="fr-FR"/>
        </w:rPr>
        <w:fldChar w:fldCharType="end"/>
      </w:r>
      <w:r w:rsidRPr="00BC0135">
        <w:rPr>
          <w:lang w:val="fr-FR" w:eastAsia="fr-FR"/>
        </w:rPr>
        <w:t xml:space="preserve">.  Dans le cas des requérants la possibilité </w:t>
      </w:r>
      <w:r w:rsidR="00843AD8" w:rsidRPr="00BC0135">
        <w:rPr>
          <w:lang w:val="fr-FR" w:eastAsia="fr-FR"/>
        </w:rPr>
        <w:t xml:space="preserve">existait </w:t>
      </w:r>
      <w:r w:rsidRPr="00BC0135">
        <w:rPr>
          <w:lang w:val="fr-FR" w:eastAsia="fr-FR"/>
        </w:rPr>
        <w:t>de demander la suspension des effets négatifs de la décision administrative conjointement à l</w:t>
      </w:r>
      <w:r w:rsidR="00A977F5">
        <w:rPr>
          <w:lang w:val="fr-FR" w:eastAsia="fr-FR"/>
        </w:rPr>
        <w:t>’</w:t>
      </w:r>
      <w:r w:rsidRPr="00BC0135">
        <w:rPr>
          <w:lang w:val="fr-FR" w:eastAsia="fr-FR"/>
        </w:rPr>
        <w:t>introduction d</w:t>
      </w:r>
      <w:r w:rsidR="00A977F5">
        <w:rPr>
          <w:lang w:val="fr-FR" w:eastAsia="fr-FR"/>
        </w:rPr>
        <w:t>’</w:t>
      </w:r>
      <w:r w:rsidRPr="00BC0135">
        <w:rPr>
          <w:lang w:val="fr-FR" w:eastAsia="fr-FR"/>
        </w:rPr>
        <w:t>un recours judiciaire, la présentation d</w:t>
      </w:r>
      <w:r w:rsidR="00A977F5">
        <w:rPr>
          <w:lang w:val="fr-FR" w:eastAsia="fr-FR"/>
        </w:rPr>
        <w:t>’</w:t>
      </w:r>
      <w:r w:rsidRPr="00BC0135">
        <w:rPr>
          <w:lang w:val="fr-FR" w:eastAsia="fr-FR"/>
        </w:rPr>
        <w:t>une telle demande ayant pour effet, en vertu de la réglementation, de suspendre aussitôt le renvoi ou l</w:t>
      </w:r>
      <w:r w:rsidR="00A977F5">
        <w:rPr>
          <w:lang w:val="fr-FR" w:eastAsia="fr-FR"/>
        </w:rPr>
        <w:t>’</w:t>
      </w:r>
      <w:r w:rsidRPr="00BC0135">
        <w:rPr>
          <w:lang w:val="fr-FR" w:eastAsia="fr-FR"/>
        </w:rPr>
        <w:t>expulsion. Cependant, cette suspension n</w:t>
      </w:r>
      <w:r w:rsidR="00A977F5">
        <w:rPr>
          <w:lang w:val="fr-FR" w:eastAsia="fr-FR"/>
        </w:rPr>
        <w:t>’</w:t>
      </w:r>
      <w:r w:rsidRPr="00BC0135">
        <w:rPr>
          <w:lang w:val="fr-FR" w:eastAsia="fr-FR"/>
        </w:rPr>
        <w:t>est envisagé dans le système juridique espagnol que de façon temporaire et limitée au traitement de la demande de mesures provisoires conservatoires elle-même et non pas jusqu</w:t>
      </w:r>
      <w:r w:rsidR="00A977F5">
        <w:rPr>
          <w:lang w:val="fr-FR" w:eastAsia="fr-FR"/>
        </w:rPr>
        <w:t>’</w:t>
      </w:r>
      <w:r w:rsidRPr="00BC0135">
        <w:rPr>
          <w:lang w:val="fr-FR" w:eastAsia="fr-FR"/>
        </w:rPr>
        <w:t>à la décision finale dans la procédure principale sur le fond de l</w:t>
      </w:r>
      <w:r w:rsidR="00A977F5">
        <w:rPr>
          <w:lang w:val="fr-FR" w:eastAsia="fr-FR"/>
        </w:rPr>
        <w:t>’</w:t>
      </w:r>
      <w:r w:rsidRPr="00BC0135">
        <w:rPr>
          <w:lang w:val="fr-FR" w:eastAsia="fr-FR"/>
        </w:rPr>
        <w:t>affaire. Les requérants estiment donc que cette possibilité de suspension est insuffisante pour répondre aux exigences de l</w:t>
      </w:r>
      <w:r w:rsidR="00A977F5">
        <w:rPr>
          <w:lang w:val="fr-FR" w:eastAsia="fr-FR"/>
        </w:rPr>
        <w:t>’</w:t>
      </w:r>
      <w:r w:rsidRPr="00BC0135">
        <w:rPr>
          <w:lang w:val="fr-FR" w:eastAsia="fr-FR"/>
        </w:rPr>
        <w:t>article 13 de la Convention.</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79</w:t>
      </w:r>
      <w:r w:rsidRPr="00BC0135">
        <w:rPr>
          <w:noProof/>
          <w:lang w:val="fr-FR" w:eastAsia="fr-FR"/>
        </w:rPr>
        <w:fldChar w:fldCharType="end"/>
      </w:r>
      <w:r w:rsidRPr="00BC0135">
        <w:rPr>
          <w:lang w:val="fr-FR" w:eastAsia="fr-FR"/>
        </w:rPr>
        <w:t>.  En outre, les lois espagnoles admettent que l</w:t>
      </w:r>
      <w:r w:rsidR="00A977F5">
        <w:rPr>
          <w:lang w:val="fr-FR" w:eastAsia="fr-FR"/>
        </w:rPr>
        <w:t>’</w:t>
      </w:r>
      <w:r w:rsidRPr="00BC0135">
        <w:rPr>
          <w:lang w:val="fr-FR" w:eastAsia="fr-FR"/>
        </w:rPr>
        <w:t>autorité judiciaire puisse refuser les mesures provisoires demandées au terme d</w:t>
      </w:r>
      <w:r w:rsidR="00A977F5">
        <w:rPr>
          <w:lang w:val="fr-FR" w:eastAsia="fr-FR"/>
        </w:rPr>
        <w:t>’</w:t>
      </w:r>
      <w:r w:rsidRPr="00BC0135">
        <w:rPr>
          <w:lang w:val="fr-FR" w:eastAsia="fr-FR"/>
        </w:rPr>
        <w:t>une procédure sommaire, même dans des cas de nature très complexe, comme ceux de l</w:t>
      </w:r>
      <w:r w:rsidR="00A977F5">
        <w:rPr>
          <w:lang w:val="fr-FR" w:eastAsia="fr-FR"/>
        </w:rPr>
        <w:t>’</w:t>
      </w:r>
      <w:r w:rsidRPr="00BC0135">
        <w:rPr>
          <w:lang w:val="fr-FR" w:eastAsia="fr-FR"/>
        </w:rPr>
        <w:t>espèce, puisqu</w:t>
      </w:r>
      <w:r w:rsidR="00A977F5">
        <w:rPr>
          <w:lang w:val="fr-FR" w:eastAsia="fr-FR"/>
        </w:rPr>
        <w:t>’</w:t>
      </w:r>
      <w:r w:rsidRPr="00BC0135">
        <w:rPr>
          <w:lang w:val="fr-FR" w:eastAsia="fr-FR"/>
        </w:rPr>
        <w:t>elle statue dans des délais très brefs, sans que les faits soient clairement établis et sans comparution des parties. Les requérants estiment qu</w:t>
      </w:r>
      <w:r w:rsidR="00A977F5">
        <w:rPr>
          <w:lang w:val="fr-FR" w:eastAsia="fr-FR"/>
        </w:rPr>
        <w:t>’</w:t>
      </w:r>
      <w:r w:rsidRPr="00BC0135">
        <w:rPr>
          <w:lang w:val="fr-FR" w:eastAsia="fr-FR"/>
        </w:rPr>
        <w:t>un tel système ne répond pas aux exigences de l</w:t>
      </w:r>
      <w:r w:rsidR="00A977F5">
        <w:rPr>
          <w:lang w:val="fr-FR" w:eastAsia="fr-FR"/>
        </w:rPr>
        <w:t>’</w:t>
      </w:r>
      <w:r w:rsidRPr="00BC0135">
        <w:rPr>
          <w:lang w:val="fr-FR" w:eastAsia="fr-FR"/>
        </w:rPr>
        <w:t>article 13 puisqu</w:t>
      </w:r>
      <w:r w:rsidR="00A977F5">
        <w:rPr>
          <w:lang w:val="fr-FR" w:eastAsia="fr-FR"/>
        </w:rPr>
        <w:t>’</w:t>
      </w:r>
      <w:r w:rsidRPr="00BC0135">
        <w:rPr>
          <w:lang w:val="fr-FR" w:eastAsia="fr-FR"/>
        </w:rPr>
        <w:t>il ne leur a offert ni audition ni contrôle juridictionnel rigoureux et indépendant des décisions administratives litigieuses.</w:t>
      </w:r>
    </w:p>
    <w:p w:rsidR="00BC0135" w:rsidRDefault="00BC0135" w:rsidP="00BC0135">
      <w:pPr>
        <w:ind w:firstLine="284"/>
        <w:rPr>
          <w:lang w:val="fr-FR" w:eastAsia="fr-FR"/>
        </w:rPr>
      </w:pPr>
      <w:r w:rsidRPr="00BC0135">
        <w:rPr>
          <w:lang w:val="fr-FR" w:eastAsia="fr-FR"/>
        </w:rPr>
        <w:lastRenderedPageBreak/>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80</w:t>
      </w:r>
      <w:r w:rsidRPr="00BC0135">
        <w:rPr>
          <w:noProof/>
          <w:lang w:val="fr-FR" w:eastAsia="fr-FR"/>
        </w:rPr>
        <w:fldChar w:fldCharType="end"/>
      </w:r>
      <w:r w:rsidRPr="00BC0135">
        <w:rPr>
          <w:lang w:val="fr-FR" w:eastAsia="fr-FR"/>
        </w:rPr>
        <w:t>.  En conclusion, les requérants estiment qu</w:t>
      </w:r>
      <w:r w:rsidR="00A977F5">
        <w:rPr>
          <w:lang w:val="fr-FR" w:eastAsia="fr-FR"/>
        </w:rPr>
        <w:t>’</w:t>
      </w:r>
      <w:r w:rsidRPr="00BC0135">
        <w:rPr>
          <w:lang w:val="fr-FR" w:eastAsia="fr-FR"/>
        </w:rPr>
        <w:t>il y a eu violation de l</w:t>
      </w:r>
      <w:r w:rsidR="00A977F5">
        <w:rPr>
          <w:lang w:val="fr-FR" w:eastAsia="fr-FR"/>
        </w:rPr>
        <w:t>’</w:t>
      </w:r>
      <w:r w:rsidRPr="00BC0135">
        <w:rPr>
          <w:lang w:val="fr-FR" w:eastAsia="fr-FR"/>
        </w:rPr>
        <w:t>article 13 de la Convention – combiné avec l</w:t>
      </w:r>
      <w:r w:rsidR="00A977F5">
        <w:rPr>
          <w:lang w:val="fr-FR" w:eastAsia="fr-FR"/>
        </w:rPr>
        <w:t>’</w:t>
      </w:r>
      <w:r w:rsidRPr="00BC0135">
        <w:rPr>
          <w:lang w:val="fr-FR" w:eastAsia="fr-FR"/>
        </w:rPr>
        <w:t>article 3, à raison du risque grave couru par eux d</w:t>
      </w:r>
      <w:r w:rsidR="00A977F5">
        <w:rPr>
          <w:lang w:val="fr-FR" w:eastAsia="fr-FR"/>
        </w:rPr>
        <w:t>’</w:t>
      </w:r>
      <w:r w:rsidRPr="00BC0135">
        <w:rPr>
          <w:lang w:val="fr-FR" w:eastAsia="fr-FR"/>
        </w:rPr>
        <w:t>être renvoyés dans leur pays d</w:t>
      </w:r>
      <w:r w:rsidR="00A977F5">
        <w:rPr>
          <w:lang w:val="fr-FR" w:eastAsia="fr-FR"/>
        </w:rPr>
        <w:t>’</w:t>
      </w:r>
      <w:r w:rsidRPr="00BC0135">
        <w:rPr>
          <w:lang w:val="fr-FR" w:eastAsia="fr-FR"/>
        </w:rPr>
        <w:t>origine – en ce qu</w:t>
      </w:r>
      <w:r w:rsidR="00A977F5">
        <w:rPr>
          <w:lang w:val="fr-FR" w:eastAsia="fr-FR"/>
        </w:rPr>
        <w:t>’</w:t>
      </w:r>
      <w:r w:rsidRPr="00BC0135">
        <w:rPr>
          <w:lang w:val="fr-FR" w:eastAsia="fr-FR"/>
        </w:rPr>
        <w:t>ils pouvaient être expulsés vers le Maroc sans qu</w:t>
      </w:r>
      <w:r w:rsidR="00A977F5">
        <w:rPr>
          <w:lang w:val="fr-FR" w:eastAsia="fr-FR"/>
        </w:rPr>
        <w:t>’</w:t>
      </w:r>
      <w:r w:rsidRPr="00BC0135">
        <w:rPr>
          <w:lang w:val="fr-FR" w:eastAsia="fr-FR"/>
        </w:rPr>
        <w:t>il soit préalablement procédé à une analyse rigoureuse et indépendante de leurs demandes de protection internationale.</w:t>
      </w:r>
    </w:p>
    <w:p w:rsidR="00BC0135" w:rsidRPr="00BC0135" w:rsidRDefault="00BC0135" w:rsidP="00BC0135">
      <w:pPr>
        <w:keepNext/>
        <w:keepLines/>
        <w:tabs>
          <w:tab w:val="left" w:pos="731"/>
        </w:tabs>
        <w:spacing w:before="240" w:after="120"/>
        <w:ind w:left="732" w:hanging="301"/>
        <w:outlineLvl w:val="2"/>
        <w:rPr>
          <w:rFonts w:asciiTheme="majorHAnsi" w:eastAsiaTheme="majorEastAsia" w:hAnsiTheme="majorHAnsi" w:cstheme="majorBidi"/>
          <w:bCs/>
          <w:i/>
          <w:lang w:val="fr-FR" w:eastAsia="fr-FR"/>
        </w:rPr>
      </w:pPr>
      <w:r w:rsidRPr="00BC0135">
        <w:rPr>
          <w:rFonts w:asciiTheme="majorHAnsi" w:eastAsiaTheme="majorEastAsia" w:hAnsiTheme="majorHAnsi" w:cstheme="majorBidi"/>
          <w:bCs/>
          <w:i/>
          <w:lang w:val="fr-FR" w:eastAsia="fr-FR"/>
        </w:rPr>
        <w:t>2.  Appréciation de la Cour</w:t>
      </w:r>
    </w:p>
    <w:p w:rsidR="00BC0135" w:rsidRPr="00BC0135" w:rsidRDefault="00BC0135" w:rsidP="00BC0135">
      <w:pPr>
        <w:keepNext/>
        <w:keepLines/>
        <w:tabs>
          <w:tab w:val="left" w:pos="975"/>
        </w:tabs>
        <w:spacing w:before="240" w:after="120"/>
        <w:ind w:left="975" w:hanging="340"/>
        <w:outlineLvl w:val="3"/>
        <w:rPr>
          <w:rFonts w:asciiTheme="majorHAnsi" w:eastAsiaTheme="majorEastAsia" w:hAnsiTheme="majorHAnsi" w:cstheme="majorBidi"/>
          <w:b/>
          <w:bCs/>
          <w:iCs/>
          <w:sz w:val="20"/>
          <w:lang w:val="fr-FR" w:eastAsia="fr-FR"/>
        </w:rPr>
      </w:pPr>
      <w:r w:rsidRPr="00BC0135">
        <w:rPr>
          <w:rFonts w:asciiTheme="majorHAnsi" w:eastAsiaTheme="majorEastAsia" w:hAnsiTheme="majorHAnsi" w:cstheme="majorBidi"/>
          <w:b/>
          <w:bCs/>
          <w:iCs/>
          <w:sz w:val="20"/>
          <w:lang w:val="fr-FR" w:eastAsia="fr-FR"/>
        </w:rPr>
        <w:t>a)  Principes généraux applicables</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81</w:t>
      </w:r>
      <w:r w:rsidRPr="00BC0135">
        <w:rPr>
          <w:noProof/>
          <w:lang w:val="fr-FR" w:eastAsia="fr-FR"/>
        </w:rPr>
        <w:fldChar w:fldCharType="end"/>
      </w:r>
      <w:r w:rsidRPr="00BC0135">
        <w:rPr>
          <w:lang w:val="fr-FR" w:eastAsia="fr-FR"/>
        </w:rPr>
        <w:t>.  Les principes généraux relatifs à l</w:t>
      </w:r>
      <w:r w:rsidR="00A977F5">
        <w:rPr>
          <w:lang w:val="fr-FR" w:eastAsia="fr-FR"/>
        </w:rPr>
        <w:t>’</w:t>
      </w:r>
      <w:r w:rsidRPr="00BC0135">
        <w:rPr>
          <w:lang w:val="fr-FR" w:eastAsia="fr-FR"/>
        </w:rPr>
        <w:t>effectivité des recours et des garanties fournies par les États contractants en cas d</w:t>
      </w:r>
      <w:r w:rsidR="00A977F5">
        <w:rPr>
          <w:lang w:val="fr-FR" w:eastAsia="fr-FR"/>
        </w:rPr>
        <w:t>’</w:t>
      </w:r>
      <w:r w:rsidRPr="00BC0135">
        <w:rPr>
          <w:lang w:val="fr-FR" w:eastAsia="fr-FR"/>
        </w:rPr>
        <w:t>expulsion d</w:t>
      </w:r>
      <w:r w:rsidR="00A977F5">
        <w:rPr>
          <w:lang w:val="fr-FR" w:eastAsia="fr-FR"/>
        </w:rPr>
        <w:t>’</w:t>
      </w:r>
      <w:r w:rsidRPr="00BC0135">
        <w:rPr>
          <w:lang w:val="fr-FR" w:eastAsia="fr-FR"/>
        </w:rPr>
        <w:t>un demandeur d</w:t>
      </w:r>
      <w:r w:rsidR="00A977F5">
        <w:rPr>
          <w:lang w:val="fr-FR" w:eastAsia="fr-FR"/>
        </w:rPr>
        <w:t>’</w:t>
      </w:r>
      <w:r w:rsidRPr="00BC0135">
        <w:rPr>
          <w:lang w:val="fr-FR" w:eastAsia="fr-FR"/>
        </w:rPr>
        <w:t>asile en vertu des articles 13 et 3 combinés de la Convention sont résumés dans l</w:t>
      </w:r>
      <w:r w:rsidR="00A977F5">
        <w:rPr>
          <w:lang w:val="fr-FR" w:eastAsia="fr-FR"/>
        </w:rPr>
        <w:t>’</w:t>
      </w:r>
      <w:r w:rsidRPr="00BC0135">
        <w:rPr>
          <w:lang w:val="fr-FR" w:eastAsia="fr-FR"/>
        </w:rPr>
        <w:t xml:space="preserve">arrêt </w:t>
      </w:r>
      <w:r w:rsidRPr="00BC0135">
        <w:rPr>
          <w:i/>
          <w:lang w:val="fr-FR" w:eastAsia="fr-FR"/>
        </w:rPr>
        <w:t xml:space="preserve">M.S.S. c. Belgique et Grèce </w:t>
      </w:r>
      <w:r w:rsidRPr="00BC0135">
        <w:rPr>
          <w:lang w:val="fr-FR" w:eastAsia="fr-FR"/>
        </w:rPr>
        <w:t>[GC], n</w:t>
      </w:r>
      <w:r w:rsidRPr="00BC0135">
        <w:rPr>
          <w:vertAlign w:val="superscript"/>
          <w:lang w:val="fr-FR" w:eastAsia="fr-FR"/>
        </w:rPr>
        <w:t>o</w:t>
      </w:r>
      <w:r w:rsidRPr="00BC0135">
        <w:rPr>
          <w:lang w:val="fr-FR" w:eastAsia="fr-FR"/>
        </w:rPr>
        <w:t> 30696/09, §§ 286-293, CEDH 2011).</w:t>
      </w:r>
    </w:p>
    <w:p w:rsidR="00BC0135" w:rsidRP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82</w:t>
      </w:r>
      <w:r w:rsidRPr="00BC0135">
        <w:rPr>
          <w:noProof/>
          <w:lang w:val="fr-FR" w:eastAsia="fr-FR"/>
        </w:rPr>
        <w:fldChar w:fldCharType="end"/>
      </w:r>
      <w:r w:rsidRPr="00BC0135">
        <w:rPr>
          <w:lang w:val="fr-FR" w:eastAsia="fr-FR"/>
        </w:rPr>
        <w:t>.  La Cour réitère les principes inhérents à l</w:t>
      </w:r>
      <w:r w:rsidR="00A977F5">
        <w:rPr>
          <w:lang w:val="fr-FR" w:eastAsia="fr-FR"/>
        </w:rPr>
        <w:t>’</w:t>
      </w:r>
      <w:r w:rsidRPr="00BC0135">
        <w:rPr>
          <w:lang w:val="fr-FR" w:eastAsia="fr-FR"/>
        </w:rPr>
        <w:t>article 13 de la Convention, qui garantit l</w:t>
      </w:r>
      <w:r w:rsidR="00A977F5">
        <w:rPr>
          <w:lang w:val="fr-FR" w:eastAsia="fr-FR"/>
        </w:rPr>
        <w:t>’</w:t>
      </w:r>
      <w:r w:rsidRPr="00BC0135">
        <w:rPr>
          <w:lang w:val="fr-FR" w:eastAsia="fr-FR"/>
        </w:rPr>
        <w:t>existence en droit interne d</w:t>
      </w:r>
      <w:r w:rsidR="00A977F5">
        <w:rPr>
          <w:lang w:val="fr-FR" w:eastAsia="fr-FR"/>
        </w:rPr>
        <w:t>’</w:t>
      </w:r>
      <w:r w:rsidRPr="00BC0135">
        <w:rPr>
          <w:lang w:val="fr-FR" w:eastAsia="fr-FR"/>
        </w:rPr>
        <w:t>un recours permettant de se prévaloir des droits et libertés de la Convention tels qu</w:t>
      </w:r>
      <w:r w:rsidR="00A977F5">
        <w:rPr>
          <w:lang w:val="fr-FR" w:eastAsia="fr-FR"/>
        </w:rPr>
        <w:t>’</w:t>
      </w:r>
      <w:r w:rsidRPr="00BC0135">
        <w:rPr>
          <w:lang w:val="fr-FR" w:eastAsia="fr-FR"/>
        </w:rPr>
        <w:t>ils y sont consacrés. Cette disposition a donc pour conséquence d</w:t>
      </w:r>
      <w:r w:rsidR="00A977F5">
        <w:rPr>
          <w:lang w:val="fr-FR" w:eastAsia="fr-FR"/>
        </w:rPr>
        <w:t>’</w:t>
      </w:r>
      <w:r w:rsidRPr="00BC0135">
        <w:rPr>
          <w:lang w:val="fr-FR" w:eastAsia="fr-FR"/>
        </w:rPr>
        <w:t>exiger un recours interne habilitant à examiner le contenu d</w:t>
      </w:r>
      <w:r w:rsidR="00A977F5">
        <w:rPr>
          <w:lang w:val="fr-FR" w:eastAsia="fr-FR"/>
        </w:rPr>
        <w:t>’</w:t>
      </w:r>
      <w:r w:rsidRPr="00BC0135">
        <w:rPr>
          <w:lang w:val="fr-FR" w:eastAsia="fr-FR"/>
        </w:rPr>
        <w:t>un « grief défendable » fondé sur la Convention et à offrir le redressement approprié. La portée de l</w:t>
      </w:r>
      <w:r w:rsidR="00A977F5">
        <w:rPr>
          <w:lang w:val="fr-FR" w:eastAsia="fr-FR"/>
        </w:rPr>
        <w:t>’</w:t>
      </w:r>
      <w:r w:rsidRPr="00BC0135">
        <w:rPr>
          <w:lang w:val="fr-FR" w:eastAsia="fr-FR"/>
        </w:rPr>
        <w:t>obligation que l</w:t>
      </w:r>
      <w:r w:rsidR="00A977F5">
        <w:rPr>
          <w:lang w:val="fr-FR" w:eastAsia="fr-FR"/>
        </w:rPr>
        <w:t>’</w:t>
      </w:r>
      <w:r w:rsidRPr="00BC0135">
        <w:rPr>
          <w:lang w:val="fr-FR" w:eastAsia="fr-FR"/>
        </w:rPr>
        <w:t>article 13 fait peser sur les États contractants varie en fonction de la nature du grief du requérant. Toutefois, le recours exigé par l</w:t>
      </w:r>
      <w:r w:rsidR="00A977F5">
        <w:rPr>
          <w:lang w:val="fr-FR" w:eastAsia="fr-FR"/>
        </w:rPr>
        <w:t>’</w:t>
      </w:r>
      <w:r w:rsidRPr="00BC0135">
        <w:rPr>
          <w:lang w:val="fr-FR" w:eastAsia="fr-FR"/>
        </w:rPr>
        <w:t>article 13 doit être « effectif » en pratique comme en droit (</w:t>
      </w:r>
      <w:r w:rsidRPr="00BC0135">
        <w:rPr>
          <w:i/>
          <w:lang w:val="fr-FR" w:eastAsia="fr-FR"/>
        </w:rPr>
        <w:t>Kudła c. Pologne</w:t>
      </w:r>
      <w:r w:rsidRPr="00BC0135">
        <w:rPr>
          <w:lang w:val="fr-FR" w:eastAsia="fr-FR"/>
        </w:rPr>
        <w:t xml:space="preserve"> [GC], n</w:t>
      </w:r>
      <w:r w:rsidRPr="00BC0135">
        <w:rPr>
          <w:vertAlign w:val="superscript"/>
          <w:lang w:val="fr-FR" w:eastAsia="fr-FR"/>
        </w:rPr>
        <w:t>o</w:t>
      </w:r>
      <w:r w:rsidRPr="00BC0135">
        <w:rPr>
          <w:lang w:val="fr-FR" w:eastAsia="fr-FR"/>
        </w:rPr>
        <w:t> 30210/96, § 157, CEDH 2000</w:t>
      </w:r>
      <w:r w:rsidRPr="00BC0135">
        <w:rPr>
          <w:lang w:val="fr-FR" w:eastAsia="fr-FR"/>
        </w:rPr>
        <w:noBreakHyphen/>
        <w:t xml:space="preserve">XI, et </w:t>
      </w:r>
      <w:r w:rsidRPr="00BC0135">
        <w:rPr>
          <w:i/>
          <w:lang w:val="fr-FR" w:eastAsia="fr-FR"/>
        </w:rPr>
        <w:t>M.S.S. c. Belgique et Grèce</w:t>
      </w:r>
      <w:r w:rsidRPr="00BC0135">
        <w:rPr>
          <w:lang w:val="fr-FR" w:eastAsia="fr-FR"/>
        </w:rPr>
        <w:t>, précité, § 288).</w:t>
      </w:r>
    </w:p>
    <w:p w:rsidR="00BC0135" w:rsidRPr="00BC0135" w:rsidRDefault="00BC0135" w:rsidP="00BC0135">
      <w:pPr>
        <w:ind w:firstLine="284"/>
        <w:rPr>
          <w:i/>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83</w:t>
      </w:r>
      <w:r w:rsidRPr="00BC0135">
        <w:rPr>
          <w:noProof/>
          <w:lang w:val="fr-FR" w:eastAsia="fr-FR"/>
        </w:rPr>
        <w:fldChar w:fldCharType="end"/>
      </w:r>
      <w:r w:rsidRPr="00BC0135">
        <w:rPr>
          <w:lang w:val="fr-FR" w:eastAsia="fr-FR"/>
        </w:rPr>
        <w:t xml:space="preserve">.  Dans cet arrêt </w:t>
      </w:r>
      <w:r w:rsidRPr="00BC0135">
        <w:rPr>
          <w:i/>
          <w:lang w:val="fr-FR" w:eastAsia="fr-FR"/>
        </w:rPr>
        <w:t>M.S.S.</w:t>
      </w:r>
      <w:r w:rsidRPr="00BC0135">
        <w:rPr>
          <w:lang w:val="fr-FR" w:eastAsia="fr-FR"/>
        </w:rPr>
        <w:t>, la Cour a d</w:t>
      </w:r>
      <w:r w:rsidR="00A977F5">
        <w:rPr>
          <w:lang w:val="fr-FR" w:eastAsia="fr-FR"/>
        </w:rPr>
        <w:t>’</w:t>
      </w:r>
      <w:r w:rsidRPr="00BC0135">
        <w:rPr>
          <w:lang w:val="fr-FR" w:eastAsia="fr-FR"/>
        </w:rPr>
        <w:t>abord rappelé le caractère subsidiaire que revêt, par rapport aux systèmes nationaux, le mécanisme de plainte devant elle, puisqu</w:t>
      </w:r>
      <w:r w:rsidR="00A977F5">
        <w:rPr>
          <w:lang w:val="fr-FR" w:eastAsia="fr-FR"/>
        </w:rPr>
        <w:t>’</w:t>
      </w:r>
      <w:r w:rsidRPr="00BC0135">
        <w:rPr>
          <w:lang w:val="fr-FR" w:eastAsia="fr-FR"/>
        </w:rPr>
        <w:t>elle se garde d</w:t>
      </w:r>
      <w:r w:rsidR="00A977F5">
        <w:rPr>
          <w:lang w:val="fr-FR" w:eastAsia="fr-FR"/>
        </w:rPr>
        <w:t>’</w:t>
      </w:r>
      <w:r w:rsidRPr="00BC0135">
        <w:rPr>
          <w:lang w:val="fr-FR" w:eastAsia="fr-FR"/>
        </w:rPr>
        <w:t>examiner elle</w:t>
      </w:r>
      <w:r w:rsidRPr="00BC0135">
        <w:rPr>
          <w:lang w:val="fr-FR" w:eastAsia="fr-FR"/>
        </w:rPr>
        <w:noBreakHyphen/>
        <w:t>même les demandes d</w:t>
      </w:r>
      <w:r w:rsidR="00A977F5">
        <w:rPr>
          <w:lang w:val="fr-FR" w:eastAsia="fr-FR"/>
        </w:rPr>
        <w:t>’</w:t>
      </w:r>
      <w:r w:rsidRPr="00BC0135">
        <w:rPr>
          <w:lang w:val="fr-FR" w:eastAsia="fr-FR"/>
        </w:rPr>
        <w:t>asile ou de contrôler la manière dont les États remplissent leurs obligations découlant de la Convention de Genève. Sa préoccupation essentielle est de savoir s</w:t>
      </w:r>
      <w:r w:rsidR="00A977F5">
        <w:rPr>
          <w:lang w:val="fr-FR" w:eastAsia="fr-FR"/>
        </w:rPr>
        <w:t>’</w:t>
      </w:r>
      <w:r w:rsidRPr="00BC0135">
        <w:rPr>
          <w:lang w:val="fr-FR" w:eastAsia="fr-FR"/>
        </w:rPr>
        <w:t>il existe des garanties effectives qui protègent le requérant contre un refoulement arbitraire vers le pays qu</w:t>
      </w:r>
      <w:r w:rsidR="00A977F5">
        <w:rPr>
          <w:lang w:val="fr-FR" w:eastAsia="fr-FR"/>
        </w:rPr>
        <w:t>’</w:t>
      </w:r>
      <w:r w:rsidR="00843AD8">
        <w:rPr>
          <w:lang w:val="fr-FR" w:eastAsia="fr-FR"/>
        </w:rPr>
        <w:t>il a fui (§§ 286 et </w:t>
      </w:r>
      <w:r w:rsidRPr="00BC0135">
        <w:rPr>
          <w:lang w:val="fr-FR" w:eastAsia="fr-FR"/>
        </w:rPr>
        <w:t>287).</w:t>
      </w:r>
    </w:p>
    <w:p w:rsidR="00BC0135" w:rsidRPr="00BC0135" w:rsidRDefault="00BC0135" w:rsidP="00BC0135">
      <w:pPr>
        <w:ind w:firstLine="284"/>
        <w:rPr>
          <w:szCs w:val="24"/>
          <w:lang w:val="it-IT"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84</w:t>
      </w:r>
      <w:r w:rsidRPr="00BC0135">
        <w:rPr>
          <w:noProof/>
          <w:lang w:val="fr-FR" w:eastAsia="fr-FR"/>
        </w:rPr>
        <w:fldChar w:fldCharType="end"/>
      </w:r>
      <w:r w:rsidRPr="00BC0135">
        <w:rPr>
          <w:lang w:val="fr-FR" w:eastAsia="fr-FR"/>
        </w:rPr>
        <w:t>.  La Cour reconnaît une marge d</w:t>
      </w:r>
      <w:r w:rsidR="00A977F5">
        <w:rPr>
          <w:lang w:val="fr-FR" w:eastAsia="fr-FR"/>
        </w:rPr>
        <w:t>’</w:t>
      </w:r>
      <w:r w:rsidRPr="00BC0135">
        <w:rPr>
          <w:lang w:val="fr-FR" w:eastAsia="fr-FR"/>
        </w:rPr>
        <w:t>appréciation aux États contractants, en ce que « l</w:t>
      </w:r>
      <w:r w:rsidR="00A977F5">
        <w:rPr>
          <w:lang w:val="fr-FR" w:eastAsia="fr-FR"/>
        </w:rPr>
        <w:t>’</w:t>
      </w:r>
      <w:r w:rsidRPr="00BC0135">
        <w:rPr>
          <w:lang w:val="fr-FR" w:eastAsia="fr-FR"/>
        </w:rPr>
        <w:t>effectivité d</w:t>
      </w:r>
      <w:r w:rsidR="00A977F5">
        <w:rPr>
          <w:lang w:val="fr-FR" w:eastAsia="fr-FR"/>
        </w:rPr>
        <w:t>’</w:t>
      </w:r>
      <w:r w:rsidRPr="00BC0135">
        <w:rPr>
          <w:lang w:val="fr-FR" w:eastAsia="fr-FR"/>
        </w:rPr>
        <w:t>un recours au sens de l</w:t>
      </w:r>
      <w:r w:rsidR="00A977F5">
        <w:rPr>
          <w:lang w:val="fr-FR" w:eastAsia="fr-FR"/>
        </w:rPr>
        <w:t>’</w:t>
      </w:r>
      <w:r w:rsidRPr="00BC0135">
        <w:rPr>
          <w:lang w:val="fr-FR" w:eastAsia="fr-FR"/>
        </w:rPr>
        <w:t>article 13 ne dépend pas de la certitude d</w:t>
      </w:r>
      <w:r w:rsidR="00A977F5">
        <w:rPr>
          <w:lang w:val="fr-FR" w:eastAsia="fr-FR"/>
        </w:rPr>
        <w:t>’</w:t>
      </w:r>
      <w:r w:rsidRPr="00BC0135">
        <w:rPr>
          <w:lang w:val="fr-FR" w:eastAsia="fr-FR"/>
        </w:rPr>
        <w:t>une issue favorable pour le requérant. De même, l</w:t>
      </w:r>
      <w:r w:rsidR="00A977F5">
        <w:rPr>
          <w:lang w:val="fr-FR" w:eastAsia="fr-FR"/>
        </w:rPr>
        <w:t>’</w:t>
      </w:r>
      <w:r w:rsidRPr="00BC0135">
        <w:rPr>
          <w:lang w:val="fr-FR" w:eastAsia="fr-FR"/>
        </w:rPr>
        <w:t>« instance » dont parle cette disposition n</w:t>
      </w:r>
      <w:r w:rsidR="00A977F5">
        <w:rPr>
          <w:lang w:val="fr-FR" w:eastAsia="fr-FR"/>
        </w:rPr>
        <w:t>’</w:t>
      </w:r>
      <w:r w:rsidRPr="00BC0135">
        <w:rPr>
          <w:lang w:val="fr-FR" w:eastAsia="fr-FR"/>
        </w:rPr>
        <w:t>a pas besoin d</w:t>
      </w:r>
      <w:r w:rsidR="00A977F5">
        <w:rPr>
          <w:lang w:val="fr-FR" w:eastAsia="fr-FR"/>
        </w:rPr>
        <w:t>’</w:t>
      </w:r>
      <w:r w:rsidRPr="00BC0135">
        <w:rPr>
          <w:lang w:val="fr-FR" w:eastAsia="fr-FR"/>
        </w:rPr>
        <w:t>être une institution judiciaire, mais alors ses pouvoirs et les garanties qu</w:t>
      </w:r>
      <w:r w:rsidR="00A977F5">
        <w:rPr>
          <w:lang w:val="fr-FR" w:eastAsia="fr-FR"/>
        </w:rPr>
        <w:t>’</w:t>
      </w:r>
      <w:r w:rsidRPr="00BC0135">
        <w:rPr>
          <w:lang w:val="fr-FR" w:eastAsia="fr-FR"/>
        </w:rPr>
        <w:t>elle présente entrent en ligne de compte pour apprécier l</w:t>
      </w:r>
      <w:r w:rsidR="00A977F5">
        <w:rPr>
          <w:lang w:val="fr-FR" w:eastAsia="fr-FR"/>
        </w:rPr>
        <w:t>’</w:t>
      </w:r>
      <w:r w:rsidRPr="00BC0135">
        <w:rPr>
          <w:lang w:val="fr-FR" w:eastAsia="fr-FR"/>
        </w:rPr>
        <w:t>effectivité du recours s</w:t>
      </w:r>
      <w:r w:rsidR="00A977F5">
        <w:rPr>
          <w:lang w:val="fr-FR" w:eastAsia="fr-FR"/>
        </w:rPr>
        <w:t>’</w:t>
      </w:r>
      <w:r w:rsidRPr="00BC0135">
        <w:rPr>
          <w:lang w:val="fr-FR" w:eastAsia="fr-FR"/>
        </w:rPr>
        <w:t>exerçant devant elle. En outre, l</w:t>
      </w:r>
      <w:r w:rsidR="00A977F5">
        <w:rPr>
          <w:lang w:val="fr-FR" w:eastAsia="fr-FR"/>
        </w:rPr>
        <w:t>’</w:t>
      </w:r>
      <w:r w:rsidRPr="00BC0135">
        <w:rPr>
          <w:lang w:val="fr-FR" w:eastAsia="fr-FR"/>
        </w:rPr>
        <w:t>ensemble des recours offerts par le droit interne peut remplir les exigences de l</w:t>
      </w:r>
      <w:r w:rsidR="00A977F5">
        <w:rPr>
          <w:lang w:val="fr-FR" w:eastAsia="fr-FR"/>
        </w:rPr>
        <w:t>’</w:t>
      </w:r>
      <w:r w:rsidRPr="00BC0135">
        <w:rPr>
          <w:lang w:val="fr-FR" w:eastAsia="fr-FR"/>
        </w:rPr>
        <w:t>article 13 même si aucun d</w:t>
      </w:r>
      <w:r w:rsidR="00A977F5">
        <w:rPr>
          <w:lang w:val="fr-FR" w:eastAsia="fr-FR"/>
        </w:rPr>
        <w:t>’</w:t>
      </w:r>
      <w:r w:rsidRPr="00BC0135">
        <w:rPr>
          <w:lang w:val="fr-FR" w:eastAsia="fr-FR"/>
        </w:rPr>
        <w:t>eux n</w:t>
      </w:r>
      <w:r w:rsidR="00A977F5">
        <w:rPr>
          <w:lang w:val="fr-FR" w:eastAsia="fr-FR"/>
        </w:rPr>
        <w:t>’</w:t>
      </w:r>
      <w:r w:rsidRPr="00BC0135">
        <w:rPr>
          <w:lang w:val="fr-FR" w:eastAsia="fr-FR"/>
        </w:rPr>
        <w:t>y répond en entier à lui seul » (</w:t>
      </w:r>
      <w:r w:rsidRPr="00BC0135">
        <w:rPr>
          <w:i/>
          <w:szCs w:val="24"/>
          <w:lang w:val="it-IT" w:eastAsia="fr-FR"/>
        </w:rPr>
        <w:t>Gebremedhin [Gaberamadhien] c. France</w:t>
      </w:r>
      <w:r w:rsidRPr="00BC0135">
        <w:rPr>
          <w:szCs w:val="24"/>
          <w:lang w:val="it-IT" w:eastAsia="fr-FR"/>
        </w:rPr>
        <w:t xml:space="preserve">, </w:t>
      </w:r>
      <w:r w:rsidRPr="00BC0135">
        <w:rPr>
          <w:szCs w:val="24"/>
          <w:lang w:val="it-IT" w:eastAsia="fr-FR"/>
        </w:rPr>
        <w:lastRenderedPageBreak/>
        <w:t>n</w:t>
      </w:r>
      <w:r w:rsidRPr="00BC0135">
        <w:rPr>
          <w:szCs w:val="24"/>
          <w:vertAlign w:val="superscript"/>
          <w:lang w:val="it-IT" w:eastAsia="fr-FR"/>
        </w:rPr>
        <w:t>o</w:t>
      </w:r>
      <w:r w:rsidRPr="00BC0135">
        <w:rPr>
          <w:szCs w:val="24"/>
          <w:lang w:val="it-IT" w:eastAsia="fr-FR"/>
        </w:rPr>
        <w:t xml:space="preserve"> 25389/05, § 53, </w:t>
      </w:r>
      <w:r w:rsidRPr="00BC0135">
        <w:rPr>
          <w:lang w:val="it-IT" w:eastAsia="fr-FR"/>
        </w:rPr>
        <w:t>CEDH 2007</w:t>
      </w:r>
      <w:r w:rsidRPr="00BC0135">
        <w:rPr>
          <w:lang w:val="it-IT" w:eastAsia="fr-FR"/>
        </w:rPr>
        <w:noBreakHyphen/>
        <w:t>II</w:t>
      </w:r>
      <w:r w:rsidRPr="00BC0135">
        <w:rPr>
          <w:szCs w:val="24"/>
          <w:lang w:val="fr-FR" w:eastAsia="fr-FR"/>
        </w:rPr>
        <w:t xml:space="preserve">, </w:t>
      </w:r>
      <w:r w:rsidRPr="00BC0135">
        <w:rPr>
          <w:i/>
          <w:lang w:val="fr-FR" w:eastAsia="fr-FR"/>
        </w:rPr>
        <w:t>M.S.S. c. Belgique et Grèce</w:t>
      </w:r>
      <w:r w:rsidRPr="00BC0135">
        <w:rPr>
          <w:lang w:val="fr-FR" w:eastAsia="fr-FR"/>
        </w:rPr>
        <w:t xml:space="preserve">, précité, § 289 et </w:t>
      </w:r>
      <w:r w:rsidRPr="00BC0135">
        <w:rPr>
          <w:i/>
          <w:lang w:val="fr-FR" w:eastAsia="fr-FR"/>
        </w:rPr>
        <w:t>I.M. c. France</w:t>
      </w:r>
      <w:r w:rsidRPr="00BC0135">
        <w:rPr>
          <w:lang w:val="fr-FR" w:eastAsia="fr-FR"/>
        </w:rPr>
        <w:t>, précité</w:t>
      </w:r>
      <w:r w:rsidRPr="00BC0135">
        <w:rPr>
          <w:snapToGrid w:val="0"/>
          <w:szCs w:val="24"/>
          <w:lang w:val="fr-FR" w:eastAsia="fr-FR"/>
        </w:rPr>
        <w:t>, § 129</w:t>
      </w:r>
      <w:r w:rsidRPr="00BC0135">
        <w:rPr>
          <w:lang w:val="fr-FR" w:eastAsia="fr-FR"/>
        </w:rPr>
        <w:t>).</w:t>
      </w:r>
    </w:p>
    <w:p w:rsidR="00BC0135" w:rsidRP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85</w:t>
      </w:r>
      <w:r w:rsidRPr="00BC0135">
        <w:rPr>
          <w:noProof/>
          <w:lang w:val="fr-FR" w:eastAsia="fr-FR"/>
        </w:rPr>
        <w:fldChar w:fldCharType="end"/>
      </w:r>
      <w:r w:rsidRPr="00BC0135">
        <w:rPr>
          <w:lang w:val="fr-FR" w:eastAsia="fr-FR"/>
        </w:rPr>
        <w:t>.  En revanche, l</w:t>
      </w:r>
      <w:r w:rsidR="00A977F5">
        <w:rPr>
          <w:lang w:val="fr-FR" w:eastAsia="fr-FR"/>
        </w:rPr>
        <w:t>’</w:t>
      </w:r>
      <w:r w:rsidRPr="00BC0135">
        <w:rPr>
          <w:lang w:val="fr-FR" w:eastAsia="fr-FR"/>
        </w:rPr>
        <w:t>effectivité commande des exigences d</w:t>
      </w:r>
      <w:r w:rsidR="00A977F5">
        <w:rPr>
          <w:lang w:val="fr-FR" w:eastAsia="fr-FR"/>
        </w:rPr>
        <w:t>’</w:t>
      </w:r>
      <w:r w:rsidRPr="00BC0135">
        <w:rPr>
          <w:lang w:val="fr-FR" w:eastAsia="fr-FR"/>
        </w:rPr>
        <w:t>accessibilité et de réalité : pour être effectif, le recours exigé par l</w:t>
      </w:r>
      <w:r w:rsidR="00A977F5">
        <w:rPr>
          <w:lang w:val="fr-FR" w:eastAsia="fr-FR"/>
        </w:rPr>
        <w:t>’</w:t>
      </w:r>
      <w:r w:rsidRPr="00BC0135">
        <w:rPr>
          <w:lang w:val="fr-FR" w:eastAsia="fr-FR"/>
        </w:rPr>
        <w:t>article 13 doit être disponible en droit comme en pratique, en ce sens particulièrement que son exercice ne doit pas être entravé de manière injustifiée par les actes ou omissions des autorités de l</w:t>
      </w:r>
      <w:r w:rsidR="00A977F5">
        <w:rPr>
          <w:lang w:val="fr-FR" w:eastAsia="fr-FR"/>
        </w:rPr>
        <w:t>’</w:t>
      </w:r>
      <w:r w:rsidRPr="00BC0135">
        <w:rPr>
          <w:lang w:val="fr-FR" w:eastAsia="fr-FR"/>
        </w:rPr>
        <w:t>État défendeur (</w:t>
      </w:r>
      <w:r w:rsidRPr="00BC0135">
        <w:rPr>
          <w:i/>
          <w:lang w:val="fr-FR" w:eastAsia="fr-FR"/>
        </w:rPr>
        <w:t>Çakıcı c. Turquie</w:t>
      </w:r>
      <w:r w:rsidRPr="00BC0135">
        <w:rPr>
          <w:lang w:val="fr-FR" w:eastAsia="fr-FR"/>
        </w:rPr>
        <w:t xml:space="preserve"> [GC], n</w:t>
      </w:r>
      <w:r w:rsidRPr="00BC0135">
        <w:rPr>
          <w:vertAlign w:val="superscript"/>
          <w:lang w:val="fr-FR" w:eastAsia="fr-FR"/>
        </w:rPr>
        <w:t>o</w:t>
      </w:r>
      <w:r w:rsidRPr="00BC0135">
        <w:rPr>
          <w:lang w:val="fr-FR" w:eastAsia="fr-FR"/>
        </w:rPr>
        <w:t> 23657/94, § 112, CEDH 1999</w:t>
      </w:r>
      <w:r w:rsidRPr="00BC0135">
        <w:rPr>
          <w:lang w:val="fr-FR" w:eastAsia="fr-FR"/>
        </w:rPr>
        <w:noBreakHyphen/>
        <w:t xml:space="preserve">IV, et </w:t>
      </w:r>
      <w:r w:rsidRPr="00BC0135">
        <w:rPr>
          <w:i/>
          <w:lang w:val="fr-FR" w:eastAsia="fr-FR"/>
        </w:rPr>
        <w:t>M.S.S. c. Belgique et Grèce</w:t>
      </w:r>
      <w:r w:rsidRPr="00BC0135">
        <w:rPr>
          <w:lang w:val="fr-FR" w:eastAsia="fr-FR"/>
        </w:rPr>
        <w:t>, précité, § 290).</w:t>
      </w:r>
    </w:p>
    <w:p w:rsidR="00BC0135" w:rsidRP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86</w:t>
      </w:r>
      <w:r w:rsidRPr="00BC0135">
        <w:rPr>
          <w:noProof/>
          <w:lang w:val="fr-FR" w:eastAsia="fr-FR"/>
        </w:rPr>
        <w:fldChar w:fldCharType="end"/>
      </w:r>
      <w:r w:rsidRPr="00BC0135">
        <w:rPr>
          <w:lang w:val="fr-FR" w:eastAsia="fr-FR"/>
        </w:rPr>
        <w:t>.  Dans son examen des recours ouverts aux demandeurs d</w:t>
      </w:r>
      <w:r w:rsidR="00A977F5">
        <w:rPr>
          <w:lang w:val="fr-FR" w:eastAsia="fr-FR"/>
        </w:rPr>
        <w:t>’</w:t>
      </w:r>
      <w:r w:rsidRPr="00BC0135">
        <w:rPr>
          <w:lang w:val="fr-FR" w:eastAsia="fr-FR"/>
        </w:rPr>
        <w:t>asile en Grèce, la Cour a également réaffirmé que l</w:t>
      </w:r>
      <w:r w:rsidR="00A977F5">
        <w:rPr>
          <w:lang w:val="fr-FR" w:eastAsia="fr-FR"/>
        </w:rPr>
        <w:t>’</w:t>
      </w:r>
      <w:r w:rsidRPr="00BC0135">
        <w:rPr>
          <w:lang w:val="fr-FR" w:eastAsia="fr-FR"/>
        </w:rPr>
        <w:t>accessibilité en pratique d</w:t>
      </w:r>
      <w:r w:rsidR="00A977F5">
        <w:rPr>
          <w:lang w:val="fr-FR" w:eastAsia="fr-FR"/>
        </w:rPr>
        <w:t>’</w:t>
      </w:r>
      <w:r w:rsidRPr="00BC0135">
        <w:rPr>
          <w:lang w:val="fr-FR" w:eastAsia="fr-FR"/>
        </w:rPr>
        <w:t>un recours est déterminante pour évaluer son effectivité (</w:t>
      </w:r>
      <w:r w:rsidRPr="00BC0135">
        <w:rPr>
          <w:i/>
          <w:lang w:val="fr-FR" w:eastAsia="fr-FR"/>
        </w:rPr>
        <w:t>M.S.S. c. Belgique et Grèce</w:t>
      </w:r>
      <w:r w:rsidRPr="00BC0135">
        <w:rPr>
          <w:lang w:val="fr-FR" w:eastAsia="fr-FR"/>
        </w:rPr>
        <w:t>, précité, § 318).</w:t>
      </w:r>
    </w:p>
    <w:p w:rsidR="00BC0135" w:rsidRP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87</w:t>
      </w:r>
      <w:r w:rsidRPr="00BC0135">
        <w:rPr>
          <w:noProof/>
          <w:lang w:val="fr-FR" w:eastAsia="fr-FR"/>
        </w:rPr>
        <w:fldChar w:fldCharType="end"/>
      </w:r>
      <w:r w:rsidRPr="00BC0135">
        <w:rPr>
          <w:lang w:val="fr-FR" w:eastAsia="fr-FR"/>
        </w:rPr>
        <w:t>.  Par ailleurs, l</w:t>
      </w:r>
      <w:r w:rsidR="00A977F5">
        <w:rPr>
          <w:lang w:val="fr-FR" w:eastAsia="fr-FR"/>
        </w:rPr>
        <w:t>’</w:t>
      </w:r>
      <w:r w:rsidRPr="00BC0135">
        <w:rPr>
          <w:lang w:val="fr-FR" w:eastAsia="fr-FR"/>
        </w:rPr>
        <w:t>effectivité implique des exigences en termes de qualité, de rapidité et d</w:t>
      </w:r>
      <w:r w:rsidR="00A977F5">
        <w:rPr>
          <w:lang w:val="fr-FR" w:eastAsia="fr-FR"/>
        </w:rPr>
        <w:t>’</w:t>
      </w:r>
      <w:r w:rsidRPr="00BC0135">
        <w:rPr>
          <w:lang w:val="fr-FR" w:eastAsia="fr-FR"/>
        </w:rPr>
        <w:t>effet suspensif, compte tenu en particulier de l</w:t>
      </w:r>
      <w:r w:rsidR="00A977F5">
        <w:rPr>
          <w:lang w:val="fr-FR" w:eastAsia="fr-FR"/>
        </w:rPr>
        <w:t>’</w:t>
      </w:r>
      <w:r w:rsidRPr="00BC0135">
        <w:rPr>
          <w:lang w:val="fr-FR" w:eastAsia="fr-FR"/>
        </w:rPr>
        <w:t>importance que la Cour attache à l</w:t>
      </w:r>
      <w:r w:rsidR="00A977F5">
        <w:rPr>
          <w:lang w:val="fr-FR" w:eastAsia="fr-FR"/>
        </w:rPr>
        <w:t>’</w:t>
      </w:r>
      <w:r w:rsidRPr="00BC0135">
        <w:rPr>
          <w:lang w:val="fr-FR" w:eastAsia="fr-FR"/>
        </w:rPr>
        <w:t>article 3 et de la nature irréversible du dommage susceptible d</w:t>
      </w:r>
      <w:r w:rsidR="00A977F5">
        <w:rPr>
          <w:lang w:val="fr-FR" w:eastAsia="fr-FR"/>
        </w:rPr>
        <w:t>’</w:t>
      </w:r>
      <w:r w:rsidRPr="00BC0135">
        <w:rPr>
          <w:lang w:val="fr-FR" w:eastAsia="fr-FR"/>
        </w:rPr>
        <w:t>être causé en cas de réalisation du risque de torture ou de mauvais traitements. Ainsi, « l</w:t>
      </w:r>
      <w:r w:rsidR="00A977F5">
        <w:rPr>
          <w:lang w:val="fr-FR" w:eastAsia="fr-FR"/>
        </w:rPr>
        <w:t>’</w:t>
      </w:r>
      <w:r w:rsidRPr="00BC0135">
        <w:rPr>
          <w:lang w:val="fr-FR" w:eastAsia="fr-FR"/>
        </w:rPr>
        <w:t>article 13 exige un recours interne habilitant à examiner le contenu du grief et à offrir le redressement approprié, même si les États jouissent d</w:t>
      </w:r>
      <w:r w:rsidR="00A977F5">
        <w:rPr>
          <w:lang w:val="fr-FR" w:eastAsia="fr-FR"/>
        </w:rPr>
        <w:t>’</w:t>
      </w:r>
      <w:r w:rsidRPr="00BC0135">
        <w:rPr>
          <w:lang w:val="fr-FR" w:eastAsia="fr-FR"/>
        </w:rPr>
        <w:t>une certaine marge d</w:t>
      </w:r>
      <w:r w:rsidR="00A977F5">
        <w:rPr>
          <w:lang w:val="fr-FR" w:eastAsia="fr-FR"/>
        </w:rPr>
        <w:t>’</w:t>
      </w:r>
      <w:r w:rsidRPr="00BC0135">
        <w:rPr>
          <w:lang w:val="fr-FR" w:eastAsia="fr-FR"/>
        </w:rPr>
        <w:t>appréciation quant à la manière de se conformer aux obligations que leur impose cette disposition » (</w:t>
      </w:r>
      <w:r w:rsidRPr="00BC0135">
        <w:rPr>
          <w:i/>
          <w:lang w:val="fr-FR" w:eastAsia="fr-FR"/>
        </w:rPr>
        <w:t xml:space="preserve">Jabari, </w:t>
      </w:r>
      <w:r w:rsidRPr="00BC0135">
        <w:rPr>
          <w:lang w:val="fr-FR" w:eastAsia="fr-FR"/>
        </w:rPr>
        <w:t>précité).</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88</w:t>
      </w:r>
      <w:r w:rsidRPr="00BC0135">
        <w:rPr>
          <w:noProof/>
          <w:lang w:val="fr-FR" w:eastAsia="fr-FR"/>
        </w:rPr>
        <w:fldChar w:fldCharType="end"/>
      </w:r>
      <w:r w:rsidRPr="00BC0135">
        <w:rPr>
          <w:lang w:val="fr-FR" w:eastAsia="fr-FR"/>
        </w:rPr>
        <w:t>.  L</w:t>
      </w:r>
      <w:r w:rsidR="00A977F5">
        <w:rPr>
          <w:lang w:val="fr-FR" w:eastAsia="fr-FR"/>
        </w:rPr>
        <w:t>’</w:t>
      </w:r>
      <w:r w:rsidRPr="00BC0135">
        <w:rPr>
          <w:lang w:val="fr-FR" w:eastAsia="fr-FR"/>
        </w:rPr>
        <w:t>effectivité d</w:t>
      </w:r>
      <w:r w:rsidR="00A977F5">
        <w:rPr>
          <w:lang w:val="fr-FR" w:eastAsia="fr-FR"/>
        </w:rPr>
        <w:t>’</w:t>
      </w:r>
      <w:r w:rsidRPr="00BC0135">
        <w:rPr>
          <w:lang w:val="fr-FR" w:eastAsia="fr-FR"/>
        </w:rPr>
        <w:t>un recours au sens de l</w:t>
      </w:r>
      <w:r w:rsidR="00A977F5">
        <w:rPr>
          <w:lang w:val="fr-FR" w:eastAsia="fr-FR"/>
        </w:rPr>
        <w:t>’</w:t>
      </w:r>
      <w:r w:rsidRPr="00BC0135">
        <w:rPr>
          <w:lang w:val="fr-FR" w:eastAsia="fr-FR"/>
        </w:rPr>
        <w:t>article 13 demande impérativement un contrôle attentif par une autorité nationale (</w:t>
      </w:r>
      <w:r w:rsidRPr="00BC0135">
        <w:rPr>
          <w:i/>
          <w:lang w:val="fr-FR" w:eastAsia="fr-FR"/>
        </w:rPr>
        <w:t>Chamaïev et autres c. Géorgie et Russie</w:t>
      </w:r>
      <w:r w:rsidRPr="00BC0135">
        <w:rPr>
          <w:lang w:val="fr-FR" w:eastAsia="fr-FR"/>
        </w:rPr>
        <w:t>, n</w:t>
      </w:r>
      <w:r w:rsidRPr="00BC0135">
        <w:rPr>
          <w:vertAlign w:val="superscript"/>
          <w:lang w:val="fr-FR" w:eastAsia="fr-FR"/>
        </w:rPr>
        <w:t>o</w:t>
      </w:r>
      <w:r w:rsidRPr="00BC0135">
        <w:rPr>
          <w:lang w:val="fr-FR" w:eastAsia="fr-FR"/>
        </w:rPr>
        <w:t> 36378/02, § 448, CEDH 2005</w:t>
      </w:r>
      <w:r w:rsidRPr="00BC0135">
        <w:rPr>
          <w:lang w:val="fr-FR" w:eastAsia="fr-FR"/>
        </w:rPr>
        <w:noBreakHyphen/>
        <w:t>III), un examen indépendant et rigoureux de tout grief aux termes duquel il existe des motifs de croire à un risque de traitement contraire à l</w:t>
      </w:r>
      <w:r w:rsidR="00A977F5">
        <w:rPr>
          <w:lang w:val="fr-FR" w:eastAsia="fr-FR"/>
        </w:rPr>
        <w:t>’</w:t>
      </w:r>
      <w:r w:rsidRPr="00BC0135">
        <w:rPr>
          <w:lang w:val="fr-FR" w:eastAsia="fr-FR"/>
        </w:rPr>
        <w:t>article 3 (</w:t>
      </w:r>
      <w:r w:rsidRPr="00BC0135">
        <w:rPr>
          <w:i/>
          <w:lang w:val="fr-FR" w:eastAsia="fr-FR"/>
        </w:rPr>
        <w:t>Jabari</w:t>
      </w:r>
      <w:r w:rsidRPr="00BC0135">
        <w:rPr>
          <w:lang w:val="fr-FR" w:eastAsia="fr-FR"/>
        </w:rPr>
        <w:t>, précité, § 50) ainsi qu</w:t>
      </w:r>
      <w:r w:rsidR="00A977F5">
        <w:rPr>
          <w:lang w:val="fr-FR" w:eastAsia="fr-FR"/>
        </w:rPr>
        <w:t>’</w:t>
      </w:r>
      <w:r w:rsidRPr="00BC0135">
        <w:rPr>
          <w:lang w:val="fr-FR" w:eastAsia="fr-FR"/>
        </w:rPr>
        <w:t>une célérité particulière (</w:t>
      </w:r>
      <w:r w:rsidRPr="00BC0135">
        <w:rPr>
          <w:i/>
          <w:lang w:val="fr-FR" w:eastAsia="fr-FR"/>
        </w:rPr>
        <w:t>Batı et autres c. Turquie</w:t>
      </w:r>
      <w:r w:rsidRPr="00BC0135">
        <w:rPr>
          <w:lang w:val="fr-FR" w:eastAsia="fr-FR"/>
        </w:rPr>
        <w:t>, n</w:t>
      </w:r>
      <w:r w:rsidRPr="00BC0135">
        <w:rPr>
          <w:vertAlign w:val="superscript"/>
          <w:lang w:val="fr-FR" w:eastAsia="fr-FR"/>
        </w:rPr>
        <w:t>os</w:t>
      </w:r>
      <w:r w:rsidRPr="00BC0135">
        <w:rPr>
          <w:lang w:val="fr-FR" w:eastAsia="fr-FR"/>
        </w:rPr>
        <w:t> 33097/96 et 57834/00, § 136, CEDH 2004</w:t>
      </w:r>
      <w:r w:rsidRPr="00BC0135">
        <w:rPr>
          <w:rFonts w:ascii="MS Mincho" w:eastAsia="MS Mincho" w:hAnsi="MS Mincho" w:cs="MS Mincho"/>
          <w:lang w:val="fr-FR" w:eastAsia="fr-FR"/>
        </w:rPr>
        <w:t>‑</w:t>
      </w:r>
      <w:r w:rsidRPr="00BC0135">
        <w:rPr>
          <w:lang w:val="fr-FR" w:eastAsia="fr-FR"/>
        </w:rPr>
        <w:t xml:space="preserve">IV (extraits), </w:t>
      </w:r>
      <w:r w:rsidRPr="00BC0135">
        <w:rPr>
          <w:i/>
          <w:lang w:val="fr-FR" w:eastAsia="fr-FR"/>
        </w:rPr>
        <w:t xml:space="preserve">De Souza Ribeiro c. France </w:t>
      </w:r>
      <w:r w:rsidRPr="00BC0135">
        <w:rPr>
          <w:lang w:val="fr-FR" w:eastAsia="fr-FR"/>
        </w:rPr>
        <w:t>[GC], n</w:t>
      </w:r>
      <w:r w:rsidRPr="00BC0135">
        <w:rPr>
          <w:vertAlign w:val="superscript"/>
          <w:lang w:val="fr-FR" w:eastAsia="fr-FR"/>
        </w:rPr>
        <w:t>o</w:t>
      </w:r>
      <w:r w:rsidRPr="00BC0135">
        <w:rPr>
          <w:lang w:val="fr-FR" w:eastAsia="fr-FR"/>
        </w:rPr>
        <w:t> 22689/07, § 82,</w:t>
      </w:r>
      <w:r w:rsidRPr="00BC0135">
        <w:rPr>
          <w:snapToGrid w:val="0"/>
          <w:lang w:val="fr-FR" w:eastAsia="fr-FR"/>
        </w:rPr>
        <w:t xml:space="preserve"> </w:t>
      </w:r>
      <w:r w:rsidRPr="00BC0135">
        <w:rPr>
          <w:lang w:val="fr-FR" w:eastAsia="fr-FR"/>
        </w:rPr>
        <w:t xml:space="preserve">CEDH 2012). </w:t>
      </w:r>
      <w:bookmarkStart w:id="10" w:name="HIT10"/>
      <w:bookmarkEnd w:id="10"/>
      <w:r w:rsidRPr="00BC0135">
        <w:rPr>
          <w:lang w:val="fr-FR" w:eastAsia="fr-FR"/>
        </w:rPr>
        <w:t>Par ailleurs, compte tenu de la nature irréversible du dommage susceptible d</w:t>
      </w:r>
      <w:r w:rsidR="00A977F5">
        <w:rPr>
          <w:lang w:val="fr-FR" w:eastAsia="fr-FR"/>
        </w:rPr>
        <w:t>’</w:t>
      </w:r>
      <w:r w:rsidRPr="00BC0135">
        <w:rPr>
          <w:lang w:val="fr-FR" w:eastAsia="fr-FR"/>
        </w:rPr>
        <w:t>être causé en cas de réalisation d</w:t>
      </w:r>
      <w:r w:rsidR="00A977F5">
        <w:rPr>
          <w:lang w:val="fr-FR" w:eastAsia="fr-FR"/>
        </w:rPr>
        <w:t>’</w:t>
      </w:r>
      <w:r w:rsidRPr="00BC0135">
        <w:rPr>
          <w:lang w:val="fr-FR" w:eastAsia="fr-FR"/>
        </w:rPr>
        <w:t>un risque de torture ou de mauvais traitements, la notion de recours effectif au sens de l</w:t>
      </w:r>
      <w:r w:rsidR="00A977F5">
        <w:rPr>
          <w:lang w:val="fr-FR" w:eastAsia="fr-FR"/>
        </w:rPr>
        <w:t>’</w:t>
      </w:r>
      <w:r w:rsidRPr="00BC0135">
        <w:rPr>
          <w:lang w:val="fr-FR" w:eastAsia="fr-FR"/>
        </w:rPr>
        <w:t>article 13 requiert la possibilité de faire surseoir à l</w:t>
      </w:r>
      <w:r w:rsidR="00A977F5">
        <w:rPr>
          <w:lang w:val="fr-FR" w:eastAsia="fr-FR"/>
        </w:rPr>
        <w:t>’</w:t>
      </w:r>
      <w:r w:rsidRPr="00BC0135">
        <w:rPr>
          <w:lang w:val="fr-FR" w:eastAsia="fr-FR"/>
        </w:rPr>
        <w:t>exécution d</w:t>
      </w:r>
      <w:r w:rsidR="00A977F5">
        <w:rPr>
          <w:lang w:val="fr-FR" w:eastAsia="fr-FR"/>
        </w:rPr>
        <w:t>’</w:t>
      </w:r>
      <w:r w:rsidRPr="00BC0135">
        <w:rPr>
          <w:lang w:val="fr-FR" w:eastAsia="fr-FR"/>
        </w:rPr>
        <w:t>une mesure d</w:t>
      </w:r>
      <w:r w:rsidR="00A977F5">
        <w:rPr>
          <w:lang w:val="fr-FR" w:eastAsia="fr-FR"/>
        </w:rPr>
        <w:t>’</w:t>
      </w:r>
      <w:r w:rsidRPr="00BC0135">
        <w:rPr>
          <w:lang w:val="fr-FR" w:eastAsia="fr-FR"/>
        </w:rPr>
        <w:t>expulsion (</w:t>
      </w:r>
      <w:r w:rsidRPr="00BC0135">
        <w:rPr>
          <w:i/>
          <w:lang w:val="fr-FR" w:eastAsia="fr-FR"/>
        </w:rPr>
        <w:t>Jabari</w:t>
      </w:r>
      <w:r w:rsidRPr="00BC0135">
        <w:rPr>
          <w:lang w:val="fr-FR" w:eastAsia="fr-FR"/>
        </w:rPr>
        <w:t>, précité, § 50). La Cour a en effet estimé qu</w:t>
      </w:r>
      <w:r w:rsidR="00A977F5">
        <w:rPr>
          <w:lang w:val="fr-FR" w:eastAsia="fr-FR"/>
        </w:rPr>
        <w:t>’</w:t>
      </w:r>
      <w:r w:rsidRPr="00BC0135">
        <w:rPr>
          <w:lang w:val="fr-FR" w:eastAsia="fr-FR"/>
        </w:rPr>
        <w:t>en matière d</w:t>
      </w:r>
      <w:r w:rsidR="00A977F5">
        <w:rPr>
          <w:lang w:val="fr-FR" w:eastAsia="fr-FR"/>
        </w:rPr>
        <w:t>’</w:t>
      </w:r>
      <w:r w:rsidRPr="00BC0135">
        <w:rPr>
          <w:lang w:val="fr-FR" w:eastAsia="fr-FR"/>
        </w:rPr>
        <w:t>éloignement du territoire, un recours dépourvu d</w:t>
      </w:r>
      <w:r w:rsidR="00A977F5">
        <w:rPr>
          <w:lang w:val="fr-FR" w:eastAsia="fr-FR"/>
        </w:rPr>
        <w:t>’</w:t>
      </w:r>
      <w:r w:rsidRPr="00BC0135">
        <w:rPr>
          <w:lang w:val="fr-FR" w:eastAsia="fr-FR"/>
        </w:rPr>
        <w:t>effet suspensif automatique ne satisfaisait pas aux conditions d</w:t>
      </w:r>
      <w:r w:rsidR="00A977F5">
        <w:rPr>
          <w:lang w:val="fr-FR" w:eastAsia="fr-FR"/>
        </w:rPr>
        <w:t>’</w:t>
      </w:r>
      <w:r w:rsidRPr="00BC0135">
        <w:rPr>
          <w:lang w:val="fr-FR" w:eastAsia="fr-FR"/>
        </w:rPr>
        <w:t>effectivité requises par l</w:t>
      </w:r>
      <w:r w:rsidR="00A977F5">
        <w:rPr>
          <w:lang w:val="fr-FR" w:eastAsia="fr-FR"/>
        </w:rPr>
        <w:t>’</w:t>
      </w:r>
      <w:r w:rsidRPr="00BC0135">
        <w:rPr>
          <w:lang w:val="fr-FR" w:eastAsia="fr-FR"/>
        </w:rPr>
        <w:t>article 13 de la Convention (</w:t>
      </w:r>
      <w:r w:rsidRPr="00BC0135">
        <w:rPr>
          <w:i/>
          <w:lang w:val="fr-FR" w:eastAsia="fr-FR"/>
        </w:rPr>
        <w:t>Čonka</w:t>
      </w:r>
      <w:r w:rsidRPr="00BC0135">
        <w:rPr>
          <w:lang w:val="fr-FR" w:eastAsia="fr-FR"/>
        </w:rPr>
        <w:t xml:space="preserve">, précité, § 83, </w:t>
      </w:r>
      <w:r w:rsidRPr="00BC0135">
        <w:rPr>
          <w:i/>
          <w:lang w:val="fr-FR" w:eastAsia="fr-FR"/>
        </w:rPr>
        <w:t>Sultani c. France</w:t>
      </w:r>
      <w:r w:rsidRPr="00BC0135">
        <w:rPr>
          <w:lang w:val="fr-FR" w:eastAsia="fr-FR"/>
        </w:rPr>
        <w:t>, n</w:t>
      </w:r>
      <w:r w:rsidRPr="00BC0135">
        <w:rPr>
          <w:vertAlign w:val="superscript"/>
          <w:lang w:val="fr-FR" w:eastAsia="fr-FR"/>
        </w:rPr>
        <w:t>o</w:t>
      </w:r>
      <w:r w:rsidRPr="00BC0135">
        <w:rPr>
          <w:lang w:val="fr-FR" w:eastAsia="fr-FR"/>
        </w:rPr>
        <w:t> 45223/05, § 50, CEDH 2007</w:t>
      </w:r>
      <w:r w:rsidRPr="00BC0135">
        <w:rPr>
          <w:lang w:val="fr-FR" w:eastAsia="fr-FR"/>
        </w:rPr>
        <w:noBreakHyphen/>
        <w:t xml:space="preserve">IV (extraits), </w:t>
      </w:r>
      <w:r w:rsidRPr="00BC0135">
        <w:rPr>
          <w:i/>
          <w:lang w:val="fr-FR" w:eastAsia="fr-FR"/>
        </w:rPr>
        <w:t>Gebremedhin</w:t>
      </w:r>
      <w:r w:rsidRPr="00BC0135">
        <w:rPr>
          <w:lang w:val="fr-FR" w:eastAsia="fr-FR"/>
        </w:rPr>
        <w:t xml:space="preserve">, précité, § 66, </w:t>
      </w:r>
      <w:r w:rsidRPr="00BC0135">
        <w:rPr>
          <w:i/>
          <w:lang w:val="fr-FR" w:eastAsia="fr-FR"/>
        </w:rPr>
        <w:t xml:space="preserve">Hirsi Jamaa et autres c. Italie </w:t>
      </w:r>
      <w:r w:rsidRPr="00BC0135">
        <w:rPr>
          <w:lang w:val="fr-FR" w:eastAsia="fr-FR"/>
        </w:rPr>
        <w:t>[GC], n</w:t>
      </w:r>
      <w:r w:rsidRPr="00BC0135">
        <w:rPr>
          <w:vertAlign w:val="superscript"/>
          <w:lang w:val="fr-FR" w:eastAsia="fr-FR"/>
        </w:rPr>
        <w:t>o</w:t>
      </w:r>
      <w:r w:rsidRPr="00BC0135">
        <w:rPr>
          <w:lang w:val="fr-FR" w:eastAsia="fr-FR"/>
        </w:rPr>
        <w:t> 27765/09</w:t>
      </w:r>
      <w:r w:rsidRPr="00BC0135">
        <w:rPr>
          <w:snapToGrid w:val="0"/>
          <w:szCs w:val="24"/>
          <w:lang w:val="fr-FR" w:eastAsia="fr-FR"/>
        </w:rPr>
        <w:t xml:space="preserve">, § 200, </w:t>
      </w:r>
      <w:r w:rsidRPr="00BC0135">
        <w:rPr>
          <w:snapToGrid w:val="0"/>
          <w:lang w:val="fr-FR" w:eastAsia="fr-FR"/>
        </w:rPr>
        <w:t xml:space="preserve">CEDH 2012, </w:t>
      </w:r>
      <w:r w:rsidRPr="00BC0135">
        <w:rPr>
          <w:i/>
          <w:lang w:val="fr-FR" w:eastAsia="fr-FR"/>
        </w:rPr>
        <w:t>M.S.S. c. Belgique et Grèce</w:t>
      </w:r>
      <w:r w:rsidRPr="00BC0135">
        <w:rPr>
          <w:lang w:val="fr-FR" w:eastAsia="fr-FR"/>
        </w:rPr>
        <w:t xml:space="preserve">, précité, §§ 290 à 293, </w:t>
      </w:r>
      <w:r w:rsidRPr="00BC0135">
        <w:rPr>
          <w:i/>
          <w:lang w:val="fr-FR" w:eastAsia="fr-FR"/>
        </w:rPr>
        <w:t>De Souza Ribeiro</w:t>
      </w:r>
      <w:r w:rsidRPr="00BC0135">
        <w:rPr>
          <w:lang w:val="fr-FR" w:eastAsia="fr-FR"/>
        </w:rPr>
        <w:t>, précité, § 82). A plus forte raison, les mêmes principes s</w:t>
      </w:r>
      <w:r w:rsidR="00A977F5">
        <w:rPr>
          <w:lang w:val="fr-FR" w:eastAsia="fr-FR"/>
        </w:rPr>
        <w:t>’</w:t>
      </w:r>
      <w:r w:rsidRPr="00BC0135">
        <w:rPr>
          <w:lang w:val="fr-FR" w:eastAsia="fr-FR"/>
        </w:rPr>
        <w:t>appliquent lorsque l</w:t>
      </w:r>
      <w:r w:rsidR="00A977F5">
        <w:rPr>
          <w:lang w:val="fr-FR" w:eastAsia="fr-FR"/>
        </w:rPr>
        <w:t>’</w:t>
      </w:r>
      <w:r w:rsidRPr="00BC0135">
        <w:rPr>
          <w:lang w:val="fr-FR" w:eastAsia="fr-FR"/>
        </w:rPr>
        <w:t>expulsion expose le requérant à un risque réel d</w:t>
      </w:r>
      <w:r w:rsidR="00A977F5">
        <w:rPr>
          <w:lang w:val="fr-FR" w:eastAsia="fr-FR"/>
        </w:rPr>
        <w:t>’</w:t>
      </w:r>
      <w:r w:rsidRPr="00BC0135">
        <w:rPr>
          <w:lang w:val="fr-FR" w:eastAsia="fr-FR"/>
        </w:rPr>
        <w:t>atteinte à son droit à la vie, protégé par l</w:t>
      </w:r>
      <w:r w:rsidR="00A977F5">
        <w:rPr>
          <w:lang w:val="fr-FR" w:eastAsia="fr-FR"/>
        </w:rPr>
        <w:t>’</w:t>
      </w:r>
      <w:r w:rsidRPr="00BC0135">
        <w:rPr>
          <w:lang w:val="fr-FR" w:eastAsia="fr-FR"/>
        </w:rPr>
        <w:t>article 2 de la Convention.</w:t>
      </w:r>
    </w:p>
    <w:p w:rsidR="00BC0135" w:rsidRPr="00BC0135" w:rsidRDefault="00BC0135" w:rsidP="00BC0135">
      <w:pPr>
        <w:ind w:firstLine="284"/>
        <w:rPr>
          <w:lang w:val="fr-FR" w:eastAsia="fr-FR"/>
        </w:rPr>
      </w:pPr>
      <w:r w:rsidRPr="00BC0135">
        <w:rPr>
          <w:lang w:val="fr-FR" w:eastAsia="fr-FR"/>
        </w:rPr>
        <w:lastRenderedPageBreak/>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89</w:t>
      </w:r>
      <w:r w:rsidRPr="00BC0135">
        <w:rPr>
          <w:noProof/>
          <w:lang w:val="fr-FR" w:eastAsia="fr-FR"/>
        </w:rPr>
        <w:fldChar w:fldCharType="end"/>
      </w:r>
      <w:r w:rsidRPr="00BC0135">
        <w:rPr>
          <w:lang w:val="fr-FR" w:eastAsia="fr-FR"/>
        </w:rPr>
        <w:t>.  Une attention particulière doit être prêtée à la rapidité du recours lui</w:t>
      </w:r>
      <w:r w:rsidRPr="00BC0135">
        <w:rPr>
          <w:lang w:val="fr-FR" w:eastAsia="fr-FR"/>
        </w:rPr>
        <w:noBreakHyphen/>
        <w:t>même puisqu</w:t>
      </w:r>
      <w:r w:rsidR="00A977F5">
        <w:rPr>
          <w:lang w:val="fr-FR" w:eastAsia="fr-FR"/>
        </w:rPr>
        <w:t>’</w:t>
      </w:r>
      <w:r w:rsidRPr="00BC0135">
        <w:rPr>
          <w:lang w:val="fr-FR" w:eastAsia="fr-FR"/>
        </w:rPr>
        <w:t>il n</w:t>
      </w:r>
      <w:r w:rsidR="00A977F5">
        <w:rPr>
          <w:lang w:val="fr-FR" w:eastAsia="fr-FR"/>
        </w:rPr>
        <w:t>’</w:t>
      </w:r>
      <w:r w:rsidRPr="00BC0135">
        <w:rPr>
          <w:lang w:val="fr-FR" w:eastAsia="fr-FR"/>
        </w:rPr>
        <w:t>est pas exclu que la durée excessive d</w:t>
      </w:r>
      <w:r w:rsidR="00A977F5">
        <w:rPr>
          <w:lang w:val="fr-FR" w:eastAsia="fr-FR"/>
        </w:rPr>
        <w:t>’</w:t>
      </w:r>
      <w:r w:rsidRPr="00BC0135">
        <w:rPr>
          <w:lang w:val="fr-FR" w:eastAsia="fr-FR"/>
        </w:rPr>
        <w:t>un recours le rende inadéquat (</w:t>
      </w:r>
      <w:r w:rsidRPr="00BC0135">
        <w:rPr>
          <w:i/>
          <w:lang w:val="fr-FR" w:eastAsia="fr-FR"/>
        </w:rPr>
        <w:t>Doran c. Irlande</w:t>
      </w:r>
      <w:r w:rsidRPr="00BC0135">
        <w:rPr>
          <w:lang w:val="fr-FR" w:eastAsia="fr-FR"/>
        </w:rPr>
        <w:t>, n</w:t>
      </w:r>
      <w:r w:rsidRPr="00BC0135">
        <w:rPr>
          <w:vertAlign w:val="superscript"/>
          <w:lang w:val="fr-FR" w:eastAsia="fr-FR"/>
        </w:rPr>
        <w:t>o</w:t>
      </w:r>
      <w:r w:rsidRPr="00BC0135">
        <w:rPr>
          <w:lang w:val="fr-FR" w:eastAsia="fr-FR"/>
        </w:rPr>
        <w:t> 50389/99, § 57, CEDH 2003-X).</w:t>
      </w:r>
    </w:p>
    <w:p w:rsidR="00BC0135" w:rsidRPr="00BC0135" w:rsidRDefault="00BC0135" w:rsidP="00BC0135">
      <w:pPr>
        <w:keepNext/>
        <w:keepLines/>
        <w:tabs>
          <w:tab w:val="left" w:pos="975"/>
        </w:tabs>
        <w:spacing w:before="240" w:after="120"/>
        <w:ind w:left="975" w:hanging="340"/>
        <w:outlineLvl w:val="3"/>
        <w:rPr>
          <w:rFonts w:asciiTheme="majorHAnsi" w:eastAsiaTheme="majorEastAsia" w:hAnsiTheme="majorHAnsi" w:cstheme="majorBidi"/>
          <w:b/>
          <w:bCs/>
          <w:iCs/>
          <w:sz w:val="20"/>
          <w:lang w:val="fr-FR" w:eastAsia="fr-FR"/>
        </w:rPr>
      </w:pPr>
      <w:r w:rsidRPr="00BC0135">
        <w:rPr>
          <w:rFonts w:asciiTheme="majorHAnsi" w:eastAsiaTheme="majorEastAsia" w:hAnsiTheme="majorHAnsi" w:cstheme="majorBidi"/>
          <w:b/>
          <w:bCs/>
          <w:iCs/>
          <w:sz w:val="20"/>
          <w:lang w:val="fr-FR" w:eastAsia="fr-FR"/>
        </w:rPr>
        <w:t>b)  Application en l</w:t>
      </w:r>
      <w:r w:rsidR="00A977F5">
        <w:rPr>
          <w:rFonts w:asciiTheme="majorHAnsi" w:eastAsiaTheme="majorEastAsia" w:hAnsiTheme="majorHAnsi" w:cstheme="majorBidi"/>
          <w:b/>
          <w:bCs/>
          <w:iCs/>
          <w:sz w:val="20"/>
          <w:lang w:val="fr-FR" w:eastAsia="fr-FR"/>
        </w:rPr>
        <w:t>’</w:t>
      </w:r>
      <w:r w:rsidRPr="00BC0135">
        <w:rPr>
          <w:rFonts w:asciiTheme="majorHAnsi" w:eastAsiaTheme="majorEastAsia" w:hAnsiTheme="majorHAnsi" w:cstheme="majorBidi"/>
          <w:b/>
          <w:bCs/>
          <w:iCs/>
          <w:sz w:val="20"/>
          <w:lang w:val="fr-FR" w:eastAsia="fr-FR"/>
        </w:rPr>
        <w:t>espèce des principes susmentionnés</w:t>
      </w:r>
    </w:p>
    <w:p w:rsidR="00BC0135" w:rsidRP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90</w:t>
      </w:r>
      <w:r w:rsidRPr="00BC0135">
        <w:rPr>
          <w:noProof/>
          <w:lang w:val="fr-FR" w:eastAsia="fr-FR"/>
        </w:rPr>
        <w:fldChar w:fldCharType="end"/>
      </w:r>
      <w:r w:rsidRPr="00BC0135">
        <w:rPr>
          <w:lang w:val="fr-FR" w:eastAsia="fr-FR"/>
        </w:rPr>
        <w:t>.  La Cour relève que la question qui se pose en l</w:t>
      </w:r>
      <w:r w:rsidR="00A977F5">
        <w:rPr>
          <w:lang w:val="fr-FR" w:eastAsia="fr-FR"/>
        </w:rPr>
        <w:t>’</w:t>
      </w:r>
      <w:r w:rsidRPr="00BC0135">
        <w:rPr>
          <w:lang w:val="fr-FR" w:eastAsia="fr-FR"/>
        </w:rPr>
        <w:t>espèce est celle de l</w:t>
      </w:r>
      <w:r w:rsidR="00A977F5">
        <w:rPr>
          <w:lang w:val="fr-FR" w:eastAsia="fr-FR"/>
        </w:rPr>
        <w:t>’</w:t>
      </w:r>
      <w:r w:rsidRPr="00BC0135">
        <w:rPr>
          <w:lang w:val="fr-FR" w:eastAsia="fr-FR"/>
        </w:rPr>
        <w:t>effectivité des recours exercés par les requérants, visés par une mesure d</w:t>
      </w:r>
      <w:r w:rsidR="00A977F5">
        <w:rPr>
          <w:lang w:val="fr-FR" w:eastAsia="fr-FR"/>
        </w:rPr>
        <w:t>’</w:t>
      </w:r>
      <w:r w:rsidRPr="00BC0135">
        <w:rPr>
          <w:lang w:val="fr-FR" w:eastAsia="fr-FR"/>
        </w:rPr>
        <w:t>éloignement, pour faire valoir leurs griefs tirés des articles 2 et 3 de la Convention. Si l</w:t>
      </w:r>
      <w:r w:rsidR="00A977F5">
        <w:rPr>
          <w:lang w:val="fr-FR" w:eastAsia="fr-FR"/>
        </w:rPr>
        <w:t>’</w:t>
      </w:r>
      <w:r w:rsidRPr="00BC0135">
        <w:rPr>
          <w:lang w:val="fr-FR" w:eastAsia="fr-FR"/>
        </w:rPr>
        <w:t>accès à ces voies de recours n</w:t>
      </w:r>
      <w:r w:rsidR="00A977F5">
        <w:rPr>
          <w:lang w:val="fr-FR" w:eastAsia="fr-FR"/>
        </w:rPr>
        <w:t>’</w:t>
      </w:r>
      <w:r w:rsidRPr="00BC0135">
        <w:rPr>
          <w:lang w:val="fr-FR" w:eastAsia="fr-FR"/>
        </w:rPr>
        <w:t>est pas en cause en tant que tel, le fait qu</w:t>
      </w:r>
      <w:r w:rsidR="00A977F5">
        <w:rPr>
          <w:lang w:val="fr-FR" w:eastAsia="fr-FR"/>
        </w:rPr>
        <w:t>’</w:t>
      </w:r>
      <w:r w:rsidRPr="00BC0135">
        <w:rPr>
          <w:lang w:val="fr-FR" w:eastAsia="fr-FR"/>
        </w:rPr>
        <w:t>elles n</w:t>
      </w:r>
      <w:r w:rsidR="00A977F5">
        <w:rPr>
          <w:lang w:val="fr-FR" w:eastAsia="fr-FR"/>
        </w:rPr>
        <w:t>’</w:t>
      </w:r>
      <w:r w:rsidRPr="00BC0135">
        <w:rPr>
          <w:lang w:val="fr-FR" w:eastAsia="fr-FR"/>
        </w:rPr>
        <w:t>aient été assorties d</w:t>
      </w:r>
      <w:r w:rsidR="00A977F5">
        <w:rPr>
          <w:lang w:val="fr-FR" w:eastAsia="fr-FR"/>
        </w:rPr>
        <w:t>’</w:t>
      </w:r>
      <w:r w:rsidRPr="00BC0135">
        <w:rPr>
          <w:lang w:val="fr-FR" w:eastAsia="fr-FR"/>
        </w:rPr>
        <w:t>un effet suspensif que pendant une durée limitée, et non jusqu</w:t>
      </w:r>
      <w:r w:rsidR="00A977F5">
        <w:rPr>
          <w:lang w:val="fr-FR" w:eastAsia="fr-FR"/>
        </w:rPr>
        <w:t>’</w:t>
      </w:r>
      <w:r w:rsidRPr="00BC0135">
        <w:rPr>
          <w:lang w:val="fr-FR" w:eastAsia="fr-FR"/>
        </w:rPr>
        <w:t>à la décision définitive sur le bien-fondé des demandes de protection internationale, est susceptible de porter atteinte à leur effectivité.</w:t>
      </w:r>
    </w:p>
    <w:p w:rsidR="00BC0135" w:rsidRPr="00BC0135" w:rsidRDefault="00BC0135" w:rsidP="00BC0135">
      <w:pPr>
        <w:ind w:firstLine="284"/>
        <w:rPr>
          <w:i/>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91</w:t>
      </w:r>
      <w:r w:rsidRPr="00BC0135">
        <w:rPr>
          <w:noProof/>
          <w:lang w:val="fr-FR" w:eastAsia="fr-FR"/>
        </w:rPr>
        <w:fldChar w:fldCharType="end"/>
      </w:r>
      <w:r w:rsidRPr="00BC0135">
        <w:rPr>
          <w:lang w:val="fr-FR" w:eastAsia="fr-FR"/>
        </w:rPr>
        <w:t>.  À cet égard, la Cour estime nécessaire de souligner qu</w:t>
      </w:r>
      <w:r w:rsidR="00A977F5">
        <w:rPr>
          <w:lang w:val="fr-FR" w:eastAsia="fr-FR"/>
        </w:rPr>
        <w:t>’</w:t>
      </w:r>
      <w:r w:rsidRPr="00BC0135">
        <w:rPr>
          <w:lang w:val="fr-FR" w:eastAsia="fr-FR"/>
        </w:rPr>
        <w:t>en ce qui concerne les requêtes relatives à l</w:t>
      </w:r>
      <w:r w:rsidR="00A977F5">
        <w:rPr>
          <w:lang w:val="fr-FR" w:eastAsia="fr-FR"/>
        </w:rPr>
        <w:t>’</w:t>
      </w:r>
      <w:r w:rsidRPr="00BC0135">
        <w:rPr>
          <w:lang w:val="fr-FR" w:eastAsia="fr-FR"/>
        </w:rPr>
        <w:t>asile et à l</w:t>
      </w:r>
      <w:r w:rsidR="00A977F5">
        <w:rPr>
          <w:lang w:val="fr-FR" w:eastAsia="fr-FR"/>
        </w:rPr>
        <w:t>’</w:t>
      </w:r>
      <w:r w:rsidRPr="00BC0135">
        <w:rPr>
          <w:lang w:val="fr-FR" w:eastAsia="fr-FR"/>
        </w:rPr>
        <w:t>immigration, telles que celles des requérants, elle se consacre et se limite, dans le respect du principe de subsidiarité, à évaluer l</w:t>
      </w:r>
      <w:r w:rsidR="00A977F5">
        <w:rPr>
          <w:lang w:val="fr-FR" w:eastAsia="fr-FR"/>
        </w:rPr>
        <w:t>’</w:t>
      </w:r>
      <w:r w:rsidRPr="00BC0135">
        <w:rPr>
          <w:lang w:val="fr-FR" w:eastAsia="fr-FR"/>
        </w:rPr>
        <w:t>effectivité des procédures nationales et à s</w:t>
      </w:r>
      <w:r w:rsidR="00A977F5">
        <w:rPr>
          <w:lang w:val="fr-FR" w:eastAsia="fr-FR"/>
        </w:rPr>
        <w:t>’</w:t>
      </w:r>
      <w:r w:rsidRPr="00BC0135">
        <w:rPr>
          <w:lang w:val="fr-FR" w:eastAsia="fr-FR"/>
        </w:rPr>
        <w:t>assurer que ces procédures fonctionnent dans le respect des droits de l</w:t>
      </w:r>
      <w:r w:rsidR="00A977F5">
        <w:rPr>
          <w:lang w:val="fr-FR" w:eastAsia="fr-FR"/>
        </w:rPr>
        <w:t>’</w:t>
      </w:r>
      <w:r w:rsidRPr="00BC0135">
        <w:rPr>
          <w:lang w:val="fr-FR" w:eastAsia="fr-FR"/>
        </w:rPr>
        <w:t>homme (</w:t>
      </w:r>
      <w:r w:rsidRPr="00BC0135">
        <w:rPr>
          <w:i/>
          <w:lang w:val="fr-FR" w:eastAsia="fr-FR"/>
        </w:rPr>
        <w:t>M.S.S. c. Belgique et Grèce</w:t>
      </w:r>
      <w:r w:rsidRPr="00BC0135">
        <w:rPr>
          <w:lang w:val="fr-FR" w:eastAsia="fr-FR"/>
        </w:rPr>
        <w:t>, précité, §§ 286 et 287).</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92</w:t>
      </w:r>
      <w:r w:rsidRPr="00BC0135">
        <w:rPr>
          <w:noProof/>
          <w:lang w:val="fr-FR" w:eastAsia="fr-FR"/>
        </w:rPr>
        <w:fldChar w:fldCharType="end"/>
      </w:r>
      <w:r w:rsidRPr="00BC0135">
        <w:rPr>
          <w:lang w:val="fr-FR" w:eastAsia="fr-FR"/>
        </w:rPr>
        <w:t>.  Dans les présentes affaires, la Cour relève que le fait que les juridictions internes poursuivent à ce jour l</w:t>
      </w:r>
      <w:r w:rsidR="00A977F5">
        <w:rPr>
          <w:lang w:val="fr-FR" w:eastAsia="fr-FR"/>
        </w:rPr>
        <w:t>’</w:t>
      </w:r>
      <w:r w:rsidRPr="00BC0135">
        <w:rPr>
          <w:lang w:val="fr-FR" w:eastAsia="fr-FR"/>
        </w:rPr>
        <w:t>examen des demandes de protection internationale présentées par les requérants ne permet pas de conclure au caractère non défendable de leurs griefs.</w:t>
      </w:r>
    </w:p>
    <w:p w:rsidR="00BC0135" w:rsidRP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93</w:t>
      </w:r>
      <w:r w:rsidRPr="00BC0135">
        <w:rPr>
          <w:noProof/>
          <w:lang w:val="fr-FR" w:eastAsia="fr-FR"/>
        </w:rPr>
        <w:fldChar w:fldCharType="end"/>
      </w:r>
      <w:r w:rsidRPr="00BC0135">
        <w:rPr>
          <w:lang w:val="fr-FR" w:eastAsia="fr-FR"/>
        </w:rPr>
        <w:t>.  Cela dit, en l</w:t>
      </w:r>
      <w:r w:rsidR="00A977F5">
        <w:rPr>
          <w:lang w:val="fr-FR" w:eastAsia="fr-FR"/>
        </w:rPr>
        <w:t>’</w:t>
      </w:r>
      <w:r w:rsidRPr="00BC0135">
        <w:rPr>
          <w:lang w:val="fr-FR" w:eastAsia="fr-FR"/>
        </w:rPr>
        <w:t>occurrence, la Cour n</w:t>
      </w:r>
      <w:r w:rsidR="00A977F5">
        <w:rPr>
          <w:lang w:val="fr-FR" w:eastAsia="fr-FR"/>
        </w:rPr>
        <w:t>’</w:t>
      </w:r>
      <w:r w:rsidRPr="00BC0135">
        <w:rPr>
          <w:lang w:val="fr-FR" w:eastAsia="fr-FR"/>
        </w:rPr>
        <w:t>a pas à se prononcer sur la violation de ces dispositions si les requérants devaient être expulsés. Il appartient en effet en premier lieu aux autorités espagnoles, responsables en matière d</w:t>
      </w:r>
      <w:r w:rsidR="00A977F5">
        <w:rPr>
          <w:lang w:val="fr-FR" w:eastAsia="fr-FR"/>
        </w:rPr>
        <w:t>’</w:t>
      </w:r>
      <w:r w:rsidRPr="00BC0135">
        <w:rPr>
          <w:lang w:val="fr-FR" w:eastAsia="fr-FR"/>
        </w:rPr>
        <w:t>asile, d</w:t>
      </w:r>
      <w:r w:rsidR="00A977F5">
        <w:rPr>
          <w:lang w:val="fr-FR" w:eastAsia="fr-FR"/>
        </w:rPr>
        <w:t>’</w:t>
      </w:r>
      <w:r w:rsidRPr="00BC0135">
        <w:rPr>
          <w:lang w:val="fr-FR" w:eastAsia="fr-FR"/>
        </w:rPr>
        <w:t>examiner elles-mêmes les demandes des requérants ainsi que les documents produits par lui et d</w:t>
      </w:r>
      <w:r w:rsidR="00A977F5">
        <w:rPr>
          <w:lang w:val="fr-FR" w:eastAsia="fr-FR"/>
        </w:rPr>
        <w:t>’</w:t>
      </w:r>
      <w:r w:rsidRPr="00BC0135">
        <w:rPr>
          <w:lang w:val="fr-FR" w:eastAsia="fr-FR"/>
        </w:rPr>
        <w:t>évaluer les risques qu</w:t>
      </w:r>
      <w:r w:rsidR="00A977F5">
        <w:rPr>
          <w:lang w:val="fr-FR" w:eastAsia="fr-FR"/>
        </w:rPr>
        <w:t>’</w:t>
      </w:r>
      <w:r w:rsidRPr="00BC0135">
        <w:rPr>
          <w:lang w:val="fr-FR" w:eastAsia="fr-FR"/>
        </w:rPr>
        <w:t>ils encourent au Maroc. La préoccupation essentielle de la Cour est de savoir s</w:t>
      </w:r>
      <w:r w:rsidR="00A977F5">
        <w:rPr>
          <w:lang w:val="fr-FR" w:eastAsia="fr-FR"/>
        </w:rPr>
        <w:t>’</w:t>
      </w:r>
      <w:r w:rsidRPr="00BC0135">
        <w:rPr>
          <w:lang w:val="fr-FR" w:eastAsia="fr-FR"/>
        </w:rPr>
        <w:t>il existe en l</w:t>
      </w:r>
      <w:r w:rsidR="00A977F5">
        <w:rPr>
          <w:lang w:val="fr-FR" w:eastAsia="fr-FR"/>
        </w:rPr>
        <w:t>’</w:t>
      </w:r>
      <w:r w:rsidRPr="00BC0135">
        <w:rPr>
          <w:lang w:val="fr-FR" w:eastAsia="fr-FR"/>
        </w:rPr>
        <w:t>espèce des garanties effectives qui protègent les requérants contre un refoulement arbitraire, direct ou indirect, vers leur pays d</w:t>
      </w:r>
      <w:r w:rsidR="00A977F5">
        <w:rPr>
          <w:lang w:val="fr-FR" w:eastAsia="fr-FR"/>
        </w:rPr>
        <w:t>’</w:t>
      </w:r>
      <w:r w:rsidRPr="00BC0135">
        <w:rPr>
          <w:lang w:val="fr-FR" w:eastAsia="fr-FR"/>
        </w:rPr>
        <w:t>origine (</w:t>
      </w:r>
      <w:r w:rsidRPr="00BC0135">
        <w:rPr>
          <w:i/>
          <w:lang w:val="fr-FR" w:eastAsia="fr-FR"/>
        </w:rPr>
        <w:t>M.S.S. c. Belgique et Grèce</w:t>
      </w:r>
      <w:r w:rsidRPr="00BC0135">
        <w:rPr>
          <w:lang w:val="fr-FR" w:eastAsia="fr-FR"/>
        </w:rPr>
        <w:t>, précité, § 298), dès lors que les recours sur le fond des requérants sont pendants devant les juridictions nationales.</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94</w:t>
      </w:r>
      <w:r w:rsidRPr="00BC0135">
        <w:rPr>
          <w:noProof/>
          <w:lang w:val="fr-FR" w:eastAsia="fr-FR"/>
        </w:rPr>
        <w:fldChar w:fldCharType="end"/>
      </w:r>
      <w:r w:rsidRPr="00BC0135">
        <w:rPr>
          <w:lang w:val="fr-FR" w:eastAsia="fr-FR"/>
        </w:rPr>
        <w:t>.  On ne saurait exclure que, dans un système où la suspension est accordée sur demande, au cas par cas, elle puisse être incorrectement refusée, notamment s</w:t>
      </w:r>
      <w:r w:rsidR="00A977F5">
        <w:rPr>
          <w:lang w:val="fr-FR" w:eastAsia="fr-FR"/>
        </w:rPr>
        <w:t>’</w:t>
      </w:r>
      <w:r w:rsidRPr="00BC0135">
        <w:rPr>
          <w:lang w:val="fr-FR" w:eastAsia="fr-FR"/>
        </w:rPr>
        <w:t>il devait s</w:t>
      </w:r>
      <w:r w:rsidR="00A977F5">
        <w:rPr>
          <w:lang w:val="fr-FR" w:eastAsia="fr-FR"/>
        </w:rPr>
        <w:t>’</w:t>
      </w:r>
      <w:r w:rsidRPr="00BC0135">
        <w:rPr>
          <w:lang w:val="fr-FR" w:eastAsia="fr-FR"/>
        </w:rPr>
        <w:t>avérer ultérieurement que l</w:t>
      </w:r>
      <w:r w:rsidR="00A977F5">
        <w:rPr>
          <w:lang w:val="fr-FR" w:eastAsia="fr-FR"/>
        </w:rPr>
        <w:t>’</w:t>
      </w:r>
      <w:r w:rsidRPr="00BC0135">
        <w:rPr>
          <w:lang w:val="fr-FR" w:eastAsia="fr-FR"/>
        </w:rPr>
        <w:t>instance statuant au fond doive quand même annuler la décision d</w:t>
      </w:r>
      <w:r w:rsidR="00A977F5">
        <w:rPr>
          <w:lang w:val="fr-FR" w:eastAsia="fr-FR"/>
        </w:rPr>
        <w:t>’</w:t>
      </w:r>
      <w:r w:rsidRPr="00BC0135">
        <w:rPr>
          <w:lang w:val="fr-FR" w:eastAsia="fr-FR"/>
        </w:rPr>
        <w:t>expulsion litigieuse pour non-respect de la Convention, par exemple parce que l</w:t>
      </w:r>
      <w:r w:rsidR="00A977F5">
        <w:rPr>
          <w:lang w:val="fr-FR" w:eastAsia="fr-FR"/>
        </w:rPr>
        <w:t>’</w:t>
      </w:r>
      <w:r w:rsidRPr="00BC0135">
        <w:rPr>
          <w:lang w:val="fr-FR" w:eastAsia="fr-FR"/>
        </w:rPr>
        <w:t>intéressé aurait subi des mauvais traitements dans le pays de destination. En pareil cas, le recours exercé par l</w:t>
      </w:r>
      <w:r w:rsidR="00A977F5">
        <w:rPr>
          <w:lang w:val="fr-FR" w:eastAsia="fr-FR"/>
        </w:rPr>
        <w:t>’</w:t>
      </w:r>
      <w:r w:rsidRPr="00BC0135">
        <w:rPr>
          <w:lang w:val="fr-FR" w:eastAsia="fr-FR"/>
        </w:rPr>
        <w:t>intéressé n</w:t>
      </w:r>
      <w:r w:rsidR="00A977F5">
        <w:rPr>
          <w:lang w:val="fr-FR" w:eastAsia="fr-FR"/>
        </w:rPr>
        <w:t>’</w:t>
      </w:r>
      <w:r w:rsidRPr="00BC0135">
        <w:rPr>
          <w:lang w:val="fr-FR" w:eastAsia="fr-FR"/>
        </w:rPr>
        <w:t>aurait pas présenté l</w:t>
      </w:r>
      <w:r w:rsidR="00A977F5">
        <w:rPr>
          <w:lang w:val="fr-FR" w:eastAsia="fr-FR"/>
        </w:rPr>
        <w:t>’</w:t>
      </w:r>
      <w:r w:rsidRPr="00BC0135">
        <w:rPr>
          <w:lang w:val="fr-FR" w:eastAsia="fr-FR"/>
        </w:rPr>
        <w:t>effectivité voulue par l</w:t>
      </w:r>
      <w:r w:rsidR="00A977F5">
        <w:rPr>
          <w:lang w:val="fr-FR" w:eastAsia="fr-FR"/>
        </w:rPr>
        <w:t>’</w:t>
      </w:r>
      <w:r w:rsidRPr="00BC0135">
        <w:rPr>
          <w:lang w:val="fr-FR" w:eastAsia="fr-FR"/>
        </w:rPr>
        <w:t>article 13 (</w:t>
      </w:r>
      <w:r w:rsidRPr="00BC0135">
        <w:rPr>
          <w:i/>
          <w:lang w:val="fr-FR" w:eastAsia="fr-FR"/>
        </w:rPr>
        <w:t>Čonka</w:t>
      </w:r>
      <w:r w:rsidRPr="00BC0135">
        <w:rPr>
          <w:lang w:val="fr-FR" w:eastAsia="fr-FR"/>
        </w:rPr>
        <w:t>, précité, § 82). Dans ce contexte, l</w:t>
      </w:r>
      <w:r w:rsidR="00A977F5">
        <w:rPr>
          <w:lang w:val="fr-FR" w:eastAsia="fr-FR"/>
        </w:rPr>
        <w:t>’</w:t>
      </w:r>
      <w:r w:rsidRPr="00BC0135">
        <w:rPr>
          <w:lang w:val="fr-FR" w:eastAsia="fr-FR"/>
        </w:rPr>
        <w:t>exception du Gouvernement selon laquelle les requérants n</w:t>
      </w:r>
      <w:r w:rsidR="00A977F5">
        <w:rPr>
          <w:lang w:val="fr-FR" w:eastAsia="fr-FR"/>
        </w:rPr>
        <w:t>’</w:t>
      </w:r>
      <w:r w:rsidRPr="00BC0135">
        <w:rPr>
          <w:lang w:val="fr-FR" w:eastAsia="fr-FR"/>
        </w:rPr>
        <w:t>ont pas épuisé les voies de recours internes doit être rejetée. La Cour rappelle à cet égard que lorsqu</w:t>
      </w:r>
      <w:r w:rsidR="00A977F5">
        <w:rPr>
          <w:lang w:val="fr-FR" w:eastAsia="fr-FR"/>
        </w:rPr>
        <w:t>’</w:t>
      </w:r>
      <w:r w:rsidRPr="00BC0135">
        <w:rPr>
          <w:lang w:val="fr-FR" w:eastAsia="fr-FR"/>
        </w:rPr>
        <w:t xml:space="preserve">un individu se plaint de manière défendable que son renvoi </w:t>
      </w:r>
      <w:r w:rsidRPr="00BC0135">
        <w:rPr>
          <w:lang w:val="fr-FR" w:eastAsia="fr-FR"/>
        </w:rPr>
        <w:lastRenderedPageBreak/>
        <w:t>l</w:t>
      </w:r>
      <w:r w:rsidR="00A977F5">
        <w:rPr>
          <w:lang w:val="fr-FR" w:eastAsia="fr-FR"/>
        </w:rPr>
        <w:t>’</w:t>
      </w:r>
      <w:r w:rsidRPr="00BC0135">
        <w:rPr>
          <w:lang w:val="fr-FR" w:eastAsia="fr-FR"/>
        </w:rPr>
        <w:t>exposerait à un traitement contraire à l</w:t>
      </w:r>
      <w:r w:rsidR="00A977F5">
        <w:rPr>
          <w:lang w:val="fr-FR" w:eastAsia="fr-FR"/>
        </w:rPr>
        <w:t>’</w:t>
      </w:r>
      <w:r w:rsidRPr="00BC0135">
        <w:rPr>
          <w:lang w:val="fr-FR" w:eastAsia="fr-FR"/>
        </w:rPr>
        <w:t>article 3 de la Convention, les recours sans effet suspensif ne peuvent être considérés comme effectifs au sens de l</w:t>
      </w:r>
      <w:r w:rsidR="00A977F5">
        <w:rPr>
          <w:lang w:val="fr-FR" w:eastAsia="fr-FR"/>
        </w:rPr>
        <w:t>’</w:t>
      </w:r>
      <w:r w:rsidRPr="00BC0135">
        <w:rPr>
          <w:lang w:val="fr-FR" w:eastAsia="fr-FR"/>
        </w:rPr>
        <w:t>article 35 § 1 de la Convention.</w:t>
      </w:r>
    </w:p>
    <w:p w:rsidR="00BC0135" w:rsidRP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95</w:t>
      </w:r>
      <w:r w:rsidRPr="00BC0135">
        <w:rPr>
          <w:noProof/>
          <w:lang w:val="fr-FR" w:eastAsia="fr-FR"/>
        </w:rPr>
        <w:fldChar w:fldCharType="end"/>
      </w:r>
      <w:r w:rsidRPr="00BC0135">
        <w:rPr>
          <w:lang w:val="fr-FR" w:eastAsia="fr-FR"/>
        </w:rPr>
        <w:t>.  Il convient de souligner que les exigences de l</w:t>
      </w:r>
      <w:r w:rsidR="00A977F5">
        <w:rPr>
          <w:lang w:val="fr-FR" w:eastAsia="fr-FR"/>
        </w:rPr>
        <w:t>’</w:t>
      </w:r>
      <w:r w:rsidRPr="00BC0135">
        <w:rPr>
          <w:lang w:val="fr-FR" w:eastAsia="fr-FR"/>
        </w:rPr>
        <w:t>article 13, tout comme celles des autres dispositions de la Convention, sont de l</w:t>
      </w:r>
      <w:r w:rsidR="00A977F5">
        <w:rPr>
          <w:lang w:val="fr-FR" w:eastAsia="fr-FR"/>
        </w:rPr>
        <w:t>’</w:t>
      </w:r>
      <w:r w:rsidRPr="00BC0135">
        <w:rPr>
          <w:lang w:val="fr-FR" w:eastAsia="fr-FR"/>
        </w:rPr>
        <w:t>ordre de la garantie, et non du simple bon vouloir ou de l</w:t>
      </w:r>
      <w:r w:rsidR="00A977F5">
        <w:rPr>
          <w:lang w:val="fr-FR" w:eastAsia="fr-FR"/>
        </w:rPr>
        <w:t>’</w:t>
      </w:r>
      <w:r w:rsidRPr="00BC0135">
        <w:rPr>
          <w:lang w:val="fr-FR" w:eastAsia="fr-FR"/>
        </w:rPr>
        <w:t>arrangement pratique. C</w:t>
      </w:r>
      <w:r w:rsidR="00A977F5">
        <w:rPr>
          <w:lang w:val="fr-FR" w:eastAsia="fr-FR"/>
        </w:rPr>
        <w:t>’</w:t>
      </w:r>
      <w:r w:rsidRPr="00BC0135">
        <w:rPr>
          <w:lang w:val="fr-FR" w:eastAsia="fr-FR"/>
        </w:rPr>
        <w:t>est là une des conséquences de la prééminence du droit, l</w:t>
      </w:r>
      <w:r w:rsidR="00A977F5">
        <w:rPr>
          <w:lang w:val="fr-FR" w:eastAsia="fr-FR"/>
        </w:rPr>
        <w:t>’</w:t>
      </w:r>
      <w:r w:rsidRPr="00BC0135">
        <w:rPr>
          <w:lang w:val="fr-FR" w:eastAsia="fr-FR"/>
        </w:rPr>
        <w:t>un des principes fondamentaux d</w:t>
      </w:r>
      <w:r w:rsidR="00A977F5">
        <w:rPr>
          <w:lang w:val="fr-FR" w:eastAsia="fr-FR"/>
        </w:rPr>
        <w:t>’</w:t>
      </w:r>
      <w:r w:rsidRPr="00BC0135">
        <w:rPr>
          <w:lang w:val="fr-FR" w:eastAsia="fr-FR"/>
        </w:rPr>
        <w:t>une société démocratique inhérents à l</w:t>
      </w:r>
      <w:r w:rsidR="00A977F5">
        <w:rPr>
          <w:lang w:val="fr-FR" w:eastAsia="fr-FR"/>
        </w:rPr>
        <w:t>’</w:t>
      </w:r>
      <w:r w:rsidRPr="00BC0135">
        <w:rPr>
          <w:lang w:val="fr-FR" w:eastAsia="fr-FR"/>
        </w:rPr>
        <w:t xml:space="preserve">ensemble des articles de la Convention (voir, </w:t>
      </w:r>
      <w:r w:rsidRPr="00BC0135">
        <w:rPr>
          <w:i/>
          <w:lang w:val="fr-FR" w:eastAsia="fr-FR"/>
        </w:rPr>
        <w:t>mutatis mutandis</w:t>
      </w:r>
      <w:r w:rsidRPr="00BC0135">
        <w:rPr>
          <w:lang w:val="fr-FR" w:eastAsia="fr-FR"/>
        </w:rPr>
        <w:t xml:space="preserve">, </w:t>
      </w:r>
      <w:r w:rsidRPr="00BC0135">
        <w:rPr>
          <w:i/>
          <w:lang w:val="fr-FR" w:eastAsia="fr-FR"/>
        </w:rPr>
        <w:t>Iatridis c. Grèce</w:t>
      </w:r>
      <w:r w:rsidRPr="00BC0135">
        <w:rPr>
          <w:lang w:val="fr-FR" w:eastAsia="fr-FR"/>
        </w:rPr>
        <w:t xml:space="preserve"> [GC], n</w:t>
      </w:r>
      <w:r w:rsidRPr="00BC0135">
        <w:rPr>
          <w:vertAlign w:val="superscript"/>
          <w:lang w:val="fr-FR" w:eastAsia="fr-FR"/>
        </w:rPr>
        <w:t>o</w:t>
      </w:r>
      <w:r w:rsidRPr="00BC0135">
        <w:rPr>
          <w:lang w:val="fr-FR" w:eastAsia="fr-FR"/>
        </w:rPr>
        <w:t> 31107/96, § 58, CEDH 1999</w:t>
      </w:r>
      <w:r w:rsidRPr="00BC0135">
        <w:rPr>
          <w:lang w:val="fr-FR" w:eastAsia="fr-FR"/>
        </w:rPr>
        <w:noBreakHyphen/>
        <w:t>II).</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96</w:t>
      </w:r>
      <w:r w:rsidRPr="00BC0135">
        <w:rPr>
          <w:noProof/>
          <w:lang w:val="fr-FR" w:eastAsia="fr-FR"/>
        </w:rPr>
        <w:fldChar w:fldCharType="end"/>
      </w:r>
      <w:r w:rsidRPr="00BC0135">
        <w:rPr>
          <w:lang w:val="fr-FR" w:eastAsia="fr-FR"/>
        </w:rPr>
        <w:t>.  En l</w:t>
      </w:r>
      <w:r w:rsidR="00A977F5">
        <w:rPr>
          <w:lang w:val="fr-FR" w:eastAsia="fr-FR"/>
        </w:rPr>
        <w:t>’</w:t>
      </w:r>
      <w:r w:rsidRPr="00BC0135">
        <w:rPr>
          <w:lang w:val="fr-FR" w:eastAsia="fr-FR"/>
        </w:rPr>
        <w:t>espèce, la Cour observe que les requérants ont exercé les voies de recours disponibles dans le système espagnol pour faire valoir leurs griefs tirés des articles 2 et 3 de la Convention : ils ont déposé des demandes de protection internationale auprès de l</w:t>
      </w:r>
      <w:r w:rsidR="00A977F5">
        <w:rPr>
          <w:lang w:val="fr-FR" w:eastAsia="fr-FR"/>
        </w:rPr>
        <w:t>’</w:t>
      </w:r>
      <w:r w:rsidRPr="00BC0135">
        <w:rPr>
          <w:lang w:val="fr-FR" w:eastAsia="fr-FR"/>
        </w:rPr>
        <w:t>Office de l</w:t>
      </w:r>
      <w:r w:rsidR="00A977F5">
        <w:rPr>
          <w:lang w:val="fr-FR" w:eastAsia="fr-FR"/>
        </w:rPr>
        <w:t>’</w:t>
      </w:r>
      <w:r w:rsidRPr="00BC0135">
        <w:rPr>
          <w:lang w:val="fr-FR" w:eastAsia="fr-FR"/>
        </w:rPr>
        <w:t>asile et des réfugiés du ministère de l</w:t>
      </w:r>
      <w:r w:rsidR="00A977F5">
        <w:rPr>
          <w:lang w:val="fr-FR" w:eastAsia="fr-FR"/>
        </w:rPr>
        <w:t>’</w:t>
      </w:r>
      <w:r w:rsidRPr="00BC0135">
        <w:rPr>
          <w:lang w:val="fr-FR" w:eastAsia="fr-FR"/>
        </w:rPr>
        <w:t>Intérieur, qui furent rejetées, tout comme leurs demandes de réexamen. Les requérants présentèrent par la suite des recours de contentieux administratif contre les décisions leur faisant tort, en demandant en même temps la suspension de l</w:t>
      </w:r>
      <w:r w:rsidR="00A977F5">
        <w:rPr>
          <w:lang w:val="fr-FR" w:eastAsia="fr-FR"/>
        </w:rPr>
        <w:t>’</w:t>
      </w:r>
      <w:r w:rsidRPr="00BC0135">
        <w:rPr>
          <w:lang w:val="fr-FR" w:eastAsia="fr-FR"/>
        </w:rPr>
        <w:t>exécution de la mesure d</w:t>
      </w:r>
      <w:r w:rsidR="00A977F5">
        <w:rPr>
          <w:lang w:val="fr-FR" w:eastAsia="fr-FR"/>
        </w:rPr>
        <w:t>’</w:t>
      </w:r>
      <w:r w:rsidRPr="00BC0135">
        <w:rPr>
          <w:lang w:val="fr-FR" w:eastAsia="fr-FR"/>
        </w:rPr>
        <w:t>expulsion, sur la base de l</w:t>
      </w:r>
      <w:r w:rsidR="00A977F5">
        <w:rPr>
          <w:lang w:val="fr-FR" w:eastAsia="fr-FR"/>
        </w:rPr>
        <w:t>’</w:t>
      </w:r>
      <w:r w:rsidRPr="00BC0135">
        <w:rPr>
          <w:lang w:val="fr-FR" w:eastAsia="fr-FR"/>
        </w:rPr>
        <w:t>article 135 de la loi n</w:t>
      </w:r>
      <w:r w:rsidRPr="00BC0135">
        <w:rPr>
          <w:vertAlign w:val="superscript"/>
          <w:lang w:val="fr-FR" w:eastAsia="fr-FR"/>
        </w:rPr>
        <w:t>o</w:t>
      </w:r>
      <w:r w:rsidRPr="00BC0135">
        <w:rPr>
          <w:lang w:val="fr-FR" w:eastAsia="fr-FR"/>
        </w:rPr>
        <w:t> 29/1998 du 13 juillet 1998 sur la juridiction du contentieux administratif.</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97</w:t>
      </w:r>
      <w:r w:rsidRPr="00BC0135">
        <w:rPr>
          <w:noProof/>
          <w:lang w:val="fr-FR" w:eastAsia="fr-FR"/>
        </w:rPr>
        <w:fldChar w:fldCharType="end"/>
      </w:r>
      <w:r w:rsidRPr="00BC0135">
        <w:rPr>
          <w:lang w:val="fr-FR" w:eastAsia="fr-FR"/>
        </w:rPr>
        <w:t>.  Les craintes exprimées par les requérants relatives à des mauvais traitements susceptibles de leur être infligés en cas de retour dans leur pays d</w:t>
      </w:r>
      <w:r w:rsidR="00A977F5">
        <w:rPr>
          <w:lang w:val="fr-FR" w:eastAsia="fr-FR"/>
        </w:rPr>
        <w:t>’</w:t>
      </w:r>
      <w:r w:rsidRPr="00BC0135">
        <w:rPr>
          <w:lang w:val="fr-FR" w:eastAsia="fr-FR"/>
        </w:rPr>
        <w:t>origine ne sont pas, à première vue et sans aucunement préjuger l</w:t>
      </w:r>
      <w:r w:rsidR="00A977F5">
        <w:rPr>
          <w:lang w:val="fr-FR" w:eastAsia="fr-FR"/>
        </w:rPr>
        <w:t>’</w:t>
      </w:r>
      <w:r w:rsidRPr="00BC0135">
        <w:rPr>
          <w:lang w:val="fr-FR" w:eastAsia="fr-FR"/>
        </w:rPr>
        <w:t xml:space="preserve">appréciation des juridictions espagnoles quant à leur bien-fondé, irrationnelles ou manifestement dépourvues de fondement, tant en raison de la situation générale au Maroc dérivée du démantèlement du campement de Gdeim Izik au Sahara occidental (paragraphes </w:t>
      </w:r>
      <w:r w:rsidRPr="00BC0135">
        <w:rPr>
          <w:lang w:val="fr-FR" w:eastAsia="fr-FR"/>
        </w:rPr>
        <w:fldChar w:fldCharType="begin"/>
      </w:r>
      <w:r w:rsidRPr="00BC0135">
        <w:rPr>
          <w:lang w:val="fr-FR" w:eastAsia="fr-FR"/>
        </w:rPr>
        <w:instrText xml:space="preserve"> REF contexte  \* MERGEFORMAT </w:instrText>
      </w:r>
      <w:r w:rsidRPr="00BC0135">
        <w:rPr>
          <w:lang w:val="fr-FR" w:eastAsia="fr-FR"/>
        </w:rPr>
        <w:fldChar w:fldCharType="separate"/>
      </w:r>
      <w:r w:rsidR="000A2932">
        <w:rPr>
          <w:noProof/>
          <w:lang w:val="fr-FR" w:eastAsia="fr-FR"/>
        </w:rPr>
        <w:t>47</w:t>
      </w:r>
      <w:r w:rsidRPr="00BC0135">
        <w:rPr>
          <w:noProof/>
          <w:lang w:val="fr-FR" w:eastAsia="fr-FR"/>
        </w:rPr>
        <w:fldChar w:fldCharType="end"/>
      </w:r>
      <w:r w:rsidRPr="00BC0135">
        <w:rPr>
          <w:lang w:val="fr-FR" w:eastAsia="fr-FR"/>
        </w:rPr>
        <w:t xml:space="preserve"> à 59 ci-dessus) que des situations particulières alléguées par les requérants.</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98</w:t>
      </w:r>
      <w:r w:rsidRPr="00BC0135">
        <w:rPr>
          <w:noProof/>
          <w:lang w:val="fr-FR" w:eastAsia="fr-FR"/>
        </w:rPr>
        <w:fldChar w:fldCharType="end"/>
      </w:r>
      <w:r w:rsidRPr="00BC0135">
        <w:rPr>
          <w:lang w:val="fr-FR" w:eastAsia="fr-FR"/>
        </w:rPr>
        <w:t>.  Bien que les autorités espagnoles soient les seules compétentes pour se prononcer en dernier ressort sur l</w:t>
      </w:r>
      <w:r w:rsidR="00A977F5">
        <w:rPr>
          <w:lang w:val="fr-FR" w:eastAsia="fr-FR"/>
        </w:rPr>
        <w:t>’</w:t>
      </w:r>
      <w:r w:rsidRPr="00BC0135">
        <w:rPr>
          <w:lang w:val="fr-FR" w:eastAsia="fr-FR"/>
        </w:rPr>
        <w:t>existence ou non des motifs pouvant faire obstacle aux expulsions décrétées à l</w:t>
      </w:r>
      <w:r w:rsidR="00A977F5">
        <w:rPr>
          <w:lang w:val="fr-FR" w:eastAsia="fr-FR"/>
        </w:rPr>
        <w:t>’</w:t>
      </w:r>
      <w:r w:rsidRPr="00BC0135">
        <w:rPr>
          <w:lang w:val="fr-FR" w:eastAsia="fr-FR"/>
        </w:rPr>
        <w:t>égard des requérants, l</w:t>
      </w:r>
      <w:r w:rsidR="00A977F5">
        <w:rPr>
          <w:lang w:val="fr-FR" w:eastAsia="fr-FR"/>
        </w:rPr>
        <w:t>’</w:t>
      </w:r>
      <w:r w:rsidRPr="00BC0135">
        <w:rPr>
          <w:lang w:val="fr-FR" w:eastAsia="fr-FR"/>
        </w:rPr>
        <w:t>on ne saurait exclure qu</w:t>
      </w:r>
      <w:r w:rsidR="00A977F5">
        <w:rPr>
          <w:lang w:val="fr-FR" w:eastAsia="fr-FR"/>
        </w:rPr>
        <w:t>’</w:t>
      </w:r>
      <w:r w:rsidRPr="00BC0135">
        <w:rPr>
          <w:lang w:val="fr-FR" w:eastAsia="fr-FR"/>
        </w:rPr>
        <w:t>il existe suffisamment d</w:t>
      </w:r>
      <w:r w:rsidR="00A977F5">
        <w:rPr>
          <w:lang w:val="fr-FR" w:eastAsia="fr-FR"/>
        </w:rPr>
        <w:t>’</w:t>
      </w:r>
      <w:r w:rsidRPr="00BC0135">
        <w:rPr>
          <w:lang w:val="fr-FR" w:eastAsia="fr-FR"/>
        </w:rPr>
        <w:t>éléments pour surseoir à l</w:t>
      </w:r>
      <w:r w:rsidR="00A977F5">
        <w:rPr>
          <w:lang w:val="fr-FR" w:eastAsia="fr-FR"/>
        </w:rPr>
        <w:t>’</w:t>
      </w:r>
      <w:r w:rsidRPr="00BC0135">
        <w:rPr>
          <w:lang w:val="fr-FR" w:eastAsia="fr-FR"/>
        </w:rPr>
        <w:t>exécution des décision prises par l</w:t>
      </w:r>
      <w:r w:rsidR="00A977F5">
        <w:rPr>
          <w:lang w:val="fr-FR" w:eastAsia="fr-FR"/>
        </w:rPr>
        <w:t>’</w:t>
      </w:r>
      <w:r w:rsidRPr="00BC0135">
        <w:rPr>
          <w:lang w:val="fr-FR" w:eastAsia="fr-FR"/>
        </w:rPr>
        <w:t>Administration tant que les juridictions internes n</w:t>
      </w:r>
      <w:r w:rsidR="00A977F5">
        <w:rPr>
          <w:lang w:val="fr-FR" w:eastAsia="fr-FR"/>
        </w:rPr>
        <w:t>’</w:t>
      </w:r>
      <w:r w:rsidR="00843AD8">
        <w:rPr>
          <w:lang w:val="fr-FR" w:eastAsia="fr-FR"/>
        </w:rPr>
        <w:t>o</w:t>
      </w:r>
      <w:r w:rsidRPr="00BC0135">
        <w:rPr>
          <w:lang w:val="fr-FR" w:eastAsia="fr-FR"/>
        </w:rPr>
        <w:t>nt pas examiné de façon détaillé</w:t>
      </w:r>
      <w:r w:rsidR="00843AD8">
        <w:rPr>
          <w:lang w:val="fr-FR" w:eastAsia="fr-FR"/>
        </w:rPr>
        <w:t>e</w:t>
      </w:r>
      <w:r w:rsidRPr="00BC0135">
        <w:rPr>
          <w:lang w:val="fr-FR" w:eastAsia="fr-FR"/>
        </w:rPr>
        <w:t xml:space="preserve"> et en profondeur le bien-fondé des demandes de protection internationale présentées par les requérants. Certes, la Cour est consciente de la nécessité pour les États confrontés à un grand nombre de demandeurs d</w:t>
      </w:r>
      <w:r w:rsidR="00A977F5">
        <w:rPr>
          <w:lang w:val="fr-FR" w:eastAsia="fr-FR"/>
        </w:rPr>
        <w:t>’</w:t>
      </w:r>
      <w:r w:rsidRPr="00BC0135">
        <w:rPr>
          <w:lang w:val="fr-FR" w:eastAsia="fr-FR"/>
        </w:rPr>
        <w:t>asile de disposer des moyens nécessaires pour faire face à un tel contentieux, ainsi que des risques d</w:t>
      </w:r>
      <w:r w:rsidR="00A977F5">
        <w:rPr>
          <w:lang w:val="fr-FR" w:eastAsia="fr-FR"/>
        </w:rPr>
        <w:t>’</w:t>
      </w:r>
      <w:r w:rsidRPr="00BC0135">
        <w:rPr>
          <w:lang w:val="fr-FR" w:eastAsia="fr-FR"/>
        </w:rPr>
        <w:t>engorgement du système.</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99</w:t>
      </w:r>
      <w:r w:rsidRPr="00BC0135">
        <w:rPr>
          <w:noProof/>
          <w:lang w:val="fr-FR" w:eastAsia="fr-FR"/>
        </w:rPr>
        <w:fldChar w:fldCharType="end"/>
      </w:r>
      <w:r w:rsidRPr="00BC0135">
        <w:rPr>
          <w:lang w:val="fr-FR" w:eastAsia="fr-FR"/>
        </w:rPr>
        <w:t>.  La Cour reconnaît que les procédures d</w:t>
      </w:r>
      <w:r w:rsidR="00A977F5">
        <w:rPr>
          <w:lang w:val="fr-FR" w:eastAsia="fr-FR"/>
        </w:rPr>
        <w:t>’</w:t>
      </w:r>
      <w:r w:rsidRPr="00BC0135">
        <w:rPr>
          <w:lang w:val="fr-FR" w:eastAsia="fr-FR"/>
        </w:rPr>
        <w:t xml:space="preserve">asile accélérées, dont se sont dotés de nombreux </w:t>
      </w:r>
      <w:r w:rsidR="00843AD8" w:rsidRPr="00BC0135">
        <w:rPr>
          <w:lang w:val="fr-FR" w:eastAsia="fr-FR"/>
        </w:rPr>
        <w:t>États</w:t>
      </w:r>
      <w:r w:rsidR="00843AD8">
        <w:rPr>
          <w:lang w:val="fr-FR" w:eastAsia="fr-FR"/>
        </w:rPr>
        <w:t xml:space="preserve"> européens, peuv</w:t>
      </w:r>
      <w:r w:rsidRPr="00BC0135">
        <w:rPr>
          <w:lang w:val="fr-FR" w:eastAsia="fr-FR"/>
        </w:rPr>
        <w:t>ent faciliter le traitement des demandes clairement abusives ou manifestement infondées. Elle a d</w:t>
      </w:r>
      <w:r w:rsidR="00A977F5">
        <w:rPr>
          <w:lang w:val="fr-FR" w:eastAsia="fr-FR"/>
        </w:rPr>
        <w:t>’</w:t>
      </w:r>
      <w:r w:rsidRPr="00BC0135">
        <w:rPr>
          <w:lang w:val="fr-FR" w:eastAsia="fr-FR"/>
        </w:rPr>
        <w:t>ailleurs déjà eu l</w:t>
      </w:r>
      <w:r w:rsidR="00A977F5">
        <w:rPr>
          <w:lang w:val="fr-FR" w:eastAsia="fr-FR"/>
        </w:rPr>
        <w:t>’</w:t>
      </w:r>
      <w:r w:rsidRPr="00BC0135">
        <w:rPr>
          <w:lang w:val="fr-FR" w:eastAsia="fr-FR"/>
        </w:rPr>
        <w:t>occasion d</w:t>
      </w:r>
      <w:r w:rsidR="00A977F5">
        <w:rPr>
          <w:lang w:val="fr-FR" w:eastAsia="fr-FR"/>
        </w:rPr>
        <w:t>’</w:t>
      </w:r>
      <w:r w:rsidRPr="00BC0135">
        <w:rPr>
          <w:lang w:val="fr-FR" w:eastAsia="fr-FR"/>
        </w:rPr>
        <w:t>estimer que le réexamen d</w:t>
      </w:r>
      <w:r w:rsidR="00A977F5">
        <w:rPr>
          <w:lang w:val="fr-FR" w:eastAsia="fr-FR"/>
        </w:rPr>
        <w:t>’</w:t>
      </w:r>
      <w:r w:rsidRPr="00BC0135">
        <w:rPr>
          <w:lang w:val="fr-FR" w:eastAsia="fr-FR"/>
        </w:rPr>
        <w:t>une demande d</w:t>
      </w:r>
      <w:r w:rsidR="00A977F5">
        <w:rPr>
          <w:lang w:val="fr-FR" w:eastAsia="fr-FR"/>
        </w:rPr>
        <w:t>’</w:t>
      </w:r>
      <w:r w:rsidRPr="00BC0135">
        <w:rPr>
          <w:lang w:val="fr-FR" w:eastAsia="fr-FR"/>
        </w:rPr>
        <w:t>asile selon le mode prioritaire ne privait pas l</w:t>
      </w:r>
      <w:r w:rsidR="00A977F5">
        <w:rPr>
          <w:lang w:val="fr-FR" w:eastAsia="fr-FR"/>
        </w:rPr>
        <w:t>’</w:t>
      </w:r>
      <w:r w:rsidRPr="00BC0135">
        <w:rPr>
          <w:lang w:val="fr-FR" w:eastAsia="fr-FR"/>
        </w:rPr>
        <w:t>étranger en rétention d</w:t>
      </w:r>
      <w:r w:rsidR="00A977F5">
        <w:rPr>
          <w:lang w:val="fr-FR" w:eastAsia="fr-FR"/>
        </w:rPr>
        <w:t>’</w:t>
      </w:r>
      <w:r w:rsidRPr="00BC0135">
        <w:rPr>
          <w:lang w:val="fr-FR" w:eastAsia="fr-FR"/>
        </w:rPr>
        <w:t xml:space="preserve">un examen </w:t>
      </w:r>
      <w:r w:rsidRPr="00BC0135">
        <w:rPr>
          <w:lang w:val="fr-FR" w:eastAsia="fr-FR"/>
        </w:rPr>
        <w:lastRenderedPageBreak/>
        <w:t>circonstancié dès lors qu</w:t>
      </w:r>
      <w:r w:rsidR="00A977F5">
        <w:rPr>
          <w:lang w:val="fr-FR" w:eastAsia="fr-FR"/>
        </w:rPr>
        <w:t>’</w:t>
      </w:r>
      <w:r w:rsidRPr="00BC0135">
        <w:rPr>
          <w:lang w:val="fr-FR" w:eastAsia="fr-FR"/>
        </w:rPr>
        <w:t>une première demande avait fait l</w:t>
      </w:r>
      <w:r w:rsidR="00A977F5">
        <w:rPr>
          <w:lang w:val="fr-FR" w:eastAsia="fr-FR"/>
        </w:rPr>
        <w:t>’</w:t>
      </w:r>
      <w:r w:rsidRPr="00BC0135">
        <w:rPr>
          <w:lang w:val="fr-FR" w:eastAsia="fr-FR"/>
        </w:rPr>
        <w:t>objet d</w:t>
      </w:r>
      <w:r w:rsidR="00A977F5">
        <w:rPr>
          <w:lang w:val="fr-FR" w:eastAsia="fr-FR"/>
        </w:rPr>
        <w:t>’</w:t>
      </w:r>
      <w:r w:rsidRPr="00BC0135">
        <w:rPr>
          <w:lang w:val="fr-FR" w:eastAsia="fr-FR"/>
        </w:rPr>
        <w:t>un examen complet dans le cadre d</w:t>
      </w:r>
      <w:r w:rsidR="00A977F5">
        <w:rPr>
          <w:lang w:val="fr-FR" w:eastAsia="fr-FR"/>
        </w:rPr>
        <w:t>’</w:t>
      </w:r>
      <w:r w:rsidRPr="00BC0135">
        <w:rPr>
          <w:lang w:val="fr-FR" w:eastAsia="fr-FR"/>
        </w:rPr>
        <w:t>une procédure d</w:t>
      </w:r>
      <w:r w:rsidR="00A977F5">
        <w:rPr>
          <w:lang w:val="fr-FR" w:eastAsia="fr-FR"/>
        </w:rPr>
        <w:t>’</w:t>
      </w:r>
      <w:r w:rsidRPr="00BC0135">
        <w:rPr>
          <w:lang w:val="fr-FR" w:eastAsia="fr-FR"/>
        </w:rPr>
        <w:t>asile normale (</w:t>
      </w:r>
      <w:r w:rsidRPr="00BC0135">
        <w:rPr>
          <w:i/>
          <w:lang w:val="fr-FR" w:eastAsia="fr-FR"/>
        </w:rPr>
        <w:t>Sultani c. France</w:t>
      </w:r>
      <w:r w:rsidRPr="00BC0135">
        <w:rPr>
          <w:lang w:val="fr-FR" w:eastAsia="fr-FR"/>
        </w:rPr>
        <w:t>, n</w:t>
      </w:r>
      <w:r w:rsidRPr="00BC0135">
        <w:rPr>
          <w:vertAlign w:val="superscript"/>
          <w:lang w:val="fr-FR" w:eastAsia="fr-FR"/>
        </w:rPr>
        <w:t>o</w:t>
      </w:r>
      <w:r w:rsidRPr="00BC0135">
        <w:rPr>
          <w:lang w:val="fr-FR" w:eastAsia="fr-FR"/>
        </w:rPr>
        <w:t xml:space="preserve"> 45223/05, §§ 64-65, CEDH 2007</w:t>
      </w:r>
      <w:r w:rsidRPr="00BC0135">
        <w:rPr>
          <w:lang w:val="fr-FR" w:eastAsia="fr-FR"/>
        </w:rPr>
        <w:noBreakHyphen/>
        <w:t>IV (extraits)). En l</w:t>
      </w:r>
      <w:r w:rsidR="00A977F5">
        <w:rPr>
          <w:lang w:val="fr-FR" w:eastAsia="fr-FR"/>
        </w:rPr>
        <w:t>’</w:t>
      </w:r>
      <w:r w:rsidRPr="00BC0135">
        <w:rPr>
          <w:lang w:val="fr-FR" w:eastAsia="fr-FR"/>
        </w:rPr>
        <w:t xml:space="preserve">espèce, se penchant tout particulièrement sur le cas des treize premiers requérants exposé au paragraphe </w:t>
      </w:r>
      <w:r w:rsidRPr="00BC0135">
        <w:rPr>
          <w:lang w:val="fr-FR" w:eastAsia="fr-FR"/>
        </w:rPr>
        <w:fldChar w:fldCharType="begin"/>
      </w:r>
      <w:r w:rsidRPr="00BC0135">
        <w:rPr>
          <w:lang w:val="fr-FR" w:eastAsia="fr-FR"/>
        </w:rPr>
        <w:instrText xml:space="preserve"> REF cautelarisima  \* MERGEFORMAT </w:instrText>
      </w:r>
      <w:r w:rsidRPr="00BC0135">
        <w:rPr>
          <w:lang w:val="fr-FR" w:eastAsia="fr-FR"/>
        </w:rPr>
        <w:fldChar w:fldCharType="separate"/>
      </w:r>
      <w:r w:rsidR="000A2932">
        <w:rPr>
          <w:noProof/>
          <w:lang w:val="fr-FR" w:eastAsia="fr-FR"/>
        </w:rPr>
        <w:t>44</w:t>
      </w:r>
      <w:r w:rsidRPr="00BC0135">
        <w:rPr>
          <w:noProof/>
          <w:lang w:val="fr-FR" w:eastAsia="fr-FR"/>
        </w:rPr>
        <w:fldChar w:fldCharType="end"/>
      </w:r>
      <w:r w:rsidR="009E0F40">
        <w:rPr>
          <w:lang w:val="fr-FR" w:eastAsia="fr-FR"/>
        </w:rPr>
        <w:t xml:space="preserve"> ci-dess</w:t>
      </w:r>
      <w:r w:rsidRPr="00BC0135">
        <w:rPr>
          <w:lang w:val="fr-FR" w:eastAsia="fr-FR"/>
        </w:rPr>
        <w:t>us, la Cour observe toutefois que l</w:t>
      </w:r>
      <w:r w:rsidR="00A977F5">
        <w:rPr>
          <w:lang w:val="fr-FR" w:eastAsia="fr-FR"/>
        </w:rPr>
        <w:t>’</w:t>
      </w:r>
      <w:r w:rsidRPr="00BC0135">
        <w:rPr>
          <w:i/>
          <w:lang w:val="fr-FR" w:eastAsia="fr-FR"/>
        </w:rPr>
        <w:t xml:space="preserve">Audiencia Nacional </w:t>
      </w:r>
      <w:r w:rsidRPr="00BC0135">
        <w:rPr>
          <w:lang w:val="fr-FR" w:eastAsia="fr-FR"/>
        </w:rPr>
        <w:t>avait</w:t>
      </w:r>
      <w:r w:rsidRPr="00BC0135">
        <w:rPr>
          <w:i/>
          <w:lang w:val="fr-FR" w:eastAsia="fr-FR"/>
        </w:rPr>
        <w:t xml:space="preserve"> </w:t>
      </w:r>
      <w:r w:rsidRPr="00BC0135">
        <w:rPr>
          <w:lang w:val="fr-FR" w:eastAsia="fr-FR"/>
        </w:rPr>
        <w:t>ordonné le 27 janvier 2011 à l</w:t>
      </w:r>
      <w:r w:rsidR="00A977F5">
        <w:rPr>
          <w:lang w:val="fr-FR" w:eastAsia="fr-FR"/>
        </w:rPr>
        <w:t>’</w:t>
      </w:r>
      <w:r w:rsidRPr="00BC0135">
        <w:rPr>
          <w:lang w:val="fr-FR" w:eastAsia="fr-FR"/>
        </w:rPr>
        <w:t>Administration de surseoir provisoirement aux expulsions, le temps d</w:t>
      </w:r>
      <w:r w:rsidR="00A977F5">
        <w:rPr>
          <w:lang w:val="fr-FR" w:eastAsia="fr-FR"/>
        </w:rPr>
        <w:t>’</w:t>
      </w:r>
      <w:r w:rsidRPr="00BC0135">
        <w:rPr>
          <w:lang w:val="fr-FR" w:eastAsia="fr-FR"/>
        </w:rPr>
        <w:t>examiner les demandes de mesures provisoires présentées. Le lendemain, l</w:t>
      </w:r>
      <w:r w:rsidR="00A977F5">
        <w:rPr>
          <w:lang w:val="fr-FR" w:eastAsia="fr-FR"/>
        </w:rPr>
        <w:t>’</w:t>
      </w:r>
      <w:r w:rsidRPr="00BC0135">
        <w:rPr>
          <w:i/>
          <w:lang w:val="fr-FR" w:eastAsia="fr-FR"/>
        </w:rPr>
        <w:t xml:space="preserve">Audiencia Nacional </w:t>
      </w:r>
      <w:r w:rsidRPr="00BC0135">
        <w:rPr>
          <w:lang w:val="fr-FR" w:eastAsia="fr-FR"/>
        </w:rPr>
        <w:t>décida toutefois de rejeter lesdites demandes de suspension des ordres d</w:t>
      </w:r>
      <w:r w:rsidR="00A977F5">
        <w:rPr>
          <w:lang w:val="fr-FR" w:eastAsia="fr-FR"/>
        </w:rPr>
        <w:t>’</w:t>
      </w:r>
      <w:r w:rsidRPr="00BC0135">
        <w:rPr>
          <w:lang w:val="fr-FR" w:eastAsia="fr-FR"/>
        </w:rPr>
        <w:t>expulsion pris à l</w:t>
      </w:r>
      <w:r w:rsidR="00A977F5">
        <w:rPr>
          <w:lang w:val="fr-FR" w:eastAsia="fr-FR"/>
        </w:rPr>
        <w:t>’</w:t>
      </w:r>
      <w:r w:rsidRPr="00BC0135">
        <w:rPr>
          <w:lang w:val="fr-FR" w:eastAsia="fr-FR"/>
        </w:rPr>
        <w:t>encontre desdits requérants, considérant que les moyens formulés à l</w:t>
      </w:r>
      <w:r w:rsidR="00A977F5">
        <w:rPr>
          <w:lang w:val="fr-FR" w:eastAsia="fr-FR"/>
        </w:rPr>
        <w:t>’</w:t>
      </w:r>
      <w:r w:rsidRPr="00BC0135">
        <w:rPr>
          <w:lang w:val="fr-FR" w:eastAsia="fr-FR"/>
        </w:rPr>
        <w:t>appui de leurs recours ne permettaient de conclure ni à l</w:t>
      </w:r>
      <w:r w:rsidR="00A977F5">
        <w:rPr>
          <w:lang w:val="fr-FR" w:eastAsia="fr-FR"/>
        </w:rPr>
        <w:t>’</w:t>
      </w:r>
      <w:r w:rsidRPr="00BC0135">
        <w:rPr>
          <w:lang w:val="fr-FR" w:eastAsia="fr-FR"/>
        </w:rPr>
        <w:t>existence dans leur chef de situations d</w:t>
      </w:r>
      <w:r w:rsidR="00A977F5">
        <w:rPr>
          <w:lang w:val="fr-FR" w:eastAsia="fr-FR"/>
        </w:rPr>
        <w:t>’</w:t>
      </w:r>
      <w:r w:rsidRPr="00BC0135">
        <w:rPr>
          <w:lang w:val="fr-FR" w:eastAsia="fr-FR"/>
        </w:rPr>
        <w:t>urgence spéciale susceptibles de justifier une suspension de toute expulsion du territoire national ni à la perte d</w:t>
      </w:r>
      <w:r w:rsidR="00A977F5">
        <w:rPr>
          <w:lang w:val="fr-FR" w:eastAsia="fr-FR"/>
        </w:rPr>
        <w:t>’</w:t>
      </w:r>
      <w:r w:rsidRPr="00BC0135">
        <w:rPr>
          <w:lang w:val="fr-FR" w:eastAsia="fr-FR"/>
        </w:rPr>
        <w:t>objet de la procédure au fond en cas d</w:t>
      </w:r>
      <w:r w:rsidR="00A977F5">
        <w:rPr>
          <w:lang w:val="fr-FR" w:eastAsia="fr-FR"/>
        </w:rPr>
        <w:t>’</w:t>
      </w:r>
      <w:r w:rsidRPr="00BC0135">
        <w:rPr>
          <w:lang w:val="fr-FR" w:eastAsia="fr-FR"/>
        </w:rPr>
        <w:t>exécution des mesures d</w:t>
      </w:r>
      <w:r w:rsidR="00A977F5">
        <w:rPr>
          <w:lang w:val="fr-FR" w:eastAsia="fr-FR"/>
        </w:rPr>
        <w:t>’</w:t>
      </w:r>
      <w:r w:rsidRPr="00BC0135">
        <w:rPr>
          <w:lang w:val="fr-FR" w:eastAsia="fr-FR"/>
        </w:rPr>
        <w:t>expulsion en cause.</w:t>
      </w:r>
    </w:p>
    <w:p w:rsidR="00BC0135" w:rsidRP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100</w:t>
      </w:r>
      <w:r w:rsidRPr="00BC0135">
        <w:rPr>
          <w:noProof/>
          <w:lang w:val="fr-FR" w:eastAsia="fr-FR"/>
        </w:rPr>
        <w:fldChar w:fldCharType="end"/>
      </w:r>
      <w:r w:rsidRPr="00BC0135">
        <w:rPr>
          <w:lang w:val="fr-FR" w:eastAsia="fr-FR"/>
        </w:rPr>
        <w:t>.  La Cour constate qu</w:t>
      </w:r>
      <w:r w:rsidR="00A977F5">
        <w:rPr>
          <w:lang w:val="fr-FR" w:eastAsia="fr-FR"/>
        </w:rPr>
        <w:t>’</w:t>
      </w:r>
      <w:r w:rsidRPr="00BC0135">
        <w:rPr>
          <w:lang w:val="fr-FR" w:eastAsia="fr-FR"/>
        </w:rPr>
        <w:t>en l</w:t>
      </w:r>
      <w:r w:rsidR="00A977F5">
        <w:rPr>
          <w:lang w:val="fr-FR" w:eastAsia="fr-FR"/>
        </w:rPr>
        <w:t>’</w:t>
      </w:r>
      <w:r w:rsidRPr="00BC0135">
        <w:rPr>
          <w:lang w:val="fr-FR" w:eastAsia="fr-FR"/>
        </w:rPr>
        <w:t>espèce le caractère accéléré de la procédure n</w:t>
      </w:r>
      <w:r w:rsidR="00A977F5">
        <w:rPr>
          <w:lang w:val="fr-FR" w:eastAsia="fr-FR"/>
        </w:rPr>
        <w:t>’</w:t>
      </w:r>
      <w:r w:rsidRPr="00BC0135">
        <w:rPr>
          <w:lang w:val="fr-FR" w:eastAsia="fr-FR"/>
        </w:rPr>
        <w:t>a pas permis aux requérants d</w:t>
      </w:r>
      <w:r w:rsidR="00A977F5">
        <w:rPr>
          <w:lang w:val="fr-FR" w:eastAsia="fr-FR"/>
        </w:rPr>
        <w:t>’</w:t>
      </w:r>
      <w:r w:rsidRPr="00BC0135">
        <w:rPr>
          <w:lang w:val="fr-FR" w:eastAsia="fr-FR"/>
        </w:rPr>
        <w:t>apporter des précisions sur ces points, dans le cadre de leur seule possibilité de surseoir aux expulsions, la procédure quant au bien-fondé n</w:t>
      </w:r>
      <w:r w:rsidR="00A977F5">
        <w:rPr>
          <w:lang w:val="fr-FR" w:eastAsia="fr-FR"/>
        </w:rPr>
        <w:t>’</w:t>
      </w:r>
      <w:r w:rsidRPr="00BC0135">
        <w:rPr>
          <w:lang w:val="fr-FR" w:eastAsia="fr-FR"/>
        </w:rPr>
        <w:t>ayant pas en soi de caractère suspensif. Si la Cour reconnaît l</w:t>
      </w:r>
      <w:r w:rsidR="00A977F5">
        <w:rPr>
          <w:lang w:val="fr-FR" w:eastAsia="fr-FR"/>
        </w:rPr>
        <w:t>’</w:t>
      </w:r>
      <w:r w:rsidRPr="00BC0135">
        <w:rPr>
          <w:lang w:val="fr-FR" w:eastAsia="fr-FR"/>
        </w:rPr>
        <w:t>importance de la rapidité des recours, elle considère que celle-ci ne devrait pas être privilégiée aux dépens de l</w:t>
      </w:r>
      <w:r w:rsidR="00A977F5">
        <w:rPr>
          <w:lang w:val="fr-FR" w:eastAsia="fr-FR"/>
        </w:rPr>
        <w:t>’</w:t>
      </w:r>
      <w:r w:rsidRPr="00BC0135">
        <w:rPr>
          <w:lang w:val="fr-FR" w:eastAsia="fr-FR"/>
        </w:rPr>
        <w:t>effectivité de garanties procédurales essentielles visant à protéger les requérants contre un refoulement vers le Maroc (</w:t>
      </w:r>
      <w:r w:rsidRPr="00BC0135">
        <w:rPr>
          <w:i/>
          <w:lang w:val="fr-FR" w:eastAsia="fr-FR"/>
        </w:rPr>
        <w:t>I.M. c. France</w:t>
      </w:r>
      <w:r w:rsidRPr="00BC0135">
        <w:rPr>
          <w:lang w:val="fr-FR" w:eastAsia="fr-FR"/>
        </w:rPr>
        <w:t>, précité, §§ 147).</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101</w:t>
      </w:r>
      <w:r w:rsidRPr="00BC0135">
        <w:rPr>
          <w:noProof/>
          <w:lang w:val="fr-FR" w:eastAsia="fr-FR"/>
        </w:rPr>
        <w:fldChar w:fldCharType="end"/>
      </w:r>
      <w:r w:rsidRPr="00BC0135">
        <w:rPr>
          <w:lang w:val="fr-FR" w:eastAsia="fr-FR"/>
        </w:rPr>
        <w:t>.  Elle souligne que seule l</w:t>
      </w:r>
      <w:r w:rsidR="00A977F5">
        <w:rPr>
          <w:lang w:val="fr-FR" w:eastAsia="fr-FR"/>
        </w:rPr>
        <w:t>’</w:t>
      </w:r>
      <w:r w:rsidRPr="00BC0135">
        <w:rPr>
          <w:lang w:val="fr-FR" w:eastAsia="fr-FR"/>
        </w:rPr>
        <w:t>application de l</w:t>
      </w:r>
      <w:r w:rsidR="00A977F5">
        <w:rPr>
          <w:lang w:val="fr-FR" w:eastAsia="fr-FR"/>
        </w:rPr>
        <w:t>’</w:t>
      </w:r>
      <w:r w:rsidRPr="00BC0135">
        <w:rPr>
          <w:lang w:val="fr-FR" w:eastAsia="fr-FR"/>
        </w:rPr>
        <w:t>article 39 de son règlement a pu suspendre l</w:t>
      </w:r>
      <w:r w:rsidR="00A977F5">
        <w:rPr>
          <w:lang w:val="fr-FR" w:eastAsia="fr-FR"/>
        </w:rPr>
        <w:t>’</w:t>
      </w:r>
      <w:r w:rsidRPr="00BC0135">
        <w:rPr>
          <w:lang w:val="fr-FR" w:eastAsia="fr-FR"/>
        </w:rPr>
        <w:t>éloignement des requérants. En effet, à la suite du rejet de leurs demandes de mesures provisoires devant l</w:t>
      </w:r>
      <w:r w:rsidR="00A977F5">
        <w:rPr>
          <w:lang w:val="fr-FR" w:eastAsia="fr-FR"/>
        </w:rPr>
        <w:t>’</w:t>
      </w:r>
      <w:r w:rsidRPr="00BC0135">
        <w:rPr>
          <w:i/>
          <w:lang w:val="fr-FR" w:eastAsia="fr-FR"/>
        </w:rPr>
        <w:t>Audiencia Nacional</w:t>
      </w:r>
      <w:r w:rsidRPr="00BC0135">
        <w:rPr>
          <w:lang w:val="fr-FR" w:eastAsia="fr-FR"/>
        </w:rPr>
        <w:t>, rien ne pouvait plus faire obstacle à la mise à exécution de leur éloignement.</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102</w:t>
      </w:r>
      <w:r w:rsidRPr="00BC0135">
        <w:rPr>
          <w:noProof/>
          <w:lang w:val="fr-FR" w:eastAsia="fr-FR"/>
        </w:rPr>
        <w:fldChar w:fldCharType="end"/>
      </w:r>
      <w:r w:rsidRPr="00BC0135">
        <w:rPr>
          <w:lang w:val="fr-FR" w:eastAsia="fr-FR"/>
        </w:rPr>
        <w:t>.  Si l</w:t>
      </w:r>
      <w:r w:rsidR="00A977F5">
        <w:rPr>
          <w:lang w:val="fr-FR" w:eastAsia="fr-FR"/>
        </w:rPr>
        <w:t>’</w:t>
      </w:r>
      <w:r w:rsidRPr="00BC0135">
        <w:rPr>
          <w:lang w:val="fr-FR" w:eastAsia="fr-FR"/>
        </w:rPr>
        <w:t>effectivité des recours au sens de l</w:t>
      </w:r>
      <w:r w:rsidR="00A977F5">
        <w:rPr>
          <w:lang w:val="fr-FR" w:eastAsia="fr-FR"/>
        </w:rPr>
        <w:t>’</w:t>
      </w:r>
      <w:r w:rsidRPr="00BC0135">
        <w:rPr>
          <w:lang w:val="fr-FR" w:eastAsia="fr-FR"/>
        </w:rPr>
        <w:t>article 13 de la Convention ne dépend certes pas de la certitude d</w:t>
      </w:r>
      <w:r w:rsidR="00A977F5">
        <w:rPr>
          <w:lang w:val="fr-FR" w:eastAsia="fr-FR"/>
        </w:rPr>
        <w:t>’</w:t>
      </w:r>
      <w:r w:rsidRPr="00BC0135">
        <w:rPr>
          <w:lang w:val="fr-FR" w:eastAsia="fr-FR"/>
        </w:rPr>
        <w:t>une issue favorable pour le requérant, la Cour ne peut manquer d</w:t>
      </w:r>
      <w:r w:rsidR="00A977F5">
        <w:rPr>
          <w:lang w:val="fr-FR" w:eastAsia="fr-FR"/>
        </w:rPr>
        <w:t>’</w:t>
      </w:r>
      <w:r w:rsidRPr="00BC0135">
        <w:rPr>
          <w:lang w:val="fr-FR" w:eastAsia="fr-FR"/>
        </w:rPr>
        <w:t>observer que, sans son intervention, les requérants auraient été refoulés vers le Maroc sans que le bien-fondé de leurs recours ait fait l</w:t>
      </w:r>
      <w:r w:rsidR="00A977F5">
        <w:rPr>
          <w:lang w:val="fr-FR" w:eastAsia="fr-FR"/>
        </w:rPr>
        <w:t>’</w:t>
      </w:r>
      <w:r w:rsidRPr="00BC0135">
        <w:rPr>
          <w:lang w:val="fr-FR" w:eastAsia="fr-FR"/>
        </w:rPr>
        <w:t>objet d</w:t>
      </w:r>
      <w:r w:rsidR="00A977F5">
        <w:rPr>
          <w:lang w:val="fr-FR" w:eastAsia="fr-FR"/>
        </w:rPr>
        <w:t>’</w:t>
      </w:r>
      <w:r w:rsidRPr="00BC0135">
        <w:rPr>
          <w:lang w:val="fr-FR" w:eastAsia="fr-FR"/>
        </w:rPr>
        <w:t xml:space="preserve">un examen aussi rigoureux et rapide que possible (voir, </w:t>
      </w:r>
      <w:r w:rsidRPr="00BC0135">
        <w:rPr>
          <w:i/>
          <w:lang w:val="fr-FR" w:eastAsia="fr-FR"/>
        </w:rPr>
        <w:t>mutatis mutandis</w:t>
      </w:r>
      <w:r w:rsidRPr="00BC0135">
        <w:rPr>
          <w:lang w:val="fr-FR" w:eastAsia="fr-FR"/>
        </w:rPr>
        <w:t xml:space="preserve">, </w:t>
      </w:r>
      <w:r w:rsidRPr="00BC0135">
        <w:rPr>
          <w:i/>
          <w:lang w:val="fr-FR" w:eastAsia="fr-FR"/>
        </w:rPr>
        <w:t>M.S.S. c. Belgique et Grèce</w:t>
      </w:r>
      <w:r w:rsidRPr="00BC0135">
        <w:rPr>
          <w:lang w:val="fr-FR" w:eastAsia="fr-FR"/>
        </w:rPr>
        <w:t>, précité, § 388), les recours du contentieux administratif qu</w:t>
      </w:r>
      <w:r w:rsidR="00A977F5">
        <w:rPr>
          <w:lang w:val="fr-FR" w:eastAsia="fr-FR"/>
        </w:rPr>
        <w:t>’</w:t>
      </w:r>
      <w:r w:rsidRPr="00BC0135">
        <w:rPr>
          <w:lang w:val="fr-FR" w:eastAsia="fr-FR"/>
        </w:rPr>
        <w:t>ils avaient déposés n</w:t>
      </w:r>
      <w:r w:rsidR="00A977F5">
        <w:rPr>
          <w:lang w:val="fr-FR" w:eastAsia="fr-FR"/>
        </w:rPr>
        <w:t>’</w:t>
      </w:r>
      <w:r w:rsidRPr="00BC0135">
        <w:rPr>
          <w:lang w:val="fr-FR" w:eastAsia="fr-FR"/>
        </w:rPr>
        <w:t>ayant pas, en tant que tels, d</w:t>
      </w:r>
      <w:r w:rsidR="00A977F5">
        <w:rPr>
          <w:lang w:val="fr-FR" w:eastAsia="fr-FR"/>
        </w:rPr>
        <w:t>’</w:t>
      </w:r>
      <w:r w:rsidRPr="00BC0135">
        <w:rPr>
          <w:lang w:val="fr-FR" w:eastAsia="fr-FR"/>
        </w:rPr>
        <w:t>effet suspensif automatique susceptible de surseoir à l</w:t>
      </w:r>
      <w:r w:rsidR="00A977F5">
        <w:rPr>
          <w:lang w:val="fr-FR" w:eastAsia="fr-FR"/>
        </w:rPr>
        <w:t>’</w:t>
      </w:r>
      <w:r w:rsidRPr="00BC0135">
        <w:rPr>
          <w:lang w:val="fr-FR" w:eastAsia="fr-FR"/>
        </w:rPr>
        <w:t>exécution des ordres d</w:t>
      </w:r>
      <w:r w:rsidR="00A977F5">
        <w:rPr>
          <w:lang w:val="fr-FR" w:eastAsia="fr-FR"/>
        </w:rPr>
        <w:t>’</w:t>
      </w:r>
      <w:r w:rsidRPr="00BC0135">
        <w:rPr>
          <w:lang w:val="fr-FR" w:eastAsia="fr-FR"/>
        </w:rPr>
        <w:t>expulsion prononcés à leur encontre.</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103</w:t>
      </w:r>
      <w:r w:rsidRPr="00BC0135">
        <w:rPr>
          <w:noProof/>
          <w:lang w:val="fr-FR" w:eastAsia="fr-FR"/>
        </w:rPr>
        <w:fldChar w:fldCharType="end"/>
      </w:r>
      <w:r w:rsidRPr="00BC0135">
        <w:rPr>
          <w:lang w:val="fr-FR" w:eastAsia="fr-FR"/>
        </w:rPr>
        <w:t>.  En outre, la Cour constate que les requérants sont arrivés en Espagne entre janvier 2011 et aout 2012 et que, depuis, ils ont été dans une situation provisoire d</w:t>
      </w:r>
      <w:r w:rsidR="00A977F5">
        <w:rPr>
          <w:lang w:val="fr-FR" w:eastAsia="fr-FR"/>
        </w:rPr>
        <w:t>’</w:t>
      </w:r>
      <w:r w:rsidRPr="00BC0135">
        <w:rPr>
          <w:lang w:val="fr-FR" w:eastAsia="fr-FR"/>
        </w:rPr>
        <w:t>incertitude juridique et de précarité matérielle dans l</w:t>
      </w:r>
      <w:r w:rsidR="00A977F5">
        <w:rPr>
          <w:lang w:val="fr-FR" w:eastAsia="fr-FR"/>
        </w:rPr>
        <w:t>’</w:t>
      </w:r>
      <w:r w:rsidRPr="00BC0135">
        <w:rPr>
          <w:lang w:val="fr-FR" w:eastAsia="fr-FR"/>
        </w:rPr>
        <w:t>attente des décisions définitives sur leurs recours. Nul doute qu</w:t>
      </w:r>
      <w:r w:rsidR="00A977F5">
        <w:rPr>
          <w:lang w:val="fr-FR" w:eastAsia="fr-FR"/>
        </w:rPr>
        <w:t>’</w:t>
      </w:r>
      <w:r w:rsidRPr="00BC0135">
        <w:rPr>
          <w:lang w:val="fr-FR" w:eastAsia="fr-FR"/>
        </w:rPr>
        <w:t>une exigence de célérité et de diligence raisonnables est implicite dans ce contexte et qu</w:t>
      </w:r>
      <w:r w:rsidR="00A977F5">
        <w:rPr>
          <w:lang w:val="fr-FR" w:eastAsia="fr-FR"/>
        </w:rPr>
        <w:t>’</w:t>
      </w:r>
      <w:r w:rsidRPr="00BC0135">
        <w:rPr>
          <w:lang w:val="fr-FR" w:eastAsia="fr-FR"/>
        </w:rPr>
        <w:t>il n</w:t>
      </w:r>
      <w:r w:rsidR="00A977F5">
        <w:rPr>
          <w:lang w:val="fr-FR" w:eastAsia="fr-FR"/>
        </w:rPr>
        <w:t>’</w:t>
      </w:r>
      <w:r w:rsidRPr="00BC0135">
        <w:rPr>
          <w:lang w:val="fr-FR" w:eastAsia="fr-FR"/>
        </w:rPr>
        <w:t>est pas exclu que la durée excessive d</w:t>
      </w:r>
      <w:r w:rsidR="00A977F5">
        <w:rPr>
          <w:lang w:val="fr-FR" w:eastAsia="fr-FR"/>
        </w:rPr>
        <w:t>’</w:t>
      </w:r>
      <w:r w:rsidRPr="00BC0135">
        <w:rPr>
          <w:lang w:val="fr-FR" w:eastAsia="fr-FR"/>
        </w:rPr>
        <w:t>une procédure puisse la rendre inadéquate. La Cour estime que dès lors qu</w:t>
      </w:r>
      <w:r w:rsidR="00A977F5">
        <w:rPr>
          <w:lang w:val="fr-FR" w:eastAsia="fr-FR"/>
        </w:rPr>
        <w:t>’</w:t>
      </w:r>
      <w:r w:rsidRPr="00BC0135">
        <w:rPr>
          <w:lang w:val="fr-FR" w:eastAsia="fr-FR"/>
        </w:rPr>
        <w:t>un recours n</w:t>
      </w:r>
      <w:r w:rsidR="00A977F5">
        <w:rPr>
          <w:lang w:val="fr-FR" w:eastAsia="fr-FR"/>
        </w:rPr>
        <w:t>’</w:t>
      </w:r>
      <w:r w:rsidRPr="00BC0135">
        <w:rPr>
          <w:lang w:val="fr-FR" w:eastAsia="fr-FR"/>
        </w:rPr>
        <w:t xml:space="preserve">a </w:t>
      </w:r>
      <w:r w:rsidRPr="00BC0135">
        <w:rPr>
          <w:lang w:val="fr-FR" w:eastAsia="fr-FR"/>
        </w:rPr>
        <w:lastRenderedPageBreak/>
        <w:t>pas d</w:t>
      </w:r>
      <w:r w:rsidR="00A977F5">
        <w:rPr>
          <w:lang w:val="fr-FR" w:eastAsia="fr-FR"/>
        </w:rPr>
        <w:t>’</w:t>
      </w:r>
      <w:r w:rsidRPr="00BC0135">
        <w:rPr>
          <w:lang w:val="fr-FR" w:eastAsia="fr-FR"/>
        </w:rPr>
        <w:t>effet suspensif ou que la demande de suspension est rejetée, il est essentiel que dans les affaires d</w:t>
      </w:r>
      <w:r w:rsidR="00A977F5">
        <w:rPr>
          <w:lang w:val="fr-FR" w:eastAsia="fr-FR"/>
        </w:rPr>
        <w:t>’</w:t>
      </w:r>
      <w:r w:rsidRPr="00BC0135">
        <w:rPr>
          <w:lang w:val="fr-FR" w:eastAsia="fr-FR"/>
        </w:rPr>
        <w:t>expulsion où sont en cause les articles 2 et 3 de la Convention et lorsque la Cour a fait application de l</w:t>
      </w:r>
      <w:r w:rsidR="00A977F5">
        <w:rPr>
          <w:lang w:val="fr-FR" w:eastAsia="fr-FR"/>
        </w:rPr>
        <w:t>’</w:t>
      </w:r>
      <w:r w:rsidRPr="00BC0135">
        <w:rPr>
          <w:lang w:val="fr-FR" w:eastAsia="fr-FR"/>
        </w:rPr>
        <w:t>article 39 de son règlement, les juridictions fassent preuve d</w:t>
      </w:r>
      <w:r w:rsidR="00A977F5">
        <w:rPr>
          <w:lang w:val="fr-FR" w:eastAsia="fr-FR"/>
        </w:rPr>
        <w:t>’</w:t>
      </w:r>
      <w:r w:rsidRPr="00BC0135">
        <w:rPr>
          <w:lang w:val="fr-FR" w:eastAsia="fr-FR"/>
        </w:rPr>
        <w:t>une diligence de célérité particulière et statuent sur le fond dans des délais rapides. Si tel n</w:t>
      </w:r>
      <w:r w:rsidR="00A977F5">
        <w:rPr>
          <w:lang w:val="fr-FR" w:eastAsia="fr-FR"/>
        </w:rPr>
        <w:t>’</w:t>
      </w:r>
      <w:r w:rsidRPr="00BC0135">
        <w:rPr>
          <w:lang w:val="fr-FR" w:eastAsia="fr-FR"/>
        </w:rPr>
        <w:t>était pas le cas, les recours perdraient leur efficacité.</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104</w:t>
      </w:r>
      <w:r w:rsidRPr="00BC0135">
        <w:rPr>
          <w:noProof/>
          <w:lang w:val="fr-FR" w:eastAsia="fr-FR"/>
        </w:rPr>
        <w:fldChar w:fldCharType="end"/>
      </w:r>
      <w:r w:rsidRPr="00BC0135">
        <w:rPr>
          <w:lang w:val="fr-FR" w:eastAsia="fr-FR"/>
        </w:rPr>
        <w:t>.  La Cour est consciente de la nécessité pour les États confrontés à un grand nombre de demandeurs d</w:t>
      </w:r>
      <w:r w:rsidR="00A977F5">
        <w:rPr>
          <w:lang w:val="fr-FR" w:eastAsia="fr-FR"/>
        </w:rPr>
        <w:t>’</w:t>
      </w:r>
      <w:r w:rsidRPr="00BC0135">
        <w:rPr>
          <w:lang w:val="fr-FR" w:eastAsia="fr-FR"/>
        </w:rPr>
        <w:t>asile de disposer des moyens nécessaires pour faire face à un tel contentieux, ainsi que des risques d</w:t>
      </w:r>
      <w:r w:rsidR="00A977F5">
        <w:rPr>
          <w:lang w:val="fr-FR" w:eastAsia="fr-FR"/>
        </w:rPr>
        <w:t>’</w:t>
      </w:r>
      <w:r w:rsidRPr="00BC0135">
        <w:rPr>
          <w:lang w:val="fr-FR" w:eastAsia="fr-FR"/>
        </w:rPr>
        <w:t>engorgement du système. Toutefois, tout comme l</w:t>
      </w:r>
      <w:r w:rsidR="00A977F5">
        <w:rPr>
          <w:lang w:val="fr-FR" w:eastAsia="fr-FR"/>
        </w:rPr>
        <w:t>’</w:t>
      </w:r>
      <w:r w:rsidRPr="00BC0135">
        <w:rPr>
          <w:lang w:val="fr-FR" w:eastAsia="fr-FR"/>
        </w:rPr>
        <w:t>article 6 de la Convention, l</w:t>
      </w:r>
      <w:r w:rsidR="00A977F5">
        <w:rPr>
          <w:lang w:val="fr-FR" w:eastAsia="fr-FR"/>
        </w:rPr>
        <w:t>’</w:t>
      </w:r>
      <w:r w:rsidRPr="00BC0135">
        <w:rPr>
          <w:lang w:val="fr-FR" w:eastAsia="fr-FR"/>
        </w:rPr>
        <w:t xml:space="preserve">article 13 astreint les États contractants à organiser leurs juridictions de manière à leur permettre de répondre aux exigences de cette disposition (voir, </w:t>
      </w:r>
      <w:r w:rsidRPr="00BC0135">
        <w:rPr>
          <w:i/>
          <w:lang w:val="fr-FR" w:eastAsia="fr-FR"/>
        </w:rPr>
        <w:t>mutatis mutandis</w:t>
      </w:r>
      <w:r w:rsidRPr="00BC0135">
        <w:rPr>
          <w:lang w:val="fr-FR" w:eastAsia="fr-FR"/>
        </w:rPr>
        <w:t xml:space="preserve">, </w:t>
      </w:r>
      <w:r w:rsidRPr="00BC0135">
        <w:rPr>
          <w:i/>
          <w:lang w:val="fr-FR" w:eastAsia="fr-FR"/>
        </w:rPr>
        <w:t>Süßmann c. Allemagne</w:t>
      </w:r>
      <w:r w:rsidRPr="00BC0135">
        <w:rPr>
          <w:lang w:val="fr-FR" w:eastAsia="fr-FR"/>
        </w:rPr>
        <w:t xml:space="preserve">, 16 septembre 1996, </w:t>
      </w:r>
      <w:r w:rsidRPr="00BC0135">
        <w:rPr>
          <w:i/>
          <w:lang w:val="fr-FR" w:eastAsia="fr-FR"/>
        </w:rPr>
        <w:t>Recueil des arrêts et décisions</w:t>
      </w:r>
      <w:r w:rsidRPr="00BC0135">
        <w:rPr>
          <w:lang w:val="fr-FR" w:eastAsia="fr-FR"/>
        </w:rPr>
        <w:t xml:space="preserve"> 1996-IV, § 55).</w:t>
      </w:r>
    </w:p>
    <w:p w:rsidR="00BC0135" w:rsidRP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105</w:t>
      </w:r>
      <w:r w:rsidRPr="00BC0135">
        <w:rPr>
          <w:noProof/>
          <w:lang w:val="fr-FR" w:eastAsia="fr-FR"/>
        </w:rPr>
        <w:fldChar w:fldCharType="end"/>
      </w:r>
      <w:r w:rsidRPr="00BC0135">
        <w:rPr>
          <w:lang w:val="fr-FR" w:eastAsia="fr-FR"/>
        </w:rPr>
        <w:t>.  En conclusion, les requérants ne disposaient pas d</w:t>
      </w:r>
      <w:r w:rsidR="00A977F5">
        <w:rPr>
          <w:lang w:val="fr-FR" w:eastAsia="fr-FR"/>
        </w:rPr>
        <w:t>’</w:t>
      </w:r>
      <w:r w:rsidRPr="00BC0135">
        <w:rPr>
          <w:lang w:val="fr-FR" w:eastAsia="fr-FR"/>
        </w:rPr>
        <w:t>un recours remplissant les conditions de l</w:t>
      </w:r>
      <w:r w:rsidR="00A977F5">
        <w:rPr>
          <w:lang w:val="fr-FR" w:eastAsia="fr-FR"/>
        </w:rPr>
        <w:t>’</w:t>
      </w:r>
      <w:r w:rsidRPr="00BC0135">
        <w:rPr>
          <w:lang w:val="fr-FR" w:eastAsia="fr-FR"/>
        </w:rPr>
        <w:t>article 13 pour faire valoir leurs griefs tirés des articles 2 et 3 de la Convention. Dès lors, il y a eu violation de l</w:t>
      </w:r>
      <w:r w:rsidR="00A977F5">
        <w:rPr>
          <w:lang w:val="fr-FR" w:eastAsia="fr-FR"/>
        </w:rPr>
        <w:t>’</w:t>
      </w:r>
      <w:r w:rsidRPr="00BC0135">
        <w:rPr>
          <w:lang w:val="fr-FR" w:eastAsia="fr-FR"/>
        </w:rPr>
        <w:t>article 13 de la Convention combiné avec les articles 2 et 3.</w:t>
      </w:r>
    </w:p>
    <w:p w:rsidR="00BC0135" w:rsidRPr="00BC0135" w:rsidRDefault="00BC0135" w:rsidP="00BC0135">
      <w:pPr>
        <w:keepNext/>
        <w:keepLines/>
        <w:tabs>
          <w:tab w:val="left" w:pos="357"/>
        </w:tabs>
        <w:spacing w:before="360" w:after="240"/>
        <w:ind w:left="357" w:hanging="357"/>
        <w:outlineLvl w:val="0"/>
        <w:rPr>
          <w:rFonts w:asciiTheme="majorHAnsi" w:eastAsiaTheme="majorEastAsia" w:hAnsiTheme="majorHAnsi" w:cstheme="majorBidi"/>
          <w:bCs/>
          <w:szCs w:val="28"/>
          <w:lang w:val="fr-FR" w:eastAsia="fr-FR"/>
        </w:rPr>
      </w:pPr>
      <w:r w:rsidRPr="00BC0135">
        <w:rPr>
          <w:rFonts w:asciiTheme="majorHAnsi" w:eastAsiaTheme="majorEastAsia" w:hAnsiTheme="majorHAnsi" w:cstheme="majorBidi"/>
          <w:bCs/>
          <w:szCs w:val="28"/>
          <w:lang w:val="fr-FR" w:eastAsia="fr-FR"/>
        </w:rPr>
        <w:t>III. </w:t>
      </w:r>
      <w:r w:rsidR="00876E01">
        <w:rPr>
          <w:rFonts w:asciiTheme="majorHAnsi" w:eastAsiaTheme="majorEastAsia" w:hAnsiTheme="majorHAnsi" w:cstheme="majorBidi"/>
          <w:bCs/>
          <w:szCs w:val="28"/>
          <w:lang w:val="fr-FR" w:eastAsia="fr-FR"/>
        </w:rPr>
        <w:t> </w:t>
      </w:r>
      <w:r w:rsidRPr="00BC0135">
        <w:rPr>
          <w:rFonts w:asciiTheme="majorHAnsi" w:eastAsiaTheme="majorEastAsia" w:hAnsiTheme="majorHAnsi" w:cstheme="majorBidi"/>
          <w:bCs/>
          <w:szCs w:val="28"/>
          <w:lang w:val="fr-FR" w:eastAsia="fr-FR"/>
        </w:rPr>
        <w:t>SUR LA VIOLATION ALLÉGUÉE DES ARTICLES 2, 3 ET 5 DE LA</w:t>
      </w:r>
      <w:r w:rsidR="00876E01">
        <w:rPr>
          <w:rFonts w:asciiTheme="majorHAnsi" w:eastAsiaTheme="majorEastAsia" w:hAnsiTheme="majorHAnsi" w:cstheme="majorBidi"/>
          <w:bCs/>
          <w:szCs w:val="28"/>
          <w:lang w:val="fr-FR" w:eastAsia="fr-FR"/>
        </w:rPr>
        <w:t xml:space="preserve"> </w:t>
      </w:r>
      <w:r w:rsidRPr="00BC0135">
        <w:rPr>
          <w:rFonts w:asciiTheme="majorHAnsi" w:eastAsiaTheme="majorEastAsia" w:hAnsiTheme="majorHAnsi" w:cstheme="majorBidi"/>
          <w:bCs/>
          <w:szCs w:val="28"/>
          <w:lang w:val="fr-FR" w:eastAsia="fr-FR"/>
        </w:rPr>
        <w:t>CONVENTION</w:t>
      </w:r>
    </w:p>
    <w:p w:rsidR="00BC0135" w:rsidRPr="00BC0135" w:rsidRDefault="00BC0135" w:rsidP="00BC0135">
      <w:pPr>
        <w:ind w:firstLine="284"/>
        <w:rPr>
          <w:bCs/>
          <w:lang w:val="fr-FR" w:eastAsia="fr-FR"/>
        </w:rPr>
      </w:pPr>
      <w:r w:rsidRPr="00BC0135">
        <w:rPr>
          <w:bCs/>
          <w:lang w:val="fr-FR" w:eastAsia="fr-FR"/>
        </w:rPr>
        <w:fldChar w:fldCharType="begin"/>
      </w:r>
      <w:r w:rsidRPr="00BC0135">
        <w:rPr>
          <w:bCs/>
          <w:lang w:val="fr-FR" w:eastAsia="fr-FR"/>
        </w:rPr>
        <w:instrText xml:space="preserve"> SEQ level0 \*arabic </w:instrText>
      </w:r>
      <w:r w:rsidRPr="00BC0135">
        <w:rPr>
          <w:bCs/>
          <w:lang w:val="fr-FR" w:eastAsia="fr-FR"/>
        </w:rPr>
        <w:fldChar w:fldCharType="separate"/>
      </w:r>
      <w:r w:rsidR="000A2932">
        <w:rPr>
          <w:bCs/>
          <w:noProof/>
          <w:lang w:val="fr-FR" w:eastAsia="fr-FR"/>
        </w:rPr>
        <w:t>106</w:t>
      </w:r>
      <w:r w:rsidRPr="00BC0135">
        <w:rPr>
          <w:bCs/>
          <w:lang w:val="fr-FR" w:eastAsia="fr-FR"/>
        </w:rPr>
        <w:fldChar w:fldCharType="end"/>
      </w:r>
      <w:r w:rsidRPr="00BC0135">
        <w:rPr>
          <w:bCs/>
          <w:lang w:val="fr-FR" w:eastAsia="fr-FR"/>
        </w:rPr>
        <w:t>.  Les requérants allèguent que leur éloignement vers le Maroc les exposerait à des risques pour leur vie et/ou à des traitements inhumains et dégradants. Ils invoquent les articles 2, 3 et 5 de la Convention.</w:t>
      </w:r>
    </w:p>
    <w:p w:rsidR="00BC0135" w:rsidRDefault="00BC0135" w:rsidP="00BC0135">
      <w:pPr>
        <w:ind w:firstLine="284"/>
        <w:rPr>
          <w:lang w:val="fr-FR" w:eastAsia="fr-FR"/>
        </w:rPr>
      </w:pPr>
      <w:r w:rsidRPr="00BC0135">
        <w:rPr>
          <w:bCs/>
          <w:lang w:val="fr-FR" w:eastAsia="fr-FR"/>
        </w:rPr>
        <w:fldChar w:fldCharType="begin"/>
      </w:r>
      <w:r w:rsidRPr="00BC0135">
        <w:rPr>
          <w:bCs/>
          <w:lang w:val="fr-FR" w:eastAsia="fr-FR"/>
        </w:rPr>
        <w:instrText xml:space="preserve"> SEQ level0 \*arabic </w:instrText>
      </w:r>
      <w:r w:rsidRPr="00BC0135">
        <w:rPr>
          <w:bCs/>
          <w:lang w:val="fr-FR" w:eastAsia="fr-FR"/>
        </w:rPr>
        <w:fldChar w:fldCharType="separate"/>
      </w:r>
      <w:r w:rsidR="000A2932">
        <w:rPr>
          <w:bCs/>
          <w:noProof/>
          <w:lang w:val="fr-FR" w:eastAsia="fr-FR"/>
        </w:rPr>
        <w:t>107</w:t>
      </w:r>
      <w:r w:rsidRPr="00BC0135">
        <w:rPr>
          <w:bCs/>
          <w:lang w:val="fr-FR" w:eastAsia="fr-FR"/>
        </w:rPr>
        <w:fldChar w:fldCharType="end"/>
      </w:r>
      <w:r w:rsidRPr="00BC0135">
        <w:rPr>
          <w:bCs/>
          <w:lang w:val="fr-FR" w:eastAsia="fr-FR"/>
        </w:rPr>
        <w:t>.  </w:t>
      </w:r>
      <w:r w:rsidRPr="00BC0135">
        <w:rPr>
          <w:lang w:val="fr-FR" w:eastAsia="fr-FR"/>
        </w:rPr>
        <w:t>La Cour observe que les voies de recours internes n</w:t>
      </w:r>
      <w:r w:rsidR="00A977F5">
        <w:rPr>
          <w:lang w:val="fr-FR" w:eastAsia="fr-FR"/>
        </w:rPr>
        <w:t>’</w:t>
      </w:r>
      <w:r w:rsidRPr="00BC0135">
        <w:rPr>
          <w:lang w:val="fr-FR" w:eastAsia="fr-FR"/>
        </w:rPr>
        <w:t>ont pas été épuisées, comme l</w:t>
      </w:r>
      <w:r w:rsidR="00A977F5">
        <w:rPr>
          <w:lang w:val="fr-FR" w:eastAsia="fr-FR"/>
        </w:rPr>
        <w:t>’</w:t>
      </w:r>
      <w:r w:rsidRPr="00BC0135">
        <w:rPr>
          <w:lang w:val="fr-FR" w:eastAsia="fr-FR"/>
        </w:rPr>
        <w:t>exige l</w:t>
      </w:r>
      <w:r w:rsidR="00A977F5">
        <w:rPr>
          <w:lang w:val="fr-FR" w:eastAsia="fr-FR"/>
        </w:rPr>
        <w:t>’</w:t>
      </w:r>
      <w:r w:rsidRPr="00BC0135">
        <w:rPr>
          <w:lang w:val="fr-FR" w:eastAsia="fr-FR"/>
        </w:rPr>
        <w:t>article 35 § 1 de la Convention, les procédures au principal donnant lieu aux questions soulevées au regard de ces dispositions de la Convention étant toujours pendantes devant les juridictions nationales d</w:t>
      </w:r>
      <w:r w:rsidR="00A977F5">
        <w:rPr>
          <w:lang w:val="fr-FR" w:eastAsia="fr-FR"/>
        </w:rPr>
        <w:t>’</w:t>
      </w:r>
      <w:r w:rsidRPr="00BC0135">
        <w:rPr>
          <w:lang w:val="fr-FR" w:eastAsia="fr-FR"/>
        </w:rPr>
        <w:t>après les informations données à la Cour par les parties. Or le principe de subsidiarité s</w:t>
      </w:r>
      <w:r w:rsidR="00A977F5">
        <w:rPr>
          <w:lang w:val="fr-FR" w:eastAsia="fr-FR"/>
        </w:rPr>
        <w:t>’</w:t>
      </w:r>
      <w:r w:rsidRPr="00BC0135">
        <w:rPr>
          <w:lang w:val="fr-FR" w:eastAsia="fr-FR"/>
        </w:rPr>
        <w:t>oppose à ce que la Cour examine la violation alléguée de droits au sujet desquels les juridictions internes n</w:t>
      </w:r>
      <w:r w:rsidR="00A977F5">
        <w:rPr>
          <w:lang w:val="fr-FR" w:eastAsia="fr-FR"/>
        </w:rPr>
        <w:t>’</w:t>
      </w:r>
      <w:r w:rsidRPr="00BC0135">
        <w:rPr>
          <w:lang w:val="fr-FR" w:eastAsia="fr-FR"/>
        </w:rPr>
        <w:t>ont pas encore eu l</w:t>
      </w:r>
      <w:r w:rsidR="00A977F5">
        <w:rPr>
          <w:lang w:val="fr-FR" w:eastAsia="fr-FR"/>
        </w:rPr>
        <w:t>’</w:t>
      </w:r>
      <w:r w:rsidRPr="00BC0135">
        <w:rPr>
          <w:lang w:val="fr-FR" w:eastAsia="fr-FR"/>
        </w:rPr>
        <w:t>occasion de se prononcer définitivement.</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108</w:t>
      </w:r>
      <w:r w:rsidRPr="00BC0135">
        <w:rPr>
          <w:noProof/>
          <w:lang w:val="fr-FR" w:eastAsia="fr-FR"/>
        </w:rPr>
        <w:fldChar w:fldCharType="end"/>
      </w:r>
      <w:r w:rsidRPr="00BC0135">
        <w:rPr>
          <w:lang w:val="fr-FR" w:eastAsia="fr-FR"/>
        </w:rPr>
        <w:t>.  Il s</w:t>
      </w:r>
      <w:r w:rsidR="00A977F5">
        <w:rPr>
          <w:lang w:val="fr-FR" w:eastAsia="fr-FR"/>
        </w:rPr>
        <w:t>’</w:t>
      </w:r>
      <w:r w:rsidRPr="00BC0135">
        <w:rPr>
          <w:lang w:val="fr-FR" w:eastAsia="fr-FR"/>
        </w:rPr>
        <w:t>ensuit que cette partie de</w:t>
      </w:r>
      <w:r w:rsidR="00BC5E3A">
        <w:rPr>
          <w:lang w:val="fr-FR" w:eastAsia="fr-FR"/>
        </w:rPr>
        <w:t>s</w:t>
      </w:r>
      <w:r w:rsidRPr="00BC0135">
        <w:rPr>
          <w:lang w:val="fr-FR" w:eastAsia="fr-FR"/>
        </w:rPr>
        <w:t xml:space="preserve"> requête</w:t>
      </w:r>
      <w:r w:rsidR="00BC5E3A">
        <w:rPr>
          <w:lang w:val="fr-FR" w:eastAsia="fr-FR"/>
        </w:rPr>
        <w:t>s</w:t>
      </w:r>
      <w:r w:rsidRPr="00BC0135">
        <w:rPr>
          <w:lang w:val="fr-FR" w:eastAsia="fr-FR"/>
        </w:rPr>
        <w:t xml:space="preserve"> e</w:t>
      </w:r>
      <w:r w:rsidR="00F1327B">
        <w:rPr>
          <w:lang w:val="fr-FR" w:eastAsia="fr-FR"/>
        </w:rPr>
        <w:t>s</w:t>
      </w:r>
      <w:r w:rsidRPr="00BC0135">
        <w:rPr>
          <w:lang w:val="fr-FR" w:eastAsia="fr-FR"/>
        </w:rPr>
        <w:t>t prématurée et doit être rejetée conformément à l</w:t>
      </w:r>
      <w:r w:rsidR="00A977F5">
        <w:rPr>
          <w:lang w:val="fr-FR" w:eastAsia="fr-FR"/>
        </w:rPr>
        <w:t>’</w:t>
      </w:r>
      <w:r w:rsidRPr="00BC0135">
        <w:rPr>
          <w:lang w:val="fr-FR" w:eastAsia="fr-FR"/>
        </w:rPr>
        <w:t>article 35 §§ 1 et 4 de la Convention.</w:t>
      </w:r>
    </w:p>
    <w:p w:rsidR="00BC0135" w:rsidRPr="00BC0135" w:rsidRDefault="00BC0135" w:rsidP="00BC0135">
      <w:pPr>
        <w:keepNext/>
        <w:keepLines/>
        <w:tabs>
          <w:tab w:val="left" w:pos="357"/>
        </w:tabs>
        <w:spacing w:before="360" w:after="240"/>
        <w:ind w:left="357" w:hanging="357"/>
        <w:outlineLvl w:val="0"/>
        <w:rPr>
          <w:rFonts w:asciiTheme="majorHAnsi" w:eastAsiaTheme="majorEastAsia" w:hAnsiTheme="majorHAnsi" w:cstheme="majorBidi"/>
          <w:bCs/>
          <w:szCs w:val="28"/>
          <w:lang w:val="fr-FR" w:eastAsia="fr-FR"/>
        </w:rPr>
      </w:pPr>
      <w:r w:rsidRPr="00BC0135">
        <w:rPr>
          <w:rFonts w:asciiTheme="majorHAnsi" w:eastAsiaTheme="majorEastAsia" w:hAnsiTheme="majorHAnsi" w:cstheme="majorBidi"/>
          <w:bCs/>
          <w:szCs w:val="28"/>
          <w:lang w:val="fr-FR" w:eastAsia="fr-FR"/>
        </w:rPr>
        <w:t>IV.</w:t>
      </w:r>
      <w:r w:rsidR="00876E01">
        <w:rPr>
          <w:rFonts w:asciiTheme="majorHAnsi" w:eastAsiaTheme="majorEastAsia" w:hAnsiTheme="majorHAnsi" w:cstheme="majorBidi"/>
          <w:bCs/>
          <w:szCs w:val="28"/>
          <w:lang w:val="fr-FR" w:eastAsia="fr-FR"/>
        </w:rPr>
        <w:t>  </w:t>
      </w:r>
      <w:r w:rsidRPr="00BC0135">
        <w:rPr>
          <w:rFonts w:asciiTheme="majorHAnsi" w:eastAsiaTheme="majorEastAsia" w:hAnsiTheme="majorHAnsi" w:cstheme="majorBidi"/>
          <w:bCs/>
          <w:szCs w:val="28"/>
          <w:lang w:val="fr-FR" w:eastAsia="fr-FR"/>
        </w:rPr>
        <w:t>SUR L</w:t>
      </w:r>
      <w:r w:rsidR="00A977F5">
        <w:rPr>
          <w:rFonts w:asciiTheme="majorHAnsi" w:eastAsiaTheme="majorEastAsia" w:hAnsiTheme="majorHAnsi" w:cstheme="majorBidi"/>
          <w:bCs/>
          <w:szCs w:val="28"/>
          <w:lang w:val="fr-FR" w:eastAsia="fr-FR"/>
        </w:rPr>
        <w:t>’</w:t>
      </w:r>
      <w:r w:rsidRPr="00BC0135">
        <w:rPr>
          <w:rFonts w:asciiTheme="majorHAnsi" w:eastAsiaTheme="majorEastAsia" w:hAnsiTheme="majorHAnsi" w:cstheme="majorBidi"/>
          <w:bCs/>
          <w:szCs w:val="28"/>
          <w:lang w:val="fr-FR" w:eastAsia="fr-FR"/>
        </w:rPr>
        <w:t>APPLICATION DE L</w:t>
      </w:r>
      <w:r w:rsidR="00A977F5">
        <w:rPr>
          <w:rFonts w:asciiTheme="majorHAnsi" w:eastAsiaTheme="majorEastAsia" w:hAnsiTheme="majorHAnsi" w:cstheme="majorBidi"/>
          <w:bCs/>
          <w:szCs w:val="28"/>
          <w:lang w:val="fr-FR" w:eastAsia="fr-FR"/>
        </w:rPr>
        <w:t>’</w:t>
      </w:r>
      <w:r w:rsidRPr="00BC0135">
        <w:rPr>
          <w:rFonts w:asciiTheme="majorHAnsi" w:eastAsiaTheme="majorEastAsia" w:hAnsiTheme="majorHAnsi" w:cstheme="majorBidi"/>
          <w:bCs/>
          <w:szCs w:val="28"/>
          <w:lang w:val="fr-FR" w:eastAsia="fr-FR"/>
        </w:rPr>
        <w:t>ARTICLE 39 DU RÈGLEMENT DE</w:t>
      </w:r>
      <w:r w:rsidR="00876E01">
        <w:rPr>
          <w:rFonts w:asciiTheme="majorHAnsi" w:eastAsiaTheme="majorEastAsia" w:hAnsiTheme="majorHAnsi" w:cstheme="majorBidi"/>
          <w:bCs/>
          <w:szCs w:val="28"/>
          <w:lang w:val="fr-FR" w:eastAsia="fr-FR"/>
        </w:rPr>
        <w:t xml:space="preserve"> </w:t>
      </w:r>
      <w:r w:rsidRPr="00BC0135">
        <w:rPr>
          <w:rFonts w:asciiTheme="majorHAnsi" w:eastAsiaTheme="majorEastAsia" w:hAnsiTheme="majorHAnsi" w:cstheme="majorBidi"/>
          <w:bCs/>
          <w:szCs w:val="28"/>
          <w:lang w:val="fr-FR" w:eastAsia="fr-FR"/>
        </w:rPr>
        <w:t>LA</w:t>
      </w:r>
      <w:r w:rsidR="00876E01">
        <w:rPr>
          <w:rFonts w:asciiTheme="majorHAnsi" w:eastAsiaTheme="majorEastAsia" w:hAnsiTheme="majorHAnsi" w:cstheme="majorBidi"/>
          <w:bCs/>
          <w:szCs w:val="28"/>
          <w:lang w:val="fr-FR" w:eastAsia="fr-FR"/>
        </w:rPr>
        <w:t> </w:t>
      </w:r>
      <w:r w:rsidRPr="00BC0135">
        <w:rPr>
          <w:rFonts w:asciiTheme="majorHAnsi" w:eastAsiaTheme="majorEastAsia" w:hAnsiTheme="majorHAnsi" w:cstheme="majorBidi"/>
          <w:bCs/>
          <w:szCs w:val="28"/>
          <w:lang w:val="fr-FR" w:eastAsia="fr-FR"/>
        </w:rPr>
        <w:t>COUR</w:t>
      </w:r>
    </w:p>
    <w:p w:rsidR="00BC0135" w:rsidRPr="00BC0135" w:rsidRDefault="00BC0135" w:rsidP="00BC0135">
      <w:pPr>
        <w:ind w:firstLine="284"/>
        <w:rPr>
          <w:noProof/>
          <w:lang w:val="fr-FR" w:eastAsia="fr-FR"/>
        </w:rPr>
      </w:pPr>
      <w:r w:rsidRPr="00BC0135">
        <w:rPr>
          <w:noProof/>
          <w:lang w:val="fr-FR" w:eastAsia="fr-FR"/>
        </w:rPr>
        <w:fldChar w:fldCharType="begin"/>
      </w:r>
      <w:r w:rsidRPr="00BC0135">
        <w:rPr>
          <w:noProof/>
          <w:lang w:val="fr-FR" w:eastAsia="fr-FR"/>
        </w:rPr>
        <w:instrText xml:space="preserve"> SEQ level0 \*arabic </w:instrText>
      </w:r>
      <w:r w:rsidRPr="00BC0135">
        <w:rPr>
          <w:noProof/>
          <w:lang w:val="fr-FR" w:eastAsia="fr-FR"/>
        </w:rPr>
        <w:fldChar w:fldCharType="separate"/>
      </w:r>
      <w:r w:rsidR="000A2932">
        <w:rPr>
          <w:noProof/>
          <w:lang w:val="fr-FR" w:eastAsia="fr-FR"/>
        </w:rPr>
        <w:t>109</w:t>
      </w:r>
      <w:r w:rsidRPr="00BC0135">
        <w:rPr>
          <w:noProof/>
          <w:lang w:val="fr-FR" w:eastAsia="fr-FR"/>
        </w:rPr>
        <w:fldChar w:fldCharType="end"/>
      </w:r>
      <w:r w:rsidRPr="00BC0135">
        <w:rPr>
          <w:noProof/>
          <w:lang w:val="fr-FR" w:eastAsia="fr-FR"/>
        </w:rPr>
        <w:t>.  La Cour rappelle que, en vertu de l</w:t>
      </w:r>
      <w:r w:rsidR="00A977F5">
        <w:rPr>
          <w:noProof/>
          <w:lang w:val="fr-FR" w:eastAsia="fr-FR"/>
        </w:rPr>
        <w:t>’</w:t>
      </w:r>
      <w:r w:rsidRPr="00BC0135">
        <w:rPr>
          <w:noProof/>
          <w:lang w:val="fr-FR" w:eastAsia="fr-FR"/>
        </w:rPr>
        <w:t>article 44 § 2 de la Convention, un arrêt devient définitif : a) lorsque les parties déclarent qu</w:t>
      </w:r>
      <w:r w:rsidR="00A977F5">
        <w:rPr>
          <w:noProof/>
          <w:lang w:val="fr-FR" w:eastAsia="fr-FR"/>
        </w:rPr>
        <w:t>’</w:t>
      </w:r>
      <w:r w:rsidRPr="00BC0135">
        <w:rPr>
          <w:noProof/>
          <w:lang w:val="fr-FR" w:eastAsia="fr-FR"/>
        </w:rPr>
        <w:t>elles ne demanderont pas le renvoi de l</w:t>
      </w:r>
      <w:r w:rsidR="00A977F5">
        <w:rPr>
          <w:noProof/>
          <w:lang w:val="fr-FR" w:eastAsia="fr-FR"/>
        </w:rPr>
        <w:t>’</w:t>
      </w:r>
      <w:r w:rsidRPr="00BC0135">
        <w:rPr>
          <w:noProof/>
          <w:lang w:val="fr-FR" w:eastAsia="fr-FR"/>
        </w:rPr>
        <w:t>affaire devant la Grande Chambre ; ou b) trois mois après la date de l</w:t>
      </w:r>
      <w:r w:rsidR="00A977F5">
        <w:rPr>
          <w:noProof/>
          <w:lang w:val="fr-FR" w:eastAsia="fr-FR"/>
        </w:rPr>
        <w:t>’</w:t>
      </w:r>
      <w:r w:rsidRPr="00BC0135">
        <w:rPr>
          <w:noProof/>
          <w:lang w:val="fr-FR" w:eastAsia="fr-FR"/>
        </w:rPr>
        <w:t>arrêt, si le renvoi de l</w:t>
      </w:r>
      <w:r w:rsidR="00A977F5">
        <w:rPr>
          <w:noProof/>
          <w:lang w:val="fr-FR" w:eastAsia="fr-FR"/>
        </w:rPr>
        <w:t>’</w:t>
      </w:r>
      <w:r w:rsidRPr="00BC0135">
        <w:rPr>
          <w:noProof/>
          <w:lang w:val="fr-FR" w:eastAsia="fr-FR"/>
        </w:rPr>
        <w:t>affaire devant la Grande Chambre n</w:t>
      </w:r>
      <w:r w:rsidR="00A977F5">
        <w:rPr>
          <w:noProof/>
          <w:lang w:val="fr-FR" w:eastAsia="fr-FR"/>
        </w:rPr>
        <w:t>’</w:t>
      </w:r>
      <w:r w:rsidRPr="00BC0135">
        <w:rPr>
          <w:noProof/>
          <w:lang w:val="fr-FR" w:eastAsia="fr-FR"/>
        </w:rPr>
        <w:t xml:space="preserve">a pas été demandé ; ou c) lorsque le collège de la Grande </w:t>
      </w:r>
      <w:r w:rsidRPr="00BC0135">
        <w:rPr>
          <w:noProof/>
          <w:lang w:val="fr-FR" w:eastAsia="fr-FR"/>
        </w:rPr>
        <w:lastRenderedPageBreak/>
        <w:t>Chambre rejette la demande de renvoi formulée en application de l</w:t>
      </w:r>
      <w:r w:rsidR="00A977F5">
        <w:rPr>
          <w:noProof/>
          <w:lang w:val="fr-FR" w:eastAsia="fr-FR"/>
        </w:rPr>
        <w:t>’</w:t>
      </w:r>
      <w:r w:rsidRPr="00BC0135">
        <w:rPr>
          <w:noProof/>
          <w:lang w:val="fr-FR" w:eastAsia="fr-FR"/>
        </w:rPr>
        <w:t>article 43.</w:t>
      </w:r>
    </w:p>
    <w:p w:rsidR="00BC0135" w:rsidRPr="00BC0135" w:rsidRDefault="00BC0135" w:rsidP="00BC0135">
      <w:pPr>
        <w:ind w:firstLine="284"/>
        <w:rPr>
          <w:noProof/>
          <w:lang w:val="fr-FR" w:eastAsia="fr-FR"/>
        </w:rPr>
      </w:pPr>
      <w:r w:rsidRPr="00BC0135">
        <w:rPr>
          <w:noProof/>
          <w:lang w:val="fr-FR" w:eastAsia="fr-FR"/>
        </w:rPr>
        <w:fldChar w:fldCharType="begin"/>
      </w:r>
      <w:r w:rsidRPr="00BC0135">
        <w:rPr>
          <w:noProof/>
          <w:lang w:val="fr-FR" w:eastAsia="fr-FR"/>
        </w:rPr>
        <w:instrText xml:space="preserve"> SEQ level0 \*arabic </w:instrText>
      </w:r>
      <w:r w:rsidRPr="00BC0135">
        <w:rPr>
          <w:noProof/>
          <w:lang w:val="fr-FR" w:eastAsia="fr-FR"/>
        </w:rPr>
        <w:fldChar w:fldCharType="separate"/>
      </w:r>
      <w:r w:rsidR="000A2932">
        <w:rPr>
          <w:noProof/>
          <w:lang w:val="fr-FR" w:eastAsia="fr-FR"/>
        </w:rPr>
        <w:t>110</w:t>
      </w:r>
      <w:r w:rsidRPr="00BC0135">
        <w:rPr>
          <w:noProof/>
          <w:lang w:val="fr-FR" w:eastAsia="fr-FR"/>
        </w:rPr>
        <w:fldChar w:fldCharType="end"/>
      </w:r>
      <w:r w:rsidRPr="00BC0135">
        <w:rPr>
          <w:noProof/>
          <w:lang w:val="fr-FR" w:eastAsia="fr-FR"/>
        </w:rPr>
        <w:t>.  Elle considère que les mesures qu</w:t>
      </w:r>
      <w:r w:rsidR="00A977F5">
        <w:rPr>
          <w:noProof/>
          <w:lang w:val="fr-FR" w:eastAsia="fr-FR"/>
        </w:rPr>
        <w:t>’</w:t>
      </w:r>
      <w:r w:rsidRPr="00BC0135">
        <w:rPr>
          <w:noProof/>
          <w:lang w:val="fr-FR" w:eastAsia="fr-FR"/>
        </w:rPr>
        <w:t>elle a indiquées au Gouvernement en application de l</w:t>
      </w:r>
      <w:r w:rsidR="00A977F5">
        <w:rPr>
          <w:noProof/>
          <w:lang w:val="fr-FR" w:eastAsia="fr-FR"/>
        </w:rPr>
        <w:t>’</w:t>
      </w:r>
      <w:r w:rsidRPr="00BC0135">
        <w:rPr>
          <w:noProof/>
          <w:lang w:val="fr-FR" w:eastAsia="fr-FR"/>
        </w:rPr>
        <w:t xml:space="preserve">article 39 de son règlement (paragraphe </w:t>
      </w:r>
      <w:r w:rsidRPr="00BC0135">
        <w:rPr>
          <w:noProof/>
          <w:lang w:val="fr-FR" w:eastAsia="fr-FR"/>
        </w:rPr>
        <w:fldChar w:fldCharType="begin"/>
      </w:r>
      <w:r w:rsidRPr="00BC0135">
        <w:rPr>
          <w:noProof/>
          <w:lang w:val="fr-FR" w:eastAsia="fr-FR"/>
        </w:rPr>
        <w:instrText xml:space="preserve"> REF application39  \* MERGEFORMAT </w:instrText>
      </w:r>
      <w:r w:rsidRPr="00BC0135">
        <w:rPr>
          <w:noProof/>
          <w:lang w:val="fr-FR" w:eastAsia="fr-FR"/>
        </w:rPr>
        <w:fldChar w:fldCharType="separate"/>
      </w:r>
      <w:r w:rsidR="000A2932">
        <w:rPr>
          <w:noProof/>
          <w:lang w:val="fr-FR" w:eastAsia="fr-FR"/>
        </w:rPr>
        <w:t>4</w:t>
      </w:r>
      <w:r w:rsidRPr="00BC0135">
        <w:rPr>
          <w:noProof/>
          <w:lang w:val="fr-FR" w:eastAsia="fr-FR"/>
        </w:rPr>
        <w:fldChar w:fldCharType="end"/>
      </w:r>
      <w:r w:rsidRPr="00BC0135">
        <w:rPr>
          <w:noProof/>
          <w:lang w:val="fr-FR" w:eastAsia="fr-FR"/>
        </w:rPr>
        <w:t xml:space="preserve"> ci-dessus) doivent demeurer en vigueur jusqu</w:t>
      </w:r>
      <w:r w:rsidR="00A977F5">
        <w:rPr>
          <w:noProof/>
          <w:lang w:val="fr-FR" w:eastAsia="fr-FR"/>
        </w:rPr>
        <w:t>’</w:t>
      </w:r>
      <w:r w:rsidRPr="00BC0135">
        <w:rPr>
          <w:noProof/>
          <w:lang w:val="fr-FR" w:eastAsia="fr-FR"/>
        </w:rPr>
        <w:t>à ce que le présent arrêt devienne ainsi définitif ou que la Cour rende une autre décision sur l</w:t>
      </w:r>
      <w:r w:rsidR="00A977F5">
        <w:rPr>
          <w:noProof/>
          <w:lang w:val="fr-FR" w:eastAsia="fr-FR"/>
        </w:rPr>
        <w:t>’</w:t>
      </w:r>
      <w:r w:rsidRPr="00BC0135">
        <w:rPr>
          <w:noProof/>
          <w:lang w:val="fr-FR" w:eastAsia="fr-FR"/>
        </w:rPr>
        <w:t>affaire (voir le dispositif).</w:t>
      </w:r>
    </w:p>
    <w:bookmarkEnd w:id="9"/>
    <w:p w:rsidR="00BC0135" w:rsidRPr="00BC0135" w:rsidRDefault="00BC0135" w:rsidP="00BC0135">
      <w:pPr>
        <w:keepNext/>
        <w:keepLines/>
        <w:tabs>
          <w:tab w:val="left" w:pos="357"/>
        </w:tabs>
        <w:spacing w:before="360" w:after="240"/>
        <w:ind w:left="357" w:hanging="357"/>
        <w:outlineLvl w:val="0"/>
        <w:rPr>
          <w:rFonts w:asciiTheme="majorHAnsi" w:eastAsiaTheme="majorEastAsia" w:hAnsiTheme="majorHAnsi" w:cstheme="majorBidi"/>
          <w:bCs/>
          <w:szCs w:val="28"/>
          <w:lang w:val="fr-FR" w:eastAsia="fr-FR"/>
        </w:rPr>
      </w:pPr>
      <w:r w:rsidRPr="00BC0135">
        <w:rPr>
          <w:rFonts w:asciiTheme="majorHAnsi" w:eastAsiaTheme="majorEastAsia" w:hAnsiTheme="majorHAnsi" w:cstheme="majorBidi"/>
          <w:bCs/>
          <w:szCs w:val="28"/>
          <w:lang w:val="fr-FR" w:eastAsia="fr-FR"/>
        </w:rPr>
        <w:t>V.  ARTICLE 46 DE LA CONVENTION</w:t>
      </w:r>
    </w:p>
    <w:p w:rsidR="00BC0135" w:rsidRP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111</w:t>
      </w:r>
      <w:r w:rsidRPr="00BC0135">
        <w:rPr>
          <w:noProof/>
          <w:lang w:val="fr-FR" w:eastAsia="fr-FR"/>
        </w:rPr>
        <w:fldChar w:fldCharType="end"/>
      </w:r>
      <w:r w:rsidRPr="00BC0135">
        <w:rPr>
          <w:lang w:val="fr-FR" w:eastAsia="fr-FR"/>
        </w:rPr>
        <w:t>.  Les passages pertinents de l</w:t>
      </w:r>
      <w:r w:rsidR="00A977F5">
        <w:rPr>
          <w:lang w:val="fr-FR" w:eastAsia="fr-FR"/>
        </w:rPr>
        <w:t>’</w:t>
      </w:r>
      <w:r w:rsidRPr="00BC0135">
        <w:rPr>
          <w:lang w:val="fr-FR" w:eastAsia="fr-FR"/>
        </w:rPr>
        <w:t>article 46 de la Convention se lisent ainsi :</w:t>
      </w:r>
    </w:p>
    <w:p w:rsidR="00BC0135" w:rsidRPr="00BC0135" w:rsidRDefault="00BC0135" w:rsidP="00BC0135">
      <w:pPr>
        <w:spacing w:before="120" w:after="120"/>
        <w:ind w:left="567" w:firstLine="142"/>
        <w:rPr>
          <w:sz w:val="20"/>
          <w:lang w:val="fr-FR" w:eastAsia="fr-FR"/>
        </w:rPr>
      </w:pPr>
      <w:r w:rsidRPr="00BC0135">
        <w:rPr>
          <w:sz w:val="20"/>
          <w:lang w:val="fr-FR" w:eastAsia="fr-FR"/>
        </w:rPr>
        <w:t>« 1. Les Hautes Parties contractantes s</w:t>
      </w:r>
      <w:r w:rsidR="00A977F5">
        <w:rPr>
          <w:sz w:val="20"/>
          <w:lang w:val="fr-FR" w:eastAsia="fr-FR"/>
        </w:rPr>
        <w:t>’</w:t>
      </w:r>
      <w:r w:rsidRPr="00BC0135">
        <w:rPr>
          <w:sz w:val="20"/>
          <w:lang w:val="fr-FR" w:eastAsia="fr-FR"/>
        </w:rPr>
        <w:t>engagent à se conformer aux arrêts définitifs de la Cour dans les litiges auxquels elles sont parties.</w:t>
      </w:r>
    </w:p>
    <w:p w:rsidR="00BC0135" w:rsidRPr="00BC0135" w:rsidRDefault="00BC0135" w:rsidP="00BC0135">
      <w:pPr>
        <w:spacing w:before="120" w:after="120"/>
        <w:ind w:left="567" w:firstLine="142"/>
        <w:rPr>
          <w:sz w:val="20"/>
          <w:lang w:val="fr-FR" w:eastAsia="fr-FR"/>
        </w:rPr>
      </w:pPr>
      <w:r w:rsidRPr="00BC0135">
        <w:rPr>
          <w:sz w:val="20"/>
          <w:lang w:val="fr-FR" w:eastAsia="fr-FR"/>
        </w:rPr>
        <w:t>2. L</w:t>
      </w:r>
      <w:r w:rsidR="00A977F5">
        <w:rPr>
          <w:sz w:val="20"/>
          <w:lang w:val="fr-FR" w:eastAsia="fr-FR"/>
        </w:rPr>
        <w:t>’</w:t>
      </w:r>
      <w:r w:rsidRPr="00BC0135">
        <w:rPr>
          <w:sz w:val="20"/>
          <w:lang w:val="fr-FR" w:eastAsia="fr-FR"/>
        </w:rPr>
        <w:t>arrêt définitif de la Cour est transmis au Comité des Ministres qui en surveille l</w:t>
      </w:r>
      <w:r w:rsidR="00A977F5">
        <w:rPr>
          <w:sz w:val="20"/>
          <w:lang w:val="fr-FR" w:eastAsia="fr-FR"/>
        </w:rPr>
        <w:t>’</w:t>
      </w:r>
      <w:r w:rsidRPr="00BC0135">
        <w:rPr>
          <w:sz w:val="20"/>
          <w:lang w:val="fr-FR" w:eastAsia="fr-FR"/>
        </w:rPr>
        <w:t>exécution.</w:t>
      </w:r>
    </w:p>
    <w:p w:rsidR="00BC0135" w:rsidRPr="00BC0135" w:rsidRDefault="00BC0135" w:rsidP="00BC0135">
      <w:pPr>
        <w:spacing w:before="120" w:after="120"/>
        <w:ind w:left="567" w:firstLine="142"/>
        <w:rPr>
          <w:sz w:val="20"/>
          <w:lang w:val="fr-FR" w:eastAsia="fr-FR"/>
        </w:rPr>
      </w:pPr>
      <w:r w:rsidRPr="00BC0135">
        <w:rPr>
          <w:sz w:val="20"/>
          <w:lang w:val="fr-FR" w:eastAsia="fr-FR"/>
        </w:rPr>
        <w:t>(...) »</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112</w:t>
      </w:r>
      <w:r w:rsidRPr="00BC0135">
        <w:rPr>
          <w:noProof/>
          <w:lang w:val="fr-FR" w:eastAsia="fr-FR"/>
        </w:rPr>
        <w:fldChar w:fldCharType="end"/>
      </w:r>
      <w:r w:rsidRPr="00BC0135">
        <w:rPr>
          <w:lang w:val="fr-FR" w:eastAsia="fr-FR"/>
        </w:rPr>
        <w:t>.  Eu égard aux circonstances particulières de l</w:t>
      </w:r>
      <w:r w:rsidR="00A977F5">
        <w:rPr>
          <w:lang w:val="fr-FR" w:eastAsia="fr-FR"/>
        </w:rPr>
        <w:t>’</w:t>
      </w:r>
      <w:r w:rsidRPr="00BC0135">
        <w:rPr>
          <w:lang w:val="fr-FR" w:eastAsia="fr-FR"/>
        </w:rPr>
        <w:t>affaire et, compte tenu du fait que la violation de l</w:t>
      </w:r>
      <w:r w:rsidR="00A977F5">
        <w:rPr>
          <w:lang w:val="fr-FR" w:eastAsia="fr-FR"/>
        </w:rPr>
        <w:t>’</w:t>
      </w:r>
      <w:r w:rsidRPr="00BC0135">
        <w:rPr>
          <w:lang w:val="fr-FR" w:eastAsia="fr-FR"/>
        </w:rPr>
        <w:t>article 13 de la Convention découle de l</w:t>
      </w:r>
      <w:r w:rsidR="00A977F5">
        <w:rPr>
          <w:lang w:val="fr-FR" w:eastAsia="fr-FR"/>
        </w:rPr>
        <w:t>’</w:t>
      </w:r>
      <w:r w:rsidRPr="00BC0135">
        <w:rPr>
          <w:lang w:val="fr-FR" w:eastAsia="fr-FR"/>
        </w:rPr>
        <w:t>absence de caractère suspensif des procédures judiciaires portant sur les demandes de protection internationale présentées par les requérants et du fait qu</w:t>
      </w:r>
      <w:r w:rsidR="00A977F5">
        <w:rPr>
          <w:lang w:val="fr-FR" w:eastAsia="fr-FR"/>
        </w:rPr>
        <w:t>’</w:t>
      </w:r>
      <w:r w:rsidRPr="00BC0135">
        <w:rPr>
          <w:lang w:val="fr-FR" w:eastAsia="fr-FR"/>
        </w:rPr>
        <w:t>elles sont encore pendantes à ce jour alors que les premiers requérants demandeurs d</w:t>
      </w:r>
      <w:r w:rsidR="00A977F5">
        <w:rPr>
          <w:lang w:val="fr-FR" w:eastAsia="fr-FR"/>
        </w:rPr>
        <w:t>’</w:t>
      </w:r>
      <w:r w:rsidRPr="00BC0135">
        <w:rPr>
          <w:lang w:val="fr-FR" w:eastAsia="fr-FR"/>
        </w:rPr>
        <w:t>asile sont arrivés en Espagne en janvier 2011, la Cour estime que l</w:t>
      </w:r>
      <w:r w:rsidR="00A977F5">
        <w:rPr>
          <w:lang w:val="fr-FR" w:eastAsia="fr-FR"/>
        </w:rPr>
        <w:t>’</w:t>
      </w:r>
      <w:r w:rsidRPr="00BC0135">
        <w:rPr>
          <w:lang w:val="fr-FR" w:eastAsia="fr-FR"/>
        </w:rPr>
        <w:t>État défendeur devra garantir, juridiquement et matériellement, le maintien des requérants sur le territoire espagnol pendant l</w:t>
      </w:r>
      <w:r w:rsidR="00A977F5">
        <w:rPr>
          <w:lang w:val="fr-FR" w:eastAsia="fr-FR"/>
        </w:rPr>
        <w:t>’</w:t>
      </w:r>
      <w:r w:rsidRPr="00BC0135">
        <w:rPr>
          <w:lang w:val="fr-FR" w:eastAsia="fr-FR"/>
        </w:rPr>
        <w:t>examen de leurs causes et jusqu</w:t>
      </w:r>
      <w:r w:rsidR="00A977F5">
        <w:rPr>
          <w:lang w:val="fr-FR" w:eastAsia="fr-FR"/>
        </w:rPr>
        <w:t>’</w:t>
      </w:r>
      <w:r w:rsidRPr="00BC0135">
        <w:rPr>
          <w:lang w:val="fr-FR" w:eastAsia="fr-FR"/>
        </w:rPr>
        <w:t>à la décision interne définitive sur leurs demandes de protection internationale.</w:t>
      </w:r>
    </w:p>
    <w:p w:rsidR="00BC0135" w:rsidRPr="00BC0135" w:rsidRDefault="00BC0135" w:rsidP="00BC0135">
      <w:pPr>
        <w:keepNext/>
        <w:keepLines/>
        <w:tabs>
          <w:tab w:val="left" w:pos="357"/>
        </w:tabs>
        <w:spacing w:before="360" w:after="240"/>
        <w:ind w:left="357" w:hanging="357"/>
        <w:outlineLvl w:val="0"/>
        <w:rPr>
          <w:rFonts w:asciiTheme="majorHAnsi" w:eastAsiaTheme="majorEastAsia" w:hAnsiTheme="majorHAnsi" w:cstheme="majorBidi"/>
          <w:bCs/>
          <w:szCs w:val="28"/>
          <w:lang w:val="fr-FR" w:eastAsia="fr-FR"/>
        </w:rPr>
      </w:pPr>
      <w:r w:rsidRPr="00BC0135">
        <w:rPr>
          <w:rFonts w:asciiTheme="majorHAnsi" w:eastAsiaTheme="majorEastAsia" w:hAnsiTheme="majorHAnsi" w:cstheme="majorBidi"/>
          <w:bCs/>
          <w:szCs w:val="28"/>
          <w:lang w:val="fr-FR" w:eastAsia="fr-FR"/>
        </w:rPr>
        <w:t>VI.  SUR L</w:t>
      </w:r>
      <w:r w:rsidR="00A977F5">
        <w:rPr>
          <w:rFonts w:asciiTheme="majorHAnsi" w:eastAsiaTheme="majorEastAsia" w:hAnsiTheme="majorHAnsi" w:cstheme="majorBidi"/>
          <w:bCs/>
          <w:szCs w:val="28"/>
          <w:lang w:val="fr-FR" w:eastAsia="fr-FR"/>
        </w:rPr>
        <w:t>’</w:t>
      </w:r>
      <w:r w:rsidRPr="00BC0135">
        <w:rPr>
          <w:rFonts w:asciiTheme="majorHAnsi" w:eastAsiaTheme="majorEastAsia" w:hAnsiTheme="majorHAnsi" w:cstheme="majorBidi"/>
          <w:bCs/>
          <w:szCs w:val="28"/>
          <w:lang w:val="fr-FR" w:eastAsia="fr-FR"/>
        </w:rPr>
        <w:t>APPLICATION DE L</w:t>
      </w:r>
      <w:r w:rsidR="00A977F5">
        <w:rPr>
          <w:rFonts w:asciiTheme="majorHAnsi" w:eastAsiaTheme="majorEastAsia" w:hAnsiTheme="majorHAnsi" w:cstheme="majorBidi"/>
          <w:bCs/>
          <w:szCs w:val="28"/>
          <w:lang w:val="fr-FR" w:eastAsia="fr-FR"/>
        </w:rPr>
        <w:t>’</w:t>
      </w:r>
      <w:r w:rsidRPr="00BC0135">
        <w:rPr>
          <w:rFonts w:asciiTheme="majorHAnsi" w:eastAsiaTheme="majorEastAsia" w:hAnsiTheme="majorHAnsi" w:cstheme="majorBidi"/>
          <w:bCs/>
          <w:szCs w:val="28"/>
          <w:lang w:val="fr-FR" w:eastAsia="fr-FR"/>
        </w:rPr>
        <w:t>ARTICLE 41 DE LA CONVENTION</w:t>
      </w:r>
    </w:p>
    <w:p w:rsidR="00BC0135" w:rsidRP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113</w:t>
      </w:r>
      <w:r w:rsidRPr="00BC0135">
        <w:rPr>
          <w:noProof/>
          <w:lang w:val="fr-FR" w:eastAsia="fr-FR"/>
        </w:rPr>
        <w:fldChar w:fldCharType="end"/>
      </w:r>
      <w:r w:rsidRPr="00BC0135">
        <w:rPr>
          <w:lang w:val="fr-FR" w:eastAsia="fr-FR"/>
        </w:rPr>
        <w:t>.  Aux termes de l</w:t>
      </w:r>
      <w:r w:rsidR="00A977F5">
        <w:rPr>
          <w:lang w:val="fr-FR" w:eastAsia="fr-FR"/>
        </w:rPr>
        <w:t>’</w:t>
      </w:r>
      <w:r w:rsidRPr="00BC0135">
        <w:rPr>
          <w:lang w:val="fr-FR" w:eastAsia="fr-FR"/>
        </w:rPr>
        <w:t>article 41 de la Convention,</w:t>
      </w:r>
    </w:p>
    <w:p w:rsidR="00BC0135" w:rsidRPr="00BC0135" w:rsidRDefault="00BC0135" w:rsidP="00BC0135">
      <w:pPr>
        <w:keepNext/>
        <w:keepLines/>
        <w:spacing w:before="120" w:after="120"/>
        <w:ind w:left="425" w:firstLine="142"/>
        <w:rPr>
          <w:sz w:val="20"/>
          <w:lang w:val="fr-FR" w:eastAsia="fr-FR"/>
        </w:rPr>
      </w:pPr>
      <w:r w:rsidRPr="00BC0135">
        <w:rPr>
          <w:sz w:val="20"/>
          <w:lang w:val="fr-FR" w:eastAsia="fr-FR"/>
        </w:rPr>
        <w:t>« Si la Cour déclare qu</w:t>
      </w:r>
      <w:r w:rsidR="00A977F5">
        <w:rPr>
          <w:sz w:val="20"/>
          <w:lang w:val="fr-FR" w:eastAsia="fr-FR"/>
        </w:rPr>
        <w:t>’</w:t>
      </w:r>
      <w:r w:rsidRPr="00BC0135">
        <w:rPr>
          <w:sz w:val="20"/>
          <w:lang w:val="fr-FR" w:eastAsia="fr-FR"/>
        </w:rPr>
        <w:t>il y a eu violation de la Convention ou de ses Protocoles, et si le droit interne de la Haute Partie contractante ne permet d</w:t>
      </w:r>
      <w:r w:rsidR="00A977F5">
        <w:rPr>
          <w:sz w:val="20"/>
          <w:lang w:val="fr-FR" w:eastAsia="fr-FR"/>
        </w:rPr>
        <w:t>’</w:t>
      </w:r>
      <w:r w:rsidRPr="00BC0135">
        <w:rPr>
          <w:sz w:val="20"/>
          <w:lang w:val="fr-FR" w:eastAsia="fr-FR"/>
        </w:rPr>
        <w:t>effacer qu</w:t>
      </w:r>
      <w:r w:rsidR="00A977F5">
        <w:rPr>
          <w:sz w:val="20"/>
          <w:lang w:val="fr-FR" w:eastAsia="fr-FR"/>
        </w:rPr>
        <w:t>’</w:t>
      </w:r>
      <w:r w:rsidRPr="00BC0135">
        <w:rPr>
          <w:sz w:val="20"/>
          <w:lang w:val="fr-FR" w:eastAsia="fr-FR"/>
        </w:rPr>
        <w:t>imparfaitement les conséquences de cette violation, la Cour accorde à la partie lésée, s</w:t>
      </w:r>
      <w:r w:rsidR="00A977F5">
        <w:rPr>
          <w:sz w:val="20"/>
          <w:lang w:val="fr-FR" w:eastAsia="fr-FR"/>
        </w:rPr>
        <w:t>’</w:t>
      </w:r>
      <w:r w:rsidRPr="00BC0135">
        <w:rPr>
          <w:sz w:val="20"/>
          <w:lang w:val="fr-FR" w:eastAsia="fr-FR"/>
        </w:rPr>
        <w:t>il y a lieu, une satisfaction équitable. »</w:t>
      </w:r>
    </w:p>
    <w:p w:rsidR="00BC0135" w:rsidRDefault="00BC0135" w:rsidP="00BC0135">
      <w:pPr>
        <w:ind w:firstLine="284"/>
        <w:rPr>
          <w:lang w:val="fr-FR" w:eastAsia="fr-FR"/>
        </w:rPr>
      </w:pPr>
      <w:r w:rsidRPr="00BC0135">
        <w:rPr>
          <w:lang w:val="fr-FR" w:eastAsia="fr-FR"/>
        </w:rPr>
        <w:fldChar w:fldCharType="begin"/>
      </w:r>
      <w:r w:rsidRPr="00BC0135">
        <w:rPr>
          <w:lang w:val="fr-FR" w:eastAsia="fr-FR"/>
        </w:rPr>
        <w:instrText xml:space="preserve"> SEQ level0 \*arabic </w:instrText>
      </w:r>
      <w:r w:rsidRPr="00BC0135">
        <w:rPr>
          <w:lang w:val="fr-FR" w:eastAsia="fr-FR"/>
        </w:rPr>
        <w:fldChar w:fldCharType="separate"/>
      </w:r>
      <w:r w:rsidR="000A2932">
        <w:rPr>
          <w:noProof/>
          <w:lang w:val="fr-FR" w:eastAsia="fr-FR"/>
        </w:rPr>
        <w:t>114</w:t>
      </w:r>
      <w:r w:rsidRPr="00BC0135">
        <w:rPr>
          <w:noProof/>
          <w:lang w:val="fr-FR" w:eastAsia="fr-FR"/>
        </w:rPr>
        <w:fldChar w:fldCharType="end"/>
      </w:r>
      <w:r w:rsidRPr="00BC0135">
        <w:rPr>
          <w:lang w:val="fr-FR" w:eastAsia="fr-FR"/>
        </w:rPr>
        <w:t>.  </w:t>
      </w:r>
      <w:r w:rsidRPr="00BC0135">
        <w:rPr>
          <w:noProof/>
          <w:lang w:val="fr-FR" w:eastAsia="fr-FR"/>
        </w:rPr>
        <w:t>Les requérants</w:t>
      </w:r>
      <w:r w:rsidRPr="00BC0135">
        <w:rPr>
          <w:lang w:val="fr-FR" w:eastAsia="fr-FR"/>
        </w:rPr>
        <w:t xml:space="preserve"> n</w:t>
      </w:r>
      <w:r w:rsidR="00A977F5">
        <w:rPr>
          <w:lang w:val="fr-FR" w:eastAsia="fr-FR"/>
        </w:rPr>
        <w:t>’</w:t>
      </w:r>
      <w:r w:rsidRPr="00BC0135">
        <w:rPr>
          <w:noProof/>
          <w:lang w:val="fr-FR" w:eastAsia="fr-FR"/>
        </w:rPr>
        <w:t>ont</w:t>
      </w:r>
      <w:r w:rsidRPr="00BC0135">
        <w:rPr>
          <w:lang w:val="fr-FR" w:eastAsia="fr-FR"/>
        </w:rPr>
        <w:t xml:space="preserve"> présenté aucune demande de satisfaction équitable.</w:t>
      </w:r>
    </w:p>
    <w:p w:rsidR="00BC0135" w:rsidRPr="00BC0135" w:rsidRDefault="00BC0135" w:rsidP="00BC0135">
      <w:pPr>
        <w:keepNext/>
        <w:keepLines/>
        <w:spacing w:before="720" w:after="240"/>
        <w:outlineLvl w:val="0"/>
        <w:rPr>
          <w:rFonts w:asciiTheme="majorHAnsi" w:hAnsiTheme="majorHAnsi"/>
          <w:sz w:val="28"/>
          <w:lang w:val="fr-FR" w:eastAsia="fr-FR"/>
        </w:rPr>
      </w:pPr>
      <w:r w:rsidRPr="00BC0135">
        <w:rPr>
          <w:rFonts w:asciiTheme="majorHAnsi" w:hAnsiTheme="majorHAnsi"/>
          <w:sz w:val="28"/>
          <w:lang w:val="fr-FR" w:eastAsia="fr-FR"/>
        </w:rPr>
        <w:lastRenderedPageBreak/>
        <w:t>PAR CES MOTIFS, LA COUR</w:t>
      </w:r>
      <w:r w:rsidRPr="00BC0135">
        <w:rPr>
          <w:rFonts w:asciiTheme="majorHAnsi" w:hAnsiTheme="majorHAnsi"/>
          <w:noProof/>
          <w:sz w:val="28"/>
          <w:lang w:val="fr-FR" w:eastAsia="fr-FR"/>
        </w:rPr>
        <w:t>, À L</w:t>
      </w:r>
      <w:r w:rsidR="00A977F5">
        <w:rPr>
          <w:rFonts w:asciiTheme="majorHAnsi" w:hAnsiTheme="majorHAnsi"/>
          <w:noProof/>
          <w:sz w:val="28"/>
          <w:lang w:val="fr-FR" w:eastAsia="fr-FR"/>
        </w:rPr>
        <w:t>’</w:t>
      </w:r>
      <w:r w:rsidRPr="00BC0135">
        <w:rPr>
          <w:rFonts w:asciiTheme="majorHAnsi" w:hAnsiTheme="majorHAnsi"/>
          <w:noProof/>
          <w:sz w:val="28"/>
          <w:lang w:val="fr-FR" w:eastAsia="fr-FR"/>
        </w:rPr>
        <w:t>UNANIMITÉ,</w:t>
      </w:r>
    </w:p>
    <w:p w:rsidR="00BC0135" w:rsidRPr="00BC0135" w:rsidRDefault="00BC0135" w:rsidP="00876E01">
      <w:pPr>
        <w:keepNext/>
        <w:keepLines/>
        <w:ind w:left="340" w:hanging="340"/>
        <w:rPr>
          <w:lang w:val="fr-FR" w:eastAsia="fr-FR"/>
        </w:rPr>
      </w:pPr>
      <w:r w:rsidRPr="00BC0135">
        <w:rPr>
          <w:lang w:val="fr-FR" w:eastAsia="fr-FR"/>
        </w:rPr>
        <w:t>1.  </w:t>
      </w:r>
      <w:r w:rsidRPr="00BC0135">
        <w:rPr>
          <w:i/>
          <w:lang w:val="fr-FR" w:eastAsia="fr-FR"/>
        </w:rPr>
        <w:t>Décide</w:t>
      </w:r>
      <w:r w:rsidRPr="00BC0135">
        <w:rPr>
          <w:lang w:val="fr-FR" w:eastAsia="fr-FR"/>
        </w:rPr>
        <w:t xml:space="preserve"> de joindre les requêtes ;</w:t>
      </w:r>
    </w:p>
    <w:p w:rsidR="00BC0135" w:rsidRPr="00BC0135" w:rsidRDefault="00BC0135" w:rsidP="00876E01">
      <w:pPr>
        <w:keepNext/>
        <w:keepLines/>
        <w:ind w:left="340" w:hanging="340"/>
        <w:rPr>
          <w:lang w:val="fr-FR" w:eastAsia="fr-FR"/>
        </w:rPr>
      </w:pPr>
    </w:p>
    <w:p w:rsidR="00BC0135" w:rsidRPr="00BC0135" w:rsidRDefault="00BC0135" w:rsidP="00876E01">
      <w:pPr>
        <w:keepNext/>
        <w:keepLines/>
        <w:ind w:left="340" w:hanging="340"/>
        <w:rPr>
          <w:lang w:val="fr-FR" w:eastAsia="fr-FR"/>
        </w:rPr>
      </w:pPr>
      <w:r w:rsidRPr="00BC0135">
        <w:rPr>
          <w:lang w:val="fr-FR" w:eastAsia="fr-FR"/>
        </w:rPr>
        <w:t>2.  </w:t>
      </w:r>
      <w:r w:rsidRPr="00BC0135">
        <w:rPr>
          <w:i/>
          <w:lang w:val="fr-FR" w:eastAsia="fr-FR"/>
        </w:rPr>
        <w:t>Joint au fond</w:t>
      </w:r>
      <w:r w:rsidRPr="00BC0135">
        <w:rPr>
          <w:lang w:val="fr-FR" w:eastAsia="fr-FR"/>
        </w:rPr>
        <w:t xml:space="preserve"> l</w:t>
      </w:r>
      <w:r w:rsidR="00A977F5">
        <w:rPr>
          <w:lang w:val="fr-FR" w:eastAsia="fr-FR"/>
        </w:rPr>
        <w:t>’</w:t>
      </w:r>
      <w:r w:rsidRPr="00BC0135">
        <w:rPr>
          <w:lang w:val="fr-FR" w:eastAsia="fr-FR"/>
        </w:rPr>
        <w:t>exception tirée du non-épuisement des voies de recours internes concernant le grief portant sur l</w:t>
      </w:r>
      <w:r w:rsidR="00A977F5">
        <w:rPr>
          <w:lang w:val="fr-FR" w:eastAsia="fr-FR"/>
        </w:rPr>
        <w:t>’</w:t>
      </w:r>
      <w:r w:rsidRPr="00BC0135">
        <w:rPr>
          <w:lang w:val="fr-FR" w:eastAsia="fr-FR"/>
        </w:rPr>
        <w:t>article 13 de la Convention et la rejette ;</w:t>
      </w:r>
    </w:p>
    <w:p w:rsidR="00BC0135" w:rsidRPr="00BC0135" w:rsidRDefault="00BC0135" w:rsidP="00BC0135">
      <w:pPr>
        <w:ind w:left="340" w:hanging="340"/>
        <w:rPr>
          <w:lang w:val="fr-FR" w:eastAsia="fr-FR"/>
        </w:rPr>
      </w:pPr>
    </w:p>
    <w:p w:rsidR="00BC0135" w:rsidRPr="00BC0135" w:rsidRDefault="00BC0135" w:rsidP="00BC0135">
      <w:pPr>
        <w:ind w:left="340" w:hanging="340"/>
        <w:rPr>
          <w:lang w:val="fr-FR" w:eastAsia="fr-FR"/>
        </w:rPr>
      </w:pPr>
      <w:r w:rsidRPr="00BC0135">
        <w:rPr>
          <w:lang w:val="fr-FR" w:eastAsia="fr-FR"/>
        </w:rPr>
        <w:t>3.  </w:t>
      </w:r>
      <w:r w:rsidRPr="00BC0135">
        <w:rPr>
          <w:i/>
          <w:lang w:val="fr-FR" w:eastAsia="fr-FR"/>
        </w:rPr>
        <w:t>Déclare</w:t>
      </w:r>
      <w:r w:rsidRPr="00BC0135">
        <w:rPr>
          <w:noProof/>
          <w:lang w:val="fr-FR" w:eastAsia="fr-FR"/>
        </w:rPr>
        <w:t xml:space="preserve"> les requêtes recevables</w:t>
      </w:r>
      <w:r w:rsidRPr="00BC0135">
        <w:rPr>
          <w:lang w:val="fr-FR" w:eastAsia="fr-FR"/>
        </w:rPr>
        <w:t xml:space="preserve"> quant au grief tiré de l</w:t>
      </w:r>
      <w:r w:rsidR="00A977F5">
        <w:rPr>
          <w:lang w:val="fr-FR" w:eastAsia="fr-FR"/>
        </w:rPr>
        <w:t>’</w:t>
      </w:r>
      <w:r w:rsidRPr="00BC0135">
        <w:rPr>
          <w:lang w:val="fr-FR" w:eastAsia="fr-FR"/>
        </w:rPr>
        <w:t xml:space="preserve">article 13 combiné avec les articles 2 et 3 de la Convention, et </w:t>
      </w:r>
      <w:r w:rsidRPr="00BC0135">
        <w:rPr>
          <w:noProof/>
          <w:lang w:val="fr-FR" w:eastAsia="fr-FR"/>
        </w:rPr>
        <w:t>irrecevables</w:t>
      </w:r>
      <w:r w:rsidRPr="00BC0135">
        <w:rPr>
          <w:lang w:val="fr-FR" w:eastAsia="fr-FR"/>
        </w:rPr>
        <w:t xml:space="preserve"> pour le surplus ;</w:t>
      </w:r>
    </w:p>
    <w:p w:rsidR="00BC0135" w:rsidRPr="00BC0135" w:rsidRDefault="00BC0135" w:rsidP="00BC0135">
      <w:pPr>
        <w:ind w:left="340" w:hanging="340"/>
        <w:rPr>
          <w:lang w:val="fr-FR" w:eastAsia="fr-FR"/>
        </w:rPr>
      </w:pPr>
    </w:p>
    <w:p w:rsidR="00BC0135" w:rsidRPr="00BC0135" w:rsidRDefault="00BC0135" w:rsidP="00BC0135">
      <w:pPr>
        <w:ind w:left="340" w:hanging="340"/>
        <w:rPr>
          <w:lang w:val="fr-FR" w:eastAsia="fr-FR"/>
        </w:rPr>
      </w:pPr>
      <w:r w:rsidRPr="00BC0135">
        <w:rPr>
          <w:lang w:val="fr-FR" w:eastAsia="fr-FR"/>
        </w:rPr>
        <w:t>4.  </w:t>
      </w:r>
      <w:r w:rsidRPr="00BC0135">
        <w:rPr>
          <w:i/>
          <w:lang w:val="fr-FR" w:eastAsia="fr-FR"/>
        </w:rPr>
        <w:t>Dit</w:t>
      </w:r>
      <w:r w:rsidRPr="00BC0135">
        <w:rPr>
          <w:lang w:val="fr-FR" w:eastAsia="fr-FR"/>
        </w:rPr>
        <w:t xml:space="preserve"> qu</w:t>
      </w:r>
      <w:r w:rsidR="00A977F5">
        <w:rPr>
          <w:lang w:val="fr-FR" w:eastAsia="fr-FR"/>
        </w:rPr>
        <w:t>’</w:t>
      </w:r>
      <w:r w:rsidRPr="00BC0135">
        <w:rPr>
          <w:lang w:val="fr-FR" w:eastAsia="fr-FR"/>
        </w:rPr>
        <w:t>il y a eu violation de l</w:t>
      </w:r>
      <w:r w:rsidR="00A977F5">
        <w:rPr>
          <w:lang w:val="fr-FR" w:eastAsia="fr-FR"/>
        </w:rPr>
        <w:t>’</w:t>
      </w:r>
      <w:r w:rsidRPr="00BC0135">
        <w:rPr>
          <w:lang w:val="fr-FR" w:eastAsia="fr-FR"/>
        </w:rPr>
        <w:t>article 13 de la Convention combiné avec les articles 2 et 3 ;</w:t>
      </w:r>
    </w:p>
    <w:p w:rsidR="00BC0135" w:rsidRPr="00BC0135" w:rsidRDefault="00BC0135" w:rsidP="00BC0135">
      <w:pPr>
        <w:ind w:left="340" w:hanging="340"/>
        <w:rPr>
          <w:lang w:val="fr-FR" w:eastAsia="fr-FR"/>
        </w:rPr>
      </w:pPr>
    </w:p>
    <w:p w:rsidR="00BC0135" w:rsidRPr="00BC0135" w:rsidRDefault="00BC0135" w:rsidP="00BC0135">
      <w:pPr>
        <w:ind w:left="340" w:hanging="340"/>
        <w:rPr>
          <w:noProof/>
          <w:lang w:val="fr-FR" w:eastAsia="fr-FR"/>
        </w:rPr>
      </w:pPr>
      <w:r w:rsidRPr="00BC0135">
        <w:rPr>
          <w:noProof/>
          <w:lang w:val="fr-FR" w:eastAsia="fr-FR"/>
        </w:rPr>
        <w:t>5.  </w:t>
      </w:r>
      <w:r w:rsidRPr="00BC0135">
        <w:rPr>
          <w:i/>
          <w:noProof/>
          <w:lang w:val="fr-FR" w:eastAsia="fr-FR"/>
        </w:rPr>
        <w:t>Décide</w:t>
      </w:r>
      <w:r w:rsidRPr="00BC0135">
        <w:rPr>
          <w:noProof/>
          <w:lang w:val="fr-FR" w:eastAsia="fr-FR"/>
        </w:rPr>
        <w:t xml:space="preserve"> de continuer à indiquer au Gouvernement, en application de l</w:t>
      </w:r>
      <w:r w:rsidR="00A977F5">
        <w:rPr>
          <w:noProof/>
          <w:lang w:val="fr-FR" w:eastAsia="fr-FR"/>
        </w:rPr>
        <w:t>’</w:t>
      </w:r>
      <w:r w:rsidRPr="00BC0135">
        <w:rPr>
          <w:noProof/>
          <w:lang w:val="fr-FR" w:eastAsia="fr-FR"/>
        </w:rPr>
        <w:t>article 39 de son règlement, qu</w:t>
      </w:r>
      <w:r w:rsidR="00A977F5">
        <w:rPr>
          <w:noProof/>
          <w:lang w:val="fr-FR" w:eastAsia="fr-FR"/>
        </w:rPr>
        <w:t>’</w:t>
      </w:r>
      <w:r w:rsidRPr="00BC0135">
        <w:rPr>
          <w:noProof/>
          <w:lang w:val="fr-FR" w:eastAsia="fr-FR"/>
        </w:rPr>
        <w:t>il est souhaitable, dans l</w:t>
      </w:r>
      <w:r w:rsidR="00A977F5">
        <w:rPr>
          <w:noProof/>
          <w:lang w:val="fr-FR" w:eastAsia="fr-FR"/>
        </w:rPr>
        <w:t>’</w:t>
      </w:r>
      <w:r w:rsidRPr="00BC0135">
        <w:rPr>
          <w:noProof/>
          <w:lang w:val="fr-FR" w:eastAsia="fr-FR"/>
        </w:rPr>
        <w:t>intérêt du bon déroulement de la procédure, de ne pas expulser les requérants jusqu</w:t>
      </w:r>
      <w:r w:rsidR="00A977F5">
        <w:rPr>
          <w:noProof/>
          <w:lang w:val="fr-FR" w:eastAsia="fr-FR"/>
        </w:rPr>
        <w:t>’</w:t>
      </w:r>
      <w:r w:rsidRPr="00BC0135">
        <w:rPr>
          <w:noProof/>
          <w:lang w:val="fr-FR" w:eastAsia="fr-FR"/>
        </w:rPr>
        <w:t>à ce que le présent arrêt devienne définitif ou que la Cour rende une autre décision à cet égard ;</w:t>
      </w:r>
    </w:p>
    <w:p w:rsidR="00EA2AE2" w:rsidRPr="00BC0135" w:rsidRDefault="00EA2AE2" w:rsidP="00EA2AE2">
      <w:pPr>
        <w:rPr>
          <w:lang w:val="fr-FR" w:eastAsia="fr-FR"/>
        </w:rPr>
      </w:pPr>
    </w:p>
    <w:p w:rsidR="00BC0135" w:rsidRPr="00BC0135" w:rsidRDefault="00BC0135" w:rsidP="00843AD8">
      <w:pPr>
        <w:keepNext/>
        <w:keepLines/>
        <w:ind w:left="340" w:hanging="340"/>
        <w:rPr>
          <w:lang w:val="fr-FR" w:eastAsia="fr-FR"/>
        </w:rPr>
      </w:pPr>
      <w:r w:rsidRPr="00BC0135">
        <w:rPr>
          <w:lang w:val="fr-FR" w:eastAsia="fr-FR"/>
        </w:rPr>
        <w:t>6.  </w:t>
      </w:r>
      <w:r w:rsidRPr="00BC0135">
        <w:rPr>
          <w:i/>
          <w:lang w:val="fr-FR" w:eastAsia="fr-FR"/>
        </w:rPr>
        <w:t>Dit</w:t>
      </w:r>
      <w:r w:rsidRPr="00BC0135">
        <w:rPr>
          <w:lang w:val="fr-FR" w:eastAsia="fr-FR"/>
        </w:rPr>
        <w:t xml:space="preserve"> qu</w:t>
      </w:r>
      <w:r w:rsidR="00A977F5">
        <w:rPr>
          <w:lang w:val="fr-FR" w:eastAsia="fr-FR"/>
        </w:rPr>
        <w:t>’</w:t>
      </w:r>
      <w:r w:rsidRPr="00BC0135">
        <w:rPr>
          <w:lang w:val="fr-FR" w:eastAsia="fr-FR"/>
        </w:rPr>
        <w:t>eu</w:t>
      </w:r>
      <w:r w:rsidRPr="00BC0135">
        <w:rPr>
          <w:noProof/>
          <w:lang w:val="fr-FR" w:eastAsia="fr-FR"/>
        </w:rPr>
        <w:t xml:space="preserve"> égard aux circonstances particulières de l</w:t>
      </w:r>
      <w:r w:rsidR="00A977F5">
        <w:rPr>
          <w:noProof/>
          <w:lang w:val="fr-FR" w:eastAsia="fr-FR"/>
        </w:rPr>
        <w:t>’</w:t>
      </w:r>
      <w:r w:rsidRPr="00BC0135">
        <w:rPr>
          <w:noProof/>
          <w:lang w:val="fr-FR" w:eastAsia="fr-FR"/>
        </w:rPr>
        <w:t>affaire, la Cour estime que l</w:t>
      </w:r>
      <w:r w:rsidR="00A977F5">
        <w:rPr>
          <w:noProof/>
          <w:lang w:val="fr-FR" w:eastAsia="fr-FR"/>
        </w:rPr>
        <w:t>’</w:t>
      </w:r>
      <w:r w:rsidRPr="00BC0135">
        <w:rPr>
          <w:noProof/>
          <w:lang w:val="fr-FR" w:eastAsia="fr-FR"/>
        </w:rPr>
        <w:t>État défendeur doit garantir le maintien des requérants sur le territoire espagnol pendant l</w:t>
      </w:r>
      <w:r w:rsidR="00A977F5">
        <w:rPr>
          <w:noProof/>
          <w:lang w:val="fr-FR" w:eastAsia="fr-FR"/>
        </w:rPr>
        <w:t>’</w:t>
      </w:r>
      <w:r w:rsidRPr="00BC0135">
        <w:rPr>
          <w:noProof/>
          <w:lang w:val="fr-FR" w:eastAsia="fr-FR"/>
        </w:rPr>
        <w:t>examen de leurs causes et jusqu</w:t>
      </w:r>
      <w:r w:rsidR="00A977F5">
        <w:rPr>
          <w:noProof/>
          <w:lang w:val="fr-FR" w:eastAsia="fr-FR"/>
        </w:rPr>
        <w:t>’</w:t>
      </w:r>
      <w:r w:rsidRPr="00BC0135">
        <w:rPr>
          <w:noProof/>
          <w:lang w:val="fr-FR" w:eastAsia="fr-FR"/>
        </w:rPr>
        <w:t xml:space="preserve">à la décision interne définitive </w:t>
      </w:r>
      <w:r w:rsidR="001F6866">
        <w:rPr>
          <w:noProof/>
          <w:lang w:val="fr-FR" w:eastAsia="fr-FR"/>
        </w:rPr>
        <w:t>sur</w:t>
      </w:r>
      <w:r w:rsidRPr="00BC0135">
        <w:rPr>
          <w:noProof/>
          <w:lang w:val="fr-FR" w:eastAsia="fr-FR"/>
        </w:rPr>
        <w:t xml:space="preserve"> leurs demandes de protection internationale.</w:t>
      </w:r>
    </w:p>
    <w:p w:rsidR="00BC0135" w:rsidRPr="00BC0135" w:rsidRDefault="00BC0135" w:rsidP="00843AD8">
      <w:pPr>
        <w:keepNext/>
        <w:keepLines/>
        <w:spacing w:before="240"/>
        <w:ind w:firstLine="284"/>
        <w:rPr>
          <w:lang w:val="fr-FR" w:eastAsia="fr-FR"/>
        </w:rPr>
      </w:pPr>
      <w:r w:rsidRPr="00BC0135">
        <w:rPr>
          <w:lang w:val="fr-FR" w:eastAsia="fr-FR"/>
        </w:rPr>
        <w:t>Fait en françai</w:t>
      </w:r>
      <w:r w:rsidR="00876E01">
        <w:rPr>
          <w:lang w:val="fr-FR" w:eastAsia="fr-FR"/>
        </w:rPr>
        <w:t xml:space="preserve">s, puis communiqué par écrit le </w:t>
      </w:r>
      <w:r>
        <w:rPr>
          <w:lang w:val="fr-FR" w:eastAsia="fr-FR"/>
        </w:rPr>
        <w:t>22 avril 2014</w:t>
      </w:r>
      <w:r w:rsidRPr="00BC0135">
        <w:rPr>
          <w:lang w:val="fr-FR" w:eastAsia="fr-FR"/>
        </w:rPr>
        <w:t>, en application de l</w:t>
      </w:r>
      <w:r w:rsidR="00A977F5">
        <w:rPr>
          <w:lang w:val="fr-FR" w:eastAsia="fr-FR"/>
        </w:rPr>
        <w:t>’</w:t>
      </w:r>
      <w:r w:rsidRPr="00BC0135">
        <w:rPr>
          <w:lang w:val="fr-FR" w:eastAsia="fr-FR"/>
        </w:rPr>
        <w:t>article 77 §§ 2 et 3 du règlement.</w:t>
      </w:r>
    </w:p>
    <w:p w:rsidR="00BC0135" w:rsidRPr="00BC0135" w:rsidRDefault="00BC0135" w:rsidP="00BC0135">
      <w:pPr>
        <w:keepNext/>
        <w:keepLines/>
        <w:tabs>
          <w:tab w:val="center" w:pos="851"/>
          <w:tab w:val="center" w:pos="6407"/>
        </w:tabs>
        <w:spacing w:before="720"/>
        <w:jc w:val="left"/>
        <w:rPr>
          <w:noProof/>
          <w:lang w:val="fr-FR" w:eastAsia="fr-FR"/>
        </w:rPr>
      </w:pPr>
      <w:r w:rsidRPr="00BC0135">
        <w:rPr>
          <w:noProof/>
          <w:lang w:val="fr-FR" w:eastAsia="fr-FR"/>
        </w:rPr>
        <w:tab/>
        <w:t>Santiago Quesada</w:t>
      </w:r>
      <w:r w:rsidRPr="00BC0135">
        <w:rPr>
          <w:lang w:val="fr-FR" w:eastAsia="fr-FR"/>
        </w:rPr>
        <w:tab/>
      </w:r>
      <w:r w:rsidRPr="00BC0135">
        <w:rPr>
          <w:noProof/>
          <w:szCs w:val="24"/>
          <w:lang w:val="fr-FR" w:eastAsia="fr-FR"/>
        </w:rPr>
        <w:t>Josep Casadevall</w:t>
      </w:r>
      <w:r w:rsidRPr="00BC0135">
        <w:rPr>
          <w:lang w:val="fr-FR" w:eastAsia="fr-FR"/>
        </w:rPr>
        <w:br/>
      </w:r>
      <w:r w:rsidRPr="00BC0135">
        <w:rPr>
          <w:lang w:val="fr-FR" w:eastAsia="fr-FR"/>
        </w:rPr>
        <w:tab/>
      </w:r>
      <w:r w:rsidRPr="00BC0135">
        <w:rPr>
          <w:noProof/>
          <w:lang w:val="fr-FR" w:eastAsia="fr-FR"/>
        </w:rPr>
        <w:t>Greffier</w:t>
      </w:r>
      <w:r w:rsidRPr="00BC0135">
        <w:rPr>
          <w:lang w:val="fr-FR" w:eastAsia="fr-FR"/>
        </w:rPr>
        <w:tab/>
      </w:r>
      <w:r w:rsidRPr="00BC0135">
        <w:rPr>
          <w:noProof/>
          <w:lang w:val="fr-FR" w:eastAsia="fr-FR"/>
        </w:rPr>
        <w:t>Président</w:t>
      </w:r>
    </w:p>
    <w:p w:rsidR="00BC1775" w:rsidRDefault="00BC1775">
      <w:pPr>
        <w:jc w:val="left"/>
        <w:rPr>
          <w:noProof/>
          <w:lang w:val="fr-FR" w:eastAsia="fr-FR"/>
        </w:rPr>
      </w:pPr>
      <w:bookmarkStart w:id="11" w:name="TableStart"/>
      <w:bookmarkEnd w:id="11"/>
      <w:r>
        <w:rPr>
          <w:noProof/>
          <w:lang w:val="fr-FR" w:eastAsia="fr-FR"/>
        </w:rPr>
        <w:br w:type="page"/>
      </w:r>
    </w:p>
    <w:p w:rsidR="004D15F3" w:rsidRDefault="004D15F3" w:rsidP="00BC0135">
      <w:pPr>
        <w:pStyle w:val="ECHRPara"/>
        <w:ind w:firstLine="0"/>
        <w:rPr>
          <w:lang w:val="fr-FR"/>
        </w:rPr>
      </w:pPr>
    </w:p>
    <w:p w:rsidR="00EA2AE2" w:rsidRPr="00E51983" w:rsidRDefault="00EA2AE2" w:rsidP="00EA2AE2">
      <w:pPr>
        <w:jc w:val="center"/>
        <w:rPr>
          <w:noProof/>
          <w:u w:val="single"/>
          <w:lang w:val="fr-FR" w:eastAsia="fr-FR"/>
        </w:rPr>
      </w:pPr>
      <w:r w:rsidRPr="00E51983">
        <w:rPr>
          <w:noProof/>
          <w:u w:val="single"/>
          <w:lang w:val="fr-FR" w:eastAsia="fr-FR"/>
        </w:rPr>
        <w:t>ANNEXE</w:t>
      </w:r>
    </w:p>
    <w:p w:rsidR="00EA2AE2" w:rsidRPr="00E51983" w:rsidRDefault="00EA2AE2" w:rsidP="00EA2AE2">
      <w:pPr>
        <w:jc w:val="left"/>
        <w:rPr>
          <w:noProof/>
          <w:lang w:val="fr-FR" w:eastAsia="fr-FR"/>
        </w:rPr>
      </w:pPr>
    </w:p>
    <w:tbl>
      <w:tblPr>
        <w:tblStyle w:val="Tabela-Siatka"/>
        <w:tblW w:w="10774" w:type="dxa"/>
        <w:tblInd w:w="-1452" w:type="dxa"/>
        <w:tblLayout w:type="fixed"/>
        <w:tblLook w:val="04A0" w:firstRow="1" w:lastRow="0" w:firstColumn="1" w:lastColumn="0" w:noHBand="0" w:noVBand="1"/>
      </w:tblPr>
      <w:tblGrid>
        <w:gridCol w:w="567"/>
        <w:gridCol w:w="993"/>
        <w:gridCol w:w="1985"/>
        <w:gridCol w:w="1984"/>
        <w:gridCol w:w="1134"/>
        <w:gridCol w:w="1134"/>
        <w:gridCol w:w="1134"/>
        <w:gridCol w:w="1843"/>
      </w:tblGrid>
      <w:tr w:rsidR="00EA2AE2" w:rsidRPr="00A977F5" w:rsidTr="00031887">
        <w:trPr>
          <w:tblHeader/>
        </w:trPr>
        <w:tc>
          <w:tcPr>
            <w:tcW w:w="567" w:type="dxa"/>
            <w:shd w:val="clear" w:color="auto" w:fill="C6C6C6" w:themeFill="text2"/>
            <w:vAlign w:val="center"/>
          </w:tcPr>
          <w:p w:rsidR="00EA2AE2" w:rsidRPr="00C42092" w:rsidRDefault="00EA2AE2" w:rsidP="00031887">
            <w:pPr>
              <w:jc w:val="center"/>
              <w:rPr>
                <w:rFonts w:ascii="Times New Roman" w:hAnsi="Times New Roman" w:cs="Times New Roman"/>
                <w:sz w:val="16"/>
                <w:szCs w:val="16"/>
                <w:lang w:val="fr-FR"/>
              </w:rPr>
            </w:pPr>
            <w:r w:rsidRPr="00C42092">
              <w:rPr>
                <w:rFonts w:ascii="Times New Roman" w:hAnsi="Times New Roman" w:cs="Times New Roman"/>
                <w:sz w:val="16"/>
                <w:szCs w:val="16"/>
                <w:lang w:val="fr-FR"/>
              </w:rPr>
              <w:t>N</w:t>
            </w:r>
            <w:r w:rsidRPr="00C42092">
              <w:rPr>
                <w:rFonts w:ascii="Times New Roman" w:hAnsi="Times New Roman" w:cs="Times New Roman"/>
                <w:sz w:val="16"/>
                <w:szCs w:val="16"/>
                <w:vertAlign w:val="superscript"/>
                <w:lang w:val="fr-FR"/>
              </w:rPr>
              <w:t>o</w:t>
            </w:r>
            <w:r w:rsidRPr="00C42092">
              <w:rPr>
                <w:rFonts w:ascii="Times New Roman" w:hAnsi="Times New Roman" w:cs="Times New Roman"/>
                <w:b/>
                <w:sz w:val="16"/>
                <w:szCs w:val="16"/>
                <w:lang w:val="fr-FR"/>
              </w:rPr>
              <w:t xml:space="preserve"> </w:t>
            </w:r>
            <w:r w:rsidRPr="00C42092">
              <w:rPr>
                <w:rFonts w:ascii="Times New Roman" w:hAnsi="Times New Roman" w:cs="Times New Roman"/>
                <w:sz w:val="16"/>
                <w:szCs w:val="16"/>
                <w:lang w:val="fr-FR"/>
              </w:rPr>
              <w:t>ordre</w:t>
            </w:r>
          </w:p>
        </w:tc>
        <w:tc>
          <w:tcPr>
            <w:tcW w:w="993" w:type="dxa"/>
            <w:shd w:val="clear" w:color="auto" w:fill="C6C6C6" w:themeFill="text2"/>
            <w:vAlign w:val="center"/>
          </w:tcPr>
          <w:p w:rsidR="00EA2AE2" w:rsidRPr="00876E01" w:rsidRDefault="00EA2AE2" w:rsidP="00031887">
            <w:pPr>
              <w:jc w:val="center"/>
              <w:rPr>
                <w:rFonts w:ascii="Times New Roman" w:hAnsi="Times New Roman" w:cs="Times New Roman"/>
                <w:sz w:val="20"/>
                <w:szCs w:val="20"/>
                <w:lang w:val="fr-FR"/>
              </w:rPr>
            </w:pPr>
            <w:r w:rsidRPr="00876E01">
              <w:rPr>
                <w:rFonts w:ascii="Times New Roman" w:hAnsi="Times New Roman" w:cs="Times New Roman"/>
                <w:sz w:val="20"/>
                <w:szCs w:val="20"/>
                <w:lang w:val="fr-FR"/>
              </w:rPr>
              <w:t>N</w:t>
            </w:r>
            <w:r w:rsidRPr="00876E01">
              <w:rPr>
                <w:rFonts w:ascii="Times New Roman" w:hAnsi="Times New Roman" w:cs="Times New Roman"/>
                <w:sz w:val="20"/>
                <w:szCs w:val="20"/>
                <w:vertAlign w:val="superscript"/>
                <w:lang w:val="fr-FR"/>
              </w:rPr>
              <w:t>o</w:t>
            </w:r>
            <w:r w:rsidRPr="00876E01">
              <w:rPr>
                <w:rFonts w:ascii="Times New Roman" w:hAnsi="Times New Roman" w:cs="Times New Roman"/>
                <w:sz w:val="20"/>
                <w:szCs w:val="20"/>
                <w:lang w:val="fr-FR"/>
              </w:rPr>
              <w:t xml:space="preserve"> d</w:t>
            </w:r>
            <w:r w:rsidR="00A977F5">
              <w:rPr>
                <w:rFonts w:ascii="Times New Roman" w:hAnsi="Times New Roman" w:cs="Times New Roman"/>
                <w:sz w:val="20"/>
                <w:szCs w:val="20"/>
                <w:lang w:val="fr-FR"/>
              </w:rPr>
              <w:t>’</w:t>
            </w:r>
            <w:r w:rsidRPr="00876E01">
              <w:rPr>
                <w:rFonts w:ascii="Times New Roman" w:hAnsi="Times New Roman" w:cs="Times New Roman"/>
                <w:sz w:val="20"/>
                <w:szCs w:val="20"/>
                <w:lang w:val="fr-FR"/>
              </w:rPr>
              <w:t>affaire</w:t>
            </w:r>
          </w:p>
        </w:tc>
        <w:tc>
          <w:tcPr>
            <w:tcW w:w="1985" w:type="dxa"/>
            <w:shd w:val="clear" w:color="auto" w:fill="C6C6C6" w:themeFill="text2"/>
            <w:vAlign w:val="center"/>
          </w:tcPr>
          <w:p w:rsidR="00EA2AE2" w:rsidRPr="00876E01" w:rsidRDefault="00EA2AE2" w:rsidP="00031887">
            <w:pPr>
              <w:jc w:val="center"/>
              <w:rPr>
                <w:rFonts w:ascii="Times New Roman" w:hAnsi="Times New Roman" w:cs="Times New Roman"/>
                <w:sz w:val="20"/>
                <w:szCs w:val="20"/>
                <w:lang w:val="fr-FR"/>
              </w:rPr>
            </w:pPr>
            <w:r w:rsidRPr="00876E01">
              <w:rPr>
                <w:rFonts w:ascii="Times New Roman" w:hAnsi="Times New Roman" w:cs="Times New Roman"/>
                <w:sz w:val="20"/>
                <w:szCs w:val="20"/>
                <w:lang w:val="fr-FR"/>
              </w:rPr>
              <w:t>Nom de l</w:t>
            </w:r>
            <w:r w:rsidR="00A977F5">
              <w:rPr>
                <w:rFonts w:ascii="Times New Roman" w:hAnsi="Times New Roman" w:cs="Times New Roman"/>
                <w:sz w:val="20"/>
                <w:szCs w:val="20"/>
                <w:lang w:val="fr-FR"/>
              </w:rPr>
              <w:t>’</w:t>
            </w:r>
            <w:r w:rsidRPr="00876E01">
              <w:rPr>
                <w:rFonts w:ascii="Times New Roman" w:hAnsi="Times New Roman" w:cs="Times New Roman"/>
                <w:sz w:val="20"/>
                <w:szCs w:val="20"/>
                <w:lang w:val="fr-FR"/>
              </w:rPr>
              <w:t>affaire et date de naissance du requérant</w:t>
            </w:r>
          </w:p>
        </w:tc>
        <w:tc>
          <w:tcPr>
            <w:tcW w:w="1984" w:type="dxa"/>
            <w:shd w:val="clear" w:color="auto" w:fill="C6C6C6" w:themeFill="text2"/>
            <w:vAlign w:val="center"/>
          </w:tcPr>
          <w:p w:rsidR="00EA2AE2" w:rsidRPr="00876E01" w:rsidRDefault="00EA2AE2" w:rsidP="00031887">
            <w:pPr>
              <w:jc w:val="center"/>
              <w:rPr>
                <w:rFonts w:ascii="Times New Roman" w:hAnsi="Times New Roman" w:cs="Times New Roman"/>
                <w:sz w:val="20"/>
                <w:szCs w:val="20"/>
                <w:lang w:val="fr-FR"/>
              </w:rPr>
            </w:pPr>
            <w:r w:rsidRPr="00876E01">
              <w:rPr>
                <w:rFonts w:ascii="Times New Roman" w:hAnsi="Times New Roman" w:cs="Times New Roman"/>
                <w:sz w:val="20"/>
                <w:szCs w:val="20"/>
                <w:lang w:val="fr-FR"/>
              </w:rPr>
              <w:t>Nom du représentant</w:t>
            </w:r>
          </w:p>
        </w:tc>
        <w:tc>
          <w:tcPr>
            <w:tcW w:w="1134" w:type="dxa"/>
            <w:shd w:val="clear" w:color="auto" w:fill="C6C6C6" w:themeFill="text2"/>
            <w:vAlign w:val="center"/>
          </w:tcPr>
          <w:p w:rsidR="00EA2AE2" w:rsidRPr="00876E01" w:rsidRDefault="00EA2AE2" w:rsidP="00031887">
            <w:pPr>
              <w:jc w:val="center"/>
              <w:rPr>
                <w:rFonts w:ascii="Times New Roman" w:hAnsi="Times New Roman" w:cs="Times New Roman"/>
                <w:sz w:val="20"/>
                <w:szCs w:val="20"/>
                <w:lang w:val="fr-FR"/>
              </w:rPr>
            </w:pPr>
          </w:p>
          <w:p w:rsidR="00EA2AE2" w:rsidRPr="00876E01" w:rsidRDefault="00EA2AE2" w:rsidP="00031887">
            <w:pPr>
              <w:jc w:val="center"/>
              <w:rPr>
                <w:rFonts w:ascii="Times New Roman" w:hAnsi="Times New Roman" w:cs="Times New Roman"/>
                <w:sz w:val="20"/>
                <w:szCs w:val="20"/>
                <w:lang w:val="fr-FR"/>
              </w:rPr>
            </w:pPr>
            <w:r w:rsidRPr="00876E01">
              <w:rPr>
                <w:rFonts w:ascii="Times New Roman" w:hAnsi="Times New Roman" w:cs="Times New Roman"/>
                <w:sz w:val="20"/>
                <w:szCs w:val="20"/>
                <w:lang w:val="fr-FR"/>
              </w:rPr>
              <w:t>Date d</w:t>
            </w:r>
            <w:r w:rsidR="00A977F5">
              <w:rPr>
                <w:rFonts w:ascii="Times New Roman" w:hAnsi="Times New Roman" w:cs="Times New Roman"/>
                <w:sz w:val="20"/>
                <w:szCs w:val="20"/>
                <w:lang w:val="fr-FR"/>
              </w:rPr>
              <w:t>’</w:t>
            </w:r>
            <w:r w:rsidRPr="00876E01">
              <w:rPr>
                <w:rFonts w:ascii="Times New Roman" w:hAnsi="Times New Roman" w:cs="Times New Roman"/>
                <w:sz w:val="20"/>
                <w:szCs w:val="20"/>
                <w:lang w:val="fr-FR"/>
              </w:rPr>
              <w:t>introduc-tion</w:t>
            </w:r>
          </w:p>
        </w:tc>
        <w:tc>
          <w:tcPr>
            <w:tcW w:w="1134" w:type="dxa"/>
            <w:shd w:val="clear" w:color="auto" w:fill="C6C6C6" w:themeFill="text2"/>
            <w:vAlign w:val="center"/>
          </w:tcPr>
          <w:p w:rsidR="00EA2AE2" w:rsidRPr="00876E01" w:rsidRDefault="00EA2AE2" w:rsidP="00031887">
            <w:pPr>
              <w:jc w:val="center"/>
              <w:rPr>
                <w:rFonts w:ascii="Times New Roman" w:hAnsi="Times New Roman" w:cs="Times New Roman"/>
                <w:sz w:val="20"/>
                <w:szCs w:val="20"/>
                <w:lang w:val="fr-FR"/>
              </w:rPr>
            </w:pPr>
            <w:r w:rsidRPr="00876E01">
              <w:rPr>
                <w:rFonts w:ascii="Times New Roman" w:hAnsi="Times New Roman" w:cs="Times New Roman"/>
                <w:sz w:val="20"/>
                <w:szCs w:val="20"/>
                <w:lang w:val="fr-FR"/>
              </w:rPr>
              <w:t>Date d</w:t>
            </w:r>
            <w:r w:rsidR="00A977F5">
              <w:rPr>
                <w:rFonts w:ascii="Times New Roman" w:hAnsi="Times New Roman" w:cs="Times New Roman"/>
                <w:sz w:val="20"/>
                <w:szCs w:val="20"/>
                <w:lang w:val="fr-FR"/>
              </w:rPr>
              <w:t>’</w:t>
            </w:r>
            <w:r w:rsidRPr="00876E01">
              <w:rPr>
                <w:rFonts w:ascii="Times New Roman" w:hAnsi="Times New Roman" w:cs="Times New Roman"/>
                <w:sz w:val="20"/>
                <w:szCs w:val="20"/>
                <w:lang w:val="fr-FR"/>
              </w:rPr>
              <w:t>applica-</w:t>
            </w:r>
          </w:p>
          <w:p w:rsidR="00EA2AE2" w:rsidRPr="00876E01" w:rsidRDefault="00EA2AE2" w:rsidP="00031887">
            <w:pPr>
              <w:jc w:val="center"/>
              <w:rPr>
                <w:rFonts w:ascii="Times New Roman" w:hAnsi="Times New Roman" w:cs="Times New Roman"/>
                <w:sz w:val="20"/>
                <w:szCs w:val="20"/>
                <w:lang w:val="fr-FR"/>
              </w:rPr>
            </w:pPr>
            <w:r w:rsidRPr="00876E01">
              <w:rPr>
                <w:rFonts w:ascii="Times New Roman" w:hAnsi="Times New Roman" w:cs="Times New Roman"/>
                <w:sz w:val="20"/>
                <w:szCs w:val="20"/>
                <w:lang w:val="fr-FR"/>
              </w:rPr>
              <w:t>tion de l</w:t>
            </w:r>
            <w:r w:rsidR="00A977F5">
              <w:rPr>
                <w:rFonts w:ascii="Times New Roman" w:hAnsi="Times New Roman" w:cs="Times New Roman"/>
                <w:sz w:val="20"/>
                <w:szCs w:val="20"/>
                <w:lang w:val="fr-FR"/>
              </w:rPr>
              <w:t>’</w:t>
            </w:r>
            <w:r w:rsidRPr="00876E01">
              <w:rPr>
                <w:rFonts w:ascii="Times New Roman" w:hAnsi="Times New Roman" w:cs="Times New Roman"/>
                <w:sz w:val="20"/>
                <w:szCs w:val="20"/>
                <w:lang w:val="fr-FR"/>
              </w:rPr>
              <w:t>article 39</w:t>
            </w:r>
          </w:p>
        </w:tc>
        <w:tc>
          <w:tcPr>
            <w:tcW w:w="1134" w:type="dxa"/>
            <w:shd w:val="clear" w:color="auto" w:fill="C6C6C6" w:themeFill="text2"/>
            <w:vAlign w:val="center"/>
          </w:tcPr>
          <w:p w:rsidR="00EA2AE2" w:rsidRPr="00876E01" w:rsidRDefault="00EA2AE2" w:rsidP="00031887">
            <w:pPr>
              <w:jc w:val="center"/>
              <w:rPr>
                <w:rFonts w:ascii="Times New Roman" w:hAnsi="Times New Roman" w:cs="Times New Roman"/>
                <w:sz w:val="20"/>
                <w:szCs w:val="20"/>
                <w:lang w:val="fr-FR"/>
              </w:rPr>
            </w:pPr>
            <w:r w:rsidRPr="00876E01">
              <w:rPr>
                <w:rFonts w:ascii="Times New Roman" w:hAnsi="Times New Roman" w:cs="Times New Roman"/>
                <w:sz w:val="20"/>
                <w:szCs w:val="20"/>
                <w:lang w:val="fr-FR"/>
              </w:rPr>
              <w:t>Date de communi-</w:t>
            </w:r>
          </w:p>
          <w:p w:rsidR="00EA2AE2" w:rsidRPr="00876E01" w:rsidRDefault="00EA2AE2" w:rsidP="00031887">
            <w:pPr>
              <w:jc w:val="center"/>
              <w:rPr>
                <w:rFonts w:ascii="Times New Roman" w:hAnsi="Times New Roman" w:cs="Times New Roman"/>
                <w:sz w:val="20"/>
                <w:szCs w:val="20"/>
                <w:lang w:val="fr-FR"/>
              </w:rPr>
            </w:pPr>
            <w:r w:rsidRPr="00876E01">
              <w:rPr>
                <w:rFonts w:ascii="Times New Roman" w:hAnsi="Times New Roman" w:cs="Times New Roman"/>
                <w:sz w:val="20"/>
                <w:szCs w:val="20"/>
                <w:lang w:val="fr-FR"/>
              </w:rPr>
              <w:t>cation</w:t>
            </w:r>
          </w:p>
        </w:tc>
        <w:tc>
          <w:tcPr>
            <w:tcW w:w="1843" w:type="dxa"/>
            <w:shd w:val="clear" w:color="auto" w:fill="C6C6C6" w:themeFill="text2"/>
            <w:vAlign w:val="center"/>
          </w:tcPr>
          <w:p w:rsidR="00EA2AE2" w:rsidRPr="00876E01" w:rsidRDefault="00EA2AE2" w:rsidP="00031887">
            <w:pPr>
              <w:ind w:right="176"/>
              <w:jc w:val="center"/>
              <w:rPr>
                <w:rFonts w:ascii="Times New Roman" w:hAnsi="Times New Roman" w:cs="Times New Roman"/>
                <w:sz w:val="20"/>
                <w:szCs w:val="20"/>
                <w:lang w:val="fr-FR"/>
              </w:rPr>
            </w:pPr>
            <w:r w:rsidRPr="00876E01">
              <w:rPr>
                <w:rFonts w:ascii="Times New Roman" w:hAnsi="Times New Roman" w:cs="Times New Roman"/>
                <w:sz w:val="20"/>
                <w:szCs w:val="20"/>
                <w:lang w:val="fr-FR"/>
              </w:rPr>
              <w:t>Arrêt de l</w:t>
            </w:r>
            <w:r w:rsidR="00A977F5">
              <w:rPr>
                <w:rFonts w:ascii="Times New Roman" w:hAnsi="Times New Roman" w:cs="Times New Roman"/>
                <w:sz w:val="20"/>
                <w:szCs w:val="20"/>
                <w:lang w:val="fr-FR"/>
              </w:rPr>
              <w:t>’</w:t>
            </w:r>
            <w:r w:rsidRPr="00876E01">
              <w:rPr>
                <w:rFonts w:ascii="Times New Roman" w:hAnsi="Times New Roman" w:cs="Times New Roman"/>
                <w:sz w:val="20"/>
                <w:szCs w:val="20"/>
                <w:lang w:val="fr-FR"/>
              </w:rPr>
              <w:t>AN (rejet du recours de contentieux administratif)</w:t>
            </w:r>
          </w:p>
        </w:tc>
      </w:tr>
      <w:tr w:rsidR="00EA2AE2" w:rsidRPr="00BC1775" w:rsidTr="00031887">
        <w:tc>
          <w:tcPr>
            <w:tcW w:w="567"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1.</w:t>
            </w:r>
          </w:p>
        </w:tc>
        <w:tc>
          <w:tcPr>
            <w:tcW w:w="993"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6528/11</w:t>
            </w:r>
          </w:p>
        </w:tc>
        <w:tc>
          <w:tcPr>
            <w:tcW w:w="1985" w:type="dxa"/>
          </w:tcPr>
          <w:p w:rsidR="00EA2AE2" w:rsidRPr="00BC1775" w:rsidRDefault="00EA2AE2" w:rsidP="00031887">
            <w:pPr>
              <w:jc w:val="left"/>
              <w:rPr>
                <w:rFonts w:ascii="Times New Roman" w:hAnsi="Times New Roman" w:cs="Times New Roman"/>
                <w:bCs/>
                <w:color w:val="000000"/>
                <w:sz w:val="20"/>
                <w:szCs w:val="20"/>
                <w:lang w:val="fr-FR"/>
              </w:rPr>
            </w:pPr>
            <w:r w:rsidRPr="00BC1775">
              <w:rPr>
                <w:rFonts w:ascii="Times New Roman" w:hAnsi="Times New Roman" w:cs="Times New Roman"/>
                <w:bCs/>
                <w:color w:val="000000"/>
                <w:sz w:val="20"/>
                <w:szCs w:val="20"/>
                <w:lang w:val="fr-FR"/>
              </w:rPr>
              <w:t>A.C. c. Espagne</w:t>
            </w:r>
          </w:p>
          <w:p w:rsidR="00EA2AE2" w:rsidRPr="00876E01" w:rsidRDefault="00EA2AE2" w:rsidP="00031887">
            <w:pPr>
              <w:jc w:val="left"/>
              <w:rPr>
                <w:sz w:val="20"/>
                <w:szCs w:val="20"/>
              </w:rPr>
            </w:pPr>
            <w:r w:rsidRPr="00BC1775">
              <w:rPr>
                <w:sz w:val="20"/>
                <w:szCs w:val="20"/>
              </w:rPr>
              <w:t>18/07/1991</w:t>
            </w:r>
          </w:p>
        </w:tc>
        <w:tc>
          <w:tcPr>
            <w:tcW w:w="198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E. Gracia Cano</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28/01/2011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31/01/2011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07/11/2011</w:t>
            </w:r>
          </w:p>
        </w:tc>
        <w:tc>
          <w:tcPr>
            <w:tcW w:w="1843" w:type="dxa"/>
          </w:tcPr>
          <w:p w:rsidR="00EA2AE2" w:rsidRPr="00BC1775" w:rsidRDefault="00EA2AE2" w:rsidP="00031887">
            <w:pPr>
              <w:ind w:right="176"/>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8.10.2012</w:t>
            </w:r>
          </w:p>
        </w:tc>
      </w:tr>
      <w:tr w:rsidR="00EA2AE2" w:rsidRPr="00BC1775" w:rsidTr="00031887">
        <w:tc>
          <w:tcPr>
            <w:tcW w:w="567"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w:t>
            </w:r>
          </w:p>
        </w:tc>
        <w:tc>
          <w:tcPr>
            <w:tcW w:w="993"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6529/11</w:t>
            </w:r>
          </w:p>
        </w:tc>
        <w:tc>
          <w:tcPr>
            <w:tcW w:w="1985" w:type="dxa"/>
          </w:tcPr>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M.L. c. Espagne</w:t>
            </w:r>
          </w:p>
          <w:p w:rsidR="00EA2AE2" w:rsidRPr="00876E01" w:rsidRDefault="00EA2AE2" w:rsidP="00031887">
            <w:pPr>
              <w:jc w:val="left"/>
              <w:rPr>
                <w:sz w:val="20"/>
                <w:szCs w:val="20"/>
              </w:rPr>
            </w:pPr>
            <w:r w:rsidRPr="00BC1775">
              <w:rPr>
                <w:sz w:val="20"/>
                <w:szCs w:val="20"/>
              </w:rPr>
              <w:t>01/01/1985</w:t>
            </w:r>
          </w:p>
        </w:tc>
        <w:tc>
          <w:tcPr>
            <w:tcW w:w="198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E. Gracia Cano</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28/01/2011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31/01/2011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07/11/2011</w:t>
            </w:r>
          </w:p>
        </w:tc>
        <w:tc>
          <w:tcPr>
            <w:tcW w:w="1843" w:type="dxa"/>
          </w:tcPr>
          <w:p w:rsidR="00EA2AE2" w:rsidRPr="00BC1775" w:rsidRDefault="00EA2AE2" w:rsidP="00031887">
            <w:pPr>
              <w:ind w:right="176"/>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23.07.2011</w:t>
            </w:r>
          </w:p>
        </w:tc>
      </w:tr>
      <w:tr w:rsidR="00EA2AE2" w:rsidRPr="00BC1775" w:rsidTr="00031887">
        <w:tc>
          <w:tcPr>
            <w:tcW w:w="567"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3.</w:t>
            </w:r>
          </w:p>
        </w:tc>
        <w:tc>
          <w:tcPr>
            <w:tcW w:w="993"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6530/11</w:t>
            </w:r>
          </w:p>
        </w:tc>
        <w:tc>
          <w:tcPr>
            <w:tcW w:w="1985" w:type="dxa"/>
          </w:tcPr>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M.A.E.K. c. Espagne</w:t>
            </w:r>
          </w:p>
          <w:p w:rsidR="00EA2AE2" w:rsidRPr="00876E01" w:rsidRDefault="00EA2AE2" w:rsidP="00031887">
            <w:pPr>
              <w:jc w:val="left"/>
              <w:rPr>
                <w:sz w:val="20"/>
                <w:szCs w:val="20"/>
              </w:rPr>
            </w:pPr>
            <w:r w:rsidRPr="00BC1775">
              <w:rPr>
                <w:sz w:val="20"/>
                <w:szCs w:val="20"/>
              </w:rPr>
              <w:t>11/02/1990</w:t>
            </w:r>
          </w:p>
        </w:tc>
        <w:tc>
          <w:tcPr>
            <w:tcW w:w="198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E. Gracia Cano</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28/01/2011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31/01/2011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07/11/2011</w:t>
            </w:r>
          </w:p>
        </w:tc>
        <w:tc>
          <w:tcPr>
            <w:tcW w:w="1843" w:type="dxa"/>
          </w:tcPr>
          <w:p w:rsidR="00EA2AE2" w:rsidRPr="00BC1775" w:rsidRDefault="00EA2AE2" w:rsidP="00031887">
            <w:pPr>
              <w:ind w:right="176"/>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 xml:space="preserve">27.01.2012 </w:t>
            </w:r>
          </w:p>
        </w:tc>
      </w:tr>
      <w:tr w:rsidR="00EA2AE2" w:rsidRPr="00BC1775" w:rsidTr="00031887">
        <w:tc>
          <w:tcPr>
            <w:tcW w:w="567"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4.</w:t>
            </w:r>
          </w:p>
        </w:tc>
        <w:tc>
          <w:tcPr>
            <w:tcW w:w="993"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6559/11</w:t>
            </w:r>
          </w:p>
        </w:tc>
        <w:tc>
          <w:tcPr>
            <w:tcW w:w="1985" w:type="dxa"/>
          </w:tcPr>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H.B. c. Espagne</w:t>
            </w:r>
          </w:p>
          <w:p w:rsidR="00EA2AE2" w:rsidRPr="00876E01" w:rsidRDefault="00EA2AE2" w:rsidP="00031887">
            <w:pPr>
              <w:jc w:val="left"/>
              <w:rPr>
                <w:sz w:val="20"/>
                <w:szCs w:val="20"/>
              </w:rPr>
            </w:pPr>
            <w:r w:rsidRPr="00BC1775">
              <w:rPr>
                <w:sz w:val="20"/>
                <w:szCs w:val="20"/>
              </w:rPr>
              <w:t>05/12/1964</w:t>
            </w:r>
          </w:p>
        </w:tc>
        <w:tc>
          <w:tcPr>
            <w:tcW w:w="198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E. Gracia Cano</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28/01/2011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31/01/2011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07/11/2011</w:t>
            </w:r>
          </w:p>
        </w:tc>
        <w:tc>
          <w:tcPr>
            <w:tcW w:w="1843" w:type="dxa"/>
          </w:tcPr>
          <w:p w:rsidR="00EA2AE2" w:rsidRPr="00BC1775" w:rsidRDefault="00EA2AE2" w:rsidP="00031887">
            <w:pPr>
              <w:ind w:right="176"/>
              <w:jc w:val="left"/>
              <w:rPr>
                <w:rFonts w:ascii="Times New Roman" w:hAnsi="Times New Roman" w:cs="Times New Roman"/>
                <w:sz w:val="20"/>
                <w:szCs w:val="20"/>
                <w:lang w:val="fr-FR"/>
              </w:rPr>
            </w:pPr>
          </w:p>
        </w:tc>
      </w:tr>
      <w:tr w:rsidR="00EA2AE2" w:rsidRPr="00BC1775" w:rsidTr="00031887">
        <w:tc>
          <w:tcPr>
            <w:tcW w:w="567"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5.</w:t>
            </w:r>
          </w:p>
        </w:tc>
        <w:tc>
          <w:tcPr>
            <w:tcW w:w="993"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6562/11</w:t>
            </w:r>
          </w:p>
        </w:tc>
        <w:tc>
          <w:tcPr>
            <w:tcW w:w="1985" w:type="dxa"/>
          </w:tcPr>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M.M. c. Espagne</w:t>
            </w:r>
          </w:p>
          <w:p w:rsidR="00EA2AE2" w:rsidRPr="00876E01" w:rsidRDefault="00EA2AE2" w:rsidP="00031887">
            <w:pPr>
              <w:jc w:val="left"/>
              <w:rPr>
                <w:sz w:val="20"/>
                <w:szCs w:val="20"/>
              </w:rPr>
            </w:pPr>
            <w:r w:rsidRPr="00BC1775">
              <w:rPr>
                <w:sz w:val="20"/>
                <w:szCs w:val="20"/>
              </w:rPr>
              <w:t>08/03/1983</w:t>
            </w:r>
          </w:p>
        </w:tc>
        <w:tc>
          <w:tcPr>
            <w:tcW w:w="198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E. Gracia Cano</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28/01/2011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31/01/2011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07/11/2011</w:t>
            </w:r>
          </w:p>
        </w:tc>
        <w:tc>
          <w:tcPr>
            <w:tcW w:w="1843" w:type="dxa"/>
          </w:tcPr>
          <w:p w:rsidR="00EA2AE2" w:rsidRPr="00BC1775" w:rsidRDefault="00EA2AE2" w:rsidP="00031887">
            <w:pPr>
              <w:ind w:right="176"/>
              <w:jc w:val="left"/>
              <w:rPr>
                <w:rFonts w:ascii="Times New Roman" w:hAnsi="Times New Roman" w:cs="Times New Roman"/>
                <w:sz w:val="20"/>
                <w:szCs w:val="20"/>
                <w:lang w:val="fr-FR"/>
              </w:rPr>
            </w:pPr>
          </w:p>
        </w:tc>
      </w:tr>
      <w:tr w:rsidR="00EA2AE2" w:rsidRPr="00BC1775" w:rsidTr="00031887">
        <w:tc>
          <w:tcPr>
            <w:tcW w:w="567"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6.</w:t>
            </w:r>
          </w:p>
        </w:tc>
        <w:tc>
          <w:tcPr>
            <w:tcW w:w="993"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6569/11</w:t>
            </w:r>
          </w:p>
        </w:tc>
        <w:tc>
          <w:tcPr>
            <w:tcW w:w="1985" w:type="dxa"/>
          </w:tcPr>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H.E.M. c. Espagne</w:t>
            </w:r>
          </w:p>
          <w:p w:rsidR="00EA2AE2" w:rsidRPr="00BC1775" w:rsidRDefault="00EA2AE2" w:rsidP="00031887">
            <w:pPr>
              <w:jc w:val="left"/>
              <w:rPr>
                <w:sz w:val="20"/>
                <w:szCs w:val="20"/>
                <w:lang w:val="fr-FR"/>
              </w:rPr>
            </w:pPr>
            <w:r w:rsidRPr="00BC1775">
              <w:rPr>
                <w:sz w:val="20"/>
                <w:szCs w:val="20"/>
                <w:lang w:val="fr-FR"/>
              </w:rPr>
              <w:t>15/07/1991</w:t>
            </w:r>
          </w:p>
        </w:tc>
        <w:tc>
          <w:tcPr>
            <w:tcW w:w="198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E. Gracia Cano</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28/01/2011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31/01/2011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07/11/2011</w:t>
            </w:r>
          </w:p>
        </w:tc>
        <w:tc>
          <w:tcPr>
            <w:tcW w:w="1843" w:type="dxa"/>
          </w:tcPr>
          <w:p w:rsidR="00EA2AE2" w:rsidRPr="00BC1775" w:rsidRDefault="00EA2AE2" w:rsidP="00031887">
            <w:pPr>
              <w:ind w:right="176"/>
              <w:jc w:val="left"/>
              <w:rPr>
                <w:rFonts w:ascii="Times New Roman" w:hAnsi="Times New Roman" w:cs="Times New Roman"/>
                <w:sz w:val="20"/>
                <w:szCs w:val="20"/>
                <w:lang w:val="fr-FR"/>
              </w:rPr>
            </w:pPr>
          </w:p>
        </w:tc>
      </w:tr>
      <w:tr w:rsidR="00EA2AE2" w:rsidRPr="00BC1775" w:rsidTr="00031887">
        <w:tc>
          <w:tcPr>
            <w:tcW w:w="567"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7.</w:t>
            </w:r>
          </w:p>
        </w:tc>
        <w:tc>
          <w:tcPr>
            <w:tcW w:w="993"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6572/11</w:t>
            </w:r>
          </w:p>
        </w:tc>
        <w:tc>
          <w:tcPr>
            <w:tcW w:w="1985" w:type="dxa"/>
          </w:tcPr>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M.A. c. Espagne</w:t>
            </w:r>
          </w:p>
          <w:p w:rsidR="00EA2AE2" w:rsidRPr="00876E01" w:rsidRDefault="00EA2AE2" w:rsidP="00031887">
            <w:pPr>
              <w:jc w:val="left"/>
              <w:rPr>
                <w:sz w:val="20"/>
                <w:szCs w:val="20"/>
              </w:rPr>
            </w:pPr>
            <w:r w:rsidRPr="00BC1775">
              <w:rPr>
                <w:sz w:val="20"/>
                <w:szCs w:val="20"/>
              </w:rPr>
              <w:t>23/08/1987</w:t>
            </w:r>
          </w:p>
        </w:tc>
        <w:tc>
          <w:tcPr>
            <w:tcW w:w="198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E. Gracia Cano</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28/01/2011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31/01/2011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07/11/2011</w:t>
            </w:r>
          </w:p>
        </w:tc>
        <w:tc>
          <w:tcPr>
            <w:tcW w:w="1843" w:type="dxa"/>
          </w:tcPr>
          <w:p w:rsidR="00EA2AE2" w:rsidRPr="00BC1775" w:rsidRDefault="00EA2AE2" w:rsidP="00031887">
            <w:pPr>
              <w:ind w:right="176"/>
              <w:jc w:val="left"/>
              <w:rPr>
                <w:rFonts w:ascii="Times New Roman" w:hAnsi="Times New Roman" w:cs="Times New Roman"/>
                <w:sz w:val="20"/>
                <w:szCs w:val="20"/>
                <w:lang w:val="fr-FR"/>
              </w:rPr>
            </w:pPr>
          </w:p>
        </w:tc>
      </w:tr>
      <w:tr w:rsidR="00EA2AE2" w:rsidRPr="00BC1775" w:rsidTr="00031887">
        <w:tc>
          <w:tcPr>
            <w:tcW w:w="567"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8.</w:t>
            </w:r>
          </w:p>
        </w:tc>
        <w:tc>
          <w:tcPr>
            <w:tcW w:w="993"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6574/11</w:t>
            </w:r>
          </w:p>
        </w:tc>
        <w:tc>
          <w:tcPr>
            <w:tcW w:w="1985" w:type="dxa"/>
          </w:tcPr>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R.E.K. c. Espagne</w:t>
            </w:r>
          </w:p>
          <w:p w:rsidR="00EA2AE2" w:rsidRPr="00BC1775" w:rsidRDefault="00EA2AE2" w:rsidP="00031887">
            <w:pPr>
              <w:jc w:val="left"/>
              <w:rPr>
                <w:sz w:val="20"/>
                <w:szCs w:val="20"/>
                <w:lang w:val="fr-FR"/>
              </w:rPr>
            </w:pPr>
            <w:r w:rsidRPr="00BC1775">
              <w:rPr>
                <w:sz w:val="20"/>
                <w:szCs w:val="20"/>
                <w:lang w:val="fr-FR"/>
              </w:rPr>
              <w:t>01/03/1987</w:t>
            </w:r>
          </w:p>
        </w:tc>
        <w:tc>
          <w:tcPr>
            <w:tcW w:w="198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E. Gracia Cano</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28/01/2011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31/01/2011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07/11/2011</w:t>
            </w:r>
          </w:p>
        </w:tc>
        <w:tc>
          <w:tcPr>
            <w:tcW w:w="1843" w:type="dxa"/>
          </w:tcPr>
          <w:p w:rsidR="00EA2AE2" w:rsidRPr="00BC1775" w:rsidRDefault="00EA2AE2" w:rsidP="00031887">
            <w:pPr>
              <w:ind w:right="176"/>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3.05.2012</w:t>
            </w:r>
          </w:p>
        </w:tc>
      </w:tr>
      <w:tr w:rsidR="00EA2AE2" w:rsidRPr="00BC1775" w:rsidTr="00031887">
        <w:tc>
          <w:tcPr>
            <w:tcW w:w="567"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9.</w:t>
            </w:r>
          </w:p>
        </w:tc>
        <w:tc>
          <w:tcPr>
            <w:tcW w:w="993"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6586/11</w:t>
            </w:r>
          </w:p>
        </w:tc>
        <w:tc>
          <w:tcPr>
            <w:tcW w:w="1985" w:type="dxa"/>
          </w:tcPr>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B.B. c. Espagne</w:t>
            </w:r>
          </w:p>
          <w:p w:rsidR="00EA2AE2" w:rsidRPr="00876E01" w:rsidRDefault="00EA2AE2" w:rsidP="00031887">
            <w:pPr>
              <w:jc w:val="left"/>
              <w:rPr>
                <w:sz w:val="20"/>
                <w:szCs w:val="20"/>
              </w:rPr>
            </w:pPr>
            <w:r w:rsidRPr="00BC1775">
              <w:rPr>
                <w:sz w:val="20"/>
                <w:szCs w:val="20"/>
              </w:rPr>
              <w:t>07/05/1989</w:t>
            </w:r>
          </w:p>
        </w:tc>
        <w:tc>
          <w:tcPr>
            <w:tcW w:w="198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E. Gracia Cano</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28/01/2011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31/01/2011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07/11/2011</w:t>
            </w:r>
          </w:p>
        </w:tc>
        <w:tc>
          <w:tcPr>
            <w:tcW w:w="1843" w:type="dxa"/>
          </w:tcPr>
          <w:p w:rsidR="00EA2AE2" w:rsidRPr="00BC1775" w:rsidRDefault="00EA2AE2" w:rsidP="00031887">
            <w:pPr>
              <w:ind w:right="176"/>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9.02.2012</w:t>
            </w:r>
          </w:p>
        </w:tc>
      </w:tr>
      <w:tr w:rsidR="00EA2AE2" w:rsidRPr="00BC1775" w:rsidTr="00031887">
        <w:tc>
          <w:tcPr>
            <w:tcW w:w="567"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10.</w:t>
            </w:r>
          </w:p>
        </w:tc>
        <w:tc>
          <w:tcPr>
            <w:tcW w:w="993"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6590/11</w:t>
            </w:r>
          </w:p>
        </w:tc>
        <w:tc>
          <w:tcPr>
            <w:tcW w:w="1985" w:type="dxa"/>
          </w:tcPr>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F.E.W. c. Espagne</w:t>
            </w:r>
          </w:p>
          <w:p w:rsidR="00EA2AE2" w:rsidRPr="00BC1775" w:rsidRDefault="00EA2AE2" w:rsidP="00031887">
            <w:pPr>
              <w:jc w:val="left"/>
              <w:rPr>
                <w:sz w:val="20"/>
                <w:szCs w:val="20"/>
                <w:lang w:val="fr-FR"/>
              </w:rPr>
            </w:pPr>
            <w:r w:rsidRPr="00BC1775">
              <w:rPr>
                <w:sz w:val="20"/>
                <w:szCs w:val="20"/>
                <w:lang w:val="fr-FR"/>
              </w:rPr>
              <w:t>01/11/1986</w:t>
            </w:r>
          </w:p>
        </w:tc>
        <w:tc>
          <w:tcPr>
            <w:tcW w:w="198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E. Gracia Cano</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28/01/2011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31/01/2011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07/11/2011</w:t>
            </w:r>
          </w:p>
        </w:tc>
        <w:tc>
          <w:tcPr>
            <w:tcW w:w="1843" w:type="dxa"/>
          </w:tcPr>
          <w:p w:rsidR="00EA2AE2" w:rsidRPr="00BC1775" w:rsidRDefault="00EA2AE2" w:rsidP="00031887">
            <w:pPr>
              <w:ind w:right="176"/>
              <w:jc w:val="left"/>
              <w:rPr>
                <w:rFonts w:ascii="Times New Roman" w:hAnsi="Times New Roman" w:cs="Times New Roman"/>
                <w:sz w:val="20"/>
                <w:szCs w:val="20"/>
                <w:lang w:val="fr-FR"/>
              </w:rPr>
            </w:pPr>
          </w:p>
        </w:tc>
      </w:tr>
      <w:tr w:rsidR="00EA2AE2" w:rsidRPr="00BC1775" w:rsidTr="00031887">
        <w:tc>
          <w:tcPr>
            <w:tcW w:w="567"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11.</w:t>
            </w:r>
          </w:p>
        </w:tc>
        <w:tc>
          <w:tcPr>
            <w:tcW w:w="993"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6595/11</w:t>
            </w:r>
          </w:p>
        </w:tc>
        <w:tc>
          <w:tcPr>
            <w:tcW w:w="1985" w:type="dxa"/>
          </w:tcPr>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A.E.M. c. Espagne</w:t>
            </w:r>
          </w:p>
          <w:p w:rsidR="00EA2AE2" w:rsidRPr="00BC1775" w:rsidRDefault="00EA2AE2" w:rsidP="00031887">
            <w:pPr>
              <w:jc w:val="left"/>
              <w:rPr>
                <w:sz w:val="20"/>
                <w:szCs w:val="20"/>
                <w:lang w:val="fr-FR"/>
              </w:rPr>
            </w:pPr>
            <w:r w:rsidRPr="00BC1775">
              <w:rPr>
                <w:sz w:val="20"/>
                <w:szCs w:val="20"/>
                <w:lang w:val="fr-FR"/>
              </w:rPr>
              <w:t>01/01/1987</w:t>
            </w:r>
          </w:p>
        </w:tc>
        <w:tc>
          <w:tcPr>
            <w:tcW w:w="198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E. Gracia Cano</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28/01/2011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31/01/2011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07/11/2011</w:t>
            </w:r>
          </w:p>
        </w:tc>
        <w:tc>
          <w:tcPr>
            <w:tcW w:w="1843" w:type="dxa"/>
          </w:tcPr>
          <w:p w:rsidR="00EA2AE2" w:rsidRPr="00BC1775" w:rsidRDefault="00EA2AE2" w:rsidP="00031887">
            <w:pPr>
              <w:ind w:right="176"/>
              <w:jc w:val="left"/>
              <w:rPr>
                <w:rFonts w:ascii="Times New Roman" w:hAnsi="Times New Roman" w:cs="Times New Roman"/>
                <w:sz w:val="20"/>
                <w:szCs w:val="20"/>
                <w:lang w:val="fr-FR"/>
              </w:rPr>
            </w:pPr>
          </w:p>
        </w:tc>
      </w:tr>
      <w:tr w:rsidR="00EA2AE2" w:rsidRPr="00BC1775" w:rsidTr="00031887">
        <w:tc>
          <w:tcPr>
            <w:tcW w:w="567"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12.</w:t>
            </w:r>
          </w:p>
        </w:tc>
        <w:tc>
          <w:tcPr>
            <w:tcW w:w="993"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6602/11</w:t>
            </w:r>
          </w:p>
        </w:tc>
        <w:tc>
          <w:tcPr>
            <w:tcW w:w="1985" w:type="dxa"/>
          </w:tcPr>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S.R. c. Espagne</w:t>
            </w:r>
          </w:p>
          <w:p w:rsidR="00EA2AE2" w:rsidRPr="00876E01" w:rsidRDefault="00EA2AE2" w:rsidP="00031887">
            <w:pPr>
              <w:jc w:val="left"/>
              <w:rPr>
                <w:sz w:val="20"/>
                <w:szCs w:val="20"/>
              </w:rPr>
            </w:pPr>
            <w:r w:rsidRPr="00BC1775">
              <w:rPr>
                <w:sz w:val="20"/>
                <w:szCs w:val="20"/>
              </w:rPr>
              <w:t>01/01/1982</w:t>
            </w:r>
          </w:p>
        </w:tc>
        <w:tc>
          <w:tcPr>
            <w:tcW w:w="198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E. Gracia Cano</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28/01/2011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31/01/2011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07/11/2011</w:t>
            </w:r>
          </w:p>
        </w:tc>
        <w:tc>
          <w:tcPr>
            <w:tcW w:w="1843" w:type="dxa"/>
          </w:tcPr>
          <w:p w:rsidR="00EA2AE2" w:rsidRPr="00BC1775" w:rsidRDefault="00EA2AE2" w:rsidP="00031887">
            <w:pPr>
              <w:ind w:right="176"/>
              <w:jc w:val="left"/>
              <w:rPr>
                <w:rFonts w:ascii="Times New Roman" w:hAnsi="Times New Roman" w:cs="Times New Roman"/>
                <w:sz w:val="20"/>
                <w:szCs w:val="20"/>
                <w:lang w:val="fr-FR"/>
              </w:rPr>
            </w:pPr>
          </w:p>
        </w:tc>
      </w:tr>
      <w:tr w:rsidR="00EA2AE2" w:rsidRPr="00BC1775" w:rsidTr="00031887">
        <w:tc>
          <w:tcPr>
            <w:tcW w:w="567"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13.</w:t>
            </w:r>
          </w:p>
        </w:tc>
        <w:tc>
          <w:tcPr>
            <w:tcW w:w="993"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6605/11</w:t>
            </w:r>
          </w:p>
        </w:tc>
        <w:tc>
          <w:tcPr>
            <w:tcW w:w="1985" w:type="dxa"/>
          </w:tcPr>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S.S. c. Espagne</w:t>
            </w:r>
          </w:p>
          <w:p w:rsidR="00EA2AE2" w:rsidRPr="00876E01" w:rsidRDefault="00EA2AE2" w:rsidP="00031887">
            <w:pPr>
              <w:jc w:val="left"/>
              <w:rPr>
                <w:sz w:val="20"/>
                <w:szCs w:val="20"/>
              </w:rPr>
            </w:pPr>
            <w:r w:rsidRPr="00BC1775">
              <w:rPr>
                <w:sz w:val="20"/>
                <w:szCs w:val="20"/>
              </w:rPr>
              <w:t>20/12/1984</w:t>
            </w:r>
          </w:p>
        </w:tc>
        <w:tc>
          <w:tcPr>
            <w:tcW w:w="198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E. Gracia Cano</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28/01/2011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31/01/2011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07/11/2011</w:t>
            </w:r>
          </w:p>
        </w:tc>
        <w:tc>
          <w:tcPr>
            <w:tcW w:w="1843" w:type="dxa"/>
          </w:tcPr>
          <w:p w:rsidR="00EA2AE2" w:rsidRPr="00BC1775" w:rsidRDefault="00EA2AE2" w:rsidP="00031887">
            <w:pPr>
              <w:ind w:right="176"/>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16.02.2012</w:t>
            </w:r>
          </w:p>
        </w:tc>
      </w:tr>
      <w:tr w:rsidR="00EA2AE2" w:rsidRPr="00BC1775" w:rsidTr="00031887">
        <w:tc>
          <w:tcPr>
            <w:tcW w:w="567"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14.</w:t>
            </w:r>
          </w:p>
        </w:tc>
        <w:tc>
          <w:tcPr>
            <w:tcW w:w="993"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6869/11</w:t>
            </w:r>
          </w:p>
        </w:tc>
        <w:tc>
          <w:tcPr>
            <w:tcW w:w="1985" w:type="dxa"/>
          </w:tcPr>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A.B. c. Espagne</w:t>
            </w:r>
          </w:p>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Non connu</w:t>
            </w:r>
          </w:p>
        </w:tc>
        <w:tc>
          <w:tcPr>
            <w:tcW w:w="198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M. Valiente Ots</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31/01/2011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01/02/2011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01/12/2011</w:t>
            </w:r>
          </w:p>
        </w:tc>
        <w:tc>
          <w:tcPr>
            <w:tcW w:w="1843" w:type="dxa"/>
          </w:tcPr>
          <w:p w:rsidR="00EA2AE2" w:rsidRPr="00BC1775" w:rsidRDefault="00EA2AE2" w:rsidP="00031887">
            <w:pPr>
              <w:ind w:right="176"/>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06.07.2012</w:t>
            </w:r>
          </w:p>
        </w:tc>
      </w:tr>
      <w:tr w:rsidR="00EA2AE2" w:rsidRPr="00BC1775" w:rsidTr="00031887">
        <w:tc>
          <w:tcPr>
            <w:tcW w:w="567"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15.</w:t>
            </w:r>
          </w:p>
        </w:tc>
        <w:tc>
          <w:tcPr>
            <w:tcW w:w="993"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6875/11</w:t>
            </w:r>
          </w:p>
        </w:tc>
        <w:tc>
          <w:tcPr>
            <w:tcW w:w="1985" w:type="dxa"/>
          </w:tcPr>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A.M. c. Espagne</w:t>
            </w:r>
          </w:p>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Non connu</w:t>
            </w:r>
          </w:p>
        </w:tc>
        <w:tc>
          <w:tcPr>
            <w:tcW w:w="198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M. Valiente Ots</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31/01/2011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01/02/2011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01/12/2011</w:t>
            </w:r>
          </w:p>
        </w:tc>
        <w:tc>
          <w:tcPr>
            <w:tcW w:w="1843" w:type="dxa"/>
          </w:tcPr>
          <w:p w:rsidR="00EA2AE2" w:rsidRPr="00BC1775" w:rsidRDefault="00EA2AE2" w:rsidP="00031887">
            <w:pPr>
              <w:ind w:right="176"/>
              <w:jc w:val="left"/>
              <w:rPr>
                <w:rFonts w:ascii="Times New Roman" w:hAnsi="Times New Roman" w:cs="Times New Roman"/>
                <w:sz w:val="20"/>
                <w:szCs w:val="20"/>
                <w:lang w:val="fr-FR"/>
              </w:rPr>
            </w:pPr>
          </w:p>
        </w:tc>
      </w:tr>
      <w:tr w:rsidR="00EA2AE2" w:rsidRPr="00BC1775" w:rsidTr="00031887">
        <w:tc>
          <w:tcPr>
            <w:tcW w:w="567"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16.</w:t>
            </w:r>
          </w:p>
        </w:tc>
        <w:tc>
          <w:tcPr>
            <w:tcW w:w="993"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19730/11</w:t>
            </w:r>
          </w:p>
        </w:tc>
        <w:tc>
          <w:tcPr>
            <w:tcW w:w="1985" w:type="dxa"/>
          </w:tcPr>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B.T. c. Espagne</w:t>
            </w:r>
          </w:p>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Non connu</w:t>
            </w:r>
          </w:p>
        </w:tc>
        <w:tc>
          <w:tcPr>
            <w:tcW w:w="198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E. Gracia Cano</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28/03/2011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30/03/2011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01/12/2011</w:t>
            </w:r>
          </w:p>
        </w:tc>
        <w:tc>
          <w:tcPr>
            <w:tcW w:w="1843" w:type="dxa"/>
          </w:tcPr>
          <w:p w:rsidR="00EA2AE2" w:rsidRPr="00BC1775" w:rsidRDefault="00EA2AE2" w:rsidP="00031887">
            <w:pPr>
              <w:ind w:right="176"/>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29.03.2012</w:t>
            </w:r>
          </w:p>
        </w:tc>
      </w:tr>
      <w:tr w:rsidR="00EA2AE2" w:rsidRPr="00BC1775" w:rsidTr="00031887">
        <w:tc>
          <w:tcPr>
            <w:tcW w:w="567"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17.</w:t>
            </w:r>
          </w:p>
        </w:tc>
        <w:tc>
          <w:tcPr>
            <w:tcW w:w="993"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19739/11</w:t>
            </w:r>
          </w:p>
        </w:tc>
        <w:tc>
          <w:tcPr>
            <w:tcW w:w="1985" w:type="dxa"/>
          </w:tcPr>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S.A. c. Espagne</w:t>
            </w:r>
          </w:p>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Non connu</w:t>
            </w:r>
          </w:p>
        </w:tc>
        <w:tc>
          <w:tcPr>
            <w:tcW w:w="198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M. Valiente Ots</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28/03/2011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30/03/2011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01/12/2011</w:t>
            </w:r>
          </w:p>
        </w:tc>
        <w:tc>
          <w:tcPr>
            <w:tcW w:w="1843" w:type="dxa"/>
          </w:tcPr>
          <w:p w:rsidR="00EA2AE2" w:rsidRPr="00BC1775" w:rsidRDefault="00EA2AE2" w:rsidP="00031887">
            <w:pPr>
              <w:ind w:right="176"/>
              <w:jc w:val="left"/>
              <w:rPr>
                <w:rFonts w:ascii="Times New Roman" w:hAnsi="Times New Roman" w:cs="Times New Roman"/>
                <w:sz w:val="20"/>
                <w:szCs w:val="20"/>
                <w:lang w:val="fr-FR"/>
              </w:rPr>
            </w:pPr>
          </w:p>
        </w:tc>
      </w:tr>
      <w:tr w:rsidR="00EA2AE2" w:rsidRPr="00BC1775" w:rsidTr="00031887">
        <w:tc>
          <w:tcPr>
            <w:tcW w:w="567"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18.</w:t>
            </w:r>
          </w:p>
        </w:tc>
        <w:tc>
          <w:tcPr>
            <w:tcW w:w="993"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19766/11</w:t>
            </w:r>
          </w:p>
        </w:tc>
        <w:tc>
          <w:tcPr>
            <w:tcW w:w="1985" w:type="dxa"/>
          </w:tcPr>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M.A. c. Espagne</w:t>
            </w:r>
          </w:p>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Non connu</w:t>
            </w:r>
          </w:p>
        </w:tc>
        <w:tc>
          <w:tcPr>
            <w:tcW w:w="198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M. Valiente Ots</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28/03/2011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30/03/2011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01/12/2011</w:t>
            </w:r>
          </w:p>
        </w:tc>
        <w:tc>
          <w:tcPr>
            <w:tcW w:w="1843" w:type="dxa"/>
          </w:tcPr>
          <w:p w:rsidR="00EA2AE2" w:rsidRPr="00BC1775" w:rsidRDefault="00EA2AE2" w:rsidP="00031887">
            <w:pPr>
              <w:ind w:right="176"/>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19.11.2012</w:t>
            </w:r>
          </w:p>
        </w:tc>
      </w:tr>
      <w:tr w:rsidR="00EA2AE2" w:rsidRPr="00BC1775" w:rsidTr="00031887">
        <w:tc>
          <w:tcPr>
            <w:tcW w:w="567"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19.</w:t>
            </w:r>
          </w:p>
        </w:tc>
        <w:tc>
          <w:tcPr>
            <w:tcW w:w="993"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19774/11</w:t>
            </w:r>
          </w:p>
        </w:tc>
        <w:tc>
          <w:tcPr>
            <w:tcW w:w="1985" w:type="dxa"/>
          </w:tcPr>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H.B. c. Espagne</w:t>
            </w:r>
          </w:p>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Non connu</w:t>
            </w:r>
          </w:p>
        </w:tc>
        <w:tc>
          <w:tcPr>
            <w:tcW w:w="198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M. Valiente Ots</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28/03/2011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30/03/2011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01/12/2011</w:t>
            </w:r>
          </w:p>
        </w:tc>
        <w:tc>
          <w:tcPr>
            <w:tcW w:w="1843" w:type="dxa"/>
          </w:tcPr>
          <w:p w:rsidR="00EA2AE2" w:rsidRPr="00BC1775" w:rsidRDefault="00EA2AE2" w:rsidP="00031887">
            <w:pPr>
              <w:ind w:right="176"/>
              <w:jc w:val="left"/>
              <w:rPr>
                <w:rFonts w:ascii="Times New Roman" w:hAnsi="Times New Roman" w:cs="Times New Roman"/>
                <w:sz w:val="20"/>
                <w:szCs w:val="20"/>
                <w:lang w:val="fr-FR"/>
              </w:rPr>
            </w:pPr>
          </w:p>
        </w:tc>
      </w:tr>
      <w:tr w:rsidR="00EA2AE2" w:rsidRPr="00BC1775" w:rsidTr="00031887">
        <w:tc>
          <w:tcPr>
            <w:tcW w:w="567"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20.</w:t>
            </w:r>
          </w:p>
        </w:tc>
        <w:tc>
          <w:tcPr>
            <w:tcW w:w="993"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19783/11</w:t>
            </w:r>
          </w:p>
        </w:tc>
        <w:tc>
          <w:tcPr>
            <w:tcW w:w="1985" w:type="dxa"/>
          </w:tcPr>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H.A. c. Espagne</w:t>
            </w:r>
          </w:p>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Non connu</w:t>
            </w:r>
          </w:p>
        </w:tc>
        <w:tc>
          <w:tcPr>
            <w:tcW w:w="198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M. Valiente Ots</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28/03/2011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30/03/2011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01/12/2011</w:t>
            </w:r>
          </w:p>
        </w:tc>
        <w:tc>
          <w:tcPr>
            <w:tcW w:w="1843" w:type="dxa"/>
          </w:tcPr>
          <w:p w:rsidR="00EA2AE2" w:rsidRPr="00BC1775" w:rsidRDefault="00EA2AE2" w:rsidP="00031887">
            <w:pPr>
              <w:ind w:right="176"/>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9.10.2012</w:t>
            </w:r>
          </w:p>
        </w:tc>
      </w:tr>
      <w:tr w:rsidR="00EA2AE2" w:rsidRPr="00BC1775" w:rsidTr="00031887">
        <w:tc>
          <w:tcPr>
            <w:tcW w:w="567"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21.</w:t>
            </w:r>
          </w:p>
        </w:tc>
        <w:tc>
          <w:tcPr>
            <w:tcW w:w="993"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19791/11</w:t>
            </w:r>
          </w:p>
        </w:tc>
        <w:tc>
          <w:tcPr>
            <w:tcW w:w="1985" w:type="dxa"/>
          </w:tcPr>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L.E.G. c. Espagne</w:t>
            </w:r>
          </w:p>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Non connu</w:t>
            </w:r>
          </w:p>
        </w:tc>
        <w:tc>
          <w:tcPr>
            <w:tcW w:w="198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M. Valiente Ots</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28/03/2011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30/03/2011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01/12/2011</w:t>
            </w:r>
          </w:p>
        </w:tc>
        <w:tc>
          <w:tcPr>
            <w:tcW w:w="1843" w:type="dxa"/>
          </w:tcPr>
          <w:p w:rsidR="00EA2AE2" w:rsidRPr="00BC1775" w:rsidRDefault="00EA2AE2" w:rsidP="00031887">
            <w:pPr>
              <w:ind w:right="176"/>
              <w:jc w:val="left"/>
              <w:rPr>
                <w:rFonts w:ascii="Times New Roman" w:hAnsi="Times New Roman" w:cs="Times New Roman"/>
                <w:sz w:val="20"/>
                <w:szCs w:val="20"/>
                <w:lang w:val="fr-FR"/>
              </w:rPr>
            </w:pPr>
          </w:p>
        </w:tc>
      </w:tr>
      <w:tr w:rsidR="00EA2AE2" w:rsidRPr="00BC1775" w:rsidTr="00031887">
        <w:tc>
          <w:tcPr>
            <w:tcW w:w="567"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22.</w:t>
            </w:r>
          </w:p>
        </w:tc>
        <w:tc>
          <w:tcPr>
            <w:tcW w:w="993"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19796/11</w:t>
            </w:r>
          </w:p>
        </w:tc>
        <w:tc>
          <w:tcPr>
            <w:tcW w:w="1985" w:type="dxa"/>
          </w:tcPr>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E.E.M c. Espagne</w:t>
            </w:r>
          </w:p>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Non connu</w:t>
            </w:r>
          </w:p>
        </w:tc>
        <w:tc>
          <w:tcPr>
            <w:tcW w:w="198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M. Valiente Ots</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28/03/2011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30/03/2011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01/12/2011</w:t>
            </w:r>
          </w:p>
        </w:tc>
        <w:tc>
          <w:tcPr>
            <w:tcW w:w="1843" w:type="dxa"/>
          </w:tcPr>
          <w:p w:rsidR="00EA2AE2" w:rsidRDefault="00EA2AE2" w:rsidP="00031887">
            <w:pPr>
              <w:ind w:right="176"/>
              <w:jc w:val="left"/>
              <w:rPr>
                <w:rFonts w:ascii="Times New Roman" w:hAnsi="Times New Roman" w:cs="Times New Roman"/>
                <w:sz w:val="20"/>
                <w:szCs w:val="20"/>
                <w:lang w:val="fr-FR"/>
              </w:rPr>
            </w:pPr>
          </w:p>
          <w:p w:rsidR="000A2932" w:rsidRPr="00BC1775" w:rsidRDefault="000A2932" w:rsidP="00031887">
            <w:pPr>
              <w:ind w:right="176"/>
              <w:jc w:val="left"/>
              <w:rPr>
                <w:rFonts w:ascii="Times New Roman" w:hAnsi="Times New Roman" w:cs="Times New Roman"/>
                <w:sz w:val="20"/>
                <w:szCs w:val="20"/>
                <w:lang w:val="fr-FR"/>
              </w:rPr>
            </w:pPr>
          </w:p>
        </w:tc>
      </w:tr>
      <w:tr w:rsidR="00EA2AE2" w:rsidRPr="00BC1775" w:rsidTr="00031887">
        <w:tc>
          <w:tcPr>
            <w:tcW w:w="567"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lastRenderedPageBreak/>
              <w:t>23.</w:t>
            </w:r>
          </w:p>
        </w:tc>
        <w:tc>
          <w:tcPr>
            <w:tcW w:w="993"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19837/11</w:t>
            </w:r>
          </w:p>
        </w:tc>
        <w:tc>
          <w:tcPr>
            <w:tcW w:w="1985" w:type="dxa"/>
          </w:tcPr>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A.E.J c. Espagne</w:t>
            </w:r>
          </w:p>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Non connu</w:t>
            </w:r>
          </w:p>
        </w:tc>
        <w:tc>
          <w:tcPr>
            <w:tcW w:w="198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M. Valiente Ots</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28/03/2011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30/03/2011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01/12/2011</w:t>
            </w:r>
          </w:p>
        </w:tc>
        <w:tc>
          <w:tcPr>
            <w:tcW w:w="1843" w:type="dxa"/>
          </w:tcPr>
          <w:p w:rsidR="00EA2AE2" w:rsidRPr="00BC1775" w:rsidRDefault="00EA2AE2" w:rsidP="00031887">
            <w:pPr>
              <w:ind w:right="176"/>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26.11.2012</w:t>
            </w:r>
          </w:p>
        </w:tc>
      </w:tr>
      <w:tr w:rsidR="00EA2AE2" w:rsidRPr="00BC1775" w:rsidTr="00031887">
        <w:tc>
          <w:tcPr>
            <w:tcW w:w="567"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24.</w:t>
            </w:r>
          </w:p>
        </w:tc>
        <w:tc>
          <w:tcPr>
            <w:tcW w:w="993"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19846/11</w:t>
            </w:r>
          </w:p>
        </w:tc>
        <w:tc>
          <w:tcPr>
            <w:tcW w:w="1985" w:type="dxa"/>
          </w:tcPr>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M.C. c. Espagne</w:t>
            </w:r>
          </w:p>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Non connu</w:t>
            </w:r>
          </w:p>
        </w:tc>
        <w:tc>
          <w:tcPr>
            <w:tcW w:w="198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M. Valiente Ots</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28/03/2011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30/03/2011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01/12/2011</w:t>
            </w:r>
          </w:p>
        </w:tc>
        <w:tc>
          <w:tcPr>
            <w:tcW w:w="1843" w:type="dxa"/>
          </w:tcPr>
          <w:p w:rsidR="00EA2AE2" w:rsidRPr="00BC1775" w:rsidRDefault="00EA2AE2" w:rsidP="00031887">
            <w:pPr>
              <w:ind w:right="176"/>
              <w:jc w:val="left"/>
              <w:rPr>
                <w:rFonts w:ascii="Times New Roman" w:hAnsi="Times New Roman" w:cs="Times New Roman"/>
                <w:sz w:val="20"/>
                <w:szCs w:val="20"/>
                <w:lang w:val="fr-FR"/>
              </w:rPr>
            </w:pPr>
          </w:p>
        </w:tc>
      </w:tr>
      <w:tr w:rsidR="00EA2AE2" w:rsidRPr="00BC1775" w:rsidTr="00031887">
        <w:tc>
          <w:tcPr>
            <w:tcW w:w="567"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25.</w:t>
            </w:r>
          </w:p>
        </w:tc>
        <w:tc>
          <w:tcPr>
            <w:tcW w:w="993"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19854/11</w:t>
            </w:r>
          </w:p>
        </w:tc>
        <w:tc>
          <w:tcPr>
            <w:tcW w:w="1985" w:type="dxa"/>
          </w:tcPr>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M.M.E.A. c. Espagne</w:t>
            </w:r>
          </w:p>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Non connu</w:t>
            </w:r>
          </w:p>
        </w:tc>
        <w:tc>
          <w:tcPr>
            <w:tcW w:w="198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M. Valiente Ots</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28/03/2011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30/03/2011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01/12/2011</w:t>
            </w:r>
          </w:p>
        </w:tc>
        <w:tc>
          <w:tcPr>
            <w:tcW w:w="1843" w:type="dxa"/>
          </w:tcPr>
          <w:p w:rsidR="00EA2AE2" w:rsidRPr="00BC1775" w:rsidRDefault="00EA2AE2" w:rsidP="00031887">
            <w:pPr>
              <w:ind w:right="176"/>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3.10.2012</w:t>
            </w:r>
          </w:p>
        </w:tc>
      </w:tr>
      <w:tr w:rsidR="00EA2AE2" w:rsidRPr="00BC1775" w:rsidTr="00031887">
        <w:tc>
          <w:tcPr>
            <w:tcW w:w="567"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26.</w:t>
            </w:r>
          </w:p>
        </w:tc>
        <w:tc>
          <w:tcPr>
            <w:tcW w:w="993"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19913/11</w:t>
            </w:r>
          </w:p>
        </w:tc>
        <w:tc>
          <w:tcPr>
            <w:tcW w:w="1985" w:type="dxa"/>
          </w:tcPr>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Y.E.Y. c. Espagne</w:t>
            </w:r>
          </w:p>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Non connu</w:t>
            </w:r>
          </w:p>
        </w:tc>
        <w:tc>
          <w:tcPr>
            <w:tcW w:w="198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M. Valiente Ots</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28/03/2011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30/03/2011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01/12/2011</w:t>
            </w:r>
          </w:p>
        </w:tc>
        <w:tc>
          <w:tcPr>
            <w:tcW w:w="1843" w:type="dxa"/>
          </w:tcPr>
          <w:p w:rsidR="00EA2AE2" w:rsidRPr="00BC1775" w:rsidRDefault="00EA2AE2" w:rsidP="00031887">
            <w:pPr>
              <w:ind w:right="176"/>
              <w:jc w:val="left"/>
              <w:rPr>
                <w:rFonts w:ascii="Times New Roman" w:hAnsi="Times New Roman" w:cs="Times New Roman"/>
                <w:sz w:val="20"/>
                <w:szCs w:val="20"/>
                <w:lang w:val="fr-FR"/>
              </w:rPr>
            </w:pPr>
          </w:p>
        </w:tc>
      </w:tr>
      <w:tr w:rsidR="00EA2AE2" w:rsidRPr="00BC1775" w:rsidTr="00031887">
        <w:tc>
          <w:tcPr>
            <w:tcW w:w="567"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27.</w:t>
            </w:r>
          </w:p>
        </w:tc>
        <w:tc>
          <w:tcPr>
            <w:tcW w:w="993"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19920/11</w:t>
            </w:r>
          </w:p>
        </w:tc>
        <w:tc>
          <w:tcPr>
            <w:tcW w:w="1985" w:type="dxa"/>
          </w:tcPr>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H.H. c. Espagne</w:t>
            </w:r>
          </w:p>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Non connu</w:t>
            </w:r>
          </w:p>
        </w:tc>
        <w:tc>
          <w:tcPr>
            <w:tcW w:w="198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M. Valiente Ots</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28/03/2011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30/03/2011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01/12/2011</w:t>
            </w:r>
          </w:p>
        </w:tc>
        <w:tc>
          <w:tcPr>
            <w:tcW w:w="1843" w:type="dxa"/>
          </w:tcPr>
          <w:p w:rsidR="00EA2AE2" w:rsidRPr="00BC1775" w:rsidRDefault="00EA2AE2" w:rsidP="00031887">
            <w:pPr>
              <w:ind w:right="176"/>
              <w:jc w:val="left"/>
              <w:rPr>
                <w:rFonts w:ascii="Times New Roman" w:hAnsi="Times New Roman" w:cs="Times New Roman"/>
                <w:sz w:val="20"/>
                <w:szCs w:val="20"/>
                <w:lang w:val="fr-FR"/>
              </w:rPr>
            </w:pPr>
          </w:p>
        </w:tc>
      </w:tr>
      <w:tr w:rsidR="00EA2AE2" w:rsidRPr="00BC1775" w:rsidTr="00031887">
        <w:tc>
          <w:tcPr>
            <w:tcW w:w="567"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28.</w:t>
            </w:r>
          </w:p>
        </w:tc>
        <w:tc>
          <w:tcPr>
            <w:tcW w:w="993"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19951/11</w:t>
            </w:r>
          </w:p>
        </w:tc>
        <w:tc>
          <w:tcPr>
            <w:tcW w:w="1985" w:type="dxa"/>
          </w:tcPr>
          <w:p w:rsidR="00EA2AE2" w:rsidRPr="00BC1775" w:rsidRDefault="00EA2AE2" w:rsidP="00031887">
            <w:pPr>
              <w:tabs>
                <w:tab w:val="right" w:pos="1769"/>
              </w:tabs>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I.S. c. Espagne</w:t>
            </w:r>
          </w:p>
          <w:p w:rsidR="00EA2AE2" w:rsidRPr="00BC1775" w:rsidRDefault="00EA2AE2" w:rsidP="00031887">
            <w:pPr>
              <w:tabs>
                <w:tab w:val="right" w:pos="1769"/>
              </w:tabs>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Non connu</w:t>
            </w:r>
          </w:p>
        </w:tc>
        <w:tc>
          <w:tcPr>
            <w:tcW w:w="198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M. Valiente Ots</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28/03/2011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30/03/2011</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01/12/2011</w:t>
            </w:r>
          </w:p>
        </w:tc>
        <w:tc>
          <w:tcPr>
            <w:tcW w:w="1843" w:type="dxa"/>
          </w:tcPr>
          <w:p w:rsidR="00EA2AE2" w:rsidRPr="00BC1775" w:rsidRDefault="00EA2AE2" w:rsidP="00031887">
            <w:pPr>
              <w:ind w:right="176"/>
              <w:jc w:val="left"/>
              <w:rPr>
                <w:rFonts w:ascii="Times New Roman" w:hAnsi="Times New Roman" w:cs="Times New Roman"/>
                <w:sz w:val="20"/>
                <w:szCs w:val="20"/>
                <w:lang w:val="fr-FR"/>
              </w:rPr>
            </w:pPr>
          </w:p>
        </w:tc>
      </w:tr>
      <w:tr w:rsidR="00EA2AE2" w:rsidRPr="00BC1775" w:rsidTr="00031887">
        <w:tc>
          <w:tcPr>
            <w:tcW w:w="567"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29.  </w:t>
            </w:r>
          </w:p>
        </w:tc>
        <w:tc>
          <w:tcPr>
            <w:tcW w:w="993"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61912/12</w:t>
            </w:r>
          </w:p>
        </w:tc>
        <w:tc>
          <w:tcPr>
            <w:tcW w:w="1985" w:type="dxa"/>
          </w:tcPr>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Y. H. c. Espagne</w:t>
            </w:r>
          </w:p>
          <w:p w:rsidR="00EA2AE2" w:rsidRPr="00876E01" w:rsidRDefault="00EA2AE2" w:rsidP="00031887">
            <w:pPr>
              <w:jc w:val="left"/>
              <w:rPr>
                <w:sz w:val="20"/>
                <w:szCs w:val="20"/>
              </w:rPr>
            </w:pPr>
            <w:r w:rsidRPr="00BC1775">
              <w:rPr>
                <w:sz w:val="20"/>
                <w:szCs w:val="20"/>
              </w:rPr>
              <w:t>24/01/1987</w:t>
            </w:r>
          </w:p>
        </w:tc>
        <w:tc>
          <w:tcPr>
            <w:tcW w:w="198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B. Alfonso Camacho</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27/09/2012</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28/09/2012</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03/10/2012</w:t>
            </w:r>
          </w:p>
        </w:tc>
        <w:tc>
          <w:tcPr>
            <w:tcW w:w="1843" w:type="dxa"/>
          </w:tcPr>
          <w:p w:rsidR="00EA2AE2" w:rsidRPr="00BC1775" w:rsidRDefault="00EA2AE2" w:rsidP="00031887">
            <w:pPr>
              <w:ind w:right="176"/>
              <w:jc w:val="left"/>
              <w:rPr>
                <w:rFonts w:ascii="Times New Roman" w:hAnsi="Times New Roman" w:cs="Times New Roman"/>
                <w:sz w:val="20"/>
                <w:szCs w:val="20"/>
                <w:lang w:val="fr-FR"/>
              </w:rPr>
            </w:pPr>
          </w:p>
        </w:tc>
      </w:tr>
      <w:tr w:rsidR="00EA2AE2" w:rsidRPr="00BC1775" w:rsidTr="00031887">
        <w:tc>
          <w:tcPr>
            <w:tcW w:w="567"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30.</w:t>
            </w:r>
          </w:p>
        </w:tc>
        <w:tc>
          <w:tcPr>
            <w:tcW w:w="993"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62497/12</w:t>
            </w:r>
          </w:p>
        </w:tc>
        <w:tc>
          <w:tcPr>
            <w:tcW w:w="1985" w:type="dxa"/>
          </w:tcPr>
          <w:p w:rsidR="00EA2AE2" w:rsidRPr="00BC1775" w:rsidRDefault="00EA2AE2" w:rsidP="00031887">
            <w:pPr>
              <w:jc w:val="left"/>
              <w:rPr>
                <w:rFonts w:ascii="Times New Roman" w:hAnsi="Times New Roman" w:cs="Times New Roman"/>
                <w:color w:val="000000"/>
                <w:sz w:val="20"/>
                <w:szCs w:val="20"/>
                <w:lang w:val="fr-FR"/>
              </w:rPr>
            </w:pPr>
            <w:r w:rsidRPr="00BC1775">
              <w:rPr>
                <w:rFonts w:ascii="Times New Roman" w:hAnsi="Times New Roman" w:cs="Times New Roman"/>
                <w:color w:val="000000"/>
                <w:sz w:val="20"/>
                <w:szCs w:val="20"/>
                <w:lang w:val="fr-FR"/>
              </w:rPr>
              <w:t>A.E.G. c. Espagne</w:t>
            </w:r>
          </w:p>
          <w:p w:rsidR="00EA2AE2" w:rsidRPr="00BC1775" w:rsidRDefault="00EA2AE2" w:rsidP="00031887">
            <w:pPr>
              <w:jc w:val="left"/>
              <w:rPr>
                <w:sz w:val="20"/>
                <w:szCs w:val="20"/>
                <w:lang w:val="fr-FR"/>
              </w:rPr>
            </w:pPr>
            <w:r w:rsidRPr="00BC1775">
              <w:rPr>
                <w:sz w:val="20"/>
                <w:szCs w:val="20"/>
                <w:lang w:val="fr-FR"/>
              </w:rPr>
              <w:t>05/12/1988</w:t>
            </w:r>
          </w:p>
        </w:tc>
        <w:tc>
          <w:tcPr>
            <w:tcW w:w="198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B. Alfonso Camacho</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01/10/2012</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02/10/2012</w:t>
            </w:r>
          </w:p>
        </w:tc>
        <w:tc>
          <w:tcPr>
            <w:tcW w:w="1134" w:type="dxa"/>
          </w:tcPr>
          <w:p w:rsidR="00EA2AE2" w:rsidRPr="00BC1775" w:rsidRDefault="00EA2AE2" w:rsidP="00031887">
            <w:pPr>
              <w:jc w:val="left"/>
              <w:rPr>
                <w:rFonts w:ascii="Times New Roman" w:hAnsi="Times New Roman" w:cs="Times New Roman"/>
                <w:sz w:val="20"/>
                <w:szCs w:val="20"/>
                <w:lang w:val="fr-FR"/>
              </w:rPr>
            </w:pPr>
            <w:r w:rsidRPr="00BC1775">
              <w:rPr>
                <w:rFonts w:ascii="Times New Roman" w:hAnsi="Times New Roman" w:cs="Times New Roman"/>
                <w:sz w:val="20"/>
                <w:szCs w:val="20"/>
                <w:lang w:val="fr-FR"/>
              </w:rPr>
              <w:t>02/10/2012</w:t>
            </w:r>
          </w:p>
        </w:tc>
        <w:tc>
          <w:tcPr>
            <w:tcW w:w="1843" w:type="dxa"/>
          </w:tcPr>
          <w:p w:rsidR="00EA2AE2" w:rsidRPr="00BC1775" w:rsidRDefault="00EA2AE2" w:rsidP="00031887">
            <w:pPr>
              <w:ind w:right="176"/>
              <w:jc w:val="left"/>
              <w:rPr>
                <w:rFonts w:ascii="Times New Roman" w:hAnsi="Times New Roman" w:cs="Times New Roman"/>
                <w:sz w:val="20"/>
                <w:szCs w:val="20"/>
                <w:lang w:val="fr-FR"/>
              </w:rPr>
            </w:pPr>
          </w:p>
        </w:tc>
      </w:tr>
    </w:tbl>
    <w:p w:rsidR="00EA2AE2" w:rsidRPr="009F65DC" w:rsidRDefault="00EA2AE2" w:rsidP="00BC0135">
      <w:pPr>
        <w:pStyle w:val="ECHRPara"/>
        <w:ind w:firstLine="0"/>
        <w:rPr>
          <w:lang w:val="fr-FR"/>
        </w:rPr>
      </w:pPr>
    </w:p>
    <w:sectPr w:rsidR="00EA2AE2" w:rsidRPr="009F65DC" w:rsidSect="00876E01">
      <w:headerReference w:type="even" r:id="rId14"/>
      <w:headerReference w:type="default" r:id="rId15"/>
      <w:footerReference w:type="even" r:id="rId16"/>
      <w:footerReference w:type="default" r:id="rId17"/>
      <w:pgSz w:w="11906" w:h="16838" w:code="9"/>
      <w:pgMar w:top="2274" w:right="2274" w:bottom="2274" w:left="2274" w:header="1701" w:footer="720"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60E0" w:rsidRDefault="005560E0" w:rsidP="002D2C99">
      <w:r>
        <w:separator/>
      </w:r>
    </w:p>
  </w:endnote>
  <w:endnote w:type="continuationSeparator" w:id="0">
    <w:p w:rsidR="005560E0" w:rsidRDefault="005560E0" w:rsidP="002D2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2FDD" w:rsidRPr="00150BFA" w:rsidRDefault="00D22FDD" w:rsidP="00031887">
    <w:pPr>
      <w:jc w:val="center"/>
    </w:pPr>
    <w:r>
      <w:rPr>
        <w:noProof/>
        <w:lang w:val="pl-PL" w:eastAsia="pl-PL"/>
      </w:rPr>
      <w:drawing>
        <wp:inline distT="0" distB="0" distL="0" distR="0" wp14:anchorId="15CF73BB" wp14:editId="529792D7">
          <wp:extent cx="771525" cy="619125"/>
          <wp:effectExtent l="0" t="0" r="9525" b="9525"/>
          <wp:docPr id="2" name="Picture 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D22FDD" w:rsidRDefault="00D22FDD" w:rsidP="0003188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2FDD" w:rsidRDefault="00D22FDD" w:rsidP="00031887"/>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2FDD" w:rsidRDefault="00D22FDD" w:rsidP="0003188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60E0" w:rsidRDefault="005560E0" w:rsidP="002D2C99">
      <w:r>
        <w:separator/>
      </w:r>
    </w:p>
  </w:footnote>
  <w:footnote w:type="continuationSeparator" w:id="0">
    <w:p w:rsidR="005560E0" w:rsidRDefault="005560E0" w:rsidP="002D2C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2FDD" w:rsidRPr="00A45145" w:rsidRDefault="00D22FDD" w:rsidP="00031887">
    <w:pPr>
      <w:jc w:val="center"/>
    </w:pPr>
    <w:r>
      <w:rPr>
        <w:noProof/>
        <w:lang w:val="pl-PL" w:eastAsia="pl-PL"/>
      </w:rPr>
      <w:drawing>
        <wp:inline distT="0" distB="0" distL="0" distR="0" wp14:anchorId="6AEF2CD9" wp14:editId="749867B5">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D22FDD" w:rsidRDefault="00D22FDD" w:rsidP="0003188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2FDD" w:rsidRPr="00BC0135" w:rsidRDefault="00D22FDD" w:rsidP="00876E01">
    <w:pPr>
      <w:pStyle w:val="ECHRHeader"/>
      <w:rPr>
        <w:lang w:val="fr-FR"/>
      </w:rPr>
    </w:pPr>
    <w:r>
      <w:rPr>
        <w:rStyle w:val="Numerstrony"/>
        <w:lang w:val="en-GB"/>
      </w:rPr>
      <w:fldChar w:fldCharType="begin"/>
    </w:r>
    <w:r w:rsidRPr="00BC0135">
      <w:rPr>
        <w:rStyle w:val="Numerstrony"/>
        <w:lang w:val="fr-FR"/>
      </w:rPr>
      <w:instrText xml:space="preserve"> PAGE </w:instrText>
    </w:r>
    <w:r>
      <w:rPr>
        <w:rStyle w:val="Numerstrony"/>
        <w:lang w:val="en-GB"/>
      </w:rPr>
      <w:fldChar w:fldCharType="separate"/>
    </w:r>
    <w:r w:rsidR="004A0C52">
      <w:rPr>
        <w:rStyle w:val="Numerstrony"/>
        <w:noProof/>
        <w:lang w:val="fr-FR"/>
      </w:rPr>
      <w:t>32</w:t>
    </w:r>
    <w:r>
      <w:rPr>
        <w:rStyle w:val="Numerstrony"/>
        <w:lang w:val="en-GB"/>
      </w:rPr>
      <w:fldChar w:fldCharType="end"/>
    </w:r>
    <w:r w:rsidRPr="00BC0135">
      <w:rPr>
        <w:lang w:val="fr-FR"/>
      </w:rPr>
      <w:tab/>
      <w:t>ARRÊT A.C. ET AUTRES c. ESPAGNE</w:t>
    </w:r>
  </w:p>
  <w:p w:rsidR="00D22FDD" w:rsidRPr="00BC0135" w:rsidRDefault="00D22FDD" w:rsidP="00031887">
    <w:pPr>
      <w:rPr>
        <w:lang w:val="fr-F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2FDD" w:rsidRPr="00BC0135" w:rsidRDefault="00D22FDD" w:rsidP="00420F04">
    <w:pPr>
      <w:pStyle w:val="ECHRHeader"/>
      <w:rPr>
        <w:lang w:val="fr-FR"/>
      </w:rPr>
    </w:pPr>
    <w:r>
      <w:tab/>
    </w:r>
    <w:r w:rsidRPr="00BC0135">
      <w:rPr>
        <w:lang w:val="fr-FR"/>
      </w:rPr>
      <w:t xml:space="preserve">ARRÊT A.C. ET AUTRES c. ESPAGNE </w:t>
    </w:r>
    <w:r w:rsidRPr="00BC0135">
      <w:rPr>
        <w:lang w:val="fr-FR"/>
      </w:rPr>
      <w:tab/>
    </w:r>
    <w:r>
      <w:rPr>
        <w:rStyle w:val="Numerstrony"/>
        <w:lang w:val="en-GB"/>
      </w:rPr>
      <w:fldChar w:fldCharType="begin"/>
    </w:r>
    <w:r w:rsidRPr="00BC0135">
      <w:rPr>
        <w:rStyle w:val="Numerstrony"/>
        <w:lang w:val="fr-FR"/>
      </w:rPr>
      <w:instrText xml:space="preserve"> PAGE </w:instrText>
    </w:r>
    <w:r>
      <w:rPr>
        <w:rStyle w:val="Numerstrony"/>
        <w:lang w:val="en-GB"/>
      </w:rPr>
      <w:fldChar w:fldCharType="separate"/>
    </w:r>
    <w:r w:rsidR="004A0C52">
      <w:rPr>
        <w:rStyle w:val="Numerstrony"/>
        <w:noProof/>
        <w:lang w:val="fr-FR"/>
      </w:rPr>
      <w:t>33</w:t>
    </w:r>
    <w:r>
      <w:rPr>
        <w:rStyle w:val="Numerstrony"/>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A08B0C2"/>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3CF25AF4"/>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5B02EDC2"/>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C1E60D70"/>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D2AA4F54"/>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99E2214A"/>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0DDCF244"/>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1804BE7E"/>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02A84908"/>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88CC5F40"/>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097D41CD"/>
    <w:multiLevelType w:val="singleLevel"/>
    <w:tmpl w:val="5C80F76C"/>
    <w:lvl w:ilvl="0">
      <w:start w:val="1"/>
      <w:numFmt w:val="decimal"/>
      <w:lvlText w:val="%1."/>
      <w:lvlJc w:val="left"/>
      <w:pPr>
        <w:tabs>
          <w:tab w:val="num" w:pos="360"/>
        </w:tabs>
        <w:ind w:left="360" w:hanging="360"/>
      </w:pPr>
      <w:rPr>
        <w:rFonts w:cs="Times New Roman"/>
        <w:b w:val="0"/>
      </w:rPr>
    </w:lvl>
  </w:abstractNum>
  <w:abstractNum w:abstractNumId="12">
    <w:nsid w:val="17363396"/>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1F4B36E4"/>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4">
    <w:nsid w:val="27063F06"/>
    <w:multiLevelType w:val="multilevel"/>
    <w:tmpl w:val="040C001F"/>
    <w:styleLink w:val="1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86E0A58"/>
    <w:multiLevelType w:val="multilevel"/>
    <w:tmpl w:val="F2205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408F70CF"/>
    <w:multiLevelType w:val="multilevel"/>
    <w:tmpl w:val="EF9E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43C6C9E"/>
    <w:multiLevelType w:val="multilevel"/>
    <w:tmpl w:val="85FA4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0201130"/>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0">
    <w:nsid w:val="5B4233A6"/>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65D7306C"/>
    <w:multiLevelType w:val="multilevel"/>
    <w:tmpl w:val="040C0023"/>
    <w:styleLink w:val="ArticleSection1"/>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nsid w:val="6CE97C38"/>
    <w:multiLevelType w:val="multilevel"/>
    <w:tmpl w:val="80BE5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FCA613C"/>
    <w:multiLevelType w:val="multilevel"/>
    <w:tmpl w:val="2EFCF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0152ADB"/>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6"/>
  </w:num>
  <w:num w:numId="2">
    <w:abstractNumId w:val="19"/>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13"/>
  </w:num>
  <w:num w:numId="6">
    <w:abstractNumId w:val="19"/>
  </w:num>
  <w:num w:numId="7">
    <w:abstractNumId w:val="13"/>
  </w:num>
  <w:num w:numId="8">
    <w:abstractNumId w:val="7"/>
  </w:num>
  <w:num w:numId="9">
    <w:abstractNumId w:val="24"/>
  </w:num>
  <w:num w:numId="10">
    <w:abstractNumId w:val="20"/>
  </w:num>
  <w:num w:numId="11">
    <w:abstractNumId w:val="12"/>
  </w:num>
  <w:num w:numId="12">
    <w:abstractNumId w:val="9"/>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5"/>
  </w:num>
  <w:num w:numId="22">
    <w:abstractNumId w:val="14"/>
  </w:num>
  <w:num w:numId="23">
    <w:abstractNumId w:val="10"/>
  </w:num>
  <w:num w:numId="24">
    <w:abstractNumId w:val="21"/>
  </w:num>
  <w:num w:numId="25">
    <w:abstractNumId w:val="11"/>
  </w:num>
  <w:num w:numId="26">
    <w:abstractNumId w:val="23"/>
  </w:num>
  <w:num w:numId="27">
    <w:abstractNumId w:val="22"/>
  </w:num>
  <w:num w:numId="28">
    <w:abstractNumId w:val="18"/>
  </w:num>
  <w:num w:numId="29">
    <w:abstractNumId w:val="15"/>
  </w:num>
  <w:num w:numId="30">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1"/>
    <w:docVar w:name="NBEMMDOC" w:val="0"/>
    <w:docVar w:name="SignForeName" w:val="0"/>
  </w:docVars>
  <w:rsids>
    <w:rsidRoot w:val="00BC0135"/>
    <w:rsid w:val="000041F8"/>
    <w:rsid w:val="000042A8"/>
    <w:rsid w:val="00004308"/>
    <w:rsid w:val="00005BF0"/>
    <w:rsid w:val="00007154"/>
    <w:rsid w:val="000103AE"/>
    <w:rsid w:val="00011D69"/>
    <w:rsid w:val="00012AD3"/>
    <w:rsid w:val="00015C2D"/>
    <w:rsid w:val="00015F00"/>
    <w:rsid w:val="00022C1D"/>
    <w:rsid w:val="00031887"/>
    <w:rsid w:val="00034987"/>
    <w:rsid w:val="000602DF"/>
    <w:rsid w:val="00061B05"/>
    <w:rsid w:val="000632D5"/>
    <w:rsid w:val="000644EE"/>
    <w:rsid w:val="000925AD"/>
    <w:rsid w:val="000A24EB"/>
    <w:rsid w:val="000A2932"/>
    <w:rsid w:val="000B6923"/>
    <w:rsid w:val="000C5F3C"/>
    <w:rsid w:val="000C6DCC"/>
    <w:rsid w:val="000D47AA"/>
    <w:rsid w:val="000D721F"/>
    <w:rsid w:val="000E069B"/>
    <w:rsid w:val="000E0E82"/>
    <w:rsid w:val="000E1DC5"/>
    <w:rsid w:val="000E223F"/>
    <w:rsid w:val="000E7D45"/>
    <w:rsid w:val="000F7851"/>
    <w:rsid w:val="00104E23"/>
    <w:rsid w:val="00111B0C"/>
    <w:rsid w:val="001145DC"/>
    <w:rsid w:val="00120D6C"/>
    <w:rsid w:val="001257EC"/>
    <w:rsid w:val="00133D33"/>
    <w:rsid w:val="00134D64"/>
    <w:rsid w:val="00135A30"/>
    <w:rsid w:val="0013612C"/>
    <w:rsid w:val="00137FF6"/>
    <w:rsid w:val="00141650"/>
    <w:rsid w:val="001541DA"/>
    <w:rsid w:val="00162A12"/>
    <w:rsid w:val="00166530"/>
    <w:rsid w:val="001832BD"/>
    <w:rsid w:val="001943B5"/>
    <w:rsid w:val="00195134"/>
    <w:rsid w:val="001A145B"/>
    <w:rsid w:val="001A674C"/>
    <w:rsid w:val="001B3B24"/>
    <w:rsid w:val="001B4AFF"/>
    <w:rsid w:val="001C0F98"/>
    <w:rsid w:val="001C2A42"/>
    <w:rsid w:val="001D63ED"/>
    <w:rsid w:val="001D7348"/>
    <w:rsid w:val="001E035B"/>
    <w:rsid w:val="001E0961"/>
    <w:rsid w:val="001E3EAE"/>
    <w:rsid w:val="001E6F32"/>
    <w:rsid w:val="001F2145"/>
    <w:rsid w:val="001F6262"/>
    <w:rsid w:val="001F67B0"/>
    <w:rsid w:val="001F6866"/>
    <w:rsid w:val="001F7B3D"/>
    <w:rsid w:val="00205F9F"/>
    <w:rsid w:val="00210338"/>
    <w:rsid w:val="002115FC"/>
    <w:rsid w:val="0021423C"/>
    <w:rsid w:val="00230D00"/>
    <w:rsid w:val="00231DF7"/>
    <w:rsid w:val="00231FD1"/>
    <w:rsid w:val="002339E0"/>
    <w:rsid w:val="00233CF8"/>
    <w:rsid w:val="0023575D"/>
    <w:rsid w:val="00235A32"/>
    <w:rsid w:val="00237148"/>
    <w:rsid w:val="0024222D"/>
    <w:rsid w:val="00244B0E"/>
    <w:rsid w:val="00244F6C"/>
    <w:rsid w:val="002532C5"/>
    <w:rsid w:val="00260C03"/>
    <w:rsid w:val="0026540E"/>
    <w:rsid w:val="00275123"/>
    <w:rsid w:val="00282240"/>
    <w:rsid w:val="002924AA"/>
    <w:rsid w:val="002948AD"/>
    <w:rsid w:val="002A01CC"/>
    <w:rsid w:val="002A61B1"/>
    <w:rsid w:val="002A663C"/>
    <w:rsid w:val="002B444B"/>
    <w:rsid w:val="002B5887"/>
    <w:rsid w:val="002C0E27"/>
    <w:rsid w:val="002C3040"/>
    <w:rsid w:val="002D022D"/>
    <w:rsid w:val="002D24BB"/>
    <w:rsid w:val="002D2C99"/>
    <w:rsid w:val="002F2AF7"/>
    <w:rsid w:val="002F7E1C"/>
    <w:rsid w:val="00301A75"/>
    <w:rsid w:val="00302F70"/>
    <w:rsid w:val="0030336F"/>
    <w:rsid w:val="0030375E"/>
    <w:rsid w:val="00312A30"/>
    <w:rsid w:val="00320F72"/>
    <w:rsid w:val="0032463E"/>
    <w:rsid w:val="00326224"/>
    <w:rsid w:val="00337EE4"/>
    <w:rsid w:val="00340FFD"/>
    <w:rsid w:val="003506B1"/>
    <w:rsid w:val="00356AC7"/>
    <w:rsid w:val="003609FA"/>
    <w:rsid w:val="003710C8"/>
    <w:rsid w:val="003750BE"/>
    <w:rsid w:val="00377834"/>
    <w:rsid w:val="00387B9D"/>
    <w:rsid w:val="0039364F"/>
    <w:rsid w:val="00396686"/>
    <w:rsid w:val="0039778E"/>
    <w:rsid w:val="003B4941"/>
    <w:rsid w:val="003B6353"/>
    <w:rsid w:val="003C5714"/>
    <w:rsid w:val="003C6B9F"/>
    <w:rsid w:val="003C6E2A"/>
    <w:rsid w:val="003D0299"/>
    <w:rsid w:val="003E6D80"/>
    <w:rsid w:val="003F05FA"/>
    <w:rsid w:val="003F244A"/>
    <w:rsid w:val="003F30B8"/>
    <w:rsid w:val="003F4C45"/>
    <w:rsid w:val="003F5F7B"/>
    <w:rsid w:val="003F7D64"/>
    <w:rsid w:val="00400BA4"/>
    <w:rsid w:val="00414300"/>
    <w:rsid w:val="00420F04"/>
    <w:rsid w:val="00425C67"/>
    <w:rsid w:val="00427E7A"/>
    <w:rsid w:val="00436C49"/>
    <w:rsid w:val="00444802"/>
    <w:rsid w:val="00445366"/>
    <w:rsid w:val="00447F5B"/>
    <w:rsid w:val="00461DB0"/>
    <w:rsid w:val="00463926"/>
    <w:rsid w:val="00464C9A"/>
    <w:rsid w:val="00472633"/>
    <w:rsid w:val="00474F3D"/>
    <w:rsid w:val="00475BA5"/>
    <w:rsid w:val="00477E3A"/>
    <w:rsid w:val="00483E5F"/>
    <w:rsid w:val="00485FF9"/>
    <w:rsid w:val="004907F0"/>
    <w:rsid w:val="0049140B"/>
    <w:rsid w:val="004923A5"/>
    <w:rsid w:val="00496BFB"/>
    <w:rsid w:val="004A0C52"/>
    <w:rsid w:val="004A15C7"/>
    <w:rsid w:val="004B013B"/>
    <w:rsid w:val="004B112B"/>
    <w:rsid w:val="004C01E4"/>
    <w:rsid w:val="004C086C"/>
    <w:rsid w:val="004C1F56"/>
    <w:rsid w:val="004C27BC"/>
    <w:rsid w:val="004D15F3"/>
    <w:rsid w:val="004D2A99"/>
    <w:rsid w:val="004D5311"/>
    <w:rsid w:val="004D5DCC"/>
    <w:rsid w:val="004F10AF"/>
    <w:rsid w:val="004F11A4"/>
    <w:rsid w:val="004F2389"/>
    <w:rsid w:val="004F304D"/>
    <w:rsid w:val="004F61BE"/>
    <w:rsid w:val="004F66B1"/>
    <w:rsid w:val="00504B0C"/>
    <w:rsid w:val="00511C07"/>
    <w:rsid w:val="005173A6"/>
    <w:rsid w:val="00520BAA"/>
    <w:rsid w:val="00525208"/>
    <w:rsid w:val="005257A5"/>
    <w:rsid w:val="005264C0"/>
    <w:rsid w:val="00526A8A"/>
    <w:rsid w:val="00531DF2"/>
    <w:rsid w:val="005442EE"/>
    <w:rsid w:val="00547353"/>
    <w:rsid w:val="005474E7"/>
    <w:rsid w:val="005512A3"/>
    <w:rsid w:val="005560E0"/>
    <w:rsid w:val="005578CE"/>
    <w:rsid w:val="00562781"/>
    <w:rsid w:val="0057271C"/>
    <w:rsid w:val="00572845"/>
    <w:rsid w:val="00592772"/>
    <w:rsid w:val="005951E1"/>
    <w:rsid w:val="0059574A"/>
    <w:rsid w:val="005A1B9B"/>
    <w:rsid w:val="005A6751"/>
    <w:rsid w:val="005B092E"/>
    <w:rsid w:val="005B152C"/>
    <w:rsid w:val="005B1EE0"/>
    <w:rsid w:val="005B2B24"/>
    <w:rsid w:val="005B4425"/>
    <w:rsid w:val="005B4B94"/>
    <w:rsid w:val="005C14EC"/>
    <w:rsid w:val="005C3EE8"/>
    <w:rsid w:val="005D2533"/>
    <w:rsid w:val="005D34F9"/>
    <w:rsid w:val="005D4190"/>
    <w:rsid w:val="005D67A3"/>
    <w:rsid w:val="005E2988"/>
    <w:rsid w:val="005E3085"/>
    <w:rsid w:val="005F51E1"/>
    <w:rsid w:val="00611C80"/>
    <w:rsid w:val="00620692"/>
    <w:rsid w:val="006242CA"/>
    <w:rsid w:val="00627507"/>
    <w:rsid w:val="00633717"/>
    <w:rsid w:val="006344E1"/>
    <w:rsid w:val="006545C4"/>
    <w:rsid w:val="00661971"/>
    <w:rsid w:val="00661CE8"/>
    <w:rsid w:val="006623D9"/>
    <w:rsid w:val="0066550C"/>
    <w:rsid w:val="006705DC"/>
    <w:rsid w:val="006716F2"/>
    <w:rsid w:val="00682BF2"/>
    <w:rsid w:val="006859CE"/>
    <w:rsid w:val="00691270"/>
    <w:rsid w:val="00694BA8"/>
    <w:rsid w:val="006A037C"/>
    <w:rsid w:val="006A36F4"/>
    <w:rsid w:val="006A406F"/>
    <w:rsid w:val="006A5D3A"/>
    <w:rsid w:val="006C23D4"/>
    <w:rsid w:val="006C7BB0"/>
    <w:rsid w:val="006D2783"/>
    <w:rsid w:val="006D3237"/>
    <w:rsid w:val="006E2E37"/>
    <w:rsid w:val="006E3CF1"/>
    <w:rsid w:val="006E7E80"/>
    <w:rsid w:val="006F48CA"/>
    <w:rsid w:val="006F64DD"/>
    <w:rsid w:val="00715127"/>
    <w:rsid w:val="00715E8E"/>
    <w:rsid w:val="00723580"/>
    <w:rsid w:val="00723755"/>
    <w:rsid w:val="0073136C"/>
    <w:rsid w:val="00731F0F"/>
    <w:rsid w:val="00733250"/>
    <w:rsid w:val="00741404"/>
    <w:rsid w:val="007449E5"/>
    <w:rsid w:val="00747FF0"/>
    <w:rsid w:val="00764D4E"/>
    <w:rsid w:val="00765A1F"/>
    <w:rsid w:val="00775B6D"/>
    <w:rsid w:val="00776D68"/>
    <w:rsid w:val="007850EE"/>
    <w:rsid w:val="00785B95"/>
    <w:rsid w:val="00790E96"/>
    <w:rsid w:val="00793366"/>
    <w:rsid w:val="007A716F"/>
    <w:rsid w:val="007B270A"/>
    <w:rsid w:val="007B6D8B"/>
    <w:rsid w:val="007C0695"/>
    <w:rsid w:val="007C419A"/>
    <w:rsid w:val="007C4CC8"/>
    <w:rsid w:val="007C5426"/>
    <w:rsid w:val="007C5798"/>
    <w:rsid w:val="007D4832"/>
    <w:rsid w:val="007E21B2"/>
    <w:rsid w:val="007E2C4E"/>
    <w:rsid w:val="007F1905"/>
    <w:rsid w:val="00801300"/>
    <w:rsid w:val="00802C64"/>
    <w:rsid w:val="00805E52"/>
    <w:rsid w:val="008061D0"/>
    <w:rsid w:val="00810B38"/>
    <w:rsid w:val="008204C7"/>
    <w:rsid w:val="00820992"/>
    <w:rsid w:val="00820ECB"/>
    <w:rsid w:val="00823602"/>
    <w:rsid w:val="008255F5"/>
    <w:rsid w:val="0083014E"/>
    <w:rsid w:val="0083214A"/>
    <w:rsid w:val="00834220"/>
    <w:rsid w:val="00843AD8"/>
    <w:rsid w:val="00845723"/>
    <w:rsid w:val="00851EF9"/>
    <w:rsid w:val="008577FD"/>
    <w:rsid w:val="00860B03"/>
    <w:rsid w:val="0086497A"/>
    <w:rsid w:val="00871249"/>
    <w:rsid w:val="008713A1"/>
    <w:rsid w:val="008754AB"/>
    <w:rsid w:val="00876E01"/>
    <w:rsid w:val="0088060C"/>
    <w:rsid w:val="008864FC"/>
    <w:rsid w:val="00893576"/>
    <w:rsid w:val="00893E73"/>
    <w:rsid w:val="008B02DC"/>
    <w:rsid w:val="008B57CE"/>
    <w:rsid w:val="008C26DE"/>
    <w:rsid w:val="008D2225"/>
    <w:rsid w:val="008D4752"/>
    <w:rsid w:val="008E271C"/>
    <w:rsid w:val="008E418E"/>
    <w:rsid w:val="008E5BC6"/>
    <w:rsid w:val="008E6A25"/>
    <w:rsid w:val="008F5193"/>
    <w:rsid w:val="009013A7"/>
    <w:rsid w:val="009017FB"/>
    <w:rsid w:val="009017FC"/>
    <w:rsid w:val="0090506B"/>
    <w:rsid w:val="009050C9"/>
    <w:rsid w:val="009066FC"/>
    <w:rsid w:val="00910515"/>
    <w:rsid w:val="009140A3"/>
    <w:rsid w:val="009144A2"/>
    <w:rsid w:val="0091510C"/>
    <w:rsid w:val="009259AC"/>
    <w:rsid w:val="00926F38"/>
    <w:rsid w:val="00934301"/>
    <w:rsid w:val="00936CD1"/>
    <w:rsid w:val="00941747"/>
    <w:rsid w:val="00941EFB"/>
    <w:rsid w:val="00947584"/>
    <w:rsid w:val="00947AFB"/>
    <w:rsid w:val="00951D7D"/>
    <w:rsid w:val="009630C7"/>
    <w:rsid w:val="00972B55"/>
    <w:rsid w:val="009743B7"/>
    <w:rsid w:val="0098228B"/>
    <w:rsid w:val="009828DA"/>
    <w:rsid w:val="00985BAB"/>
    <w:rsid w:val="009B1B5F"/>
    <w:rsid w:val="009B6673"/>
    <w:rsid w:val="009C191B"/>
    <w:rsid w:val="009C2BD6"/>
    <w:rsid w:val="009E0F40"/>
    <w:rsid w:val="009E1F32"/>
    <w:rsid w:val="009E776C"/>
    <w:rsid w:val="009F65DC"/>
    <w:rsid w:val="00A1726E"/>
    <w:rsid w:val="00A204CF"/>
    <w:rsid w:val="00A23D49"/>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82359"/>
    <w:rsid w:val="00A865D2"/>
    <w:rsid w:val="00A94C20"/>
    <w:rsid w:val="00A977F5"/>
    <w:rsid w:val="00AA227F"/>
    <w:rsid w:val="00AA3BC7"/>
    <w:rsid w:val="00AA754A"/>
    <w:rsid w:val="00AB099E"/>
    <w:rsid w:val="00AB10A6"/>
    <w:rsid w:val="00AB4328"/>
    <w:rsid w:val="00AC6A97"/>
    <w:rsid w:val="00AE0A2E"/>
    <w:rsid w:val="00AE354C"/>
    <w:rsid w:val="00AF4B07"/>
    <w:rsid w:val="00AF6186"/>
    <w:rsid w:val="00AF7A3A"/>
    <w:rsid w:val="00B160DB"/>
    <w:rsid w:val="00B1675F"/>
    <w:rsid w:val="00B20836"/>
    <w:rsid w:val="00B235BB"/>
    <w:rsid w:val="00B27A44"/>
    <w:rsid w:val="00B30BBF"/>
    <w:rsid w:val="00B33C03"/>
    <w:rsid w:val="00B44E56"/>
    <w:rsid w:val="00B46543"/>
    <w:rsid w:val="00B47D33"/>
    <w:rsid w:val="00B52BE0"/>
    <w:rsid w:val="00B54133"/>
    <w:rsid w:val="00B701ED"/>
    <w:rsid w:val="00B8086C"/>
    <w:rsid w:val="00B861B4"/>
    <w:rsid w:val="00B86DFE"/>
    <w:rsid w:val="00B90990"/>
    <w:rsid w:val="00B922FF"/>
    <w:rsid w:val="00B9281E"/>
    <w:rsid w:val="00B93925"/>
    <w:rsid w:val="00B95187"/>
    <w:rsid w:val="00BA2D55"/>
    <w:rsid w:val="00BA71B1"/>
    <w:rsid w:val="00BB0637"/>
    <w:rsid w:val="00BB345F"/>
    <w:rsid w:val="00BB68EA"/>
    <w:rsid w:val="00BC0135"/>
    <w:rsid w:val="00BC1775"/>
    <w:rsid w:val="00BC1C27"/>
    <w:rsid w:val="00BC5525"/>
    <w:rsid w:val="00BC5E3A"/>
    <w:rsid w:val="00BC6BBF"/>
    <w:rsid w:val="00BD1572"/>
    <w:rsid w:val="00BE14E3"/>
    <w:rsid w:val="00BE3774"/>
    <w:rsid w:val="00BE41E5"/>
    <w:rsid w:val="00BF4109"/>
    <w:rsid w:val="00BF4CC3"/>
    <w:rsid w:val="00C054C7"/>
    <w:rsid w:val="00C057B5"/>
    <w:rsid w:val="00C119A2"/>
    <w:rsid w:val="00C22687"/>
    <w:rsid w:val="00C32E4D"/>
    <w:rsid w:val="00C333A0"/>
    <w:rsid w:val="00C36408"/>
    <w:rsid w:val="00C36A81"/>
    <w:rsid w:val="00C41974"/>
    <w:rsid w:val="00C42092"/>
    <w:rsid w:val="00C46132"/>
    <w:rsid w:val="00C53F4A"/>
    <w:rsid w:val="00C54125"/>
    <w:rsid w:val="00C55B54"/>
    <w:rsid w:val="00C6098E"/>
    <w:rsid w:val="00C6152C"/>
    <w:rsid w:val="00C74810"/>
    <w:rsid w:val="00C90D68"/>
    <w:rsid w:val="00C939FE"/>
    <w:rsid w:val="00CA4BDA"/>
    <w:rsid w:val="00CA564E"/>
    <w:rsid w:val="00CB1F66"/>
    <w:rsid w:val="00CB2951"/>
    <w:rsid w:val="00CD282B"/>
    <w:rsid w:val="00CD4C35"/>
    <w:rsid w:val="00CD7369"/>
    <w:rsid w:val="00CE0B0E"/>
    <w:rsid w:val="00CE3831"/>
    <w:rsid w:val="00D00ABB"/>
    <w:rsid w:val="00D02EEC"/>
    <w:rsid w:val="00D03551"/>
    <w:rsid w:val="00D06A63"/>
    <w:rsid w:val="00D07E0E"/>
    <w:rsid w:val="00D11478"/>
    <w:rsid w:val="00D14156"/>
    <w:rsid w:val="00D15ED0"/>
    <w:rsid w:val="00D21B3E"/>
    <w:rsid w:val="00D21FED"/>
    <w:rsid w:val="00D22FDD"/>
    <w:rsid w:val="00D24251"/>
    <w:rsid w:val="00D343E2"/>
    <w:rsid w:val="00D361A2"/>
    <w:rsid w:val="00D44C2E"/>
    <w:rsid w:val="00D45414"/>
    <w:rsid w:val="00D566BD"/>
    <w:rsid w:val="00D57A4D"/>
    <w:rsid w:val="00D60AA7"/>
    <w:rsid w:val="00D6435F"/>
    <w:rsid w:val="00D74A59"/>
    <w:rsid w:val="00D75E28"/>
    <w:rsid w:val="00D772C2"/>
    <w:rsid w:val="00D8008E"/>
    <w:rsid w:val="00D82C45"/>
    <w:rsid w:val="00D83B25"/>
    <w:rsid w:val="00D908A8"/>
    <w:rsid w:val="00D977B6"/>
    <w:rsid w:val="00DA4A31"/>
    <w:rsid w:val="00DA7B04"/>
    <w:rsid w:val="00DB36C2"/>
    <w:rsid w:val="00DC169B"/>
    <w:rsid w:val="00DC2AB9"/>
    <w:rsid w:val="00DC63F0"/>
    <w:rsid w:val="00DD224D"/>
    <w:rsid w:val="00DD6EE5"/>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20F5"/>
    <w:rsid w:val="00E76D47"/>
    <w:rsid w:val="00E84664"/>
    <w:rsid w:val="00E849F7"/>
    <w:rsid w:val="00E90302"/>
    <w:rsid w:val="00E97396"/>
    <w:rsid w:val="00EA185E"/>
    <w:rsid w:val="00EA2AE2"/>
    <w:rsid w:val="00EA592A"/>
    <w:rsid w:val="00EB14E4"/>
    <w:rsid w:val="00EB32A5"/>
    <w:rsid w:val="00EB34ED"/>
    <w:rsid w:val="00EB7BE0"/>
    <w:rsid w:val="00EC315E"/>
    <w:rsid w:val="00ED077C"/>
    <w:rsid w:val="00ED1190"/>
    <w:rsid w:val="00ED6544"/>
    <w:rsid w:val="00EE01B9"/>
    <w:rsid w:val="00EE0277"/>
    <w:rsid w:val="00EE3E00"/>
    <w:rsid w:val="00EE5DD2"/>
    <w:rsid w:val="00F00A79"/>
    <w:rsid w:val="00F00E86"/>
    <w:rsid w:val="00F07C1E"/>
    <w:rsid w:val="00F105DB"/>
    <w:rsid w:val="00F1327B"/>
    <w:rsid w:val="00F132BC"/>
    <w:rsid w:val="00F13B8D"/>
    <w:rsid w:val="00F13D80"/>
    <w:rsid w:val="00F16AAA"/>
    <w:rsid w:val="00F21161"/>
    <w:rsid w:val="00F218EF"/>
    <w:rsid w:val="00F21BC7"/>
    <w:rsid w:val="00F22A65"/>
    <w:rsid w:val="00F266A2"/>
    <w:rsid w:val="00F32269"/>
    <w:rsid w:val="00F56A6F"/>
    <w:rsid w:val="00F5709C"/>
    <w:rsid w:val="00F64EF1"/>
    <w:rsid w:val="00F8765F"/>
    <w:rsid w:val="00F90767"/>
    <w:rsid w:val="00FA685B"/>
    <w:rsid w:val="00FB0C01"/>
    <w:rsid w:val="00FC18F2"/>
    <w:rsid w:val="00FC39E5"/>
    <w:rsid w:val="00FC3A78"/>
    <w:rsid w:val="00FD1005"/>
    <w:rsid w:val="00FD6C75"/>
    <w:rsid w:val="00FE71B3"/>
    <w:rsid w:val="00FE76AE"/>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caption" w:qFormat="1"/>
    <w:lsdException w:name="footnote reference" w:uiPriority="0"/>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2D2C99"/>
    <w:pPr>
      <w:jc w:val="both"/>
    </w:pPr>
    <w:rPr>
      <w:rFonts w:eastAsiaTheme="minorEastAsia"/>
      <w:sz w:val="24"/>
    </w:rPr>
  </w:style>
  <w:style w:type="paragraph" w:styleId="Nagwek1">
    <w:name w:val="heading 1"/>
    <w:basedOn w:val="Normalny"/>
    <w:next w:val="Normalny"/>
    <w:link w:val="Nagwek1Znak"/>
    <w:uiPriority w:val="99"/>
    <w:semiHidden/>
    <w:rsid w:val="0094174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2D2C99"/>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2D2C99"/>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2D2C9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2D2C9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2D2C99"/>
    <w:rPr>
      <w:i/>
      <w:iCs/>
      <w:smallCaps/>
      <w:spacing w:val="5"/>
    </w:rPr>
  </w:style>
  <w:style w:type="paragraph" w:customStyle="1" w:styleId="ECHRHeader">
    <w:name w:val="ECHR_Header"/>
    <w:aliases w:val="Ju_Header"/>
    <w:basedOn w:val="Nagwek"/>
    <w:uiPriority w:val="4"/>
    <w:qFormat/>
    <w:rsid w:val="002D2C99"/>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ECHRPara"/>
    <w:uiPriority w:val="46"/>
    <w:qFormat/>
    <w:rsid w:val="002D2C99"/>
  </w:style>
  <w:style w:type="character" w:styleId="Pogrubienie">
    <w:name w:val="Strong"/>
    <w:uiPriority w:val="99"/>
    <w:semiHidden/>
    <w:qFormat/>
    <w:rsid w:val="002D2C99"/>
    <w:rPr>
      <w:b/>
      <w:bCs/>
    </w:rPr>
  </w:style>
  <w:style w:type="paragraph" w:styleId="Bezodstpw">
    <w:name w:val="No Spacing"/>
    <w:basedOn w:val="Normalny"/>
    <w:link w:val="BezodstpwZnak"/>
    <w:uiPriority w:val="99"/>
    <w:semiHidden/>
    <w:qFormat/>
    <w:rsid w:val="002D2C99"/>
    <w:rPr>
      <w:sz w:val="22"/>
    </w:rPr>
  </w:style>
  <w:style w:type="character" w:customStyle="1" w:styleId="BezodstpwZnak">
    <w:name w:val="Bez odstępów Znak"/>
    <w:basedOn w:val="Domylnaczcionkaakapitu"/>
    <w:link w:val="Bezodstpw"/>
    <w:semiHidden/>
    <w:rsid w:val="002D2C99"/>
    <w:rPr>
      <w:rFonts w:eastAsiaTheme="minorEastAsia"/>
    </w:rPr>
  </w:style>
  <w:style w:type="paragraph" w:customStyle="1" w:styleId="ECHRParaQuote">
    <w:name w:val="ECHR_Para_Quote"/>
    <w:aliases w:val="Ju_Quot"/>
    <w:basedOn w:val="Normalny"/>
    <w:qFormat/>
    <w:rsid w:val="002D2C99"/>
    <w:pPr>
      <w:spacing w:before="120" w:after="120"/>
      <w:ind w:left="425" w:firstLine="142"/>
    </w:pPr>
    <w:rPr>
      <w:sz w:val="20"/>
    </w:rPr>
  </w:style>
  <w:style w:type="paragraph" w:customStyle="1" w:styleId="JuParaSub">
    <w:name w:val="Ju_Para_Sub"/>
    <w:basedOn w:val="ECHRPara"/>
    <w:uiPriority w:val="13"/>
    <w:qFormat/>
    <w:rsid w:val="002D2C99"/>
    <w:pPr>
      <w:ind w:left="284"/>
    </w:pPr>
  </w:style>
  <w:style w:type="paragraph" w:customStyle="1" w:styleId="OpiParaSub">
    <w:name w:val="Opi_Para_Sub"/>
    <w:basedOn w:val="JuParaSub"/>
    <w:uiPriority w:val="47"/>
    <w:qFormat/>
    <w:rsid w:val="002D2C99"/>
  </w:style>
  <w:style w:type="paragraph" w:customStyle="1" w:styleId="OpiQuot">
    <w:name w:val="Opi_Quot"/>
    <w:basedOn w:val="ECHRParaQuote"/>
    <w:uiPriority w:val="48"/>
    <w:qFormat/>
    <w:rsid w:val="002D2C99"/>
  </w:style>
  <w:style w:type="paragraph" w:customStyle="1" w:styleId="OpiQuotSub">
    <w:name w:val="Opi_Quot_Sub"/>
    <w:basedOn w:val="JuQuotSub"/>
    <w:uiPriority w:val="49"/>
    <w:qFormat/>
    <w:rsid w:val="002D2C99"/>
  </w:style>
  <w:style w:type="paragraph" w:customStyle="1" w:styleId="ECHRTitleCentre3">
    <w:name w:val="ECHR_Title_Centre_3"/>
    <w:aliases w:val="Ju_H_Article"/>
    <w:basedOn w:val="Normalny"/>
    <w:next w:val="ECHRParaQuote"/>
    <w:uiPriority w:val="27"/>
    <w:qFormat/>
    <w:rsid w:val="002D2C9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2D2C99"/>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2D2C99"/>
    <w:pPr>
      <w:ind w:left="567"/>
    </w:pPr>
  </w:style>
  <w:style w:type="paragraph" w:customStyle="1" w:styleId="ECHRTitle1">
    <w:name w:val="ECHR_Title_1"/>
    <w:aliases w:val="Ju_H_Head"/>
    <w:basedOn w:val="Normalny"/>
    <w:next w:val="ECHRPara"/>
    <w:uiPriority w:val="18"/>
    <w:qFormat/>
    <w:rsid w:val="002D2C99"/>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2D2C99"/>
    <w:pPr>
      <w:tabs>
        <w:tab w:val="center" w:pos="6407"/>
      </w:tabs>
      <w:spacing w:before="720"/>
      <w:jc w:val="right"/>
    </w:pPr>
  </w:style>
  <w:style w:type="paragraph" w:customStyle="1" w:styleId="JuSigned">
    <w:name w:val="Ju_Signed"/>
    <w:basedOn w:val="Normalny"/>
    <w:next w:val="JuParaLast"/>
    <w:uiPriority w:val="32"/>
    <w:qFormat/>
    <w:rsid w:val="002D2C99"/>
    <w:pPr>
      <w:tabs>
        <w:tab w:val="center" w:pos="851"/>
        <w:tab w:val="center" w:pos="6407"/>
      </w:tabs>
      <w:spacing w:before="720"/>
      <w:jc w:val="left"/>
    </w:pPr>
  </w:style>
  <w:style w:type="paragraph" w:styleId="Tytu">
    <w:name w:val="Title"/>
    <w:basedOn w:val="Normalny"/>
    <w:next w:val="Normalny"/>
    <w:link w:val="TytuZnak"/>
    <w:uiPriority w:val="99"/>
    <w:semiHidden/>
    <w:qFormat/>
    <w:rsid w:val="002D2C9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2D2C99"/>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2D2C99"/>
    <w:pPr>
      <w:tabs>
        <w:tab w:val="clear" w:pos="357"/>
      </w:tabs>
      <w:outlineLvl w:val="1"/>
    </w:pPr>
    <w:rPr>
      <w:b/>
    </w:rPr>
  </w:style>
  <w:style w:type="character" w:customStyle="1" w:styleId="JUNAMES">
    <w:name w:val="JU_NAMES"/>
    <w:uiPriority w:val="17"/>
    <w:qFormat/>
    <w:rsid w:val="002D2C99"/>
    <w:rPr>
      <w:caps w:val="0"/>
      <w:smallCaps/>
    </w:rPr>
  </w:style>
  <w:style w:type="character" w:customStyle="1" w:styleId="JuITMark">
    <w:name w:val="Ju_ITMark"/>
    <w:basedOn w:val="Domylnaczcionkaakapitu"/>
    <w:uiPriority w:val="38"/>
    <w:qFormat/>
    <w:rsid w:val="002D2C99"/>
    <w:rPr>
      <w:vanish/>
      <w:color w:val="339966"/>
      <w:sz w:val="14"/>
    </w:rPr>
  </w:style>
  <w:style w:type="paragraph" w:customStyle="1" w:styleId="OpiTranslation">
    <w:name w:val="Opi_Translation"/>
    <w:basedOn w:val="Normalny"/>
    <w:next w:val="OpiPara"/>
    <w:uiPriority w:val="40"/>
    <w:qFormat/>
    <w:rsid w:val="002D2C99"/>
    <w:pPr>
      <w:jc w:val="center"/>
      <w:outlineLvl w:val="0"/>
    </w:pPr>
    <w:rPr>
      <w:i/>
    </w:rPr>
  </w:style>
  <w:style w:type="paragraph" w:customStyle="1" w:styleId="JuCourt">
    <w:name w:val="Ju_Court"/>
    <w:basedOn w:val="Normalny"/>
    <w:next w:val="Normalny"/>
    <w:uiPriority w:val="16"/>
    <w:qFormat/>
    <w:rsid w:val="002D2C99"/>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link w:val="JuHIRomanChar"/>
    <w:qFormat/>
    <w:rsid w:val="002D2C9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2D2C99"/>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2D2C99"/>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99"/>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2D2C9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2D2C99"/>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2D2C99"/>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2D2C99"/>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paragraph" w:customStyle="1" w:styleId="JuParaLast">
    <w:name w:val="Ju_Para_Last"/>
    <w:basedOn w:val="Normalny"/>
    <w:next w:val="ECHRPara"/>
    <w:qFormat/>
    <w:rsid w:val="002D2C99"/>
    <w:pPr>
      <w:keepNext/>
      <w:keepLines/>
      <w:spacing w:before="240"/>
      <w:ind w:firstLine="284"/>
    </w:pPr>
  </w:style>
  <w:style w:type="paragraph" w:customStyle="1" w:styleId="JuList">
    <w:name w:val="Ju_List"/>
    <w:basedOn w:val="Normalny"/>
    <w:qFormat/>
    <w:rsid w:val="002D2C99"/>
    <w:pPr>
      <w:ind w:left="340" w:hanging="340"/>
    </w:p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paragraph" w:customStyle="1" w:styleId="JuLista">
    <w:name w:val="Ju_List_a"/>
    <w:basedOn w:val="JuList"/>
    <w:uiPriority w:val="28"/>
    <w:qFormat/>
    <w:rsid w:val="002D2C99"/>
    <w:pPr>
      <w:ind w:left="346" w:firstLine="0"/>
    </w:pPr>
  </w:style>
  <w:style w:type="character" w:customStyle="1" w:styleId="Nagwek5Znak">
    <w:name w:val="Nagłówek 5 Znak"/>
    <w:basedOn w:val="Domylnaczcionkaakapitu"/>
    <w:link w:val="Nagwek5"/>
    <w:uiPriority w:val="99"/>
    <w:semiHidden/>
    <w:rsid w:val="002D2C99"/>
    <w:rPr>
      <w:rFonts w:asciiTheme="majorHAnsi" w:eastAsiaTheme="majorEastAsia" w:hAnsiTheme="majorHAnsi" w:cstheme="majorBidi"/>
      <w:b/>
      <w:bCs/>
      <w:color w:val="808080"/>
    </w:rPr>
  </w:style>
  <w:style w:type="paragraph" w:customStyle="1" w:styleId="JuListi">
    <w:name w:val="Ju_List_i"/>
    <w:basedOn w:val="Normalny"/>
    <w:next w:val="JuLista"/>
    <w:uiPriority w:val="28"/>
    <w:qFormat/>
    <w:rsid w:val="002D2C99"/>
    <w:pPr>
      <w:ind w:left="794"/>
    </w:pPr>
  </w:style>
  <w:style w:type="paragraph" w:customStyle="1" w:styleId="OpiH1">
    <w:name w:val="Opi_H_1"/>
    <w:basedOn w:val="ECHRHeading2"/>
    <w:uiPriority w:val="42"/>
    <w:qFormat/>
    <w:rsid w:val="002D2C99"/>
    <w:pPr>
      <w:ind w:left="635" w:hanging="357"/>
      <w:outlineLvl w:val="2"/>
    </w:pPr>
  </w:style>
  <w:style w:type="character" w:styleId="Wyrnieniedelikatne">
    <w:name w:val="Subtle Emphasis"/>
    <w:uiPriority w:val="99"/>
    <w:semiHidden/>
    <w:qFormat/>
    <w:rsid w:val="002D2C99"/>
    <w:rPr>
      <w:i/>
      <w:iCs/>
    </w:rPr>
  </w:style>
  <w:style w:type="paragraph" w:customStyle="1" w:styleId="OpiHa0">
    <w:name w:val="Opi_H_a"/>
    <w:basedOn w:val="ECHRHeading3"/>
    <w:uiPriority w:val="43"/>
    <w:qFormat/>
    <w:rsid w:val="002D2C99"/>
    <w:pPr>
      <w:ind w:left="833" w:hanging="357"/>
      <w:outlineLvl w:val="3"/>
    </w:pPr>
    <w:rPr>
      <w:b/>
      <w:i w:val="0"/>
      <w:sz w:val="20"/>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i">
    <w:name w:val="Opi_H_i"/>
    <w:basedOn w:val="ECHRHeading4"/>
    <w:uiPriority w:val="44"/>
    <w:qFormat/>
    <w:rsid w:val="002D2C99"/>
    <w:pPr>
      <w:ind w:left="1037" w:hanging="357"/>
      <w:outlineLvl w:val="4"/>
    </w:pPr>
    <w:rPr>
      <w:b w:val="0"/>
      <w:i/>
    </w:rPr>
  </w:style>
  <w:style w:type="paragraph" w:customStyle="1" w:styleId="DummyStyle">
    <w:name w:val="Dummy_Style"/>
    <w:basedOn w:val="Normalny"/>
    <w:semiHidden/>
    <w:qFormat/>
    <w:rsid w:val="002D2C99"/>
    <w:rPr>
      <w:color w:val="00B050"/>
    </w:rPr>
  </w:style>
  <w:style w:type="paragraph" w:styleId="Podtytu">
    <w:name w:val="Subtitle"/>
    <w:basedOn w:val="Normalny"/>
    <w:next w:val="Normalny"/>
    <w:link w:val="PodtytuZnak"/>
    <w:uiPriority w:val="99"/>
    <w:semiHidden/>
    <w:qFormat/>
    <w:rsid w:val="002D2C99"/>
    <w:pPr>
      <w:spacing w:after="600"/>
    </w:pPr>
    <w:rPr>
      <w:rFonts w:asciiTheme="majorHAnsi" w:eastAsiaTheme="majorEastAsia" w:hAnsiTheme="majorHAnsi" w:cstheme="majorBidi"/>
      <w:i/>
      <w:iCs/>
      <w:spacing w:val="13"/>
      <w:szCs w:val="24"/>
      <w:lang w:bidi="en-US"/>
    </w:rPr>
  </w:style>
  <w:style w:type="character" w:styleId="Uwydatnienie">
    <w:name w:val="Emphasis"/>
    <w:uiPriority w:val="99"/>
    <w:semiHidden/>
    <w:qFormat/>
    <w:rsid w:val="002D2C99"/>
    <w:rPr>
      <w:b/>
      <w:bCs/>
      <w:i/>
      <w:iCs/>
      <w:spacing w:val="10"/>
      <w:bdr w:val="none" w:sz="0" w:space="0" w:color="auto"/>
      <w:shd w:val="clear" w:color="auto" w:fill="auto"/>
    </w:rPr>
  </w:style>
  <w:style w:type="paragraph" w:styleId="Stopka">
    <w:name w:val="footer"/>
    <w:basedOn w:val="Normalny"/>
    <w:link w:val="StopkaZnak"/>
    <w:uiPriority w:val="99"/>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2D2C99"/>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2D2C99"/>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2D2C99"/>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2D2C99"/>
    <w:rPr>
      <w:b/>
      <w:bCs/>
    </w:rPr>
  </w:style>
  <w:style w:type="paragraph" w:styleId="Cytatintensywny">
    <w:name w:val="Intense Quote"/>
    <w:basedOn w:val="Normalny"/>
    <w:next w:val="Normalny"/>
    <w:link w:val="CytatintensywnyZnak"/>
    <w:uiPriority w:val="99"/>
    <w:semiHidden/>
    <w:qFormat/>
    <w:rsid w:val="002D2C99"/>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2D2C99"/>
    <w:rPr>
      <w:rFonts w:eastAsiaTheme="minorEastAsia"/>
      <w:b/>
      <w:bCs/>
      <w:i/>
      <w:iCs/>
      <w:lang w:bidi="en-US"/>
    </w:rPr>
  </w:style>
  <w:style w:type="character" w:styleId="Odwoanieintensywne">
    <w:name w:val="Intense Reference"/>
    <w:uiPriority w:val="99"/>
    <w:semiHidden/>
    <w:qFormat/>
    <w:rsid w:val="002D2C99"/>
    <w:rPr>
      <w:smallCaps/>
      <w:spacing w:val="5"/>
      <w:u w:val="single"/>
    </w:rPr>
  </w:style>
  <w:style w:type="paragraph" w:styleId="Akapitzlist">
    <w:name w:val="List Paragraph"/>
    <w:basedOn w:val="Normalny"/>
    <w:uiPriority w:val="99"/>
    <w:semiHidden/>
    <w:qFormat/>
    <w:rsid w:val="002D2C99"/>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2D2C99"/>
    <w:pPr>
      <w:spacing w:before="200"/>
      <w:ind w:left="360" w:right="360"/>
    </w:pPr>
    <w:rPr>
      <w:i/>
      <w:iCs/>
      <w:sz w:val="22"/>
      <w:lang w:bidi="en-US"/>
    </w:rPr>
  </w:style>
  <w:style w:type="character" w:customStyle="1" w:styleId="CytatZnak">
    <w:name w:val="Cytat Znak"/>
    <w:basedOn w:val="Domylnaczcionkaakapitu"/>
    <w:link w:val="Cytat"/>
    <w:uiPriority w:val="99"/>
    <w:semiHidden/>
    <w:rsid w:val="002D2C99"/>
    <w:rPr>
      <w:rFonts w:eastAsiaTheme="minorEastAsia"/>
      <w:i/>
      <w:iCs/>
      <w:lang w:bidi="en-US"/>
    </w:rPr>
  </w:style>
  <w:style w:type="character" w:styleId="Odwoaniedelikatne">
    <w:name w:val="Subtle Reference"/>
    <w:uiPriority w:val="99"/>
    <w:semiHidden/>
    <w:qFormat/>
    <w:rsid w:val="002D2C99"/>
    <w:rPr>
      <w:smallCaps/>
    </w:rPr>
  </w:style>
  <w:style w:type="table" w:styleId="Tabela-Siatka">
    <w:name w:val="Table Grid"/>
    <w:basedOn w:val="Standardowy"/>
    <w:uiPriority w:val="99"/>
    <w:rsid w:val="00941747"/>
    <w:rPr>
      <w:rFonts w:eastAsiaTheme="minorEastAsia"/>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2D2C99"/>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character" w:customStyle="1" w:styleId="PodtytuZnak">
    <w:name w:val="Podtytuł Znak"/>
    <w:basedOn w:val="Domylnaczcionkaakapitu"/>
    <w:link w:val="Podtytu"/>
    <w:uiPriority w:val="99"/>
    <w:semiHidden/>
    <w:rsid w:val="002D2C99"/>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2D2C99"/>
    <w:pPr>
      <w:numPr>
        <w:numId w:val="9"/>
      </w:numPr>
    </w:pPr>
  </w:style>
  <w:style w:type="numbering" w:styleId="1ai">
    <w:name w:val="Outline List 1"/>
    <w:basedOn w:val="Bezlisty"/>
    <w:uiPriority w:val="99"/>
    <w:semiHidden/>
    <w:unhideWhenUsed/>
    <w:rsid w:val="002D2C99"/>
    <w:pPr>
      <w:numPr>
        <w:numId w:val="10"/>
      </w:numPr>
    </w:pPr>
  </w:style>
  <w:style w:type="paragraph" w:customStyle="1" w:styleId="ECHRPara">
    <w:name w:val="ECHR_Para"/>
    <w:aliases w:val="Ju_Para,Para,Left,First line:  0 cm"/>
    <w:basedOn w:val="Normalny"/>
    <w:link w:val="JuParaCar"/>
    <w:uiPriority w:val="12"/>
    <w:qFormat/>
    <w:rsid w:val="002D2C99"/>
    <w:pPr>
      <w:ind w:firstLine="284"/>
    </w:pPr>
  </w:style>
  <w:style w:type="numbering" w:styleId="Artykusekcja">
    <w:name w:val="Outline List 3"/>
    <w:basedOn w:val="Bezlisty"/>
    <w:uiPriority w:val="99"/>
    <w:semiHidden/>
    <w:unhideWhenUsed/>
    <w:rsid w:val="002D2C99"/>
    <w:pPr>
      <w:numPr>
        <w:numId w:val="11"/>
      </w:numPr>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ibliografia">
    <w:name w:val="Bibliography"/>
    <w:basedOn w:val="Normalny"/>
    <w:next w:val="Normalny"/>
    <w:uiPriority w:val="99"/>
    <w:semiHidden/>
    <w:rsid w:val="002D2C99"/>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Tekstblokowy">
    <w:name w:val="Block Text"/>
    <w:basedOn w:val="Normalny"/>
    <w:uiPriority w:val="99"/>
    <w:semiHidden/>
    <w:rsid w:val="002D2C99"/>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paragraph" w:styleId="Tekstpodstawowy">
    <w:name w:val="Body Text"/>
    <w:basedOn w:val="Normalny"/>
    <w:link w:val="TekstpodstawowyZnak"/>
    <w:uiPriority w:val="99"/>
    <w:semiHidden/>
    <w:rsid w:val="002D2C99"/>
    <w:pPr>
      <w:spacing w:after="120"/>
    </w:p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character" w:customStyle="1" w:styleId="TekstpodstawowyZnak">
    <w:name w:val="Tekst podstawowy Znak"/>
    <w:basedOn w:val="Domylnaczcionkaakapitu"/>
    <w:link w:val="Tekstpodstawowy"/>
    <w:rsid w:val="002D2C99"/>
    <w:rPr>
      <w:rFonts w:eastAsiaTheme="minorEastAsia"/>
      <w:sz w:val="24"/>
    </w:rPr>
  </w:style>
  <w:style w:type="paragraph" w:styleId="Tekstpodstawowy2">
    <w:name w:val="Body Text 2"/>
    <w:basedOn w:val="Normalny"/>
    <w:link w:val="Tekstpodstawowy2Znak"/>
    <w:uiPriority w:val="99"/>
    <w:semiHidden/>
    <w:rsid w:val="002D2C99"/>
    <w:pPr>
      <w:spacing w:after="120" w:line="480" w:lineRule="auto"/>
    </w:p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link w:val="JuJudgesChar"/>
    <w:uiPriority w:val="11"/>
    <w:qFormat/>
    <w:rsid w:val="002D2C9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2D2C99"/>
    <w:pPr>
      <w:ind w:firstLine="284"/>
    </w:pPr>
    <w:rPr>
      <w:b/>
    </w:rPr>
  </w:style>
  <w:style w:type="character" w:styleId="Numerstrony">
    <w:name w:val="page number"/>
    <w:uiPriority w:val="99"/>
    <w:semiHidden/>
    <w:rsid w:val="002D2C99"/>
    <w:rPr>
      <w:rFonts w:ascii="Times New Roman" w:hAnsi="Times New Roman" w:cs="Times New Roman"/>
      <w:sz w:val="18"/>
    </w:rPr>
  </w:style>
  <w:style w:type="paragraph" w:styleId="Listapunktowana2">
    <w:name w:val="List Bullet 2"/>
    <w:basedOn w:val="Normalny"/>
    <w:uiPriority w:val="99"/>
    <w:semiHidden/>
    <w:rsid w:val="002D2C99"/>
    <w:pPr>
      <w:numPr>
        <w:numId w:val="8"/>
      </w:numPr>
      <w:contextualSpacing/>
    </w:pPr>
  </w:style>
  <w:style w:type="character" w:customStyle="1" w:styleId="Tekstpodstawowy2Znak">
    <w:name w:val="Tekst podstawowy 2 Znak"/>
    <w:basedOn w:val="Domylnaczcionkaakapitu"/>
    <w:link w:val="Tekstpodstawowy2"/>
    <w:rsid w:val="002D2C99"/>
    <w:rPr>
      <w:rFonts w:eastAsiaTheme="minorEastAsia"/>
      <w:sz w:val="24"/>
    </w:rPr>
  </w:style>
  <w:style w:type="paragraph" w:styleId="Tekstpodstawowy3">
    <w:name w:val="Body Text 3"/>
    <w:basedOn w:val="Normalny"/>
    <w:link w:val="Tekstpodstawowy3Znak"/>
    <w:uiPriority w:val="99"/>
    <w:semiHidden/>
    <w:rsid w:val="002D2C99"/>
    <w:pPr>
      <w:spacing w:after="120"/>
    </w:pPr>
    <w:rPr>
      <w:sz w:val="16"/>
      <w:szCs w:val="16"/>
    </w:rPr>
  </w:style>
  <w:style w:type="character" w:customStyle="1" w:styleId="Tekstpodstawowy3Znak">
    <w:name w:val="Tekst podstawowy 3 Znak"/>
    <w:basedOn w:val="Domylnaczcionkaakapitu"/>
    <w:link w:val="Tekstpodstawowy3"/>
    <w:rsid w:val="002D2C99"/>
    <w:rPr>
      <w:rFonts w:eastAsiaTheme="minorEastAsia"/>
      <w:sz w:val="16"/>
      <w:szCs w:val="16"/>
    </w:rPr>
  </w:style>
  <w:style w:type="paragraph" w:styleId="Tekstpodstawowyzwciciem">
    <w:name w:val="Body Text First Indent"/>
    <w:basedOn w:val="Tekstpodstawowy"/>
    <w:link w:val="TekstpodstawowyzwciciemZnak"/>
    <w:uiPriority w:val="99"/>
    <w:semiHidden/>
    <w:rsid w:val="002D2C99"/>
    <w:pPr>
      <w:spacing w:after="0"/>
      <w:ind w:firstLine="360"/>
    </w:pPr>
  </w:style>
  <w:style w:type="character" w:customStyle="1" w:styleId="TekstpodstawowyzwciciemZnak">
    <w:name w:val="Tekst podstawowy z wcięciem Znak"/>
    <w:basedOn w:val="TekstpodstawowyZnak"/>
    <w:link w:val="Tekstpodstawowyzwciciem"/>
    <w:rsid w:val="002D2C99"/>
    <w:rPr>
      <w:rFonts w:eastAsiaTheme="minorEastAsia"/>
      <w:sz w:val="24"/>
    </w:rPr>
  </w:style>
  <w:style w:type="paragraph" w:styleId="Tekstpodstawowywcity">
    <w:name w:val="Body Text Indent"/>
    <w:basedOn w:val="Normalny"/>
    <w:link w:val="TekstpodstawowywcityZnak"/>
    <w:uiPriority w:val="99"/>
    <w:semiHidden/>
    <w:rsid w:val="002D2C99"/>
    <w:pPr>
      <w:spacing w:after="120"/>
      <w:ind w:left="283"/>
    </w:pPr>
  </w:style>
  <w:style w:type="character" w:customStyle="1" w:styleId="TekstpodstawowywcityZnak">
    <w:name w:val="Tekst podstawowy wcięty Znak"/>
    <w:basedOn w:val="Domylnaczcionkaakapitu"/>
    <w:link w:val="Tekstpodstawowywcity"/>
    <w:rsid w:val="002D2C99"/>
    <w:rPr>
      <w:rFonts w:eastAsiaTheme="minorEastAsia"/>
      <w:sz w:val="24"/>
    </w:rPr>
  </w:style>
  <w:style w:type="paragraph" w:styleId="Tekstpodstawowyzwciciem2">
    <w:name w:val="Body Text First Indent 2"/>
    <w:basedOn w:val="Tekstpodstawowywcity"/>
    <w:link w:val="Tekstpodstawowyzwciciem2Znak"/>
    <w:uiPriority w:val="99"/>
    <w:semiHidden/>
    <w:rsid w:val="002D2C99"/>
    <w:pPr>
      <w:spacing w:after="0"/>
      <w:ind w:left="360" w:firstLine="360"/>
    </w:pPr>
  </w:style>
  <w:style w:type="character" w:customStyle="1" w:styleId="Tekstpodstawowyzwciciem2Znak">
    <w:name w:val="Tekst podstawowy z wcięciem 2 Znak"/>
    <w:basedOn w:val="TekstpodstawowywcityZnak"/>
    <w:link w:val="Tekstpodstawowyzwciciem2"/>
    <w:rsid w:val="002D2C99"/>
    <w:rPr>
      <w:rFonts w:eastAsiaTheme="minorEastAsia"/>
      <w:sz w:val="24"/>
    </w:rPr>
  </w:style>
  <w:style w:type="paragraph" w:styleId="Tekstpodstawowywcity2">
    <w:name w:val="Body Text Indent 2"/>
    <w:basedOn w:val="Normalny"/>
    <w:link w:val="Tekstpodstawowywcity2Znak"/>
    <w:uiPriority w:val="99"/>
    <w:semiHidden/>
    <w:rsid w:val="002D2C99"/>
    <w:pPr>
      <w:spacing w:after="120" w:line="480" w:lineRule="auto"/>
      <w:ind w:left="283"/>
    </w:pPr>
  </w:style>
  <w:style w:type="character" w:customStyle="1" w:styleId="Tekstpodstawowywcity2Znak">
    <w:name w:val="Tekst podstawowy wcięty 2 Znak"/>
    <w:basedOn w:val="Domylnaczcionkaakapitu"/>
    <w:link w:val="Tekstpodstawowywcity2"/>
    <w:rsid w:val="002D2C99"/>
    <w:rPr>
      <w:rFonts w:eastAsiaTheme="minorEastAsia"/>
      <w:sz w:val="24"/>
    </w:rPr>
  </w:style>
  <w:style w:type="paragraph" w:styleId="Tekstpodstawowywcity3">
    <w:name w:val="Body Text Indent 3"/>
    <w:basedOn w:val="Normalny"/>
    <w:link w:val="Tekstpodstawowywcity3Znak"/>
    <w:uiPriority w:val="99"/>
    <w:semiHidden/>
    <w:rsid w:val="002D2C99"/>
    <w:pPr>
      <w:spacing w:after="120"/>
      <w:ind w:left="283"/>
    </w:pPr>
    <w:rPr>
      <w:sz w:val="16"/>
      <w:szCs w:val="16"/>
    </w:rPr>
  </w:style>
  <w:style w:type="character" w:customStyle="1" w:styleId="Tekstpodstawowywcity3Znak">
    <w:name w:val="Tekst podstawowy wcięty 3 Znak"/>
    <w:basedOn w:val="Domylnaczcionkaakapitu"/>
    <w:link w:val="Tekstpodstawowywcity3"/>
    <w:rsid w:val="002D2C99"/>
    <w:rPr>
      <w:rFonts w:eastAsiaTheme="minorEastAsia"/>
      <w:sz w:val="16"/>
      <w:szCs w:val="16"/>
    </w:rPr>
  </w:style>
  <w:style w:type="paragraph" w:styleId="Legenda">
    <w:name w:val="caption"/>
    <w:basedOn w:val="Normalny"/>
    <w:next w:val="Normalny"/>
    <w:uiPriority w:val="99"/>
    <w:semiHidden/>
    <w:qFormat/>
    <w:rsid w:val="002D2C99"/>
    <w:pPr>
      <w:spacing w:after="200"/>
    </w:pPr>
    <w:rPr>
      <w:b/>
      <w:bCs/>
      <w:color w:val="0072BC" w:themeColor="accent1"/>
      <w:sz w:val="18"/>
      <w:szCs w:val="18"/>
    </w:rPr>
  </w:style>
  <w:style w:type="paragraph" w:styleId="Zwrotpoegnalny">
    <w:name w:val="Closing"/>
    <w:basedOn w:val="Normalny"/>
    <w:link w:val="ZwrotpoegnalnyZnak"/>
    <w:uiPriority w:val="99"/>
    <w:semiHidden/>
    <w:rsid w:val="002D2C99"/>
    <w:pPr>
      <w:ind w:left="4252"/>
    </w:pPr>
  </w:style>
  <w:style w:type="character" w:customStyle="1" w:styleId="ZwrotpoegnalnyZnak">
    <w:name w:val="Zwrot pożegnalny Znak"/>
    <w:basedOn w:val="Domylnaczcionkaakapitu"/>
    <w:link w:val="Zwrotpoegnalny"/>
    <w:rsid w:val="002D2C99"/>
    <w:rPr>
      <w:rFonts w:eastAsiaTheme="minorEastAsia"/>
      <w:sz w:val="24"/>
    </w:rPr>
  </w:style>
  <w:style w:type="table" w:styleId="Kolorowasiatka">
    <w:name w:val="Colorful Grid"/>
    <w:basedOn w:val="Standardowy"/>
    <w:uiPriority w:val="99"/>
    <w:semiHidden/>
    <w:rsid w:val="002D2C9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2D2C9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2D2C9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2D2C9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2D2C9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2D2C9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2D2C9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2D2C99"/>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2D2C99"/>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2D2C99"/>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2D2C99"/>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2D2C99"/>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2D2C99"/>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2D2C99"/>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2D2C99"/>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2D2C99"/>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2D2C99"/>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2D2C99"/>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2D2C99"/>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2D2C99"/>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2D2C99"/>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2D2C99"/>
    <w:rPr>
      <w:sz w:val="16"/>
      <w:szCs w:val="16"/>
    </w:rPr>
  </w:style>
  <w:style w:type="paragraph" w:styleId="Tekstkomentarza">
    <w:name w:val="annotation text"/>
    <w:basedOn w:val="Normalny"/>
    <w:link w:val="TekstkomentarzaZnak"/>
    <w:semiHidden/>
    <w:rsid w:val="002D2C99"/>
    <w:rPr>
      <w:sz w:val="20"/>
      <w:szCs w:val="20"/>
    </w:rPr>
  </w:style>
  <w:style w:type="character" w:customStyle="1" w:styleId="TekstkomentarzaZnak">
    <w:name w:val="Tekst komentarza Znak"/>
    <w:basedOn w:val="Domylnaczcionkaakapitu"/>
    <w:link w:val="Tekstkomentarza"/>
    <w:semiHidden/>
    <w:rsid w:val="002D2C99"/>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2D2C99"/>
    <w:rPr>
      <w:b/>
      <w:bCs/>
    </w:rPr>
  </w:style>
  <w:style w:type="character" w:customStyle="1" w:styleId="TematkomentarzaZnak">
    <w:name w:val="Temat komentarza Znak"/>
    <w:basedOn w:val="TekstkomentarzaZnak"/>
    <w:link w:val="Tematkomentarza"/>
    <w:uiPriority w:val="99"/>
    <w:semiHidden/>
    <w:rsid w:val="002D2C99"/>
    <w:rPr>
      <w:rFonts w:eastAsiaTheme="minorEastAsia"/>
      <w:b/>
      <w:bCs/>
      <w:sz w:val="20"/>
      <w:szCs w:val="20"/>
    </w:rPr>
  </w:style>
  <w:style w:type="table" w:styleId="Ciemnalista">
    <w:name w:val="Dark List"/>
    <w:basedOn w:val="Standardowy"/>
    <w:uiPriority w:val="99"/>
    <w:semiHidden/>
    <w:rsid w:val="002D2C9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2D2C9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2D2C9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2D2C9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2D2C9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2D2C9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2D2C9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2D2C99"/>
  </w:style>
  <w:style w:type="character" w:customStyle="1" w:styleId="DataZnak">
    <w:name w:val="Data Znak"/>
    <w:basedOn w:val="Domylnaczcionkaakapitu"/>
    <w:link w:val="Data"/>
    <w:rsid w:val="002D2C99"/>
    <w:rPr>
      <w:rFonts w:eastAsiaTheme="minorEastAsia"/>
      <w:sz w:val="24"/>
    </w:rPr>
  </w:style>
  <w:style w:type="paragraph" w:styleId="Mapadokumentu">
    <w:name w:val="Document Map"/>
    <w:basedOn w:val="Normalny"/>
    <w:link w:val="MapadokumentuZnak"/>
    <w:uiPriority w:val="99"/>
    <w:semiHidden/>
    <w:rsid w:val="002D2C99"/>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2D2C99"/>
    <w:rPr>
      <w:rFonts w:ascii="Tahoma" w:eastAsiaTheme="minorEastAsia" w:hAnsi="Tahoma" w:cs="Tahoma"/>
      <w:sz w:val="16"/>
      <w:szCs w:val="16"/>
    </w:rPr>
  </w:style>
  <w:style w:type="paragraph" w:styleId="Podpise-mail">
    <w:name w:val="E-mail Signature"/>
    <w:basedOn w:val="Normalny"/>
    <w:link w:val="Podpise-mailZnak"/>
    <w:uiPriority w:val="99"/>
    <w:semiHidden/>
    <w:rsid w:val="002D2C99"/>
  </w:style>
  <w:style w:type="character" w:customStyle="1" w:styleId="Podpise-mailZnak">
    <w:name w:val="Podpis e-mail Znak"/>
    <w:basedOn w:val="Domylnaczcionkaakapitu"/>
    <w:link w:val="Podpise-mail"/>
    <w:rsid w:val="002D2C99"/>
    <w:rPr>
      <w:rFonts w:eastAsiaTheme="minorEastAsia"/>
      <w:sz w:val="24"/>
    </w:rPr>
  </w:style>
  <w:style w:type="character" w:styleId="Odwoanieprzypisukocowego">
    <w:name w:val="endnote reference"/>
    <w:basedOn w:val="Domylnaczcionkaakapitu"/>
    <w:uiPriority w:val="99"/>
    <w:semiHidden/>
    <w:rsid w:val="002D2C99"/>
    <w:rPr>
      <w:vertAlign w:val="superscript"/>
    </w:rPr>
  </w:style>
  <w:style w:type="paragraph" w:styleId="Tekstprzypisukocowego">
    <w:name w:val="endnote text"/>
    <w:basedOn w:val="Normalny"/>
    <w:link w:val="TekstprzypisukocowegoZnak"/>
    <w:uiPriority w:val="99"/>
    <w:semiHidden/>
    <w:rsid w:val="002D2C99"/>
    <w:rPr>
      <w:sz w:val="20"/>
      <w:szCs w:val="20"/>
    </w:rPr>
  </w:style>
  <w:style w:type="character" w:customStyle="1" w:styleId="TekstprzypisukocowegoZnak">
    <w:name w:val="Tekst przypisu końcowego Znak"/>
    <w:basedOn w:val="Domylnaczcionkaakapitu"/>
    <w:link w:val="Tekstprzypisukocowego"/>
    <w:uiPriority w:val="99"/>
    <w:semiHidden/>
    <w:rsid w:val="002D2C99"/>
    <w:rPr>
      <w:rFonts w:eastAsiaTheme="minorEastAsia"/>
      <w:sz w:val="20"/>
      <w:szCs w:val="20"/>
    </w:rPr>
  </w:style>
  <w:style w:type="paragraph" w:styleId="Adresnakopercie">
    <w:name w:val="envelope address"/>
    <w:basedOn w:val="Normalny"/>
    <w:uiPriority w:val="99"/>
    <w:semiHidden/>
    <w:rsid w:val="002D2C99"/>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2D2C99"/>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2D2C99"/>
    <w:rPr>
      <w:color w:val="7030A0" w:themeColor="followedHyperlink"/>
      <w:u w:val="single"/>
    </w:rPr>
  </w:style>
  <w:style w:type="character" w:styleId="HTML-akronim">
    <w:name w:val="HTML Acronym"/>
    <w:basedOn w:val="Domylnaczcionkaakapitu"/>
    <w:uiPriority w:val="99"/>
    <w:semiHidden/>
    <w:rsid w:val="002D2C99"/>
  </w:style>
  <w:style w:type="paragraph" w:styleId="HTML-adres">
    <w:name w:val="HTML Address"/>
    <w:basedOn w:val="Normalny"/>
    <w:link w:val="HTML-adresZnak"/>
    <w:uiPriority w:val="99"/>
    <w:semiHidden/>
    <w:rsid w:val="002D2C99"/>
    <w:rPr>
      <w:i/>
      <w:iCs/>
    </w:rPr>
  </w:style>
  <w:style w:type="character" w:customStyle="1" w:styleId="HTML-adresZnak">
    <w:name w:val="HTML - adres Znak"/>
    <w:basedOn w:val="Domylnaczcionkaakapitu"/>
    <w:link w:val="HTML-adres"/>
    <w:rsid w:val="002D2C99"/>
    <w:rPr>
      <w:rFonts w:eastAsiaTheme="minorEastAsia"/>
      <w:i/>
      <w:iCs/>
      <w:sz w:val="24"/>
    </w:rPr>
  </w:style>
  <w:style w:type="character" w:styleId="HTML-cytat">
    <w:name w:val="HTML Cite"/>
    <w:basedOn w:val="Domylnaczcionkaakapitu"/>
    <w:uiPriority w:val="99"/>
    <w:semiHidden/>
    <w:rsid w:val="002D2C99"/>
    <w:rPr>
      <w:i/>
      <w:iCs/>
    </w:rPr>
  </w:style>
  <w:style w:type="character" w:styleId="HTML-kod">
    <w:name w:val="HTML Code"/>
    <w:basedOn w:val="Domylnaczcionkaakapitu"/>
    <w:uiPriority w:val="99"/>
    <w:semiHidden/>
    <w:rsid w:val="002D2C99"/>
    <w:rPr>
      <w:rFonts w:ascii="Consolas" w:hAnsi="Consolas" w:cs="Consolas"/>
      <w:sz w:val="20"/>
      <w:szCs w:val="20"/>
    </w:rPr>
  </w:style>
  <w:style w:type="character" w:styleId="HTML-definicja">
    <w:name w:val="HTML Definition"/>
    <w:basedOn w:val="Domylnaczcionkaakapitu"/>
    <w:uiPriority w:val="99"/>
    <w:semiHidden/>
    <w:rsid w:val="002D2C99"/>
    <w:rPr>
      <w:i/>
      <w:iCs/>
    </w:rPr>
  </w:style>
  <w:style w:type="character" w:styleId="HTML-klawiatura">
    <w:name w:val="HTML Keyboard"/>
    <w:basedOn w:val="Domylnaczcionkaakapitu"/>
    <w:uiPriority w:val="99"/>
    <w:semiHidden/>
    <w:rsid w:val="002D2C99"/>
    <w:rPr>
      <w:rFonts w:ascii="Consolas" w:hAnsi="Consolas" w:cs="Consolas"/>
      <w:sz w:val="20"/>
      <w:szCs w:val="20"/>
    </w:rPr>
  </w:style>
  <w:style w:type="paragraph" w:styleId="HTML-wstpniesformatowany">
    <w:name w:val="HTML Preformatted"/>
    <w:basedOn w:val="Normalny"/>
    <w:link w:val="HTML-wstpniesformatowanyZnak"/>
    <w:uiPriority w:val="99"/>
    <w:semiHidden/>
    <w:rsid w:val="002D2C99"/>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2D2C99"/>
    <w:rPr>
      <w:rFonts w:ascii="Consolas" w:eastAsiaTheme="minorEastAsia" w:hAnsi="Consolas" w:cs="Consolas"/>
      <w:sz w:val="20"/>
      <w:szCs w:val="20"/>
    </w:rPr>
  </w:style>
  <w:style w:type="character" w:styleId="HTML-przykad">
    <w:name w:val="HTML Sample"/>
    <w:basedOn w:val="Domylnaczcionkaakapitu"/>
    <w:uiPriority w:val="99"/>
    <w:semiHidden/>
    <w:rsid w:val="002D2C99"/>
    <w:rPr>
      <w:rFonts w:ascii="Consolas" w:hAnsi="Consolas" w:cs="Consolas"/>
      <w:sz w:val="24"/>
      <w:szCs w:val="24"/>
    </w:rPr>
  </w:style>
  <w:style w:type="character" w:styleId="HTML-staaszeroko">
    <w:name w:val="HTML Typewriter"/>
    <w:basedOn w:val="Domylnaczcionkaakapitu"/>
    <w:uiPriority w:val="99"/>
    <w:semiHidden/>
    <w:rsid w:val="002D2C99"/>
    <w:rPr>
      <w:rFonts w:ascii="Consolas" w:hAnsi="Consolas" w:cs="Consolas"/>
      <w:sz w:val="20"/>
      <w:szCs w:val="20"/>
    </w:rPr>
  </w:style>
  <w:style w:type="character" w:styleId="HTML-zmienna">
    <w:name w:val="HTML Variable"/>
    <w:basedOn w:val="Domylnaczcionkaakapitu"/>
    <w:uiPriority w:val="99"/>
    <w:semiHidden/>
    <w:rsid w:val="002D2C99"/>
    <w:rPr>
      <w:i/>
      <w:iCs/>
    </w:rPr>
  </w:style>
  <w:style w:type="paragraph" w:styleId="Indeks1">
    <w:name w:val="index 1"/>
    <w:basedOn w:val="Normalny"/>
    <w:next w:val="Normalny"/>
    <w:autoRedefine/>
    <w:uiPriority w:val="99"/>
    <w:semiHidden/>
    <w:rsid w:val="002D2C99"/>
    <w:pPr>
      <w:ind w:left="240" w:hanging="240"/>
    </w:pPr>
  </w:style>
  <w:style w:type="paragraph" w:styleId="Indeks2">
    <w:name w:val="index 2"/>
    <w:basedOn w:val="Normalny"/>
    <w:next w:val="Normalny"/>
    <w:autoRedefine/>
    <w:uiPriority w:val="99"/>
    <w:semiHidden/>
    <w:rsid w:val="002D2C99"/>
    <w:pPr>
      <w:ind w:left="480" w:hanging="240"/>
    </w:pPr>
  </w:style>
  <w:style w:type="paragraph" w:styleId="Indeks3">
    <w:name w:val="index 3"/>
    <w:basedOn w:val="Normalny"/>
    <w:next w:val="Normalny"/>
    <w:autoRedefine/>
    <w:uiPriority w:val="99"/>
    <w:semiHidden/>
    <w:rsid w:val="002D2C99"/>
    <w:pPr>
      <w:ind w:left="720" w:hanging="240"/>
    </w:pPr>
  </w:style>
  <w:style w:type="paragraph" w:styleId="Indeks4">
    <w:name w:val="index 4"/>
    <w:basedOn w:val="Normalny"/>
    <w:next w:val="Normalny"/>
    <w:autoRedefine/>
    <w:uiPriority w:val="99"/>
    <w:semiHidden/>
    <w:rsid w:val="002D2C99"/>
    <w:pPr>
      <w:ind w:left="960" w:hanging="240"/>
    </w:pPr>
  </w:style>
  <w:style w:type="paragraph" w:styleId="Indeks5">
    <w:name w:val="index 5"/>
    <w:basedOn w:val="Normalny"/>
    <w:next w:val="Normalny"/>
    <w:autoRedefine/>
    <w:uiPriority w:val="99"/>
    <w:semiHidden/>
    <w:rsid w:val="002D2C99"/>
    <w:pPr>
      <w:ind w:left="1200" w:hanging="240"/>
    </w:pPr>
  </w:style>
  <w:style w:type="paragraph" w:styleId="Indeks6">
    <w:name w:val="index 6"/>
    <w:basedOn w:val="Normalny"/>
    <w:next w:val="Normalny"/>
    <w:autoRedefine/>
    <w:uiPriority w:val="99"/>
    <w:semiHidden/>
    <w:rsid w:val="002D2C99"/>
    <w:pPr>
      <w:ind w:left="1440" w:hanging="240"/>
    </w:pPr>
  </w:style>
  <w:style w:type="paragraph" w:styleId="Indeks7">
    <w:name w:val="index 7"/>
    <w:basedOn w:val="Normalny"/>
    <w:next w:val="Normalny"/>
    <w:autoRedefine/>
    <w:uiPriority w:val="99"/>
    <w:semiHidden/>
    <w:rsid w:val="002D2C99"/>
    <w:pPr>
      <w:ind w:left="1680" w:hanging="240"/>
    </w:pPr>
  </w:style>
  <w:style w:type="paragraph" w:styleId="Indeks8">
    <w:name w:val="index 8"/>
    <w:basedOn w:val="Normalny"/>
    <w:next w:val="Normalny"/>
    <w:autoRedefine/>
    <w:uiPriority w:val="99"/>
    <w:semiHidden/>
    <w:rsid w:val="002D2C99"/>
    <w:pPr>
      <w:ind w:left="1920" w:hanging="240"/>
    </w:pPr>
  </w:style>
  <w:style w:type="paragraph" w:styleId="Indeks9">
    <w:name w:val="index 9"/>
    <w:basedOn w:val="Normalny"/>
    <w:next w:val="Normalny"/>
    <w:autoRedefine/>
    <w:uiPriority w:val="99"/>
    <w:semiHidden/>
    <w:rsid w:val="002D2C99"/>
    <w:pPr>
      <w:ind w:left="2160" w:hanging="240"/>
    </w:pPr>
  </w:style>
  <w:style w:type="paragraph" w:styleId="Nagwekindeksu">
    <w:name w:val="index heading"/>
    <w:basedOn w:val="Normalny"/>
    <w:next w:val="Indeks1"/>
    <w:uiPriority w:val="99"/>
    <w:semiHidden/>
    <w:rsid w:val="002D2C99"/>
    <w:rPr>
      <w:rFonts w:asciiTheme="majorHAnsi" w:eastAsiaTheme="majorEastAsia" w:hAnsiTheme="majorHAnsi" w:cstheme="majorBidi"/>
      <w:b/>
      <w:bCs/>
    </w:rPr>
  </w:style>
  <w:style w:type="table" w:styleId="Jasnasiatka">
    <w:name w:val="Light Grid"/>
    <w:basedOn w:val="Standardowy"/>
    <w:uiPriority w:val="99"/>
    <w:semiHidden/>
    <w:rsid w:val="002D2C99"/>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2D2C99"/>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2D2C99"/>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2D2C99"/>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2D2C99"/>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2D2C99"/>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2D2C99"/>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2D2C99"/>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2D2C99"/>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2D2C99"/>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2D2C99"/>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2D2C99"/>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2D2C99"/>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2D2C99"/>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2D2C99"/>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2D2C99"/>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2D2C99"/>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2D2C99"/>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2D2C99"/>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2D2C99"/>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2D2C99"/>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2D2C99"/>
  </w:style>
  <w:style w:type="paragraph" w:styleId="Lista">
    <w:name w:val="List"/>
    <w:basedOn w:val="Normalny"/>
    <w:uiPriority w:val="99"/>
    <w:semiHidden/>
    <w:rsid w:val="002D2C99"/>
    <w:pPr>
      <w:ind w:left="283" w:hanging="283"/>
      <w:contextualSpacing/>
    </w:pPr>
  </w:style>
  <w:style w:type="paragraph" w:styleId="Lista2">
    <w:name w:val="List 2"/>
    <w:basedOn w:val="Normalny"/>
    <w:uiPriority w:val="99"/>
    <w:semiHidden/>
    <w:rsid w:val="002D2C99"/>
    <w:pPr>
      <w:ind w:left="566" w:hanging="283"/>
      <w:contextualSpacing/>
    </w:pPr>
  </w:style>
  <w:style w:type="paragraph" w:styleId="Lista3">
    <w:name w:val="List 3"/>
    <w:basedOn w:val="Normalny"/>
    <w:uiPriority w:val="99"/>
    <w:semiHidden/>
    <w:rsid w:val="002D2C99"/>
    <w:pPr>
      <w:ind w:left="849" w:hanging="283"/>
      <w:contextualSpacing/>
    </w:pPr>
  </w:style>
  <w:style w:type="paragraph" w:styleId="Lista4">
    <w:name w:val="List 4"/>
    <w:basedOn w:val="Normalny"/>
    <w:uiPriority w:val="99"/>
    <w:semiHidden/>
    <w:rsid w:val="002D2C99"/>
    <w:pPr>
      <w:ind w:left="1132" w:hanging="283"/>
      <w:contextualSpacing/>
    </w:pPr>
  </w:style>
  <w:style w:type="paragraph" w:styleId="Lista5">
    <w:name w:val="List 5"/>
    <w:basedOn w:val="Normalny"/>
    <w:uiPriority w:val="99"/>
    <w:semiHidden/>
    <w:rsid w:val="002D2C99"/>
    <w:pPr>
      <w:ind w:left="1415" w:hanging="283"/>
      <w:contextualSpacing/>
    </w:pPr>
  </w:style>
  <w:style w:type="paragraph" w:styleId="Listapunktowana">
    <w:name w:val="List Bullet"/>
    <w:basedOn w:val="Normalny"/>
    <w:uiPriority w:val="99"/>
    <w:semiHidden/>
    <w:rsid w:val="002D2C99"/>
    <w:pPr>
      <w:numPr>
        <w:numId w:val="12"/>
      </w:numPr>
      <w:contextualSpacing/>
    </w:pPr>
  </w:style>
  <w:style w:type="paragraph" w:styleId="Listapunktowana3">
    <w:name w:val="List Bullet 3"/>
    <w:basedOn w:val="Normalny"/>
    <w:uiPriority w:val="99"/>
    <w:semiHidden/>
    <w:rsid w:val="002D2C99"/>
    <w:pPr>
      <w:numPr>
        <w:numId w:val="13"/>
      </w:numPr>
      <w:contextualSpacing/>
    </w:pPr>
  </w:style>
  <w:style w:type="paragraph" w:styleId="Listapunktowana4">
    <w:name w:val="List Bullet 4"/>
    <w:basedOn w:val="Normalny"/>
    <w:uiPriority w:val="99"/>
    <w:semiHidden/>
    <w:rsid w:val="002D2C99"/>
    <w:pPr>
      <w:numPr>
        <w:numId w:val="14"/>
      </w:numPr>
      <w:contextualSpacing/>
    </w:pPr>
  </w:style>
  <w:style w:type="paragraph" w:styleId="Listapunktowana5">
    <w:name w:val="List Bullet 5"/>
    <w:basedOn w:val="Normalny"/>
    <w:uiPriority w:val="99"/>
    <w:semiHidden/>
    <w:rsid w:val="002D2C99"/>
    <w:pPr>
      <w:numPr>
        <w:numId w:val="15"/>
      </w:numPr>
      <w:contextualSpacing/>
    </w:pPr>
  </w:style>
  <w:style w:type="paragraph" w:styleId="Lista-kontynuacja">
    <w:name w:val="List Continue"/>
    <w:basedOn w:val="Normalny"/>
    <w:uiPriority w:val="99"/>
    <w:semiHidden/>
    <w:rsid w:val="002D2C99"/>
    <w:pPr>
      <w:spacing w:after="120"/>
      <w:ind w:left="283"/>
      <w:contextualSpacing/>
    </w:pPr>
  </w:style>
  <w:style w:type="paragraph" w:styleId="Lista-kontynuacja2">
    <w:name w:val="List Continue 2"/>
    <w:basedOn w:val="Normalny"/>
    <w:uiPriority w:val="99"/>
    <w:semiHidden/>
    <w:rsid w:val="002D2C99"/>
    <w:pPr>
      <w:spacing w:after="120"/>
      <w:ind w:left="566"/>
      <w:contextualSpacing/>
    </w:pPr>
  </w:style>
  <w:style w:type="paragraph" w:styleId="Lista-kontynuacja3">
    <w:name w:val="List Continue 3"/>
    <w:basedOn w:val="Normalny"/>
    <w:uiPriority w:val="99"/>
    <w:semiHidden/>
    <w:rsid w:val="002D2C99"/>
    <w:pPr>
      <w:spacing w:after="120"/>
      <w:ind w:left="849"/>
      <w:contextualSpacing/>
    </w:pPr>
  </w:style>
  <w:style w:type="paragraph" w:styleId="Lista-kontynuacja4">
    <w:name w:val="List Continue 4"/>
    <w:basedOn w:val="Normalny"/>
    <w:uiPriority w:val="99"/>
    <w:semiHidden/>
    <w:rsid w:val="002D2C99"/>
    <w:pPr>
      <w:spacing w:after="120"/>
      <w:ind w:left="1132"/>
      <w:contextualSpacing/>
    </w:pPr>
  </w:style>
  <w:style w:type="paragraph" w:styleId="Lista-kontynuacja5">
    <w:name w:val="List Continue 5"/>
    <w:basedOn w:val="Normalny"/>
    <w:uiPriority w:val="99"/>
    <w:semiHidden/>
    <w:rsid w:val="002D2C99"/>
    <w:pPr>
      <w:spacing w:after="120"/>
      <w:ind w:left="1415"/>
      <w:contextualSpacing/>
    </w:pPr>
  </w:style>
  <w:style w:type="paragraph" w:styleId="Listanumerowana">
    <w:name w:val="List Number"/>
    <w:basedOn w:val="Normalny"/>
    <w:uiPriority w:val="99"/>
    <w:semiHidden/>
    <w:rsid w:val="002D2C99"/>
    <w:pPr>
      <w:numPr>
        <w:numId w:val="16"/>
      </w:numPr>
      <w:contextualSpacing/>
    </w:pPr>
  </w:style>
  <w:style w:type="paragraph" w:styleId="Listanumerowana2">
    <w:name w:val="List Number 2"/>
    <w:basedOn w:val="Normalny"/>
    <w:uiPriority w:val="99"/>
    <w:semiHidden/>
    <w:rsid w:val="002D2C99"/>
    <w:pPr>
      <w:numPr>
        <w:numId w:val="17"/>
      </w:numPr>
      <w:contextualSpacing/>
    </w:pPr>
  </w:style>
  <w:style w:type="paragraph" w:styleId="Listanumerowana3">
    <w:name w:val="List Number 3"/>
    <w:basedOn w:val="Normalny"/>
    <w:uiPriority w:val="99"/>
    <w:semiHidden/>
    <w:rsid w:val="002D2C99"/>
    <w:pPr>
      <w:numPr>
        <w:numId w:val="18"/>
      </w:numPr>
      <w:contextualSpacing/>
    </w:pPr>
  </w:style>
  <w:style w:type="paragraph" w:styleId="Listanumerowana4">
    <w:name w:val="List Number 4"/>
    <w:basedOn w:val="Normalny"/>
    <w:uiPriority w:val="99"/>
    <w:semiHidden/>
    <w:rsid w:val="002D2C99"/>
    <w:pPr>
      <w:numPr>
        <w:numId w:val="19"/>
      </w:numPr>
      <w:contextualSpacing/>
    </w:pPr>
  </w:style>
  <w:style w:type="paragraph" w:styleId="Listanumerowana5">
    <w:name w:val="List Number 5"/>
    <w:basedOn w:val="Normalny"/>
    <w:uiPriority w:val="99"/>
    <w:semiHidden/>
    <w:rsid w:val="002D2C99"/>
    <w:pPr>
      <w:numPr>
        <w:numId w:val="20"/>
      </w:numPr>
      <w:contextualSpacing/>
    </w:pPr>
  </w:style>
  <w:style w:type="paragraph" w:styleId="Tekstmakra">
    <w:name w:val="macro"/>
    <w:link w:val="TekstmakraZnak"/>
    <w:uiPriority w:val="99"/>
    <w:semiHidden/>
    <w:rsid w:val="002D2C9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rsid w:val="002D2C99"/>
    <w:rPr>
      <w:rFonts w:ascii="Consolas" w:eastAsiaTheme="minorEastAsia" w:hAnsi="Consolas" w:cs="Consolas"/>
      <w:sz w:val="20"/>
      <w:szCs w:val="20"/>
    </w:rPr>
  </w:style>
  <w:style w:type="table" w:styleId="redniasiatka1">
    <w:name w:val="Medium Grid 1"/>
    <w:basedOn w:val="Standardowy"/>
    <w:uiPriority w:val="99"/>
    <w:semiHidden/>
    <w:rsid w:val="002D2C99"/>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2D2C99"/>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2D2C99"/>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2D2C99"/>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2D2C99"/>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2D2C99"/>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2D2C99"/>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2D2C9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2D2C9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2D2C9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2D2C9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2D2C9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2D2C9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2D2C9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2D2C99"/>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2D2C99"/>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2D2C99"/>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2D2C99"/>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2D2C99"/>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2D2C99"/>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2D2C99"/>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2D2C99"/>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2D2C99"/>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2D2C99"/>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2D2C99"/>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2D2C99"/>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2D2C99"/>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2D2C99"/>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2D2C9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2D2C9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2D2C9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2D2C9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2D2C9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2D2C9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2D2C9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2D2C9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2D2C99"/>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2D2C99"/>
    <w:rPr>
      <w:rFonts w:ascii="Times New Roman" w:hAnsi="Times New Roman" w:cs="Times New Roman"/>
      <w:szCs w:val="24"/>
    </w:rPr>
  </w:style>
  <w:style w:type="paragraph" w:styleId="Wcicienormalne">
    <w:name w:val="Normal Indent"/>
    <w:basedOn w:val="Normalny"/>
    <w:uiPriority w:val="99"/>
    <w:semiHidden/>
    <w:rsid w:val="002D2C99"/>
    <w:pPr>
      <w:ind w:left="720"/>
    </w:pPr>
  </w:style>
  <w:style w:type="paragraph" w:styleId="Nagweknotatki">
    <w:name w:val="Note Heading"/>
    <w:basedOn w:val="Normalny"/>
    <w:next w:val="Normalny"/>
    <w:link w:val="NagweknotatkiZnak"/>
    <w:uiPriority w:val="99"/>
    <w:semiHidden/>
    <w:rsid w:val="002D2C99"/>
  </w:style>
  <w:style w:type="character" w:customStyle="1" w:styleId="NagweknotatkiZnak">
    <w:name w:val="Nagłówek notatki Znak"/>
    <w:basedOn w:val="Domylnaczcionkaakapitu"/>
    <w:link w:val="Nagweknotatki"/>
    <w:rsid w:val="002D2C99"/>
    <w:rPr>
      <w:rFonts w:eastAsiaTheme="minorEastAsia"/>
      <w:sz w:val="24"/>
    </w:rPr>
  </w:style>
  <w:style w:type="character" w:styleId="Tekstzastpczy">
    <w:name w:val="Placeholder Text"/>
    <w:basedOn w:val="Domylnaczcionkaakapitu"/>
    <w:uiPriority w:val="99"/>
    <w:semiHidden/>
    <w:rsid w:val="002D2C99"/>
    <w:rPr>
      <w:color w:val="808080"/>
    </w:rPr>
  </w:style>
  <w:style w:type="paragraph" w:styleId="Zwykytekst">
    <w:name w:val="Plain Text"/>
    <w:basedOn w:val="Normalny"/>
    <w:link w:val="ZwykytekstZnak"/>
    <w:uiPriority w:val="99"/>
    <w:semiHidden/>
    <w:rsid w:val="002D2C99"/>
    <w:rPr>
      <w:rFonts w:ascii="Consolas" w:hAnsi="Consolas" w:cs="Consolas"/>
      <w:sz w:val="21"/>
      <w:szCs w:val="21"/>
    </w:rPr>
  </w:style>
  <w:style w:type="character" w:customStyle="1" w:styleId="ZwykytekstZnak">
    <w:name w:val="Zwykły tekst Znak"/>
    <w:basedOn w:val="Domylnaczcionkaakapitu"/>
    <w:link w:val="Zwykytekst"/>
    <w:rsid w:val="002D2C99"/>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2D2C99"/>
  </w:style>
  <w:style w:type="character" w:customStyle="1" w:styleId="ZwrotgrzecznociowyZnak">
    <w:name w:val="Zwrot grzecznościowy Znak"/>
    <w:basedOn w:val="Domylnaczcionkaakapitu"/>
    <w:link w:val="Zwrotgrzecznociowy"/>
    <w:rsid w:val="002D2C99"/>
    <w:rPr>
      <w:rFonts w:eastAsiaTheme="minorEastAsia"/>
      <w:sz w:val="24"/>
    </w:rPr>
  </w:style>
  <w:style w:type="paragraph" w:styleId="Podpis">
    <w:name w:val="Signature"/>
    <w:basedOn w:val="Normalny"/>
    <w:link w:val="PodpisZnak"/>
    <w:uiPriority w:val="99"/>
    <w:semiHidden/>
    <w:rsid w:val="002D2C99"/>
    <w:pPr>
      <w:ind w:left="4252"/>
    </w:pPr>
  </w:style>
  <w:style w:type="character" w:customStyle="1" w:styleId="PodpisZnak">
    <w:name w:val="Podpis Znak"/>
    <w:basedOn w:val="Domylnaczcionkaakapitu"/>
    <w:link w:val="Podpis"/>
    <w:rsid w:val="002D2C99"/>
    <w:rPr>
      <w:rFonts w:eastAsiaTheme="minorEastAsia"/>
      <w:sz w:val="24"/>
    </w:rPr>
  </w:style>
  <w:style w:type="table" w:styleId="Tabela-Efekty3W1">
    <w:name w:val="Table 3D effects 1"/>
    <w:basedOn w:val="Standardowy"/>
    <w:uiPriority w:val="99"/>
    <w:semiHidden/>
    <w:unhideWhenUsed/>
    <w:rsid w:val="002D2C99"/>
    <w:pPr>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2D2C99"/>
    <w:pPr>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2D2C99"/>
    <w:pPr>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D2C99"/>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D2C99"/>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D2C99"/>
    <w:pPr>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D2C99"/>
    <w:pPr>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D2C99"/>
    <w:pPr>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D2C99"/>
    <w:pPr>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D2C99"/>
    <w:pPr>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D2C99"/>
    <w:pPr>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D2C99"/>
    <w:pPr>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D2C99"/>
    <w:pPr>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D2C99"/>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D2C99"/>
    <w:pPr>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D2C99"/>
    <w:pPr>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D2C99"/>
    <w:pPr>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D2C99"/>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D2C99"/>
    <w:pPr>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D2C99"/>
    <w:pPr>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D2C99"/>
    <w:pPr>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D2C99"/>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D2C99"/>
    <w:pPr>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D2C99"/>
    <w:pPr>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D2C99"/>
    <w:pPr>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D2C99"/>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D2C99"/>
    <w:pPr>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D2C99"/>
    <w:pPr>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D2C99"/>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D2C99"/>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D2C99"/>
    <w:pPr>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D2C99"/>
    <w:pPr>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D2C99"/>
    <w:pPr>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2D2C99"/>
    <w:pPr>
      <w:ind w:left="240" w:hanging="240"/>
    </w:pPr>
  </w:style>
  <w:style w:type="paragraph" w:styleId="Spisilustracji">
    <w:name w:val="table of figures"/>
    <w:basedOn w:val="Normalny"/>
    <w:next w:val="Normalny"/>
    <w:uiPriority w:val="99"/>
    <w:semiHidden/>
    <w:rsid w:val="002D2C99"/>
  </w:style>
  <w:style w:type="table" w:styleId="Tabela-Profesjonalny">
    <w:name w:val="Table Professional"/>
    <w:basedOn w:val="Standardowy"/>
    <w:uiPriority w:val="99"/>
    <w:semiHidden/>
    <w:unhideWhenUsed/>
    <w:rsid w:val="002D2C99"/>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D2C99"/>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D2C99"/>
    <w:pPr>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D2C99"/>
    <w:pPr>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D2C99"/>
    <w:pPr>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D2C99"/>
    <w:pPr>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D2C99"/>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unhideWhenUsed/>
    <w:rsid w:val="002D2C99"/>
    <w:pPr>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D2C99"/>
    <w:pPr>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D2C99"/>
    <w:pPr>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2D2C99"/>
    <w:pPr>
      <w:spacing w:after="100"/>
      <w:ind w:left="1200"/>
    </w:pPr>
  </w:style>
  <w:style w:type="paragraph" w:styleId="Spistreci7">
    <w:name w:val="toc 7"/>
    <w:basedOn w:val="Normalny"/>
    <w:next w:val="Normalny"/>
    <w:autoRedefine/>
    <w:uiPriority w:val="99"/>
    <w:semiHidden/>
    <w:rsid w:val="002D2C99"/>
    <w:pPr>
      <w:spacing w:after="100"/>
      <w:ind w:left="1440"/>
    </w:pPr>
  </w:style>
  <w:style w:type="paragraph" w:styleId="Spistreci8">
    <w:name w:val="toc 8"/>
    <w:basedOn w:val="Normalny"/>
    <w:next w:val="Normalny"/>
    <w:autoRedefine/>
    <w:uiPriority w:val="99"/>
    <w:semiHidden/>
    <w:rsid w:val="002D2C99"/>
    <w:pPr>
      <w:spacing w:after="100"/>
      <w:ind w:left="1680"/>
    </w:pPr>
  </w:style>
  <w:style w:type="paragraph" w:styleId="Spistreci9">
    <w:name w:val="toc 9"/>
    <w:basedOn w:val="Normalny"/>
    <w:next w:val="Normalny"/>
    <w:autoRedefine/>
    <w:uiPriority w:val="99"/>
    <w:semiHidden/>
    <w:rsid w:val="002D2C99"/>
    <w:pPr>
      <w:spacing w:after="100"/>
      <w:ind w:left="1920"/>
    </w:pPr>
  </w:style>
  <w:style w:type="character" w:customStyle="1" w:styleId="JuParaCar">
    <w:name w:val="Ju_Para Car"/>
    <w:link w:val="ECHRPara"/>
    <w:uiPriority w:val="12"/>
    <w:rsid w:val="00BC0135"/>
    <w:rPr>
      <w:rFonts w:eastAsiaTheme="minorEastAsia"/>
      <w:sz w:val="24"/>
    </w:rPr>
  </w:style>
  <w:style w:type="character" w:customStyle="1" w:styleId="JuHIRomanChar">
    <w:name w:val="Ju_H_I_Roman Char"/>
    <w:link w:val="ECHRHeading1"/>
    <w:rsid w:val="00BC0135"/>
    <w:rPr>
      <w:rFonts w:asciiTheme="majorHAnsi" w:eastAsiaTheme="majorEastAsia" w:hAnsiTheme="majorHAnsi" w:cstheme="majorBidi"/>
      <w:bCs/>
      <w:sz w:val="24"/>
      <w:szCs w:val="28"/>
    </w:rPr>
  </w:style>
  <w:style w:type="character" w:customStyle="1" w:styleId="JuJudgesChar">
    <w:name w:val="Ju_Judges Char"/>
    <w:link w:val="ECHRDecisionBody"/>
    <w:uiPriority w:val="11"/>
    <w:rsid w:val="00BC0135"/>
    <w:rPr>
      <w:rFonts w:eastAsiaTheme="minorEastAsia"/>
      <w:sz w:val="24"/>
    </w:rPr>
  </w:style>
  <w:style w:type="character" w:customStyle="1" w:styleId="JuNames0">
    <w:name w:val="Ju_Names"/>
    <w:rsid w:val="00BC0135"/>
    <w:rPr>
      <w:rFonts w:ascii="Times New Roman" w:hAnsi="Times New Roman" w:cs="Times New Roman"/>
      <w:smallCaps/>
    </w:rPr>
  </w:style>
  <w:style w:type="paragraph" w:customStyle="1" w:styleId="ECHRFooter">
    <w:name w:val="ECHR_Footer"/>
    <w:aliases w:val="Footer_ECHR"/>
    <w:basedOn w:val="Stopka"/>
    <w:uiPriority w:val="57"/>
    <w:semiHidden/>
    <w:rsid w:val="00BC0135"/>
    <w:pPr>
      <w:jc w:val="left"/>
    </w:pPr>
    <w:rPr>
      <w:rFonts w:eastAsiaTheme="minorHAnsi"/>
      <w:sz w:val="8"/>
    </w:rPr>
  </w:style>
  <w:style w:type="paragraph" w:customStyle="1" w:styleId="ECHRFooterLine">
    <w:name w:val="ECHR_Footer_Line"/>
    <w:aliases w:val="Footer_Line"/>
    <w:basedOn w:val="Normalny"/>
    <w:next w:val="ECHRFooter"/>
    <w:uiPriority w:val="57"/>
    <w:semiHidden/>
    <w:rsid w:val="00BC0135"/>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semiHidden/>
    <w:rsid w:val="00BC0135"/>
    <w:pPr>
      <w:numPr>
        <w:numId w:val="21"/>
      </w:numPr>
      <w:jc w:val="left"/>
    </w:pPr>
    <w:rPr>
      <w:b/>
    </w:rPr>
  </w:style>
  <w:style w:type="paragraph" w:customStyle="1" w:styleId="ECHRTitleCentre2">
    <w:name w:val="ECHR_Title_Centre_2"/>
    <w:aliases w:val="Dec_H_Case"/>
    <w:basedOn w:val="Normalny"/>
    <w:next w:val="ECHRPara"/>
    <w:uiPriority w:val="8"/>
    <w:semiHidden/>
    <w:rsid w:val="00BC0135"/>
    <w:pPr>
      <w:spacing w:after="240"/>
      <w:jc w:val="center"/>
      <w:outlineLvl w:val="0"/>
    </w:pPr>
    <w:rPr>
      <w:rFonts w:asciiTheme="majorHAnsi" w:hAnsiTheme="majorHAnsi"/>
      <w:i/>
    </w:rPr>
  </w:style>
  <w:style w:type="paragraph" w:customStyle="1" w:styleId="JuTitle">
    <w:name w:val="Ju_Title"/>
    <w:basedOn w:val="Normalny"/>
    <w:next w:val="ECHRPara"/>
    <w:uiPriority w:val="3"/>
    <w:semiHidden/>
    <w:rsid w:val="00BC0135"/>
    <w:pPr>
      <w:spacing w:before="720" w:after="240"/>
      <w:jc w:val="center"/>
      <w:outlineLvl w:val="0"/>
    </w:pPr>
    <w:rPr>
      <w:rFonts w:asciiTheme="majorHAnsi" w:hAnsiTheme="majorHAnsi"/>
      <w:b/>
      <w:caps/>
    </w:rPr>
  </w:style>
  <w:style w:type="paragraph" w:customStyle="1" w:styleId="DecHTitle">
    <w:name w:val="Dec_H_Title"/>
    <w:basedOn w:val="ECHRTitleCentre1"/>
    <w:uiPriority w:val="7"/>
    <w:semiHidden/>
    <w:rsid w:val="00BC0135"/>
    <w:rPr>
      <w:lang w:val="fr-FR" w:eastAsia="fr-FR"/>
    </w:rPr>
  </w:style>
  <w:style w:type="paragraph" w:customStyle="1" w:styleId="DecList">
    <w:name w:val="Dec_List"/>
    <w:basedOn w:val="Normalny"/>
    <w:rsid w:val="00BC0135"/>
    <w:pPr>
      <w:spacing w:before="240"/>
      <w:ind w:left="284"/>
    </w:pPr>
  </w:style>
  <w:style w:type="numbering" w:customStyle="1" w:styleId="1111111">
    <w:name w:val="1 / 1.1 / 1.1.11"/>
    <w:basedOn w:val="Bezlisty"/>
    <w:next w:val="111111"/>
    <w:uiPriority w:val="99"/>
    <w:semiHidden/>
    <w:rsid w:val="00BC0135"/>
    <w:pPr>
      <w:numPr>
        <w:numId w:val="22"/>
      </w:numPr>
    </w:pPr>
  </w:style>
  <w:style w:type="numbering" w:customStyle="1" w:styleId="1ai1">
    <w:name w:val="1 / a / i1"/>
    <w:basedOn w:val="Bezlisty"/>
    <w:next w:val="1ai"/>
    <w:uiPriority w:val="99"/>
    <w:semiHidden/>
    <w:rsid w:val="00BC0135"/>
    <w:pPr>
      <w:numPr>
        <w:numId w:val="23"/>
      </w:numPr>
    </w:pPr>
  </w:style>
  <w:style w:type="numbering" w:customStyle="1" w:styleId="ArticleSection1">
    <w:name w:val="Article / Section1"/>
    <w:basedOn w:val="Bezlisty"/>
    <w:next w:val="Artykusekcja"/>
    <w:uiPriority w:val="99"/>
    <w:semiHidden/>
    <w:rsid w:val="00BC0135"/>
    <w:pPr>
      <w:numPr>
        <w:numId w:val="24"/>
      </w:numPr>
    </w:pPr>
  </w:style>
  <w:style w:type="character" w:customStyle="1" w:styleId="JuParaChar">
    <w:name w:val="Ju_Para Char"/>
    <w:basedOn w:val="Domylnaczcionkaakapitu"/>
    <w:rsid w:val="00BC0135"/>
    <w:rPr>
      <w:sz w:val="24"/>
      <w:lang w:val="fr-FR" w:eastAsia="fr-FR" w:bidi="ar-SA"/>
    </w:rPr>
  </w:style>
  <w:style w:type="paragraph" w:styleId="Poprawka">
    <w:name w:val="Revision"/>
    <w:hidden/>
    <w:uiPriority w:val="99"/>
    <w:semiHidden/>
    <w:rsid w:val="00BC0135"/>
    <w:rPr>
      <w:rFonts w:eastAsiaTheme="minorEastAsia"/>
      <w:sz w:val="24"/>
    </w:rPr>
  </w:style>
  <w:style w:type="paragraph" w:customStyle="1" w:styleId="LtrBody">
    <w:name w:val="Ltr_Body"/>
    <w:basedOn w:val="Normalny"/>
    <w:rsid w:val="00BC0135"/>
    <w:pPr>
      <w:ind w:firstLine="567"/>
    </w:pPr>
    <w:rPr>
      <w:rFonts w:ascii="Times New Roman" w:eastAsia="Times New Roman" w:hAnsi="Times New Roman" w:cs="Times New Roman"/>
      <w:szCs w:val="20"/>
      <w:lang w:val="fr-FR" w:eastAsia="en-GB"/>
    </w:rPr>
  </w:style>
  <w:style w:type="character" w:customStyle="1" w:styleId="wordhighlighted">
    <w:name w:val="wordhighlighted"/>
    <w:basedOn w:val="Domylnaczcionkaakapitu"/>
    <w:rsid w:val="00BC0135"/>
  </w:style>
  <w:style w:type="table" w:customStyle="1" w:styleId="Style1">
    <w:name w:val="Style1"/>
    <w:basedOn w:val="Standardowy"/>
    <w:uiPriority w:val="99"/>
    <w:rsid w:val="00BC0135"/>
    <w:rPr>
      <w:lang w:val="fr-FR" w:eastAsia="fr-FR"/>
    </w:rPr>
    <w:tblPr>
      <w:tblStyleRowBandSize w:val="1"/>
      <w:tblInd w:w="0" w:type="dxa"/>
      <w:tblCellMar>
        <w:top w:w="0" w:type="dxa"/>
        <w:left w:w="108" w:type="dxa"/>
        <w:bottom w:w="0" w:type="dxa"/>
        <w:right w:w="108" w:type="dxa"/>
      </w:tblCellMar>
    </w:tblPr>
  </w:style>
  <w:style w:type="table" w:customStyle="1" w:styleId="Style2">
    <w:name w:val="Style2"/>
    <w:basedOn w:val="Standardowy"/>
    <w:uiPriority w:val="99"/>
    <w:rsid w:val="00BC0135"/>
    <w:rPr>
      <w:lang w:val="fr-FR" w:eastAsia="fr-FR"/>
    </w:rPr>
    <w:tblPr>
      <w:tblInd w:w="0" w:type="dxa"/>
      <w:tblCellMar>
        <w:top w:w="0" w:type="dxa"/>
        <w:left w:w="108" w:type="dxa"/>
        <w:bottom w:w="0" w:type="dxa"/>
        <w:right w:w="108" w:type="dxa"/>
      </w:tblCellMar>
    </w:tblPr>
  </w:style>
  <w:style w:type="paragraph" w:customStyle="1" w:styleId="jupara">
    <w:name w:val="jupara"/>
    <w:basedOn w:val="Normalny"/>
    <w:rsid w:val="00A977F5"/>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A977F5"/>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caption" w:qFormat="1"/>
    <w:lsdException w:name="footnote reference" w:uiPriority="0"/>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2D2C99"/>
    <w:pPr>
      <w:jc w:val="both"/>
    </w:pPr>
    <w:rPr>
      <w:rFonts w:eastAsiaTheme="minorEastAsia"/>
      <w:sz w:val="24"/>
    </w:rPr>
  </w:style>
  <w:style w:type="paragraph" w:styleId="Nagwek1">
    <w:name w:val="heading 1"/>
    <w:basedOn w:val="Normalny"/>
    <w:next w:val="Normalny"/>
    <w:link w:val="Nagwek1Znak"/>
    <w:uiPriority w:val="99"/>
    <w:semiHidden/>
    <w:rsid w:val="0094174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2D2C99"/>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2D2C99"/>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2D2C9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2D2C9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2D2C99"/>
    <w:rPr>
      <w:i/>
      <w:iCs/>
      <w:smallCaps/>
      <w:spacing w:val="5"/>
    </w:rPr>
  </w:style>
  <w:style w:type="paragraph" w:customStyle="1" w:styleId="ECHRHeader">
    <w:name w:val="ECHR_Header"/>
    <w:aliases w:val="Ju_Header"/>
    <w:basedOn w:val="Nagwek"/>
    <w:uiPriority w:val="4"/>
    <w:qFormat/>
    <w:rsid w:val="002D2C99"/>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ECHRPara"/>
    <w:uiPriority w:val="46"/>
    <w:qFormat/>
    <w:rsid w:val="002D2C99"/>
  </w:style>
  <w:style w:type="character" w:styleId="Pogrubienie">
    <w:name w:val="Strong"/>
    <w:uiPriority w:val="99"/>
    <w:semiHidden/>
    <w:qFormat/>
    <w:rsid w:val="002D2C99"/>
    <w:rPr>
      <w:b/>
      <w:bCs/>
    </w:rPr>
  </w:style>
  <w:style w:type="paragraph" w:styleId="Bezodstpw">
    <w:name w:val="No Spacing"/>
    <w:basedOn w:val="Normalny"/>
    <w:link w:val="BezodstpwZnak"/>
    <w:uiPriority w:val="99"/>
    <w:semiHidden/>
    <w:qFormat/>
    <w:rsid w:val="002D2C99"/>
    <w:rPr>
      <w:sz w:val="22"/>
    </w:rPr>
  </w:style>
  <w:style w:type="character" w:customStyle="1" w:styleId="BezodstpwZnak">
    <w:name w:val="Bez odstępów Znak"/>
    <w:basedOn w:val="Domylnaczcionkaakapitu"/>
    <w:link w:val="Bezodstpw"/>
    <w:semiHidden/>
    <w:rsid w:val="002D2C99"/>
    <w:rPr>
      <w:rFonts w:eastAsiaTheme="minorEastAsia"/>
    </w:rPr>
  </w:style>
  <w:style w:type="paragraph" w:customStyle="1" w:styleId="ECHRParaQuote">
    <w:name w:val="ECHR_Para_Quote"/>
    <w:aliases w:val="Ju_Quot"/>
    <w:basedOn w:val="Normalny"/>
    <w:qFormat/>
    <w:rsid w:val="002D2C99"/>
    <w:pPr>
      <w:spacing w:before="120" w:after="120"/>
      <w:ind w:left="425" w:firstLine="142"/>
    </w:pPr>
    <w:rPr>
      <w:sz w:val="20"/>
    </w:rPr>
  </w:style>
  <w:style w:type="paragraph" w:customStyle="1" w:styleId="JuParaSub">
    <w:name w:val="Ju_Para_Sub"/>
    <w:basedOn w:val="ECHRPara"/>
    <w:uiPriority w:val="13"/>
    <w:qFormat/>
    <w:rsid w:val="002D2C99"/>
    <w:pPr>
      <w:ind w:left="284"/>
    </w:pPr>
  </w:style>
  <w:style w:type="paragraph" w:customStyle="1" w:styleId="OpiParaSub">
    <w:name w:val="Opi_Para_Sub"/>
    <w:basedOn w:val="JuParaSub"/>
    <w:uiPriority w:val="47"/>
    <w:qFormat/>
    <w:rsid w:val="002D2C99"/>
  </w:style>
  <w:style w:type="paragraph" w:customStyle="1" w:styleId="OpiQuot">
    <w:name w:val="Opi_Quot"/>
    <w:basedOn w:val="ECHRParaQuote"/>
    <w:uiPriority w:val="48"/>
    <w:qFormat/>
    <w:rsid w:val="002D2C99"/>
  </w:style>
  <w:style w:type="paragraph" w:customStyle="1" w:styleId="OpiQuotSub">
    <w:name w:val="Opi_Quot_Sub"/>
    <w:basedOn w:val="JuQuotSub"/>
    <w:uiPriority w:val="49"/>
    <w:qFormat/>
    <w:rsid w:val="002D2C99"/>
  </w:style>
  <w:style w:type="paragraph" w:customStyle="1" w:styleId="ECHRTitleCentre3">
    <w:name w:val="ECHR_Title_Centre_3"/>
    <w:aliases w:val="Ju_H_Article"/>
    <w:basedOn w:val="Normalny"/>
    <w:next w:val="ECHRParaQuote"/>
    <w:uiPriority w:val="27"/>
    <w:qFormat/>
    <w:rsid w:val="002D2C9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2D2C99"/>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2D2C99"/>
    <w:pPr>
      <w:ind w:left="567"/>
    </w:pPr>
  </w:style>
  <w:style w:type="paragraph" w:customStyle="1" w:styleId="ECHRTitle1">
    <w:name w:val="ECHR_Title_1"/>
    <w:aliases w:val="Ju_H_Head"/>
    <w:basedOn w:val="Normalny"/>
    <w:next w:val="ECHRPara"/>
    <w:uiPriority w:val="18"/>
    <w:qFormat/>
    <w:rsid w:val="002D2C99"/>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2D2C99"/>
    <w:pPr>
      <w:tabs>
        <w:tab w:val="center" w:pos="6407"/>
      </w:tabs>
      <w:spacing w:before="720"/>
      <w:jc w:val="right"/>
    </w:pPr>
  </w:style>
  <w:style w:type="paragraph" w:customStyle="1" w:styleId="JuSigned">
    <w:name w:val="Ju_Signed"/>
    <w:basedOn w:val="Normalny"/>
    <w:next w:val="JuParaLast"/>
    <w:uiPriority w:val="32"/>
    <w:qFormat/>
    <w:rsid w:val="002D2C99"/>
    <w:pPr>
      <w:tabs>
        <w:tab w:val="center" w:pos="851"/>
        <w:tab w:val="center" w:pos="6407"/>
      </w:tabs>
      <w:spacing w:before="720"/>
      <w:jc w:val="left"/>
    </w:pPr>
  </w:style>
  <w:style w:type="paragraph" w:styleId="Tytu">
    <w:name w:val="Title"/>
    <w:basedOn w:val="Normalny"/>
    <w:next w:val="Normalny"/>
    <w:link w:val="TytuZnak"/>
    <w:uiPriority w:val="99"/>
    <w:semiHidden/>
    <w:qFormat/>
    <w:rsid w:val="002D2C9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2D2C99"/>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2D2C99"/>
    <w:pPr>
      <w:tabs>
        <w:tab w:val="clear" w:pos="357"/>
      </w:tabs>
      <w:outlineLvl w:val="1"/>
    </w:pPr>
    <w:rPr>
      <w:b/>
    </w:rPr>
  </w:style>
  <w:style w:type="character" w:customStyle="1" w:styleId="JUNAMES">
    <w:name w:val="JU_NAMES"/>
    <w:uiPriority w:val="17"/>
    <w:qFormat/>
    <w:rsid w:val="002D2C99"/>
    <w:rPr>
      <w:caps w:val="0"/>
      <w:smallCaps/>
    </w:rPr>
  </w:style>
  <w:style w:type="character" w:customStyle="1" w:styleId="JuITMark">
    <w:name w:val="Ju_ITMark"/>
    <w:basedOn w:val="Domylnaczcionkaakapitu"/>
    <w:uiPriority w:val="38"/>
    <w:qFormat/>
    <w:rsid w:val="002D2C99"/>
    <w:rPr>
      <w:vanish/>
      <w:color w:val="339966"/>
      <w:sz w:val="14"/>
    </w:rPr>
  </w:style>
  <w:style w:type="paragraph" w:customStyle="1" w:styleId="OpiTranslation">
    <w:name w:val="Opi_Translation"/>
    <w:basedOn w:val="Normalny"/>
    <w:next w:val="OpiPara"/>
    <w:uiPriority w:val="40"/>
    <w:qFormat/>
    <w:rsid w:val="002D2C99"/>
    <w:pPr>
      <w:jc w:val="center"/>
      <w:outlineLvl w:val="0"/>
    </w:pPr>
    <w:rPr>
      <w:i/>
    </w:rPr>
  </w:style>
  <w:style w:type="paragraph" w:customStyle="1" w:styleId="JuCourt">
    <w:name w:val="Ju_Court"/>
    <w:basedOn w:val="Normalny"/>
    <w:next w:val="Normalny"/>
    <w:uiPriority w:val="16"/>
    <w:qFormat/>
    <w:rsid w:val="002D2C99"/>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link w:val="JuHIRomanChar"/>
    <w:qFormat/>
    <w:rsid w:val="002D2C9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2D2C99"/>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2D2C99"/>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99"/>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2D2C9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2D2C99"/>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2D2C99"/>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2D2C99"/>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paragraph" w:customStyle="1" w:styleId="JuParaLast">
    <w:name w:val="Ju_Para_Last"/>
    <w:basedOn w:val="Normalny"/>
    <w:next w:val="ECHRPara"/>
    <w:qFormat/>
    <w:rsid w:val="002D2C99"/>
    <w:pPr>
      <w:keepNext/>
      <w:keepLines/>
      <w:spacing w:before="240"/>
      <w:ind w:firstLine="284"/>
    </w:pPr>
  </w:style>
  <w:style w:type="paragraph" w:customStyle="1" w:styleId="JuList">
    <w:name w:val="Ju_List"/>
    <w:basedOn w:val="Normalny"/>
    <w:qFormat/>
    <w:rsid w:val="002D2C99"/>
    <w:pPr>
      <w:ind w:left="340" w:hanging="340"/>
    </w:p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paragraph" w:customStyle="1" w:styleId="JuLista">
    <w:name w:val="Ju_List_a"/>
    <w:basedOn w:val="JuList"/>
    <w:uiPriority w:val="28"/>
    <w:qFormat/>
    <w:rsid w:val="002D2C99"/>
    <w:pPr>
      <w:ind w:left="346" w:firstLine="0"/>
    </w:pPr>
  </w:style>
  <w:style w:type="character" w:customStyle="1" w:styleId="Nagwek5Znak">
    <w:name w:val="Nagłówek 5 Znak"/>
    <w:basedOn w:val="Domylnaczcionkaakapitu"/>
    <w:link w:val="Nagwek5"/>
    <w:uiPriority w:val="99"/>
    <w:semiHidden/>
    <w:rsid w:val="002D2C99"/>
    <w:rPr>
      <w:rFonts w:asciiTheme="majorHAnsi" w:eastAsiaTheme="majorEastAsia" w:hAnsiTheme="majorHAnsi" w:cstheme="majorBidi"/>
      <w:b/>
      <w:bCs/>
      <w:color w:val="808080"/>
    </w:rPr>
  </w:style>
  <w:style w:type="paragraph" w:customStyle="1" w:styleId="JuListi">
    <w:name w:val="Ju_List_i"/>
    <w:basedOn w:val="Normalny"/>
    <w:next w:val="JuLista"/>
    <w:uiPriority w:val="28"/>
    <w:qFormat/>
    <w:rsid w:val="002D2C99"/>
    <w:pPr>
      <w:ind w:left="794"/>
    </w:pPr>
  </w:style>
  <w:style w:type="paragraph" w:customStyle="1" w:styleId="OpiH1">
    <w:name w:val="Opi_H_1"/>
    <w:basedOn w:val="ECHRHeading2"/>
    <w:uiPriority w:val="42"/>
    <w:qFormat/>
    <w:rsid w:val="002D2C99"/>
    <w:pPr>
      <w:ind w:left="635" w:hanging="357"/>
      <w:outlineLvl w:val="2"/>
    </w:pPr>
  </w:style>
  <w:style w:type="character" w:styleId="Wyrnieniedelikatne">
    <w:name w:val="Subtle Emphasis"/>
    <w:uiPriority w:val="99"/>
    <w:semiHidden/>
    <w:qFormat/>
    <w:rsid w:val="002D2C99"/>
    <w:rPr>
      <w:i/>
      <w:iCs/>
    </w:rPr>
  </w:style>
  <w:style w:type="paragraph" w:customStyle="1" w:styleId="OpiHa0">
    <w:name w:val="Opi_H_a"/>
    <w:basedOn w:val="ECHRHeading3"/>
    <w:uiPriority w:val="43"/>
    <w:qFormat/>
    <w:rsid w:val="002D2C99"/>
    <w:pPr>
      <w:ind w:left="833" w:hanging="357"/>
      <w:outlineLvl w:val="3"/>
    </w:pPr>
    <w:rPr>
      <w:b/>
      <w:i w:val="0"/>
      <w:sz w:val="20"/>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i">
    <w:name w:val="Opi_H_i"/>
    <w:basedOn w:val="ECHRHeading4"/>
    <w:uiPriority w:val="44"/>
    <w:qFormat/>
    <w:rsid w:val="002D2C99"/>
    <w:pPr>
      <w:ind w:left="1037" w:hanging="357"/>
      <w:outlineLvl w:val="4"/>
    </w:pPr>
    <w:rPr>
      <w:b w:val="0"/>
      <w:i/>
    </w:rPr>
  </w:style>
  <w:style w:type="paragraph" w:customStyle="1" w:styleId="DummyStyle">
    <w:name w:val="Dummy_Style"/>
    <w:basedOn w:val="Normalny"/>
    <w:semiHidden/>
    <w:qFormat/>
    <w:rsid w:val="002D2C99"/>
    <w:rPr>
      <w:color w:val="00B050"/>
    </w:rPr>
  </w:style>
  <w:style w:type="paragraph" w:styleId="Podtytu">
    <w:name w:val="Subtitle"/>
    <w:basedOn w:val="Normalny"/>
    <w:next w:val="Normalny"/>
    <w:link w:val="PodtytuZnak"/>
    <w:uiPriority w:val="99"/>
    <w:semiHidden/>
    <w:qFormat/>
    <w:rsid w:val="002D2C99"/>
    <w:pPr>
      <w:spacing w:after="600"/>
    </w:pPr>
    <w:rPr>
      <w:rFonts w:asciiTheme="majorHAnsi" w:eastAsiaTheme="majorEastAsia" w:hAnsiTheme="majorHAnsi" w:cstheme="majorBidi"/>
      <w:i/>
      <w:iCs/>
      <w:spacing w:val="13"/>
      <w:szCs w:val="24"/>
      <w:lang w:bidi="en-US"/>
    </w:rPr>
  </w:style>
  <w:style w:type="character" w:styleId="Uwydatnienie">
    <w:name w:val="Emphasis"/>
    <w:uiPriority w:val="99"/>
    <w:semiHidden/>
    <w:qFormat/>
    <w:rsid w:val="002D2C99"/>
    <w:rPr>
      <w:b/>
      <w:bCs/>
      <w:i/>
      <w:iCs/>
      <w:spacing w:val="10"/>
      <w:bdr w:val="none" w:sz="0" w:space="0" w:color="auto"/>
      <w:shd w:val="clear" w:color="auto" w:fill="auto"/>
    </w:rPr>
  </w:style>
  <w:style w:type="paragraph" w:styleId="Stopka">
    <w:name w:val="footer"/>
    <w:basedOn w:val="Normalny"/>
    <w:link w:val="StopkaZnak"/>
    <w:uiPriority w:val="99"/>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2D2C99"/>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2D2C99"/>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2D2C99"/>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2D2C99"/>
    <w:rPr>
      <w:b/>
      <w:bCs/>
    </w:rPr>
  </w:style>
  <w:style w:type="paragraph" w:styleId="Cytatintensywny">
    <w:name w:val="Intense Quote"/>
    <w:basedOn w:val="Normalny"/>
    <w:next w:val="Normalny"/>
    <w:link w:val="CytatintensywnyZnak"/>
    <w:uiPriority w:val="99"/>
    <w:semiHidden/>
    <w:qFormat/>
    <w:rsid w:val="002D2C99"/>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2D2C99"/>
    <w:rPr>
      <w:rFonts w:eastAsiaTheme="minorEastAsia"/>
      <w:b/>
      <w:bCs/>
      <w:i/>
      <w:iCs/>
      <w:lang w:bidi="en-US"/>
    </w:rPr>
  </w:style>
  <w:style w:type="character" w:styleId="Odwoanieintensywne">
    <w:name w:val="Intense Reference"/>
    <w:uiPriority w:val="99"/>
    <w:semiHidden/>
    <w:qFormat/>
    <w:rsid w:val="002D2C99"/>
    <w:rPr>
      <w:smallCaps/>
      <w:spacing w:val="5"/>
      <w:u w:val="single"/>
    </w:rPr>
  </w:style>
  <w:style w:type="paragraph" w:styleId="Akapitzlist">
    <w:name w:val="List Paragraph"/>
    <w:basedOn w:val="Normalny"/>
    <w:uiPriority w:val="99"/>
    <w:semiHidden/>
    <w:qFormat/>
    <w:rsid w:val="002D2C99"/>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2D2C99"/>
    <w:pPr>
      <w:spacing w:before="200"/>
      <w:ind w:left="360" w:right="360"/>
    </w:pPr>
    <w:rPr>
      <w:i/>
      <w:iCs/>
      <w:sz w:val="22"/>
      <w:lang w:bidi="en-US"/>
    </w:rPr>
  </w:style>
  <w:style w:type="character" w:customStyle="1" w:styleId="CytatZnak">
    <w:name w:val="Cytat Znak"/>
    <w:basedOn w:val="Domylnaczcionkaakapitu"/>
    <w:link w:val="Cytat"/>
    <w:uiPriority w:val="99"/>
    <w:semiHidden/>
    <w:rsid w:val="002D2C99"/>
    <w:rPr>
      <w:rFonts w:eastAsiaTheme="minorEastAsia"/>
      <w:i/>
      <w:iCs/>
      <w:lang w:bidi="en-US"/>
    </w:rPr>
  </w:style>
  <w:style w:type="character" w:styleId="Odwoaniedelikatne">
    <w:name w:val="Subtle Reference"/>
    <w:uiPriority w:val="99"/>
    <w:semiHidden/>
    <w:qFormat/>
    <w:rsid w:val="002D2C99"/>
    <w:rPr>
      <w:smallCaps/>
    </w:rPr>
  </w:style>
  <w:style w:type="table" w:styleId="Tabela-Siatka">
    <w:name w:val="Table Grid"/>
    <w:basedOn w:val="Standardowy"/>
    <w:uiPriority w:val="99"/>
    <w:rsid w:val="00941747"/>
    <w:rPr>
      <w:rFonts w:eastAsiaTheme="minorEastAsia"/>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2D2C99"/>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character" w:customStyle="1" w:styleId="PodtytuZnak">
    <w:name w:val="Podtytuł Znak"/>
    <w:basedOn w:val="Domylnaczcionkaakapitu"/>
    <w:link w:val="Podtytu"/>
    <w:uiPriority w:val="99"/>
    <w:semiHidden/>
    <w:rsid w:val="002D2C99"/>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2D2C99"/>
    <w:pPr>
      <w:numPr>
        <w:numId w:val="9"/>
      </w:numPr>
    </w:pPr>
  </w:style>
  <w:style w:type="numbering" w:styleId="1ai">
    <w:name w:val="Outline List 1"/>
    <w:basedOn w:val="Bezlisty"/>
    <w:uiPriority w:val="99"/>
    <w:semiHidden/>
    <w:unhideWhenUsed/>
    <w:rsid w:val="002D2C99"/>
    <w:pPr>
      <w:numPr>
        <w:numId w:val="10"/>
      </w:numPr>
    </w:pPr>
  </w:style>
  <w:style w:type="paragraph" w:customStyle="1" w:styleId="ECHRPara">
    <w:name w:val="ECHR_Para"/>
    <w:aliases w:val="Ju_Para,Para,Left,First line:  0 cm"/>
    <w:basedOn w:val="Normalny"/>
    <w:link w:val="JuParaCar"/>
    <w:uiPriority w:val="12"/>
    <w:qFormat/>
    <w:rsid w:val="002D2C99"/>
    <w:pPr>
      <w:ind w:firstLine="284"/>
    </w:pPr>
  </w:style>
  <w:style w:type="numbering" w:styleId="Artykusekcja">
    <w:name w:val="Outline List 3"/>
    <w:basedOn w:val="Bezlisty"/>
    <w:uiPriority w:val="99"/>
    <w:semiHidden/>
    <w:unhideWhenUsed/>
    <w:rsid w:val="002D2C99"/>
    <w:pPr>
      <w:numPr>
        <w:numId w:val="11"/>
      </w:numPr>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ibliografia">
    <w:name w:val="Bibliography"/>
    <w:basedOn w:val="Normalny"/>
    <w:next w:val="Normalny"/>
    <w:uiPriority w:val="99"/>
    <w:semiHidden/>
    <w:rsid w:val="002D2C99"/>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Tekstblokowy">
    <w:name w:val="Block Text"/>
    <w:basedOn w:val="Normalny"/>
    <w:uiPriority w:val="99"/>
    <w:semiHidden/>
    <w:rsid w:val="002D2C99"/>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paragraph" w:styleId="Tekstpodstawowy">
    <w:name w:val="Body Text"/>
    <w:basedOn w:val="Normalny"/>
    <w:link w:val="TekstpodstawowyZnak"/>
    <w:uiPriority w:val="99"/>
    <w:semiHidden/>
    <w:rsid w:val="002D2C99"/>
    <w:pPr>
      <w:spacing w:after="120"/>
    </w:p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character" w:customStyle="1" w:styleId="TekstpodstawowyZnak">
    <w:name w:val="Tekst podstawowy Znak"/>
    <w:basedOn w:val="Domylnaczcionkaakapitu"/>
    <w:link w:val="Tekstpodstawowy"/>
    <w:rsid w:val="002D2C99"/>
    <w:rPr>
      <w:rFonts w:eastAsiaTheme="minorEastAsia"/>
      <w:sz w:val="24"/>
    </w:rPr>
  </w:style>
  <w:style w:type="paragraph" w:styleId="Tekstpodstawowy2">
    <w:name w:val="Body Text 2"/>
    <w:basedOn w:val="Normalny"/>
    <w:link w:val="Tekstpodstawowy2Znak"/>
    <w:uiPriority w:val="99"/>
    <w:semiHidden/>
    <w:rsid w:val="002D2C99"/>
    <w:pPr>
      <w:spacing w:after="120" w:line="480" w:lineRule="auto"/>
    </w:p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link w:val="JuJudgesChar"/>
    <w:uiPriority w:val="11"/>
    <w:qFormat/>
    <w:rsid w:val="002D2C9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2D2C99"/>
    <w:pPr>
      <w:ind w:firstLine="284"/>
    </w:pPr>
    <w:rPr>
      <w:b/>
    </w:rPr>
  </w:style>
  <w:style w:type="character" w:styleId="Numerstrony">
    <w:name w:val="page number"/>
    <w:uiPriority w:val="99"/>
    <w:semiHidden/>
    <w:rsid w:val="002D2C99"/>
    <w:rPr>
      <w:rFonts w:ascii="Times New Roman" w:hAnsi="Times New Roman" w:cs="Times New Roman"/>
      <w:sz w:val="18"/>
    </w:rPr>
  </w:style>
  <w:style w:type="paragraph" w:styleId="Listapunktowana2">
    <w:name w:val="List Bullet 2"/>
    <w:basedOn w:val="Normalny"/>
    <w:uiPriority w:val="99"/>
    <w:semiHidden/>
    <w:rsid w:val="002D2C99"/>
    <w:pPr>
      <w:numPr>
        <w:numId w:val="8"/>
      </w:numPr>
      <w:contextualSpacing/>
    </w:pPr>
  </w:style>
  <w:style w:type="character" w:customStyle="1" w:styleId="Tekstpodstawowy2Znak">
    <w:name w:val="Tekst podstawowy 2 Znak"/>
    <w:basedOn w:val="Domylnaczcionkaakapitu"/>
    <w:link w:val="Tekstpodstawowy2"/>
    <w:rsid w:val="002D2C99"/>
    <w:rPr>
      <w:rFonts w:eastAsiaTheme="minorEastAsia"/>
      <w:sz w:val="24"/>
    </w:rPr>
  </w:style>
  <w:style w:type="paragraph" w:styleId="Tekstpodstawowy3">
    <w:name w:val="Body Text 3"/>
    <w:basedOn w:val="Normalny"/>
    <w:link w:val="Tekstpodstawowy3Znak"/>
    <w:uiPriority w:val="99"/>
    <w:semiHidden/>
    <w:rsid w:val="002D2C99"/>
    <w:pPr>
      <w:spacing w:after="120"/>
    </w:pPr>
    <w:rPr>
      <w:sz w:val="16"/>
      <w:szCs w:val="16"/>
    </w:rPr>
  </w:style>
  <w:style w:type="character" w:customStyle="1" w:styleId="Tekstpodstawowy3Znak">
    <w:name w:val="Tekst podstawowy 3 Znak"/>
    <w:basedOn w:val="Domylnaczcionkaakapitu"/>
    <w:link w:val="Tekstpodstawowy3"/>
    <w:rsid w:val="002D2C99"/>
    <w:rPr>
      <w:rFonts w:eastAsiaTheme="minorEastAsia"/>
      <w:sz w:val="16"/>
      <w:szCs w:val="16"/>
    </w:rPr>
  </w:style>
  <w:style w:type="paragraph" w:styleId="Tekstpodstawowyzwciciem">
    <w:name w:val="Body Text First Indent"/>
    <w:basedOn w:val="Tekstpodstawowy"/>
    <w:link w:val="TekstpodstawowyzwciciemZnak"/>
    <w:uiPriority w:val="99"/>
    <w:semiHidden/>
    <w:rsid w:val="002D2C99"/>
    <w:pPr>
      <w:spacing w:after="0"/>
      <w:ind w:firstLine="360"/>
    </w:pPr>
  </w:style>
  <w:style w:type="character" w:customStyle="1" w:styleId="TekstpodstawowyzwciciemZnak">
    <w:name w:val="Tekst podstawowy z wcięciem Znak"/>
    <w:basedOn w:val="TekstpodstawowyZnak"/>
    <w:link w:val="Tekstpodstawowyzwciciem"/>
    <w:rsid w:val="002D2C99"/>
    <w:rPr>
      <w:rFonts w:eastAsiaTheme="minorEastAsia"/>
      <w:sz w:val="24"/>
    </w:rPr>
  </w:style>
  <w:style w:type="paragraph" w:styleId="Tekstpodstawowywcity">
    <w:name w:val="Body Text Indent"/>
    <w:basedOn w:val="Normalny"/>
    <w:link w:val="TekstpodstawowywcityZnak"/>
    <w:uiPriority w:val="99"/>
    <w:semiHidden/>
    <w:rsid w:val="002D2C99"/>
    <w:pPr>
      <w:spacing w:after="120"/>
      <w:ind w:left="283"/>
    </w:pPr>
  </w:style>
  <w:style w:type="character" w:customStyle="1" w:styleId="TekstpodstawowywcityZnak">
    <w:name w:val="Tekst podstawowy wcięty Znak"/>
    <w:basedOn w:val="Domylnaczcionkaakapitu"/>
    <w:link w:val="Tekstpodstawowywcity"/>
    <w:rsid w:val="002D2C99"/>
    <w:rPr>
      <w:rFonts w:eastAsiaTheme="minorEastAsia"/>
      <w:sz w:val="24"/>
    </w:rPr>
  </w:style>
  <w:style w:type="paragraph" w:styleId="Tekstpodstawowyzwciciem2">
    <w:name w:val="Body Text First Indent 2"/>
    <w:basedOn w:val="Tekstpodstawowywcity"/>
    <w:link w:val="Tekstpodstawowyzwciciem2Znak"/>
    <w:uiPriority w:val="99"/>
    <w:semiHidden/>
    <w:rsid w:val="002D2C99"/>
    <w:pPr>
      <w:spacing w:after="0"/>
      <w:ind w:left="360" w:firstLine="360"/>
    </w:pPr>
  </w:style>
  <w:style w:type="character" w:customStyle="1" w:styleId="Tekstpodstawowyzwciciem2Znak">
    <w:name w:val="Tekst podstawowy z wcięciem 2 Znak"/>
    <w:basedOn w:val="TekstpodstawowywcityZnak"/>
    <w:link w:val="Tekstpodstawowyzwciciem2"/>
    <w:rsid w:val="002D2C99"/>
    <w:rPr>
      <w:rFonts w:eastAsiaTheme="minorEastAsia"/>
      <w:sz w:val="24"/>
    </w:rPr>
  </w:style>
  <w:style w:type="paragraph" w:styleId="Tekstpodstawowywcity2">
    <w:name w:val="Body Text Indent 2"/>
    <w:basedOn w:val="Normalny"/>
    <w:link w:val="Tekstpodstawowywcity2Znak"/>
    <w:uiPriority w:val="99"/>
    <w:semiHidden/>
    <w:rsid w:val="002D2C99"/>
    <w:pPr>
      <w:spacing w:after="120" w:line="480" w:lineRule="auto"/>
      <w:ind w:left="283"/>
    </w:pPr>
  </w:style>
  <w:style w:type="character" w:customStyle="1" w:styleId="Tekstpodstawowywcity2Znak">
    <w:name w:val="Tekst podstawowy wcięty 2 Znak"/>
    <w:basedOn w:val="Domylnaczcionkaakapitu"/>
    <w:link w:val="Tekstpodstawowywcity2"/>
    <w:rsid w:val="002D2C99"/>
    <w:rPr>
      <w:rFonts w:eastAsiaTheme="minorEastAsia"/>
      <w:sz w:val="24"/>
    </w:rPr>
  </w:style>
  <w:style w:type="paragraph" w:styleId="Tekstpodstawowywcity3">
    <w:name w:val="Body Text Indent 3"/>
    <w:basedOn w:val="Normalny"/>
    <w:link w:val="Tekstpodstawowywcity3Znak"/>
    <w:uiPriority w:val="99"/>
    <w:semiHidden/>
    <w:rsid w:val="002D2C99"/>
    <w:pPr>
      <w:spacing w:after="120"/>
      <w:ind w:left="283"/>
    </w:pPr>
    <w:rPr>
      <w:sz w:val="16"/>
      <w:szCs w:val="16"/>
    </w:rPr>
  </w:style>
  <w:style w:type="character" w:customStyle="1" w:styleId="Tekstpodstawowywcity3Znak">
    <w:name w:val="Tekst podstawowy wcięty 3 Znak"/>
    <w:basedOn w:val="Domylnaczcionkaakapitu"/>
    <w:link w:val="Tekstpodstawowywcity3"/>
    <w:rsid w:val="002D2C99"/>
    <w:rPr>
      <w:rFonts w:eastAsiaTheme="minorEastAsia"/>
      <w:sz w:val="16"/>
      <w:szCs w:val="16"/>
    </w:rPr>
  </w:style>
  <w:style w:type="paragraph" w:styleId="Legenda">
    <w:name w:val="caption"/>
    <w:basedOn w:val="Normalny"/>
    <w:next w:val="Normalny"/>
    <w:uiPriority w:val="99"/>
    <w:semiHidden/>
    <w:qFormat/>
    <w:rsid w:val="002D2C99"/>
    <w:pPr>
      <w:spacing w:after="200"/>
    </w:pPr>
    <w:rPr>
      <w:b/>
      <w:bCs/>
      <w:color w:val="0072BC" w:themeColor="accent1"/>
      <w:sz w:val="18"/>
      <w:szCs w:val="18"/>
    </w:rPr>
  </w:style>
  <w:style w:type="paragraph" w:styleId="Zwrotpoegnalny">
    <w:name w:val="Closing"/>
    <w:basedOn w:val="Normalny"/>
    <w:link w:val="ZwrotpoegnalnyZnak"/>
    <w:uiPriority w:val="99"/>
    <w:semiHidden/>
    <w:rsid w:val="002D2C99"/>
    <w:pPr>
      <w:ind w:left="4252"/>
    </w:pPr>
  </w:style>
  <w:style w:type="character" w:customStyle="1" w:styleId="ZwrotpoegnalnyZnak">
    <w:name w:val="Zwrot pożegnalny Znak"/>
    <w:basedOn w:val="Domylnaczcionkaakapitu"/>
    <w:link w:val="Zwrotpoegnalny"/>
    <w:rsid w:val="002D2C99"/>
    <w:rPr>
      <w:rFonts w:eastAsiaTheme="minorEastAsia"/>
      <w:sz w:val="24"/>
    </w:rPr>
  </w:style>
  <w:style w:type="table" w:styleId="Kolorowasiatka">
    <w:name w:val="Colorful Grid"/>
    <w:basedOn w:val="Standardowy"/>
    <w:uiPriority w:val="99"/>
    <w:semiHidden/>
    <w:rsid w:val="002D2C9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2D2C9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2D2C9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2D2C9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2D2C9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2D2C9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2D2C9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2D2C99"/>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2D2C99"/>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2D2C99"/>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2D2C99"/>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2D2C99"/>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2D2C99"/>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2D2C99"/>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2D2C99"/>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2D2C99"/>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2D2C99"/>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2D2C99"/>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2D2C99"/>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2D2C99"/>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2D2C99"/>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2D2C99"/>
    <w:rPr>
      <w:sz w:val="16"/>
      <w:szCs w:val="16"/>
    </w:rPr>
  </w:style>
  <w:style w:type="paragraph" w:styleId="Tekstkomentarza">
    <w:name w:val="annotation text"/>
    <w:basedOn w:val="Normalny"/>
    <w:link w:val="TekstkomentarzaZnak"/>
    <w:semiHidden/>
    <w:rsid w:val="002D2C99"/>
    <w:rPr>
      <w:sz w:val="20"/>
      <w:szCs w:val="20"/>
    </w:rPr>
  </w:style>
  <w:style w:type="character" w:customStyle="1" w:styleId="TekstkomentarzaZnak">
    <w:name w:val="Tekst komentarza Znak"/>
    <w:basedOn w:val="Domylnaczcionkaakapitu"/>
    <w:link w:val="Tekstkomentarza"/>
    <w:semiHidden/>
    <w:rsid w:val="002D2C99"/>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2D2C99"/>
    <w:rPr>
      <w:b/>
      <w:bCs/>
    </w:rPr>
  </w:style>
  <w:style w:type="character" w:customStyle="1" w:styleId="TematkomentarzaZnak">
    <w:name w:val="Temat komentarza Znak"/>
    <w:basedOn w:val="TekstkomentarzaZnak"/>
    <w:link w:val="Tematkomentarza"/>
    <w:uiPriority w:val="99"/>
    <w:semiHidden/>
    <w:rsid w:val="002D2C99"/>
    <w:rPr>
      <w:rFonts w:eastAsiaTheme="minorEastAsia"/>
      <w:b/>
      <w:bCs/>
      <w:sz w:val="20"/>
      <w:szCs w:val="20"/>
    </w:rPr>
  </w:style>
  <w:style w:type="table" w:styleId="Ciemnalista">
    <w:name w:val="Dark List"/>
    <w:basedOn w:val="Standardowy"/>
    <w:uiPriority w:val="99"/>
    <w:semiHidden/>
    <w:rsid w:val="002D2C9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2D2C9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2D2C9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2D2C9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2D2C9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2D2C9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2D2C9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2D2C99"/>
  </w:style>
  <w:style w:type="character" w:customStyle="1" w:styleId="DataZnak">
    <w:name w:val="Data Znak"/>
    <w:basedOn w:val="Domylnaczcionkaakapitu"/>
    <w:link w:val="Data"/>
    <w:rsid w:val="002D2C99"/>
    <w:rPr>
      <w:rFonts w:eastAsiaTheme="minorEastAsia"/>
      <w:sz w:val="24"/>
    </w:rPr>
  </w:style>
  <w:style w:type="paragraph" w:styleId="Mapadokumentu">
    <w:name w:val="Document Map"/>
    <w:basedOn w:val="Normalny"/>
    <w:link w:val="MapadokumentuZnak"/>
    <w:uiPriority w:val="99"/>
    <w:semiHidden/>
    <w:rsid w:val="002D2C99"/>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2D2C99"/>
    <w:rPr>
      <w:rFonts w:ascii="Tahoma" w:eastAsiaTheme="minorEastAsia" w:hAnsi="Tahoma" w:cs="Tahoma"/>
      <w:sz w:val="16"/>
      <w:szCs w:val="16"/>
    </w:rPr>
  </w:style>
  <w:style w:type="paragraph" w:styleId="Podpise-mail">
    <w:name w:val="E-mail Signature"/>
    <w:basedOn w:val="Normalny"/>
    <w:link w:val="Podpise-mailZnak"/>
    <w:uiPriority w:val="99"/>
    <w:semiHidden/>
    <w:rsid w:val="002D2C99"/>
  </w:style>
  <w:style w:type="character" w:customStyle="1" w:styleId="Podpise-mailZnak">
    <w:name w:val="Podpis e-mail Znak"/>
    <w:basedOn w:val="Domylnaczcionkaakapitu"/>
    <w:link w:val="Podpise-mail"/>
    <w:rsid w:val="002D2C99"/>
    <w:rPr>
      <w:rFonts w:eastAsiaTheme="minorEastAsia"/>
      <w:sz w:val="24"/>
    </w:rPr>
  </w:style>
  <w:style w:type="character" w:styleId="Odwoanieprzypisukocowego">
    <w:name w:val="endnote reference"/>
    <w:basedOn w:val="Domylnaczcionkaakapitu"/>
    <w:uiPriority w:val="99"/>
    <w:semiHidden/>
    <w:rsid w:val="002D2C99"/>
    <w:rPr>
      <w:vertAlign w:val="superscript"/>
    </w:rPr>
  </w:style>
  <w:style w:type="paragraph" w:styleId="Tekstprzypisukocowego">
    <w:name w:val="endnote text"/>
    <w:basedOn w:val="Normalny"/>
    <w:link w:val="TekstprzypisukocowegoZnak"/>
    <w:uiPriority w:val="99"/>
    <w:semiHidden/>
    <w:rsid w:val="002D2C99"/>
    <w:rPr>
      <w:sz w:val="20"/>
      <w:szCs w:val="20"/>
    </w:rPr>
  </w:style>
  <w:style w:type="character" w:customStyle="1" w:styleId="TekstprzypisukocowegoZnak">
    <w:name w:val="Tekst przypisu końcowego Znak"/>
    <w:basedOn w:val="Domylnaczcionkaakapitu"/>
    <w:link w:val="Tekstprzypisukocowego"/>
    <w:uiPriority w:val="99"/>
    <w:semiHidden/>
    <w:rsid w:val="002D2C99"/>
    <w:rPr>
      <w:rFonts w:eastAsiaTheme="minorEastAsia"/>
      <w:sz w:val="20"/>
      <w:szCs w:val="20"/>
    </w:rPr>
  </w:style>
  <w:style w:type="paragraph" w:styleId="Adresnakopercie">
    <w:name w:val="envelope address"/>
    <w:basedOn w:val="Normalny"/>
    <w:uiPriority w:val="99"/>
    <w:semiHidden/>
    <w:rsid w:val="002D2C99"/>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2D2C99"/>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2D2C99"/>
    <w:rPr>
      <w:color w:val="7030A0" w:themeColor="followedHyperlink"/>
      <w:u w:val="single"/>
    </w:rPr>
  </w:style>
  <w:style w:type="character" w:styleId="HTML-akronim">
    <w:name w:val="HTML Acronym"/>
    <w:basedOn w:val="Domylnaczcionkaakapitu"/>
    <w:uiPriority w:val="99"/>
    <w:semiHidden/>
    <w:rsid w:val="002D2C99"/>
  </w:style>
  <w:style w:type="paragraph" w:styleId="HTML-adres">
    <w:name w:val="HTML Address"/>
    <w:basedOn w:val="Normalny"/>
    <w:link w:val="HTML-adresZnak"/>
    <w:uiPriority w:val="99"/>
    <w:semiHidden/>
    <w:rsid w:val="002D2C99"/>
    <w:rPr>
      <w:i/>
      <w:iCs/>
    </w:rPr>
  </w:style>
  <w:style w:type="character" w:customStyle="1" w:styleId="HTML-adresZnak">
    <w:name w:val="HTML - adres Znak"/>
    <w:basedOn w:val="Domylnaczcionkaakapitu"/>
    <w:link w:val="HTML-adres"/>
    <w:rsid w:val="002D2C99"/>
    <w:rPr>
      <w:rFonts w:eastAsiaTheme="minorEastAsia"/>
      <w:i/>
      <w:iCs/>
      <w:sz w:val="24"/>
    </w:rPr>
  </w:style>
  <w:style w:type="character" w:styleId="HTML-cytat">
    <w:name w:val="HTML Cite"/>
    <w:basedOn w:val="Domylnaczcionkaakapitu"/>
    <w:uiPriority w:val="99"/>
    <w:semiHidden/>
    <w:rsid w:val="002D2C99"/>
    <w:rPr>
      <w:i/>
      <w:iCs/>
    </w:rPr>
  </w:style>
  <w:style w:type="character" w:styleId="HTML-kod">
    <w:name w:val="HTML Code"/>
    <w:basedOn w:val="Domylnaczcionkaakapitu"/>
    <w:uiPriority w:val="99"/>
    <w:semiHidden/>
    <w:rsid w:val="002D2C99"/>
    <w:rPr>
      <w:rFonts w:ascii="Consolas" w:hAnsi="Consolas" w:cs="Consolas"/>
      <w:sz w:val="20"/>
      <w:szCs w:val="20"/>
    </w:rPr>
  </w:style>
  <w:style w:type="character" w:styleId="HTML-definicja">
    <w:name w:val="HTML Definition"/>
    <w:basedOn w:val="Domylnaczcionkaakapitu"/>
    <w:uiPriority w:val="99"/>
    <w:semiHidden/>
    <w:rsid w:val="002D2C99"/>
    <w:rPr>
      <w:i/>
      <w:iCs/>
    </w:rPr>
  </w:style>
  <w:style w:type="character" w:styleId="HTML-klawiatura">
    <w:name w:val="HTML Keyboard"/>
    <w:basedOn w:val="Domylnaczcionkaakapitu"/>
    <w:uiPriority w:val="99"/>
    <w:semiHidden/>
    <w:rsid w:val="002D2C99"/>
    <w:rPr>
      <w:rFonts w:ascii="Consolas" w:hAnsi="Consolas" w:cs="Consolas"/>
      <w:sz w:val="20"/>
      <w:szCs w:val="20"/>
    </w:rPr>
  </w:style>
  <w:style w:type="paragraph" w:styleId="HTML-wstpniesformatowany">
    <w:name w:val="HTML Preformatted"/>
    <w:basedOn w:val="Normalny"/>
    <w:link w:val="HTML-wstpniesformatowanyZnak"/>
    <w:uiPriority w:val="99"/>
    <w:semiHidden/>
    <w:rsid w:val="002D2C99"/>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2D2C99"/>
    <w:rPr>
      <w:rFonts w:ascii="Consolas" w:eastAsiaTheme="minorEastAsia" w:hAnsi="Consolas" w:cs="Consolas"/>
      <w:sz w:val="20"/>
      <w:szCs w:val="20"/>
    </w:rPr>
  </w:style>
  <w:style w:type="character" w:styleId="HTML-przykad">
    <w:name w:val="HTML Sample"/>
    <w:basedOn w:val="Domylnaczcionkaakapitu"/>
    <w:uiPriority w:val="99"/>
    <w:semiHidden/>
    <w:rsid w:val="002D2C99"/>
    <w:rPr>
      <w:rFonts w:ascii="Consolas" w:hAnsi="Consolas" w:cs="Consolas"/>
      <w:sz w:val="24"/>
      <w:szCs w:val="24"/>
    </w:rPr>
  </w:style>
  <w:style w:type="character" w:styleId="HTML-staaszeroko">
    <w:name w:val="HTML Typewriter"/>
    <w:basedOn w:val="Domylnaczcionkaakapitu"/>
    <w:uiPriority w:val="99"/>
    <w:semiHidden/>
    <w:rsid w:val="002D2C99"/>
    <w:rPr>
      <w:rFonts w:ascii="Consolas" w:hAnsi="Consolas" w:cs="Consolas"/>
      <w:sz w:val="20"/>
      <w:szCs w:val="20"/>
    </w:rPr>
  </w:style>
  <w:style w:type="character" w:styleId="HTML-zmienna">
    <w:name w:val="HTML Variable"/>
    <w:basedOn w:val="Domylnaczcionkaakapitu"/>
    <w:uiPriority w:val="99"/>
    <w:semiHidden/>
    <w:rsid w:val="002D2C99"/>
    <w:rPr>
      <w:i/>
      <w:iCs/>
    </w:rPr>
  </w:style>
  <w:style w:type="paragraph" w:styleId="Indeks1">
    <w:name w:val="index 1"/>
    <w:basedOn w:val="Normalny"/>
    <w:next w:val="Normalny"/>
    <w:autoRedefine/>
    <w:uiPriority w:val="99"/>
    <w:semiHidden/>
    <w:rsid w:val="002D2C99"/>
    <w:pPr>
      <w:ind w:left="240" w:hanging="240"/>
    </w:pPr>
  </w:style>
  <w:style w:type="paragraph" w:styleId="Indeks2">
    <w:name w:val="index 2"/>
    <w:basedOn w:val="Normalny"/>
    <w:next w:val="Normalny"/>
    <w:autoRedefine/>
    <w:uiPriority w:val="99"/>
    <w:semiHidden/>
    <w:rsid w:val="002D2C99"/>
    <w:pPr>
      <w:ind w:left="480" w:hanging="240"/>
    </w:pPr>
  </w:style>
  <w:style w:type="paragraph" w:styleId="Indeks3">
    <w:name w:val="index 3"/>
    <w:basedOn w:val="Normalny"/>
    <w:next w:val="Normalny"/>
    <w:autoRedefine/>
    <w:uiPriority w:val="99"/>
    <w:semiHidden/>
    <w:rsid w:val="002D2C99"/>
    <w:pPr>
      <w:ind w:left="720" w:hanging="240"/>
    </w:pPr>
  </w:style>
  <w:style w:type="paragraph" w:styleId="Indeks4">
    <w:name w:val="index 4"/>
    <w:basedOn w:val="Normalny"/>
    <w:next w:val="Normalny"/>
    <w:autoRedefine/>
    <w:uiPriority w:val="99"/>
    <w:semiHidden/>
    <w:rsid w:val="002D2C99"/>
    <w:pPr>
      <w:ind w:left="960" w:hanging="240"/>
    </w:pPr>
  </w:style>
  <w:style w:type="paragraph" w:styleId="Indeks5">
    <w:name w:val="index 5"/>
    <w:basedOn w:val="Normalny"/>
    <w:next w:val="Normalny"/>
    <w:autoRedefine/>
    <w:uiPriority w:val="99"/>
    <w:semiHidden/>
    <w:rsid w:val="002D2C99"/>
    <w:pPr>
      <w:ind w:left="1200" w:hanging="240"/>
    </w:pPr>
  </w:style>
  <w:style w:type="paragraph" w:styleId="Indeks6">
    <w:name w:val="index 6"/>
    <w:basedOn w:val="Normalny"/>
    <w:next w:val="Normalny"/>
    <w:autoRedefine/>
    <w:uiPriority w:val="99"/>
    <w:semiHidden/>
    <w:rsid w:val="002D2C99"/>
    <w:pPr>
      <w:ind w:left="1440" w:hanging="240"/>
    </w:pPr>
  </w:style>
  <w:style w:type="paragraph" w:styleId="Indeks7">
    <w:name w:val="index 7"/>
    <w:basedOn w:val="Normalny"/>
    <w:next w:val="Normalny"/>
    <w:autoRedefine/>
    <w:uiPriority w:val="99"/>
    <w:semiHidden/>
    <w:rsid w:val="002D2C99"/>
    <w:pPr>
      <w:ind w:left="1680" w:hanging="240"/>
    </w:pPr>
  </w:style>
  <w:style w:type="paragraph" w:styleId="Indeks8">
    <w:name w:val="index 8"/>
    <w:basedOn w:val="Normalny"/>
    <w:next w:val="Normalny"/>
    <w:autoRedefine/>
    <w:uiPriority w:val="99"/>
    <w:semiHidden/>
    <w:rsid w:val="002D2C99"/>
    <w:pPr>
      <w:ind w:left="1920" w:hanging="240"/>
    </w:pPr>
  </w:style>
  <w:style w:type="paragraph" w:styleId="Indeks9">
    <w:name w:val="index 9"/>
    <w:basedOn w:val="Normalny"/>
    <w:next w:val="Normalny"/>
    <w:autoRedefine/>
    <w:uiPriority w:val="99"/>
    <w:semiHidden/>
    <w:rsid w:val="002D2C99"/>
    <w:pPr>
      <w:ind w:left="2160" w:hanging="240"/>
    </w:pPr>
  </w:style>
  <w:style w:type="paragraph" w:styleId="Nagwekindeksu">
    <w:name w:val="index heading"/>
    <w:basedOn w:val="Normalny"/>
    <w:next w:val="Indeks1"/>
    <w:uiPriority w:val="99"/>
    <w:semiHidden/>
    <w:rsid w:val="002D2C99"/>
    <w:rPr>
      <w:rFonts w:asciiTheme="majorHAnsi" w:eastAsiaTheme="majorEastAsia" w:hAnsiTheme="majorHAnsi" w:cstheme="majorBidi"/>
      <w:b/>
      <w:bCs/>
    </w:rPr>
  </w:style>
  <w:style w:type="table" w:styleId="Jasnasiatka">
    <w:name w:val="Light Grid"/>
    <w:basedOn w:val="Standardowy"/>
    <w:uiPriority w:val="99"/>
    <w:semiHidden/>
    <w:rsid w:val="002D2C99"/>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2D2C99"/>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2D2C99"/>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2D2C99"/>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2D2C99"/>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2D2C99"/>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2D2C99"/>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2D2C99"/>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2D2C99"/>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2D2C99"/>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2D2C99"/>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2D2C99"/>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2D2C99"/>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2D2C99"/>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2D2C99"/>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2D2C99"/>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2D2C99"/>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2D2C99"/>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2D2C99"/>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2D2C99"/>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2D2C99"/>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2D2C99"/>
  </w:style>
  <w:style w:type="paragraph" w:styleId="Lista">
    <w:name w:val="List"/>
    <w:basedOn w:val="Normalny"/>
    <w:uiPriority w:val="99"/>
    <w:semiHidden/>
    <w:rsid w:val="002D2C99"/>
    <w:pPr>
      <w:ind w:left="283" w:hanging="283"/>
      <w:contextualSpacing/>
    </w:pPr>
  </w:style>
  <w:style w:type="paragraph" w:styleId="Lista2">
    <w:name w:val="List 2"/>
    <w:basedOn w:val="Normalny"/>
    <w:uiPriority w:val="99"/>
    <w:semiHidden/>
    <w:rsid w:val="002D2C99"/>
    <w:pPr>
      <w:ind w:left="566" w:hanging="283"/>
      <w:contextualSpacing/>
    </w:pPr>
  </w:style>
  <w:style w:type="paragraph" w:styleId="Lista3">
    <w:name w:val="List 3"/>
    <w:basedOn w:val="Normalny"/>
    <w:uiPriority w:val="99"/>
    <w:semiHidden/>
    <w:rsid w:val="002D2C99"/>
    <w:pPr>
      <w:ind w:left="849" w:hanging="283"/>
      <w:contextualSpacing/>
    </w:pPr>
  </w:style>
  <w:style w:type="paragraph" w:styleId="Lista4">
    <w:name w:val="List 4"/>
    <w:basedOn w:val="Normalny"/>
    <w:uiPriority w:val="99"/>
    <w:semiHidden/>
    <w:rsid w:val="002D2C99"/>
    <w:pPr>
      <w:ind w:left="1132" w:hanging="283"/>
      <w:contextualSpacing/>
    </w:pPr>
  </w:style>
  <w:style w:type="paragraph" w:styleId="Lista5">
    <w:name w:val="List 5"/>
    <w:basedOn w:val="Normalny"/>
    <w:uiPriority w:val="99"/>
    <w:semiHidden/>
    <w:rsid w:val="002D2C99"/>
    <w:pPr>
      <w:ind w:left="1415" w:hanging="283"/>
      <w:contextualSpacing/>
    </w:pPr>
  </w:style>
  <w:style w:type="paragraph" w:styleId="Listapunktowana">
    <w:name w:val="List Bullet"/>
    <w:basedOn w:val="Normalny"/>
    <w:uiPriority w:val="99"/>
    <w:semiHidden/>
    <w:rsid w:val="002D2C99"/>
    <w:pPr>
      <w:numPr>
        <w:numId w:val="12"/>
      </w:numPr>
      <w:contextualSpacing/>
    </w:pPr>
  </w:style>
  <w:style w:type="paragraph" w:styleId="Listapunktowana3">
    <w:name w:val="List Bullet 3"/>
    <w:basedOn w:val="Normalny"/>
    <w:uiPriority w:val="99"/>
    <w:semiHidden/>
    <w:rsid w:val="002D2C99"/>
    <w:pPr>
      <w:numPr>
        <w:numId w:val="13"/>
      </w:numPr>
      <w:contextualSpacing/>
    </w:pPr>
  </w:style>
  <w:style w:type="paragraph" w:styleId="Listapunktowana4">
    <w:name w:val="List Bullet 4"/>
    <w:basedOn w:val="Normalny"/>
    <w:uiPriority w:val="99"/>
    <w:semiHidden/>
    <w:rsid w:val="002D2C99"/>
    <w:pPr>
      <w:numPr>
        <w:numId w:val="14"/>
      </w:numPr>
      <w:contextualSpacing/>
    </w:pPr>
  </w:style>
  <w:style w:type="paragraph" w:styleId="Listapunktowana5">
    <w:name w:val="List Bullet 5"/>
    <w:basedOn w:val="Normalny"/>
    <w:uiPriority w:val="99"/>
    <w:semiHidden/>
    <w:rsid w:val="002D2C99"/>
    <w:pPr>
      <w:numPr>
        <w:numId w:val="15"/>
      </w:numPr>
      <w:contextualSpacing/>
    </w:pPr>
  </w:style>
  <w:style w:type="paragraph" w:styleId="Lista-kontynuacja">
    <w:name w:val="List Continue"/>
    <w:basedOn w:val="Normalny"/>
    <w:uiPriority w:val="99"/>
    <w:semiHidden/>
    <w:rsid w:val="002D2C99"/>
    <w:pPr>
      <w:spacing w:after="120"/>
      <w:ind w:left="283"/>
      <w:contextualSpacing/>
    </w:pPr>
  </w:style>
  <w:style w:type="paragraph" w:styleId="Lista-kontynuacja2">
    <w:name w:val="List Continue 2"/>
    <w:basedOn w:val="Normalny"/>
    <w:uiPriority w:val="99"/>
    <w:semiHidden/>
    <w:rsid w:val="002D2C99"/>
    <w:pPr>
      <w:spacing w:after="120"/>
      <w:ind w:left="566"/>
      <w:contextualSpacing/>
    </w:pPr>
  </w:style>
  <w:style w:type="paragraph" w:styleId="Lista-kontynuacja3">
    <w:name w:val="List Continue 3"/>
    <w:basedOn w:val="Normalny"/>
    <w:uiPriority w:val="99"/>
    <w:semiHidden/>
    <w:rsid w:val="002D2C99"/>
    <w:pPr>
      <w:spacing w:after="120"/>
      <w:ind w:left="849"/>
      <w:contextualSpacing/>
    </w:pPr>
  </w:style>
  <w:style w:type="paragraph" w:styleId="Lista-kontynuacja4">
    <w:name w:val="List Continue 4"/>
    <w:basedOn w:val="Normalny"/>
    <w:uiPriority w:val="99"/>
    <w:semiHidden/>
    <w:rsid w:val="002D2C99"/>
    <w:pPr>
      <w:spacing w:after="120"/>
      <w:ind w:left="1132"/>
      <w:contextualSpacing/>
    </w:pPr>
  </w:style>
  <w:style w:type="paragraph" w:styleId="Lista-kontynuacja5">
    <w:name w:val="List Continue 5"/>
    <w:basedOn w:val="Normalny"/>
    <w:uiPriority w:val="99"/>
    <w:semiHidden/>
    <w:rsid w:val="002D2C99"/>
    <w:pPr>
      <w:spacing w:after="120"/>
      <w:ind w:left="1415"/>
      <w:contextualSpacing/>
    </w:pPr>
  </w:style>
  <w:style w:type="paragraph" w:styleId="Listanumerowana">
    <w:name w:val="List Number"/>
    <w:basedOn w:val="Normalny"/>
    <w:uiPriority w:val="99"/>
    <w:semiHidden/>
    <w:rsid w:val="002D2C99"/>
    <w:pPr>
      <w:numPr>
        <w:numId w:val="16"/>
      </w:numPr>
      <w:contextualSpacing/>
    </w:pPr>
  </w:style>
  <w:style w:type="paragraph" w:styleId="Listanumerowana2">
    <w:name w:val="List Number 2"/>
    <w:basedOn w:val="Normalny"/>
    <w:uiPriority w:val="99"/>
    <w:semiHidden/>
    <w:rsid w:val="002D2C99"/>
    <w:pPr>
      <w:numPr>
        <w:numId w:val="17"/>
      </w:numPr>
      <w:contextualSpacing/>
    </w:pPr>
  </w:style>
  <w:style w:type="paragraph" w:styleId="Listanumerowana3">
    <w:name w:val="List Number 3"/>
    <w:basedOn w:val="Normalny"/>
    <w:uiPriority w:val="99"/>
    <w:semiHidden/>
    <w:rsid w:val="002D2C99"/>
    <w:pPr>
      <w:numPr>
        <w:numId w:val="18"/>
      </w:numPr>
      <w:contextualSpacing/>
    </w:pPr>
  </w:style>
  <w:style w:type="paragraph" w:styleId="Listanumerowana4">
    <w:name w:val="List Number 4"/>
    <w:basedOn w:val="Normalny"/>
    <w:uiPriority w:val="99"/>
    <w:semiHidden/>
    <w:rsid w:val="002D2C99"/>
    <w:pPr>
      <w:numPr>
        <w:numId w:val="19"/>
      </w:numPr>
      <w:contextualSpacing/>
    </w:pPr>
  </w:style>
  <w:style w:type="paragraph" w:styleId="Listanumerowana5">
    <w:name w:val="List Number 5"/>
    <w:basedOn w:val="Normalny"/>
    <w:uiPriority w:val="99"/>
    <w:semiHidden/>
    <w:rsid w:val="002D2C99"/>
    <w:pPr>
      <w:numPr>
        <w:numId w:val="20"/>
      </w:numPr>
      <w:contextualSpacing/>
    </w:pPr>
  </w:style>
  <w:style w:type="paragraph" w:styleId="Tekstmakra">
    <w:name w:val="macro"/>
    <w:link w:val="TekstmakraZnak"/>
    <w:uiPriority w:val="99"/>
    <w:semiHidden/>
    <w:rsid w:val="002D2C9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rsid w:val="002D2C99"/>
    <w:rPr>
      <w:rFonts w:ascii="Consolas" w:eastAsiaTheme="minorEastAsia" w:hAnsi="Consolas" w:cs="Consolas"/>
      <w:sz w:val="20"/>
      <w:szCs w:val="20"/>
    </w:rPr>
  </w:style>
  <w:style w:type="table" w:styleId="redniasiatka1">
    <w:name w:val="Medium Grid 1"/>
    <w:basedOn w:val="Standardowy"/>
    <w:uiPriority w:val="99"/>
    <w:semiHidden/>
    <w:rsid w:val="002D2C99"/>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2D2C99"/>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2D2C99"/>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2D2C99"/>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2D2C99"/>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2D2C99"/>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2D2C99"/>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2D2C9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2D2C9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2D2C9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2D2C9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2D2C9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2D2C9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2D2C9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2D2C99"/>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2D2C99"/>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2D2C99"/>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2D2C99"/>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2D2C99"/>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2D2C99"/>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2D2C99"/>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2D2C99"/>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2D2C99"/>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2D2C99"/>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2D2C99"/>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2D2C99"/>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2D2C99"/>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2D2C99"/>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2D2C9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2D2C9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2D2C9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2D2C9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2D2C9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2D2C9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2D2C9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2D2C9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2D2C99"/>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2D2C99"/>
    <w:rPr>
      <w:rFonts w:ascii="Times New Roman" w:hAnsi="Times New Roman" w:cs="Times New Roman"/>
      <w:szCs w:val="24"/>
    </w:rPr>
  </w:style>
  <w:style w:type="paragraph" w:styleId="Wcicienormalne">
    <w:name w:val="Normal Indent"/>
    <w:basedOn w:val="Normalny"/>
    <w:uiPriority w:val="99"/>
    <w:semiHidden/>
    <w:rsid w:val="002D2C99"/>
    <w:pPr>
      <w:ind w:left="720"/>
    </w:pPr>
  </w:style>
  <w:style w:type="paragraph" w:styleId="Nagweknotatki">
    <w:name w:val="Note Heading"/>
    <w:basedOn w:val="Normalny"/>
    <w:next w:val="Normalny"/>
    <w:link w:val="NagweknotatkiZnak"/>
    <w:uiPriority w:val="99"/>
    <w:semiHidden/>
    <w:rsid w:val="002D2C99"/>
  </w:style>
  <w:style w:type="character" w:customStyle="1" w:styleId="NagweknotatkiZnak">
    <w:name w:val="Nagłówek notatki Znak"/>
    <w:basedOn w:val="Domylnaczcionkaakapitu"/>
    <w:link w:val="Nagweknotatki"/>
    <w:rsid w:val="002D2C99"/>
    <w:rPr>
      <w:rFonts w:eastAsiaTheme="minorEastAsia"/>
      <w:sz w:val="24"/>
    </w:rPr>
  </w:style>
  <w:style w:type="character" w:styleId="Tekstzastpczy">
    <w:name w:val="Placeholder Text"/>
    <w:basedOn w:val="Domylnaczcionkaakapitu"/>
    <w:uiPriority w:val="99"/>
    <w:semiHidden/>
    <w:rsid w:val="002D2C99"/>
    <w:rPr>
      <w:color w:val="808080"/>
    </w:rPr>
  </w:style>
  <w:style w:type="paragraph" w:styleId="Zwykytekst">
    <w:name w:val="Plain Text"/>
    <w:basedOn w:val="Normalny"/>
    <w:link w:val="ZwykytekstZnak"/>
    <w:uiPriority w:val="99"/>
    <w:semiHidden/>
    <w:rsid w:val="002D2C99"/>
    <w:rPr>
      <w:rFonts w:ascii="Consolas" w:hAnsi="Consolas" w:cs="Consolas"/>
      <w:sz w:val="21"/>
      <w:szCs w:val="21"/>
    </w:rPr>
  </w:style>
  <w:style w:type="character" w:customStyle="1" w:styleId="ZwykytekstZnak">
    <w:name w:val="Zwykły tekst Znak"/>
    <w:basedOn w:val="Domylnaczcionkaakapitu"/>
    <w:link w:val="Zwykytekst"/>
    <w:rsid w:val="002D2C99"/>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2D2C99"/>
  </w:style>
  <w:style w:type="character" w:customStyle="1" w:styleId="ZwrotgrzecznociowyZnak">
    <w:name w:val="Zwrot grzecznościowy Znak"/>
    <w:basedOn w:val="Domylnaczcionkaakapitu"/>
    <w:link w:val="Zwrotgrzecznociowy"/>
    <w:rsid w:val="002D2C99"/>
    <w:rPr>
      <w:rFonts w:eastAsiaTheme="minorEastAsia"/>
      <w:sz w:val="24"/>
    </w:rPr>
  </w:style>
  <w:style w:type="paragraph" w:styleId="Podpis">
    <w:name w:val="Signature"/>
    <w:basedOn w:val="Normalny"/>
    <w:link w:val="PodpisZnak"/>
    <w:uiPriority w:val="99"/>
    <w:semiHidden/>
    <w:rsid w:val="002D2C99"/>
    <w:pPr>
      <w:ind w:left="4252"/>
    </w:pPr>
  </w:style>
  <w:style w:type="character" w:customStyle="1" w:styleId="PodpisZnak">
    <w:name w:val="Podpis Znak"/>
    <w:basedOn w:val="Domylnaczcionkaakapitu"/>
    <w:link w:val="Podpis"/>
    <w:rsid w:val="002D2C99"/>
    <w:rPr>
      <w:rFonts w:eastAsiaTheme="minorEastAsia"/>
      <w:sz w:val="24"/>
    </w:rPr>
  </w:style>
  <w:style w:type="table" w:styleId="Tabela-Efekty3W1">
    <w:name w:val="Table 3D effects 1"/>
    <w:basedOn w:val="Standardowy"/>
    <w:uiPriority w:val="99"/>
    <w:semiHidden/>
    <w:unhideWhenUsed/>
    <w:rsid w:val="002D2C99"/>
    <w:pPr>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2D2C99"/>
    <w:pPr>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2D2C99"/>
    <w:pPr>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D2C99"/>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D2C99"/>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D2C99"/>
    <w:pPr>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D2C99"/>
    <w:pPr>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D2C99"/>
    <w:pPr>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D2C99"/>
    <w:pPr>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D2C99"/>
    <w:pPr>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D2C99"/>
    <w:pPr>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D2C99"/>
    <w:pPr>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D2C99"/>
    <w:pPr>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D2C99"/>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D2C99"/>
    <w:pPr>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D2C99"/>
    <w:pPr>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D2C99"/>
    <w:pPr>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D2C99"/>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D2C99"/>
    <w:pPr>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D2C99"/>
    <w:pPr>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D2C99"/>
    <w:pPr>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D2C99"/>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D2C99"/>
    <w:pPr>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D2C99"/>
    <w:pPr>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D2C99"/>
    <w:pPr>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D2C99"/>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D2C99"/>
    <w:pPr>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D2C99"/>
    <w:pPr>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D2C99"/>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D2C99"/>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D2C99"/>
    <w:pPr>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D2C99"/>
    <w:pPr>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D2C99"/>
    <w:pPr>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2D2C99"/>
    <w:pPr>
      <w:ind w:left="240" w:hanging="240"/>
    </w:pPr>
  </w:style>
  <w:style w:type="paragraph" w:styleId="Spisilustracji">
    <w:name w:val="table of figures"/>
    <w:basedOn w:val="Normalny"/>
    <w:next w:val="Normalny"/>
    <w:uiPriority w:val="99"/>
    <w:semiHidden/>
    <w:rsid w:val="002D2C99"/>
  </w:style>
  <w:style w:type="table" w:styleId="Tabela-Profesjonalny">
    <w:name w:val="Table Professional"/>
    <w:basedOn w:val="Standardowy"/>
    <w:uiPriority w:val="99"/>
    <w:semiHidden/>
    <w:unhideWhenUsed/>
    <w:rsid w:val="002D2C99"/>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D2C99"/>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D2C99"/>
    <w:pPr>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D2C99"/>
    <w:pPr>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D2C99"/>
    <w:pPr>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D2C99"/>
    <w:pPr>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D2C99"/>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unhideWhenUsed/>
    <w:rsid w:val="002D2C99"/>
    <w:pPr>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D2C99"/>
    <w:pPr>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D2C99"/>
    <w:pPr>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2D2C99"/>
    <w:pPr>
      <w:spacing w:after="100"/>
      <w:ind w:left="1200"/>
    </w:pPr>
  </w:style>
  <w:style w:type="paragraph" w:styleId="Spistreci7">
    <w:name w:val="toc 7"/>
    <w:basedOn w:val="Normalny"/>
    <w:next w:val="Normalny"/>
    <w:autoRedefine/>
    <w:uiPriority w:val="99"/>
    <w:semiHidden/>
    <w:rsid w:val="002D2C99"/>
    <w:pPr>
      <w:spacing w:after="100"/>
      <w:ind w:left="1440"/>
    </w:pPr>
  </w:style>
  <w:style w:type="paragraph" w:styleId="Spistreci8">
    <w:name w:val="toc 8"/>
    <w:basedOn w:val="Normalny"/>
    <w:next w:val="Normalny"/>
    <w:autoRedefine/>
    <w:uiPriority w:val="99"/>
    <w:semiHidden/>
    <w:rsid w:val="002D2C99"/>
    <w:pPr>
      <w:spacing w:after="100"/>
      <w:ind w:left="1680"/>
    </w:pPr>
  </w:style>
  <w:style w:type="paragraph" w:styleId="Spistreci9">
    <w:name w:val="toc 9"/>
    <w:basedOn w:val="Normalny"/>
    <w:next w:val="Normalny"/>
    <w:autoRedefine/>
    <w:uiPriority w:val="99"/>
    <w:semiHidden/>
    <w:rsid w:val="002D2C99"/>
    <w:pPr>
      <w:spacing w:after="100"/>
      <w:ind w:left="1920"/>
    </w:pPr>
  </w:style>
  <w:style w:type="character" w:customStyle="1" w:styleId="JuParaCar">
    <w:name w:val="Ju_Para Car"/>
    <w:link w:val="ECHRPara"/>
    <w:uiPriority w:val="12"/>
    <w:rsid w:val="00BC0135"/>
    <w:rPr>
      <w:rFonts w:eastAsiaTheme="minorEastAsia"/>
      <w:sz w:val="24"/>
    </w:rPr>
  </w:style>
  <w:style w:type="character" w:customStyle="1" w:styleId="JuHIRomanChar">
    <w:name w:val="Ju_H_I_Roman Char"/>
    <w:link w:val="ECHRHeading1"/>
    <w:rsid w:val="00BC0135"/>
    <w:rPr>
      <w:rFonts w:asciiTheme="majorHAnsi" w:eastAsiaTheme="majorEastAsia" w:hAnsiTheme="majorHAnsi" w:cstheme="majorBidi"/>
      <w:bCs/>
      <w:sz w:val="24"/>
      <w:szCs w:val="28"/>
    </w:rPr>
  </w:style>
  <w:style w:type="character" w:customStyle="1" w:styleId="JuJudgesChar">
    <w:name w:val="Ju_Judges Char"/>
    <w:link w:val="ECHRDecisionBody"/>
    <w:uiPriority w:val="11"/>
    <w:rsid w:val="00BC0135"/>
    <w:rPr>
      <w:rFonts w:eastAsiaTheme="minorEastAsia"/>
      <w:sz w:val="24"/>
    </w:rPr>
  </w:style>
  <w:style w:type="character" w:customStyle="1" w:styleId="JuNames0">
    <w:name w:val="Ju_Names"/>
    <w:rsid w:val="00BC0135"/>
    <w:rPr>
      <w:rFonts w:ascii="Times New Roman" w:hAnsi="Times New Roman" w:cs="Times New Roman"/>
      <w:smallCaps/>
    </w:rPr>
  </w:style>
  <w:style w:type="paragraph" w:customStyle="1" w:styleId="ECHRFooter">
    <w:name w:val="ECHR_Footer"/>
    <w:aliases w:val="Footer_ECHR"/>
    <w:basedOn w:val="Stopka"/>
    <w:uiPriority w:val="57"/>
    <w:semiHidden/>
    <w:rsid w:val="00BC0135"/>
    <w:pPr>
      <w:jc w:val="left"/>
    </w:pPr>
    <w:rPr>
      <w:rFonts w:eastAsiaTheme="minorHAnsi"/>
      <w:sz w:val="8"/>
    </w:rPr>
  </w:style>
  <w:style w:type="paragraph" w:customStyle="1" w:styleId="ECHRFooterLine">
    <w:name w:val="ECHR_Footer_Line"/>
    <w:aliases w:val="Footer_Line"/>
    <w:basedOn w:val="Normalny"/>
    <w:next w:val="ECHRFooter"/>
    <w:uiPriority w:val="57"/>
    <w:semiHidden/>
    <w:rsid w:val="00BC0135"/>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semiHidden/>
    <w:rsid w:val="00BC0135"/>
    <w:pPr>
      <w:numPr>
        <w:numId w:val="21"/>
      </w:numPr>
      <w:jc w:val="left"/>
    </w:pPr>
    <w:rPr>
      <w:b/>
    </w:rPr>
  </w:style>
  <w:style w:type="paragraph" w:customStyle="1" w:styleId="ECHRTitleCentre2">
    <w:name w:val="ECHR_Title_Centre_2"/>
    <w:aliases w:val="Dec_H_Case"/>
    <w:basedOn w:val="Normalny"/>
    <w:next w:val="ECHRPara"/>
    <w:uiPriority w:val="8"/>
    <w:semiHidden/>
    <w:rsid w:val="00BC0135"/>
    <w:pPr>
      <w:spacing w:after="240"/>
      <w:jc w:val="center"/>
      <w:outlineLvl w:val="0"/>
    </w:pPr>
    <w:rPr>
      <w:rFonts w:asciiTheme="majorHAnsi" w:hAnsiTheme="majorHAnsi"/>
      <w:i/>
    </w:rPr>
  </w:style>
  <w:style w:type="paragraph" w:customStyle="1" w:styleId="JuTitle">
    <w:name w:val="Ju_Title"/>
    <w:basedOn w:val="Normalny"/>
    <w:next w:val="ECHRPara"/>
    <w:uiPriority w:val="3"/>
    <w:semiHidden/>
    <w:rsid w:val="00BC0135"/>
    <w:pPr>
      <w:spacing w:before="720" w:after="240"/>
      <w:jc w:val="center"/>
      <w:outlineLvl w:val="0"/>
    </w:pPr>
    <w:rPr>
      <w:rFonts w:asciiTheme="majorHAnsi" w:hAnsiTheme="majorHAnsi"/>
      <w:b/>
      <w:caps/>
    </w:rPr>
  </w:style>
  <w:style w:type="paragraph" w:customStyle="1" w:styleId="DecHTitle">
    <w:name w:val="Dec_H_Title"/>
    <w:basedOn w:val="ECHRTitleCentre1"/>
    <w:uiPriority w:val="7"/>
    <w:semiHidden/>
    <w:rsid w:val="00BC0135"/>
    <w:rPr>
      <w:lang w:val="fr-FR" w:eastAsia="fr-FR"/>
    </w:rPr>
  </w:style>
  <w:style w:type="paragraph" w:customStyle="1" w:styleId="DecList">
    <w:name w:val="Dec_List"/>
    <w:basedOn w:val="Normalny"/>
    <w:rsid w:val="00BC0135"/>
    <w:pPr>
      <w:spacing w:before="240"/>
      <w:ind w:left="284"/>
    </w:pPr>
  </w:style>
  <w:style w:type="numbering" w:customStyle="1" w:styleId="1111111">
    <w:name w:val="1 / 1.1 / 1.1.11"/>
    <w:basedOn w:val="Bezlisty"/>
    <w:next w:val="111111"/>
    <w:uiPriority w:val="99"/>
    <w:semiHidden/>
    <w:rsid w:val="00BC0135"/>
    <w:pPr>
      <w:numPr>
        <w:numId w:val="22"/>
      </w:numPr>
    </w:pPr>
  </w:style>
  <w:style w:type="numbering" w:customStyle="1" w:styleId="1ai1">
    <w:name w:val="1 / a / i1"/>
    <w:basedOn w:val="Bezlisty"/>
    <w:next w:val="1ai"/>
    <w:uiPriority w:val="99"/>
    <w:semiHidden/>
    <w:rsid w:val="00BC0135"/>
    <w:pPr>
      <w:numPr>
        <w:numId w:val="23"/>
      </w:numPr>
    </w:pPr>
  </w:style>
  <w:style w:type="numbering" w:customStyle="1" w:styleId="ArticleSection1">
    <w:name w:val="Article / Section1"/>
    <w:basedOn w:val="Bezlisty"/>
    <w:next w:val="Artykusekcja"/>
    <w:uiPriority w:val="99"/>
    <w:semiHidden/>
    <w:rsid w:val="00BC0135"/>
    <w:pPr>
      <w:numPr>
        <w:numId w:val="24"/>
      </w:numPr>
    </w:pPr>
  </w:style>
  <w:style w:type="character" w:customStyle="1" w:styleId="JuParaChar">
    <w:name w:val="Ju_Para Char"/>
    <w:basedOn w:val="Domylnaczcionkaakapitu"/>
    <w:rsid w:val="00BC0135"/>
    <w:rPr>
      <w:sz w:val="24"/>
      <w:lang w:val="fr-FR" w:eastAsia="fr-FR" w:bidi="ar-SA"/>
    </w:rPr>
  </w:style>
  <w:style w:type="paragraph" w:styleId="Poprawka">
    <w:name w:val="Revision"/>
    <w:hidden/>
    <w:uiPriority w:val="99"/>
    <w:semiHidden/>
    <w:rsid w:val="00BC0135"/>
    <w:rPr>
      <w:rFonts w:eastAsiaTheme="minorEastAsia"/>
      <w:sz w:val="24"/>
    </w:rPr>
  </w:style>
  <w:style w:type="paragraph" w:customStyle="1" w:styleId="LtrBody">
    <w:name w:val="Ltr_Body"/>
    <w:basedOn w:val="Normalny"/>
    <w:rsid w:val="00BC0135"/>
    <w:pPr>
      <w:ind w:firstLine="567"/>
    </w:pPr>
    <w:rPr>
      <w:rFonts w:ascii="Times New Roman" w:eastAsia="Times New Roman" w:hAnsi="Times New Roman" w:cs="Times New Roman"/>
      <w:szCs w:val="20"/>
      <w:lang w:val="fr-FR" w:eastAsia="en-GB"/>
    </w:rPr>
  </w:style>
  <w:style w:type="character" w:customStyle="1" w:styleId="wordhighlighted">
    <w:name w:val="wordhighlighted"/>
    <w:basedOn w:val="Domylnaczcionkaakapitu"/>
    <w:rsid w:val="00BC0135"/>
  </w:style>
  <w:style w:type="table" w:customStyle="1" w:styleId="Style1">
    <w:name w:val="Style1"/>
    <w:basedOn w:val="Standardowy"/>
    <w:uiPriority w:val="99"/>
    <w:rsid w:val="00BC0135"/>
    <w:rPr>
      <w:lang w:val="fr-FR" w:eastAsia="fr-FR"/>
    </w:rPr>
    <w:tblPr>
      <w:tblStyleRowBandSize w:val="1"/>
      <w:tblInd w:w="0" w:type="dxa"/>
      <w:tblCellMar>
        <w:top w:w="0" w:type="dxa"/>
        <w:left w:w="108" w:type="dxa"/>
        <w:bottom w:w="0" w:type="dxa"/>
        <w:right w:w="108" w:type="dxa"/>
      </w:tblCellMar>
    </w:tblPr>
  </w:style>
  <w:style w:type="table" w:customStyle="1" w:styleId="Style2">
    <w:name w:val="Style2"/>
    <w:basedOn w:val="Standardowy"/>
    <w:uiPriority w:val="99"/>
    <w:rsid w:val="00BC0135"/>
    <w:rPr>
      <w:lang w:val="fr-FR" w:eastAsia="fr-FR"/>
    </w:rPr>
    <w:tblPr>
      <w:tblInd w:w="0" w:type="dxa"/>
      <w:tblCellMar>
        <w:top w:w="0" w:type="dxa"/>
        <w:left w:w="108" w:type="dxa"/>
        <w:bottom w:w="0" w:type="dxa"/>
        <w:right w:w="108" w:type="dxa"/>
      </w:tblCellMar>
    </w:tblPr>
  </w:style>
  <w:style w:type="paragraph" w:customStyle="1" w:styleId="jupara">
    <w:name w:val="jupara"/>
    <w:basedOn w:val="Normalny"/>
    <w:rsid w:val="00A977F5"/>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A977F5"/>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56B262-B938-499B-9D72-AABFE507E02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67A5555-2BE6-47E2-AF79-B07DB6DE14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ADE92617-93DB-4217-A3E7-869502FBF1FC}">
  <ds:schemaRefs>
    <ds:schemaRef ds:uri="http://schemas.microsoft.com/sharepoint/v3/contenttype/forms"/>
  </ds:schemaRefs>
</ds:datastoreItem>
</file>

<file path=customXml/itemProps4.xml><?xml version="1.0" encoding="utf-8"?>
<ds:datastoreItem xmlns:ds="http://schemas.openxmlformats.org/officeDocument/2006/customXml" ds:itemID="{5E99D6D0-64C3-4765-9522-B2343AD07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12748</Words>
  <Characters>76494</Characters>
  <Application>Microsoft Office Word</Application>
  <DocSecurity>0</DocSecurity>
  <Lines>637</Lines>
  <Paragraphs>178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89064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2016-06-14T09:33:00Z</dcterms:created>
  <dcterms:modified xsi:type="dcterms:W3CDTF">2016-06-14T09:33:00Z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