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0D2E09" w:rsidRDefault="00014566" w:rsidP="000D2E09">
      <w:pPr>
        <w:pStyle w:val="ECHRDecisionBody"/>
        <w:rPr>
          <w:lang w:val="en-GB"/>
        </w:rPr>
      </w:pPr>
      <w:bookmarkStart w:id="0" w:name="_GoBack"/>
      <w:bookmarkEnd w:id="0"/>
    </w:p>
    <w:p w:rsidR="009102FD" w:rsidRPr="000D2E09" w:rsidRDefault="009102FD" w:rsidP="000D2E09">
      <w:pPr>
        <w:pStyle w:val="ECHRDecisionBody"/>
        <w:rPr>
          <w:lang w:val="en-GB"/>
        </w:rPr>
      </w:pPr>
    </w:p>
    <w:p w:rsidR="004727D1" w:rsidRPr="000D2E09" w:rsidRDefault="004727D1" w:rsidP="000D2E09">
      <w:pPr>
        <w:pStyle w:val="ECHRDecisionBody"/>
        <w:rPr>
          <w:lang w:val="en-GB"/>
        </w:rPr>
      </w:pPr>
    </w:p>
    <w:p w:rsidR="009102FD" w:rsidRPr="000D2E09" w:rsidRDefault="009102FD" w:rsidP="000D2E09">
      <w:pPr>
        <w:pStyle w:val="ECHRDecisionBody"/>
        <w:rPr>
          <w:lang w:val="en-GB"/>
        </w:rPr>
      </w:pPr>
    </w:p>
    <w:p w:rsidR="00014566" w:rsidRPr="000D2E09" w:rsidRDefault="0092718E" w:rsidP="000D2E09">
      <w:pPr>
        <w:jc w:val="center"/>
        <w:rPr>
          <w:lang w:val="en-GB"/>
        </w:rPr>
      </w:pPr>
      <w:r w:rsidRPr="000D2E09">
        <w:rPr>
          <w:lang w:val="en-GB"/>
        </w:rPr>
        <w:t>FOURTH SECTION</w:t>
      </w:r>
    </w:p>
    <w:p w:rsidR="00014566" w:rsidRPr="000D2E09" w:rsidRDefault="00014566" w:rsidP="000D2E09">
      <w:pPr>
        <w:jc w:val="center"/>
        <w:rPr>
          <w:lang w:val="en-GB"/>
        </w:rPr>
      </w:pPr>
    </w:p>
    <w:p w:rsidR="009102FD" w:rsidRPr="000D2E09" w:rsidRDefault="009102FD" w:rsidP="000D2E09">
      <w:pPr>
        <w:jc w:val="center"/>
        <w:rPr>
          <w:lang w:val="en-GB"/>
        </w:rPr>
      </w:pPr>
    </w:p>
    <w:p w:rsidR="009102FD" w:rsidRPr="000D2E09" w:rsidRDefault="009102FD" w:rsidP="000D2E09">
      <w:pPr>
        <w:jc w:val="center"/>
        <w:rPr>
          <w:lang w:val="en-GB"/>
        </w:rPr>
      </w:pPr>
    </w:p>
    <w:p w:rsidR="009102FD" w:rsidRPr="000D2E09" w:rsidRDefault="009102FD" w:rsidP="000D2E09">
      <w:pPr>
        <w:jc w:val="center"/>
        <w:rPr>
          <w:lang w:val="en-GB"/>
        </w:rPr>
      </w:pPr>
    </w:p>
    <w:p w:rsidR="009102FD" w:rsidRPr="000D2E09" w:rsidRDefault="009102FD" w:rsidP="000D2E09">
      <w:pPr>
        <w:jc w:val="center"/>
        <w:rPr>
          <w:lang w:val="en-GB"/>
        </w:rPr>
      </w:pPr>
    </w:p>
    <w:p w:rsidR="00014566" w:rsidRPr="000D2E09" w:rsidRDefault="00014566" w:rsidP="000D2E09">
      <w:pPr>
        <w:jc w:val="center"/>
        <w:rPr>
          <w:lang w:val="en-GB"/>
        </w:rPr>
      </w:pPr>
    </w:p>
    <w:p w:rsidR="00014566" w:rsidRPr="000D2E09" w:rsidRDefault="00014566" w:rsidP="000D2E09">
      <w:pPr>
        <w:jc w:val="center"/>
        <w:rPr>
          <w:b/>
          <w:lang w:val="en-GB"/>
        </w:rPr>
      </w:pPr>
      <w:bookmarkStart w:id="1" w:name="To"/>
      <w:r w:rsidRPr="000D2E09">
        <w:rPr>
          <w:b/>
          <w:lang w:val="en-GB"/>
        </w:rPr>
        <w:t xml:space="preserve">CASE OF </w:t>
      </w:r>
      <w:bookmarkEnd w:id="1"/>
      <w:r w:rsidR="0092718E" w:rsidRPr="000D2E09">
        <w:rPr>
          <w:b/>
          <w:lang w:val="en-GB"/>
        </w:rPr>
        <w:t>KARWOWSKI v. POLAND</w:t>
      </w:r>
    </w:p>
    <w:p w:rsidR="00014566" w:rsidRPr="000D2E09" w:rsidRDefault="00014566" w:rsidP="000D2E09">
      <w:pPr>
        <w:jc w:val="center"/>
        <w:rPr>
          <w:lang w:val="en-GB"/>
        </w:rPr>
      </w:pPr>
    </w:p>
    <w:p w:rsidR="00014566" w:rsidRPr="000D2E09" w:rsidRDefault="00014566" w:rsidP="000D2E09">
      <w:pPr>
        <w:jc w:val="center"/>
        <w:rPr>
          <w:i/>
          <w:lang w:val="en-GB"/>
        </w:rPr>
      </w:pPr>
      <w:r w:rsidRPr="000D2E09">
        <w:rPr>
          <w:i/>
          <w:lang w:val="en-GB"/>
        </w:rPr>
        <w:t>(</w:t>
      </w:r>
      <w:r w:rsidR="0092718E" w:rsidRPr="000D2E09">
        <w:rPr>
          <w:i/>
          <w:lang w:val="en-GB"/>
        </w:rPr>
        <w:t>Application no. 29869/13</w:t>
      </w:r>
      <w:r w:rsidRPr="000D2E09">
        <w:rPr>
          <w:i/>
          <w:lang w:val="en-GB"/>
        </w:rPr>
        <w:t>)</w:t>
      </w:r>
    </w:p>
    <w:p w:rsidR="00014566" w:rsidRPr="000D2E09" w:rsidRDefault="00014566" w:rsidP="000D2E09">
      <w:pPr>
        <w:jc w:val="center"/>
        <w:rPr>
          <w:lang w:val="en-GB"/>
        </w:rPr>
      </w:pPr>
    </w:p>
    <w:p w:rsidR="00014566" w:rsidRPr="000D2E09" w:rsidRDefault="00014566" w:rsidP="000D2E09">
      <w:pPr>
        <w:jc w:val="center"/>
        <w:rPr>
          <w:lang w:val="en-GB"/>
        </w:rPr>
      </w:pPr>
    </w:p>
    <w:p w:rsidR="00014566" w:rsidRPr="000D2E09" w:rsidRDefault="00014566" w:rsidP="000D2E09">
      <w:pPr>
        <w:jc w:val="center"/>
        <w:rPr>
          <w:lang w:val="en-GB"/>
        </w:rPr>
      </w:pPr>
    </w:p>
    <w:p w:rsidR="000D2E09" w:rsidRPr="000D2E09" w:rsidRDefault="000D2E09" w:rsidP="000D2E09">
      <w:pPr>
        <w:jc w:val="center"/>
        <w:rPr>
          <w:lang w:val="en-GB"/>
        </w:rPr>
      </w:pPr>
    </w:p>
    <w:p w:rsidR="00014566" w:rsidRPr="000D2E09" w:rsidRDefault="00014566" w:rsidP="000D2E09">
      <w:pPr>
        <w:jc w:val="center"/>
        <w:rPr>
          <w:lang w:val="en-GB"/>
        </w:rPr>
      </w:pPr>
    </w:p>
    <w:p w:rsidR="00014566" w:rsidRPr="000D2E09" w:rsidRDefault="00014566" w:rsidP="000D2E09">
      <w:pPr>
        <w:jc w:val="center"/>
        <w:rPr>
          <w:lang w:val="en-GB"/>
        </w:rPr>
      </w:pPr>
    </w:p>
    <w:p w:rsidR="00014566" w:rsidRPr="000D2E09" w:rsidRDefault="00014566" w:rsidP="000D2E09">
      <w:pPr>
        <w:jc w:val="center"/>
        <w:rPr>
          <w:lang w:val="en-GB"/>
        </w:rPr>
      </w:pPr>
    </w:p>
    <w:p w:rsidR="00076497" w:rsidRPr="000D2E09" w:rsidRDefault="009102FD" w:rsidP="000D2E09">
      <w:pPr>
        <w:jc w:val="center"/>
        <w:rPr>
          <w:szCs w:val="24"/>
          <w:lang w:val="en-GB"/>
        </w:rPr>
      </w:pPr>
      <w:r w:rsidRPr="000D2E09">
        <w:rPr>
          <w:szCs w:val="24"/>
          <w:lang w:val="en-GB"/>
        </w:rPr>
        <w:t>JUDGMENT</w:t>
      </w:r>
    </w:p>
    <w:p w:rsidR="00076497" w:rsidRPr="000D2E09" w:rsidRDefault="00076497" w:rsidP="000D2E09">
      <w:pPr>
        <w:jc w:val="center"/>
        <w:rPr>
          <w:sz w:val="22"/>
          <w:lang w:val="en-GB"/>
        </w:rPr>
      </w:pPr>
    </w:p>
    <w:p w:rsidR="00014566" w:rsidRPr="000D2E09" w:rsidRDefault="00014566" w:rsidP="000D2E09">
      <w:pPr>
        <w:jc w:val="center"/>
        <w:rPr>
          <w:szCs w:val="24"/>
          <w:lang w:val="en-GB"/>
        </w:rPr>
      </w:pPr>
    </w:p>
    <w:p w:rsidR="009102FD" w:rsidRPr="000D2E09" w:rsidRDefault="009102FD" w:rsidP="000D2E09">
      <w:pPr>
        <w:pStyle w:val="JuCase"/>
        <w:ind w:firstLine="0"/>
        <w:jc w:val="center"/>
        <w:rPr>
          <w:b w:val="0"/>
          <w:lang w:val="en-GB"/>
        </w:rPr>
      </w:pPr>
      <w:r w:rsidRPr="000D2E09">
        <w:rPr>
          <w:b w:val="0"/>
          <w:lang w:val="en-GB"/>
        </w:rPr>
        <w:t>STRASBOURG</w:t>
      </w:r>
    </w:p>
    <w:p w:rsidR="009102FD" w:rsidRPr="000D2E09" w:rsidRDefault="009102FD" w:rsidP="000D2E09">
      <w:pPr>
        <w:pStyle w:val="JuCase"/>
        <w:ind w:firstLine="0"/>
        <w:jc w:val="center"/>
        <w:rPr>
          <w:b w:val="0"/>
          <w:lang w:val="en-GB"/>
        </w:rPr>
      </w:pPr>
    </w:p>
    <w:p w:rsidR="004727D1" w:rsidRPr="000D2E09" w:rsidRDefault="004727D1" w:rsidP="000D2E09">
      <w:pPr>
        <w:pStyle w:val="ECHRPara"/>
        <w:ind w:firstLine="0"/>
        <w:jc w:val="center"/>
        <w:rPr>
          <w:lang w:val="en-GB"/>
        </w:rPr>
      </w:pPr>
    </w:p>
    <w:p w:rsidR="009102FD" w:rsidRPr="000D2E09" w:rsidRDefault="00FE422D" w:rsidP="000D2E09">
      <w:pPr>
        <w:pStyle w:val="JuCase"/>
        <w:ind w:firstLine="0"/>
        <w:jc w:val="center"/>
        <w:rPr>
          <w:b w:val="0"/>
          <w:lang w:val="en-GB"/>
        </w:rPr>
      </w:pPr>
      <w:r w:rsidRPr="000D2E09">
        <w:rPr>
          <w:b w:val="0"/>
          <w:lang w:val="en-GB"/>
        </w:rPr>
        <w:t>19 April 2016</w:t>
      </w:r>
    </w:p>
    <w:p w:rsidR="009102FD" w:rsidRPr="000D2E09" w:rsidRDefault="009102FD" w:rsidP="000D2E09">
      <w:pPr>
        <w:pStyle w:val="JuCase"/>
        <w:ind w:firstLine="0"/>
        <w:jc w:val="center"/>
        <w:rPr>
          <w:b w:val="0"/>
          <w:lang w:val="en-GB"/>
        </w:rPr>
      </w:pPr>
    </w:p>
    <w:p w:rsidR="009102FD" w:rsidRPr="000D2E09" w:rsidRDefault="009102FD" w:rsidP="000D2E09">
      <w:pPr>
        <w:pStyle w:val="JuCase"/>
        <w:ind w:firstLine="0"/>
        <w:jc w:val="center"/>
        <w:rPr>
          <w:b w:val="0"/>
          <w:lang w:val="en-GB"/>
        </w:rPr>
      </w:pPr>
    </w:p>
    <w:p w:rsidR="00E4064E" w:rsidRPr="000D2E09" w:rsidRDefault="00E4064E" w:rsidP="000D2E09">
      <w:pPr>
        <w:pStyle w:val="JuCase"/>
        <w:ind w:firstLine="0"/>
        <w:jc w:val="center"/>
        <w:rPr>
          <w:b w:val="0"/>
          <w:lang w:val="en-GB"/>
        </w:rPr>
      </w:pPr>
    </w:p>
    <w:p w:rsidR="00E4064E" w:rsidRPr="000D2E09" w:rsidRDefault="00E4064E" w:rsidP="000D2E09">
      <w:pPr>
        <w:pStyle w:val="JuCase"/>
        <w:ind w:firstLine="0"/>
        <w:jc w:val="center"/>
        <w:rPr>
          <w:b w:val="0"/>
          <w:lang w:val="en-GB"/>
        </w:rPr>
      </w:pPr>
    </w:p>
    <w:p w:rsidR="00E4064E" w:rsidRPr="000D2E09" w:rsidRDefault="00E4064E" w:rsidP="000D2E09">
      <w:pPr>
        <w:pStyle w:val="JuCase"/>
        <w:ind w:firstLine="0"/>
        <w:jc w:val="center"/>
        <w:rPr>
          <w:b w:val="0"/>
          <w:lang w:val="en-GB"/>
        </w:rPr>
      </w:pPr>
    </w:p>
    <w:p w:rsidR="004727D1" w:rsidRPr="000D2E09" w:rsidRDefault="004727D1" w:rsidP="000D2E09">
      <w:pPr>
        <w:pStyle w:val="ECHRPara"/>
        <w:ind w:firstLine="0"/>
        <w:jc w:val="center"/>
        <w:rPr>
          <w:lang w:val="en-GB"/>
        </w:rPr>
      </w:pPr>
    </w:p>
    <w:p w:rsidR="009102FD" w:rsidRPr="000D2E09" w:rsidRDefault="009102FD" w:rsidP="000D2E09">
      <w:pPr>
        <w:pStyle w:val="JuCase"/>
        <w:ind w:firstLine="0"/>
        <w:jc w:val="left"/>
        <w:rPr>
          <w:b w:val="0"/>
          <w:i/>
          <w:sz w:val="22"/>
          <w:lang w:val="en-GB"/>
        </w:rPr>
      </w:pPr>
      <w:r w:rsidRPr="000D2E09">
        <w:rPr>
          <w:b w:val="0"/>
          <w:i/>
          <w:sz w:val="22"/>
          <w:lang w:val="en-GB"/>
        </w:rPr>
        <w:t>This judgment will become final in the circumstances set out in Article 44 § 2 of the Convention. It may be subject to editorial revision.</w:t>
      </w:r>
    </w:p>
    <w:p w:rsidR="000D2E09" w:rsidRPr="000D2E09" w:rsidRDefault="000D2E09" w:rsidP="000D2E09">
      <w:pPr>
        <w:pStyle w:val="ECHRPara"/>
        <w:rPr>
          <w:lang w:val="en-GB"/>
        </w:rPr>
      </w:pPr>
    </w:p>
    <w:p w:rsidR="000D2E09" w:rsidRPr="000D2E09" w:rsidRDefault="000D2E09" w:rsidP="000D2E09">
      <w:pPr>
        <w:pStyle w:val="ECHRPara"/>
        <w:rPr>
          <w:lang w:val="en-GB"/>
        </w:rPr>
      </w:pPr>
    </w:p>
    <w:p w:rsidR="000D2E09" w:rsidRPr="000D2E09" w:rsidRDefault="000D2E09" w:rsidP="000D2E09">
      <w:pPr>
        <w:pStyle w:val="ECHRPara"/>
        <w:rPr>
          <w:lang w:val="en-GB"/>
        </w:rPr>
        <w:sectPr w:rsidR="000D2E09" w:rsidRPr="000D2E09" w:rsidSect="00FE422D">
          <w:headerReference w:type="even" r:id="rId12"/>
          <w:headerReference w:type="default" r:id="rId13"/>
          <w:footerReference w:type="even" r:id="rId14"/>
          <w:footerReference w:type="default" r:id="rId15"/>
          <w:headerReference w:type="first" r:id="rId16"/>
          <w:footerReference w:type="first" r:id="rId17"/>
          <w:footnotePr>
            <w:numRestart w:val="eachPage"/>
          </w:footnotePr>
          <w:type w:val="continuous"/>
          <w:pgSz w:w="11906" w:h="16838" w:code="9"/>
          <w:pgMar w:top="2274" w:right="2274" w:bottom="2274" w:left="2274" w:header="1701" w:footer="720" w:gutter="0"/>
          <w:pgNumType w:start="1"/>
          <w:cols w:space="720"/>
          <w:titlePg/>
          <w:docGrid w:linePitch="326"/>
        </w:sectPr>
      </w:pPr>
    </w:p>
    <w:p w:rsidR="00014566" w:rsidRPr="000D2E09" w:rsidRDefault="00014566" w:rsidP="000D2E09">
      <w:pPr>
        <w:pStyle w:val="JuCase"/>
        <w:rPr>
          <w:bCs/>
          <w:lang w:val="en-GB"/>
        </w:rPr>
      </w:pPr>
      <w:r w:rsidRPr="000D2E09">
        <w:rPr>
          <w:lang w:val="en-GB"/>
        </w:rPr>
        <w:lastRenderedPageBreak/>
        <w:t xml:space="preserve">In the case of </w:t>
      </w:r>
      <w:r w:rsidR="0092718E" w:rsidRPr="000D2E09">
        <w:rPr>
          <w:lang w:val="en-GB"/>
        </w:rPr>
        <w:t>Karwowski v. Poland</w:t>
      </w:r>
      <w:r w:rsidRPr="000D2E09">
        <w:rPr>
          <w:lang w:val="en-GB"/>
        </w:rPr>
        <w:t>,</w:t>
      </w:r>
    </w:p>
    <w:p w:rsidR="00014566" w:rsidRPr="000D2E09" w:rsidRDefault="00014566" w:rsidP="000D2E09">
      <w:pPr>
        <w:pStyle w:val="ECHRPara"/>
        <w:rPr>
          <w:lang w:val="en-GB"/>
        </w:rPr>
      </w:pPr>
      <w:r w:rsidRPr="000D2E09">
        <w:rPr>
          <w:lang w:val="en-GB"/>
        </w:rPr>
        <w:t>The European Court of Human Rights (</w:t>
      </w:r>
      <w:r w:rsidR="0092718E" w:rsidRPr="000D2E09">
        <w:rPr>
          <w:lang w:val="en-GB"/>
        </w:rPr>
        <w:t>Fourth Section</w:t>
      </w:r>
      <w:r w:rsidR="00E4064E" w:rsidRPr="000D2E09">
        <w:rPr>
          <w:lang w:val="en-GB"/>
        </w:rPr>
        <w:t>), sitting as a </w:t>
      </w:r>
      <w:r w:rsidR="0092718E" w:rsidRPr="000D2E09">
        <w:rPr>
          <w:lang w:val="en-GB"/>
        </w:rPr>
        <w:t>Chamber</w:t>
      </w:r>
      <w:r w:rsidRPr="000D2E09">
        <w:rPr>
          <w:lang w:val="en-GB"/>
        </w:rPr>
        <w:t xml:space="preserve"> composed of:</w:t>
      </w:r>
    </w:p>
    <w:p w:rsidR="00014566" w:rsidRPr="000D2E09" w:rsidRDefault="00FE422D" w:rsidP="000D2E09">
      <w:pPr>
        <w:pStyle w:val="ECHRDecisionBody"/>
      </w:pPr>
      <w:r w:rsidRPr="000D2E09">
        <w:tab/>
        <w:t>András Sajó,</w:t>
      </w:r>
      <w:r w:rsidRPr="000D2E09">
        <w:rPr>
          <w:i/>
        </w:rPr>
        <w:t xml:space="preserve"> President,</w:t>
      </w:r>
      <w:r w:rsidRPr="000D2E09">
        <w:rPr>
          <w:i/>
        </w:rPr>
        <w:br/>
      </w:r>
      <w:r w:rsidRPr="000D2E09">
        <w:tab/>
        <w:t xml:space="preserve">Vincent A. </w:t>
      </w:r>
      <w:r w:rsidR="00E4064E" w:rsidRPr="000D2E09">
        <w:t>D</w:t>
      </w:r>
      <w:r w:rsidRPr="000D2E09">
        <w:t>e Gaetano,</w:t>
      </w:r>
      <w:r w:rsidRPr="000D2E09">
        <w:rPr>
          <w:i/>
        </w:rPr>
        <w:br/>
      </w:r>
      <w:r w:rsidRPr="000D2E09">
        <w:tab/>
        <w:t>Boštjan M. Zupančič,</w:t>
      </w:r>
      <w:r w:rsidRPr="000D2E09">
        <w:rPr>
          <w:i/>
        </w:rPr>
        <w:br/>
      </w:r>
      <w:r w:rsidRPr="000D2E09">
        <w:tab/>
        <w:t>Nona Tsotsoria,</w:t>
      </w:r>
      <w:r w:rsidRPr="000D2E09">
        <w:rPr>
          <w:i/>
        </w:rPr>
        <w:br/>
      </w:r>
      <w:r w:rsidRPr="000D2E09">
        <w:tab/>
        <w:t>Krzysztof Wojtyczek,</w:t>
      </w:r>
      <w:r w:rsidRPr="000D2E09">
        <w:rPr>
          <w:i/>
        </w:rPr>
        <w:br/>
      </w:r>
      <w:r w:rsidRPr="000D2E09">
        <w:tab/>
        <w:t>Egidijus Kūris,</w:t>
      </w:r>
      <w:r w:rsidRPr="000D2E09">
        <w:rPr>
          <w:i/>
        </w:rPr>
        <w:br/>
      </w:r>
      <w:r w:rsidRPr="000D2E09">
        <w:tab/>
        <w:t>Gabriele Kucsko-Stadlmayer,</w:t>
      </w:r>
      <w:r w:rsidRPr="000D2E09">
        <w:rPr>
          <w:i/>
        </w:rPr>
        <w:t xml:space="preserve"> judges,</w:t>
      </w:r>
      <w:r w:rsidRPr="000D2E09">
        <w:rPr>
          <w:i/>
        </w:rPr>
        <w:br/>
      </w:r>
      <w:r w:rsidR="00014566" w:rsidRPr="000D2E09">
        <w:t xml:space="preserve">and </w:t>
      </w:r>
      <w:r w:rsidR="00E4064E" w:rsidRPr="000D2E09">
        <w:t>Marialena Tsirli</w:t>
      </w:r>
      <w:r w:rsidR="00014566" w:rsidRPr="000D2E09">
        <w:t xml:space="preserve">, </w:t>
      </w:r>
      <w:r w:rsidR="0092718E" w:rsidRPr="000D2E09">
        <w:rPr>
          <w:i/>
        </w:rPr>
        <w:t xml:space="preserve">Section </w:t>
      </w:r>
      <w:r w:rsidR="0092718E" w:rsidRPr="000D2E09">
        <w:rPr>
          <w:i/>
          <w:iCs/>
        </w:rPr>
        <w:t>Registrar</w:t>
      </w:r>
      <w:r w:rsidR="00014566" w:rsidRPr="000D2E09">
        <w:rPr>
          <w:i/>
        </w:rPr>
        <w:t>,</w:t>
      </w:r>
    </w:p>
    <w:p w:rsidR="00014566" w:rsidRPr="000D2E09" w:rsidRDefault="00014566" w:rsidP="000D2E09">
      <w:pPr>
        <w:pStyle w:val="ECHRPara"/>
        <w:rPr>
          <w:lang w:val="en-GB"/>
        </w:rPr>
      </w:pPr>
      <w:r w:rsidRPr="000D2E09">
        <w:rPr>
          <w:lang w:val="en-GB"/>
        </w:rPr>
        <w:t xml:space="preserve">Having deliberated in private on </w:t>
      </w:r>
      <w:r w:rsidR="00FE422D" w:rsidRPr="000D2E09">
        <w:rPr>
          <w:lang w:val="en-GB"/>
        </w:rPr>
        <w:t>29 March 2016</w:t>
      </w:r>
      <w:r w:rsidRPr="000D2E09">
        <w:rPr>
          <w:lang w:val="en-GB"/>
        </w:rPr>
        <w:t>,</w:t>
      </w:r>
    </w:p>
    <w:p w:rsidR="00014566" w:rsidRPr="000D2E09" w:rsidRDefault="00014566" w:rsidP="000D2E09">
      <w:pPr>
        <w:pStyle w:val="ECHRPara"/>
        <w:rPr>
          <w:lang w:val="en-GB"/>
        </w:rPr>
      </w:pPr>
      <w:r w:rsidRPr="000D2E09">
        <w:rPr>
          <w:lang w:val="en-GB"/>
        </w:rPr>
        <w:t>Delivers the following judgment, which was adopted on that date:</w:t>
      </w:r>
    </w:p>
    <w:p w:rsidR="00014566" w:rsidRPr="000D2E09" w:rsidRDefault="00014566" w:rsidP="000D2E09">
      <w:pPr>
        <w:pStyle w:val="ECHRTitle1"/>
        <w:rPr>
          <w:lang w:val="en-GB"/>
        </w:rPr>
      </w:pPr>
      <w:r w:rsidRPr="000D2E09">
        <w:rPr>
          <w:lang w:val="en-GB"/>
        </w:rPr>
        <w:t>PROCEDURE</w:t>
      </w:r>
    </w:p>
    <w:p w:rsidR="0092718E" w:rsidRPr="000D2E09" w:rsidRDefault="0092718E"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1</w:t>
      </w:r>
      <w:r w:rsidRPr="000D2E09">
        <w:rPr>
          <w:lang w:val="en-GB"/>
        </w:rPr>
        <w:fldChar w:fldCharType="end"/>
      </w:r>
      <w:r w:rsidR="00014566" w:rsidRPr="000D2E09">
        <w:rPr>
          <w:lang w:val="en-GB"/>
        </w:rPr>
        <w:t xml:space="preserve">.  The case originated in </w:t>
      </w:r>
      <w:r w:rsidRPr="000D2E09">
        <w:rPr>
          <w:lang w:val="en-GB"/>
        </w:rPr>
        <w:t>an application (no. 29869/13)</w:t>
      </w:r>
      <w:r w:rsidR="00014566" w:rsidRPr="000D2E09">
        <w:rPr>
          <w:lang w:val="en-GB"/>
        </w:rPr>
        <w:t xml:space="preserve"> against </w:t>
      </w:r>
      <w:r w:rsidRPr="000D2E09">
        <w:rPr>
          <w:lang w:val="en-GB"/>
        </w:rPr>
        <w:t>the Republic of Poland</w:t>
      </w:r>
      <w:r w:rsidR="00014566" w:rsidRPr="000D2E09">
        <w:rPr>
          <w:lang w:val="en-GB"/>
        </w:rPr>
        <w:t xml:space="preserve"> lodged with the </w:t>
      </w:r>
      <w:r w:rsidRPr="000D2E09">
        <w:rPr>
          <w:lang w:val="en-GB"/>
        </w:rPr>
        <w:t>Court under Article 34</w:t>
      </w:r>
      <w:r w:rsidR="00014566" w:rsidRPr="000D2E09">
        <w:rPr>
          <w:lang w:val="en-GB"/>
        </w:rPr>
        <w:t xml:space="preserve"> of the Convention for the Protection of Human Rights and Fundamental Freedoms (“the Convention”) by </w:t>
      </w:r>
      <w:r w:rsidRPr="000D2E09">
        <w:rPr>
          <w:lang w:val="en-GB"/>
        </w:rPr>
        <w:t>a Polish national, Mr Dariusz Karwowski (“the</w:t>
      </w:r>
      <w:r w:rsidR="00027968" w:rsidRPr="000D2E09">
        <w:rPr>
          <w:lang w:val="en-GB"/>
        </w:rPr>
        <w:t> </w:t>
      </w:r>
      <w:r w:rsidRPr="000D2E09">
        <w:rPr>
          <w:lang w:val="en-GB"/>
        </w:rPr>
        <w:t>applicant”), on 19 March 2013</w:t>
      </w:r>
      <w:r w:rsidR="00014566" w:rsidRPr="000D2E09">
        <w:rPr>
          <w:lang w:val="en-GB"/>
        </w:rPr>
        <w:t>.</w:t>
      </w:r>
    </w:p>
    <w:p w:rsidR="0092718E" w:rsidRPr="000D2E09" w:rsidRDefault="0092718E"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w:t>
      </w:r>
      <w:r w:rsidRPr="000D2E09">
        <w:rPr>
          <w:lang w:val="en-GB"/>
        </w:rPr>
        <w:fldChar w:fldCharType="end"/>
      </w:r>
      <w:r w:rsidR="00014566" w:rsidRPr="000D2E09">
        <w:rPr>
          <w:lang w:val="en-GB"/>
        </w:rPr>
        <w:t xml:space="preserve">.  The </w:t>
      </w:r>
      <w:r w:rsidRPr="000D2E09">
        <w:rPr>
          <w:lang w:val="en-GB"/>
        </w:rPr>
        <w:t>Polish</w:t>
      </w:r>
      <w:r w:rsidR="00014566" w:rsidRPr="000D2E09">
        <w:rPr>
          <w:lang w:val="en-GB"/>
        </w:rPr>
        <w:t xml:space="preserve"> Government (“the Government”) were represented by their Agent, Ms </w:t>
      </w:r>
      <w:r w:rsidR="00D52320" w:rsidRPr="000D2E09">
        <w:rPr>
          <w:lang w:val="en-GB"/>
        </w:rPr>
        <w:t>J. Chrzanowska of the Mi</w:t>
      </w:r>
      <w:r w:rsidR="000A524F" w:rsidRPr="000D2E09">
        <w:rPr>
          <w:lang w:val="en-GB"/>
        </w:rPr>
        <w:t>n</w:t>
      </w:r>
      <w:r w:rsidR="00D52320" w:rsidRPr="000D2E09">
        <w:rPr>
          <w:lang w:val="en-GB"/>
        </w:rPr>
        <w:t>istry of Foreign Affairs</w:t>
      </w:r>
      <w:r w:rsidR="00014566" w:rsidRPr="000D2E09">
        <w:rPr>
          <w:lang w:val="en-GB"/>
        </w:rPr>
        <w:t>.</w:t>
      </w:r>
    </w:p>
    <w:p w:rsidR="00014566" w:rsidRPr="000D2E09" w:rsidRDefault="0092718E"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w:t>
      </w:r>
      <w:r w:rsidRPr="000D2E09">
        <w:rPr>
          <w:lang w:val="en-GB"/>
        </w:rPr>
        <w:fldChar w:fldCharType="end"/>
      </w:r>
      <w:r w:rsidRPr="000D2E09">
        <w:rPr>
          <w:lang w:val="en-GB"/>
        </w:rPr>
        <w:t xml:space="preserve">.  The applicant alleged, in particular, </w:t>
      </w:r>
      <w:r w:rsidR="00C309D8" w:rsidRPr="000D2E09">
        <w:rPr>
          <w:lang w:val="en-GB"/>
        </w:rPr>
        <w:t xml:space="preserve">that the imposition of the “dangerous detainee” </w:t>
      </w:r>
      <w:r w:rsidR="004575C3" w:rsidRPr="000D2E09">
        <w:rPr>
          <w:lang w:val="en-GB"/>
        </w:rPr>
        <w:t xml:space="preserve">regime on him and its lengthy application </w:t>
      </w:r>
      <w:r w:rsidR="00C309D8" w:rsidRPr="000D2E09">
        <w:rPr>
          <w:lang w:val="en-GB"/>
        </w:rPr>
        <w:t>amounted to inhuman and degrading treatment in breach of Article 3 of the Convention</w:t>
      </w:r>
      <w:r w:rsidRPr="000D2E09">
        <w:rPr>
          <w:lang w:val="en-GB"/>
        </w:rPr>
        <w:t>.</w:t>
      </w:r>
    </w:p>
    <w:p w:rsidR="00014566" w:rsidRPr="000D2E09" w:rsidRDefault="0092718E"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w:t>
      </w:r>
      <w:r w:rsidRPr="000D2E09">
        <w:rPr>
          <w:lang w:val="en-GB"/>
        </w:rPr>
        <w:fldChar w:fldCharType="end"/>
      </w:r>
      <w:r w:rsidR="00014566" w:rsidRPr="000D2E09">
        <w:rPr>
          <w:lang w:val="en-GB"/>
        </w:rPr>
        <w:t>.  </w:t>
      </w:r>
      <w:r w:rsidRPr="000D2E09">
        <w:rPr>
          <w:lang w:val="en-GB"/>
        </w:rPr>
        <w:t xml:space="preserve">On </w:t>
      </w:r>
      <w:r w:rsidRPr="000D2E09">
        <w:rPr>
          <w:szCs w:val="24"/>
          <w:lang w:val="en-GB"/>
        </w:rPr>
        <w:t>7 July 2014</w:t>
      </w:r>
      <w:r w:rsidR="00014566" w:rsidRPr="000D2E09">
        <w:rPr>
          <w:lang w:val="en-GB"/>
        </w:rPr>
        <w:t xml:space="preserve"> the </w:t>
      </w:r>
      <w:r w:rsidRPr="000D2E09">
        <w:rPr>
          <w:lang w:val="en-GB"/>
        </w:rPr>
        <w:t>complaint</w:t>
      </w:r>
      <w:r w:rsidR="00D52320" w:rsidRPr="000D2E09">
        <w:rPr>
          <w:lang w:val="en-GB"/>
        </w:rPr>
        <w:t xml:space="preserve"> under Article 3 of the Convention</w:t>
      </w:r>
      <w:r w:rsidRPr="000D2E09">
        <w:rPr>
          <w:lang w:val="en-GB"/>
        </w:rPr>
        <w:t xml:space="preserve"> was communicated to the Government and the remainder of the application was declared inadmissible</w:t>
      </w:r>
      <w:r w:rsidRPr="000D2E09">
        <w:rPr>
          <w:szCs w:val="24"/>
          <w:lang w:val="en-GB"/>
        </w:rPr>
        <w:t xml:space="preserve"> </w:t>
      </w:r>
      <w:r w:rsidRPr="000D2E09">
        <w:rPr>
          <w:lang w:val="en-GB"/>
        </w:rPr>
        <w:t>pursuant to Rule 54 § 3 of the Rules of Court</w:t>
      </w:r>
      <w:r w:rsidR="00014566" w:rsidRPr="000D2E09">
        <w:rPr>
          <w:lang w:val="en-GB"/>
        </w:rPr>
        <w:t>.</w:t>
      </w:r>
    </w:p>
    <w:p w:rsidR="00014566" w:rsidRPr="000D2E09" w:rsidRDefault="00014566" w:rsidP="000D2E09">
      <w:pPr>
        <w:pStyle w:val="ECHRTitle1"/>
        <w:rPr>
          <w:lang w:val="en-GB"/>
        </w:rPr>
      </w:pPr>
      <w:r w:rsidRPr="000D2E09">
        <w:rPr>
          <w:lang w:val="en-GB"/>
        </w:rPr>
        <w:t>THE FACTS</w:t>
      </w:r>
    </w:p>
    <w:p w:rsidR="00014566" w:rsidRPr="000D2E09" w:rsidRDefault="00014566" w:rsidP="000D2E09">
      <w:pPr>
        <w:pStyle w:val="ECHRHeading1"/>
        <w:rPr>
          <w:lang w:val="en-GB"/>
        </w:rPr>
      </w:pPr>
      <w:r w:rsidRPr="000D2E09">
        <w:rPr>
          <w:lang w:val="en-GB"/>
        </w:rPr>
        <w:t>I.  THE CIRCUMSTANCES OF THE CASE</w:t>
      </w:r>
    </w:p>
    <w:p w:rsidR="00014566" w:rsidRPr="000D2E09" w:rsidRDefault="0092718E"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5</w:t>
      </w:r>
      <w:r w:rsidRPr="000D2E09">
        <w:rPr>
          <w:lang w:val="en-GB"/>
        </w:rPr>
        <w:fldChar w:fldCharType="end"/>
      </w:r>
      <w:r w:rsidR="00014566" w:rsidRPr="000D2E09">
        <w:rPr>
          <w:lang w:val="en-GB"/>
        </w:rPr>
        <w:t xml:space="preserve">.  The </w:t>
      </w:r>
      <w:r w:rsidRPr="000D2E09">
        <w:rPr>
          <w:lang w:val="en-GB"/>
        </w:rPr>
        <w:t xml:space="preserve">applicant was born in 1971 and is </w:t>
      </w:r>
      <w:r w:rsidR="00D53B0E" w:rsidRPr="000D2E09">
        <w:rPr>
          <w:lang w:val="en-GB"/>
        </w:rPr>
        <w:t xml:space="preserve">currently in </w:t>
      </w:r>
      <w:r w:rsidRPr="000D2E09">
        <w:rPr>
          <w:lang w:val="en-GB"/>
        </w:rPr>
        <w:t>det</w:t>
      </w:r>
      <w:r w:rsidR="00D53B0E" w:rsidRPr="000D2E09">
        <w:rPr>
          <w:lang w:val="en-GB"/>
        </w:rPr>
        <w:t xml:space="preserve">ention </w:t>
      </w:r>
      <w:r w:rsidR="00014566" w:rsidRPr="000D2E09">
        <w:rPr>
          <w:lang w:val="en-GB"/>
        </w:rPr>
        <w:t xml:space="preserve">in </w:t>
      </w:r>
      <w:r w:rsidRPr="000D2E09">
        <w:rPr>
          <w:lang w:val="en-GB"/>
        </w:rPr>
        <w:t>Wars</w:t>
      </w:r>
      <w:r w:rsidR="00D53B0E" w:rsidRPr="000D2E09">
        <w:rPr>
          <w:lang w:val="en-GB"/>
        </w:rPr>
        <w:t>aw</w:t>
      </w:r>
      <w:r w:rsidR="00014566" w:rsidRPr="000D2E09">
        <w:rPr>
          <w:lang w:val="en-GB"/>
        </w:rPr>
        <w:t>.</w:t>
      </w:r>
    </w:p>
    <w:p w:rsidR="00660B23" w:rsidRPr="000D2E09" w:rsidRDefault="00D53B0E" w:rsidP="000D2E09">
      <w:pPr>
        <w:pStyle w:val="ECHRHeading2"/>
        <w:rPr>
          <w:lang w:val="en-GB"/>
        </w:rPr>
      </w:pPr>
      <w:r w:rsidRPr="000D2E09">
        <w:rPr>
          <w:lang w:val="en-GB"/>
        </w:rPr>
        <w:lastRenderedPageBreak/>
        <w:t>A</w:t>
      </w:r>
      <w:r w:rsidR="00660B23" w:rsidRPr="000D2E09">
        <w:rPr>
          <w:lang w:val="en-GB"/>
        </w:rPr>
        <w:t>.  Criminal proceedings against the applicant</w:t>
      </w:r>
    </w:p>
    <w:p w:rsidR="00660B23" w:rsidRPr="000D2E09" w:rsidRDefault="006960EE" w:rsidP="000D2E09">
      <w:pPr>
        <w:pStyle w:val="ECHRPara"/>
        <w:rPr>
          <w:lang w:val="en-GB"/>
        </w:rPr>
      </w:pPr>
      <w:r>
        <w:fldChar w:fldCharType="begin"/>
      </w:r>
      <w:r>
        <w:instrText xml:space="preserve"> SEQ level0 \*arabic </w:instrText>
      </w:r>
      <w:r>
        <w:fldChar w:fldCharType="separate"/>
      </w:r>
      <w:r w:rsidR="000D2E09" w:rsidRPr="000D2E09">
        <w:rPr>
          <w:noProof/>
        </w:rPr>
        <w:t>6</w:t>
      </w:r>
      <w:r>
        <w:rPr>
          <w:noProof/>
        </w:rPr>
        <w:fldChar w:fldCharType="end"/>
      </w:r>
      <w:r w:rsidR="00660B23" w:rsidRPr="000D2E09">
        <w:t>.  On 17 January 2006 the applicant was arrested and detained on remand</w:t>
      </w:r>
      <w:r w:rsidR="00AC0BCC" w:rsidRPr="000D2E09">
        <w:t xml:space="preserve">. He was suspected of </w:t>
      </w:r>
      <w:r w:rsidR="00333BC9" w:rsidRPr="000D2E09">
        <w:t xml:space="preserve">the </w:t>
      </w:r>
      <w:r w:rsidR="00AC0BCC" w:rsidRPr="000D2E09">
        <w:t>murder of two pe</w:t>
      </w:r>
      <w:r w:rsidR="00333BC9" w:rsidRPr="000D2E09">
        <w:t xml:space="preserve">ople </w:t>
      </w:r>
      <w:r w:rsidR="00AC0BCC" w:rsidRPr="000D2E09">
        <w:t>and of in</w:t>
      </w:r>
      <w:r w:rsidR="00D53B0E" w:rsidRPr="000D2E09">
        <w:t xml:space="preserve">citing </w:t>
      </w:r>
      <w:r w:rsidR="00333BC9" w:rsidRPr="000D2E09">
        <w:t xml:space="preserve">the </w:t>
      </w:r>
      <w:r w:rsidR="00AC0BCC" w:rsidRPr="000D2E09">
        <w:t xml:space="preserve">murder </w:t>
      </w:r>
      <w:r w:rsidR="00333BC9" w:rsidRPr="000D2E09">
        <w:t xml:space="preserve">of another person </w:t>
      </w:r>
      <w:r w:rsidR="00AC0BCC" w:rsidRPr="000D2E09">
        <w:t>who had inten</w:t>
      </w:r>
      <w:r w:rsidR="00F0799D" w:rsidRPr="000D2E09">
        <w:t>ded to testify against him in a </w:t>
      </w:r>
      <w:r w:rsidR="00AC0BCC" w:rsidRPr="000D2E09">
        <w:t>separate set of proceedings</w:t>
      </w:r>
      <w:r w:rsidR="00660B23" w:rsidRPr="000D2E09">
        <w:rPr>
          <w:lang w:val="en-GB"/>
        </w:rPr>
        <w:t>.</w:t>
      </w:r>
    </w:p>
    <w:p w:rsidR="00660B23" w:rsidRPr="000D2E09" w:rsidRDefault="00660B23"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7</w:t>
      </w:r>
      <w:r w:rsidRPr="000D2E09">
        <w:rPr>
          <w:lang w:val="en-GB"/>
        </w:rPr>
        <w:fldChar w:fldCharType="end"/>
      </w:r>
      <w:r w:rsidRPr="000D2E09">
        <w:rPr>
          <w:lang w:val="en-GB"/>
        </w:rPr>
        <w:t>.  He was subsequently convicted</w:t>
      </w:r>
      <w:r w:rsidR="00AC0BCC" w:rsidRPr="000D2E09">
        <w:rPr>
          <w:lang w:val="en-GB"/>
        </w:rPr>
        <w:t xml:space="preserve"> several </w:t>
      </w:r>
      <w:r w:rsidR="004D121D" w:rsidRPr="000D2E09">
        <w:rPr>
          <w:lang w:val="en-GB"/>
        </w:rPr>
        <w:t>times for various offences</w:t>
      </w:r>
      <w:r w:rsidR="00333BC9" w:rsidRPr="000D2E09">
        <w:rPr>
          <w:lang w:val="en-GB"/>
        </w:rPr>
        <w:t>. I</w:t>
      </w:r>
      <w:r w:rsidR="004D121D" w:rsidRPr="000D2E09">
        <w:rPr>
          <w:lang w:val="en-GB"/>
        </w:rPr>
        <w:t>n particular, on 27 February 2013 the Warsaw Regional Court convicted him of murder.</w:t>
      </w:r>
    </w:p>
    <w:p w:rsidR="00660B23" w:rsidRPr="000D2E09" w:rsidRDefault="00D53B0E" w:rsidP="000D2E09">
      <w:pPr>
        <w:pStyle w:val="ECHRHeading2"/>
        <w:rPr>
          <w:rFonts w:eastAsia="Calibri"/>
        </w:rPr>
      </w:pPr>
      <w:r w:rsidRPr="000D2E09">
        <w:rPr>
          <w:lang w:val="en-GB"/>
        </w:rPr>
        <w:t>B</w:t>
      </w:r>
      <w:r w:rsidR="00660B23" w:rsidRPr="000D2E09">
        <w:rPr>
          <w:lang w:val="en-GB"/>
        </w:rPr>
        <w:t>.</w:t>
      </w:r>
      <w:r w:rsidR="00660B23" w:rsidRPr="000D2E09">
        <w:rPr>
          <w:rFonts w:eastAsia="Calibri"/>
        </w:rPr>
        <w:t>  Imposition of the “dangerous detainee” regime</w:t>
      </w:r>
    </w:p>
    <w:p w:rsidR="005740C8" w:rsidRPr="000D2E09" w:rsidRDefault="00660B23" w:rsidP="000D2E09">
      <w:pPr>
        <w:pStyle w:val="ECHRPara"/>
        <w:rPr>
          <w:rFonts w:eastAsia="Calibri"/>
        </w:rPr>
      </w:pPr>
      <w:r w:rsidRPr="000D2E09">
        <w:rPr>
          <w:rFonts w:eastAsia="Calibri"/>
        </w:rPr>
        <w:fldChar w:fldCharType="begin"/>
      </w:r>
      <w:r w:rsidRPr="000D2E09">
        <w:rPr>
          <w:rFonts w:eastAsia="Calibri"/>
        </w:rPr>
        <w:instrText xml:space="preserve"> SEQ level0 \*arabic </w:instrText>
      </w:r>
      <w:r w:rsidRPr="000D2E09">
        <w:rPr>
          <w:rFonts w:eastAsia="Calibri"/>
        </w:rPr>
        <w:fldChar w:fldCharType="separate"/>
      </w:r>
      <w:r w:rsidR="000D2E09" w:rsidRPr="000D2E09">
        <w:rPr>
          <w:rFonts w:eastAsia="Calibri"/>
          <w:noProof/>
        </w:rPr>
        <w:t>8</w:t>
      </w:r>
      <w:r w:rsidRPr="000D2E09">
        <w:rPr>
          <w:rFonts w:eastAsia="Calibri"/>
        </w:rPr>
        <w:fldChar w:fldCharType="end"/>
      </w:r>
      <w:r w:rsidRPr="000D2E09">
        <w:rPr>
          <w:rFonts w:eastAsia="Calibri"/>
        </w:rPr>
        <w:t>.  On 1</w:t>
      </w:r>
      <w:r w:rsidR="005740C8" w:rsidRPr="000D2E09">
        <w:rPr>
          <w:rFonts w:eastAsia="Calibri"/>
        </w:rPr>
        <w:t>9</w:t>
      </w:r>
      <w:r w:rsidRPr="000D2E09">
        <w:rPr>
          <w:rFonts w:eastAsia="Calibri"/>
        </w:rPr>
        <w:t xml:space="preserve"> January 2006 the Warsaw Remand Centre Penitentiary Commission (“the commission”) classified the applicant as a dangerous detainee.</w:t>
      </w:r>
      <w:r w:rsidR="005740C8" w:rsidRPr="000D2E09">
        <w:rPr>
          <w:rFonts w:eastAsia="Calibri"/>
        </w:rPr>
        <w:t xml:space="preserve"> The decision </w:t>
      </w:r>
      <w:r w:rsidR="004575C3" w:rsidRPr="000D2E09">
        <w:rPr>
          <w:rFonts w:eastAsia="Calibri"/>
        </w:rPr>
        <w:t xml:space="preserve">stated </w:t>
      </w:r>
      <w:r w:rsidR="005740C8" w:rsidRPr="000D2E09">
        <w:rPr>
          <w:rFonts w:eastAsia="Calibri"/>
        </w:rPr>
        <w:t>as follows:</w:t>
      </w:r>
    </w:p>
    <w:p w:rsidR="005740C8" w:rsidRPr="000D2E09" w:rsidRDefault="005740C8" w:rsidP="000D2E09">
      <w:pPr>
        <w:pStyle w:val="ECHRParaQuote"/>
        <w:rPr>
          <w:rFonts w:ascii="Times New Roman" w:eastAsia="Calibri" w:hAnsi="Times New Roman" w:cs="Times New Roman"/>
          <w:szCs w:val="24"/>
          <w:lang w:eastAsia="x-none"/>
        </w:rPr>
      </w:pPr>
      <w:r w:rsidRPr="000D2E09">
        <w:rPr>
          <w:rFonts w:ascii="Times New Roman" w:eastAsia="Calibri" w:hAnsi="Times New Roman" w:cs="Times New Roman"/>
          <w:szCs w:val="24"/>
          <w:lang w:eastAsia="x-none"/>
        </w:rPr>
        <w:t>“</w:t>
      </w:r>
      <w:r w:rsidR="0033047D" w:rsidRPr="000D2E09">
        <w:rPr>
          <w:rFonts w:ascii="Times New Roman" w:eastAsia="Calibri" w:hAnsi="Times New Roman" w:cs="Times New Roman"/>
          <w:szCs w:val="24"/>
          <w:lang w:eastAsia="x-none"/>
        </w:rPr>
        <w:t>T</w:t>
      </w:r>
      <w:r w:rsidRPr="000D2E09">
        <w:rPr>
          <w:rFonts w:ascii="Times New Roman" w:eastAsia="Calibri" w:hAnsi="Times New Roman" w:cs="Times New Roman"/>
          <w:szCs w:val="24"/>
          <w:lang w:eastAsia="x-none"/>
        </w:rPr>
        <w:t xml:space="preserve">he </w:t>
      </w:r>
      <w:r w:rsidR="0033047D" w:rsidRPr="000D2E09">
        <w:rPr>
          <w:rFonts w:ascii="Times New Roman" w:eastAsia="Calibri" w:hAnsi="Times New Roman" w:cs="Times New Roman"/>
          <w:szCs w:val="24"/>
          <w:lang w:eastAsia="x-none"/>
        </w:rPr>
        <w:t>c</w:t>
      </w:r>
      <w:r w:rsidRPr="000D2E09">
        <w:rPr>
          <w:rFonts w:ascii="Times New Roman" w:eastAsia="Calibri" w:hAnsi="Times New Roman" w:cs="Times New Roman"/>
          <w:szCs w:val="24"/>
          <w:lang w:eastAsia="x-none"/>
        </w:rPr>
        <w:t xml:space="preserve">ommission hereby </w:t>
      </w:r>
      <w:r w:rsidR="00333BC9" w:rsidRPr="000D2E09">
        <w:rPr>
          <w:rFonts w:ascii="Times New Roman" w:eastAsia="Calibri" w:hAnsi="Times New Roman" w:cs="Times New Roman"/>
          <w:szCs w:val="24"/>
          <w:lang w:eastAsia="x-none"/>
        </w:rPr>
        <w:t xml:space="preserve">decides that </w:t>
      </w:r>
      <w:r w:rsidR="004575C3" w:rsidRPr="000D2E09">
        <w:rPr>
          <w:rFonts w:ascii="Times New Roman" w:eastAsia="Calibri" w:hAnsi="Times New Roman" w:cs="Times New Roman"/>
          <w:szCs w:val="24"/>
          <w:lang w:eastAsia="x-none"/>
        </w:rPr>
        <w:t>[</w:t>
      </w:r>
      <w:r w:rsidRPr="000D2E09">
        <w:rPr>
          <w:rFonts w:ascii="Times New Roman" w:eastAsia="Calibri" w:hAnsi="Times New Roman" w:cs="Times New Roman"/>
          <w:szCs w:val="24"/>
          <w:lang w:eastAsia="x-none"/>
        </w:rPr>
        <w:t>the applicant</w:t>
      </w:r>
      <w:r w:rsidR="004575C3" w:rsidRPr="000D2E09">
        <w:rPr>
          <w:rFonts w:ascii="Times New Roman" w:eastAsia="Calibri" w:hAnsi="Times New Roman" w:cs="Times New Roman"/>
          <w:szCs w:val="24"/>
          <w:lang w:eastAsia="x-none"/>
        </w:rPr>
        <w:t>]</w:t>
      </w:r>
      <w:r w:rsidRPr="000D2E09">
        <w:rPr>
          <w:rFonts w:ascii="Times New Roman" w:eastAsia="Calibri" w:hAnsi="Times New Roman" w:cs="Times New Roman"/>
          <w:szCs w:val="24"/>
          <w:lang w:eastAsia="x-none"/>
        </w:rPr>
        <w:t xml:space="preserve"> </w:t>
      </w:r>
      <w:r w:rsidR="00D53B0E" w:rsidRPr="000D2E09">
        <w:rPr>
          <w:rFonts w:ascii="Times New Roman" w:eastAsia="Calibri" w:hAnsi="Times New Roman" w:cs="Times New Roman"/>
          <w:szCs w:val="24"/>
          <w:lang w:eastAsia="x-none"/>
        </w:rPr>
        <w:t xml:space="preserve">is </w:t>
      </w:r>
      <w:r w:rsidR="00333BC9" w:rsidRPr="000D2E09">
        <w:rPr>
          <w:rFonts w:ascii="Times New Roman" w:eastAsia="Calibri" w:hAnsi="Times New Roman" w:cs="Times New Roman"/>
          <w:szCs w:val="24"/>
          <w:lang w:eastAsia="x-none"/>
        </w:rPr>
        <w:t xml:space="preserve">to be </w:t>
      </w:r>
      <w:r w:rsidR="0033047D" w:rsidRPr="000D2E09">
        <w:rPr>
          <w:rFonts w:ascii="Times New Roman" w:eastAsia="Calibri" w:hAnsi="Times New Roman" w:cs="Times New Roman"/>
          <w:szCs w:val="24"/>
          <w:lang w:eastAsia="x-none"/>
        </w:rPr>
        <w:t>place</w:t>
      </w:r>
      <w:r w:rsidR="00333BC9" w:rsidRPr="000D2E09">
        <w:rPr>
          <w:rFonts w:ascii="Times New Roman" w:eastAsia="Calibri" w:hAnsi="Times New Roman" w:cs="Times New Roman"/>
          <w:szCs w:val="24"/>
          <w:lang w:eastAsia="x-none"/>
        </w:rPr>
        <w:t>d</w:t>
      </w:r>
      <w:r w:rsidR="0033047D" w:rsidRPr="000D2E09">
        <w:rPr>
          <w:rFonts w:ascii="Times New Roman" w:eastAsia="Calibri" w:hAnsi="Times New Roman" w:cs="Times New Roman"/>
          <w:szCs w:val="24"/>
          <w:lang w:eastAsia="x-none"/>
        </w:rPr>
        <w:t xml:space="preserve"> in </w:t>
      </w:r>
      <w:r w:rsidR="0033047D" w:rsidRPr="000D2E09">
        <w:rPr>
          <w:rFonts w:eastAsia="Times New Roman"/>
        </w:rPr>
        <w:t xml:space="preserve">a designated </w:t>
      </w:r>
      <w:r w:rsidR="00333BC9" w:rsidRPr="000D2E09">
        <w:rPr>
          <w:rFonts w:eastAsia="Times New Roman"/>
        </w:rPr>
        <w:t xml:space="preserve">wing </w:t>
      </w:r>
      <w:r w:rsidR="00D53B0E" w:rsidRPr="000D2E09">
        <w:rPr>
          <w:rFonts w:eastAsia="Times New Roman"/>
        </w:rPr>
        <w:t xml:space="preserve">or cell </w:t>
      </w:r>
      <w:r w:rsidR="00333BC9" w:rsidRPr="000D2E09">
        <w:rPr>
          <w:rFonts w:eastAsia="Times New Roman"/>
        </w:rPr>
        <w:t xml:space="preserve">in a </w:t>
      </w:r>
      <w:r w:rsidR="0033047D" w:rsidRPr="000D2E09">
        <w:rPr>
          <w:rFonts w:eastAsia="Times New Roman"/>
        </w:rPr>
        <w:t xml:space="preserve">remand </w:t>
      </w:r>
      <w:r w:rsidR="00153606" w:rsidRPr="000D2E09">
        <w:rPr>
          <w:rFonts w:eastAsia="Times New Roman"/>
        </w:rPr>
        <w:t>centre in</w:t>
      </w:r>
      <w:r w:rsidR="0033047D" w:rsidRPr="000D2E09">
        <w:rPr>
          <w:rFonts w:eastAsia="Times New Roman"/>
        </w:rPr>
        <w:t xml:space="preserve"> conditions </w:t>
      </w:r>
      <w:r w:rsidR="00333BC9" w:rsidRPr="000D2E09">
        <w:rPr>
          <w:rFonts w:eastAsia="Times New Roman"/>
        </w:rPr>
        <w:t xml:space="preserve">which provide </w:t>
      </w:r>
      <w:r w:rsidR="0033047D" w:rsidRPr="000D2E09">
        <w:rPr>
          <w:rFonts w:eastAsia="Times New Roman"/>
        </w:rPr>
        <w:t xml:space="preserve">increased protection </w:t>
      </w:r>
      <w:r w:rsidR="00333BC9" w:rsidRPr="000D2E09">
        <w:rPr>
          <w:rFonts w:eastAsia="Times New Roman"/>
        </w:rPr>
        <w:t xml:space="preserve">for </w:t>
      </w:r>
      <w:r w:rsidR="0033047D" w:rsidRPr="000D2E09">
        <w:rPr>
          <w:rFonts w:eastAsia="Times New Roman"/>
        </w:rPr>
        <w:t xml:space="preserve">society and </w:t>
      </w:r>
      <w:r w:rsidR="00333BC9" w:rsidRPr="000D2E09">
        <w:rPr>
          <w:rFonts w:eastAsia="Times New Roman"/>
        </w:rPr>
        <w:t xml:space="preserve">for </w:t>
      </w:r>
      <w:r w:rsidR="0033047D" w:rsidRPr="000D2E09">
        <w:rPr>
          <w:rFonts w:eastAsia="Times New Roman"/>
        </w:rPr>
        <w:t>the security of the remand centre.</w:t>
      </w:r>
    </w:p>
    <w:p w:rsidR="0033047D" w:rsidRPr="000D2E09" w:rsidRDefault="0033047D" w:rsidP="000D2E09">
      <w:pPr>
        <w:pStyle w:val="ECHRParaQuote"/>
        <w:rPr>
          <w:rFonts w:ascii="Times New Roman" w:eastAsia="Calibri" w:hAnsi="Times New Roman" w:cs="Times New Roman"/>
          <w:szCs w:val="24"/>
          <w:lang w:eastAsia="x-none"/>
        </w:rPr>
      </w:pPr>
      <w:r w:rsidRPr="000D2E09">
        <w:rPr>
          <w:rFonts w:ascii="Times New Roman" w:eastAsia="Calibri" w:hAnsi="Times New Roman" w:cs="Times New Roman"/>
          <w:szCs w:val="24"/>
          <w:lang w:eastAsia="x-none"/>
        </w:rPr>
        <w:t xml:space="preserve">The commission approves the proposals </w:t>
      </w:r>
      <w:r w:rsidR="00333BC9" w:rsidRPr="000D2E09">
        <w:rPr>
          <w:rFonts w:ascii="Times New Roman" w:eastAsia="Calibri" w:hAnsi="Times New Roman" w:cs="Times New Roman"/>
          <w:szCs w:val="24"/>
          <w:lang w:eastAsia="x-none"/>
        </w:rPr>
        <w:t xml:space="preserve">of </w:t>
      </w:r>
      <w:r w:rsidRPr="000D2E09">
        <w:rPr>
          <w:rFonts w:ascii="Times New Roman" w:eastAsia="Calibri" w:hAnsi="Times New Roman" w:cs="Times New Roman"/>
          <w:szCs w:val="24"/>
          <w:lang w:eastAsia="x-none"/>
        </w:rPr>
        <w:t xml:space="preserve">the directors of </w:t>
      </w:r>
      <w:r w:rsidR="00333BC9" w:rsidRPr="000D2E09">
        <w:rPr>
          <w:rFonts w:ascii="Times New Roman" w:eastAsia="Calibri" w:hAnsi="Times New Roman" w:cs="Times New Roman"/>
          <w:szCs w:val="24"/>
          <w:lang w:eastAsia="x-none"/>
        </w:rPr>
        <w:t xml:space="preserve">the </w:t>
      </w:r>
      <w:r w:rsidRPr="000D2E09">
        <w:rPr>
          <w:rFonts w:ascii="Times New Roman" w:eastAsia="Calibri" w:hAnsi="Times New Roman" w:cs="Times New Roman"/>
          <w:szCs w:val="24"/>
          <w:lang w:eastAsia="x-none"/>
        </w:rPr>
        <w:t>protection and p</w:t>
      </w:r>
      <w:r w:rsidR="00333BC9" w:rsidRPr="000D2E09">
        <w:rPr>
          <w:rFonts w:ascii="Times New Roman" w:eastAsia="Calibri" w:hAnsi="Times New Roman" w:cs="Times New Roman"/>
          <w:szCs w:val="24"/>
          <w:lang w:eastAsia="x-none"/>
        </w:rPr>
        <w:t>rison wings</w:t>
      </w:r>
      <w:r w:rsidRPr="000D2E09">
        <w:rPr>
          <w:rFonts w:ascii="Times New Roman" w:eastAsia="Calibri" w:hAnsi="Times New Roman" w:cs="Times New Roman"/>
          <w:szCs w:val="24"/>
          <w:lang w:eastAsia="x-none"/>
        </w:rPr>
        <w:t>.</w:t>
      </w:r>
    </w:p>
    <w:p w:rsidR="0033047D" w:rsidRPr="000D2E09" w:rsidRDefault="0033047D" w:rsidP="000D2E09">
      <w:pPr>
        <w:pStyle w:val="ECHRParaQuote"/>
        <w:rPr>
          <w:rFonts w:ascii="Times New Roman" w:eastAsia="Calibri" w:hAnsi="Times New Roman" w:cs="Times New Roman"/>
          <w:szCs w:val="24"/>
          <w:lang w:eastAsia="x-none"/>
        </w:rPr>
      </w:pPr>
      <w:r w:rsidRPr="000D2E09">
        <w:rPr>
          <w:rFonts w:ascii="Times New Roman" w:eastAsia="Calibri" w:hAnsi="Times New Roman" w:cs="Times New Roman"/>
          <w:szCs w:val="24"/>
          <w:lang w:eastAsia="x-none"/>
        </w:rPr>
        <w:t>The detaine</w:t>
      </w:r>
      <w:r w:rsidR="00333BC9" w:rsidRPr="000D2E09">
        <w:rPr>
          <w:rFonts w:ascii="Times New Roman" w:eastAsia="Calibri" w:hAnsi="Times New Roman" w:cs="Times New Roman"/>
          <w:szCs w:val="24"/>
          <w:lang w:eastAsia="x-none"/>
        </w:rPr>
        <w:t>e</w:t>
      </w:r>
      <w:r w:rsidRPr="000D2E09">
        <w:rPr>
          <w:rFonts w:ascii="Times New Roman" w:eastAsia="Calibri" w:hAnsi="Times New Roman" w:cs="Times New Roman"/>
          <w:szCs w:val="24"/>
          <w:lang w:eastAsia="x-none"/>
        </w:rPr>
        <w:t xml:space="preserve"> </w:t>
      </w:r>
      <w:r w:rsidR="00333BC9" w:rsidRPr="000D2E09">
        <w:rPr>
          <w:rFonts w:ascii="Times New Roman" w:eastAsia="Calibri" w:hAnsi="Times New Roman" w:cs="Times New Roman"/>
          <w:szCs w:val="24"/>
          <w:lang w:eastAsia="x-none"/>
        </w:rPr>
        <w:t xml:space="preserve">has been </w:t>
      </w:r>
      <w:r w:rsidRPr="000D2E09">
        <w:rPr>
          <w:rFonts w:ascii="Times New Roman" w:eastAsia="Calibri" w:hAnsi="Times New Roman" w:cs="Times New Roman"/>
          <w:szCs w:val="24"/>
          <w:lang w:eastAsia="x-none"/>
        </w:rPr>
        <w:t>informed of his right to appeal</w:t>
      </w:r>
      <w:r w:rsidR="00333BC9" w:rsidRPr="000D2E09">
        <w:rPr>
          <w:rFonts w:ascii="Times New Roman" w:eastAsia="Calibri" w:hAnsi="Times New Roman" w:cs="Times New Roman"/>
          <w:szCs w:val="24"/>
          <w:lang w:eastAsia="x-none"/>
        </w:rPr>
        <w:t xml:space="preserve"> </w:t>
      </w:r>
      <w:r w:rsidRPr="000D2E09">
        <w:rPr>
          <w:rFonts w:ascii="Times New Roman" w:eastAsia="Calibri" w:hAnsi="Times New Roman" w:cs="Times New Roman"/>
          <w:szCs w:val="24"/>
          <w:lang w:eastAsia="x-none"/>
        </w:rPr>
        <w:t xml:space="preserve">against </w:t>
      </w:r>
      <w:r w:rsidR="00333BC9" w:rsidRPr="000D2E09">
        <w:rPr>
          <w:rFonts w:ascii="Times New Roman" w:eastAsia="Calibri" w:hAnsi="Times New Roman" w:cs="Times New Roman"/>
          <w:szCs w:val="24"/>
          <w:lang w:eastAsia="x-none"/>
        </w:rPr>
        <w:t>the commission</w:t>
      </w:r>
      <w:r w:rsidR="000D2E09" w:rsidRPr="000D2E09">
        <w:rPr>
          <w:rFonts w:ascii="Times New Roman" w:eastAsia="Calibri" w:hAnsi="Times New Roman" w:cs="Times New Roman"/>
          <w:szCs w:val="24"/>
          <w:lang w:eastAsia="x-none"/>
        </w:rPr>
        <w:t>’</w:t>
      </w:r>
      <w:r w:rsidR="00333BC9" w:rsidRPr="000D2E09">
        <w:rPr>
          <w:rFonts w:ascii="Times New Roman" w:eastAsia="Calibri" w:hAnsi="Times New Roman" w:cs="Times New Roman"/>
          <w:szCs w:val="24"/>
          <w:lang w:eastAsia="x-none"/>
        </w:rPr>
        <w:t xml:space="preserve">s </w:t>
      </w:r>
      <w:r w:rsidRPr="000D2E09">
        <w:rPr>
          <w:rFonts w:ascii="Times New Roman" w:eastAsia="Calibri" w:hAnsi="Times New Roman" w:cs="Times New Roman"/>
          <w:szCs w:val="24"/>
          <w:lang w:eastAsia="x-none"/>
        </w:rPr>
        <w:t>decision</w:t>
      </w:r>
      <w:r w:rsidR="00333BC9" w:rsidRPr="000D2E09" w:rsidDel="00333BC9">
        <w:rPr>
          <w:rFonts w:ascii="Times New Roman" w:eastAsia="Calibri" w:hAnsi="Times New Roman" w:cs="Times New Roman"/>
          <w:szCs w:val="24"/>
          <w:lang w:eastAsia="x-none"/>
        </w:rPr>
        <w:t xml:space="preserve"> </w:t>
      </w:r>
      <w:r w:rsidR="00D53B0E" w:rsidRPr="000D2E09">
        <w:rPr>
          <w:rFonts w:ascii="Times New Roman" w:eastAsia="Calibri" w:hAnsi="Times New Roman" w:cs="Times New Roman"/>
          <w:szCs w:val="24"/>
          <w:lang w:eastAsia="x-none"/>
        </w:rPr>
        <w:t xml:space="preserve">within </w:t>
      </w:r>
      <w:r w:rsidR="004575C3" w:rsidRPr="000D2E09">
        <w:rPr>
          <w:rFonts w:ascii="Times New Roman" w:eastAsia="Calibri" w:hAnsi="Times New Roman" w:cs="Times New Roman"/>
          <w:szCs w:val="24"/>
          <w:lang w:eastAsia="x-none"/>
        </w:rPr>
        <w:t xml:space="preserve">seven </w:t>
      </w:r>
      <w:r w:rsidR="00D53B0E" w:rsidRPr="000D2E09">
        <w:rPr>
          <w:rFonts w:ascii="Times New Roman" w:eastAsia="Calibri" w:hAnsi="Times New Roman" w:cs="Times New Roman"/>
          <w:szCs w:val="24"/>
          <w:lang w:eastAsia="x-none"/>
        </w:rPr>
        <w:t xml:space="preserve">days </w:t>
      </w:r>
      <w:r w:rsidRPr="000D2E09">
        <w:rPr>
          <w:rFonts w:ascii="Times New Roman" w:eastAsia="Calibri" w:hAnsi="Times New Roman" w:cs="Times New Roman"/>
          <w:szCs w:val="24"/>
          <w:lang w:eastAsia="x-none"/>
        </w:rPr>
        <w:t>to the Warsaw Regional Court, XI Penitentiary Division.”</w:t>
      </w:r>
    </w:p>
    <w:p w:rsidR="0033047D" w:rsidRPr="000D2E09" w:rsidRDefault="0033047D" w:rsidP="000D2E09">
      <w:pPr>
        <w:pStyle w:val="ECHRPara"/>
        <w:rPr>
          <w:rFonts w:eastAsia="Calibri"/>
        </w:rPr>
      </w:pPr>
      <w:r w:rsidRPr="000D2E09">
        <w:rPr>
          <w:rFonts w:eastAsia="Calibri"/>
        </w:rPr>
        <w:t xml:space="preserve">The last sentence of the decision </w:t>
      </w:r>
      <w:r w:rsidR="00D53B0E" w:rsidRPr="000D2E09">
        <w:t xml:space="preserve">contained information about </w:t>
      </w:r>
      <w:r w:rsidRPr="000D2E09">
        <w:rPr>
          <w:rFonts w:eastAsia="Calibri"/>
        </w:rPr>
        <w:t xml:space="preserve">who was </w:t>
      </w:r>
      <w:r w:rsidR="004575C3" w:rsidRPr="000D2E09">
        <w:rPr>
          <w:rFonts w:eastAsia="Calibri"/>
        </w:rPr>
        <w:t xml:space="preserve">to be </w:t>
      </w:r>
      <w:r w:rsidRPr="000D2E09">
        <w:rPr>
          <w:rFonts w:eastAsia="Calibri"/>
        </w:rPr>
        <w:t>informed about the applicant</w:t>
      </w:r>
      <w:r w:rsidR="000D2E09" w:rsidRPr="000D2E09">
        <w:rPr>
          <w:rFonts w:eastAsia="Calibri"/>
        </w:rPr>
        <w:t>’</w:t>
      </w:r>
      <w:r w:rsidRPr="000D2E09">
        <w:rPr>
          <w:rFonts w:eastAsia="Calibri"/>
        </w:rPr>
        <w:t>s placement in a cell for dangerous detainees.</w:t>
      </w:r>
    </w:p>
    <w:p w:rsidR="00660B23" w:rsidRPr="000D2E09" w:rsidRDefault="0033047D" w:rsidP="000D2E09">
      <w:pPr>
        <w:pStyle w:val="ECHRPara"/>
        <w:rPr>
          <w:rFonts w:eastAsia="Calibri"/>
        </w:rPr>
      </w:pPr>
      <w:r w:rsidRPr="000D2E09">
        <w:rPr>
          <w:rFonts w:eastAsia="Calibri"/>
        </w:rPr>
        <w:fldChar w:fldCharType="begin"/>
      </w:r>
      <w:r w:rsidRPr="000D2E09">
        <w:rPr>
          <w:rFonts w:eastAsia="Calibri"/>
        </w:rPr>
        <w:instrText xml:space="preserve"> SEQ level0 \*arabic </w:instrText>
      </w:r>
      <w:r w:rsidRPr="000D2E09">
        <w:rPr>
          <w:rFonts w:eastAsia="Calibri"/>
        </w:rPr>
        <w:fldChar w:fldCharType="separate"/>
      </w:r>
      <w:r w:rsidR="000D2E09" w:rsidRPr="000D2E09">
        <w:rPr>
          <w:rFonts w:eastAsia="Calibri"/>
          <w:noProof/>
        </w:rPr>
        <w:t>9</w:t>
      </w:r>
      <w:r w:rsidRPr="000D2E09">
        <w:rPr>
          <w:rFonts w:eastAsia="Calibri"/>
        </w:rPr>
        <w:fldChar w:fldCharType="end"/>
      </w:r>
      <w:r w:rsidRPr="000D2E09">
        <w:rPr>
          <w:rFonts w:eastAsia="Calibri"/>
        </w:rPr>
        <w:t>.  </w:t>
      </w:r>
      <w:r w:rsidR="004D121D" w:rsidRPr="000D2E09">
        <w:rPr>
          <w:rFonts w:eastAsia="Calibri"/>
        </w:rPr>
        <w:t xml:space="preserve">The applicant did not </w:t>
      </w:r>
      <w:r w:rsidR="00660B23" w:rsidRPr="000D2E09">
        <w:rPr>
          <w:rFonts w:eastAsia="Calibri"/>
        </w:rPr>
        <w:t>appeal against th</w:t>
      </w:r>
      <w:r w:rsidR="00D53B0E" w:rsidRPr="000D2E09">
        <w:rPr>
          <w:rFonts w:eastAsia="Calibri"/>
        </w:rPr>
        <w:t>at</w:t>
      </w:r>
      <w:r w:rsidR="00660B23" w:rsidRPr="000D2E09">
        <w:rPr>
          <w:rFonts w:eastAsia="Calibri"/>
        </w:rPr>
        <w:t xml:space="preserve"> decision.</w:t>
      </w:r>
    </w:p>
    <w:p w:rsidR="0033047D" w:rsidRPr="000D2E09" w:rsidRDefault="00660B23" w:rsidP="000D2E09">
      <w:pPr>
        <w:pStyle w:val="ECHRPara"/>
        <w:rPr>
          <w:rFonts w:eastAsia="Calibri"/>
        </w:rPr>
      </w:pPr>
      <w:r w:rsidRPr="000D2E09">
        <w:rPr>
          <w:rFonts w:eastAsia="Calibri"/>
        </w:rPr>
        <w:fldChar w:fldCharType="begin"/>
      </w:r>
      <w:r w:rsidRPr="000D2E09">
        <w:rPr>
          <w:rFonts w:eastAsia="Calibri"/>
        </w:rPr>
        <w:instrText xml:space="preserve"> SEQ level0 \*arabic </w:instrText>
      </w:r>
      <w:r w:rsidRPr="000D2E09">
        <w:rPr>
          <w:rFonts w:eastAsia="Calibri"/>
        </w:rPr>
        <w:fldChar w:fldCharType="separate"/>
      </w:r>
      <w:r w:rsidR="000D2E09" w:rsidRPr="000D2E09">
        <w:rPr>
          <w:rFonts w:eastAsia="Calibri"/>
          <w:noProof/>
        </w:rPr>
        <w:t>10</w:t>
      </w:r>
      <w:r w:rsidRPr="000D2E09">
        <w:rPr>
          <w:rFonts w:eastAsia="Calibri"/>
        </w:rPr>
        <w:fldChar w:fldCharType="end"/>
      </w:r>
      <w:r w:rsidRPr="000D2E09">
        <w:rPr>
          <w:rFonts w:eastAsia="Calibri"/>
        </w:rPr>
        <w:t xml:space="preserve">.  The commission reviewed and upheld its decision </w:t>
      </w:r>
      <w:r w:rsidR="00BC5D3D" w:rsidRPr="000D2E09">
        <w:rPr>
          <w:rFonts w:eastAsia="Calibri"/>
        </w:rPr>
        <w:t xml:space="preserve">to </w:t>
      </w:r>
      <w:r w:rsidRPr="000D2E09">
        <w:rPr>
          <w:rFonts w:eastAsia="Calibri"/>
        </w:rPr>
        <w:t>classify the applicant as a dangerous detainee on several occasions.</w:t>
      </w:r>
      <w:r w:rsidR="004D121D" w:rsidRPr="000D2E09">
        <w:rPr>
          <w:rFonts w:eastAsia="Calibri"/>
        </w:rPr>
        <w:t xml:space="preserve"> In total, </w:t>
      </w:r>
      <w:r w:rsidR="00BC5D3D" w:rsidRPr="000D2E09">
        <w:rPr>
          <w:rFonts w:eastAsia="Calibri"/>
        </w:rPr>
        <w:t xml:space="preserve">there were </w:t>
      </w:r>
      <w:r w:rsidR="004D121D" w:rsidRPr="000D2E09">
        <w:rPr>
          <w:rFonts w:eastAsia="Calibri"/>
        </w:rPr>
        <w:t xml:space="preserve">over thirty decisions </w:t>
      </w:r>
      <w:r w:rsidR="00BC5D3D" w:rsidRPr="000D2E09">
        <w:rPr>
          <w:rFonts w:eastAsia="Calibri"/>
        </w:rPr>
        <w:t xml:space="preserve">to </w:t>
      </w:r>
      <w:r w:rsidR="004D121D" w:rsidRPr="000D2E09">
        <w:rPr>
          <w:rFonts w:eastAsia="Calibri"/>
        </w:rPr>
        <w:t xml:space="preserve">extend </w:t>
      </w:r>
      <w:r w:rsidR="00D53B0E" w:rsidRPr="000D2E09">
        <w:rPr>
          <w:rFonts w:eastAsia="Calibri"/>
        </w:rPr>
        <w:t xml:space="preserve">the period of imposition of </w:t>
      </w:r>
      <w:r w:rsidR="004D121D" w:rsidRPr="000D2E09">
        <w:rPr>
          <w:rFonts w:eastAsia="Calibri"/>
        </w:rPr>
        <w:t xml:space="preserve">the regime </w:t>
      </w:r>
      <w:r w:rsidR="00BC5D3D" w:rsidRPr="000D2E09">
        <w:rPr>
          <w:rFonts w:eastAsia="Calibri"/>
        </w:rPr>
        <w:t xml:space="preserve">in respect of the applicant. </w:t>
      </w:r>
      <w:r w:rsidR="0033047D" w:rsidRPr="000D2E09">
        <w:rPr>
          <w:rFonts w:eastAsia="Calibri"/>
        </w:rPr>
        <w:t xml:space="preserve">All </w:t>
      </w:r>
      <w:r w:rsidR="00BC5D3D" w:rsidRPr="000D2E09">
        <w:rPr>
          <w:rFonts w:eastAsia="Calibri"/>
        </w:rPr>
        <w:t xml:space="preserve">the </w:t>
      </w:r>
      <w:r w:rsidR="0033047D" w:rsidRPr="000D2E09">
        <w:rPr>
          <w:rFonts w:eastAsia="Calibri"/>
        </w:rPr>
        <w:t xml:space="preserve">decisions were </w:t>
      </w:r>
      <w:r w:rsidR="00BC5D3D" w:rsidRPr="000D2E09">
        <w:rPr>
          <w:rFonts w:eastAsia="Calibri"/>
        </w:rPr>
        <w:t xml:space="preserve">based </w:t>
      </w:r>
      <w:r w:rsidR="0033047D" w:rsidRPr="000D2E09">
        <w:rPr>
          <w:rFonts w:eastAsia="Calibri"/>
        </w:rPr>
        <w:t xml:space="preserve">on the same </w:t>
      </w:r>
      <w:r w:rsidR="00D53B0E" w:rsidRPr="000D2E09">
        <w:rPr>
          <w:rFonts w:eastAsia="Calibri"/>
        </w:rPr>
        <w:t>pattern of wording</w:t>
      </w:r>
      <w:r w:rsidR="00BC5D3D" w:rsidRPr="000D2E09">
        <w:rPr>
          <w:rFonts w:eastAsia="Calibri"/>
        </w:rPr>
        <w:t>,</w:t>
      </w:r>
      <w:r w:rsidR="0033047D" w:rsidRPr="000D2E09">
        <w:rPr>
          <w:rFonts w:eastAsia="Calibri"/>
        </w:rPr>
        <w:t xml:space="preserve"> which read as follows:</w:t>
      </w:r>
    </w:p>
    <w:p w:rsidR="0033047D" w:rsidRPr="000D2E09" w:rsidRDefault="0033047D" w:rsidP="000D2E09">
      <w:pPr>
        <w:pStyle w:val="ECHRParaQuote"/>
        <w:rPr>
          <w:rFonts w:eastAsia="Calibri"/>
        </w:rPr>
      </w:pPr>
      <w:r w:rsidRPr="000D2E09">
        <w:rPr>
          <w:rFonts w:eastAsia="Calibri"/>
        </w:rPr>
        <w:t xml:space="preserve">“The commission </w:t>
      </w:r>
      <w:r w:rsidR="00BC5D3D" w:rsidRPr="000D2E09">
        <w:rPr>
          <w:rFonts w:eastAsia="Calibri"/>
        </w:rPr>
        <w:t xml:space="preserve">has </w:t>
      </w:r>
      <w:r w:rsidRPr="000D2E09">
        <w:rPr>
          <w:rFonts w:eastAsia="Calibri"/>
        </w:rPr>
        <w:t>decided to extend [the applicant</w:t>
      </w:r>
      <w:r w:rsidR="000D2E09" w:rsidRPr="000D2E09">
        <w:rPr>
          <w:rFonts w:eastAsia="Calibri"/>
        </w:rPr>
        <w:t>’</w:t>
      </w:r>
      <w:r w:rsidRPr="000D2E09">
        <w:rPr>
          <w:rFonts w:eastAsia="Calibri"/>
        </w:rPr>
        <w:t xml:space="preserve">s </w:t>
      </w:r>
      <w:r w:rsidR="00AE558D" w:rsidRPr="000D2E09">
        <w:rPr>
          <w:rFonts w:eastAsia="Calibri"/>
        </w:rPr>
        <w:t>categorisation</w:t>
      </w:r>
      <w:r w:rsidR="00BC5D3D" w:rsidRPr="000D2E09">
        <w:rPr>
          <w:rFonts w:eastAsia="Calibri"/>
        </w:rPr>
        <w:t xml:space="preserve"> </w:t>
      </w:r>
      <w:r w:rsidRPr="000D2E09">
        <w:rPr>
          <w:rFonts w:eastAsia="Calibri"/>
        </w:rPr>
        <w:t xml:space="preserve">as </w:t>
      </w:r>
      <w:r w:rsidR="007C02D6" w:rsidRPr="000D2E09">
        <w:rPr>
          <w:rFonts w:eastAsia="Calibri"/>
        </w:rPr>
        <w:t>a </w:t>
      </w:r>
      <w:r w:rsidRPr="000D2E09">
        <w:rPr>
          <w:rFonts w:eastAsia="Calibri"/>
        </w:rPr>
        <w:t xml:space="preserve">dangerous detainee] </w:t>
      </w:r>
      <w:r w:rsidR="00BC5D3D" w:rsidRPr="000D2E09">
        <w:rPr>
          <w:rFonts w:eastAsia="Calibri"/>
        </w:rPr>
        <w:t xml:space="preserve">as </w:t>
      </w:r>
      <w:r w:rsidRPr="000D2E09">
        <w:rPr>
          <w:rFonts w:eastAsia="Calibri"/>
        </w:rPr>
        <w:t xml:space="preserve">the reasons for </w:t>
      </w:r>
      <w:r w:rsidR="004575C3" w:rsidRPr="000D2E09">
        <w:rPr>
          <w:rFonts w:eastAsia="Calibri"/>
        </w:rPr>
        <w:t xml:space="preserve">his </w:t>
      </w:r>
      <w:r w:rsidRPr="000D2E09">
        <w:rPr>
          <w:rFonts w:eastAsia="Calibri"/>
        </w:rPr>
        <w:t xml:space="preserve">placement </w:t>
      </w:r>
      <w:r w:rsidR="0092564C" w:rsidRPr="000D2E09">
        <w:rPr>
          <w:rFonts w:eastAsia="Times New Roman"/>
        </w:rPr>
        <w:t xml:space="preserve">in a cell in conditions </w:t>
      </w:r>
      <w:r w:rsidR="00BC5D3D" w:rsidRPr="000D2E09">
        <w:rPr>
          <w:rFonts w:eastAsia="Times New Roman"/>
        </w:rPr>
        <w:t xml:space="preserve">which provide </w:t>
      </w:r>
      <w:r w:rsidR="0092564C" w:rsidRPr="000D2E09">
        <w:rPr>
          <w:rFonts w:eastAsia="Times New Roman"/>
        </w:rPr>
        <w:t xml:space="preserve">increased protection </w:t>
      </w:r>
      <w:r w:rsidR="00BC5D3D" w:rsidRPr="000D2E09">
        <w:rPr>
          <w:rFonts w:eastAsia="Times New Roman"/>
        </w:rPr>
        <w:t xml:space="preserve">for </w:t>
      </w:r>
      <w:r w:rsidR="0092564C" w:rsidRPr="000D2E09">
        <w:rPr>
          <w:rFonts w:eastAsia="Times New Roman"/>
        </w:rPr>
        <w:t xml:space="preserve">society and </w:t>
      </w:r>
      <w:r w:rsidR="00BC5D3D" w:rsidRPr="000D2E09">
        <w:rPr>
          <w:rFonts w:eastAsia="Times New Roman"/>
        </w:rPr>
        <w:t xml:space="preserve">for </w:t>
      </w:r>
      <w:r w:rsidR="0092564C" w:rsidRPr="000D2E09">
        <w:rPr>
          <w:rFonts w:eastAsia="Times New Roman"/>
        </w:rPr>
        <w:t xml:space="preserve">the security of the remand centre </w:t>
      </w:r>
      <w:r w:rsidR="00BC5D3D" w:rsidRPr="000D2E09">
        <w:rPr>
          <w:rFonts w:eastAsia="Times New Roman"/>
        </w:rPr>
        <w:t xml:space="preserve">have </w:t>
      </w:r>
      <w:r w:rsidR="0092564C" w:rsidRPr="000D2E09">
        <w:rPr>
          <w:rFonts w:eastAsia="Times New Roman"/>
        </w:rPr>
        <w:t>not cease</w:t>
      </w:r>
      <w:r w:rsidR="00BC5D3D" w:rsidRPr="000D2E09">
        <w:rPr>
          <w:rFonts w:eastAsia="Times New Roman"/>
        </w:rPr>
        <w:t>d</w:t>
      </w:r>
      <w:r w:rsidR="0092564C" w:rsidRPr="000D2E09">
        <w:rPr>
          <w:rFonts w:eastAsia="Times New Roman"/>
        </w:rPr>
        <w:t xml:space="preserve"> to exist.”</w:t>
      </w:r>
    </w:p>
    <w:p w:rsidR="00660B23" w:rsidRPr="000D2E09" w:rsidRDefault="00660B23" w:rsidP="000D2E09">
      <w:pPr>
        <w:pStyle w:val="ECHRPara"/>
        <w:rPr>
          <w:rFonts w:eastAsia="Calibri"/>
        </w:rPr>
      </w:pPr>
      <w:r w:rsidRPr="000D2E09">
        <w:rPr>
          <w:rFonts w:eastAsia="Calibri"/>
        </w:rPr>
        <w:fldChar w:fldCharType="begin"/>
      </w:r>
      <w:r w:rsidRPr="000D2E09">
        <w:rPr>
          <w:rFonts w:eastAsia="Calibri"/>
        </w:rPr>
        <w:instrText xml:space="preserve"> SEQ level0 \*arabic </w:instrText>
      </w:r>
      <w:r w:rsidRPr="000D2E09">
        <w:rPr>
          <w:rFonts w:eastAsia="Calibri"/>
        </w:rPr>
        <w:fldChar w:fldCharType="separate"/>
      </w:r>
      <w:r w:rsidR="000D2E09" w:rsidRPr="000D2E09">
        <w:rPr>
          <w:rFonts w:eastAsia="Calibri"/>
          <w:noProof/>
        </w:rPr>
        <w:t>11</w:t>
      </w:r>
      <w:r w:rsidRPr="000D2E09">
        <w:rPr>
          <w:rFonts w:eastAsia="Calibri"/>
        </w:rPr>
        <w:fldChar w:fldCharType="end"/>
      </w:r>
      <w:r w:rsidRPr="000D2E09">
        <w:rPr>
          <w:rFonts w:eastAsia="Calibri"/>
        </w:rPr>
        <w:t>.  </w:t>
      </w:r>
      <w:r w:rsidR="00BC5D3D" w:rsidRPr="000D2E09">
        <w:rPr>
          <w:rFonts w:eastAsia="Calibri"/>
        </w:rPr>
        <w:t xml:space="preserve">In </w:t>
      </w:r>
      <w:r w:rsidRPr="000D2E09">
        <w:rPr>
          <w:rFonts w:eastAsia="Calibri"/>
        </w:rPr>
        <w:t>particular</w:t>
      </w:r>
      <w:r w:rsidR="00BC5D3D" w:rsidRPr="000D2E09">
        <w:rPr>
          <w:rFonts w:eastAsia="Calibri"/>
        </w:rPr>
        <w:t xml:space="preserve">, </w:t>
      </w:r>
      <w:r w:rsidR="001D398E" w:rsidRPr="000D2E09">
        <w:rPr>
          <w:rFonts w:eastAsia="Calibri"/>
        </w:rPr>
        <w:t>a</w:t>
      </w:r>
      <w:r w:rsidR="00BC5D3D" w:rsidRPr="000D2E09">
        <w:rPr>
          <w:rFonts w:eastAsia="Calibri"/>
        </w:rPr>
        <w:t xml:space="preserve"> decision of </w:t>
      </w:r>
      <w:r w:rsidRPr="000D2E09">
        <w:rPr>
          <w:rFonts w:eastAsia="Calibri"/>
        </w:rPr>
        <w:t>3 January 2013</w:t>
      </w:r>
      <w:r w:rsidR="00BC5D3D" w:rsidRPr="000D2E09">
        <w:rPr>
          <w:rFonts w:eastAsia="Calibri"/>
        </w:rPr>
        <w:t xml:space="preserve"> to </w:t>
      </w:r>
      <w:r w:rsidRPr="000D2E09">
        <w:rPr>
          <w:rFonts w:eastAsia="Calibri"/>
        </w:rPr>
        <w:t>extend the imposition of the dangerous detainee regime on the applicant</w:t>
      </w:r>
      <w:r w:rsidR="00BC5D3D" w:rsidRPr="000D2E09">
        <w:rPr>
          <w:rFonts w:eastAsia="Calibri"/>
        </w:rPr>
        <w:t xml:space="preserve"> </w:t>
      </w:r>
      <w:r w:rsidRPr="000D2E09">
        <w:rPr>
          <w:rFonts w:eastAsia="Calibri"/>
        </w:rPr>
        <w:t xml:space="preserve">referred to the </w:t>
      </w:r>
      <w:r w:rsidR="001D398E" w:rsidRPr="000D2E09">
        <w:rPr>
          <w:rFonts w:eastAsia="Calibri"/>
        </w:rPr>
        <w:t xml:space="preserve">seriousness </w:t>
      </w:r>
      <w:r w:rsidRPr="000D2E09">
        <w:rPr>
          <w:rFonts w:eastAsia="Calibri"/>
        </w:rPr>
        <w:t xml:space="preserve">of </w:t>
      </w:r>
      <w:r w:rsidR="00BC5D3D" w:rsidRPr="000D2E09">
        <w:rPr>
          <w:rFonts w:eastAsia="Calibri"/>
        </w:rPr>
        <w:t xml:space="preserve">the </w:t>
      </w:r>
      <w:r w:rsidRPr="000D2E09">
        <w:rPr>
          <w:rFonts w:eastAsia="Calibri"/>
        </w:rPr>
        <w:t xml:space="preserve">charges against </w:t>
      </w:r>
      <w:r w:rsidR="001D398E" w:rsidRPr="000D2E09">
        <w:rPr>
          <w:rFonts w:eastAsia="Calibri"/>
        </w:rPr>
        <w:t xml:space="preserve">him </w:t>
      </w:r>
      <w:r w:rsidRPr="000D2E09">
        <w:rPr>
          <w:rFonts w:eastAsia="Calibri"/>
        </w:rPr>
        <w:t xml:space="preserve">and his </w:t>
      </w:r>
      <w:r w:rsidR="00BC5D3D" w:rsidRPr="000D2E09">
        <w:rPr>
          <w:rFonts w:eastAsia="Calibri"/>
        </w:rPr>
        <w:t xml:space="preserve">highly deficient </w:t>
      </w:r>
      <w:r w:rsidRPr="000D2E09">
        <w:rPr>
          <w:rFonts w:eastAsia="Calibri"/>
        </w:rPr>
        <w:t>moral character.</w:t>
      </w:r>
    </w:p>
    <w:p w:rsidR="00660B23" w:rsidRPr="000D2E09" w:rsidRDefault="006960EE" w:rsidP="000D2E09">
      <w:pPr>
        <w:pStyle w:val="ECHRPara"/>
      </w:pPr>
      <w:r>
        <w:fldChar w:fldCharType="begin"/>
      </w:r>
      <w:r>
        <w:instrText xml:space="preserve"> SEQ level</w:instrText>
      </w:r>
      <w:r>
        <w:instrText xml:space="preserve">0 \*arabic </w:instrText>
      </w:r>
      <w:r>
        <w:fldChar w:fldCharType="separate"/>
      </w:r>
      <w:r w:rsidR="000D2E09" w:rsidRPr="000D2E09">
        <w:rPr>
          <w:noProof/>
        </w:rPr>
        <w:t>12</w:t>
      </w:r>
      <w:r>
        <w:rPr>
          <w:noProof/>
        </w:rPr>
        <w:fldChar w:fldCharType="end"/>
      </w:r>
      <w:r w:rsidR="00660B23" w:rsidRPr="000D2E09">
        <w:t>.  </w:t>
      </w:r>
      <w:r w:rsidR="00BC5D3D" w:rsidRPr="000D2E09">
        <w:t xml:space="preserve">An appeal by the </w:t>
      </w:r>
      <w:r w:rsidR="00660B23" w:rsidRPr="000D2E09">
        <w:t xml:space="preserve">applicant </w:t>
      </w:r>
      <w:r w:rsidR="00BC5D3D" w:rsidRPr="000D2E09">
        <w:t xml:space="preserve">against the latter decision </w:t>
      </w:r>
      <w:r w:rsidR="004D121D" w:rsidRPr="000D2E09">
        <w:t xml:space="preserve">was </w:t>
      </w:r>
      <w:r w:rsidR="004247AC" w:rsidRPr="000D2E09">
        <w:t xml:space="preserve">the </w:t>
      </w:r>
      <w:r w:rsidR="004D121D" w:rsidRPr="000D2E09">
        <w:t xml:space="preserve">only </w:t>
      </w:r>
      <w:r w:rsidR="004247AC" w:rsidRPr="000D2E09">
        <w:t xml:space="preserve">one he made </w:t>
      </w:r>
      <w:r w:rsidR="004D121D" w:rsidRPr="000D2E09">
        <w:t xml:space="preserve">against the </w:t>
      </w:r>
      <w:r w:rsidR="004247AC" w:rsidRPr="000D2E09">
        <w:t xml:space="preserve">series of decisions to </w:t>
      </w:r>
      <w:r w:rsidR="004D121D" w:rsidRPr="000D2E09">
        <w:t>impos</w:t>
      </w:r>
      <w:r w:rsidR="004247AC" w:rsidRPr="000D2E09">
        <w:t xml:space="preserve">e </w:t>
      </w:r>
      <w:r w:rsidR="004D121D" w:rsidRPr="000D2E09">
        <w:t>and exten</w:t>
      </w:r>
      <w:r w:rsidR="004247AC" w:rsidRPr="000D2E09">
        <w:t xml:space="preserve">d </w:t>
      </w:r>
      <w:r w:rsidR="004D121D" w:rsidRPr="000D2E09">
        <w:t>the dangerous detainee regime</w:t>
      </w:r>
      <w:r w:rsidR="001D398E" w:rsidRPr="000D2E09">
        <w:t xml:space="preserve"> on him</w:t>
      </w:r>
      <w:r w:rsidR="004D121D" w:rsidRPr="000D2E09">
        <w:t>.</w:t>
      </w:r>
    </w:p>
    <w:p w:rsidR="004D121D" w:rsidRPr="000D2E09" w:rsidRDefault="00660B23" w:rsidP="000D2E09">
      <w:pPr>
        <w:pStyle w:val="ECHRPara"/>
        <w:rPr>
          <w:rFonts w:eastAsia="Calibri"/>
        </w:rPr>
      </w:pPr>
      <w:r w:rsidRPr="000D2E09">
        <w:rPr>
          <w:rFonts w:eastAsia="Calibri"/>
        </w:rPr>
        <w:fldChar w:fldCharType="begin"/>
      </w:r>
      <w:r w:rsidRPr="000D2E09">
        <w:rPr>
          <w:rFonts w:eastAsia="Calibri"/>
        </w:rPr>
        <w:instrText xml:space="preserve"> SEQ level0 \*arabic </w:instrText>
      </w:r>
      <w:r w:rsidRPr="000D2E09">
        <w:rPr>
          <w:rFonts w:eastAsia="Calibri"/>
        </w:rPr>
        <w:fldChar w:fldCharType="separate"/>
      </w:r>
      <w:r w:rsidR="000D2E09" w:rsidRPr="000D2E09">
        <w:rPr>
          <w:rFonts w:eastAsia="Calibri"/>
          <w:noProof/>
        </w:rPr>
        <w:t>13</w:t>
      </w:r>
      <w:r w:rsidRPr="000D2E09">
        <w:rPr>
          <w:rFonts w:eastAsia="Calibri"/>
        </w:rPr>
        <w:fldChar w:fldCharType="end"/>
      </w:r>
      <w:r w:rsidRPr="000D2E09">
        <w:rPr>
          <w:rFonts w:eastAsia="Calibri"/>
        </w:rPr>
        <w:t xml:space="preserve">.  On 30 January 2013 the Warsaw Regional Court dismissed </w:t>
      </w:r>
      <w:r w:rsidR="004247AC" w:rsidRPr="000D2E09">
        <w:rPr>
          <w:rFonts w:eastAsia="Calibri"/>
        </w:rPr>
        <w:t xml:space="preserve">the </w:t>
      </w:r>
      <w:r w:rsidRPr="000D2E09">
        <w:rPr>
          <w:rFonts w:eastAsia="Calibri"/>
        </w:rPr>
        <w:t>appeal. The court held that the decision had been lawful.</w:t>
      </w:r>
    </w:p>
    <w:p w:rsidR="00867ACD" w:rsidRPr="000D2E09" w:rsidRDefault="00DE152E" w:rsidP="000D2E09">
      <w:pPr>
        <w:pStyle w:val="ECHRPara"/>
        <w:rPr>
          <w:rFonts w:eastAsia="Calibri"/>
        </w:rPr>
      </w:pPr>
      <w:r w:rsidRPr="000D2E09">
        <w:rPr>
          <w:rFonts w:eastAsia="Calibri"/>
        </w:rPr>
        <w:lastRenderedPageBreak/>
        <w:fldChar w:fldCharType="begin"/>
      </w:r>
      <w:r w:rsidRPr="000D2E09">
        <w:rPr>
          <w:rFonts w:eastAsia="Calibri"/>
        </w:rPr>
        <w:instrText xml:space="preserve"> SEQ level0 \*arabic </w:instrText>
      </w:r>
      <w:r w:rsidRPr="000D2E09">
        <w:rPr>
          <w:rFonts w:eastAsia="Calibri"/>
        </w:rPr>
        <w:fldChar w:fldCharType="separate"/>
      </w:r>
      <w:r w:rsidR="000D2E09" w:rsidRPr="000D2E09">
        <w:rPr>
          <w:rFonts w:eastAsia="Calibri"/>
          <w:noProof/>
        </w:rPr>
        <w:t>14</w:t>
      </w:r>
      <w:r w:rsidRPr="000D2E09">
        <w:rPr>
          <w:rFonts w:eastAsia="Calibri"/>
        </w:rPr>
        <w:fldChar w:fldCharType="end"/>
      </w:r>
      <w:r w:rsidRPr="000D2E09">
        <w:rPr>
          <w:rFonts w:eastAsia="Calibri"/>
        </w:rPr>
        <w:t>.  </w:t>
      </w:r>
      <w:r w:rsidR="00867ACD" w:rsidRPr="000D2E09">
        <w:rPr>
          <w:rFonts w:eastAsia="Calibri"/>
        </w:rPr>
        <w:t>On 21 November 2013 the commission lifted the dangerous detainee regime applied to the applicant.</w:t>
      </w:r>
    </w:p>
    <w:p w:rsidR="00660B23" w:rsidRPr="000D2E09" w:rsidRDefault="001D398E" w:rsidP="000D2E09">
      <w:pPr>
        <w:pStyle w:val="ECHRHeading2"/>
        <w:rPr>
          <w:rFonts w:eastAsia="Calibri"/>
        </w:rPr>
      </w:pPr>
      <w:r w:rsidRPr="000D2E09">
        <w:rPr>
          <w:rFonts w:eastAsia="Calibri"/>
        </w:rPr>
        <w:t>C</w:t>
      </w:r>
      <w:r w:rsidR="00660B23" w:rsidRPr="000D2E09">
        <w:rPr>
          <w:rFonts w:eastAsia="Calibri"/>
        </w:rPr>
        <w:t>.  </w:t>
      </w:r>
      <w:r w:rsidR="004247AC" w:rsidRPr="000D2E09">
        <w:rPr>
          <w:rFonts w:eastAsia="Calibri"/>
        </w:rPr>
        <w:t xml:space="preserve">Specific </w:t>
      </w:r>
      <w:r w:rsidR="00660B23" w:rsidRPr="000D2E09">
        <w:rPr>
          <w:rFonts w:eastAsia="Calibri"/>
        </w:rPr>
        <w:t>aspects of the regime</w:t>
      </w:r>
    </w:p>
    <w:p w:rsidR="00660B23" w:rsidRPr="000D2E09" w:rsidRDefault="006960EE" w:rsidP="000D2E09">
      <w:pPr>
        <w:pStyle w:val="ECHRPara"/>
        <w:keepNext/>
        <w:keepLines/>
      </w:pPr>
      <w:r>
        <w:fldChar w:fldCharType="begin"/>
      </w:r>
      <w:r>
        <w:instrText xml:space="preserve"> SEQ level0 \*arabic </w:instrText>
      </w:r>
      <w:r>
        <w:fldChar w:fldCharType="separate"/>
      </w:r>
      <w:r w:rsidR="000D2E09" w:rsidRPr="000D2E09">
        <w:rPr>
          <w:noProof/>
        </w:rPr>
        <w:t>15</w:t>
      </w:r>
      <w:r>
        <w:rPr>
          <w:noProof/>
        </w:rPr>
        <w:fldChar w:fldCharType="end"/>
      </w:r>
      <w:r w:rsidR="00660B23" w:rsidRPr="000D2E09">
        <w:t>.  </w:t>
      </w:r>
      <w:r w:rsidR="000D7156" w:rsidRPr="000D2E09">
        <w:t xml:space="preserve">The applicant was </w:t>
      </w:r>
      <w:r w:rsidR="00660B23" w:rsidRPr="000D2E09">
        <w:t xml:space="preserve">kept in a cell which was </w:t>
      </w:r>
      <w:r w:rsidR="0007115F" w:rsidRPr="000D2E09">
        <w:t>constantly monitored via closed</w:t>
      </w:r>
      <w:r w:rsidR="0007115F" w:rsidRPr="000D2E09">
        <w:noBreakHyphen/>
      </w:r>
      <w:r w:rsidR="00660B23" w:rsidRPr="000D2E09">
        <w:t xml:space="preserve">circuit television. He was subjected to a body search every time he left </w:t>
      </w:r>
      <w:r w:rsidR="001D398E" w:rsidRPr="000D2E09">
        <w:t xml:space="preserve">or </w:t>
      </w:r>
      <w:r w:rsidR="00660B23" w:rsidRPr="000D2E09">
        <w:t xml:space="preserve">entered the cell, which meant </w:t>
      </w:r>
      <w:r w:rsidR="001D398E" w:rsidRPr="000D2E09">
        <w:t xml:space="preserve">in practice </w:t>
      </w:r>
      <w:r w:rsidR="00660B23" w:rsidRPr="000D2E09">
        <w:t>that he had to strip naked in front of prison officers.</w:t>
      </w:r>
    </w:p>
    <w:p w:rsidR="00014566" w:rsidRPr="000D2E09" w:rsidRDefault="00014566" w:rsidP="000D2E09">
      <w:pPr>
        <w:pStyle w:val="ECHRHeading1"/>
        <w:rPr>
          <w:lang w:val="en-GB"/>
        </w:rPr>
      </w:pPr>
      <w:r w:rsidRPr="000D2E09">
        <w:rPr>
          <w:lang w:val="en-GB"/>
        </w:rPr>
        <w:t>II.  RELEVANT DOMESTIC LAW AND PRACTICE</w:t>
      </w:r>
    </w:p>
    <w:p w:rsidR="00153606" w:rsidRPr="000D2E09" w:rsidRDefault="00153606"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16</w:t>
      </w:r>
      <w:r w:rsidRPr="000D2E09">
        <w:rPr>
          <w:lang w:val="en-GB"/>
        </w:rPr>
        <w:fldChar w:fldCharType="end"/>
      </w:r>
      <w:r w:rsidRPr="000D2E09">
        <w:rPr>
          <w:lang w:val="en-GB"/>
        </w:rPr>
        <w:t>.  The relevant domestic law and practice concerning the imposition of the “dangerous detainee” regime are set out in the Court</w:t>
      </w:r>
      <w:r w:rsidR="000D2E09" w:rsidRPr="000D2E09">
        <w:rPr>
          <w:lang w:val="en-GB"/>
        </w:rPr>
        <w:t>’</w:t>
      </w:r>
      <w:r w:rsidRPr="000D2E09">
        <w:rPr>
          <w:lang w:val="en-GB"/>
        </w:rPr>
        <w:t xml:space="preserve">s judgments in the cases of </w:t>
      </w:r>
      <w:r w:rsidRPr="000D2E09">
        <w:rPr>
          <w:i/>
          <w:lang w:val="en-GB"/>
        </w:rPr>
        <w:t>Piechowicz v. Poland</w:t>
      </w:r>
      <w:r w:rsidRPr="000D2E09">
        <w:rPr>
          <w:lang w:val="en-GB"/>
        </w:rPr>
        <w:t xml:space="preserve"> (no. 20071/07, §§ 110-17, 17 April 2012), and </w:t>
      </w:r>
      <w:r w:rsidRPr="000D2E09">
        <w:rPr>
          <w:i/>
          <w:lang w:val="en-GB"/>
        </w:rPr>
        <w:t>Horych v. Poland</w:t>
      </w:r>
      <w:r w:rsidRPr="000D2E09">
        <w:rPr>
          <w:lang w:val="en-GB"/>
        </w:rPr>
        <w:t xml:space="preserve"> (no. 13621/08, §§ 49-56, 17 April 2012).</w:t>
      </w:r>
    </w:p>
    <w:p w:rsidR="00153606" w:rsidRPr="000D2E09" w:rsidRDefault="00153606"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17</w:t>
      </w:r>
      <w:r w:rsidRPr="000D2E09">
        <w:rPr>
          <w:lang w:val="en-GB"/>
        </w:rPr>
        <w:fldChar w:fldCharType="end"/>
      </w:r>
      <w:r w:rsidRPr="000D2E09">
        <w:rPr>
          <w:lang w:val="en-GB"/>
        </w:rPr>
        <w:t>.  The provisions of the Code of Execution of Criminal Sentences concerning the imposition of the regime on convicted persons read as follows:</w:t>
      </w:r>
    </w:p>
    <w:p w:rsidR="00153606" w:rsidRPr="000D2E09" w:rsidRDefault="00153606" w:rsidP="000D2E09">
      <w:pPr>
        <w:pStyle w:val="ECHRTitleCentre3"/>
        <w:rPr>
          <w:lang w:val="en-GB"/>
        </w:rPr>
      </w:pPr>
      <w:r w:rsidRPr="000D2E09">
        <w:rPr>
          <w:lang w:val="en-GB"/>
        </w:rPr>
        <w:t>Article 88 § 3</w:t>
      </w:r>
    </w:p>
    <w:p w:rsidR="00153606" w:rsidRPr="000D2E09" w:rsidRDefault="00153606" w:rsidP="000D2E09">
      <w:pPr>
        <w:pStyle w:val="ECHRParaQuote"/>
      </w:pPr>
      <w:r w:rsidRPr="000D2E09">
        <w:t>“A convicted person posing a serious danger to society or to the security of a prison shall be placed in a prison with a closed regime in conditions ensuring increased protection of society and the security of the prison.”</w:t>
      </w:r>
    </w:p>
    <w:p w:rsidR="00153606" w:rsidRPr="000D2E09" w:rsidRDefault="00153606" w:rsidP="000D2E09">
      <w:pPr>
        <w:pStyle w:val="ECHRTitleCentre3"/>
        <w:rPr>
          <w:lang w:val="en-GB"/>
        </w:rPr>
      </w:pPr>
      <w:r w:rsidRPr="000D2E09">
        <w:rPr>
          <w:lang w:val="en-GB"/>
        </w:rPr>
        <w:t>Article 88a</w:t>
      </w:r>
    </w:p>
    <w:p w:rsidR="00153606" w:rsidRPr="000D2E09" w:rsidRDefault="00153606" w:rsidP="000D2E09">
      <w:pPr>
        <w:pStyle w:val="ECHRParaQuote"/>
        <w:rPr>
          <w:lang w:val="en-GB"/>
        </w:rPr>
      </w:pPr>
      <w:r w:rsidRPr="000D2E09">
        <w:rPr>
          <w:lang w:val="en-GB"/>
        </w:rPr>
        <w:t>“1.</w:t>
      </w:r>
      <w:r w:rsidR="004727D1" w:rsidRPr="000D2E09">
        <w:rPr>
          <w:lang w:val="en-GB"/>
        </w:rPr>
        <w:t>  </w:t>
      </w:r>
      <w:r w:rsidRPr="000D2E09">
        <w:rPr>
          <w:lang w:val="en-GB"/>
        </w:rPr>
        <w:t>The convicted person referred to in Arti</w:t>
      </w:r>
      <w:r w:rsidR="0007115F" w:rsidRPr="000D2E09">
        <w:rPr>
          <w:lang w:val="en-GB"/>
        </w:rPr>
        <w:t>cle 88 § 3 shall be placed in a </w:t>
      </w:r>
      <w:r w:rsidRPr="000D2E09">
        <w:rPr>
          <w:lang w:val="en-GB"/>
        </w:rPr>
        <w:t>designated wing or in a cell of a prison with a closed regime. A penitentiary judge shall be informed about this placement.</w:t>
      </w:r>
    </w:p>
    <w:p w:rsidR="00153606" w:rsidRPr="000D2E09" w:rsidRDefault="00153606" w:rsidP="000D2E09">
      <w:pPr>
        <w:pStyle w:val="ECHRParaQuote"/>
        <w:rPr>
          <w:lang w:val="en-GB"/>
        </w:rPr>
      </w:pPr>
      <w:r w:rsidRPr="000D2E09">
        <w:rPr>
          <w:lang w:val="en-GB"/>
        </w:rPr>
        <w:t>2.  The provisions of paragraph 1 above shall be applied to a convicted person whose characteristics, personal circumstances, motivations, behaviour when committing the offence, type of offence and its consequences, behaviour in prison, or degree of depravity pose a serious danger to society or to the security of a prison, and who:</w:t>
      </w:r>
    </w:p>
    <w:p w:rsidR="00153606" w:rsidRPr="000D2E09" w:rsidRDefault="00153606" w:rsidP="000D2E09">
      <w:pPr>
        <w:pStyle w:val="ECHRParaQuote"/>
        <w:rPr>
          <w:lang w:val="en-GB"/>
        </w:rPr>
      </w:pPr>
      <w:r w:rsidRPr="000D2E09">
        <w:rPr>
          <w:lang w:val="en-GB"/>
        </w:rPr>
        <w:t>(2a)  during the prior or current term of imprisonment posed a danger to the security of a prison or a remand centre in that he was a leade</w:t>
      </w:r>
      <w:r w:rsidR="0007115F" w:rsidRPr="000D2E09">
        <w:rPr>
          <w:lang w:val="en-GB"/>
        </w:rPr>
        <w:t>r or an active participant in a </w:t>
      </w:r>
      <w:r w:rsidRPr="000D2E09">
        <w:rPr>
          <w:lang w:val="en-GB"/>
        </w:rPr>
        <w:t>collective remonstrance in a prison or a remand centre ...”</w:t>
      </w:r>
    </w:p>
    <w:p w:rsidR="00153606" w:rsidRPr="000D2E09" w:rsidRDefault="00153606"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18</w:t>
      </w:r>
      <w:r w:rsidRPr="000D2E09">
        <w:rPr>
          <w:lang w:val="en-GB"/>
        </w:rPr>
        <w:fldChar w:fldCharType="end"/>
      </w:r>
      <w:r w:rsidRPr="000D2E09">
        <w:rPr>
          <w:lang w:val="en-GB"/>
        </w:rPr>
        <w:t xml:space="preserve">.  Article 88b of the Code of Execution of Criminal Sentences lays down specific arrangements applicable to convicted persons to whom the “dangerous detainee” regime is applied. They are identical to those specified in Article 212b of the Code applicable to persons remanded in custody (see </w:t>
      </w:r>
      <w:r w:rsidRPr="000D2E09">
        <w:rPr>
          <w:i/>
          <w:lang w:val="en-GB"/>
        </w:rPr>
        <w:t>Piechowicz</w:t>
      </w:r>
      <w:r w:rsidRPr="000D2E09">
        <w:rPr>
          <w:lang w:val="en-GB"/>
        </w:rPr>
        <w:t>, cited above, § 106).</w:t>
      </w:r>
    </w:p>
    <w:p w:rsidR="00014566" w:rsidRPr="000D2E09" w:rsidRDefault="00014566" w:rsidP="000D2E09">
      <w:pPr>
        <w:pStyle w:val="ECHRTitle1"/>
        <w:rPr>
          <w:lang w:val="en-GB"/>
        </w:rPr>
      </w:pPr>
      <w:r w:rsidRPr="000D2E09">
        <w:rPr>
          <w:lang w:val="en-GB"/>
        </w:rPr>
        <w:lastRenderedPageBreak/>
        <w:t>THE LAW</w:t>
      </w:r>
    </w:p>
    <w:p w:rsidR="00014566" w:rsidRPr="000D2E09" w:rsidRDefault="00014566" w:rsidP="000D2E09">
      <w:pPr>
        <w:pStyle w:val="ECHRHeading1"/>
        <w:rPr>
          <w:lang w:val="en-GB"/>
        </w:rPr>
      </w:pPr>
      <w:r w:rsidRPr="000D2E09">
        <w:rPr>
          <w:lang w:val="en-GB"/>
        </w:rPr>
        <w:t xml:space="preserve">I.  ALLEGED VIOLATION OF ARTICLE </w:t>
      </w:r>
      <w:r w:rsidR="00AC0BCC" w:rsidRPr="000D2E09">
        <w:rPr>
          <w:lang w:val="en-GB"/>
        </w:rPr>
        <w:t>3</w:t>
      </w:r>
      <w:r w:rsidRPr="000D2E09">
        <w:rPr>
          <w:lang w:val="en-GB"/>
        </w:rPr>
        <w:t xml:space="preserve"> OF THE CONVENTION</w:t>
      </w:r>
    </w:p>
    <w:p w:rsidR="00D97515"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19</w:t>
      </w:r>
      <w:r w:rsidRPr="000D2E09">
        <w:rPr>
          <w:lang w:val="en-GB"/>
        </w:rPr>
        <w:fldChar w:fldCharType="end"/>
      </w:r>
      <w:r w:rsidRPr="000D2E09">
        <w:rPr>
          <w:lang w:val="en-GB"/>
        </w:rPr>
        <w:t xml:space="preserve">.  The applicant complained that he had been </w:t>
      </w:r>
      <w:r w:rsidR="0007115F" w:rsidRPr="000D2E09">
        <w:rPr>
          <w:lang w:val="en-GB"/>
        </w:rPr>
        <w:t>unlawfully classified as a </w:t>
      </w:r>
      <w:r w:rsidRPr="000D2E09">
        <w:rPr>
          <w:lang w:val="en-GB"/>
        </w:rPr>
        <w:t>dangerous detainee and subjected to degrading treatment prohibited by Article 3 of the Convention, which reads as follows:</w:t>
      </w:r>
    </w:p>
    <w:p w:rsidR="00D97515" w:rsidRPr="000D2E09" w:rsidRDefault="00D97515" w:rsidP="000D2E09">
      <w:pPr>
        <w:pStyle w:val="ECHRParaQuote"/>
        <w:rPr>
          <w:lang w:val="en-GB"/>
        </w:rPr>
      </w:pPr>
      <w:r w:rsidRPr="000D2E09">
        <w:rPr>
          <w:lang w:val="en-GB"/>
        </w:rPr>
        <w:t>“No one shall be subjected to torture or to inhuman or degrading treatment or punishment.”</w:t>
      </w:r>
    </w:p>
    <w:p w:rsidR="00D97515"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20</w:t>
      </w:r>
      <w:r w:rsidRPr="000D2E09">
        <w:rPr>
          <w:lang w:val="en-GB"/>
        </w:rPr>
        <w:fldChar w:fldCharType="end"/>
      </w:r>
      <w:r w:rsidRPr="000D2E09">
        <w:rPr>
          <w:lang w:val="en-GB"/>
        </w:rPr>
        <w:t>.  The Government contested that allegation.</w:t>
      </w:r>
    </w:p>
    <w:p w:rsidR="00D97515" w:rsidRPr="000D2E09" w:rsidRDefault="00D97515" w:rsidP="000D2E09">
      <w:pPr>
        <w:pStyle w:val="ECHRHeading2"/>
        <w:outlineLvl w:val="0"/>
        <w:rPr>
          <w:lang w:val="en-GB"/>
        </w:rPr>
      </w:pPr>
      <w:r w:rsidRPr="000D2E09">
        <w:rPr>
          <w:lang w:val="en-GB"/>
        </w:rPr>
        <w:t>A.  Admissibility</w:t>
      </w:r>
    </w:p>
    <w:p w:rsidR="00D97515" w:rsidRPr="000D2E09" w:rsidRDefault="00D97515" w:rsidP="000D2E09">
      <w:pPr>
        <w:pStyle w:val="ECHRHeading3"/>
        <w:rPr>
          <w:lang w:val="en-GB"/>
        </w:rPr>
      </w:pPr>
      <w:r w:rsidRPr="000D2E09">
        <w:rPr>
          <w:lang w:val="en-GB"/>
        </w:rPr>
        <w:t>1.  The parties</w:t>
      </w:r>
      <w:r w:rsidR="000D2E09" w:rsidRPr="000D2E09">
        <w:rPr>
          <w:lang w:val="en-GB"/>
        </w:rPr>
        <w:t>’</w:t>
      </w:r>
      <w:r w:rsidRPr="000D2E09">
        <w:rPr>
          <w:lang w:val="en-GB"/>
        </w:rPr>
        <w:t xml:space="preserve"> submissions</w:t>
      </w:r>
    </w:p>
    <w:p w:rsidR="00D97515"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21</w:t>
      </w:r>
      <w:r w:rsidRPr="000D2E09">
        <w:rPr>
          <w:lang w:val="en-GB"/>
        </w:rPr>
        <w:fldChar w:fldCharType="end"/>
      </w:r>
      <w:r w:rsidRPr="000D2E09">
        <w:rPr>
          <w:lang w:val="en-GB"/>
        </w:rPr>
        <w:t xml:space="preserve">.  The Government argued that the applicant had failed to make use of the available remedies, as he had </w:t>
      </w:r>
      <w:r w:rsidR="00AB0F37" w:rsidRPr="000D2E09">
        <w:rPr>
          <w:lang w:val="en-GB"/>
        </w:rPr>
        <w:t xml:space="preserve">only </w:t>
      </w:r>
      <w:r w:rsidRPr="000D2E09">
        <w:rPr>
          <w:lang w:val="en-GB"/>
        </w:rPr>
        <w:t>appealed against one of the Penitentiary Commission</w:t>
      </w:r>
      <w:r w:rsidR="000D2E09" w:rsidRPr="000D2E09">
        <w:rPr>
          <w:lang w:val="en-GB"/>
        </w:rPr>
        <w:t>’</w:t>
      </w:r>
      <w:r w:rsidR="00AB0F37" w:rsidRPr="000D2E09">
        <w:rPr>
          <w:lang w:val="en-GB"/>
        </w:rPr>
        <w:t>s decisions</w:t>
      </w:r>
      <w:r w:rsidRPr="000D2E09">
        <w:rPr>
          <w:lang w:val="en-GB"/>
        </w:rPr>
        <w:t xml:space="preserve">. He </w:t>
      </w:r>
      <w:r w:rsidR="004575C3" w:rsidRPr="000D2E09">
        <w:rPr>
          <w:lang w:val="en-GB"/>
        </w:rPr>
        <w:t xml:space="preserve">had </w:t>
      </w:r>
      <w:r w:rsidRPr="000D2E09">
        <w:rPr>
          <w:lang w:val="en-GB"/>
        </w:rPr>
        <w:t>not appeal</w:t>
      </w:r>
      <w:r w:rsidR="004575C3" w:rsidRPr="000D2E09">
        <w:rPr>
          <w:lang w:val="en-GB"/>
        </w:rPr>
        <w:t>ed</w:t>
      </w:r>
      <w:r w:rsidRPr="000D2E09">
        <w:rPr>
          <w:lang w:val="en-GB"/>
        </w:rPr>
        <w:t xml:space="preserve"> against the commission</w:t>
      </w:r>
      <w:r w:rsidR="000D2E09" w:rsidRPr="000D2E09">
        <w:rPr>
          <w:lang w:val="en-GB"/>
        </w:rPr>
        <w:t>’</w:t>
      </w:r>
      <w:r w:rsidR="00AB0F37" w:rsidRPr="000D2E09">
        <w:rPr>
          <w:lang w:val="en-GB"/>
        </w:rPr>
        <w:t>s</w:t>
      </w:r>
      <w:r w:rsidRPr="000D2E09">
        <w:rPr>
          <w:lang w:val="en-GB"/>
        </w:rPr>
        <w:t xml:space="preserve"> </w:t>
      </w:r>
      <w:r w:rsidR="00AB0F37" w:rsidRPr="000D2E09">
        <w:rPr>
          <w:lang w:val="en-GB"/>
        </w:rPr>
        <w:t xml:space="preserve">first decision </w:t>
      </w:r>
      <w:r w:rsidRPr="000D2E09">
        <w:rPr>
          <w:lang w:val="en-GB"/>
        </w:rPr>
        <w:t xml:space="preserve">of 19 January 2006 imposing the regime on him </w:t>
      </w:r>
      <w:r w:rsidR="00A25860" w:rsidRPr="000D2E09">
        <w:rPr>
          <w:lang w:val="en-GB"/>
        </w:rPr>
        <w:t>or</w:t>
      </w:r>
      <w:r w:rsidRPr="000D2E09">
        <w:rPr>
          <w:lang w:val="en-GB"/>
        </w:rPr>
        <w:t xml:space="preserve"> against </w:t>
      </w:r>
      <w:r w:rsidR="004575C3" w:rsidRPr="000D2E09">
        <w:rPr>
          <w:lang w:val="en-GB"/>
        </w:rPr>
        <w:t xml:space="preserve">most of </w:t>
      </w:r>
      <w:r w:rsidR="00AB0F37" w:rsidRPr="000D2E09">
        <w:rPr>
          <w:lang w:val="en-GB"/>
        </w:rPr>
        <w:t xml:space="preserve">the </w:t>
      </w:r>
      <w:r w:rsidR="004575C3" w:rsidRPr="000D2E09">
        <w:rPr>
          <w:lang w:val="en-GB"/>
        </w:rPr>
        <w:t xml:space="preserve">subsequent </w:t>
      </w:r>
      <w:r w:rsidRPr="000D2E09">
        <w:rPr>
          <w:lang w:val="en-GB"/>
        </w:rPr>
        <w:t xml:space="preserve">decisions. He </w:t>
      </w:r>
      <w:r w:rsidR="00AB0F37" w:rsidRPr="000D2E09">
        <w:rPr>
          <w:lang w:val="en-GB"/>
        </w:rPr>
        <w:t xml:space="preserve">had </w:t>
      </w:r>
      <w:r w:rsidRPr="000D2E09">
        <w:rPr>
          <w:lang w:val="en-GB"/>
        </w:rPr>
        <w:t>appealed only once</w:t>
      </w:r>
      <w:r w:rsidR="00AB0F37" w:rsidRPr="000D2E09">
        <w:rPr>
          <w:lang w:val="en-GB"/>
        </w:rPr>
        <w:t xml:space="preserve">, </w:t>
      </w:r>
      <w:r w:rsidRPr="000D2E09">
        <w:rPr>
          <w:lang w:val="en-GB"/>
        </w:rPr>
        <w:t>against the decision of 3 January 2013. The Government argued that the applicant had been informed on each occasion about the time-limit for lodging an appeal</w:t>
      </w:r>
      <w:r w:rsidR="00AB0F37" w:rsidRPr="000D2E09">
        <w:rPr>
          <w:lang w:val="en-GB"/>
        </w:rPr>
        <w:t>,</w:t>
      </w:r>
      <w:r w:rsidRPr="000D2E09">
        <w:rPr>
          <w:lang w:val="en-GB"/>
        </w:rPr>
        <w:t xml:space="preserve"> but </w:t>
      </w:r>
      <w:r w:rsidR="00AB0F37" w:rsidRPr="000D2E09">
        <w:rPr>
          <w:lang w:val="en-GB"/>
        </w:rPr>
        <w:t xml:space="preserve">that </w:t>
      </w:r>
      <w:r w:rsidRPr="000D2E09">
        <w:rPr>
          <w:lang w:val="en-GB"/>
        </w:rPr>
        <w:t xml:space="preserve">he had remained totally passive. They concluded </w:t>
      </w:r>
      <w:r w:rsidR="00AB0F37" w:rsidRPr="000D2E09">
        <w:rPr>
          <w:lang w:val="en-GB"/>
        </w:rPr>
        <w:t xml:space="preserve">by submitting </w:t>
      </w:r>
      <w:r w:rsidRPr="000D2E09">
        <w:rPr>
          <w:lang w:val="en-GB"/>
        </w:rPr>
        <w:t>that the application should be rejected for non-exhaustion of domestic remedies.</w:t>
      </w:r>
    </w:p>
    <w:p w:rsidR="00D97515"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22</w:t>
      </w:r>
      <w:r w:rsidRPr="000D2E09">
        <w:rPr>
          <w:lang w:val="en-GB"/>
        </w:rPr>
        <w:fldChar w:fldCharType="end"/>
      </w:r>
      <w:r w:rsidRPr="000D2E09">
        <w:rPr>
          <w:lang w:val="en-GB"/>
        </w:rPr>
        <w:t xml:space="preserve">.  The applicant did not comment </w:t>
      </w:r>
      <w:r w:rsidR="00242BE1" w:rsidRPr="000D2E09">
        <w:rPr>
          <w:lang w:val="en-GB"/>
        </w:rPr>
        <w:t xml:space="preserve">on </w:t>
      </w:r>
      <w:r w:rsidRPr="000D2E09">
        <w:rPr>
          <w:lang w:val="en-GB"/>
        </w:rPr>
        <w:t>the Government</w:t>
      </w:r>
      <w:r w:rsidR="000D2E09" w:rsidRPr="000D2E09">
        <w:rPr>
          <w:lang w:val="en-GB"/>
        </w:rPr>
        <w:t>’</w:t>
      </w:r>
      <w:r w:rsidRPr="000D2E09">
        <w:rPr>
          <w:lang w:val="en-GB"/>
        </w:rPr>
        <w:t>s objection.</w:t>
      </w:r>
    </w:p>
    <w:p w:rsidR="00D97515" w:rsidRPr="000D2E09" w:rsidRDefault="00D97515" w:rsidP="000D2E09">
      <w:pPr>
        <w:pStyle w:val="ECHRHeading3"/>
        <w:rPr>
          <w:lang w:val="en-GB"/>
        </w:rPr>
      </w:pPr>
      <w:r w:rsidRPr="000D2E09">
        <w:rPr>
          <w:lang w:val="en-GB"/>
        </w:rPr>
        <w:t>2.  The Court</w:t>
      </w:r>
      <w:r w:rsidR="000D2E09" w:rsidRPr="000D2E09">
        <w:rPr>
          <w:lang w:val="en-GB"/>
        </w:rPr>
        <w:t>’</w:t>
      </w:r>
      <w:r w:rsidRPr="000D2E09">
        <w:rPr>
          <w:lang w:val="en-GB"/>
        </w:rPr>
        <w:t>s assessment</w:t>
      </w:r>
    </w:p>
    <w:p w:rsidR="00D97515"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23</w:t>
      </w:r>
      <w:r w:rsidRPr="000D2E09">
        <w:rPr>
          <w:lang w:val="en-GB"/>
        </w:rPr>
        <w:fldChar w:fldCharType="end"/>
      </w:r>
      <w:r w:rsidRPr="000D2E09">
        <w:rPr>
          <w:lang w:val="en-GB"/>
        </w:rPr>
        <w:t xml:space="preserve">.  The Court reiterates that although Article 35 § 1 of the Convention requires that complaints intended to be brought subsequently before the Court should have been made to the appropriate domestic body, it does not require that recourse should be had to remedies that are inadequate or ineffective (see </w:t>
      </w:r>
      <w:r w:rsidRPr="000D2E09">
        <w:rPr>
          <w:i/>
          <w:lang w:val="en-GB"/>
        </w:rPr>
        <w:t xml:space="preserve">Egmez v. </w:t>
      </w:r>
      <w:r w:rsidR="006D7A08" w:rsidRPr="000D2E09">
        <w:rPr>
          <w:i/>
          <w:lang w:val="en-GB"/>
        </w:rPr>
        <w:t>Cyprus</w:t>
      </w:r>
      <w:r w:rsidR="006D7A08" w:rsidRPr="000D2E09">
        <w:rPr>
          <w:lang w:val="en-GB"/>
        </w:rPr>
        <w:t xml:space="preserve"> </w:t>
      </w:r>
      <w:r w:rsidRPr="000D2E09">
        <w:rPr>
          <w:lang w:val="en-GB"/>
        </w:rPr>
        <w:t>no.</w:t>
      </w:r>
      <w:r w:rsidR="00242BE1" w:rsidRPr="000D2E09">
        <w:rPr>
          <w:lang w:val="en-GB"/>
        </w:rPr>
        <w:t xml:space="preserve"> </w:t>
      </w:r>
      <w:r w:rsidRPr="000D2E09">
        <w:rPr>
          <w:lang w:val="en-GB"/>
        </w:rPr>
        <w:t>30873/96, § 6</w:t>
      </w:r>
      <w:r w:rsidR="006D7A08" w:rsidRPr="000D2E09">
        <w:rPr>
          <w:lang w:val="en-GB"/>
        </w:rPr>
        <w:t>4</w:t>
      </w:r>
      <w:r w:rsidR="00242BE1" w:rsidRPr="000D2E09">
        <w:rPr>
          <w:lang w:val="en-GB"/>
        </w:rPr>
        <w:t xml:space="preserve">, </w:t>
      </w:r>
      <w:r w:rsidR="00AB0F37" w:rsidRPr="000D2E09">
        <w:rPr>
          <w:lang w:val="en-GB"/>
        </w:rPr>
        <w:t>ECHR 2000</w:t>
      </w:r>
      <w:r w:rsidR="00242BE1" w:rsidRPr="000D2E09">
        <w:rPr>
          <w:lang w:val="en-GB"/>
        </w:rPr>
        <w:noBreakHyphen/>
      </w:r>
      <w:r w:rsidR="00AB0F37" w:rsidRPr="000D2E09">
        <w:rPr>
          <w:lang w:val="en-GB"/>
        </w:rPr>
        <w:t>XII</w:t>
      </w:r>
      <w:r w:rsidRPr="000D2E09">
        <w:rPr>
          <w:lang w:val="en-GB"/>
        </w:rPr>
        <w:t>).</w:t>
      </w:r>
    </w:p>
    <w:p w:rsidR="00D97515"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24</w:t>
      </w:r>
      <w:r w:rsidRPr="000D2E09">
        <w:rPr>
          <w:lang w:val="en-GB"/>
        </w:rPr>
        <w:fldChar w:fldCharType="end"/>
      </w:r>
      <w:r w:rsidRPr="000D2E09">
        <w:rPr>
          <w:lang w:val="en-GB"/>
        </w:rPr>
        <w:t xml:space="preserve">.  In the present case the Court observes that the applicant appealed against one </w:t>
      </w:r>
      <w:r w:rsidR="001D398E" w:rsidRPr="000D2E09">
        <w:rPr>
          <w:lang w:val="en-GB"/>
        </w:rPr>
        <w:t xml:space="preserve">of the </w:t>
      </w:r>
      <w:r w:rsidRPr="000D2E09">
        <w:rPr>
          <w:lang w:val="en-GB"/>
        </w:rPr>
        <w:t>decision</w:t>
      </w:r>
      <w:r w:rsidR="001D398E" w:rsidRPr="000D2E09">
        <w:rPr>
          <w:lang w:val="en-GB"/>
        </w:rPr>
        <w:t>s</w:t>
      </w:r>
      <w:r w:rsidRPr="000D2E09">
        <w:rPr>
          <w:lang w:val="en-GB"/>
        </w:rPr>
        <w:t xml:space="preserve"> extending his classification as a dangerous detainee, </w:t>
      </w:r>
      <w:r w:rsidR="004575C3" w:rsidRPr="000D2E09">
        <w:rPr>
          <w:lang w:val="en-GB"/>
        </w:rPr>
        <w:t xml:space="preserve">namely </w:t>
      </w:r>
      <w:r w:rsidR="00242BE1" w:rsidRPr="000D2E09">
        <w:rPr>
          <w:lang w:val="en-GB"/>
        </w:rPr>
        <w:t xml:space="preserve">the </w:t>
      </w:r>
      <w:r w:rsidRPr="000D2E09">
        <w:rPr>
          <w:lang w:val="en-GB"/>
        </w:rPr>
        <w:t xml:space="preserve">decision of 3 January 2013 (see paragraph </w:t>
      </w:r>
      <w:r w:rsidR="00EA7903" w:rsidRPr="000D2E09">
        <w:rPr>
          <w:lang w:val="en-GB"/>
        </w:rPr>
        <w:t>12</w:t>
      </w:r>
      <w:r w:rsidRPr="000D2E09">
        <w:rPr>
          <w:lang w:val="en-GB"/>
        </w:rPr>
        <w:t xml:space="preserve"> above).</w:t>
      </w:r>
    </w:p>
    <w:p w:rsidR="006D7A08"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25</w:t>
      </w:r>
      <w:r w:rsidRPr="000D2E09">
        <w:rPr>
          <w:lang w:val="en-GB"/>
        </w:rPr>
        <w:fldChar w:fldCharType="end"/>
      </w:r>
      <w:r w:rsidRPr="000D2E09">
        <w:rPr>
          <w:lang w:val="en-GB"/>
        </w:rPr>
        <w:t>.  </w:t>
      </w:r>
      <w:r w:rsidR="006D7A08" w:rsidRPr="000D2E09">
        <w:t>The Court reiterates that Article 35 of the Convention, which sets out the rule on exhaustion of domestic remedies, provides for a distribution of the burden of proof.</w:t>
      </w:r>
      <w:r w:rsidR="006D7A08" w:rsidRPr="000D2E09">
        <w:rPr>
          <w:lang w:val="en-GB"/>
        </w:rPr>
        <w:t xml:space="preserve"> It is incumbent on the Government claiming non</w:t>
      </w:r>
      <w:r w:rsidR="00027968" w:rsidRPr="000D2E09">
        <w:rPr>
          <w:lang w:val="en-GB"/>
        </w:rPr>
        <w:noBreakHyphen/>
      </w:r>
      <w:r w:rsidR="006D7A08" w:rsidRPr="000D2E09">
        <w:rPr>
          <w:lang w:val="en-GB"/>
        </w:rPr>
        <w:t>exhaustion to satisfy the Court that the remedy was an effective one available in theory and practice at the relevant time, that is to say, that it was accessible, was capable of providing redress in respect of the applicant</w:t>
      </w:r>
      <w:r w:rsidR="000D2E09" w:rsidRPr="000D2E09">
        <w:rPr>
          <w:lang w:val="en-GB"/>
        </w:rPr>
        <w:t>’</w:t>
      </w:r>
      <w:r w:rsidR="006D7A08" w:rsidRPr="000D2E09">
        <w:rPr>
          <w:lang w:val="en-GB"/>
        </w:rPr>
        <w:t xml:space="preserve">s complaints and offered reasonable prospects of success. In the present case </w:t>
      </w:r>
      <w:r w:rsidR="006D7A08" w:rsidRPr="000D2E09">
        <w:rPr>
          <w:lang w:val="en-GB"/>
        </w:rPr>
        <w:lastRenderedPageBreak/>
        <w:t>the Court is not persuaded by the evidence provided by the Government in support of their objection.</w:t>
      </w:r>
    </w:p>
    <w:p w:rsidR="00D97515" w:rsidRPr="000D2E09" w:rsidRDefault="006960EE" w:rsidP="000D2E09">
      <w:pPr>
        <w:pStyle w:val="ECHRPara"/>
      </w:pPr>
      <w:r>
        <w:fldChar w:fldCharType="begin"/>
      </w:r>
      <w:r>
        <w:instrText xml:space="preserve"> SEQ level0 \*arabic </w:instrText>
      </w:r>
      <w:r>
        <w:fldChar w:fldCharType="separate"/>
      </w:r>
      <w:r w:rsidR="000D2E09" w:rsidRPr="000D2E09">
        <w:rPr>
          <w:noProof/>
        </w:rPr>
        <w:t>26</w:t>
      </w:r>
      <w:r>
        <w:rPr>
          <w:noProof/>
        </w:rPr>
        <w:fldChar w:fldCharType="end"/>
      </w:r>
      <w:r w:rsidR="00D97515" w:rsidRPr="000D2E09">
        <w:t>.  In any event, in the present case the alleged non-exhaustion of domestic remedies is inseparably linked with the Court</w:t>
      </w:r>
      <w:r w:rsidR="000D2E09" w:rsidRPr="000D2E09">
        <w:t>’</w:t>
      </w:r>
      <w:r w:rsidR="00D97515" w:rsidRPr="000D2E09">
        <w:t>s assessment of the reasonableness of the measures complained of, and in particular with the question whether the lengthy imposition of the dangerous detainee regime on the applicant was properly justified by the authorities. In the Court</w:t>
      </w:r>
      <w:r w:rsidR="000D2E09" w:rsidRPr="000D2E09">
        <w:t>’</w:t>
      </w:r>
      <w:r w:rsidR="00D97515" w:rsidRPr="000D2E09">
        <w:t>s view, it would therefore be more appropriate to deal with the Government</w:t>
      </w:r>
      <w:r w:rsidR="000D2E09" w:rsidRPr="000D2E09">
        <w:t>’</w:t>
      </w:r>
      <w:r w:rsidR="00D97515" w:rsidRPr="000D2E09">
        <w:t>s argument at the merits stage.</w:t>
      </w:r>
    </w:p>
    <w:p w:rsidR="00D97515" w:rsidRPr="000D2E09" w:rsidRDefault="006960EE" w:rsidP="000D2E09">
      <w:pPr>
        <w:pStyle w:val="ECHRPara"/>
      </w:pPr>
      <w:r>
        <w:fldChar w:fldCharType="begin"/>
      </w:r>
      <w:r>
        <w:instrText xml:space="preserve"> SEQ level0 \*arabic </w:instrText>
      </w:r>
      <w:r>
        <w:fldChar w:fldCharType="separate"/>
      </w:r>
      <w:r w:rsidR="000D2E09" w:rsidRPr="000D2E09">
        <w:rPr>
          <w:noProof/>
        </w:rPr>
        <w:t>27</w:t>
      </w:r>
      <w:r>
        <w:rPr>
          <w:noProof/>
        </w:rPr>
        <w:fldChar w:fldCharType="end"/>
      </w:r>
      <w:r w:rsidR="00D97515" w:rsidRPr="000D2E09">
        <w:t>.  The Court accordingly joins the Government</w:t>
      </w:r>
      <w:r w:rsidR="000D2E09" w:rsidRPr="000D2E09">
        <w:t>’</w:t>
      </w:r>
      <w:r w:rsidR="00D97515" w:rsidRPr="000D2E09">
        <w:t>s plea of inadmissibility on the grounds of non-exhaustion to the merits of the case.</w:t>
      </w:r>
    </w:p>
    <w:p w:rsidR="00D97515" w:rsidRPr="000D2E09" w:rsidRDefault="00D9751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28</w:t>
      </w:r>
      <w:r w:rsidRPr="000D2E09">
        <w:rPr>
          <w:lang w:val="en-GB"/>
        </w:rPr>
        <w:fldChar w:fldCharType="end"/>
      </w:r>
      <w:r w:rsidRPr="000D2E09">
        <w:rPr>
          <w:lang w:val="en-GB"/>
        </w:rPr>
        <w:t>.   The Court further notes that this complaint is not manifestly ill</w:t>
      </w:r>
      <w:r w:rsidRPr="000D2E09">
        <w:rPr>
          <w:lang w:val="en-GB"/>
        </w:rPr>
        <w:noBreakHyphen/>
        <w:t>founded within the meaning of Article 35 § 3 of the Convention and is not inadmissible on any other grounds. It must therefore be declared admissible.</w:t>
      </w:r>
    </w:p>
    <w:p w:rsidR="00014566" w:rsidRPr="000D2E09" w:rsidRDefault="00014566" w:rsidP="000D2E09">
      <w:pPr>
        <w:pStyle w:val="ECHRHeading2"/>
        <w:outlineLvl w:val="0"/>
        <w:rPr>
          <w:lang w:val="en-GB"/>
        </w:rPr>
      </w:pPr>
      <w:r w:rsidRPr="000D2E09">
        <w:rPr>
          <w:lang w:val="en-GB"/>
        </w:rPr>
        <w:t>B.  Merits</w:t>
      </w:r>
    </w:p>
    <w:p w:rsidR="006C2EEF" w:rsidRPr="000D2E09" w:rsidRDefault="006C2EEF" w:rsidP="000D2E09">
      <w:pPr>
        <w:pStyle w:val="ECHRHeading3"/>
        <w:rPr>
          <w:lang w:val="en-GB"/>
        </w:rPr>
      </w:pPr>
      <w:r w:rsidRPr="000D2E09">
        <w:rPr>
          <w:lang w:val="en-GB"/>
        </w:rPr>
        <w:t>1.  The applicant</w:t>
      </w:r>
    </w:p>
    <w:p w:rsidR="006C2EEF" w:rsidRPr="000D2E09" w:rsidRDefault="000A524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29</w:t>
      </w:r>
      <w:r w:rsidRPr="000D2E09">
        <w:rPr>
          <w:lang w:val="en-GB"/>
        </w:rPr>
        <w:fldChar w:fldCharType="end"/>
      </w:r>
      <w:r w:rsidRPr="000D2E09">
        <w:rPr>
          <w:lang w:val="en-GB"/>
        </w:rPr>
        <w:t>.  </w:t>
      </w:r>
      <w:r w:rsidR="006C2EEF" w:rsidRPr="000D2E09">
        <w:rPr>
          <w:lang w:val="en-GB"/>
        </w:rPr>
        <w:t xml:space="preserve">The applicant submitted that the prolonged imposition of the dangerous detainee regime </w:t>
      </w:r>
      <w:r w:rsidR="004575C3" w:rsidRPr="000D2E09">
        <w:rPr>
          <w:lang w:val="en-GB"/>
        </w:rPr>
        <w:t xml:space="preserve">on him </w:t>
      </w:r>
      <w:r w:rsidR="006C2EEF" w:rsidRPr="000D2E09">
        <w:rPr>
          <w:lang w:val="en-GB"/>
        </w:rPr>
        <w:t>had been in breach of Article 3 of the Convention. In his opinion, there had been no reasonable grounds for applying the regime to him. He submitted</w:t>
      </w:r>
      <w:r w:rsidR="00242BE1" w:rsidRPr="000D2E09">
        <w:rPr>
          <w:lang w:val="en-GB"/>
        </w:rPr>
        <w:t>,</w:t>
      </w:r>
      <w:r w:rsidR="006C2EEF" w:rsidRPr="000D2E09">
        <w:rPr>
          <w:lang w:val="en-GB"/>
        </w:rPr>
        <w:t xml:space="preserve"> in particular, that he had never </w:t>
      </w:r>
      <w:r w:rsidR="00242BE1" w:rsidRPr="000D2E09">
        <w:rPr>
          <w:lang w:val="en-GB"/>
        </w:rPr>
        <w:t xml:space="preserve">had a </w:t>
      </w:r>
      <w:r w:rsidR="006C2EEF" w:rsidRPr="000D2E09">
        <w:rPr>
          <w:lang w:val="en-GB"/>
        </w:rPr>
        <w:t xml:space="preserve">disciplinary </w:t>
      </w:r>
      <w:r w:rsidR="00242BE1" w:rsidRPr="000D2E09">
        <w:rPr>
          <w:lang w:val="en-GB"/>
        </w:rPr>
        <w:t xml:space="preserve">punishment </w:t>
      </w:r>
      <w:r w:rsidR="006C2EEF" w:rsidRPr="000D2E09">
        <w:rPr>
          <w:lang w:val="en-GB"/>
        </w:rPr>
        <w:t>in prison</w:t>
      </w:r>
      <w:r w:rsidR="000D7156" w:rsidRPr="000D2E09">
        <w:rPr>
          <w:lang w:val="en-GB"/>
        </w:rPr>
        <w:t xml:space="preserve"> and that for many years he had </w:t>
      </w:r>
      <w:r w:rsidR="002F14B6" w:rsidRPr="000D2E09">
        <w:rPr>
          <w:lang w:val="en-GB"/>
        </w:rPr>
        <w:t>felt</w:t>
      </w:r>
      <w:r w:rsidR="000D7156" w:rsidRPr="000D2E09">
        <w:rPr>
          <w:lang w:val="en-GB"/>
        </w:rPr>
        <w:t xml:space="preserve"> “</w:t>
      </w:r>
      <w:r w:rsidR="002F14B6" w:rsidRPr="000D2E09">
        <w:rPr>
          <w:lang w:val="en-GB"/>
        </w:rPr>
        <w:t xml:space="preserve">depressed owing to </w:t>
      </w:r>
      <w:r w:rsidR="000D7156" w:rsidRPr="000D2E09">
        <w:rPr>
          <w:lang w:val="en-GB"/>
        </w:rPr>
        <w:t xml:space="preserve">isolation, loneliness and </w:t>
      </w:r>
      <w:r w:rsidR="002F14B6" w:rsidRPr="000D2E09">
        <w:rPr>
          <w:lang w:val="en-GB"/>
        </w:rPr>
        <w:t xml:space="preserve">the many </w:t>
      </w:r>
      <w:r w:rsidR="000D7156" w:rsidRPr="000D2E09">
        <w:rPr>
          <w:lang w:val="en-GB"/>
        </w:rPr>
        <w:t>body searches”</w:t>
      </w:r>
      <w:r w:rsidR="006C2EEF" w:rsidRPr="000D2E09">
        <w:rPr>
          <w:lang w:val="en-GB"/>
        </w:rPr>
        <w:t>.</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30</w:t>
      </w:r>
      <w:r w:rsidRPr="000D2E09">
        <w:rPr>
          <w:lang w:val="en-GB"/>
        </w:rPr>
        <w:fldChar w:fldCharType="end"/>
      </w:r>
      <w:r w:rsidRPr="000D2E09">
        <w:rPr>
          <w:lang w:val="en-GB"/>
        </w:rPr>
        <w:t>.  He</w:t>
      </w:r>
      <w:r w:rsidR="000D7156" w:rsidRPr="000D2E09">
        <w:rPr>
          <w:lang w:val="en-GB"/>
        </w:rPr>
        <w:t xml:space="preserve"> also</w:t>
      </w:r>
      <w:r w:rsidRPr="000D2E09">
        <w:rPr>
          <w:lang w:val="en-GB"/>
        </w:rPr>
        <w:t xml:space="preserve"> submitted that</w:t>
      </w:r>
      <w:r w:rsidR="000D7156" w:rsidRPr="000D2E09">
        <w:rPr>
          <w:lang w:val="en-GB"/>
        </w:rPr>
        <w:t xml:space="preserve"> keeping him in solitary confinement </w:t>
      </w:r>
      <w:r w:rsidRPr="000D2E09">
        <w:rPr>
          <w:lang w:val="en-GB"/>
        </w:rPr>
        <w:t>amounted</w:t>
      </w:r>
      <w:r w:rsidR="00F86D42" w:rsidRPr="000D2E09">
        <w:rPr>
          <w:lang w:val="en-GB"/>
        </w:rPr>
        <w:t xml:space="preserve"> to</w:t>
      </w:r>
      <w:r w:rsidRPr="000D2E09">
        <w:rPr>
          <w:lang w:val="en-GB"/>
        </w:rPr>
        <w:t xml:space="preserve"> inhuman treatment</w:t>
      </w:r>
      <w:r w:rsidR="00242BE1" w:rsidRPr="000D2E09">
        <w:rPr>
          <w:lang w:val="en-GB"/>
        </w:rPr>
        <w:t xml:space="preserve">, which had </w:t>
      </w:r>
      <w:r w:rsidRPr="000D2E09">
        <w:rPr>
          <w:lang w:val="en-GB"/>
        </w:rPr>
        <w:t>“</w:t>
      </w:r>
      <w:r w:rsidR="000D7156" w:rsidRPr="000D2E09">
        <w:rPr>
          <w:lang w:val="en-GB"/>
        </w:rPr>
        <w:t>permanent</w:t>
      </w:r>
      <w:r w:rsidR="00242BE1" w:rsidRPr="000D2E09">
        <w:rPr>
          <w:lang w:val="en-GB"/>
        </w:rPr>
        <w:t>ly affected his mental state</w:t>
      </w:r>
      <w:r w:rsidRPr="000D2E09">
        <w:rPr>
          <w:lang w:val="en-GB"/>
        </w:rPr>
        <w:t>”.</w:t>
      </w:r>
    </w:p>
    <w:p w:rsidR="006C2EEF" w:rsidRPr="000D2E09" w:rsidRDefault="006C2EEF" w:rsidP="000D2E09">
      <w:pPr>
        <w:pStyle w:val="ECHRHeading3"/>
        <w:rPr>
          <w:lang w:val="en-GB"/>
        </w:rPr>
      </w:pPr>
      <w:r w:rsidRPr="000D2E09">
        <w:rPr>
          <w:lang w:val="en-GB"/>
        </w:rPr>
        <w:t>2.  The Government</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31</w:t>
      </w:r>
      <w:r w:rsidRPr="000D2E09">
        <w:rPr>
          <w:lang w:val="en-GB"/>
        </w:rPr>
        <w:fldChar w:fldCharType="end"/>
      </w:r>
      <w:r w:rsidRPr="000D2E09">
        <w:rPr>
          <w:lang w:val="en-GB"/>
        </w:rPr>
        <w:t xml:space="preserve">.  In their observations the Government submitted that they wished to refrain from expressing </w:t>
      </w:r>
      <w:r w:rsidR="00242BE1" w:rsidRPr="000D2E09">
        <w:rPr>
          <w:lang w:val="en-GB"/>
        </w:rPr>
        <w:t xml:space="preserve">an </w:t>
      </w:r>
      <w:r w:rsidRPr="000D2E09">
        <w:rPr>
          <w:lang w:val="en-GB"/>
        </w:rPr>
        <w:t>opinion on the merits of the present case.</w:t>
      </w:r>
    </w:p>
    <w:p w:rsidR="006C2EEF" w:rsidRPr="000D2E09" w:rsidRDefault="006C2EEF" w:rsidP="000D2E09">
      <w:pPr>
        <w:pStyle w:val="ECHRHeading3"/>
        <w:rPr>
          <w:lang w:val="en-GB"/>
        </w:rPr>
      </w:pPr>
      <w:r w:rsidRPr="000D2E09">
        <w:rPr>
          <w:lang w:val="en-GB"/>
        </w:rPr>
        <w:t>3.  The Court</w:t>
      </w:r>
      <w:r w:rsidR="000D2E09" w:rsidRPr="000D2E09">
        <w:rPr>
          <w:lang w:val="en-GB"/>
        </w:rPr>
        <w:t>’</w:t>
      </w:r>
      <w:r w:rsidRPr="000D2E09">
        <w:rPr>
          <w:lang w:val="en-GB"/>
        </w:rPr>
        <w:t>s assessment</w:t>
      </w:r>
    </w:p>
    <w:p w:rsidR="006C2EEF" w:rsidRPr="000D2E09" w:rsidRDefault="006C2EEF" w:rsidP="000D2E09">
      <w:pPr>
        <w:pStyle w:val="ECHRHeading4"/>
        <w:rPr>
          <w:lang w:val="en-GB"/>
        </w:rPr>
      </w:pPr>
      <w:r w:rsidRPr="000D2E09">
        <w:rPr>
          <w:lang w:val="en-GB"/>
        </w:rPr>
        <w:t>(a)  General principles deriving from the Court</w:t>
      </w:r>
      <w:r w:rsidR="000D2E09" w:rsidRPr="000D2E09">
        <w:rPr>
          <w:lang w:val="en-GB"/>
        </w:rPr>
        <w:t>’</w:t>
      </w:r>
      <w:r w:rsidRPr="000D2E09">
        <w:rPr>
          <w:lang w:val="en-GB"/>
        </w:rPr>
        <w:t>s case-law</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32</w:t>
      </w:r>
      <w:r w:rsidRPr="000D2E09">
        <w:rPr>
          <w:lang w:val="en-GB"/>
        </w:rPr>
        <w:fldChar w:fldCharType="end"/>
      </w:r>
      <w:r w:rsidRPr="000D2E09">
        <w:rPr>
          <w:lang w:val="en-GB"/>
        </w:rPr>
        <w:t xml:space="preserve">.  The relevant general principles deriving from </w:t>
      </w:r>
      <w:r w:rsidR="00242BE1" w:rsidRPr="000D2E09">
        <w:rPr>
          <w:lang w:val="en-GB"/>
        </w:rPr>
        <w:t>the Court</w:t>
      </w:r>
      <w:r w:rsidR="000D2E09" w:rsidRPr="000D2E09">
        <w:rPr>
          <w:lang w:val="en-GB"/>
        </w:rPr>
        <w:t>’</w:t>
      </w:r>
      <w:r w:rsidR="00242BE1" w:rsidRPr="000D2E09">
        <w:rPr>
          <w:lang w:val="en-GB"/>
        </w:rPr>
        <w:t xml:space="preserve">s </w:t>
      </w:r>
      <w:r w:rsidRPr="000D2E09">
        <w:rPr>
          <w:lang w:val="en-GB"/>
        </w:rPr>
        <w:t xml:space="preserve">case-law were recently summarised in </w:t>
      </w:r>
      <w:r w:rsidR="00242BE1" w:rsidRPr="000D2E09">
        <w:rPr>
          <w:lang w:val="en-GB"/>
        </w:rPr>
        <w:t xml:space="preserve">its </w:t>
      </w:r>
      <w:r w:rsidRPr="000D2E09">
        <w:rPr>
          <w:lang w:val="en-GB"/>
        </w:rPr>
        <w:t xml:space="preserve">judgments in </w:t>
      </w:r>
      <w:r w:rsidRPr="000D2E09">
        <w:rPr>
          <w:i/>
          <w:lang w:val="en-GB"/>
        </w:rPr>
        <w:t xml:space="preserve">Piechowicz </w:t>
      </w:r>
      <w:r w:rsidRPr="000D2E09">
        <w:rPr>
          <w:lang w:val="en-GB"/>
        </w:rPr>
        <w:t>(cited above, §§</w:t>
      </w:r>
      <w:r w:rsidR="00027968" w:rsidRPr="000D2E09">
        <w:rPr>
          <w:lang w:val="en-GB"/>
        </w:rPr>
        <w:t> </w:t>
      </w:r>
      <w:r w:rsidRPr="000D2E09">
        <w:rPr>
          <w:lang w:val="en-GB"/>
        </w:rPr>
        <w:t xml:space="preserve">158-165) and </w:t>
      </w:r>
      <w:r w:rsidRPr="000D2E09">
        <w:rPr>
          <w:i/>
          <w:lang w:val="en-GB"/>
        </w:rPr>
        <w:t xml:space="preserve">Horych </w:t>
      </w:r>
      <w:r w:rsidRPr="000D2E09">
        <w:rPr>
          <w:lang w:val="en-GB"/>
        </w:rPr>
        <w:t>(cited above, §§ 85-92).</w:t>
      </w:r>
    </w:p>
    <w:p w:rsidR="006C2EEF" w:rsidRPr="000D2E09" w:rsidRDefault="006C2EEF" w:rsidP="000D2E09">
      <w:pPr>
        <w:pStyle w:val="ECHRHeading4"/>
        <w:rPr>
          <w:lang w:val="en-GB"/>
        </w:rPr>
      </w:pPr>
      <w:r w:rsidRPr="000D2E09">
        <w:rPr>
          <w:lang w:val="en-GB"/>
        </w:rPr>
        <w:lastRenderedPageBreak/>
        <w:t>(b)  Application of the above principles in the present case</w:t>
      </w:r>
    </w:p>
    <w:p w:rsidR="006C2EEF" w:rsidRPr="000D2E09" w:rsidRDefault="006C2EEF" w:rsidP="000D2E09">
      <w:pPr>
        <w:pStyle w:val="ECHRPara"/>
        <w:keepNext/>
        <w:keepLines/>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33</w:t>
      </w:r>
      <w:r w:rsidRPr="000D2E09">
        <w:rPr>
          <w:lang w:val="en-GB"/>
        </w:rPr>
        <w:fldChar w:fldCharType="end"/>
      </w:r>
      <w:r w:rsidRPr="000D2E09">
        <w:rPr>
          <w:lang w:val="en-GB"/>
        </w:rPr>
        <w:t>.  The Court notes that there is no dispute over the fact that from 19 January 2006 to 21 November 2013</w:t>
      </w:r>
      <w:r w:rsidR="004575C3" w:rsidRPr="000D2E09">
        <w:rPr>
          <w:lang w:val="en-GB"/>
        </w:rPr>
        <w:t xml:space="preserve"> –</w:t>
      </w:r>
      <w:r w:rsidRPr="000D2E09">
        <w:rPr>
          <w:lang w:val="en-GB"/>
        </w:rPr>
        <w:t xml:space="preserve"> that is, for almost eight years</w:t>
      </w:r>
      <w:r w:rsidR="004575C3" w:rsidRPr="000D2E09">
        <w:rPr>
          <w:lang w:val="en-GB"/>
        </w:rPr>
        <w:t xml:space="preserve"> –</w:t>
      </w:r>
      <w:r w:rsidRPr="000D2E09">
        <w:rPr>
          <w:lang w:val="en-GB"/>
        </w:rPr>
        <w:t xml:space="preserve"> the applicant was classified as a dangerous detainee and, in consequence, subjected to high</w:t>
      </w:r>
      <w:r w:rsidRPr="000D2E09">
        <w:rPr>
          <w:lang w:val="en-GB"/>
        </w:rPr>
        <w:noBreakHyphen/>
        <w:t>security measures and vari</w:t>
      </w:r>
      <w:r w:rsidR="00ED6F77" w:rsidRPr="000D2E09">
        <w:rPr>
          <w:lang w:val="en-GB"/>
        </w:rPr>
        <w:t>ous restrictions (see paragraph </w:t>
      </w:r>
      <w:r w:rsidR="00EA7903" w:rsidRPr="000D2E09">
        <w:rPr>
          <w:lang w:val="en-GB"/>
        </w:rPr>
        <w:t>1</w:t>
      </w:r>
      <w:r w:rsidR="00DE152E" w:rsidRPr="000D2E09">
        <w:rPr>
          <w:lang w:val="en-GB"/>
        </w:rPr>
        <w:t>5</w:t>
      </w:r>
      <w:r w:rsidRPr="000D2E09">
        <w:rPr>
          <w:lang w:val="en-GB"/>
        </w:rPr>
        <w:t xml:space="preserve"> above). The main aspects of the regime raised by the applicant and specified below ha</w:t>
      </w:r>
      <w:r w:rsidR="00307209" w:rsidRPr="000D2E09">
        <w:rPr>
          <w:lang w:val="en-GB"/>
        </w:rPr>
        <w:t>ve</w:t>
      </w:r>
      <w:r w:rsidRPr="000D2E09">
        <w:rPr>
          <w:lang w:val="en-GB"/>
        </w:rPr>
        <w:t xml:space="preserve"> not been contested b</w:t>
      </w:r>
      <w:r w:rsidR="00ED6F77" w:rsidRPr="000D2E09">
        <w:rPr>
          <w:lang w:val="en-GB"/>
        </w:rPr>
        <w:t>y the Government (see paragraph </w:t>
      </w:r>
      <w:r w:rsidR="00EA7903" w:rsidRPr="000D2E09">
        <w:rPr>
          <w:lang w:val="en-GB"/>
        </w:rPr>
        <w:t>3</w:t>
      </w:r>
      <w:r w:rsidR="00DE152E" w:rsidRPr="000D2E09">
        <w:rPr>
          <w:lang w:val="en-GB"/>
        </w:rPr>
        <w:t>1</w:t>
      </w:r>
      <w:r w:rsidRPr="000D2E09">
        <w:rPr>
          <w:lang w:val="en-GB"/>
        </w:rPr>
        <w:t xml:space="preserve"> above).</w:t>
      </w:r>
    </w:p>
    <w:p w:rsidR="000D2E09"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34</w:t>
      </w:r>
      <w:r w:rsidRPr="000D2E09">
        <w:rPr>
          <w:lang w:val="en-GB"/>
        </w:rPr>
        <w:fldChar w:fldCharType="end"/>
      </w:r>
      <w:r w:rsidRPr="000D2E09">
        <w:rPr>
          <w:lang w:val="en-GB"/>
        </w:rPr>
        <w:t>.  The measures applied in the applicant</w:t>
      </w:r>
      <w:r w:rsidR="000D2E09" w:rsidRPr="000D2E09">
        <w:rPr>
          <w:lang w:val="en-GB"/>
        </w:rPr>
        <w:t>’</w:t>
      </w:r>
      <w:r w:rsidRPr="000D2E09">
        <w:rPr>
          <w:lang w:val="en-GB"/>
        </w:rPr>
        <w:t xml:space="preserve">s case comprised confinement </w:t>
      </w:r>
      <w:r w:rsidR="00307209" w:rsidRPr="000D2E09">
        <w:rPr>
          <w:lang w:val="en-GB"/>
        </w:rPr>
        <w:t xml:space="preserve">in </w:t>
      </w:r>
      <w:r w:rsidRPr="000D2E09">
        <w:rPr>
          <w:lang w:val="en-GB"/>
        </w:rPr>
        <w:t>a special high-security prison w</w:t>
      </w:r>
      <w:r w:rsidR="00307209" w:rsidRPr="000D2E09">
        <w:rPr>
          <w:lang w:val="en-GB"/>
        </w:rPr>
        <w:t>ing</w:t>
      </w:r>
      <w:r w:rsidRPr="000D2E09">
        <w:rPr>
          <w:lang w:val="en-GB"/>
        </w:rPr>
        <w:t xml:space="preserve"> and increased supervision of his movement</w:t>
      </w:r>
      <w:r w:rsidR="00D07A5A" w:rsidRPr="000D2E09">
        <w:rPr>
          <w:lang w:val="en-GB"/>
        </w:rPr>
        <w:t>s</w:t>
      </w:r>
      <w:r w:rsidRPr="000D2E09">
        <w:rPr>
          <w:lang w:val="en-GB"/>
        </w:rPr>
        <w:t xml:space="preserve"> within and outside the prison</w:t>
      </w:r>
      <w:r w:rsidR="00F86D42" w:rsidRPr="000D2E09">
        <w:rPr>
          <w:lang w:val="en-GB"/>
        </w:rPr>
        <w:t>.</w:t>
      </w:r>
      <w:r w:rsidRPr="000D2E09">
        <w:rPr>
          <w:lang w:val="en-GB"/>
        </w:rPr>
        <w:t xml:space="preserve"> The measures involved his segregation from the prison community and </w:t>
      </w:r>
      <w:r w:rsidR="00307209" w:rsidRPr="000D2E09">
        <w:rPr>
          <w:lang w:val="en-GB"/>
        </w:rPr>
        <w:t xml:space="preserve">restrictions </w:t>
      </w:r>
      <w:r w:rsidRPr="000D2E09">
        <w:rPr>
          <w:lang w:val="en-GB"/>
        </w:rPr>
        <w:t xml:space="preserve">on contact with his family. </w:t>
      </w:r>
      <w:r w:rsidR="00A62CF5" w:rsidRPr="000D2E09">
        <w:rPr>
          <w:lang w:val="en-GB"/>
        </w:rPr>
        <w:t>E</w:t>
      </w:r>
      <w:r w:rsidRPr="000D2E09">
        <w:rPr>
          <w:lang w:val="en-GB"/>
        </w:rPr>
        <w:t xml:space="preserve">very time he left or entered his cell he was </w:t>
      </w:r>
      <w:r w:rsidR="00307209" w:rsidRPr="000D2E09">
        <w:rPr>
          <w:lang w:val="en-GB"/>
        </w:rPr>
        <w:t xml:space="preserve">routinely </w:t>
      </w:r>
      <w:r w:rsidR="006E005F" w:rsidRPr="000D2E09">
        <w:rPr>
          <w:lang w:val="en-GB"/>
        </w:rPr>
        <w:t>subjected to a </w:t>
      </w:r>
      <w:r w:rsidRPr="000D2E09">
        <w:rPr>
          <w:lang w:val="en-GB"/>
        </w:rPr>
        <w:t>full strip</w:t>
      </w:r>
      <w:r w:rsidR="0075070A" w:rsidRPr="000D2E09">
        <w:rPr>
          <w:lang w:val="en-GB"/>
        </w:rPr>
        <w:t xml:space="preserve"> </w:t>
      </w:r>
      <w:r w:rsidRPr="000D2E09">
        <w:rPr>
          <w:lang w:val="en-GB"/>
        </w:rPr>
        <w:t>search – a thorough inspection of his body and clothes</w:t>
      </w:r>
      <w:r w:rsidR="00307209" w:rsidRPr="000D2E09">
        <w:rPr>
          <w:lang w:val="en-GB"/>
        </w:rPr>
        <w:t xml:space="preserve">, which </w:t>
      </w:r>
      <w:r w:rsidRPr="000D2E09">
        <w:rPr>
          <w:lang w:val="en-GB"/>
        </w:rPr>
        <w:t>requir</w:t>
      </w:r>
      <w:r w:rsidR="00307209" w:rsidRPr="000D2E09">
        <w:rPr>
          <w:lang w:val="en-GB"/>
        </w:rPr>
        <w:t>ed</w:t>
      </w:r>
      <w:r w:rsidRPr="000D2E09">
        <w:rPr>
          <w:lang w:val="en-GB"/>
        </w:rPr>
        <w:t xml:space="preserve"> him to strip naked and </w:t>
      </w:r>
      <w:r w:rsidR="00307209" w:rsidRPr="000D2E09">
        <w:rPr>
          <w:lang w:val="en-GB"/>
        </w:rPr>
        <w:t xml:space="preserve">bend over </w:t>
      </w:r>
      <w:r w:rsidRPr="000D2E09">
        <w:rPr>
          <w:lang w:val="en-GB"/>
        </w:rPr>
        <w:t xml:space="preserve">in order to enable </w:t>
      </w:r>
      <w:r w:rsidR="00307209" w:rsidRPr="000D2E09">
        <w:rPr>
          <w:lang w:val="en-GB"/>
        </w:rPr>
        <w:t xml:space="preserve">the </w:t>
      </w:r>
      <w:r w:rsidRPr="000D2E09">
        <w:rPr>
          <w:lang w:val="en-GB"/>
        </w:rPr>
        <w:t xml:space="preserve">examination of his anus (see </w:t>
      </w:r>
      <w:r w:rsidRPr="000D2E09">
        <w:rPr>
          <w:i/>
          <w:lang w:val="en-GB"/>
        </w:rPr>
        <w:t>Piechowicz</w:t>
      </w:r>
      <w:r w:rsidRPr="000D2E09">
        <w:rPr>
          <w:lang w:val="en-GB"/>
        </w:rPr>
        <w:t xml:space="preserve">, cited above, § 166). In addition, his cell, including </w:t>
      </w:r>
      <w:r w:rsidR="00307209" w:rsidRPr="000D2E09">
        <w:rPr>
          <w:lang w:val="en-GB"/>
        </w:rPr>
        <w:t xml:space="preserve">the </w:t>
      </w:r>
      <w:r w:rsidRPr="000D2E09">
        <w:rPr>
          <w:lang w:val="en-GB"/>
        </w:rPr>
        <w:t>sanitary facilities, was constantly monitored via close</w:t>
      </w:r>
      <w:r w:rsidR="00307209" w:rsidRPr="000D2E09">
        <w:rPr>
          <w:lang w:val="en-GB"/>
        </w:rPr>
        <w:t>d</w:t>
      </w:r>
      <w:r w:rsidR="006E005F" w:rsidRPr="000D2E09">
        <w:rPr>
          <w:lang w:val="en-GB"/>
        </w:rPr>
        <w:noBreakHyphen/>
      </w:r>
      <w:r w:rsidRPr="000D2E09">
        <w:rPr>
          <w:lang w:val="en-GB"/>
        </w:rPr>
        <w:t>circuit television.</w:t>
      </w:r>
    </w:p>
    <w:p w:rsidR="006C2EEF" w:rsidRPr="000D2E09" w:rsidRDefault="00095121"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35</w:t>
      </w:r>
      <w:r w:rsidRPr="000D2E09">
        <w:rPr>
          <w:lang w:val="en-GB"/>
        </w:rPr>
        <w:fldChar w:fldCharType="end"/>
      </w:r>
      <w:r w:rsidRPr="000D2E09">
        <w:rPr>
          <w:lang w:val="en-GB"/>
        </w:rPr>
        <w:t>.  </w:t>
      </w:r>
      <w:r w:rsidR="006C2EEF" w:rsidRPr="000D2E09">
        <w:rPr>
          <w:lang w:val="en-GB"/>
        </w:rPr>
        <w:t xml:space="preserve">The Government did not contest those allegations. </w:t>
      </w:r>
      <w:r w:rsidRPr="000D2E09">
        <w:rPr>
          <w:lang w:val="en-GB"/>
        </w:rPr>
        <w:t xml:space="preserve">As noted above, they decided to refrain from making </w:t>
      </w:r>
      <w:r w:rsidR="00307209" w:rsidRPr="000D2E09">
        <w:rPr>
          <w:lang w:val="en-GB"/>
        </w:rPr>
        <w:t xml:space="preserve">any </w:t>
      </w:r>
      <w:r w:rsidRPr="000D2E09">
        <w:rPr>
          <w:lang w:val="en-GB"/>
        </w:rPr>
        <w:t>comment</w:t>
      </w:r>
      <w:r w:rsidR="00307209" w:rsidRPr="000D2E09">
        <w:rPr>
          <w:lang w:val="en-GB"/>
        </w:rPr>
        <w:t xml:space="preserve"> </w:t>
      </w:r>
      <w:r w:rsidRPr="000D2E09">
        <w:rPr>
          <w:lang w:val="en-GB"/>
        </w:rPr>
        <w:t xml:space="preserve">on the merits of the present case (see paragraph </w:t>
      </w:r>
      <w:r w:rsidR="009D21E6" w:rsidRPr="000D2E09">
        <w:rPr>
          <w:lang w:val="en-GB"/>
        </w:rPr>
        <w:t>31</w:t>
      </w:r>
      <w:r w:rsidRPr="000D2E09">
        <w:rPr>
          <w:lang w:val="en-GB"/>
        </w:rPr>
        <w:t xml:space="preserve"> above).</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36</w:t>
      </w:r>
      <w:r w:rsidRPr="000D2E09">
        <w:rPr>
          <w:lang w:val="en-GB"/>
        </w:rPr>
        <w:fldChar w:fldCharType="end"/>
      </w:r>
      <w:r w:rsidRPr="000D2E09">
        <w:rPr>
          <w:lang w:val="en-GB"/>
        </w:rPr>
        <w:t>.  The Court notes that the decision of 1</w:t>
      </w:r>
      <w:r w:rsidR="00095121" w:rsidRPr="000D2E09">
        <w:rPr>
          <w:lang w:val="en-GB"/>
        </w:rPr>
        <w:t>9 January</w:t>
      </w:r>
      <w:r w:rsidRPr="000D2E09">
        <w:rPr>
          <w:lang w:val="en-GB"/>
        </w:rPr>
        <w:t xml:space="preserve"> 200</w:t>
      </w:r>
      <w:r w:rsidR="00095121" w:rsidRPr="000D2E09">
        <w:rPr>
          <w:lang w:val="en-GB"/>
        </w:rPr>
        <w:t>6</w:t>
      </w:r>
      <w:r w:rsidRPr="000D2E09">
        <w:rPr>
          <w:lang w:val="en-GB"/>
        </w:rPr>
        <w:t xml:space="preserve"> imposing the dangerous detainee regime on the applicant was a legitimate measure, warranted by the fact that </w:t>
      </w:r>
      <w:r w:rsidR="00307209" w:rsidRPr="000D2E09">
        <w:rPr>
          <w:lang w:val="en-GB"/>
        </w:rPr>
        <w:t xml:space="preserve">he </w:t>
      </w:r>
      <w:r w:rsidRPr="000D2E09">
        <w:rPr>
          <w:lang w:val="en-GB"/>
        </w:rPr>
        <w:t xml:space="preserve">had been charged with </w:t>
      </w:r>
      <w:r w:rsidR="00307209" w:rsidRPr="000D2E09">
        <w:rPr>
          <w:lang w:val="en-GB"/>
        </w:rPr>
        <w:t xml:space="preserve">many </w:t>
      </w:r>
      <w:r w:rsidR="006E005F" w:rsidRPr="000D2E09">
        <w:rPr>
          <w:lang w:val="en-GB"/>
        </w:rPr>
        <w:t xml:space="preserve">violent offences (see </w:t>
      </w:r>
      <w:r w:rsidRPr="000D2E09">
        <w:rPr>
          <w:lang w:val="en-GB"/>
        </w:rPr>
        <w:t xml:space="preserve">paragraph </w:t>
      </w:r>
      <w:r w:rsidR="00EA7903" w:rsidRPr="000D2E09">
        <w:rPr>
          <w:lang w:val="en-GB"/>
        </w:rPr>
        <w:t>6</w:t>
      </w:r>
      <w:r w:rsidRPr="000D2E09">
        <w:rPr>
          <w:lang w:val="en-GB"/>
        </w:rPr>
        <w:t xml:space="preserve"> above). It was therefore </w:t>
      </w:r>
      <w:r w:rsidR="00D07A5A" w:rsidRPr="000D2E09">
        <w:rPr>
          <w:lang w:val="en-GB"/>
        </w:rPr>
        <w:t xml:space="preserve">not </w:t>
      </w:r>
      <w:r w:rsidRPr="000D2E09">
        <w:rPr>
          <w:lang w:val="en-GB"/>
        </w:rPr>
        <w:t xml:space="preserve">unreasonable on the part of the authorities to consider that, for the sake of ensuring prison security, he should be subjected to tighter security controls, involving increased and constant supervision of his movements within and outside his cell, </w:t>
      </w:r>
      <w:r w:rsidR="00307209" w:rsidRPr="000D2E09">
        <w:rPr>
          <w:lang w:val="en-GB"/>
        </w:rPr>
        <w:t xml:space="preserve">restrictions </w:t>
      </w:r>
      <w:r w:rsidRPr="000D2E09">
        <w:rPr>
          <w:lang w:val="en-GB"/>
        </w:rPr>
        <w:t>on his contact and communication with the outside world, and some form of segregation from</w:t>
      </w:r>
      <w:r w:rsidR="00867ACD" w:rsidRPr="000D2E09">
        <w:rPr>
          <w:lang w:val="en-GB"/>
        </w:rPr>
        <w:t xml:space="preserve"> the</w:t>
      </w:r>
      <w:r w:rsidRPr="000D2E09">
        <w:rPr>
          <w:lang w:val="en-GB"/>
        </w:rPr>
        <w:t xml:space="preserve"> </w:t>
      </w:r>
      <w:r w:rsidR="004575C3" w:rsidRPr="000D2E09">
        <w:rPr>
          <w:lang w:val="en-GB"/>
        </w:rPr>
        <w:t>rest of the</w:t>
      </w:r>
      <w:r w:rsidRPr="000D2E09">
        <w:rPr>
          <w:lang w:val="en-GB"/>
        </w:rPr>
        <w:t xml:space="preserve"> prison community.</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37</w:t>
      </w:r>
      <w:r w:rsidRPr="000D2E09">
        <w:rPr>
          <w:lang w:val="en-GB"/>
        </w:rPr>
        <w:fldChar w:fldCharType="end"/>
      </w:r>
      <w:r w:rsidRPr="000D2E09">
        <w:rPr>
          <w:lang w:val="en-GB"/>
        </w:rPr>
        <w:t xml:space="preserve">.  However, for the reasons stated below, the Court cannot accept that the continued, routine and indiscriminate application of the full range of measures that were available to the authorities under the dangerous detainee regime for </w:t>
      </w:r>
      <w:r w:rsidR="00867ACD" w:rsidRPr="000D2E09">
        <w:rPr>
          <w:lang w:val="en-GB"/>
        </w:rPr>
        <w:t xml:space="preserve">almost eight </w:t>
      </w:r>
      <w:r w:rsidRPr="000D2E09">
        <w:rPr>
          <w:lang w:val="en-GB"/>
        </w:rPr>
        <w:t xml:space="preserve">years </w:t>
      </w:r>
      <w:r w:rsidR="004575C3" w:rsidRPr="000D2E09">
        <w:rPr>
          <w:lang w:val="en-GB"/>
        </w:rPr>
        <w:t xml:space="preserve">was </w:t>
      </w:r>
      <w:r w:rsidRPr="000D2E09">
        <w:rPr>
          <w:lang w:val="en-GB"/>
        </w:rPr>
        <w:t xml:space="preserve">necessary in order to maintain prison security </w:t>
      </w:r>
      <w:r w:rsidR="00307209" w:rsidRPr="000D2E09">
        <w:rPr>
          <w:lang w:val="en-GB"/>
        </w:rPr>
        <w:t xml:space="preserve">or </w:t>
      </w:r>
      <w:r w:rsidRPr="000D2E09">
        <w:rPr>
          <w:lang w:val="en-GB"/>
        </w:rPr>
        <w:t>compatible with Article 3 of the Convention.</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38</w:t>
      </w:r>
      <w:r w:rsidRPr="000D2E09">
        <w:rPr>
          <w:lang w:val="en-GB"/>
        </w:rPr>
        <w:fldChar w:fldCharType="end"/>
      </w:r>
      <w:r w:rsidRPr="000D2E09">
        <w:rPr>
          <w:lang w:val="en-GB"/>
        </w:rPr>
        <w:t>.  It does not appear that the authorities made any effort to counteract the effects of the applicant</w:t>
      </w:r>
      <w:r w:rsidR="000D2E09" w:rsidRPr="000D2E09">
        <w:rPr>
          <w:lang w:val="en-GB"/>
        </w:rPr>
        <w:t>’</w:t>
      </w:r>
      <w:r w:rsidRPr="000D2E09">
        <w:rPr>
          <w:lang w:val="en-GB"/>
        </w:rPr>
        <w:t>s isolation by providing him with the necessary mental or physical stimulation.</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39</w:t>
      </w:r>
      <w:r w:rsidRPr="000D2E09">
        <w:rPr>
          <w:lang w:val="en-GB"/>
        </w:rPr>
        <w:fldChar w:fldCharType="end"/>
      </w:r>
      <w:r w:rsidRPr="000D2E09">
        <w:rPr>
          <w:lang w:val="en-GB"/>
        </w:rPr>
        <w:t xml:space="preserve">.  The Court has even more misgivings with regard to the full body search to which the applicant was likewise subjected daily, or even several times a day, whenever he left or entered his cell. The Court has already held in </w:t>
      </w:r>
      <w:r w:rsidRPr="000D2E09">
        <w:rPr>
          <w:i/>
          <w:lang w:val="en-GB"/>
        </w:rPr>
        <w:t>Piechowicz</w:t>
      </w:r>
      <w:r w:rsidRPr="000D2E09">
        <w:rPr>
          <w:lang w:val="en-GB"/>
        </w:rPr>
        <w:t xml:space="preserve"> (cited above, § 176) that while strip</w:t>
      </w:r>
      <w:r w:rsidR="00D07A5A" w:rsidRPr="000D2E09">
        <w:rPr>
          <w:lang w:val="en-GB"/>
        </w:rPr>
        <w:t xml:space="preserve"> </w:t>
      </w:r>
      <w:r w:rsidRPr="000D2E09">
        <w:rPr>
          <w:lang w:val="en-GB"/>
        </w:rPr>
        <w:t>searches might be necessary to ensure prison security or to prevent disorder or crime, it was not persuaded by the Government</w:t>
      </w:r>
      <w:r w:rsidR="000D2E09" w:rsidRPr="000D2E09">
        <w:rPr>
          <w:lang w:val="en-GB"/>
        </w:rPr>
        <w:t>’</w:t>
      </w:r>
      <w:r w:rsidRPr="000D2E09">
        <w:rPr>
          <w:lang w:val="en-GB"/>
        </w:rPr>
        <w:t xml:space="preserve">s argument that such systematic, intrusive </w:t>
      </w:r>
      <w:r w:rsidRPr="000D2E09">
        <w:rPr>
          <w:lang w:val="en-GB"/>
        </w:rPr>
        <w:lastRenderedPageBreak/>
        <w:t>and exceptionally embarrassing checks performed daily, or even several times a day, were necessary to ensure prison</w:t>
      </w:r>
      <w:r w:rsidR="004575C3" w:rsidRPr="000D2E09">
        <w:rPr>
          <w:lang w:val="en-GB"/>
        </w:rPr>
        <w:t xml:space="preserve"> security</w:t>
      </w:r>
      <w:r w:rsidRPr="000D2E09">
        <w:rPr>
          <w:lang w:val="en-GB"/>
        </w:rPr>
        <w:t xml:space="preserve">. </w:t>
      </w:r>
      <w:r w:rsidR="004575C3" w:rsidRPr="000D2E09">
        <w:rPr>
          <w:lang w:val="en-GB"/>
        </w:rPr>
        <w:t>S</w:t>
      </w:r>
      <w:r w:rsidRPr="000D2E09">
        <w:rPr>
          <w:lang w:val="en-GB"/>
        </w:rPr>
        <w:t>trip</w:t>
      </w:r>
      <w:r w:rsidR="00D07A5A" w:rsidRPr="000D2E09">
        <w:rPr>
          <w:lang w:val="en-GB"/>
        </w:rPr>
        <w:t xml:space="preserve"> </w:t>
      </w:r>
      <w:r w:rsidRPr="000D2E09">
        <w:rPr>
          <w:lang w:val="en-GB"/>
        </w:rPr>
        <w:t>search</w:t>
      </w:r>
      <w:r w:rsidR="004575C3" w:rsidRPr="000D2E09">
        <w:rPr>
          <w:lang w:val="en-GB"/>
        </w:rPr>
        <w:t>es</w:t>
      </w:r>
      <w:r w:rsidRPr="000D2E09">
        <w:rPr>
          <w:lang w:val="en-GB"/>
        </w:rPr>
        <w:t xml:space="preserve"> w</w:t>
      </w:r>
      <w:r w:rsidR="004575C3" w:rsidRPr="000D2E09">
        <w:rPr>
          <w:lang w:val="en-GB"/>
        </w:rPr>
        <w:t xml:space="preserve">ere </w:t>
      </w:r>
      <w:r w:rsidRPr="000D2E09">
        <w:rPr>
          <w:lang w:val="en-GB"/>
        </w:rPr>
        <w:t>carried out as a matter of routine and w</w:t>
      </w:r>
      <w:r w:rsidR="004575C3" w:rsidRPr="000D2E09">
        <w:rPr>
          <w:lang w:val="en-GB"/>
        </w:rPr>
        <w:t>ere</w:t>
      </w:r>
      <w:r w:rsidRPr="000D2E09">
        <w:rPr>
          <w:lang w:val="en-GB"/>
        </w:rPr>
        <w:t xml:space="preserve"> not linked to any specific security needs, or to any specific suspicion concerning the applicant</w:t>
      </w:r>
      <w:r w:rsidR="000D2E09" w:rsidRPr="000D2E09">
        <w:rPr>
          <w:lang w:val="en-GB"/>
        </w:rPr>
        <w:t>’</w:t>
      </w:r>
      <w:r w:rsidRPr="000D2E09">
        <w:rPr>
          <w:lang w:val="en-GB"/>
        </w:rPr>
        <w:t>s conduct</w:t>
      </w:r>
      <w:r w:rsidR="00F86D42" w:rsidRPr="000D2E09">
        <w:rPr>
          <w:lang w:val="en-GB"/>
        </w:rPr>
        <w:t>.</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40</w:t>
      </w:r>
      <w:r w:rsidRPr="000D2E09">
        <w:rPr>
          <w:lang w:val="en-GB"/>
        </w:rPr>
        <w:fldChar w:fldCharType="end"/>
      </w:r>
      <w:r w:rsidRPr="000D2E09">
        <w:rPr>
          <w:lang w:val="en-GB"/>
        </w:rPr>
        <w:t xml:space="preserve">.  Having regard to the fact that the applicant was already </w:t>
      </w:r>
      <w:r w:rsidR="004575C3" w:rsidRPr="000D2E09">
        <w:rPr>
          <w:lang w:val="en-GB"/>
        </w:rPr>
        <w:t xml:space="preserve">being </w:t>
      </w:r>
      <w:r w:rsidRPr="000D2E09">
        <w:rPr>
          <w:lang w:val="en-GB"/>
        </w:rPr>
        <w:t>subjected to several other strict surveillance measures and that the authorities did not rely on any specific or convincing security requirements, the Court considers that the practice of daily strip</w:t>
      </w:r>
      <w:r w:rsidR="00D07A5A" w:rsidRPr="000D2E09">
        <w:rPr>
          <w:lang w:val="en-GB"/>
        </w:rPr>
        <w:t xml:space="preserve"> </w:t>
      </w:r>
      <w:r w:rsidRPr="000D2E09">
        <w:rPr>
          <w:lang w:val="en-GB"/>
        </w:rPr>
        <w:t>searches</w:t>
      </w:r>
      <w:r w:rsidR="004575C3" w:rsidRPr="000D2E09">
        <w:rPr>
          <w:lang w:val="en-GB"/>
        </w:rPr>
        <w:t>,</w:t>
      </w:r>
      <w:r w:rsidRPr="000D2E09">
        <w:rPr>
          <w:lang w:val="en-GB"/>
        </w:rPr>
        <w:t xml:space="preserve"> applied to him for </w:t>
      </w:r>
      <w:r w:rsidR="00F86D42" w:rsidRPr="000D2E09">
        <w:rPr>
          <w:lang w:val="en-GB"/>
        </w:rPr>
        <w:t xml:space="preserve">almost eight </w:t>
      </w:r>
      <w:r w:rsidRPr="000D2E09">
        <w:rPr>
          <w:lang w:val="en-GB"/>
        </w:rPr>
        <w:t>years</w:t>
      </w:r>
      <w:r w:rsidR="004575C3" w:rsidRPr="000D2E09">
        <w:rPr>
          <w:lang w:val="en-GB"/>
        </w:rPr>
        <w:t>,</w:t>
      </w:r>
      <w:r w:rsidRPr="000D2E09">
        <w:rPr>
          <w:lang w:val="en-GB"/>
        </w:rPr>
        <w:t xml:space="preserve"> must have caused him feelings of inferiority, anguish and accumulated distress which went beyond the unavoidable suffering and humiliation involved in the imposition of pre</w:t>
      </w:r>
      <w:r w:rsidRPr="000D2E09">
        <w:rPr>
          <w:lang w:val="en-GB"/>
        </w:rPr>
        <w:noBreakHyphen/>
        <w:t xml:space="preserve">trial detention (see </w:t>
      </w:r>
      <w:r w:rsidRPr="000D2E09">
        <w:rPr>
          <w:i/>
          <w:lang w:val="en-GB"/>
        </w:rPr>
        <w:t>Horych</w:t>
      </w:r>
      <w:r w:rsidRPr="000D2E09">
        <w:rPr>
          <w:lang w:val="en-GB"/>
        </w:rPr>
        <w:t xml:space="preserve">, cited above, § 101, and </w:t>
      </w:r>
      <w:r w:rsidRPr="000D2E09">
        <w:rPr>
          <w:i/>
          <w:lang w:val="en-GB"/>
        </w:rPr>
        <w:t>Piechowicz</w:t>
      </w:r>
      <w:r w:rsidRPr="000D2E09">
        <w:rPr>
          <w:lang w:val="en-GB"/>
        </w:rPr>
        <w:t>, cited above, § 176).</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41</w:t>
      </w:r>
      <w:r w:rsidRPr="000D2E09">
        <w:rPr>
          <w:lang w:val="en-GB"/>
        </w:rPr>
        <w:fldChar w:fldCharType="end"/>
      </w:r>
      <w:r w:rsidRPr="000D2E09">
        <w:rPr>
          <w:lang w:val="en-GB"/>
        </w:rPr>
        <w:t>.  Lastly, the Court would add, as it has already held (see </w:t>
      </w:r>
      <w:r w:rsidRPr="000D2E09">
        <w:rPr>
          <w:i/>
          <w:lang w:val="en-GB"/>
        </w:rPr>
        <w:t>Piechowicz</w:t>
      </w:r>
      <w:r w:rsidRPr="000D2E09">
        <w:rPr>
          <w:lang w:val="en-GB"/>
        </w:rPr>
        <w:t xml:space="preserve">, cited above, § 177), that </w:t>
      </w:r>
      <w:r w:rsidR="00307209" w:rsidRPr="000D2E09">
        <w:rPr>
          <w:lang w:val="en-GB"/>
        </w:rPr>
        <w:t xml:space="preserve">owing </w:t>
      </w:r>
      <w:r w:rsidRPr="000D2E09">
        <w:rPr>
          <w:lang w:val="en-GB"/>
        </w:rPr>
        <w:t>to the strict</w:t>
      </w:r>
      <w:r w:rsidR="00307209" w:rsidRPr="000D2E09">
        <w:rPr>
          <w:lang w:val="en-GB"/>
        </w:rPr>
        <w:t xml:space="preserve"> and </w:t>
      </w:r>
      <w:r w:rsidRPr="000D2E09">
        <w:rPr>
          <w:lang w:val="en-GB"/>
        </w:rPr>
        <w:t>rigid rules for the imposition of the special regime and the vaguely defined “</w:t>
      </w:r>
      <w:r w:rsidR="00D07A5A" w:rsidRPr="000D2E09">
        <w:rPr>
          <w:lang w:val="en-GB"/>
        </w:rPr>
        <w:t>particular</w:t>
      </w:r>
      <w:r w:rsidRPr="000D2E09">
        <w:rPr>
          <w:lang w:val="en-GB"/>
        </w:rPr>
        <w:t xml:space="preserve"> circumstances” </w:t>
      </w:r>
      <w:r w:rsidR="008A33EB" w:rsidRPr="000D2E09">
        <w:rPr>
          <w:lang w:val="en-GB"/>
        </w:rPr>
        <w:t xml:space="preserve">for </w:t>
      </w:r>
      <w:r w:rsidRPr="000D2E09">
        <w:rPr>
          <w:lang w:val="en-GB"/>
        </w:rPr>
        <w:t>discontinu</w:t>
      </w:r>
      <w:r w:rsidR="008A33EB" w:rsidRPr="000D2E09">
        <w:rPr>
          <w:lang w:val="en-GB"/>
        </w:rPr>
        <w:t xml:space="preserve">ing it, as </w:t>
      </w:r>
      <w:r w:rsidRPr="000D2E09">
        <w:rPr>
          <w:lang w:val="en-GB"/>
        </w:rPr>
        <w:t>laid down in Article 212a § 3 of the Code of Execution of Criminal Sentences, the authorities, in extending th</w:t>
      </w:r>
      <w:r w:rsidR="008A33EB" w:rsidRPr="000D2E09">
        <w:rPr>
          <w:lang w:val="en-GB"/>
        </w:rPr>
        <w:t>e</w:t>
      </w:r>
      <w:r w:rsidRPr="000D2E09">
        <w:rPr>
          <w:lang w:val="en-GB"/>
        </w:rPr>
        <w:t xml:space="preserve"> regime, were not in fact obliged to consider any changes in the applicant</w:t>
      </w:r>
      <w:r w:rsidR="000D2E09" w:rsidRPr="000D2E09">
        <w:rPr>
          <w:lang w:val="en-GB"/>
        </w:rPr>
        <w:t>’</w:t>
      </w:r>
      <w:r w:rsidRPr="000D2E09">
        <w:rPr>
          <w:lang w:val="en-GB"/>
        </w:rPr>
        <w:t>s personal situation and, in particular, the combined effects of the continued application of the impugned measures.</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42</w:t>
      </w:r>
      <w:r w:rsidRPr="000D2E09">
        <w:rPr>
          <w:lang w:val="en-GB"/>
        </w:rPr>
        <w:fldChar w:fldCharType="end"/>
      </w:r>
      <w:r w:rsidRPr="000D2E09">
        <w:rPr>
          <w:lang w:val="en-GB"/>
        </w:rPr>
        <w:t>.  In the present case, it emerges from the relevant decisions that</w:t>
      </w:r>
      <w:r w:rsidR="000A524F" w:rsidRPr="000D2E09">
        <w:rPr>
          <w:lang w:val="en-GB"/>
        </w:rPr>
        <w:t xml:space="preserve"> the authorities failed to </w:t>
      </w:r>
      <w:r w:rsidR="008A33EB" w:rsidRPr="000D2E09">
        <w:rPr>
          <w:lang w:val="en-GB"/>
        </w:rPr>
        <w:t xml:space="preserve">give any specific </w:t>
      </w:r>
      <w:r w:rsidR="000A524F" w:rsidRPr="000D2E09">
        <w:rPr>
          <w:lang w:val="en-GB"/>
        </w:rPr>
        <w:t xml:space="preserve">reasons </w:t>
      </w:r>
      <w:r w:rsidR="008A33EB" w:rsidRPr="000D2E09">
        <w:rPr>
          <w:lang w:val="en-GB"/>
        </w:rPr>
        <w:t xml:space="preserve">for </w:t>
      </w:r>
      <w:r w:rsidR="000A524F" w:rsidRPr="000D2E09">
        <w:rPr>
          <w:lang w:val="en-GB"/>
        </w:rPr>
        <w:t>classify</w:t>
      </w:r>
      <w:r w:rsidR="008A33EB" w:rsidRPr="000D2E09">
        <w:rPr>
          <w:lang w:val="en-GB"/>
        </w:rPr>
        <w:t>ing</w:t>
      </w:r>
      <w:r w:rsidR="000A524F" w:rsidRPr="000D2E09">
        <w:rPr>
          <w:lang w:val="en-GB"/>
        </w:rPr>
        <w:t xml:space="preserve"> </w:t>
      </w:r>
      <w:r w:rsidR="008A33EB" w:rsidRPr="000D2E09">
        <w:rPr>
          <w:lang w:val="en-GB"/>
        </w:rPr>
        <w:t xml:space="preserve">the applicant </w:t>
      </w:r>
      <w:r w:rsidR="008C52D3" w:rsidRPr="000D2E09">
        <w:rPr>
          <w:lang w:val="en-GB"/>
        </w:rPr>
        <w:t>as a </w:t>
      </w:r>
      <w:r w:rsidR="000A524F" w:rsidRPr="000D2E09">
        <w:rPr>
          <w:lang w:val="en-GB"/>
        </w:rPr>
        <w:t xml:space="preserve">dangerous detainee (see paragraph </w:t>
      </w:r>
      <w:r w:rsidR="00EA7903" w:rsidRPr="000D2E09">
        <w:rPr>
          <w:lang w:val="en-GB"/>
        </w:rPr>
        <w:t>8</w:t>
      </w:r>
      <w:r w:rsidR="000A524F" w:rsidRPr="000D2E09">
        <w:rPr>
          <w:lang w:val="en-GB"/>
        </w:rPr>
        <w:t xml:space="preserve"> above). Further decisions extending the application of the regime to the applicant referred only to the fact that the reasons relied on previously had not ceas</w:t>
      </w:r>
      <w:r w:rsidR="008C52D3" w:rsidRPr="000D2E09">
        <w:rPr>
          <w:lang w:val="en-GB"/>
        </w:rPr>
        <w:t>ed to exist (see paragraph </w:t>
      </w:r>
      <w:r w:rsidR="00EA7903" w:rsidRPr="000D2E09">
        <w:rPr>
          <w:lang w:val="en-GB"/>
        </w:rPr>
        <w:t>10</w:t>
      </w:r>
      <w:r w:rsidR="008C52D3" w:rsidRPr="000D2E09">
        <w:rPr>
          <w:lang w:val="en-GB"/>
        </w:rPr>
        <w:t xml:space="preserve"> </w:t>
      </w:r>
      <w:r w:rsidR="000A524F" w:rsidRPr="000D2E09">
        <w:rPr>
          <w:lang w:val="en-GB"/>
        </w:rPr>
        <w:t xml:space="preserve">above). It follows that </w:t>
      </w:r>
      <w:r w:rsidRPr="000D2E09">
        <w:rPr>
          <w:lang w:val="en-GB"/>
        </w:rPr>
        <w:t>the procedure for review of the applicant</w:t>
      </w:r>
      <w:r w:rsidR="000D2E09" w:rsidRPr="000D2E09">
        <w:rPr>
          <w:lang w:val="en-GB"/>
        </w:rPr>
        <w:t>’</w:t>
      </w:r>
      <w:r w:rsidRPr="000D2E09">
        <w:rPr>
          <w:lang w:val="en-GB"/>
        </w:rPr>
        <w:t xml:space="preserve">s dangerous detainee status became a pure formality, </w:t>
      </w:r>
      <w:r w:rsidR="008A33EB" w:rsidRPr="000D2E09">
        <w:rPr>
          <w:lang w:val="en-GB"/>
        </w:rPr>
        <w:t xml:space="preserve">being </w:t>
      </w:r>
      <w:r w:rsidRPr="000D2E09">
        <w:rPr>
          <w:lang w:val="en-GB"/>
        </w:rPr>
        <w:t xml:space="preserve">limited to </w:t>
      </w:r>
      <w:r w:rsidR="004575C3" w:rsidRPr="000D2E09">
        <w:rPr>
          <w:lang w:val="en-GB"/>
        </w:rPr>
        <w:t xml:space="preserve">the </w:t>
      </w:r>
      <w:r w:rsidRPr="000D2E09">
        <w:rPr>
          <w:lang w:val="en-GB"/>
        </w:rPr>
        <w:t>repetition of the same grounds in successive decision</w:t>
      </w:r>
      <w:r w:rsidR="008A33EB" w:rsidRPr="000D2E09">
        <w:rPr>
          <w:lang w:val="en-GB"/>
        </w:rPr>
        <w:t>s</w:t>
      </w:r>
      <w:r w:rsidRPr="000D2E09">
        <w:rPr>
          <w:lang w:val="en-GB"/>
        </w:rPr>
        <w:t xml:space="preserve"> (see </w:t>
      </w:r>
      <w:r w:rsidRPr="000D2E09">
        <w:rPr>
          <w:i/>
          <w:lang w:val="en-GB"/>
        </w:rPr>
        <w:t>Piechowicz</w:t>
      </w:r>
      <w:r w:rsidRPr="000D2E09">
        <w:rPr>
          <w:lang w:val="en-GB"/>
        </w:rPr>
        <w:t>, cited above, §</w:t>
      </w:r>
      <w:r w:rsidR="009D2D8F" w:rsidRPr="000D2E09">
        <w:rPr>
          <w:lang w:val="en-GB"/>
        </w:rPr>
        <w:t> </w:t>
      </w:r>
      <w:r w:rsidRPr="000D2E09">
        <w:rPr>
          <w:lang w:val="en-GB"/>
        </w:rPr>
        <w:t>177).</w:t>
      </w:r>
    </w:p>
    <w:p w:rsidR="006C2EEF" w:rsidRPr="000D2E09" w:rsidRDefault="006C2EEF"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43</w:t>
      </w:r>
      <w:r w:rsidRPr="000D2E09">
        <w:rPr>
          <w:lang w:val="en-GB"/>
        </w:rPr>
        <w:fldChar w:fldCharType="end"/>
      </w:r>
      <w:r w:rsidRPr="000D2E09">
        <w:rPr>
          <w:lang w:val="en-GB"/>
        </w:rPr>
        <w:t>.  In conclusion, assessing the facts of the case as a whole and considering the cumulative effects of the dangerous detainee regime on the applicant, the Court finds that the</w:t>
      </w:r>
      <w:r w:rsidR="00D92CE1" w:rsidRPr="000D2E09">
        <w:rPr>
          <w:lang w:val="en-GB"/>
        </w:rPr>
        <w:t xml:space="preserve"> authorities did not provide sufficient and relevant reasons which could justify, in the circumstances of the case, the severity of the measures taken. In particular, the authorities failed to show that the impugned measures were necessary in their entirety to attain the legitimate aim of ensuring prison security</w:t>
      </w:r>
      <w:r w:rsidRPr="000D2E09">
        <w:rPr>
          <w:lang w:val="en-GB"/>
        </w:rPr>
        <w:t>.</w:t>
      </w:r>
    </w:p>
    <w:p w:rsidR="006C2EEF" w:rsidRPr="000D2E09" w:rsidRDefault="006C2EEF" w:rsidP="000D2E09">
      <w:pPr>
        <w:pStyle w:val="ECHRPara"/>
        <w:rPr>
          <w:lang w:val="en-GB"/>
        </w:rPr>
      </w:pPr>
      <w:r w:rsidRPr="000D2E09">
        <w:rPr>
          <w:lang w:val="en-GB"/>
        </w:rPr>
        <w:t>There has accordingly been a violation of Article 3 of the Convention. In consequence, and particularly in the light of the findings in paragraph</w:t>
      </w:r>
      <w:r w:rsidR="008C52D3" w:rsidRPr="000D2E09">
        <w:rPr>
          <w:lang w:val="en-GB"/>
        </w:rPr>
        <w:t> </w:t>
      </w:r>
      <w:r w:rsidR="009D21E6" w:rsidRPr="000D2E09">
        <w:rPr>
          <w:lang w:val="en-GB"/>
        </w:rPr>
        <w:t>42</w:t>
      </w:r>
      <w:r w:rsidR="008C52D3" w:rsidRPr="000D2E09">
        <w:rPr>
          <w:lang w:val="en-GB"/>
        </w:rPr>
        <w:t xml:space="preserve"> </w:t>
      </w:r>
      <w:r w:rsidRPr="000D2E09">
        <w:rPr>
          <w:lang w:val="en-GB"/>
        </w:rPr>
        <w:t>above, the Government</w:t>
      </w:r>
      <w:r w:rsidR="000D2E09" w:rsidRPr="000D2E09">
        <w:rPr>
          <w:lang w:val="en-GB"/>
        </w:rPr>
        <w:t>’</w:t>
      </w:r>
      <w:r w:rsidRPr="000D2E09">
        <w:rPr>
          <w:lang w:val="en-GB"/>
        </w:rPr>
        <w:t xml:space="preserve">s preliminary objection based on non-exhaustion of domestic remedies (see paragraph </w:t>
      </w:r>
      <w:r w:rsidR="00EA7903" w:rsidRPr="000D2E09">
        <w:rPr>
          <w:lang w:val="en-GB"/>
        </w:rPr>
        <w:t>2</w:t>
      </w:r>
      <w:r w:rsidR="009D21E6" w:rsidRPr="000D2E09">
        <w:rPr>
          <w:lang w:val="en-GB"/>
        </w:rPr>
        <w:t>1</w:t>
      </w:r>
      <w:r w:rsidRPr="000D2E09">
        <w:rPr>
          <w:lang w:val="en-GB"/>
        </w:rPr>
        <w:t xml:space="preserve"> above) must be rejected.</w:t>
      </w:r>
    </w:p>
    <w:p w:rsidR="00014566" w:rsidRPr="000D2E09" w:rsidRDefault="000A524F" w:rsidP="000D2E09">
      <w:pPr>
        <w:pStyle w:val="ECHRHeading1"/>
        <w:rPr>
          <w:lang w:val="en-GB"/>
        </w:rPr>
      </w:pPr>
      <w:r w:rsidRPr="000D2E09">
        <w:rPr>
          <w:lang w:val="en-GB"/>
        </w:rPr>
        <w:lastRenderedPageBreak/>
        <w:t>II</w:t>
      </w:r>
      <w:r w:rsidR="00014566" w:rsidRPr="000D2E09">
        <w:rPr>
          <w:lang w:val="en-GB"/>
        </w:rPr>
        <w:t>.  APPLICATION OF ARTICLE 41 OF THE CONVENTION</w:t>
      </w:r>
    </w:p>
    <w:p w:rsidR="00014566" w:rsidRPr="000D2E09" w:rsidRDefault="0092718E"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44</w:t>
      </w:r>
      <w:r w:rsidRPr="000D2E09">
        <w:rPr>
          <w:lang w:val="en-GB"/>
        </w:rPr>
        <w:fldChar w:fldCharType="end"/>
      </w:r>
      <w:r w:rsidR="00014566" w:rsidRPr="000D2E09">
        <w:rPr>
          <w:lang w:val="en-GB"/>
        </w:rPr>
        <w:t>.  Article 41 of the Convention provides:</w:t>
      </w:r>
    </w:p>
    <w:p w:rsidR="00014566" w:rsidRPr="000D2E09" w:rsidRDefault="00014566" w:rsidP="000D2E09">
      <w:pPr>
        <w:pStyle w:val="ECHRParaQuote"/>
        <w:rPr>
          <w:lang w:val="en-GB"/>
        </w:rPr>
      </w:pPr>
      <w:r w:rsidRPr="000D2E09">
        <w:rPr>
          <w:lang w:val="en-GB"/>
        </w:rPr>
        <w:t>“If</w:t>
      </w:r>
      <w:r w:rsidR="004821FA" w:rsidRPr="000D2E09">
        <w:rPr>
          <w:lang w:val="en-GB"/>
        </w:rPr>
        <w:t xml:space="preserve"> </w:t>
      </w:r>
      <w:r w:rsidRPr="000D2E09">
        <w:rPr>
          <w:lang w:val="en-GB"/>
        </w:rPr>
        <w:t>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0D2E09" w:rsidRDefault="00014566" w:rsidP="000D2E09">
      <w:pPr>
        <w:pStyle w:val="ECHRHeading2"/>
        <w:outlineLvl w:val="0"/>
        <w:rPr>
          <w:lang w:val="en-GB"/>
        </w:rPr>
      </w:pPr>
      <w:r w:rsidRPr="000D2E09">
        <w:rPr>
          <w:lang w:val="en-GB"/>
        </w:rPr>
        <w:t>A.  Damage</w:t>
      </w:r>
    </w:p>
    <w:p w:rsidR="00014566" w:rsidRPr="000D2E09" w:rsidRDefault="0092718E" w:rsidP="000D2E09">
      <w:pPr>
        <w:pStyle w:val="ECHRPara"/>
        <w:keepNext/>
        <w:keepLines/>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45</w:t>
      </w:r>
      <w:r w:rsidRPr="000D2E09">
        <w:rPr>
          <w:lang w:val="en-GB"/>
        </w:rPr>
        <w:fldChar w:fldCharType="end"/>
      </w:r>
      <w:r w:rsidR="00014566" w:rsidRPr="000D2E09">
        <w:rPr>
          <w:lang w:val="en-GB"/>
        </w:rPr>
        <w:t xml:space="preserve">.  The applicant claimed </w:t>
      </w:r>
      <w:r w:rsidR="005740C8" w:rsidRPr="000D2E09">
        <w:rPr>
          <w:lang w:val="en-GB"/>
        </w:rPr>
        <w:t>100,000</w:t>
      </w:r>
      <w:r w:rsidR="00014566" w:rsidRPr="000D2E09">
        <w:rPr>
          <w:lang w:val="en-GB"/>
        </w:rPr>
        <w:t xml:space="preserve"> euros (EUR) in respect of pecuniary and non-pecuniary damage.</w:t>
      </w:r>
    </w:p>
    <w:p w:rsidR="00014566" w:rsidRPr="000D2E09" w:rsidRDefault="0092718E" w:rsidP="000D2E09">
      <w:pPr>
        <w:pStyle w:val="ECHRPara"/>
        <w:keepNext/>
        <w:keepLines/>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46</w:t>
      </w:r>
      <w:r w:rsidRPr="000D2E09">
        <w:rPr>
          <w:lang w:val="en-GB"/>
        </w:rPr>
        <w:fldChar w:fldCharType="end"/>
      </w:r>
      <w:r w:rsidR="00014566" w:rsidRPr="000D2E09">
        <w:rPr>
          <w:lang w:val="en-GB"/>
        </w:rPr>
        <w:t xml:space="preserve">.  The Government </w:t>
      </w:r>
      <w:r w:rsidR="00EB0355" w:rsidRPr="000D2E09">
        <w:rPr>
          <w:lang w:val="en-GB"/>
        </w:rPr>
        <w:t>considered this amount excessive.</w:t>
      </w:r>
    </w:p>
    <w:p w:rsidR="00B71BE6" w:rsidRPr="000D2E09" w:rsidRDefault="0092718E" w:rsidP="000D2E09">
      <w:pPr>
        <w:pStyle w:val="ECHRPara"/>
        <w:keepNext/>
        <w:keepLines/>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47</w:t>
      </w:r>
      <w:r w:rsidRPr="000D2E09">
        <w:rPr>
          <w:lang w:val="en-GB"/>
        </w:rPr>
        <w:fldChar w:fldCharType="end"/>
      </w:r>
      <w:r w:rsidR="00014566" w:rsidRPr="000D2E09">
        <w:rPr>
          <w:lang w:val="en-GB"/>
        </w:rPr>
        <w:t>.  </w:t>
      </w:r>
      <w:r w:rsidR="00B71BE6" w:rsidRPr="000D2E09">
        <w:rPr>
          <w:lang w:val="en-GB"/>
        </w:rPr>
        <w:t xml:space="preserve">The Court awards the applicant EUR </w:t>
      </w:r>
      <w:r w:rsidR="00EA7903" w:rsidRPr="000D2E09">
        <w:rPr>
          <w:lang w:val="en-GB"/>
        </w:rPr>
        <w:t>1</w:t>
      </w:r>
      <w:r w:rsidR="00485081" w:rsidRPr="000D2E09">
        <w:rPr>
          <w:lang w:val="en-GB"/>
        </w:rPr>
        <w:t>1</w:t>
      </w:r>
      <w:r w:rsidR="00EA7903" w:rsidRPr="000D2E09">
        <w:rPr>
          <w:lang w:val="en-GB"/>
        </w:rPr>
        <w:t>,</w:t>
      </w:r>
      <w:r w:rsidR="00485081" w:rsidRPr="000D2E09">
        <w:rPr>
          <w:lang w:val="en-GB"/>
        </w:rPr>
        <w:t>0</w:t>
      </w:r>
      <w:r w:rsidR="00EA7903" w:rsidRPr="000D2E09">
        <w:rPr>
          <w:lang w:val="en-GB"/>
        </w:rPr>
        <w:t>00</w:t>
      </w:r>
      <w:r w:rsidR="00B71BE6" w:rsidRPr="000D2E09">
        <w:rPr>
          <w:lang w:val="en-GB"/>
        </w:rPr>
        <w:t xml:space="preserve"> in respect of non</w:t>
      </w:r>
      <w:r w:rsidR="00B71BE6" w:rsidRPr="000D2E09">
        <w:rPr>
          <w:lang w:val="en-GB"/>
        </w:rPr>
        <w:noBreakHyphen/>
        <w:t>pecuniary damage.</w:t>
      </w:r>
    </w:p>
    <w:p w:rsidR="00014566" w:rsidRPr="000D2E09" w:rsidRDefault="00014566" w:rsidP="000D2E09">
      <w:pPr>
        <w:pStyle w:val="ECHRHeading2"/>
        <w:outlineLvl w:val="0"/>
        <w:rPr>
          <w:lang w:val="en-GB"/>
        </w:rPr>
      </w:pPr>
      <w:r w:rsidRPr="000D2E09">
        <w:rPr>
          <w:lang w:val="en-GB"/>
        </w:rPr>
        <w:t>B.  Costs and expenses</w:t>
      </w:r>
    </w:p>
    <w:p w:rsidR="00014566" w:rsidRPr="000D2E09" w:rsidRDefault="0092718E"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48</w:t>
      </w:r>
      <w:r w:rsidRPr="000D2E09">
        <w:rPr>
          <w:lang w:val="en-GB"/>
        </w:rPr>
        <w:fldChar w:fldCharType="end"/>
      </w:r>
      <w:r w:rsidR="00014566" w:rsidRPr="000D2E09">
        <w:rPr>
          <w:lang w:val="en-GB"/>
        </w:rPr>
        <w:t xml:space="preserve">.  The applicant </w:t>
      </w:r>
      <w:r w:rsidR="00EB0355" w:rsidRPr="000D2E09">
        <w:rPr>
          <w:lang w:val="en-GB"/>
        </w:rPr>
        <w:t>did not make any claim for costs and expenses.</w:t>
      </w:r>
    </w:p>
    <w:p w:rsidR="00014566" w:rsidRPr="000D2E09" w:rsidRDefault="00014566" w:rsidP="000D2E09">
      <w:pPr>
        <w:pStyle w:val="ECHRHeading2"/>
        <w:outlineLvl w:val="0"/>
        <w:rPr>
          <w:lang w:val="en-GB"/>
        </w:rPr>
      </w:pPr>
      <w:r w:rsidRPr="000D2E09">
        <w:rPr>
          <w:lang w:val="en-GB"/>
        </w:rPr>
        <w:t>C.  Default interest</w:t>
      </w:r>
    </w:p>
    <w:p w:rsidR="00014566" w:rsidRPr="000D2E09" w:rsidRDefault="00EB0355" w:rsidP="000D2E09">
      <w:pPr>
        <w:pStyle w:val="ECHRPara"/>
        <w:rPr>
          <w:lang w:val="en-GB"/>
        </w:rPr>
      </w:pPr>
      <w:r w:rsidRPr="000D2E09">
        <w:rPr>
          <w:lang w:val="en-GB"/>
        </w:rPr>
        <w:fldChar w:fldCharType="begin"/>
      </w:r>
      <w:r w:rsidRPr="000D2E09">
        <w:rPr>
          <w:lang w:val="en-GB"/>
        </w:rPr>
        <w:instrText xml:space="preserve"> SEQ level0 \*arabic </w:instrText>
      </w:r>
      <w:r w:rsidRPr="000D2E09">
        <w:rPr>
          <w:lang w:val="en-GB"/>
        </w:rPr>
        <w:fldChar w:fldCharType="separate"/>
      </w:r>
      <w:r w:rsidR="000D2E09" w:rsidRPr="000D2E09">
        <w:rPr>
          <w:noProof/>
          <w:lang w:val="en-GB"/>
        </w:rPr>
        <w:t>49</w:t>
      </w:r>
      <w:r w:rsidRPr="000D2E09">
        <w:rPr>
          <w:lang w:val="en-GB"/>
        </w:rPr>
        <w:fldChar w:fldCharType="end"/>
      </w:r>
      <w:r w:rsidRPr="000D2E09">
        <w:rPr>
          <w:lang w:val="en-GB"/>
        </w:rPr>
        <w:t>.  </w:t>
      </w:r>
      <w:r w:rsidR="00014566" w:rsidRPr="000D2E09">
        <w:rPr>
          <w:lang w:val="en-GB"/>
        </w:rPr>
        <w:t>The Court considers it appropriate that the default interest rate should be based on the marginal lending rate of the European Central Bank, to which should be added three percentage points.</w:t>
      </w:r>
    </w:p>
    <w:p w:rsidR="00014566" w:rsidRPr="000D2E09" w:rsidRDefault="00BB5883" w:rsidP="000D2E09">
      <w:pPr>
        <w:pStyle w:val="ECHRTitle1"/>
        <w:rPr>
          <w:lang w:val="en-GB"/>
        </w:rPr>
      </w:pPr>
      <w:r w:rsidRPr="000D2E09">
        <w:rPr>
          <w:lang w:val="en-GB"/>
        </w:rPr>
        <w:t>FOR THESE REASONS, THE COURT</w:t>
      </w:r>
      <w:r w:rsidR="0092718E" w:rsidRPr="000D2E09">
        <w:rPr>
          <w:lang w:val="en-GB"/>
        </w:rPr>
        <w:t>, UNANIMOUSLY,</w:t>
      </w:r>
    </w:p>
    <w:p w:rsidR="00E551C2" w:rsidRPr="000D2E09" w:rsidRDefault="00B637B9" w:rsidP="000D2E09">
      <w:pPr>
        <w:pStyle w:val="JuList"/>
        <w:rPr>
          <w:lang w:val="en-GB"/>
        </w:rPr>
      </w:pPr>
      <w:r w:rsidRPr="000D2E09">
        <w:rPr>
          <w:lang w:val="en-GB"/>
        </w:rPr>
        <w:t>1.</w:t>
      </w:r>
      <w:r w:rsidR="00B53E75" w:rsidRPr="000D2E09">
        <w:rPr>
          <w:lang w:val="en-GB"/>
        </w:rPr>
        <w:t>  </w:t>
      </w:r>
      <w:r w:rsidR="00E551C2" w:rsidRPr="000D2E09">
        <w:rPr>
          <w:i/>
          <w:lang w:val="en-GB"/>
        </w:rPr>
        <w:t>Joins</w:t>
      </w:r>
      <w:r w:rsidR="00E551C2" w:rsidRPr="000D2E09">
        <w:rPr>
          <w:lang w:val="en-GB"/>
        </w:rPr>
        <w:t xml:space="preserve"> the Government</w:t>
      </w:r>
      <w:r w:rsidR="000D2E09" w:rsidRPr="000D2E09">
        <w:rPr>
          <w:lang w:val="en-GB"/>
        </w:rPr>
        <w:t>’</w:t>
      </w:r>
      <w:r w:rsidR="00E551C2" w:rsidRPr="000D2E09">
        <w:rPr>
          <w:lang w:val="en-GB"/>
        </w:rPr>
        <w:t xml:space="preserve">s objection of non-exhaustion to the merits of the case and </w:t>
      </w:r>
      <w:r w:rsidR="00E551C2" w:rsidRPr="000D2E09">
        <w:rPr>
          <w:i/>
          <w:lang w:val="en-GB"/>
        </w:rPr>
        <w:t>rejects</w:t>
      </w:r>
      <w:r w:rsidR="0077707A" w:rsidRPr="000D2E09">
        <w:rPr>
          <w:lang w:val="en-GB"/>
        </w:rPr>
        <w:t xml:space="preserve"> it;</w:t>
      </w:r>
    </w:p>
    <w:p w:rsidR="00E551C2" w:rsidRPr="000D2E09" w:rsidRDefault="00E551C2" w:rsidP="000D2E09">
      <w:pPr>
        <w:pStyle w:val="JuList"/>
        <w:rPr>
          <w:lang w:val="en-GB"/>
        </w:rPr>
      </w:pPr>
    </w:p>
    <w:p w:rsidR="00B637B9" w:rsidRPr="000D2E09" w:rsidRDefault="000D2E09" w:rsidP="000D2E09">
      <w:pPr>
        <w:pStyle w:val="JuList"/>
        <w:rPr>
          <w:lang w:val="en-GB"/>
        </w:rPr>
      </w:pPr>
      <w:r w:rsidRPr="000D2E09">
        <w:rPr>
          <w:lang w:val="en-GB"/>
        </w:rPr>
        <w:t>2.</w:t>
      </w:r>
      <w:r w:rsidR="00B637B9" w:rsidRPr="000D2E09">
        <w:rPr>
          <w:lang w:val="en-GB"/>
        </w:rPr>
        <w:t>  </w:t>
      </w:r>
      <w:r w:rsidR="00B637B9" w:rsidRPr="000D2E09">
        <w:rPr>
          <w:i/>
          <w:lang w:val="en-GB"/>
        </w:rPr>
        <w:t>Declares</w:t>
      </w:r>
      <w:r w:rsidR="0092718E" w:rsidRPr="000D2E09">
        <w:rPr>
          <w:lang w:val="en-GB"/>
        </w:rPr>
        <w:t xml:space="preserve"> </w:t>
      </w:r>
      <w:r w:rsidR="00B637B9" w:rsidRPr="000D2E09">
        <w:rPr>
          <w:lang w:val="en-GB"/>
        </w:rPr>
        <w:t xml:space="preserve">the </w:t>
      </w:r>
      <w:r w:rsidR="0092718E" w:rsidRPr="000D2E09">
        <w:rPr>
          <w:lang w:val="en-GB"/>
        </w:rPr>
        <w:t>application</w:t>
      </w:r>
      <w:r w:rsidR="00B637B9" w:rsidRPr="000D2E09">
        <w:rPr>
          <w:lang w:val="en-GB"/>
        </w:rPr>
        <w:t xml:space="preserve"> admissible;</w:t>
      </w:r>
    </w:p>
    <w:p w:rsidR="00014566" w:rsidRPr="000D2E09" w:rsidRDefault="00014566" w:rsidP="000D2E09">
      <w:pPr>
        <w:pStyle w:val="JuList"/>
        <w:ind w:left="0" w:firstLine="0"/>
        <w:rPr>
          <w:lang w:val="en-GB"/>
        </w:rPr>
      </w:pPr>
    </w:p>
    <w:p w:rsidR="00014566" w:rsidRPr="000D2E09" w:rsidRDefault="00E551C2" w:rsidP="000D2E09">
      <w:pPr>
        <w:pStyle w:val="JuList"/>
        <w:rPr>
          <w:lang w:val="en-GB"/>
        </w:rPr>
      </w:pPr>
      <w:r w:rsidRPr="000D2E09">
        <w:rPr>
          <w:lang w:val="en-GB"/>
        </w:rPr>
        <w:t>3</w:t>
      </w:r>
      <w:r w:rsidR="00014566" w:rsidRPr="000D2E09">
        <w:rPr>
          <w:lang w:val="en-GB"/>
        </w:rPr>
        <w:t>.  </w:t>
      </w:r>
      <w:r w:rsidR="00014566" w:rsidRPr="000D2E09">
        <w:rPr>
          <w:i/>
          <w:lang w:val="en-GB"/>
        </w:rPr>
        <w:t>Holds</w:t>
      </w:r>
      <w:r w:rsidR="0092718E" w:rsidRPr="000D2E09">
        <w:rPr>
          <w:lang w:val="en-GB"/>
        </w:rPr>
        <w:t xml:space="preserve"> </w:t>
      </w:r>
      <w:r w:rsidR="00014566" w:rsidRPr="000D2E09">
        <w:rPr>
          <w:lang w:val="en-GB"/>
        </w:rPr>
        <w:t xml:space="preserve">that there has been a violation of Article </w:t>
      </w:r>
      <w:r w:rsidR="000A524F" w:rsidRPr="000D2E09">
        <w:rPr>
          <w:lang w:val="en-GB"/>
        </w:rPr>
        <w:t>3</w:t>
      </w:r>
      <w:r w:rsidR="00014566" w:rsidRPr="000D2E09">
        <w:rPr>
          <w:lang w:val="en-GB"/>
        </w:rPr>
        <w:t xml:space="preserve"> of the Convention;</w:t>
      </w:r>
    </w:p>
    <w:p w:rsidR="00014566" w:rsidRPr="000D2E09" w:rsidRDefault="00014566" w:rsidP="000D2E09">
      <w:pPr>
        <w:pStyle w:val="JuList"/>
        <w:rPr>
          <w:lang w:val="en-GB"/>
        </w:rPr>
      </w:pPr>
    </w:p>
    <w:p w:rsidR="00BB53CA" w:rsidRPr="000D2E09" w:rsidRDefault="00E551C2" w:rsidP="000D2E09">
      <w:pPr>
        <w:pStyle w:val="JuList"/>
        <w:rPr>
          <w:lang w:val="en-GB"/>
        </w:rPr>
      </w:pPr>
      <w:r w:rsidRPr="000D2E09">
        <w:rPr>
          <w:lang w:val="en-GB"/>
        </w:rPr>
        <w:t>4</w:t>
      </w:r>
      <w:r w:rsidR="00014566" w:rsidRPr="000D2E09">
        <w:rPr>
          <w:lang w:val="en-GB"/>
        </w:rPr>
        <w:t>.  </w:t>
      </w:r>
      <w:r w:rsidR="00BB53CA" w:rsidRPr="000D2E09">
        <w:rPr>
          <w:i/>
          <w:lang w:val="en-GB"/>
        </w:rPr>
        <w:t>Holds</w:t>
      </w:r>
    </w:p>
    <w:p w:rsidR="00BB53CA" w:rsidRPr="000D2E09" w:rsidRDefault="00BB53CA" w:rsidP="000D2E09">
      <w:pPr>
        <w:pStyle w:val="JuLista"/>
        <w:rPr>
          <w:lang w:val="en-GB"/>
        </w:rPr>
      </w:pPr>
      <w:r w:rsidRPr="000D2E09">
        <w:rPr>
          <w:lang w:val="en-GB"/>
        </w:rPr>
        <w:t>(a)  that the respondent State is to pay the applicant, within three months from the date on which the judgment becomes final in accordance with Article 44 § 2 of the Convention, EUR </w:t>
      </w:r>
      <w:r w:rsidR="00EA7903" w:rsidRPr="000D2E09">
        <w:rPr>
          <w:lang w:val="en-GB"/>
        </w:rPr>
        <w:t>1</w:t>
      </w:r>
      <w:r w:rsidR="00485081" w:rsidRPr="000D2E09">
        <w:rPr>
          <w:lang w:val="en-GB"/>
        </w:rPr>
        <w:t>1</w:t>
      </w:r>
      <w:r w:rsidR="00EA7903" w:rsidRPr="000D2E09">
        <w:rPr>
          <w:lang w:val="en-GB"/>
        </w:rPr>
        <w:t>,</w:t>
      </w:r>
      <w:r w:rsidR="00485081" w:rsidRPr="000D2E09">
        <w:rPr>
          <w:lang w:val="en-GB"/>
        </w:rPr>
        <w:t>0</w:t>
      </w:r>
      <w:r w:rsidR="00EA7903" w:rsidRPr="000D2E09">
        <w:rPr>
          <w:lang w:val="en-GB"/>
        </w:rPr>
        <w:t>00</w:t>
      </w:r>
      <w:r w:rsidRPr="000D2E09">
        <w:rPr>
          <w:lang w:val="en-GB"/>
        </w:rPr>
        <w:t xml:space="preserve"> (</w:t>
      </w:r>
      <w:r w:rsidR="00485081" w:rsidRPr="000D2E09">
        <w:rPr>
          <w:lang w:val="en-GB"/>
        </w:rPr>
        <w:t>eleven</w:t>
      </w:r>
      <w:r w:rsidRPr="000D2E09">
        <w:rPr>
          <w:lang w:val="en-GB"/>
        </w:rPr>
        <w:t xml:space="preserve"> thousand euros), in respect of non-pecuniary damage, plus any tax that may be chargeable to the applicant, to be converted into </w:t>
      </w:r>
      <w:r w:rsidR="00B53E75" w:rsidRPr="000D2E09">
        <w:rPr>
          <w:lang w:val="en-GB"/>
        </w:rPr>
        <w:t>the currency of the respondent State</w:t>
      </w:r>
      <w:r w:rsidRPr="000D2E09">
        <w:rPr>
          <w:lang w:val="en-GB"/>
        </w:rPr>
        <w:t xml:space="preserve"> at the rate applicable at the date of settlement;</w:t>
      </w:r>
    </w:p>
    <w:p w:rsidR="00BB53CA" w:rsidRPr="000D2E09" w:rsidRDefault="00BB53CA" w:rsidP="000D2E09">
      <w:pPr>
        <w:pStyle w:val="JuLista"/>
        <w:rPr>
          <w:lang w:val="en-GB"/>
        </w:rPr>
      </w:pPr>
      <w:r w:rsidRPr="000D2E09">
        <w:rPr>
          <w:lang w:val="en-GB"/>
        </w:rPr>
        <w:lastRenderedPageBreak/>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0D2E09" w:rsidRDefault="00014566" w:rsidP="000D2E09">
      <w:pPr>
        <w:pStyle w:val="JuList"/>
        <w:rPr>
          <w:lang w:val="en-GB"/>
        </w:rPr>
      </w:pPr>
    </w:p>
    <w:p w:rsidR="00014566" w:rsidRPr="000D2E09" w:rsidRDefault="00E551C2" w:rsidP="000D2E09">
      <w:pPr>
        <w:pStyle w:val="JuList"/>
        <w:rPr>
          <w:lang w:val="en-GB"/>
        </w:rPr>
      </w:pPr>
      <w:r w:rsidRPr="000D2E09">
        <w:rPr>
          <w:lang w:val="en-GB"/>
        </w:rPr>
        <w:t>5</w:t>
      </w:r>
      <w:r w:rsidR="00014566" w:rsidRPr="000D2E09">
        <w:rPr>
          <w:lang w:val="en-GB"/>
        </w:rPr>
        <w:t>.  </w:t>
      </w:r>
      <w:r w:rsidR="00014566" w:rsidRPr="000D2E09">
        <w:rPr>
          <w:i/>
          <w:lang w:val="en-GB"/>
        </w:rPr>
        <w:t>Dismisses</w:t>
      </w:r>
      <w:r w:rsidR="0092718E" w:rsidRPr="000D2E09">
        <w:rPr>
          <w:lang w:val="en-GB"/>
        </w:rPr>
        <w:t xml:space="preserve"> </w:t>
      </w:r>
      <w:r w:rsidR="00014566" w:rsidRPr="000D2E09">
        <w:rPr>
          <w:lang w:val="en-GB"/>
        </w:rPr>
        <w:t>the remainder of the applicant</w:t>
      </w:r>
      <w:r w:rsidR="000D2E09" w:rsidRPr="000D2E09">
        <w:rPr>
          <w:lang w:val="en-GB"/>
        </w:rPr>
        <w:t>’</w:t>
      </w:r>
      <w:r w:rsidR="0092718E" w:rsidRPr="000D2E09">
        <w:rPr>
          <w:lang w:val="en-GB"/>
        </w:rPr>
        <w:t>s</w:t>
      </w:r>
      <w:r w:rsidR="00014566" w:rsidRPr="000D2E09">
        <w:rPr>
          <w:lang w:val="en-GB"/>
        </w:rPr>
        <w:t xml:space="preserve"> claim for just satisfaction.</w:t>
      </w:r>
    </w:p>
    <w:p w:rsidR="00014566" w:rsidRPr="000D2E09" w:rsidRDefault="00014566" w:rsidP="000D2E09">
      <w:pPr>
        <w:pStyle w:val="JuParaLast"/>
        <w:rPr>
          <w:lang w:val="en-GB"/>
        </w:rPr>
      </w:pPr>
      <w:r w:rsidRPr="000D2E09">
        <w:rPr>
          <w:lang w:val="en-GB"/>
        </w:rPr>
        <w:t xml:space="preserve">Done in English, and notified in writing on </w:t>
      </w:r>
      <w:r w:rsidR="00FE422D" w:rsidRPr="000D2E09">
        <w:rPr>
          <w:lang w:val="en-GB"/>
        </w:rPr>
        <w:t>19 April 2016</w:t>
      </w:r>
      <w:r w:rsidRPr="000D2E09">
        <w:rPr>
          <w:lang w:val="en-GB"/>
        </w:rPr>
        <w:t>, pursuant to Rule 77 §§ 2 and 3 of the Rules of Court.</w:t>
      </w:r>
    </w:p>
    <w:p w:rsidR="004D15F3" w:rsidRPr="000D2E09" w:rsidRDefault="00014566" w:rsidP="000D2E09">
      <w:pPr>
        <w:pStyle w:val="JuSigned"/>
        <w:rPr>
          <w:lang w:val="it-IT"/>
        </w:rPr>
      </w:pPr>
      <w:r w:rsidRPr="000D2E09">
        <w:rPr>
          <w:lang w:val="en-GB"/>
        </w:rPr>
        <w:tab/>
      </w:r>
      <w:r w:rsidR="00A62723" w:rsidRPr="000D2E09">
        <w:rPr>
          <w:lang w:val="it-IT"/>
        </w:rPr>
        <w:t>Marialena Tsirli</w:t>
      </w:r>
      <w:r w:rsidRPr="000D2E09">
        <w:rPr>
          <w:lang w:val="it-IT"/>
        </w:rPr>
        <w:tab/>
      </w:r>
      <w:r w:rsidR="00B53E75" w:rsidRPr="000D2E09">
        <w:rPr>
          <w:szCs w:val="24"/>
          <w:lang w:val="it-IT"/>
        </w:rPr>
        <w:t>András Sajó</w:t>
      </w:r>
      <w:r w:rsidR="00E1557C" w:rsidRPr="000D2E09">
        <w:rPr>
          <w:szCs w:val="24"/>
          <w:lang w:val="it-IT"/>
        </w:rPr>
        <w:br/>
      </w:r>
      <w:r w:rsidRPr="000D2E09">
        <w:rPr>
          <w:lang w:val="it-IT"/>
        </w:rPr>
        <w:tab/>
      </w:r>
      <w:r w:rsidR="0092718E" w:rsidRPr="000D2E09">
        <w:rPr>
          <w:iCs/>
          <w:lang w:val="it-IT"/>
        </w:rPr>
        <w:t>Registrar</w:t>
      </w:r>
      <w:r w:rsidRPr="000D2E09">
        <w:rPr>
          <w:lang w:val="it-IT"/>
        </w:rPr>
        <w:tab/>
        <w:t>President</w:t>
      </w:r>
    </w:p>
    <w:p w:rsidR="000D2E09" w:rsidRPr="000D2E09" w:rsidRDefault="000D2E09" w:rsidP="000D2E09">
      <w:pPr>
        <w:pStyle w:val="JuParaLast"/>
        <w:rPr>
          <w:lang w:val="it-IT"/>
        </w:rPr>
      </w:pPr>
    </w:p>
    <w:sectPr w:rsidR="000D2E09" w:rsidRPr="000D2E09" w:rsidSect="00FE422D">
      <w:headerReference w:type="even" r:id="rId18"/>
      <w:headerReference w:type="default" r:id="rId19"/>
      <w:footnotePr>
        <w:numRestart w:val="eachPage"/>
      </w:footnotePr>
      <w:type w:val="continuous"/>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0EE" w:rsidRDefault="006960EE" w:rsidP="00014566">
      <w:r>
        <w:separator/>
      </w:r>
    </w:p>
  </w:endnote>
  <w:endnote w:type="continuationSeparator" w:id="0">
    <w:p w:rsidR="006960EE" w:rsidRDefault="006960EE"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FD" w:rsidRDefault="009102F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FD" w:rsidRDefault="009102FD">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FD" w:rsidRPr="00150BFA" w:rsidRDefault="009102FD" w:rsidP="0020718E">
    <w:pPr>
      <w:jc w:val="center"/>
    </w:pPr>
    <w:r>
      <w:rPr>
        <w:noProof/>
        <w:lang w:val="pl-PL" w:eastAsia="pl-PL"/>
      </w:rPr>
      <w:drawing>
        <wp:inline distT="0" distB="0" distL="0" distR="0" wp14:anchorId="163A76F1" wp14:editId="5BF1BFCF">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102FD" w:rsidRDefault="009102F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0EE" w:rsidRDefault="006960EE" w:rsidP="00014566">
      <w:r>
        <w:separator/>
      </w:r>
    </w:p>
  </w:footnote>
  <w:footnote w:type="continuationSeparator" w:id="0">
    <w:p w:rsidR="006960EE" w:rsidRDefault="006960EE"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FD" w:rsidRDefault="009102F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BE1" w:rsidRPr="009102FD" w:rsidRDefault="00242BE1" w:rsidP="009102FD">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FD" w:rsidRPr="00A45145" w:rsidRDefault="009102FD" w:rsidP="00A45145">
    <w:pPr>
      <w:jc w:val="center"/>
    </w:pPr>
    <w:r>
      <w:rPr>
        <w:noProof/>
        <w:lang w:val="pl-PL" w:eastAsia="pl-PL"/>
      </w:rPr>
      <w:drawing>
        <wp:inline distT="0" distB="0" distL="0" distR="0" wp14:anchorId="34F4CF9C" wp14:editId="2ECD54C9">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42BE1" w:rsidRDefault="00242BE1">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FD" w:rsidRPr="00FF2306" w:rsidRDefault="009102F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E4AFF">
      <w:rPr>
        <w:rStyle w:val="Numerstrony"/>
        <w:noProof/>
        <w:szCs w:val="18"/>
        <w:lang w:val="en-GB"/>
      </w:rPr>
      <w:t>8</w:t>
    </w:r>
    <w:r>
      <w:rPr>
        <w:rStyle w:val="Numerstrony"/>
        <w:szCs w:val="18"/>
        <w:lang w:val="en-GB"/>
      </w:rPr>
      <w:fldChar w:fldCharType="end"/>
    </w:r>
    <w:r w:rsidRPr="00FF2306">
      <w:rPr>
        <w:lang w:val="en-GB"/>
      </w:rPr>
      <w:tab/>
    </w:r>
    <w:r>
      <w:rPr>
        <w:lang w:val="en-GB"/>
      </w:rPr>
      <w:t>KARWOWSKI v. POLAND</w:t>
    </w:r>
    <w:r w:rsidRPr="00FF2306">
      <w:rPr>
        <w:lang w:val="en-GB"/>
      </w:rPr>
      <w:t xml:space="preserve"> </w:t>
    </w:r>
    <w:r>
      <w:rPr>
        <w:lang w:val="en-GB"/>
      </w:rP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2FD" w:rsidRPr="00D60D87" w:rsidRDefault="009102FD" w:rsidP="00D60D87">
    <w:pPr>
      <w:pStyle w:val="ECHRHeader"/>
      <w:rPr>
        <w:lang w:val="en-GB"/>
      </w:rPr>
    </w:pPr>
    <w:r w:rsidRPr="00D60D87">
      <w:rPr>
        <w:lang w:val="en-GB"/>
      </w:rPr>
      <w:tab/>
    </w:r>
    <w:r>
      <w:rPr>
        <w:lang w:val="en-GB"/>
      </w:rPr>
      <w:t>KARWOWSKI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FE4AFF">
      <w:rPr>
        <w:rStyle w:val="Numerstrony"/>
        <w:noProof/>
        <w:szCs w:val="18"/>
        <w:lang w:val="en-GB"/>
      </w:rPr>
      <w:t>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2718E"/>
    <w:rsid w:val="000010ED"/>
    <w:rsid w:val="000041F8"/>
    <w:rsid w:val="000042A8"/>
    <w:rsid w:val="00004308"/>
    <w:rsid w:val="00005BF0"/>
    <w:rsid w:val="00007154"/>
    <w:rsid w:val="000103AE"/>
    <w:rsid w:val="00011D69"/>
    <w:rsid w:val="00012AD3"/>
    <w:rsid w:val="00014566"/>
    <w:rsid w:val="00015C2D"/>
    <w:rsid w:val="00015F00"/>
    <w:rsid w:val="00022C1D"/>
    <w:rsid w:val="00027968"/>
    <w:rsid w:val="00034987"/>
    <w:rsid w:val="000602DF"/>
    <w:rsid w:val="00061B05"/>
    <w:rsid w:val="00062973"/>
    <w:rsid w:val="00062D5D"/>
    <w:rsid w:val="000632D5"/>
    <w:rsid w:val="000644EE"/>
    <w:rsid w:val="0007115F"/>
    <w:rsid w:val="00076497"/>
    <w:rsid w:val="000856D7"/>
    <w:rsid w:val="000925AD"/>
    <w:rsid w:val="00095121"/>
    <w:rsid w:val="000A24EB"/>
    <w:rsid w:val="000A524F"/>
    <w:rsid w:val="000B6923"/>
    <w:rsid w:val="000C033C"/>
    <w:rsid w:val="000C5F3C"/>
    <w:rsid w:val="000C6DCC"/>
    <w:rsid w:val="000D2E09"/>
    <w:rsid w:val="000D47AA"/>
    <w:rsid w:val="000D7156"/>
    <w:rsid w:val="000D721F"/>
    <w:rsid w:val="000E069B"/>
    <w:rsid w:val="000E0E82"/>
    <w:rsid w:val="000E1DC5"/>
    <w:rsid w:val="000E223F"/>
    <w:rsid w:val="000E35AC"/>
    <w:rsid w:val="000E732C"/>
    <w:rsid w:val="000E7D45"/>
    <w:rsid w:val="000F7851"/>
    <w:rsid w:val="00104E23"/>
    <w:rsid w:val="00111B0C"/>
    <w:rsid w:val="00120D6C"/>
    <w:rsid w:val="001242A8"/>
    <w:rsid w:val="001257EC"/>
    <w:rsid w:val="00132C6A"/>
    <w:rsid w:val="00133D33"/>
    <w:rsid w:val="00134D64"/>
    <w:rsid w:val="00135A30"/>
    <w:rsid w:val="0013612C"/>
    <w:rsid w:val="00137274"/>
    <w:rsid w:val="00137FF6"/>
    <w:rsid w:val="00141650"/>
    <w:rsid w:val="00153606"/>
    <w:rsid w:val="00162A12"/>
    <w:rsid w:val="00166530"/>
    <w:rsid w:val="001832BD"/>
    <w:rsid w:val="001943B5"/>
    <w:rsid w:val="00195134"/>
    <w:rsid w:val="001A145B"/>
    <w:rsid w:val="001A674C"/>
    <w:rsid w:val="001B3B24"/>
    <w:rsid w:val="001C0F98"/>
    <w:rsid w:val="001C2A42"/>
    <w:rsid w:val="001D398E"/>
    <w:rsid w:val="001D63ED"/>
    <w:rsid w:val="001D6681"/>
    <w:rsid w:val="001D7348"/>
    <w:rsid w:val="001E035B"/>
    <w:rsid w:val="001E0961"/>
    <w:rsid w:val="001E3EAE"/>
    <w:rsid w:val="001E6F32"/>
    <w:rsid w:val="001F2145"/>
    <w:rsid w:val="001F4684"/>
    <w:rsid w:val="001F6262"/>
    <w:rsid w:val="001F67B0"/>
    <w:rsid w:val="001F7B3D"/>
    <w:rsid w:val="00205F9F"/>
    <w:rsid w:val="00210338"/>
    <w:rsid w:val="002115FC"/>
    <w:rsid w:val="002133F8"/>
    <w:rsid w:val="0021423C"/>
    <w:rsid w:val="00230D00"/>
    <w:rsid w:val="00231DF7"/>
    <w:rsid w:val="00231FD1"/>
    <w:rsid w:val="002339E0"/>
    <w:rsid w:val="00233CF8"/>
    <w:rsid w:val="0023575D"/>
    <w:rsid w:val="00237148"/>
    <w:rsid w:val="0024222D"/>
    <w:rsid w:val="00242BE1"/>
    <w:rsid w:val="00244B0E"/>
    <w:rsid w:val="00244F6C"/>
    <w:rsid w:val="002532C5"/>
    <w:rsid w:val="00260C03"/>
    <w:rsid w:val="0026163D"/>
    <w:rsid w:val="0026540E"/>
    <w:rsid w:val="00275123"/>
    <w:rsid w:val="00282240"/>
    <w:rsid w:val="0028572A"/>
    <w:rsid w:val="002948AD"/>
    <w:rsid w:val="00294C05"/>
    <w:rsid w:val="00294C92"/>
    <w:rsid w:val="002A01CC"/>
    <w:rsid w:val="002A61B1"/>
    <w:rsid w:val="002A663C"/>
    <w:rsid w:val="002B444B"/>
    <w:rsid w:val="002B5887"/>
    <w:rsid w:val="002C0692"/>
    <w:rsid w:val="002C0E27"/>
    <w:rsid w:val="002C3040"/>
    <w:rsid w:val="002D022D"/>
    <w:rsid w:val="002D24BB"/>
    <w:rsid w:val="002F14B6"/>
    <w:rsid w:val="002F2AF7"/>
    <w:rsid w:val="002F7E1C"/>
    <w:rsid w:val="00301A75"/>
    <w:rsid w:val="00302F70"/>
    <w:rsid w:val="0030336F"/>
    <w:rsid w:val="0030375E"/>
    <w:rsid w:val="00307209"/>
    <w:rsid w:val="00312A30"/>
    <w:rsid w:val="00320F72"/>
    <w:rsid w:val="0032463E"/>
    <w:rsid w:val="00326224"/>
    <w:rsid w:val="0033047D"/>
    <w:rsid w:val="00333BC9"/>
    <w:rsid w:val="00335374"/>
    <w:rsid w:val="00337EE4"/>
    <w:rsid w:val="00340FFD"/>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58C4"/>
    <w:rsid w:val="00414300"/>
    <w:rsid w:val="004247AC"/>
    <w:rsid w:val="00425C67"/>
    <w:rsid w:val="00427E7A"/>
    <w:rsid w:val="00436307"/>
    <w:rsid w:val="00436C49"/>
    <w:rsid w:val="00445366"/>
    <w:rsid w:val="00447F5B"/>
    <w:rsid w:val="004575C3"/>
    <w:rsid w:val="00461DB0"/>
    <w:rsid w:val="00463926"/>
    <w:rsid w:val="004646E0"/>
    <w:rsid w:val="00464C9A"/>
    <w:rsid w:val="004727D1"/>
    <w:rsid w:val="00474F3D"/>
    <w:rsid w:val="00477E3A"/>
    <w:rsid w:val="004821FA"/>
    <w:rsid w:val="00483E5F"/>
    <w:rsid w:val="00485081"/>
    <w:rsid w:val="00485FF9"/>
    <w:rsid w:val="004907F0"/>
    <w:rsid w:val="0049140B"/>
    <w:rsid w:val="004917B0"/>
    <w:rsid w:val="004923A5"/>
    <w:rsid w:val="00496BFB"/>
    <w:rsid w:val="004A15C7"/>
    <w:rsid w:val="004B013B"/>
    <w:rsid w:val="004B112B"/>
    <w:rsid w:val="004C01E4"/>
    <w:rsid w:val="004C086C"/>
    <w:rsid w:val="004C1F56"/>
    <w:rsid w:val="004C27BC"/>
    <w:rsid w:val="004D121D"/>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63E83"/>
    <w:rsid w:val="0057271C"/>
    <w:rsid w:val="00572845"/>
    <w:rsid w:val="005740C8"/>
    <w:rsid w:val="005760C2"/>
    <w:rsid w:val="00576EA4"/>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2A43"/>
    <w:rsid w:val="005E3085"/>
    <w:rsid w:val="005E438A"/>
    <w:rsid w:val="005F51E1"/>
    <w:rsid w:val="00611C80"/>
    <w:rsid w:val="00620692"/>
    <w:rsid w:val="006242CA"/>
    <w:rsid w:val="00627507"/>
    <w:rsid w:val="00633717"/>
    <w:rsid w:val="00633E0F"/>
    <w:rsid w:val="006344E1"/>
    <w:rsid w:val="0064736B"/>
    <w:rsid w:val="006545C4"/>
    <w:rsid w:val="00660B23"/>
    <w:rsid w:val="00661971"/>
    <w:rsid w:val="00661CE8"/>
    <w:rsid w:val="006623D9"/>
    <w:rsid w:val="0066550C"/>
    <w:rsid w:val="006716F2"/>
    <w:rsid w:val="00673BC9"/>
    <w:rsid w:val="00682BF2"/>
    <w:rsid w:val="006859CE"/>
    <w:rsid w:val="00691270"/>
    <w:rsid w:val="00694BA8"/>
    <w:rsid w:val="006960EE"/>
    <w:rsid w:val="006A037C"/>
    <w:rsid w:val="006A36F4"/>
    <w:rsid w:val="006A406F"/>
    <w:rsid w:val="006A5D3A"/>
    <w:rsid w:val="006C23D4"/>
    <w:rsid w:val="006C2EEF"/>
    <w:rsid w:val="006C7BB0"/>
    <w:rsid w:val="006D3237"/>
    <w:rsid w:val="006D3427"/>
    <w:rsid w:val="006D7A08"/>
    <w:rsid w:val="006E005F"/>
    <w:rsid w:val="006E2E37"/>
    <w:rsid w:val="006E3CF1"/>
    <w:rsid w:val="006E7E80"/>
    <w:rsid w:val="006F0906"/>
    <w:rsid w:val="006F1DF9"/>
    <w:rsid w:val="006F24DB"/>
    <w:rsid w:val="006F48CA"/>
    <w:rsid w:val="006F64DD"/>
    <w:rsid w:val="00715127"/>
    <w:rsid w:val="00715E8E"/>
    <w:rsid w:val="00723580"/>
    <w:rsid w:val="00723755"/>
    <w:rsid w:val="0073136C"/>
    <w:rsid w:val="00731F0F"/>
    <w:rsid w:val="00733250"/>
    <w:rsid w:val="007339EF"/>
    <w:rsid w:val="00741404"/>
    <w:rsid w:val="007449E5"/>
    <w:rsid w:val="00746C5A"/>
    <w:rsid w:val="00747FF0"/>
    <w:rsid w:val="0075070A"/>
    <w:rsid w:val="00764D4E"/>
    <w:rsid w:val="00765A1F"/>
    <w:rsid w:val="00775B6D"/>
    <w:rsid w:val="00776D68"/>
    <w:rsid w:val="0077707A"/>
    <w:rsid w:val="007850EE"/>
    <w:rsid w:val="00785B95"/>
    <w:rsid w:val="00790E96"/>
    <w:rsid w:val="00793366"/>
    <w:rsid w:val="007A716F"/>
    <w:rsid w:val="007B270A"/>
    <w:rsid w:val="007C02D6"/>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67ACD"/>
    <w:rsid w:val="008713A1"/>
    <w:rsid w:val="008754AB"/>
    <w:rsid w:val="00875D8A"/>
    <w:rsid w:val="0088060C"/>
    <w:rsid w:val="00893576"/>
    <w:rsid w:val="00893E73"/>
    <w:rsid w:val="008A33EB"/>
    <w:rsid w:val="008A43C4"/>
    <w:rsid w:val="008B02DC"/>
    <w:rsid w:val="008B57CE"/>
    <w:rsid w:val="008B659F"/>
    <w:rsid w:val="008C26DE"/>
    <w:rsid w:val="008C52D3"/>
    <w:rsid w:val="008D2225"/>
    <w:rsid w:val="008D4752"/>
    <w:rsid w:val="008E271C"/>
    <w:rsid w:val="008E418E"/>
    <w:rsid w:val="008E5BC6"/>
    <w:rsid w:val="008E6A25"/>
    <w:rsid w:val="008F5193"/>
    <w:rsid w:val="009013A7"/>
    <w:rsid w:val="009017FB"/>
    <w:rsid w:val="009017FC"/>
    <w:rsid w:val="00903B43"/>
    <w:rsid w:val="0090506B"/>
    <w:rsid w:val="009050C9"/>
    <w:rsid w:val="009066FC"/>
    <w:rsid w:val="009102FD"/>
    <w:rsid w:val="009140A3"/>
    <w:rsid w:val="009144A2"/>
    <w:rsid w:val="0091510C"/>
    <w:rsid w:val="0092564C"/>
    <w:rsid w:val="009259AC"/>
    <w:rsid w:val="00926F38"/>
    <w:rsid w:val="0092718E"/>
    <w:rsid w:val="00934301"/>
    <w:rsid w:val="00936CD1"/>
    <w:rsid w:val="00941747"/>
    <w:rsid w:val="00941EFB"/>
    <w:rsid w:val="00947AFB"/>
    <w:rsid w:val="00951D7D"/>
    <w:rsid w:val="00952C12"/>
    <w:rsid w:val="009630C7"/>
    <w:rsid w:val="00972B55"/>
    <w:rsid w:val="009743B7"/>
    <w:rsid w:val="0098228B"/>
    <w:rsid w:val="009828DA"/>
    <w:rsid w:val="00985BAB"/>
    <w:rsid w:val="00997F03"/>
    <w:rsid w:val="009A46DF"/>
    <w:rsid w:val="009B1B5F"/>
    <w:rsid w:val="009B2EC2"/>
    <w:rsid w:val="009B6673"/>
    <w:rsid w:val="009C191B"/>
    <w:rsid w:val="009C2BD6"/>
    <w:rsid w:val="009D21E6"/>
    <w:rsid w:val="009D2D8F"/>
    <w:rsid w:val="009E1F32"/>
    <w:rsid w:val="009E5829"/>
    <w:rsid w:val="009E776C"/>
    <w:rsid w:val="00A1726E"/>
    <w:rsid w:val="00A204CF"/>
    <w:rsid w:val="00A23D49"/>
    <w:rsid w:val="00A25860"/>
    <w:rsid w:val="00A27004"/>
    <w:rsid w:val="00A30C29"/>
    <w:rsid w:val="00A34DD6"/>
    <w:rsid w:val="00A36819"/>
    <w:rsid w:val="00A36989"/>
    <w:rsid w:val="00A43628"/>
    <w:rsid w:val="00A472C9"/>
    <w:rsid w:val="00A54192"/>
    <w:rsid w:val="00A6035E"/>
    <w:rsid w:val="00A6144C"/>
    <w:rsid w:val="00A62723"/>
    <w:rsid w:val="00A62CF5"/>
    <w:rsid w:val="00A66617"/>
    <w:rsid w:val="00A671F8"/>
    <w:rsid w:val="00A673A4"/>
    <w:rsid w:val="00A724AE"/>
    <w:rsid w:val="00A73329"/>
    <w:rsid w:val="00A82359"/>
    <w:rsid w:val="00A865D2"/>
    <w:rsid w:val="00A94C20"/>
    <w:rsid w:val="00A96ED6"/>
    <w:rsid w:val="00AA227F"/>
    <w:rsid w:val="00AA3BC7"/>
    <w:rsid w:val="00AA754A"/>
    <w:rsid w:val="00AB099E"/>
    <w:rsid w:val="00AB0F37"/>
    <w:rsid w:val="00AB4328"/>
    <w:rsid w:val="00AB5FA0"/>
    <w:rsid w:val="00AC0BCC"/>
    <w:rsid w:val="00AE0A2E"/>
    <w:rsid w:val="00AE354C"/>
    <w:rsid w:val="00AE558D"/>
    <w:rsid w:val="00AF2272"/>
    <w:rsid w:val="00AF4B07"/>
    <w:rsid w:val="00AF6186"/>
    <w:rsid w:val="00AF7A3A"/>
    <w:rsid w:val="00B160DB"/>
    <w:rsid w:val="00B20836"/>
    <w:rsid w:val="00B235BB"/>
    <w:rsid w:val="00B27A44"/>
    <w:rsid w:val="00B30BBF"/>
    <w:rsid w:val="00B33C03"/>
    <w:rsid w:val="00B44E56"/>
    <w:rsid w:val="00B46543"/>
    <w:rsid w:val="00B47D33"/>
    <w:rsid w:val="00B52BE0"/>
    <w:rsid w:val="00B53E75"/>
    <w:rsid w:val="00B54133"/>
    <w:rsid w:val="00B637B9"/>
    <w:rsid w:val="00B701ED"/>
    <w:rsid w:val="00B71BE6"/>
    <w:rsid w:val="00B8086C"/>
    <w:rsid w:val="00B861B4"/>
    <w:rsid w:val="00B86DFE"/>
    <w:rsid w:val="00B90990"/>
    <w:rsid w:val="00B922FF"/>
    <w:rsid w:val="00B9281E"/>
    <w:rsid w:val="00B93925"/>
    <w:rsid w:val="00B95187"/>
    <w:rsid w:val="00BA2D55"/>
    <w:rsid w:val="00BA71B1"/>
    <w:rsid w:val="00BB0637"/>
    <w:rsid w:val="00BB345F"/>
    <w:rsid w:val="00BB53CA"/>
    <w:rsid w:val="00BB5883"/>
    <w:rsid w:val="00BB68EA"/>
    <w:rsid w:val="00BC1C27"/>
    <w:rsid w:val="00BC5D3D"/>
    <w:rsid w:val="00BC6BBF"/>
    <w:rsid w:val="00BC73F9"/>
    <w:rsid w:val="00BD1572"/>
    <w:rsid w:val="00BE14E3"/>
    <w:rsid w:val="00BE3774"/>
    <w:rsid w:val="00BE41E5"/>
    <w:rsid w:val="00BF0BBB"/>
    <w:rsid w:val="00BF4109"/>
    <w:rsid w:val="00BF4CC3"/>
    <w:rsid w:val="00C054C7"/>
    <w:rsid w:val="00C057B5"/>
    <w:rsid w:val="00C22687"/>
    <w:rsid w:val="00C309D8"/>
    <w:rsid w:val="00C32E4D"/>
    <w:rsid w:val="00C333A0"/>
    <w:rsid w:val="00C36A81"/>
    <w:rsid w:val="00C41974"/>
    <w:rsid w:val="00C447AD"/>
    <w:rsid w:val="00C53F4A"/>
    <w:rsid w:val="00C54125"/>
    <w:rsid w:val="00C55B54"/>
    <w:rsid w:val="00C6098E"/>
    <w:rsid w:val="00C6152C"/>
    <w:rsid w:val="00C621C2"/>
    <w:rsid w:val="00C74810"/>
    <w:rsid w:val="00C90D68"/>
    <w:rsid w:val="00C939FE"/>
    <w:rsid w:val="00CA4BDA"/>
    <w:rsid w:val="00CB1F66"/>
    <w:rsid w:val="00CB2951"/>
    <w:rsid w:val="00CD282B"/>
    <w:rsid w:val="00CD4C35"/>
    <w:rsid w:val="00CD7369"/>
    <w:rsid w:val="00CE0B0E"/>
    <w:rsid w:val="00CE3831"/>
    <w:rsid w:val="00D00ABB"/>
    <w:rsid w:val="00D02EEC"/>
    <w:rsid w:val="00D03551"/>
    <w:rsid w:val="00D06A63"/>
    <w:rsid w:val="00D07A5A"/>
    <w:rsid w:val="00D07E0E"/>
    <w:rsid w:val="00D11478"/>
    <w:rsid w:val="00D15ED0"/>
    <w:rsid w:val="00D21B3E"/>
    <w:rsid w:val="00D21FED"/>
    <w:rsid w:val="00D24251"/>
    <w:rsid w:val="00D343E2"/>
    <w:rsid w:val="00D361A2"/>
    <w:rsid w:val="00D44C2E"/>
    <w:rsid w:val="00D45414"/>
    <w:rsid w:val="00D52320"/>
    <w:rsid w:val="00D53B0E"/>
    <w:rsid w:val="00D53C0F"/>
    <w:rsid w:val="00D566BD"/>
    <w:rsid w:val="00D57A4D"/>
    <w:rsid w:val="00D60AA7"/>
    <w:rsid w:val="00D60D87"/>
    <w:rsid w:val="00D6435F"/>
    <w:rsid w:val="00D75E28"/>
    <w:rsid w:val="00D772C2"/>
    <w:rsid w:val="00D77D75"/>
    <w:rsid w:val="00D8008E"/>
    <w:rsid w:val="00D82C45"/>
    <w:rsid w:val="00D908A8"/>
    <w:rsid w:val="00D92CE1"/>
    <w:rsid w:val="00D97515"/>
    <w:rsid w:val="00D977B6"/>
    <w:rsid w:val="00DA4A31"/>
    <w:rsid w:val="00DA7B04"/>
    <w:rsid w:val="00DB36C2"/>
    <w:rsid w:val="00DB7196"/>
    <w:rsid w:val="00DC169B"/>
    <w:rsid w:val="00DC2AB9"/>
    <w:rsid w:val="00DC63F0"/>
    <w:rsid w:val="00DD6EE5"/>
    <w:rsid w:val="00DE152E"/>
    <w:rsid w:val="00DE386C"/>
    <w:rsid w:val="00DE4D35"/>
    <w:rsid w:val="00DF0549"/>
    <w:rsid w:val="00DF098B"/>
    <w:rsid w:val="00DF11C4"/>
    <w:rsid w:val="00DF210C"/>
    <w:rsid w:val="00DF4B6A"/>
    <w:rsid w:val="00E02C09"/>
    <w:rsid w:val="00E04D59"/>
    <w:rsid w:val="00E07DA1"/>
    <w:rsid w:val="00E123CB"/>
    <w:rsid w:val="00E1557C"/>
    <w:rsid w:val="00E20E13"/>
    <w:rsid w:val="00E21DBC"/>
    <w:rsid w:val="00E275D7"/>
    <w:rsid w:val="00E27DBE"/>
    <w:rsid w:val="00E32AB1"/>
    <w:rsid w:val="00E36C71"/>
    <w:rsid w:val="00E40404"/>
    <w:rsid w:val="00E4064E"/>
    <w:rsid w:val="00E459C6"/>
    <w:rsid w:val="00E47589"/>
    <w:rsid w:val="00E551C2"/>
    <w:rsid w:val="00E64915"/>
    <w:rsid w:val="00E661D4"/>
    <w:rsid w:val="00E66FFB"/>
    <w:rsid w:val="00E70091"/>
    <w:rsid w:val="00E720F5"/>
    <w:rsid w:val="00E76D47"/>
    <w:rsid w:val="00E849F7"/>
    <w:rsid w:val="00E90302"/>
    <w:rsid w:val="00E9597F"/>
    <w:rsid w:val="00E97396"/>
    <w:rsid w:val="00EA185E"/>
    <w:rsid w:val="00EA592A"/>
    <w:rsid w:val="00EA7903"/>
    <w:rsid w:val="00EB0355"/>
    <w:rsid w:val="00EB14E4"/>
    <w:rsid w:val="00EB32A5"/>
    <w:rsid w:val="00EB34ED"/>
    <w:rsid w:val="00EB7BE0"/>
    <w:rsid w:val="00EC315E"/>
    <w:rsid w:val="00ED077C"/>
    <w:rsid w:val="00ED1190"/>
    <w:rsid w:val="00ED6544"/>
    <w:rsid w:val="00ED6F77"/>
    <w:rsid w:val="00EE0277"/>
    <w:rsid w:val="00EE1DA9"/>
    <w:rsid w:val="00EE3E00"/>
    <w:rsid w:val="00EE5DD2"/>
    <w:rsid w:val="00EF41F1"/>
    <w:rsid w:val="00EF4F08"/>
    <w:rsid w:val="00F00A79"/>
    <w:rsid w:val="00F00E86"/>
    <w:rsid w:val="00F00F8B"/>
    <w:rsid w:val="00F0799D"/>
    <w:rsid w:val="00F07C1E"/>
    <w:rsid w:val="00F105DB"/>
    <w:rsid w:val="00F132BC"/>
    <w:rsid w:val="00F13D80"/>
    <w:rsid w:val="00F16AAA"/>
    <w:rsid w:val="00F21161"/>
    <w:rsid w:val="00F218EF"/>
    <w:rsid w:val="00F21BC7"/>
    <w:rsid w:val="00F266A2"/>
    <w:rsid w:val="00F32269"/>
    <w:rsid w:val="00F4457E"/>
    <w:rsid w:val="00F56A6F"/>
    <w:rsid w:val="00F5709C"/>
    <w:rsid w:val="00F64EF1"/>
    <w:rsid w:val="00F86D42"/>
    <w:rsid w:val="00F8765F"/>
    <w:rsid w:val="00F90767"/>
    <w:rsid w:val="00FA685B"/>
    <w:rsid w:val="00FB0C01"/>
    <w:rsid w:val="00FC18F2"/>
    <w:rsid w:val="00FC39E5"/>
    <w:rsid w:val="00FC3A78"/>
    <w:rsid w:val="00FC5FFE"/>
    <w:rsid w:val="00FD1005"/>
    <w:rsid w:val="00FD3180"/>
    <w:rsid w:val="00FD322E"/>
    <w:rsid w:val="00FD6C75"/>
    <w:rsid w:val="00FE422D"/>
    <w:rsid w:val="00FE4AFF"/>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727D1"/>
    <w:pPr>
      <w:jc w:val="both"/>
    </w:pPr>
    <w:rPr>
      <w:rFonts w:eastAsiaTheme="minorEastAsia"/>
      <w:sz w:val="24"/>
    </w:rPr>
  </w:style>
  <w:style w:type="paragraph" w:styleId="Nagwek1">
    <w:name w:val="heading 1"/>
    <w:basedOn w:val="Normalny"/>
    <w:next w:val="Normalny"/>
    <w:link w:val="Nagwek1Znak"/>
    <w:uiPriority w:val="99"/>
    <w:semiHidden/>
    <w:rsid w:val="004727D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727D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727D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727D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727D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727D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727D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727D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727D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727D1"/>
    <w:rPr>
      <w:rFonts w:ascii="Tahoma" w:hAnsi="Tahoma" w:cs="Tahoma"/>
      <w:sz w:val="16"/>
      <w:szCs w:val="16"/>
    </w:rPr>
  </w:style>
  <w:style w:type="character" w:customStyle="1" w:styleId="TekstdymkaZnak">
    <w:name w:val="Tekst dymka Znak"/>
    <w:basedOn w:val="Domylnaczcionkaakapitu"/>
    <w:link w:val="Tekstdymka"/>
    <w:uiPriority w:val="99"/>
    <w:semiHidden/>
    <w:rsid w:val="004727D1"/>
    <w:rPr>
      <w:rFonts w:ascii="Tahoma" w:eastAsiaTheme="minorEastAsia" w:hAnsi="Tahoma" w:cs="Tahoma"/>
      <w:sz w:val="16"/>
      <w:szCs w:val="16"/>
    </w:rPr>
  </w:style>
  <w:style w:type="character" w:styleId="Tytuksiki">
    <w:name w:val="Book Title"/>
    <w:uiPriority w:val="99"/>
    <w:semiHidden/>
    <w:qFormat/>
    <w:rsid w:val="004727D1"/>
    <w:rPr>
      <w:i/>
      <w:iCs/>
      <w:smallCaps/>
      <w:spacing w:val="5"/>
    </w:rPr>
  </w:style>
  <w:style w:type="paragraph" w:customStyle="1" w:styleId="ECHRHeader">
    <w:name w:val="ECHR_Header"/>
    <w:aliases w:val="Ju_Header"/>
    <w:basedOn w:val="Nagwek"/>
    <w:uiPriority w:val="4"/>
    <w:qFormat/>
    <w:rsid w:val="004727D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727D1"/>
    <w:pPr>
      <w:jc w:val="left"/>
    </w:pPr>
    <w:rPr>
      <w:sz w:val="8"/>
    </w:rPr>
  </w:style>
  <w:style w:type="character" w:styleId="Pogrubienie">
    <w:name w:val="Strong"/>
    <w:uiPriority w:val="99"/>
    <w:semiHidden/>
    <w:qFormat/>
    <w:rsid w:val="004727D1"/>
    <w:rPr>
      <w:b/>
      <w:bCs/>
    </w:rPr>
  </w:style>
  <w:style w:type="paragraph" w:styleId="Bezodstpw">
    <w:name w:val="No Spacing"/>
    <w:basedOn w:val="Normalny"/>
    <w:link w:val="BezodstpwZnak"/>
    <w:semiHidden/>
    <w:qFormat/>
    <w:rsid w:val="004727D1"/>
    <w:rPr>
      <w:sz w:val="22"/>
    </w:rPr>
  </w:style>
  <w:style w:type="character" w:customStyle="1" w:styleId="BezodstpwZnak">
    <w:name w:val="Bez odstępów Znak"/>
    <w:basedOn w:val="Domylnaczcionkaakapitu"/>
    <w:link w:val="Bezodstpw"/>
    <w:semiHidden/>
    <w:rsid w:val="004727D1"/>
    <w:rPr>
      <w:rFonts w:eastAsiaTheme="minorEastAsia"/>
    </w:rPr>
  </w:style>
  <w:style w:type="paragraph" w:customStyle="1" w:styleId="ECHRFooterLine">
    <w:name w:val="ECHR_Footer_Line"/>
    <w:aliases w:val="Footer_Line"/>
    <w:basedOn w:val="Normalny"/>
    <w:next w:val="ECHRFooter"/>
    <w:uiPriority w:val="57"/>
    <w:semiHidden/>
    <w:rsid w:val="004727D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727D1"/>
    <w:pPr>
      <w:numPr>
        <w:numId w:val="14"/>
      </w:numPr>
      <w:jc w:val="left"/>
    </w:pPr>
    <w:rPr>
      <w:b/>
    </w:rPr>
  </w:style>
  <w:style w:type="paragraph" w:customStyle="1" w:styleId="OpiPara">
    <w:name w:val="Opi_Para"/>
    <w:basedOn w:val="ECHRPara"/>
    <w:uiPriority w:val="46"/>
    <w:qFormat/>
    <w:rsid w:val="004727D1"/>
  </w:style>
  <w:style w:type="paragraph" w:customStyle="1" w:styleId="JuParaSub">
    <w:name w:val="Ju_Para_Sub"/>
    <w:basedOn w:val="ECHRPara"/>
    <w:uiPriority w:val="13"/>
    <w:qFormat/>
    <w:rsid w:val="004727D1"/>
    <w:pPr>
      <w:ind w:left="284"/>
    </w:pPr>
  </w:style>
  <w:style w:type="paragraph" w:customStyle="1" w:styleId="ECHRTitleCentre3">
    <w:name w:val="ECHR_Title_Centre_3"/>
    <w:aliases w:val="Ju_H_Article"/>
    <w:basedOn w:val="Normalny"/>
    <w:next w:val="ECHRParaQuote"/>
    <w:uiPriority w:val="27"/>
    <w:qFormat/>
    <w:rsid w:val="004727D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727D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727D1"/>
  </w:style>
  <w:style w:type="paragraph" w:customStyle="1" w:styleId="OpiQuot">
    <w:name w:val="Opi_Quot"/>
    <w:basedOn w:val="ECHRParaQuote"/>
    <w:uiPriority w:val="48"/>
    <w:qFormat/>
    <w:rsid w:val="004727D1"/>
  </w:style>
  <w:style w:type="paragraph" w:customStyle="1" w:styleId="OpiQuotSub">
    <w:name w:val="Opi_Quot_Sub"/>
    <w:basedOn w:val="JuQuotSub"/>
    <w:uiPriority w:val="49"/>
    <w:qFormat/>
    <w:rsid w:val="004727D1"/>
  </w:style>
  <w:style w:type="paragraph" w:customStyle="1" w:styleId="ECHRTitleCentre2">
    <w:name w:val="ECHR_Title_Centre_2"/>
    <w:aliases w:val="Dec_H_Case"/>
    <w:basedOn w:val="Normalny"/>
    <w:next w:val="ECHRPara"/>
    <w:uiPriority w:val="8"/>
    <w:rsid w:val="004727D1"/>
    <w:pPr>
      <w:spacing w:after="240"/>
      <w:jc w:val="center"/>
      <w:outlineLvl w:val="0"/>
    </w:pPr>
    <w:rPr>
      <w:rFonts w:asciiTheme="majorHAnsi" w:hAnsiTheme="majorHAnsi"/>
    </w:rPr>
  </w:style>
  <w:style w:type="paragraph" w:customStyle="1" w:styleId="JuTitle">
    <w:name w:val="Ju_Title"/>
    <w:basedOn w:val="Normalny"/>
    <w:next w:val="ECHRPara"/>
    <w:uiPriority w:val="3"/>
    <w:rsid w:val="004727D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727D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727D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727D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727D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727D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727D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727D1"/>
    <w:pPr>
      <w:keepNext/>
      <w:keepLines/>
      <w:spacing w:before="240" w:after="120"/>
      <w:ind w:left="1236"/>
    </w:pPr>
    <w:rPr>
      <w:sz w:val="20"/>
    </w:rPr>
  </w:style>
  <w:style w:type="paragraph" w:customStyle="1" w:styleId="JuQuotSub">
    <w:name w:val="Ju_Quot_Sub"/>
    <w:basedOn w:val="ECHRParaQuote"/>
    <w:uiPriority w:val="15"/>
    <w:qFormat/>
    <w:rsid w:val="004727D1"/>
    <w:pPr>
      <w:ind w:left="567"/>
    </w:pPr>
  </w:style>
  <w:style w:type="paragraph" w:customStyle="1" w:styleId="JuInitialled">
    <w:name w:val="Ju_Initialled"/>
    <w:basedOn w:val="Normalny"/>
    <w:uiPriority w:val="31"/>
    <w:qFormat/>
    <w:rsid w:val="004727D1"/>
    <w:pPr>
      <w:tabs>
        <w:tab w:val="center" w:pos="6407"/>
      </w:tabs>
      <w:spacing w:before="720"/>
      <w:jc w:val="right"/>
    </w:pPr>
  </w:style>
  <w:style w:type="paragraph" w:customStyle="1" w:styleId="OpiHA">
    <w:name w:val="Opi_H_A"/>
    <w:basedOn w:val="ECHRHeading1"/>
    <w:next w:val="OpiPara"/>
    <w:uiPriority w:val="41"/>
    <w:qFormat/>
    <w:rsid w:val="004727D1"/>
    <w:pPr>
      <w:tabs>
        <w:tab w:val="clear" w:pos="357"/>
      </w:tabs>
      <w:outlineLvl w:val="1"/>
    </w:pPr>
    <w:rPr>
      <w:b/>
    </w:rPr>
  </w:style>
  <w:style w:type="paragraph" w:styleId="Nagwek">
    <w:name w:val="header"/>
    <w:basedOn w:val="Normalny"/>
    <w:link w:val="NagwekZnak"/>
    <w:uiPriority w:val="57"/>
    <w:semiHidden/>
    <w:rsid w:val="004727D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727D1"/>
    <w:rPr>
      <w:sz w:val="24"/>
    </w:rPr>
  </w:style>
  <w:style w:type="character" w:customStyle="1" w:styleId="Nagwek1Znak">
    <w:name w:val="Nagłówek 1 Znak"/>
    <w:basedOn w:val="Domylnaczcionkaakapitu"/>
    <w:link w:val="Nagwek1"/>
    <w:uiPriority w:val="99"/>
    <w:semiHidden/>
    <w:rsid w:val="004727D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727D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727D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727D1"/>
    <w:rPr>
      <w:rFonts w:asciiTheme="majorHAnsi" w:eastAsiaTheme="majorEastAsia" w:hAnsiTheme="majorHAnsi" w:cstheme="majorBidi"/>
      <w:b/>
      <w:bCs/>
      <w:color w:val="4D4D4D"/>
      <w:sz w:val="26"/>
      <w:szCs w:val="26"/>
    </w:rPr>
  </w:style>
  <w:style w:type="character" w:customStyle="1" w:styleId="JUNAMES">
    <w:name w:val="JU_NAMES"/>
    <w:uiPriority w:val="17"/>
    <w:qFormat/>
    <w:rsid w:val="004727D1"/>
    <w:rPr>
      <w:caps w:val="0"/>
      <w:smallCaps/>
    </w:rPr>
  </w:style>
  <w:style w:type="paragraph" w:customStyle="1" w:styleId="JuCase">
    <w:name w:val="Ju_Case"/>
    <w:basedOn w:val="Normalny"/>
    <w:next w:val="ECHRPara"/>
    <w:uiPriority w:val="10"/>
    <w:rsid w:val="004727D1"/>
    <w:pPr>
      <w:ind w:firstLine="284"/>
    </w:pPr>
    <w:rPr>
      <w:b/>
    </w:rPr>
  </w:style>
  <w:style w:type="character" w:customStyle="1" w:styleId="Nagwek3Znak">
    <w:name w:val="Nagłówek 3 Znak"/>
    <w:basedOn w:val="Domylnaczcionkaakapitu"/>
    <w:link w:val="Nagwek3"/>
    <w:uiPriority w:val="99"/>
    <w:semiHidden/>
    <w:rsid w:val="004727D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727D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727D1"/>
    <w:rPr>
      <w:rFonts w:asciiTheme="majorHAnsi" w:eastAsiaTheme="majorEastAsia" w:hAnsiTheme="majorHAnsi" w:cstheme="majorBidi"/>
      <w:b/>
      <w:bCs/>
      <w:color w:val="808080"/>
    </w:rPr>
  </w:style>
  <w:style w:type="character" w:styleId="Wyrnieniedelikatne">
    <w:name w:val="Subtle Emphasis"/>
    <w:uiPriority w:val="99"/>
    <w:semiHidden/>
    <w:qFormat/>
    <w:rsid w:val="004727D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727D1"/>
    <w:pPr>
      <w:keepNext/>
      <w:keepLines/>
      <w:spacing w:before="720" w:after="240"/>
      <w:outlineLvl w:val="0"/>
    </w:pPr>
    <w:rPr>
      <w:rFonts w:asciiTheme="majorHAnsi" w:hAnsiTheme="majorHAnsi"/>
      <w:sz w:val="28"/>
    </w:rPr>
  </w:style>
  <w:style w:type="character" w:styleId="Uwydatnienie">
    <w:name w:val="Emphasis"/>
    <w:uiPriority w:val="99"/>
    <w:semiHidden/>
    <w:qFormat/>
    <w:rsid w:val="004727D1"/>
    <w:rPr>
      <w:b/>
      <w:bCs/>
      <w:i/>
      <w:iCs/>
      <w:spacing w:val="10"/>
      <w:bdr w:val="none" w:sz="0" w:space="0" w:color="auto"/>
      <w:shd w:val="clear" w:color="auto" w:fill="auto"/>
    </w:rPr>
  </w:style>
  <w:style w:type="paragraph" w:styleId="Stopka">
    <w:name w:val="footer"/>
    <w:basedOn w:val="Normalny"/>
    <w:link w:val="StopkaZnak"/>
    <w:uiPriority w:val="57"/>
    <w:semiHidden/>
    <w:rsid w:val="004727D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727D1"/>
    <w:rPr>
      <w:sz w:val="24"/>
    </w:rPr>
  </w:style>
  <w:style w:type="character" w:styleId="Odwoanieprzypisudolnego">
    <w:name w:val="footnote reference"/>
    <w:basedOn w:val="Domylnaczcionkaakapitu"/>
    <w:uiPriority w:val="99"/>
    <w:semiHidden/>
    <w:rsid w:val="004727D1"/>
    <w:rPr>
      <w:vertAlign w:val="superscript"/>
    </w:rPr>
  </w:style>
  <w:style w:type="paragraph" w:styleId="Tekstprzypisudolnego">
    <w:name w:val="footnote text"/>
    <w:basedOn w:val="Normalny"/>
    <w:link w:val="TekstprzypisudolnegoZnak"/>
    <w:uiPriority w:val="99"/>
    <w:semiHidden/>
    <w:rsid w:val="004727D1"/>
    <w:rPr>
      <w:sz w:val="20"/>
      <w:szCs w:val="20"/>
    </w:rPr>
  </w:style>
  <w:style w:type="character" w:customStyle="1" w:styleId="TekstprzypisudolnegoZnak">
    <w:name w:val="Tekst przypisu dolnego Znak"/>
    <w:basedOn w:val="Domylnaczcionkaakapitu"/>
    <w:link w:val="Tekstprzypisudolnego"/>
    <w:uiPriority w:val="99"/>
    <w:semiHidden/>
    <w:rsid w:val="004727D1"/>
    <w:rPr>
      <w:rFonts w:eastAsiaTheme="minorEastAsia"/>
      <w:sz w:val="20"/>
      <w:szCs w:val="20"/>
    </w:rPr>
  </w:style>
  <w:style w:type="character" w:customStyle="1" w:styleId="Nagwek6Znak">
    <w:name w:val="Nagłówek 6 Znak"/>
    <w:basedOn w:val="Domylnaczcionkaakapitu"/>
    <w:link w:val="Nagwek6"/>
    <w:uiPriority w:val="99"/>
    <w:semiHidden/>
    <w:rsid w:val="004727D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727D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727D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727D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727D1"/>
    <w:rPr>
      <w:color w:val="0072BC" w:themeColor="hyperlink"/>
      <w:u w:val="single"/>
    </w:rPr>
  </w:style>
  <w:style w:type="character" w:styleId="Wyrnienieintensywne">
    <w:name w:val="Intense Emphasis"/>
    <w:uiPriority w:val="99"/>
    <w:semiHidden/>
    <w:qFormat/>
    <w:rsid w:val="004727D1"/>
    <w:rPr>
      <w:b/>
      <w:bCs/>
    </w:rPr>
  </w:style>
  <w:style w:type="paragraph" w:styleId="Cytatintensywny">
    <w:name w:val="Intense Quote"/>
    <w:basedOn w:val="Normalny"/>
    <w:next w:val="Normalny"/>
    <w:link w:val="CytatintensywnyZnak"/>
    <w:uiPriority w:val="99"/>
    <w:semiHidden/>
    <w:qFormat/>
    <w:rsid w:val="004727D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727D1"/>
    <w:rPr>
      <w:rFonts w:eastAsiaTheme="minorEastAsia"/>
      <w:b/>
      <w:bCs/>
      <w:i/>
      <w:iCs/>
      <w:lang w:bidi="en-US"/>
    </w:rPr>
  </w:style>
  <w:style w:type="character" w:styleId="Odwoanieintensywne">
    <w:name w:val="Intense Reference"/>
    <w:uiPriority w:val="99"/>
    <w:semiHidden/>
    <w:qFormat/>
    <w:rsid w:val="004727D1"/>
    <w:rPr>
      <w:smallCaps/>
      <w:spacing w:val="5"/>
      <w:u w:val="single"/>
    </w:rPr>
  </w:style>
  <w:style w:type="paragraph" w:styleId="Akapitzlist">
    <w:name w:val="List Paragraph"/>
    <w:basedOn w:val="Normalny"/>
    <w:uiPriority w:val="99"/>
    <w:semiHidden/>
    <w:qFormat/>
    <w:rsid w:val="004727D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727D1"/>
    <w:pPr>
      <w:spacing w:before="200"/>
      <w:ind w:left="360" w:right="360"/>
    </w:pPr>
    <w:rPr>
      <w:i/>
      <w:iCs/>
      <w:sz w:val="22"/>
      <w:lang w:bidi="en-US"/>
    </w:rPr>
  </w:style>
  <w:style w:type="character" w:customStyle="1" w:styleId="CytatZnak">
    <w:name w:val="Cytat Znak"/>
    <w:basedOn w:val="Domylnaczcionkaakapitu"/>
    <w:link w:val="Cytat"/>
    <w:uiPriority w:val="99"/>
    <w:semiHidden/>
    <w:rsid w:val="004727D1"/>
    <w:rPr>
      <w:rFonts w:eastAsiaTheme="minorEastAsia"/>
      <w:i/>
      <w:iCs/>
      <w:lang w:bidi="en-US"/>
    </w:rPr>
  </w:style>
  <w:style w:type="character" w:styleId="Odwoaniedelikatne">
    <w:name w:val="Subtle Reference"/>
    <w:uiPriority w:val="99"/>
    <w:semiHidden/>
    <w:qFormat/>
    <w:rsid w:val="004727D1"/>
    <w:rPr>
      <w:smallCaps/>
    </w:rPr>
  </w:style>
  <w:style w:type="table" w:styleId="Tabela-Siatka">
    <w:name w:val="Table Grid"/>
    <w:basedOn w:val="Standardowy"/>
    <w:uiPriority w:val="59"/>
    <w:semiHidden/>
    <w:rsid w:val="004727D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27D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727D1"/>
    <w:pPr>
      <w:spacing w:after="60"/>
      <w:ind w:left="680" w:right="340" w:hanging="340"/>
    </w:pPr>
  </w:style>
  <w:style w:type="paragraph" w:styleId="Spistreci3">
    <w:name w:val="toc 3"/>
    <w:basedOn w:val="Normalny"/>
    <w:next w:val="Normalny"/>
    <w:autoRedefine/>
    <w:uiPriority w:val="99"/>
    <w:semiHidden/>
    <w:rsid w:val="004727D1"/>
    <w:pPr>
      <w:spacing w:after="60"/>
      <w:ind w:left="1020" w:right="340" w:hanging="340"/>
    </w:pPr>
  </w:style>
  <w:style w:type="paragraph" w:styleId="Spistreci4">
    <w:name w:val="toc 4"/>
    <w:basedOn w:val="Normalny"/>
    <w:next w:val="Normalny"/>
    <w:autoRedefine/>
    <w:uiPriority w:val="99"/>
    <w:semiHidden/>
    <w:rsid w:val="004727D1"/>
    <w:pPr>
      <w:tabs>
        <w:tab w:val="right" w:leader="dot" w:pos="9017"/>
      </w:tabs>
      <w:spacing w:after="60"/>
      <w:ind w:left="1361" w:right="340" w:hanging="340"/>
    </w:pPr>
  </w:style>
  <w:style w:type="paragraph" w:styleId="Spistreci5">
    <w:name w:val="toc 5"/>
    <w:basedOn w:val="Normalny"/>
    <w:next w:val="Normalny"/>
    <w:autoRedefine/>
    <w:uiPriority w:val="99"/>
    <w:semiHidden/>
    <w:rsid w:val="004727D1"/>
    <w:pPr>
      <w:spacing w:after="60"/>
      <w:ind w:left="1701" w:right="340" w:hanging="340"/>
    </w:pPr>
  </w:style>
  <w:style w:type="paragraph" w:styleId="Nagwekspisutreci">
    <w:name w:val="TOC Heading"/>
    <w:basedOn w:val="Nagwek1"/>
    <w:next w:val="Normalny"/>
    <w:uiPriority w:val="99"/>
    <w:semiHidden/>
    <w:qFormat/>
    <w:rsid w:val="004727D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727D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727D1"/>
    <w:pPr>
      <w:spacing w:before="120" w:after="120"/>
      <w:ind w:left="425" w:firstLine="142"/>
    </w:pPr>
    <w:rPr>
      <w:sz w:val="20"/>
    </w:rPr>
  </w:style>
  <w:style w:type="paragraph" w:customStyle="1" w:styleId="ECHRPara">
    <w:name w:val="ECHR_Para"/>
    <w:aliases w:val="Ju_Para"/>
    <w:basedOn w:val="Normalny"/>
    <w:link w:val="ECHRParaChar"/>
    <w:uiPriority w:val="12"/>
    <w:qFormat/>
    <w:rsid w:val="004727D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727D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727D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727D1"/>
    <w:pPr>
      <w:ind w:left="340" w:hanging="340"/>
    </w:pPr>
  </w:style>
  <w:style w:type="paragraph" w:customStyle="1" w:styleId="JuSigned">
    <w:name w:val="Ju_Signed"/>
    <w:basedOn w:val="Normalny"/>
    <w:next w:val="JuParaLast"/>
    <w:uiPriority w:val="32"/>
    <w:qFormat/>
    <w:rsid w:val="004727D1"/>
    <w:pPr>
      <w:tabs>
        <w:tab w:val="center" w:pos="851"/>
        <w:tab w:val="center" w:pos="6407"/>
      </w:tabs>
      <w:spacing w:before="720"/>
      <w:jc w:val="left"/>
    </w:pPr>
  </w:style>
  <w:style w:type="paragraph" w:customStyle="1" w:styleId="JuParaLast">
    <w:name w:val="Ju_Para_Last"/>
    <w:basedOn w:val="Normalny"/>
    <w:next w:val="ECHRPara"/>
    <w:uiPriority w:val="30"/>
    <w:qFormat/>
    <w:rsid w:val="004727D1"/>
    <w:pPr>
      <w:keepNext/>
      <w:keepLines/>
      <w:spacing w:before="240"/>
      <w:ind w:firstLine="284"/>
    </w:pPr>
  </w:style>
  <w:style w:type="character" w:customStyle="1" w:styleId="JuITMark">
    <w:name w:val="Ju_ITMark"/>
    <w:basedOn w:val="Domylnaczcionkaakapitu"/>
    <w:uiPriority w:val="38"/>
    <w:qFormat/>
    <w:rsid w:val="004727D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727D1"/>
    <w:pPr>
      <w:ind w:left="346" w:firstLine="0"/>
    </w:pPr>
  </w:style>
  <w:style w:type="paragraph" w:customStyle="1" w:styleId="OpiTranslation">
    <w:name w:val="Opi_Translation"/>
    <w:basedOn w:val="Normalny"/>
    <w:next w:val="OpiPara"/>
    <w:uiPriority w:val="40"/>
    <w:qFormat/>
    <w:rsid w:val="004727D1"/>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4727D1"/>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4727D1"/>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4727D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727D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4727D1"/>
    <w:pPr>
      <w:spacing w:before="240"/>
      <w:ind w:left="284"/>
    </w:pPr>
  </w:style>
  <w:style w:type="paragraph" w:customStyle="1" w:styleId="JuListi">
    <w:name w:val="Ju_List_i"/>
    <w:basedOn w:val="Normalny"/>
    <w:next w:val="JuLista"/>
    <w:uiPriority w:val="28"/>
    <w:qFormat/>
    <w:rsid w:val="004727D1"/>
    <w:pPr>
      <w:ind w:left="794"/>
    </w:pPr>
  </w:style>
  <w:style w:type="paragraph" w:customStyle="1" w:styleId="OpiH1">
    <w:name w:val="Opi_H_1"/>
    <w:basedOn w:val="ECHRHeading2"/>
    <w:uiPriority w:val="42"/>
    <w:qFormat/>
    <w:rsid w:val="004727D1"/>
    <w:pPr>
      <w:ind w:left="635" w:hanging="357"/>
      <w:outlineLvl w:val="2"/>
    </w:pPr>
  </w:style>
  <w:style w:type="paragraph" w:customStyle="1" w:styleId="OpiHa0">
    <w:name w:val="Opi_H_a"/>
    <w:basedOn w:val="ECHRHeading3"/>
    <w:uiPriority w:val="43"/>
    <w:qFormat/>
    <w:rsid w:val="004727D1"/>
    <w:pPr>
      <w:ind w:left="833" w:hanging="357"/>
      <w:outlineLvl w:val="3"/>
    </w:pPr>
    <w:rPr>
      <w:b/>
      <w:i w:val="0"/>
      <w:sz w:val="20"/>
    </w:rPr>
  </w:style>
  <w:style w:type="paragraph" w:customStyle="1" w:styleId="OpiHi">
    <w:name w:val="Opi_H_i"/>
    <w:basedOn w:val="ECHRHeading4"/>
    <w:uiPriority w:val="44"/>
    <w:qFormat/>
    <w:rsid w:val="004727D1"/>
    <w:pPr>
      <w:ind w:left="1037" w:hanging="357"/>
      <w:outlineLvl w:val="4"/>
    </w:pPr>
    <w:rPr>
      <w:b w:val="0"/>
      <w:i/>
    </w:rPr>
  </w:style>
  <w:style w:type="paragraph" w:customStyle="1" w:styleId="DummyStyle">
    <w:name w:val="Dummy_Style"/>
    <w:basedOn w:val="Normalny"/>
    <w:semiHidden/>
    <w:qFormat/>
    <w:rsid w:val="004727D1"/>
    <w:rPr>
      <w:color w:val="00B050"/>
    </w:rPr>
  </w:style>
  <w:style w:type="character" w:customStyle="1" w:styleId="ECHRParaChar">
    <w:name w:val="ECHR_Para Char"/>
    <w:aliases w:val="Ju_Para Char"/>
    <w:link w:val="ECHRPara"/>
    <w:uiPriority w:val="12"/>
    <w:rsid w:val="00660B23"/>
    <w:rPr>
      <w:rFonts w:eastAsiaTheme="minorEastAsia"/>
      <w:sz w:val="24"/>
    </w:rPr>
  </w:style>
  <w:style w:type="character" w:customStyle="1" w:styleId="JuQuotChar">
    <w:name w:val="Ju_Quot Char"/>
    <w:link w:val="ECHRParaQuote"/>
    <w:uiPriority w:val="14"/>
    <w:rsid w:val="00D97515"/>
    <w:rPr>
      <w:rFonts w:eastAsiaTheme="minorEastAsia"/>
      <w:sz w:val="20"/>
    </w:rPr>
  </w:style>
  <w:style w:type="character" w:customStyle="1" w:styleId="JuH1Char">
    <w:name w:val="Ju_H_1. Char"/>
    <w:basedOn w:val="Domylnaczcionkaakapitu"/>
    <w:link w:val="ECHRHeading3"/>
    <w:uiPriority w:val="21"/>
    <w:rsid w:val="00D97515"/>
    <w:rPr>
      <w:rFonts w:asciiTheme="majorHAnsi" w:eastAsiaTheme="majorEastAsia" w:hAnsiTheme="majorHAnsi" w:cstheme="majorBidi"/>
      <w:bCs/>
      <w:i/>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727D1"/>
    <w:pPr>
      <w:jc w:val="both"/>
    </w:pPr>
    <w:rPr>
      <w:rFonts w:eastAsiaTheme="minorEastAsia"/>
      <w:sz w:val="24"/>
    </w:rPr>
  </w:style>
  <w:style w:type="paragraph" w:styleId="Nagwek1">
    <w:name w:val="heading 1"/>
    <w:basedOn w:val="Normalny"/>
    <w:next w:val="Normalny"/>
    <w:link w:val="Nagwek1Znak"/>
    <w:uiPriority w:val="99"/>
    <w:semiHidden/>
    <w:rsid w:val="004727D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727D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727D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727D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727D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4727D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727D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727D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727D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727D1"/>
    <w:rPr>
      <w:rFonts w:ascii="Tahoma" w:hAnsi="Tahoma" w:cs="Tahoma"/>
      <w:sz w:val="16"/>
      <w:szCs w:val="16"/>
    </w:rPr>
  </w:style>
  <w:style w:type="character" w:customStyle="1" w:styleId="TekstdymkaZnak">
    <w:name w:val="Tekst dymka Znak"/>
    <w:basedOn w:val="Domylnaczcionkaakapitu"/>
    <w:link w:val="Tekstdymka"/>
    <w:uiPriority w:val="99"/>
    <w:semiHidden/>
    <w:rsid w:val="004727D1"/>
    <w:rPr>
      <w:rFonts w:ascii="Tahoma" w:eastAsiaTheme="minorEastAsia" w:hAnsi="Tahoma" w:cs="Tahoma"/>
      <w:sz w:val="16"/>
      <w:szCs w:val="16"/>
    </w:rPr>
  </w:style>
  <w:style w:type="character" w:styleId="Tytuksiki">
    <w:name w:val="Book Title"/>
    <w:uiPriority w:val="99"/>
    <w:semiHidden/>
    <w:qFormat/>
    <w:rsid w:val="004727D1"/>
    <w:rPr>
      <w:i/>
      <w:iCs/>
      <w:smallCaps/>
      <w:spacing w:val="5"/>
    </w:rPr>
  </w:style>
  <w:style w:type="paragraph" w:customStyle="1" w:styleId="ECHRHeader">
    <w:name w:val="ECHR_Header"/>
    <w:aliases w:val="Ju_Header"/>
    <w:basedOn w:val="Nagwek"/>
    <w:uiPriority w:val="4"/>
    <w:qFormat/>
    <w:rsid w:val="004727D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727D1"/>
    <w:pPr>
      <w:jc w:val="left"/>
    </w:pPr>
    <w:rPr>
      <w:sz w:val="8"/>
    </w:rPr>
  </w:style>
  <w:style w:type="character" w:styleId="Pogrubienie">
    <w:name w:val="Strong"/>
    <w:uiPriority w:val="99"/>
    <w:semiHidden/>
    <w:qFormat/>
    <w:rsid w:val="004727D1"/>
    <w:rPr>
      <w:b/>
      <w:bCs/>
    </w:rPr>
  </w:style>
  <w:style w:type="paragraph" w:styleId="Bezodstpw">
    <w:name w:val="No Spacing"/>
    <w:basedOn w:val="Normalny"/>
    <w:link w:val="BezodstpwZnak"/>
    <w:semiHidden/>
    <w:qFormat/>
    <w:rsid w:val="004727D1"/>
    <w:rPr>
      <w:sz w:val="22"/>
    </w:rPr>
  </w:style>
  <w:style w:type="character" w:customStyle="1" w:styleId="BezodstpwZnak">
    <w:name w:val="Bez odstępów Znak"/>
    <w:basedOn w:val="Domylnaczcionkaakapitu"/>
    <w:link w:val="Bezodstpw"/>
    <w:semiHidden/>
    <w:rsid w:val="004727D1"/>
    <w:rPr>
      <w:rFonts w:eastAsiaTheme="minorEastAsia"/>
    </w:rPr>
  </w:style>
  <w:style w:type="paragraph" w:customStyle="1" w:styleId="ECHRFooterLine">
    <w:name w:val="ECHR_Footer_Line"/>
    <w:aliases w:val="Footer_Line"/>
    <w:basedOn w:val="Normalny"/>
    <w:next w:val="ECHRFooter"/>
    <w:uiPriority w:val="57"/>
    <w:semiHidden/>
    <w:rsid w:val="004727D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4727D1"/>
    <w:pPr>
      <w:numPr>
        <w:numId w:val="14"/>
      </w:numPr>
      <w:jc w:val="left"/>
    </w:pPr>
    <w:rPr>
      <w:b/>
    </w:rPr>
  </w:style>
  <w:style w:type="paragraph" w:customStyle="1" w:styleId="OpiPara">
    <w:name w:val="Opi_Para"/>
    <w:basedOn w:val="ECHRPara"/>
    <w:uiPriority w:val="46"/>
    <w:qFormat/>
    <w:rsid w:val="004727D1"/>
  </w:style>
  <w:style w:type="paragraph" w:customStyle="1" w:styleId="JuParaSub">
    <w:name w:val="Ju_Para_Sub"/>
    <w:basedOn w:val="ECHRPara"/>
    <w:uiPriority w:val="13"/>
    <w:qFormat/>
    <w:rsid w:val="004727D1"/>
    <w:pPr>
      <w:ind w:left="284"/>
    </w:pPr>
  </w:style>
  <w:style w:type="paragraph" w:customStyle="1" w:styleId="ECHRTitleCentre3">
    <w:name w:val="ECHR_Title_Centre_3"/>
    <w:aliases w:val="Ju_H_Article"/>
    <w:basedOn w:val="Normalny"/>
    <w:next w:val="ECHRParaQuote"/>
    <w:uiPriority w:val="27"/>
    <w:qFormat/>
    <w:rsid w:val="004727D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727D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727D1"/>
  </w:style>
  <w:style w:type="paragraph" w:customStyle="1" w:styleId="OpiQuot">
    <w:name w:val="Opi_Quot"/>
    <w:basedOn w:val="ECHRParaQuote"/>
    <w:uiPriority w:val="48"/>
    <w:qFormat/>
    <w:rsid w:val="004727D1"/>
  </w:style>
  <w:style w:type="paragraph" w:customStyle="1" w:styleId="OpiQuotSub">
    <w:name w:val="Opi_Quot_Sub"/>
    <w:basedOn w:val="JuQuotSub"/>
    <w:uiPriority w:val="49"/>
    <w:qFormat/>
    <w:rsid w:val="004727D1"/>
  </w:style>
  <w:style w:type="paragraph" w:customStyle="1" w:styleId="ECHRTitleCentre2">
    <w:name w:val="ECHR_Title_Centre_2"/>
    <w:aliases w:val="Dec_H_Case"/>
    <w:basedOn w:val="Normalny"/>
    <w:next w:val="ECHRPara"/>
    <w:uiPriority w:val="8"/>
    <w:rsid w:val="004727D1"/>
    <w:pPr>
      <w:spacing w:after="240"/>
      <w:jc w:val="center"/>
      <w:outlineLvl w:val="0"/>
    </w:pPr>
    <w:rPr>
      <w:rFonts w:asciiTheme="majorHAnsi" w:hAnsiTheme="majorHAnsi"/>
    </w:rPr>
  </w:style>
  <w:style w:type="paragraph" w:customStyle="1" w:styleId="JuTitle">
    <w:name w:val="Ju_Title"/>
    <w:basedOn w:val="Normalny"/>
    <w:next w:val="ECHRPara"/>
    <w:uiPriority w:val="3"/>
    <w:rsid w:val="004727D1"/>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727D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727D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4727D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727D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727D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727D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727D1"/>
    <w:pPr>
      <w:keepNext/>
      <w:keepLines/>
      <w:spacing w:before="240" w:after="120"/>
      <w:ind w:left="1236"/>
    </w:pPr>
    <w:rPr>
      <w:sz w:val="20"/>
    </w:rPr>
  </w:style>
  <w:style w:type="paragraph" w:customStyle="1" w:styleId="JuQuotSub">
    <w:name w:val="Ju_Quot_Sub"/>
    <w:basedOn w:val="ECHRParaQuote"/>
    <w:uiPriority w:val="15"/>
    <w:qFormat/>
    <w:rsid w:val="004727D1"/>
    <w:pPr>
      <w:ind w:left="567"/>
    </w:pPr>
  </w:style>
  <w:style w:type="paragraph" w:customStyle="1" w:styleId="JuInitialled">
    <w:name w:val="Ju_Initialled"/>
    <w:basedOn w:val="Normalny"/>
    <w:uiPriority w:val="31"/>
    <w:qFormat/>
    <w:rsid w:val="004727D1"/>
    <w:pPr>
      <w:tabs>
        <w:tab w:val="center" w:pos="6407"/>
      </w:tabs>
      <w:spacing w:before="720"/>
      <w:jc w:val="right"/>
    </w:pPr>
  </w:style>
  <w:style w:type="paragraph" w:customStyle="1" w:styleId="OpiHA">
    <w:name w:val="Opi_H_A"/>
    <w:basedOn w:val="ECHRHeading1"/>
    <w:next w:val="OpiPara"/>
    <w:uiPriority w:val="41"/>
    <w:qFormat/>
    <w:rsid w:val="004727D1"/>
    <w:pPr>
      <w:tabs>
        <w:tab w:val="clear" w:pos="357"/>
      </w:tabs>
      <w:outlineLvl w:val="1"/>
    </w:pPr>
    <w:rPr>
      <w:b/>
    </w:rPr>
  </w:style>
  <w:style w:type="paragraph" w:styleId="Nagwek">
    <w:name w:val="header"/>
    <w:basedOn w:val="Normalny"/>
    <w:link w:val="NagwekZnak"/>
    <w:uiPriority w:val="57"/>
    <w:semiHidden/>
    <w:rsid w:val="004727D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727D1"/>
    <w:rPr>
      <w:sz w:val="24"/>
    </w:rPr>
  </w:style>
  <w:style w:type="character" w:customStyle="1" w:styleId="Nagwek1Znak">
    <w:name w:val="Nagłówek 1 Znak"/>
    <w:basedOn w:val="Domylnaczcionkaakapitu"/>
    <w:link w:val="Nagwek1"/>
    <w:uiPriority w:val="99"/>
    <w:semiHidden/>
    <w:rsid w:val="004727D1"/>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727D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727D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727D1"/>
    <w:rPr>
      <w:rFonts w:asciiTheme="majorHAnsi" w:eastAsiaTheme="majorEastAsia" w:hAnsiTheme="majorHAnsi" w:cstheme="majorBidi"/>
      <w:b/>
      <w:bCs/>
      <w:color w:val="4D4D4D"/>
      <w:sz w:val="26"/>
      <w:szCs w:val="26"/>
    </w:rPr>
  </w:style>
  <w:style w:type="character" w:customStyle="1" w:styleId="JUNAMES">
    <w:name w:val="JU_NAMES"/>
    <w:uiPriority w:val="17"/>
    <w:qFormat/>
    <w:rsid w:val="004727D1"/>
    <w:rPr>
      <w:caps w:val="0"/>
      <w:smallCaps/>
    </w:rPr>
  </w:style>
  <w:style w:type="paragraph" w:customStyle="1" w:styleId="JuCase">
    <w:name w:val="Ju_Case"/>
    <w:basedOn w:val="Normalny"/>
    <w:next w:val="ECHRPara"/>
    <w:uiPriority w:val="10"/>
    <w:rsid w:val="004727D1"/>
    <w:pPr>
      <w:ind w:firstLine="284"/>
    </w:pPr>
    <w:rPr>
      <w:b/>
    </w:rPr>
  </w:style>
  <w:style w:type="character" w:customStyle="1" w:styleId="Nagwek3Znak">
    <w:name w:val="Nagłówek 3 Znak"/>
    <w:basedOn w:val="Domylnaczcionkaakapitu"/>
    <w:link w:val="Nagwek3"/>
    <w:uiPriority w:val="99"/>
    <w:semiHidden/>
    <w:rsid w:val="004727D1"/>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4727D1"/>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727D1"/>
    <w:rPr>
      <w:rFonts w:asciiTheme="majorHAnsi" w:eastAsiaTheme="majorEastAsia" w:hAnsiTheme="majorHAnsi" w:cstheme="majorBidi"/>
      <w:b/>
      <w:bCs/>
      <w:color w:val="808080"/>
    </w:rPr>
  </w:style>
  <w:style w:type="character" w:styleId="Wyrnieniedelikatne">
    <w:name w:val="Subtle Emphasis"/>
    <w:uiPriority w:val="99"/>
    <w:semiHidden/>
    <w:qFormat/>
    <w:rsid w:val="004727D1"/>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727D1"/>
    <w:pPr>
      <w:keepNext/>
      <w:keepLines/>
      <w:spacing w:before="720" w:after="240"/>
      <w:outlineLvl w:val="0"/>
    </w:pPr>
    <w:rPr>
      <w:rFonts w:asciiTheme="majorHAnsi" w:hAnsiTheme="majorHAnsi"/>
      <w:sz w:val="28"/>
    </w:rPr>
  </w:style>
  <w:style w:type="character" w:styleId="Uwydatnienie">
    <w:name w:val="Emphasis"/>
    <w:uiPriority w:val="99"/>
    <w:semiHidden/>
    <w:qFormat/>
    <w:rsid w:val="004727D1"/>
    <w:rPr>
      <w:b/>
      <w:bCs/>
      <w:i/>
      <w:iCs/>
      <w:spacing w:val="10"/>
      <w:bdr w:val="none" w:sz="0" w:space="0" w:color="auto"/>
      <w:shd w:val="clear" w:color="auto" w:fill="auto"/>
    </w:rPr>
  </w:style>
  <w:style w:type="paragraph" w:styleId="Stopka">
    <w:name w:val="footer"/>
    <w:basedOn w:val="Normalny"/>
    <w:link w:val="StopkaZnak"/>
    <w:uiPriority w:val="57"/>
    <w:semiHidden/>
    <w:rsid w:val="004727D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727D1"/>
    <w:rPr>
      <w:sz w:val="24"/>
    </w:rPr>
  </w:style>
  <w:style w:type="character" w:styleId="Odwoanieprzypisudolnego">
    <w:name w:val="footnote reference"/>
    <w:basedOn w:val="Domylnaczcionkaakapitu"/>
    <w:uiPriority w:val="99"/>
    <w:semiHidden/>
    <w:rsid w:val="004727D1"/>
    <w:rPr>
      <w:vertAlign w:val="superscript"/>
    </w:rPr>
  </w:style>
  <w:style w:type="paragraph" w:styleId="Tekstprzypisudolnego">
    <w:name w:val="footnote text"/>
    <w:basedOn w:val="Normalny"/>
    <w:link w:val="TekstprzypisudolnegoZnak"/>
    <w:uiPriority w:val="99"/>
    <w:semiHidden/>
    <w:rsid w:val="004727D1"/>
    <w:rPr>
      <w:sz w:val="20"/>
      <w:szCs w:val="20"/>
    </w:rPr>
  </w:style>
  <w:style w:type="character" w:customStyle="1" w:styleId="TekstprzypisudolnegoZnak">
    <w:name w:val="Tekst przypisu dolnego Znak"/>
    <w:basedOn w:val="Domylnaczcionkaakapitu"/>
    <w:link w:val="Tekstprzypisudolnego"/>
    <w:uiPriority w:val="99"/>
    <w:semiHidden/>
    <w:rsid w:val="004727D1"/>
    <w:rPr>
      <w:rFonts w:eastAsiaTheme="minorEastAsia"/>
      <w:sz w:val="20"/>
      <w:szCs w:val="20"/>
    </w:rPr>
  </w:style>
  <w:style w:type="character" w:customStyle="1" w:styleId="Nagwek6Znak">
    <w:name w:val="Nagłówek 6 Znak"/>
    <w:basedOn w:val="Domylnaczcionkaakapitu"/>
    <w:link w:val="Nagwek6"/>
    <w:uiPriority w:val="99"/>
    <w:semiHidden/>
    <w:rsid w:val="004727D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727D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727D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727D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4727D1"/>
    <w:rPr>
      <w:color w:val="0072BC" w:themeColor="hyperlink"/>
      <w:u w:val="single"/>
    </w:rPr>
  </w:style>
  <w:style w:type="character" w:styleId="Wyrnienieintensywne">
    <w:name w:val="Intense Emphasis"/>
    <w:uiPriority w:val="99"/>
    <w:semiHidden/>
    <w:qFormat/>
    <w:rsid w:val="004727D1"/>
    <w:rPr>
      <w:b/>
      <w:bCs/>
    </w:rPr>
  </w:style>
  <w:style w:type="paragraph" w:styleId="Cytatintensywny">
    <w:name w:val="Intense Quote"/>
    <w:basedOn w:val="Normalny"/>
    <w:next w:val="Normalny"/>
    <w:link w:val="CytatintensywnyZnak"/>
    <w:uiPriority w:val="99"/>
    <w:semiHidden/>
    <w:qFormat/>
    <w:rsid w:val="004727D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727D1"/>
    <w:rPr>
      <w:rFonts w:eastAsiaTheme="minorEastAsia"/>
      <w:b/>
      <w:bCs/>
      <w:i/>
      <w:iCs/>
      <w:lang w:bidi="en-US"/>
    </w:rPr>
  </w:style>
  <w:style w:type="character" w:styleId="Odwoanieintensywne">
    <w:name w:val="Intense Reference"/>
    <w:uiPriority w:val="99"/>
    <w:semiHidden/>
    <w:qFormat/>
    <w:rsid w:val="004727D1"/>
    <w:rPr>
      <w:smallCaps/>
      <w:spacing w:val="5"/>
      <w:u w:val="single"/>
    </w:rPr>
  </w:style>
  <w:style w:type="paragraph" w:styleId="Akapitzlist">
    <w:name w:val="List Paragraph"/>
    <w:basedOn w:val="Normalny"/>
    <w:uiPriority w:val="99"/>
    <w:semiHidden/>
    <w:qFormat/>
    <w:rsid w:val="004727D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727D1"/>
    <w:pPr>
      <w:spacing w:before="200"/>
      <w:ind w:left="360" w:right="360"/>
    </w:pPr>
    <w:rPr>
      <w:i/>
      <w:iCs/>
      <w:sz w:val="22"/>
      <w:lang w:bidi="en-US"/>
    </w:rPr>
  </w:style>
  <w:style w:type="character" w:customStyle="1" w:styleId="CytatZnak">
    <w:name w:val="Cytat Znak"/>
    <w:basedOn w:val="Domylnaczcionkaakapitu"/>
    <w:link w:val="Cytat"/>
    <w:uiPriority w:val="99"/>
    <w:semiHidden/>
    <w:rsid w:val="004727D1"/>
    <w:rPr>
      <w:rFonts w:eastAsiaTheme="minorEastAsia"/>
      <w:i/>
      <w:iCs/>
      <w:lang w:bidi="en-US"/>
    </w:rPr>
  </w:style>
  <w:style w:type="character" w:styleId="Odwoaniedelikatne">
    <w:name w:val="Subtle Reference"/>
    <w:uiPriority w:val="99"/>
    <w:semiHidden/>
    <w:qFormat/>
    <w:rsid w:val="004727D1"/>
    <w:rPr>
      <w:smallCaps/>
    </w:rPr>
  </w:style>
  <w:style w:type="table" w:styleId="Tabela-Siatka">
    <w:name w:val="Table Grid"/>
    <w:basedOn w:val="Standardowy"/>
    <w:uiPriority w:val="59"/>
    <w:semiHidden/>
    <w:rsid w:val="004727D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27D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4727D1"/>
    <w:pPr>
      <w:spacing w:after="60"/>
      <w:ind w:left="680" w:right="340" w:hanging="340"/>
    </w:pPr>
  </w:style>
  <w:style w:type="paragraph" w:styleId="Spistreci3">
    <w:name w:val="toc 3"/>
    <w:basedOn w:val="Normalny"/>
    <w:next w:val="Normalny"/>
    <w:autoRedefine/>
    <w:uiPriority w:val="99"/>
    <w:semiHidden/>
    <w:rsid w:val="004727D1"/>
    <w:pPr>
      <w:spacing w:after="60"/>
      <w:ind w:left="1020" w:right="340" w:hanging="340"/>
    </w:pPr>
  </w:style>
  <w:style w:type="paragraph" w:styleId="Spistreci4">
    <w:name w:val="toc 4"/>
    <w:basedOn w:val="Normalny"/>
    <w:next w:val="Normalny"/>
    <w:autoRedefine/>
    <w:uiPriority w:val="99"/>
    <w:semiHidden/>
    <w:rsid w:val="004727D1"/>
    <w:pPr>
      <w:tabs>
        <w:tab w:val="right" w:leader="dot" w:pos="9017"/>
      </w:tabs>
      <w:spacing w:after="60"/>
      <w:ind w:left="1361" w:right="340" w:hanging="340"/>
    </w:pPr>
  </w:style>
  <w:style w:type="paragraph" w:styleId="Spistreci5">
    <w:name w:val="toc 5"/>
    <w:basedOn w:val="Normalny"/>
    <w:next w:val="Normalny"/>
    <w:autoRedefine/>
    <w:uiPriority w:val="99"/>
    <w:semiHidden/>
    <w:rsid w:val="004727D1"/>
    <w:pPr>
      <w:spacing w:after="60"/>
      <w:ind w:left="1701" w:right="340" w:hanging="340"/>
    </w:pPr>
  </w:style>
  <w:style w:type="paragraph" w:styleId="Nagwekspisutreci">
    <w:name w:val="TOC Heading"/>
    <w:basedOn w:val="Nagwek1"/>
    <w:next w:val="Normalny"/>
    <w:uiPriority w:val="99"/>
    <w:semiHidden/>
    <w:qFormat/>
    <w:rsid w:val="004727D1"/>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727D1"/>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4727D1"/>
    <w:pPr>
      <w:spacing w:before="120" w:after="120"/>
      <w:ind w:left="425" w:firstLine="142"/>
    </w:pPr>
    <w:rPr>
      <w:sz w:val="20"/>
    </w:rPr>
  </w:style>
  <w:style w:type="paragraph" w:customStyle="1" w:styleId="ECHRPara">
    <w:name w:val="ECHR_Para"/>
    <w:aliases w:val="Ju_Para"/>
    <w:basedOn w:val="Normalny"/>
    <w:link w:val="ECHRParaChar"/>
    <w:uiPriority w:val="12"/>
    <w:qFormat/>
    <w:rsid w:val="004727D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727D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727D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727D1"/>
    <w:pPr>
      <w:ind w:left="340" w:hanging="340"/>
    </w:pPr>
  </w:style>
  <w:style w:type="paragraph" w:customStyle="1" w:styleId="JuSigned">
    <w:name w:val="Ju_Signed"/>
    <w:basedOn w:val="Normalny"/>
    <w:next w:val="JuParaLast"/>
    <w:uiPriority w:val="32"/>
    <w:qFormat/>
    <w:rsid w:val="004727D1"/>
    <w:pPr>
      <w:tabs>
        <w:tab w:val="center" w:pos="851"/>
        <w:tab w:val="center" w:pos="6407"/>
      </w:tabs>
      <w:spacing w:before="720"/>
      <w:jc w:val="left"/>
    </w:pPr>
  </w:style>
  <w:style w:type="paragraph" w:customStyle="1" w:styleId="JuParaLast">
    <w:name w:val="Ju_Para_Last"/>
    <w:basedOn w:val="Normalny"/>
    <w:next w:val="ECHRPara"/>
    <w:uiPriority w:val="30"/>
    <w:qFormat/>
    <w:rsid w:val="004727D1"/>
    <w:pPr>
      <w:keepNext/>
      <w:keepLines/>
      <w:spacing w:before="240"/>
      <w:ind w:firstLine="284"/>
    </w:pPr>
  </w:style>
  <w:style w:type="character" w:customStyle="1" w:styleId="JuITMark">
    <w:name w:val="Ju_ITMark"/>
    <w:basedOn w:val="Domylnaczcionkaakapitu"/>
    <w:uiPriority w:val="38"/>
    <w:qFormat/>
    <w:rsid w:val="004727D1"/>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727D1"/>
    <w:pPr>
      <w:ind w:left="346" w:firstLine="0"/>
    </w:pPr>
  </w:style>
  <w:style w:type="paragraph" w:customStyle="1" w:styleId="OpiTranslation">
    <w:name w:val="Opi_Translation"/>
    <w:basedOn w:val="Normalny"/>
    <w:next w:val="OpiPara"/>
    <w:uiPriority w:val="40"/>
    <w:qFormat/>
    <w:rsid w:val="004727D1"/>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4727D1"/>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4727D1"/>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4727D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727D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rsid w:val="004727D1"/>
    <w:pPr>
      <w:spacing w:before="240"/>
      <w:ind w:left="284"/>
    </w:pPr>
  </w:style>
  <w:style w:type="paragraph" w:customStyle="1" w:styleId="JuListi">
    <w:name w:val="Ju_List_i"/>
    <w:basedOn w:val="Normalny"/>
    <w:next w:val="JuLista"/>
    <w:uiPriority w:val="28"/>
    <w:qFormat/>
    <w:rsid w:val="004727D1"/>
    <w:pPr>
      <w:ind w:left="794"/>
    </w:pPr>
  </w:style>
  <w:style w:type="paragraph" w:customStyle="1" w:styleId="OpiH1">
    <w:name w:val="Opi_H_1"/>
    <w:basedOn w:val="ECHRHeading2"/>
    <w:uiPriority w:val="42"/>
    <w:qFormat/>
    <w:rsid w:val="004727D1"/>
    <w:pPr>
      <w:ind w:left="635" w:hanging="357"/>
      <w:outlineLvl w:val="2"/>
    </w:pPr>
  </w:style>
  <w:style w:type="paragraph" w:customStyle="1" w:styleId="OpiHa0">
    <w:name w:val="Opi_H_a"/>
    <w:basedOn w:val="ECHRHeading3"/>
    <w:uiPriority w:val="43"/>
    <w:qFormat/>
    <w:rsid w:val="004727D1"/>
    <w:pPr>
      <w:ind w:left="833" w:hanging="357"/>
      <w:outlineLvl w:val="3"/>
    </w:pPr>
    <w:rPr>
      <w:b/>
      <w:i w:val="0"/>
      <w:sz w:val="20"/>
    </w:rPr>
  </w:style>
  <w:style w:type="paragraph" w:customStyle="1" w:styleId="OpiHi">
    <w:name w:val="Opi_H_i"/>
    <w:basedOn w:val="ECHRHeading4"/>
    <w:uiPriority w:val="44"/>
    <w:qFormat/>
    <w:rsid w:val="004727D1"/>
    <w:pPr>
      <w:ind w:left="1037" w:hanging="357"/>
      <w:outlineLvl w:val="4"/>
    </w:pPr>
    <w:rPr>
      <w:b w:val="0"/>
      <w:i/>
    </w:rPr>
  </w:style>
  <w:style w:type="paragraph" w:customStyle="1" w:styleId="DummyStyle">
    <w:name w:val="Dummy_Style"/>
    <w:basedOn w:val="Normalny"/>
    <w:semiHidden/>
    <w:qFormat/>
    <w:rsid w:val="004727D1"/>
    <w:rPr>
      <w:color w:val="00B050"/>
    </w:rPr>
  </w:style>
  <w:style w:type="character" w:customStyle="1" w:styleId="ECHRParaChar">
    <w:name w:val="ECHR_Para Char"/>
    <w:aliases w:val="Ju_Para Char"/>
    <w:link w:val="ECHRPara"/>
    <w:uiPriority w:val="12"/>
    <w:rsid w:val="00660B23"/>
    <w:rPr>
      <w:rFonts w:eastAsiaTheme="minorEastAsia"/>
      <w:sz w:val="24"/>
    </w:rPr>
  </w:style>
  <w:style w:type="character" w:customStyle="1" w:styleId="JuQuotChar">
    <w:name w:val="Ju_Quot Char"/>
    <w:link w:val="ECHRParaQuote"/>
    <w:uiPriority w:val="14"/>
    <w:rsid w:val="00D97515"/>
    <w:rPr>
      <w:rFonts w:eastAsiaTheme="minorEastAsia"/>
      <w:sz w:val="20"/>
    </w:rPr>
  </w:style>
  <w:style w:type="character" w:customStyle="1" w:styleId="JuH1Char">
    <w:name w:val="Ju_H_1. Char"/>
    <w:basedOn w:val="Domylnaczcionkaakapitu"/>
    <w:link w:val="ECHRHeading3"/>
    <w:uiPriority w:val="21"/>
    <w:rsid w:val="00D97515"/>
    <w:rPr>
      <w:rFonts w:asciiTheme="majorHAnsi" w:eastAsiaTheme="majorEastAsia" w:hAnsiTheme="majorHAnsi" w:cstheme="majorBidi"/>
      <w:bCs/>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7C597-2289-4923-B071-20B345B2F9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F1B30C-6972-4940-9241-6A9CD964F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8766E5A-A563-4E88-ADA0-E30D6AC46785}">
  <ds:schemaRefs>
    <ds:schemaRef ds:uri="http://schemas.microsoft.com/sharepoint/v3/contenttype/forms"/>
  </ds:schemaRefs>
</ds:datastoreItem>
</file>

<file path=customXml/itemProps4.xml><?xml version="1.0" encoding="utf-8"?>
<ds:datastoreItem xmlns:ds="http://schemas.openxmlformats.org/officeDocument/2006/customXml" ds:itemID="{9D8BCA95-FA8E-4609-B02B-75A9F213C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2821</Words>
  <Characters>16928</Characters>
  <Application>Microsoft Office Word</Application>
  <DocSecurity>0</DocSecurity>
  <Lines>141</Lines>
  <Paragraphs>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19710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2016-04-25T09:59:00Z</dcterms:created>
  <dcterms:modified xsi:type="dcterms:W3CDTF">2016-04-25T09:59:00Z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