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header3.xml" ContentType="application/vnd.openxmlformats-officedocument.wordprocessingml.header+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44C4" w:rsidRPr="00E02897" w:rsidRDefault="006544C4" w:rsidP="00907825">
      <w:pPr>
        <w:jc w:val="center"/>
        <w:rPr>
          <w:lang w:val="fr-FR"/>
        </w:rPr>
      </w:pPr>
    </w:p>
    <w:p w:rsidR="006544C4" w:rsidRPr="00E02897" w:rsidRDefault="006544C4" w:rsidP="00907825">
      <w:pPr>
        <w:jc w:val="center"/>
        <w:rPr>
          <w:lang w:val="fr-FR"/>
        </w:rPr>
      </w:pPr>
    </w:p>
    <w:p w:rsidR="006544C4" w:rsidRPr="00E02897" w:rsidRDefault="004149AA" w:rsidP="00907825">
      <w:pPr>
        <w:pStyle w:val="DecHTitle"/>
        <w:rPr>
          <w:lang w:val="fr-FR"/>
        </w:rPr>
      </w:pPr>
      <w:r>
        <w:rPr>
          <w:szCs w:val="24"/>
          <w:lang w:val="fr-FR"/>
        </w:rPr>
        <w:t>CINQUIÈME SECTION</w:t>
      </w:r>
    </w:p>
    <w:p w:rsidR="006544C4" w:rsidRPr="00E02897" w:rsidRDefault="006544C4" w:rsidP="00907825">
      <w:pPr>
        <w:pStyle w:val="DecHTitle"/>
        <w:rPr>
          <w:caps/>
          <w:sz w:val="32"/>
          <w:lang w:val="fr-FR"/>
        </w:rPr>
      </w:pPr>
      <w:r w:rsidRPr="00E02897">
        <w:rPr>
          <w:lang w:val="fr-FR"/>
        </w:rPr>
        <w:t>DÉCISION</w:t>
      </w:r>
    </w:p>
    <w:p w:rsidR="006544C4" w:rsidRPr="004149AA" w:rsidRDefault="004149AA" w:rsidP="00907825">
      <w:pPr>
        <w:pStyle w:val="ECHRTitleCentre2"/>
        <w:rPr>
          <w:lang w:val="fr-FR"/>
        </w:rPr>
      </w:pPr>
      <w:r w:rsidRPr="004149AA">
        <w:rPr>
          <w:lang w:val="fr-FR"/>
        </w:rPr>
        <w:t>Requête n</w:t>
      </w:r>
      <w:r w:rsidRPr="004149AA">
        <w:rPr>
          <w:vertAlign w:val="superscript"/>
          <w:lang w:val="fr-FR"/>
        </w:rPr>
        <w:t>o</w:t>
      </w:r>
      <w:r w:rsidR="006544C4" w:rsidRPr="004149AA">
        <w:rPr>
          <w:lang w:val="fr-FR"/>
        </w:rPr>
        <w:t xml:space="preserve"> </w:t>
      </w:r>
      <w:r w:rsidRPr="004149AA">
        <w:rPr>
          <w:lang w:val="fr-FR"/>
        </w:rPr>
        <w:t>28457/10</w:t>
      </w:r>
      <w:r w:rsidR="006544C4" w:rsidRPr="004149AA">
        <w:rPr>
          <w:lang w:val="fr-FR"/>
        </w:rPr>
        <w:br/>
      </w:r>
      <w:r w:rsidRPr="004149AA">
        <w:rPr>
          <w:lang w:val="fr-FR"/>
        </w:rPr>
        <w:t xml:space="preserve">ABOUFADDA </w:t>
      </w:r>
      <w:r w:rsidR="006544C4" w:rsidRPr="004149AA">
        <w:rPr>
          <w:lang w:val="fr-FR"/>
        </w:rPr>
        <w:t xml:space="preserve">contre </w:t>
      </w:r>
      <w:r w:rsidRPr="004149AA">
        <w:rPr>
          <w:lang w:val="fr-FR"/>
        </w:rPr>
        <w:t>la France</w:t>
      </w:r>
    </w:p>
    <w:p w:rsidR="004149AA" w:rsidRPr="00905EBC" w:rsidRDefault="004149AA" w:rsidP="00EE69CB">
      <w:pPr>
        <w:pStyle w:val="ECHRPara"/>
        <w:rPr>
          <w:lang w:val="fr-FR"/>
        </w:rPr>
      </w:pPr>
      <w:r w:rsidRPr="00905EBC">
        <w:rPr>
          <w:lang w:val="fr-FR"/>
        </w:rPr>
        <w:t>La Cour européenne des droits de l</w:t>
      </w:r>
      <w:r w:rsidR="00504D76">
        <w:rPr>
          <w:lang w:val="fr-FR"/>
        </w:rPr>
        <w:t>’</w:t>
      </w:r>
      <w:r w:rsidRPr="00905EBC">
        <w:rPr>
          <w:lang w:val="fr-FR"/>
        </w:rPr>
        <w:t>homme (</w:t>
      </w:r>
      <w:r>
        <w:rPr>
          <w:lang w:val="fr-FR"/>
        </w:rPr>
        <w:t>cinquième section</w:t>
      </w:r>
      <w:r w:rsidRPr="00905EBC">
        <w:rPr>
          <w:lang w:val="fr-FR"/>
        </w:rPr>
        <w:t xml:space="preserve">), siégeant le </w:t>
      </w:r>
      <w:r>
        <w:rPr>
          <w:lang w:val="fr-FR"/>
        </w:rPr>
        <w:t>4 novembre 2014</w:t>
      </w:r>
      <w:r w:rsidRPr="00905EBC">
        <w:rPr>
          <w:lang w:val="fr-FR"/>
        </w:rPr>
        <w:t xml:space="preserve"> en une </w:t>
      </w:r>
      <w:r>
        <w:rPr>
          <w:lang w:val="fr-FR"/>
        </w:rPr>
        <w:t>chambre</w:t>
      </w:r>
      <w:r w:rsidRPr="00905EBC">
        <w:rPr>
          <w:lang w:val="fr-FR"/>
        </w:rPr>
        <w:t xml:space="preserve"> composée de :</w:t>
      </w:r>
    </w:p>
    <w:p w:rsidR="004149AA" w:rsidRPr="00504D76" w:rsidRDefault="00504D76" w:rsidP="00504D76">
      <w:pPr>
        <w:pStyle w:val="ECHRDecisionBody"/>
        <w:rPr>
          <w:lang w:val="fr-FR"/>
        </w:rPr>
      </w:pPr>
      <w:r w:rsidRPr="00504D76">
        <w:rPr>
          <w:lang w:val="fr-FR"/>
        </w:rPr>
        <w:tab/>
      </w:r>
      <w:r w:rsidR="004149AA" w:rsidRPr="00504D76">
        <w:rPr>
          <w:lang w:val="fr-FR"/>
        </w:rPr>
        <w:t xml:space="preserve">Mark </w:t>
      </w:r>
      <w:proofErr w:type="spellStart"/>
      <w:r w:rsidR="004149AA" w:rsidRPr="00504D76">
        <w:rPr>
          <w:lang w:val="fr-FR"/>
        </w:rPr>
        <w:t>Villiger</w:t>
      </w:r>
      <w:proofErr w:type="spellEnd"/>
      <w:r w:rsidR="004149AA" w:rsidRPr="00504D76">
        <w:rPr>
          <w:lang w:val="fr-FR"/>
        </w:rPr>
        <w:t xml:space="preserve">, </w:t>
      </w:r>
      <w:r w:rsidR="004149AA" w:rsidRPr="00504D76">
        <w:rPr>
          <w:i/>
          <w:lang w:val="fr-FR"/>
        </w:rPr>
        <w:t>président</w:t>
      </w:r>
      <w:r w:rsidR="004149AA" w:rsidRPr="00504D76">
        <w:rPr>
          <w:lang w:val="fr-FR"/>
        </w:rPr>
        <w:t>,</w:t>
      </w:r>
    </w:p>
    <w:p w:rsidR="004149AA" w:rsidRPr="00504D76" w:rsidRDefault="00504D76" w:rsidP="00504D76">
      <w:pPr>
        <w:pStyle w:val="ECHRDecisionBody"/>
        <w:rPr>
          <w:lang w:val="fr-FR"/>
        </w:rPr>
      </w:pPr>
      <w:r w:rsidRPr="00504D76">
        <w:rPr>
          <w:lang w:val="fr-FR"/>
        </w:rPr>
        <w:tab/>
      </w:r>
      <w:proofErr w:type="spellStart"/>
      <w:r w:rsidR="004149AA" w:rsidRPr="00504D76">
        <w:rPr>
          <w:lang w:val="fr-FR"/>
        </w:rPr>
        <w:t>Boštjan</w:t>
      </w:r>
      <w:proofErr w:type="spellEnd"/>
      <w:r w:rsidR="004149AA" w:rsidRPr="00504D76">
        <w:rPr>
          <w:lang w:val="fr-FR"/>
        </w:rPr>
        <w:t xml:space="preserve"> M. </w:t>
      </w:r>
      <w:proofErr w:type="spellStart"/>
      <w:r w:rsidR="004149AA" w:rsidRPr="00504D76">
        <w:rPr>
          <w:lang w:val="fr-FR"/>
        </w:rPr>
        <w:t>Zupančič</w:t>
      </w:r>
      <w:proofErr w:type="spellEnd"/>
      <w:r w:rsidR="004149AA" w:rsidRPr="00504D76">
        <w:rPr>
          <w:lang w:val="fr-FR"/>
        </w:rPr>
        <w:t>,</w:t>
      </w:r>
    </w:p>
    <w:p w:rsidR="004149AA" w:rsidRPr="00504D76" w:rsidRDefault="00504D76" w:rsidP="00504D76">
      <w:pPr>
        <w:pStyle w:val="ECHRDecisionBody"/>
        <w:rPr>
          <w:lang w:val="fr-FR"/>
        </w:rPr>
      </w:pPr>
      <w:r w:rsidRPr="00504D76">
        <w:rPr>
          <w:lang w:val="fr-FR"/>
        </w:rPr>
        <w:tab/>
      </w:r>
      <w:proofErr w:type="spellStart"/>
      <w:r w:rsidR="004149AA" w:rsidRPr="00504D76">
        <w:rPr>
          <w:lang w:val="fr-FR"/>
        </w:rPr>
        <w:t>Ganna</w:t>
      </w:r>
      <w:proofErr w:type="spellEnd"/>
      <w:r w:rsidR="004149AA" w:rsidRPr="00504D76">
        <w:rPr>
          <w:lang w:val="fr-FR"/>
        </w:rPr>
        <w:t xml:space="preserve"> </w:t>
      </w:r>
      <w:proofErr w:type="spellStart"/>
      <w:r w:rsidR="004149AA" w:rsidRPr="00504D76">
        <w:rPr>
          <w:lang w:val="fr-FR"/>
        </w:rPr>
        <w:t>Yudkivska</w:t>
      </w:r>
      <w:proofErr w:type="spellEnd"/>
      <w:r w:rsidR="004149AA" w:rsidRPr="00504D76">
        <w:rPr>
          <w:lang w:val="fr-FR"/>
        </w:rPr>
        <w:t>,</w:t>
      </w:r>
    </w:p>
    <w:p w:rsidR="004149AA" w:rsidRPr="00504D76" w:rsidRDefault="00504D76" w:rsidP="00504D76">
      <w:pPr>
        <w:pStyle w:val="ECHRDecisionBody"/>
        <w:rPr>
          <w:lang w:val="fr-FR"/>
        </w:rPr>
      </w:pPr>
      <w:r w:rsidRPr="00504D76">
        <w:rPr>
          <w:lang w:val="fr-FR"/>
        </w:rPr>
        <w:tab/>
      </w:r>
      <w:r w:rsidR="004149AA" w:rsidRPr="00504D76">
        <w:rPr>
          <w:lang w:val="fr-FR"/>
        </w:rPr>
        <w:t>Vincent A. De Gaetano,</w:t>
      </w:r>
    </w:p>
    <w:p w:rsidR="004149AA" w:rsidRPr="00504D76" w:rsidRDefault="00504D76" w:rsidP="00504D76">
      <w:pPr>
        <w:pStyle w:val="ECHRDecisionBody"/>
        <w:rPr>
          <w:lang w:val="fr-FR"/>
        </w:rPr>
      </w:pPr>
      <w:r w:rsidRPr="00504D76">
        <w:rPr>
          <w:lang w:val="fr-FR"/>
        </w:rPr>
        <w:tab/>
      </w:r>
      <w:r w:rsidR="004149AA" w:rsidRPr="00504D76">
        <w:rPr>
          <w:lang w:val="fr-FR"/>
        </w:rPr>
        <w:t>André Potocki,</w:t>
      </w:r>
    </w:p>
    <w:p w:rsidR="004149AA" w:rsidRPr="00504D76" w:rsidRDefault="00504D76" w:rsidP="00504D76">
      <w:pPr>
        <w:pStyle w:val="ECHRDecisionBody"/>
        <w:rPr>
          <w:lang w:val="fr-FR"/>
        </w:rPr>
      </w:pPr>
      <w:r w:rsidRPr="00504D76">
        <w:rPr>
          <w:lang w:val="fr-FR"/>
        </w:rPr>
        <w:tab/>
      </w:r>
      <w:r w:rsidR="004149AA" w:rsidRPr="00504D76">
        <w:rPr>
          <w:lang w:val="fr-FR"/>
        </w:rPr>
        <w:t xml:space="preserve">Helena </w:t>
      </w:r>
      <w:proofErr w:type="spellStart"/>
      <w:r w:rsidR="004149AA" w:rsidRPr="00504D76">
        <w:rPr>
          <w:lang w:val="fr-FR"/>
        </w:rPr>
        <w:t>Jäderblom</w:t>
      </w:r>
      <w:proofErr w:type="spellEnd"/>
      <w:r w:rsidR="004149AA" w:rsidRPr="00504D76">
        <w:rPr>
          <w:lang w:val="fr-FR"/>
        </w:rPr>
        <w:t>,</w:t>
      </w:r>
    </w:p>
    <w:p w:rsidR="004149AA" w:rsidRPr="00504D76" w:rsidRDefault="00504D76" w:rsidP="00504D76">
      <w:pPr>
        <w:pStyle w:val="ECHRDecisionBody"/>
        <w:rPr>
          <w:lang w:val="fr-FR"/>
        </w:rPr>
      </w:pPr>
      <w:r w:rsidRPr="00504D76">
        <w:rPr>
          <w:lang w:val="fr-FR"/>
        </w:rPr>
        <w:tab/>
      </w:r>
      <w:proofErr w:type="spellStart"/>
      <w:r w:rsidR="004149AA" w:rsidRPr="00504D76">
        <w:rPr>
          <w:lang w:val="fr-FR"/>
        </w:rPr>
        <w:t>Aleš</w:t>
      </w:r>
      <w:proofErr w:type="spellEnd"/>
      <w:r w:rsidR="004149AA" w:rsidRPr="00504D76">
        <w:rPr>
          <w:lang w:val="fr-FR"/>
        </w:rPr>
        <w:t xml:space="preserve"> </w:t>
      </w:r>
      <w:proofErr w:type="spellStart"/>
      <w:r w:rsidR="004149AA" w:rsidRPr="00504D76">
        <w:rPr>
          <w:lang w:val="fr-FR"/>
        </w:rPr>
        <w:t>Pejchal</w:t>
      </w:r>
      <w:proofErr w:type="spellEnd"/>
      <w:r w:rsidR="004149AA" w:rsidRPr="00504D76">
        <w:rPr>
          <w:lang w:val="fr-FR"/>
        </w:rPr>
        <w:t xml:space="preserve">, </w:t>
      </w:r>
      <w:r w:rsidR="004149AA" w:rsidRPr="00504D76">
        <w:rPr>
          <w:i/>
          <w:lang w:val="fr-FR"/>
        </w:rPr>
        <w:t>juges</w:t>
      </w:r>
      <w:r w:rsidR="004149AA" w:rsidRPr="00504D76">
        <w:rPr>
          <w:lang w:val="fr-FR"/>
        </w:rPr>
        <w:t>,</w:t>
      </w:r>
    </w:p>
    <w:p w:rsidR="004149AA" w:rsidRPr="00504D76" w:rsidRDefault="004149AA" w:rsidP="00504D76">
      <w:pPr>
        <w:pStyle w:val="ECHRDecisionBody"/>
        <w:rPr>
          <w:lang w:val="fr-FR"/>
        </w:rPr>
      </w:pPr>
      <w:proofErr w:type="gramStart"/>
      <w:r w:rsidRPr="00504D76">
        <w:rPr>
          <w:lang w:val="fr-FR"/>
        </w:rPr>
        <w:t>et</w:t>
      </w:r>
      <w:proofErr w:type="gramEnd"/>
      <w:r w:rsidRPr="00504D76">
        <w:rPr>
          <w:lang w:val="fr-FR"/>
        </w:rPr>
        <w:t xml:space="preserve"> de Stephen Phillips, </w:t>
      </w:r>
      <w:r w:rsidRPr="00504D76">
        <w:rPr>
          <w:i/>
          <w:lang w:val="fr-FR"/>
        </w:rPr>
        <w:t>greffier de section</w:t>
      </w:r>
      <w:r w:rsidRPr="00504D76">
        <w:rPr>
          <w:lang w:val="fr-FR"/>
        </w:rPr>
        <w:t>,</w:t>
      </w:r>
    </w:p>
    <w:p w:rsidR="004149AA" w:rsidRPr="00905EBC" w:rsidRDefault="004149AA" w:rsidP="00EE69CB">
      <w:pPr>
        <w:pStyle w:val="ECHRPara"/>
        <w:rPr>
          <w:lang w:val="fr-FR"/>
        </w:rPr>
      </w:pPr>
      <w:r w:rsidRPr="00905EBC">
        <w:rPr>
          <w:lang w:val="fr-FR"/>
        </w:rPr>
        <w:t xml:space="preserve">Vu la requête susmentionnée introduite le </w:t>
      </w:r>
      <w:r>
        <w:rPr>
          <w:lang w:val="fr-FR"/>
        </w:rPr>
        <w:t>18 mai 2010</w:t>
      </w:r>
      <w:r w:rsidRPr="00905EBC">
        <w:rPr>
          <w:lang w:val="fr-FR"/>
        </w:rPr>
        <w:t>,</w:t>
      </w:r>
    </w:p>
    <w:p w:rsidR="004149AA" w:rsidRPr="00905EBC" w:rsidRDefault="004149AA" w:rsidP="00EE69CB">
      <w:pPr>
        <w:pStyle w:val="ECHRPara"/>
        <w:rPr>
          <w:lang w:val="fr-FR"/>
        </w:rPr>
      </w:pPr>
      <w:r w:rsidRPr="00905EBC">
        <w:rPr>
          <w:lang w:val="fr-FR"/>
        </w:rPr>
        <w:t>Vu les observations soumises par le gouvernement défendeur et celles présentées en réponse par les requérants,</w:t>
      </w:r>
    </w:p>
    <w:p w:rsidR="004149AA" w:rsidRPr="00905EBC" w:rsidRDefault="004149AA" w:rsidP="00EE69CB">
      <w:pPr>
        <w:pStyle w:val="ECHRPara"/>
        <w:rPr>
          <w:lang w:val="fr-FR"/>
        </w:rPr>
      </w:pPr>
      <w:r w:rsidRPr="00905EBC">
        <w:rPr>
          <w:lang w:val="fr-FR"/>
        </w:rPr>
        <w:t>Après en avoir délibéré, rend la décision suivante :</w:t>
      </w:r>
    </w:p>
    <w:p w:rsidR="004149AA" w:rsidRPr="00905EBC" w:rsidRDefault="004149AA" w:rsidP="00EE69CB">
      <w:pPr>
        <w:pStyle w:val="ECHRTitle1"/>
        <w:rPr>
          <w:lang w:val="fr-FR"/>
        </w:rPr>
      </w:pPr>
      <w:r w:rsidRPr="00905EBC">
        <w:rPr>
          <w:lang w:val="fr-FR"/>
        </w:rPr>
        <w:t>EN FAIT</w:t>
      </w:r>
    </w:p>
    <w:p w:rsidR="004149AA" w:rsidRDefault="004149AA" w:rsidP="00EE69CB">
      <w:pPr>
        <w:pStyle w:val="ECHRPara"/>
        <w:rPr>
          <w:lang w:val="fr-FR"/>
        </w:rPr>
      </w:pPr>
      <w:r>
        <w:rPr>
          <w:lang w:val="fr-FR"/>
        </w:rPr>
        <w:t>1.  </w:t>
      </w:r>
      <w:r w:rsidRPr="00905EBC">
        <w:rPr>
          <w:lang w:val="fr-FR"/>
        </w:rPr>
        <w:t xml:space="preserve">Les requérants, </w:t>
      </w:r>
      <w:r>
        <w:rPr>
          <w:lang w:val="fr-FR"/>
        </w:rPr>
        <w:t>M.</w:t>
      </w:r>
      <w:r w:rsidRPr="00905EBC">
        <w:rPr>
          <w:lang w:val="fr-FR"/>
        </w:rPr>
        <w:t xml:space="preserve"> </w:t>
      </w:r>
      <w:r>
        <w:rPr>
          <w:lang w:val="fr-FR"/>
        </w:rPr>
        <w:t>Ahmed</w:t>
      </w:r>
      <w:r w:rsidRPr="00905EBC">
        <w:rPr>
          <w:lang w:val="fr-FR"/>
        </w:rPr>
        <w:t xml:space="preserve"> </w:t>
      </w:r>
      <w:proofErr w:type="spellStart"/>
      <w:r>
        <w:rPr>
          <w:lang w:val="fr-FR"/>
        </w:rPr>
        <w:t>Aboufadda</w:t>
      </w:r>
      <w:proofErr w:type="spellEnd"/>
      <w:r w:rsidRPr="00905EBC">
        <w:rPr>
          <w:lang w:val="fr-FR"/>
        </w:rPr>
        <w:t xml:space="preserve"> et M</w:t>
      </w:r>
      <w:r w:rsidRPr="00905EBC">
        <w:rPr>
          <w:vertAlign w:val="superscript"/>
          <w:lang w:val="fr-FR"/>
        </w:rPr>
        <w:t>me</w:t>
      </w:r>
      <w:r w:rsidRPr="00905EBC">
        <w:rPr>
          <w:lang w:val="fr-FR"/>
        </w:rPr>
        <w:t xml:space="preserve"> </w:t>
      </w:r>
      <w:r>
        <w:rPr>
          <w:lang w:val="fr-FR"/>
        </w:rPr>
        <w:t>Fatima</w:t>
      </w:r>
      <w:r w:rsidRPr="00905EBC">
        <w:rPr>
          <w:lang w:val="fr-FR"/>
        </w:rPr>
        <w:t xml:space="preserve"> </w:t>
      </w:r>
      <w:proofErr w:type="spellStart"/>
      <w:r>
        <w:rPr>
          <w:lang w:val="fr-FR"/>
        </w:rPr>
        <w:t>Aboufadda</w:t>
      </w:r>
      <w:proofErr w:type="spellEnd"/>
      <w:r w:rsidRPr="00905EBC">
        <w:rPr>
          <w:lang w:val="fr-FR"/>
        </w:rPr>
        <w:t xml:space="preserve">, sont des ressortissants </w:t>
      </w:r>
      <w:r>
        <w:rPr>
          <w:lang w:val="fr-FR"/>
        </w:rPr>
        <w:t>marocains</w:t>
      </w:r>
      <w:r w:rsidRPr="00905EBC">
        <w:rPr>
          <w:lang w:val="fr-FR"/>
        </w:rPr>
        <w:t xml:space="preserve"> nés respectivement en </w:t>
      </w:r>
      <w:r>
        <w:rPr>
          <w:lang w:val="fr-FR"/>
        </w:rPr>
        <w:t>1946</w:t>
      </w:r>
      <w:r w:rsidRPr="00905EBC">
        <w:rPr>
          <w:lang w:val="fr-FR"/>
        </w:rPr>
        <w:t xml:space="preserve"> et en </w:t>
      </w:r>
      <w:r>
        <w:rPr>
          <w:lang w:val="fr-FR"/>
        </w:rPr>
        <w:t>1960</w:t>
      </w:r>
      <w:r w:rsidRPr="00905EBC">
        <w:rPr>
          <w:lang w:val="fr-FR"/>
        </w:rPr>
        <w:t xml:space="preserve"> et résidant à </w:t>
      </w:r>
      <w:r>
        <w:rPr>
          <w:lang w:val="fr-FR"/>
        </w:rPr>
        <w:t>Mulhouse</w:t>
      </w:r>
      <w:r w:rsidRPr="00905EBC">
        <w:rPr>
          <w:lang w:val="fr-FR"/>
        </w:rPr>
        <w:t xml:space="preserve">. </w:t>
      </w:r>
      <w:r>
        <w:rPr>
          <w:lang w:val="fr-FR"/>
        </w:rPr>
        <w:t>Ils</w:t>
      </w:r>
      <w:r w:rsidRPr="00B276C1">
        <w:rPr>
          <w:lang w:val="fr-FR"/>
        </w:rPr>
        <w:t xml:space="preserve"> sont représentés devant la Cour par M</w:t>
      </w:r>
      <w:r w:rsidRPr="00B276C1">
        <w:rPr>
          <w:vertAlign w:val="superscript"/>
          <w:lang w:val="fr-FR"/>
        </w:rPr>
        <w:t>e</w:t>
      </w:r>
      <w:r w:rsidRPr="00B276C1">
        <w:rPr>
          <w:lang w:val="fr-FR"/>
        </w:rPr>
        <w:t xml:space="preserve"> Nicolas </w:t>
      </w:r>
      <w:proofErr w:type="spellStart"/>
      <w:r w:rsidRPr="00B276C1">
        <w:rPr>
          <w:lang w:val="fr-FR"/>
        </w:rPr>
        <w:t>Fady</w:t>
      </w:r>
      <w:proofErr w:type="spellEnd"/>
      <w:r w:rsidRPr="00B276C1">
        <w:rPr>
          <w:lang w:val="fr-FR"/>
        </w:rPr>
        <w:t>, avocat à Strasbourg.</w:t>
      </w:r>
    </w:p>
    <w:p w:rsidR="004149AA" w:rsidRDefault="004149AA" w:rsidP="00EE69CB">
      <w:pPr>
        <w:pStyle w:val="ECHRPara"/>
        <w:rPr>
          <w:lang w:val="fr-FR"/>
        </w:rPr>
      </w:pPr>
      <w:r>
        <w:rPr>
          <w:lang w:val="fr-FR"/>
        </w:rPr>
        <w:t>2.  </w:t>
      </w:r>
      <w:r w:rsidRPr="005F3068">
        <w:rPr>
          <w:lang w:val="fr-FR"/>
        </w:rPr>
        <w:t xml:space="preserve">Le gouvernement français (« le Gouvernement ») est représenté par son agent, M. François </w:t>
      </w:r>
      <w:proofErr w:type="spellStart"/>
      <w:r w:rsidRPr="005F3068">
        <w:rPr>
          <w:lang w:val="fr-FR"/>
        </w:rPr>
        <w:t>Alabrune</w:t>
      </w:r>
      <w:proofErr w:type="spellEnd"/>
      <w:r w:rsidRPr="005F3068">
        <w:rPr>
          <w:lang w:val="fr-FR"/>
        </w:rPr>
        <w:t>, directeur des affaires juridiques au ministère des Affaires étrangères.</w:t>
      </w:r>
    </w:p>
    <w:p w:rsidR="004149AA" w:rsidRPr="00905EBC" w:rsidRDefault="004149AA" w:rsidP="00EE69CB">
      <w:pPr>
        <w:pStyle w:val="ECHRHeading2"/>
        <w:rPr>
          <w:lang w:val="fr-FR"/>
        </w:rPr>
      </w:pPr>
      <w:r w:rsidRPr="00905EBC">
        <w:rPr>
          <w:lang w:val="fr-FR"/>
        </w:rPr>
        <w:t>A.  Les circonstances de l</w:t>
      </w:r>
      <w:r w:rsidR="00504D76">
        <w:rPr>
          <w:lang w:val="fr-FR"/>
        </w:rPr>
        <w:t>’</w:t>
      </w:r>
      <w:r w:rsidRPr="00905EBC">
        <w:rPr>
          <w:lang w:val="fr-FR"/>
        </w:rPr>
        <w:t>espèce</w:t>
      </w:r>
    </w:p>
    <w:p w:rsidR="004149AA" w:rsidRDefault="004149AA" w:rsidP="00EE69CB">
      <w:pPr>
        <w:pStyle w:val="ECHRPara"/>
        <w:rPr>
          <w:lang w:val="fr-FR"/>
        </w:rPr>
      </w:pPr>
      <w:r>
        <w:rPr>
          <w:lang w:val="fr-FR"/>
        </w:rPr>
        <w:t>3.  </w:t>
      </w:r>
      <w:r w:rsidRPr="00905EBC">
        <w:rPr>
          <w:lang w:val="fr-FR"/>
        </w:rPr>
        <w:t>Les faits de la cause, tels qu</w:t>
      </w:r>
      <w:r w:rsidR="00504D76">
        <w:rPr>
          <w:lang w:val="fr-FR"/>
        </w:rPr>
        <w:t>’</w:t>
      </w:r>
      <w:r w:rsidRPr="00905EBC">
        <w:rPr>
          <w:lang w:val="fr-FR"/>
        </w:rPr>
        <w:t>ils ont été exposés par les parties, peuvent se résumer comme suit.</w:t>
      </w:r>
    </w:p>
    <w:p w:rsidR="004149AA" w:rsidRPr="00B276C1" w:rsidRDefault="004149AA" w:rsidP="00EE69CB">
      <w:pPr>
        <w:pStyle w:val="ECHRPara"/>
        <w:rPr>
          <w:lang w:val="fr-FR"/>
        </w:rPr>
      </w:pPr>
      <w:r>
        <w:rPr>
          <w:lang w:val="fr-FR"/>
        </w:rPr>
        <w:t>4.  Le 1</w:t>
      </w:r>
      <w:r w:rsidRPr="009D4F9B">
        <w:rPr>
          <w:vertAlign w:val="superscript"/>
          <w:lang w:val="fr-FR"/>
        </w:rPr>
        <w:t>er</w:t>
      </w:r>
      <w:r w:rsidRPr="00B276C1">
        <w:rPr>
          <w:lang w:val="fr-FR"/>
        </w:rPr>
        <w:t xml:space="preserve"> mars 2005, les requérants acquirent à </w:t>
      </w:r>
      <w:proofErr w:type="spellStart"/>
      <w:r w:rsidRPr="00B276C1">
        <w:rPr>
          <w:lang w:val="fr-FR"/>
        </w:rPr>
        <w:t>Bitschwiller</w:t>
      </w:r>
      <w:proofErr w:type="spellEnd"/>
      <w:r w:rsidRPr="00B276C1">
        <w:rPr>
          <w:lang w:val="fr-FR"/>
        </w:rPr>
        <w:t>-les-Thann, au prix de 246</w:t>
      </w:r>
      <w:r>
        <w:rPr>
          <w:lang w:val="fr-FR"/>
        </w:rPr>
        <w:t> </w:t>
      </w:r>
      <w:r w:rsidRPr="00B276C1">
        <w:rPr>
          <w:lang w:val="fr-FR"/>
        </w:rPr>
        <w:t>120</w:t>
      </w:r>
      <w:r>
        <w:rPr>
          <w:lang w:val="fr-FR"/>
        </w:rPr>
        <w:t xml:space="preserve"> euros (« </w:t>
      </w:r>
      <w:r w:rsidRPr="00B276C1">
        <w:rPr>
          <w:lang w:val="fr-FR"/>
        </w:rPr>
        <w:t>EUR</w:t>
      </w:r>
      <w:r>
        <w:rPr>
          <w:lang w:val="fr-FR"/>
        </w:rPr>
        <w:t> »)</w:t>
      </w:r>
      <w:r w:rsidRPr="00B276C1">
        <w:rPr>
          <w:lang w:val="fr-FR"/>
        </w:rPr>
        <w:t>, une maison composée de deux appartements et entourée d</w:t>
      </w:r>
      <w:r w:rsidR="00504D76">
        <w:rPr>
          <w:lang w:val="fr-FR"/>
        </w:rPr>
        <w:t>’</w:t>
      </w:r>
      <w:r w:rsidRPr="00B276C1">
        <w:rPr>
          <w:lang w:val="fr-FR"/>
        </w:rPr>
        <w:t xml:space="preserve">un jardin. Ils financèrent cet achat par un apport de 96 120 EUR et un emprunt bancaire </w:t>
      </w:r>
      <w:r>
        <w:rPr>
          <w:lang w:val="fr-FR"/>
        </w:rPr>
        <w:t xml:space="preserve">sur vingt ans </w:t>
      </w:r>
      <w:r w:rsidRPr="00B276C1">
        <w:rPr>
          <w:lang w:val="fr-FR"/>
        </w:rPr>
        <w:t>de 150 000 EUR</w:t>
      </w:r>
      <w:r>
        <w:rPr>
          <w:lang w:val="fr-FR"/>
        </w:rPr>
        <w:t>, dont les mensualités s</w:t>
      </w:r>
      <w:r w:rsidR="00504D76">
        <w:rPr>
          <w:lang w:val="fr-FR"/>
        </w:rPr>
        <w:t>’</w:t>
      </w:r>
      <w:r>
        <w:rPr>
          <w:lang w:val="fr-FR"/>
        </w:rPr>
        <w:t>élevaient à 856,49 EUR et dont une partie – 19 400 EUR – fut remboursée par anticipation dès 2005</w:t>
      </w:r>
      <w:r w:rsidRPr="00B276C1">
        <w:rPr>
          <w:lang w:val="fr-FR"/>
        </w:rPr>
        <w:t>.</w:t>
      </w:r>
    </w:p>
    <w:p w:rsidR="004149AA" w:rsidRPr="00B276C1" w:rsidRDefault="004149AA" w:rsidP="00EE69CB">
      <w:pPr>
        <w:pStyle w:val="ECHRPara"/>
        <w:rPr>
          <w:lang w:val="fr-FR"/>
        </w:rPr>
      </w:pPr>
      <w:r>
        <w:rPr>
          <w:lang w:val="fr-FR"/>
        </w:rPr>
        <w:t>5.  </w:t>
      </w:r>
      <w:r w:rsidRPr="00B276C1">
        <w:rPr>
          <w:lang w:val="fr-FR"/>
        </w:rPr>
        <w:t>En octobre 2005, la gendarmerie initia une enquête préliminaire à la suite de la dénonciation d</w:t>
      </w:r>
      <w:r w:rsidR="00504D76">
        <w:rPr>
          <w:lang w:val="fr-FR"/>
        </w:rPr>
        <w:t>’</w:t>
      </w:r>
      <w:r w:rsidRPr="00B276C1">
        <w:rPr>
          <w:lang w:val="fr-FR"/>
        </w:rPr>
        <w:t>un trafic de cannabis. L</w:t>
      </w:r>
      <w:r w:rsidR="00504D76">
        <w:rPr>
          <w:lang w:val="fr-FR"/>
        </w:rPr>
        <w:t>’</w:t>
      </w:r>
      <w:r w:rsidRPr="00B276C1">
        <w:rPr>
          <w:lang w:val="fr-FR"/>
        </w:rPr>
        <w:t xml:space="preserve">information judiciaire qui fut ensuite ouverte mit à jour un important trafic orchestré par A., fils des requérants, qui vendait de grandes quantités de cannabis en provenance des Pays-Bas à des personnes qui se livraient ensuite à leur propre trafic. Des investigations financières furent conduites sur le patrimoine </w:t>
      </w:r>
      <w:proofErr w:type="gramStart"/>
      <w:r w:rsidRPr="00B276C1">
        <w:rPr>
          <w:lang w:val="fr-FR"/>
        </w:rPr>
        <w:t>de A</w:t>
      </w:r>
      <w:proofErr w:type="gramEnd"/>
      <w:r w:rsidRPr="00B276C1">
        <w:rPr>
          <w:lang w:val="fr-FR"/>
        </w:rPr>
        <w:t>. et de son entourage afin de déterminer si des infractions de non-justification de ressources et de blanchiment avaient été commises.</w:t>
      </w:r>
    </w:p>
    <w:p w:rsidR="004149AA" w:rsidRPr="00B276C1" w:rsidRDefault="004149AA" w:rsidP="00EE69CB">
      <w:pPr>
        <w:pStyle w:val="ECHRPara"/>
        <w:rPr>
          <w:lang w:val="fr-FR"/>
        </w:rPr>
      </w:pPr>
      <w:r>
        <w:rPr>
          <w:lang w:val="fr-FR"/>
        </w:rPr>
        <w:t>6.  </w:t>
      </w:r>
      <w:r w:rsidRPr="00B276C1">
        <w:rPr>
          <w:lang w:val="fr-FR"/>
        </w:rPr>
        <w:t>En juin 2008, plusieurs personnes furent renvoyées devant le tribunal correctionnel de Mulhouse dont A. et les requérants : le premier pour, notamment, détention, transport, acquisition, offre ou cession et importation non autorisés de stupéfiants ; les seconds pour, étant en relation habituelle avec une ou plusieurs personnes se livrant au trafic de stupéfiant, ne pas être en mesure de justifier de ressources correspondant à leur train de vie</w:t>
      </w:r>
      <w:r>
        <w:rPr>
          <w:lang w:val="fr-FR"/>
        </w:rPr>
        <w:t>, « courant 2004, courant 2005, courant 2006 et depuis temps non prescrit ».</w:t>
      </w:r>
    </w:p>
    <w:p w:rsidR="004149AA" w:rsidRDefault="004149AA" w:rsidP="00EE69CB">
      <w:pPr>
        <w:pStyle w:val="ECHRPara"/>
        <w:rPr>
          <w:lang w:val="fr-FR"/>
        </w:rPr>
      </w:pPr>
      <w:r>
        <w:rPr>
          <w:lang w:val="fr-FR"/>
        </w:rPr>
        <w:t>7.  </w:t>
      </w:r>
      <w:r w:rsidRPr="00B276C1">
        <w:rPr>
          <w:lang w:val="fr-FR"/>
        </w:rPr>
        <w:t>Ils furent reconnus coupables par un jugement du 11 juillet 2008. A. fut condamné à sept ans d</w:t>
      </w:r>
      <w:r w:rsidR="00504D76">
        <w:rPr>
          <w:lang w:val="fr-FR"/>
        </w:rPr>
        <w:t>’</w:t>
      </w:r>
      <w:r w:rsidRPr="00B276C1">
        <w:rPr>
          <w:lang w:val="fr-FR"/>
        </w:rPr>
        <w:t>emprisonnement notamment, et les requérants, à 3 ans, dont deux avec sursis. Le tribunal prononça en outre à l</w:t>
      </w:r>
      <w:r w:rsidR="00504D76">
        <w:rPr>
          <w:lang w:val="fr-FR"/>
        </w:rPr>
        <w:t>’</w:t>
      </w:r>
      <w:r w:rsidRPr="00B276C1">
        <w:rPr>
          <w:lang w:val="fr-FR"/>
        </w:rPr>
        <w:t>encontre de ces derniers l</w:t>
      </w:r>
      <w:r w:rsidR="00504D76">
        <w:rPr>
          <w:lang w:val="fr-FR"/>
        </w:rPr>
        <w:t>’</w:t>
      </w:r>
      <w:r w:rsidRPr="00B276C1">
        <w:rPr>
          <w:lang w:val="fr-FR"/>
        </w:rPr>
        <w:t>interdiction de quitter le territoire français durant cinq ans, et ordonna la saisie et la confiscation de 28 070 EUR déposé sur un compte au nom de la requérante ainsi que la confiscation de l</w:t>
      </w:r>
      <w:r w:rsidR="00504D76">
        <w:rPr>
          <w:lang w:val="fr-FR"/>
        </w:rPr>
        <w:t>’</w:t>
      </w:r>
      <w:r w:rsidRPr="00B276C1">
        <w:rPr>
          <w:lang w:val="fr-FR"/>
        </w:rPr>
        <w:t xml:space="preserve">immeuble de </w:t>
      </w:r>
      <w:proofErr w:type="spellStart"/>
      <w:r w:rsidRPr="00B276C1">
        <w:rPr>
          <w:lang w:val="fr-FR"/>
        </w:rPr>
        <w:t>Bitschwiller</w:t>
      </w:r>
      <w:proofErr w:type="spellEnd"/>
      <w:r w:rsidRPr="00B276C1">
        <w:rPr>
          <w:lang w:val="fr-FR"/>
        </w:rPr>
        <w:t>-les-Thann.</w:t>
      </w:r>
    </w:p>
    <w:p w:rsidR="004149AA" w:rsidRDefault="004149AA" w:rsidP="00EE69CB">
      <w:pPr>
        <w:pStyle w:val="ECHRPara"/>
        <w:rPr>
          <w:lang w:val="fr-FR"/>
        </w:rPr>
      </w:pPr>
      <w:r>
        <w:rPr>
          <w:lang w:val="fr-FR"/>
        </w:rPr>
        <w:t>8</w:t>
      </w:r>
      <w:r w:rsidRPr="006179EE">
        <w:rPr>
          <w:lang w:val="fr-FR"/>
        </w:rPr>
        <w:t>.  Sur ce dernier point, le jugement constate que les requérants avaient déclaré 15 132 EUR en 2004 et disposaient au maximum d</w:t>
      </w:r>
      <w:r w:rsidR="00504D76">
        <w:rPr>
          <w:lang w:val="fr-FR"/>
        </w:rPr>
        <w:t>’</w:t>
      </w:r>
      <w:r w:rsidRPr="006179EE">
        <w:rPr>
          <w:lang w:val="fr-FR"/>
        </w:rPr>
        <w:t>un revenu déclaré de 1 300 EUR par mois. Il relève ensuite qu</w:t>
      </w:r>
      <w:r w:rsidR="00504D76">
        <w:rPr>
          <w:lang w:val="fr-FR"/>
        </w:rPr>
        <w:t>’</w:t>
      </w:r>
      <w:r w:rsidRPr="006179EE">
        <w:rPr>
          <w:lang w:val="fr-FR"/>
        </w:rPr>
        <w:t>ils possédaient plusieurs comptes dans plusieurs banques en France et au Maroc et donne une description des sommes – importantes pour certaines – qui y avaient transitées ou y étaient déposées. Il relève également qu</w:t>
      </w:r>
      <w:r w:rsidR="00504D76">
        <w:rPr>
          <w:lang w:val="fr-FR"/>
        </w:rPr>
        <w:t>’</w:t>
      </w:r>
      <w:r w:rsidRPr="006179EE">
        <w:rPr>
          <w:lang w:val="fr-FR"/>
        </w:rPr>
        <w:t>ils étaient propriétaires de la maison susmentionnée (paragraphe 4 ci-dessus), achetée en 2005 pour la somme de 246 120 EUR, et sur laquelle des travaux avaient été réalisés pour un montant de 59 897,47 EUR. Il note par ailleurs que neuf véhicules étaient immatriculés au nom de l</w:t>
      </w:r>
      <w:r w:rsidR="00504D76">
        <w:rPr>
          <w:lang w:val="fr-FR"/>
        </w:rPr>
        <w:t>’</w:t>
      </w:r>
      <w:r w:rsidRPr="006179EE">
        <w:rPr>
          <w:lang w:val="fr-FR"/>
        </w:rPr>
        <w:t>un ou l</w:t>
      </w:r>
      <w:r w:rsidR="00504D76">
        <w:rPr>
          <w:lang w:val="fr-FR"/>
        </w:rPr>
        <w:t>’</w:t>
      </w:r>
      <w:r w:rsidRPr="006179EE">
        <w:rPr>
          <w:lang w:val="fr-FR"/>
        </w:rPr>
        <w:t>autre d</w:t>
      </w:r>
      <w:r w:rsidR="00504D76">
        <w:rPr>
          <w:lang w:val="fr-FR"/>
        </w:rPr>
        <w:t>’</w:t>
      </w:r>
      <w:r w:rsidRPr="006179EE">
        <w:rPr>
          <w:lang w:val="fr-FR"/>
        </w:rPr>
        <w:t>entre eux et fait le compte détaillé de leurs diverses dépenses. Il constate en outre qu</w:t>
      </w:r>
      <w:r w:rsidR="00504D76">
        <w:rPr>
          <w:lang w:val="fr-FR"/>
        </w:rPr>
        <w:t>’</w:t>
      </w:r>
      <w:r w:rsidRPr="006179EE">
        <w:rPr>
          <w:lang w:val="fr-FR"/>
        </w:rPr>
        <w:t xml:space="preserve">A. </w:t>
      </w:r>
      <w:proofErr w:type="gramStart"/>
      <w:r w:rsidRPr="006179EE">
        <w:rPr>
          <w:lang w:val="fr-FR"/>
        </w:rPr>
        <w:t>gérait</w:t>
      </w:r>
      <w:proofErr w:type="gramEnd"/>
      <w:r w:rsidRPr="006179EE">
        <w:rPr>
          <w:lang w:val="fr-FR"/>
        </w:rPr>
        <w:t xml:space="preserve"> les travaux effectués sur la maison et participait à leur financement, et payait les échéances du prêt immobilier, et qu</w:t>
      </w:r>
      <w:r w:rsidR="00504D76">
        <w:rPr>
          <w:lang w:val="fr-FR"/>
        </w:rPr>
        <w:t>’</w:t>
      </w:r>
      <w:r w:rsidRPr="006179EE">
        <w:rPr>
          <w:lang w:val="fr-FR"/>
        </w:rPr>
        <w:t>une écoute pratiquée le 4 avril 2006 sur la ligne téléphonique des requérants démontrait qu</w:t>
      </w:r>
      <w:r w:rsidR="00504D76">
        <w:rPr>
          <w:lang w:val="fr-FR"/>
        </w:rPr>
        <w:t>’</w:t>
      </w:r>
      <w:r w:rsidRPr="006179EE">
        <w:rPr>
          <w:lang w:val="fr-FR"/>
        </w:rPr>
        <w:t>ils étaient au courant des activités illicites de leur fils. Le jugement souligne ensuite ce qui suit :</w:t>
      </w:r>
    </w:p>
    <w:p w:rsidR="004149AA" w:rsidRDefault="004149AA" w:rsidP="00EE69CB">
      <w:pPr>
        <w:pStyle w:val="ECHRParaQuote"/>
        <w:rPr>
          <w:lang w:val="fr-FR"/>
        </w:rPr>
      </w:pPr>
      <w:r>
        <w:rPr>
          <w:lang w:val="fr-FR"/>
        </w:rPr>
        <w:t>« (...) Il est clairement établi que le train de vie du couple (...) (maison, travaux, nombreux comptes bancaires, nombreux versements en liquide, voyage, achat de biens de consommation ...) est très largement supérieur à leurs ressources (environ 1 300 EUR mensuels).</w:t>
      </w:r>
    </w:p>
    <w:p w:rsidR="004149AA" w:rsidRDefault="004149AA" w:rsidP="00EE69CB">
      <w:pPr>
        <w:pStyle w:val="ECHRParaQuote"/>
        <w:rPr>
          <w:lang w:val="fr-FR"/>
        </w:rPr>
      </w:pPr>
      <w:r>
        <w:rPr>
          <w:lang w:val="fr-FR"/>
        </w:rPr>
        <w:t>Les relations habituelles avec [A.] alors qu</w:t>
      </w:r>
      <w:r w:rsidR="00504D76">
        <w:rPr>
          <w:lang w:val="fr-FR"/>
        </w:rPr>
        <w:t>’</w:t>
      </w:r>
      <w:r>
        <w:rPr>
          <w:lang w:val="fr-FR"/>
        </w:rPr>
        <w:t>il se livrait au trafic de stupéfiants sont caractérisées s</w:t>
      </w:r>
      <w:r w:rsidR="00504D76">
        <w:rPr>
          <w:lang w:val="fr-FR"/>
        </w:rPr>
        <w:t>’</w:t>
      </w:r>
      <w:r>
        <w:rPr>
          <w:lang w:val="fr-FR"/>
        </w:rPr>
        <w:t>agissant de leur fils vivant au domicile familial.</w:t>
      </w:r>
    </w:p>
    <w:p w:rsidR="004149AA" w:rsidRDefault="004149AA" w:rsidP="00EE69CB">
      <w:pPr>
        <w:pStyle w:val="ECHRParaQuote"/>
        <w:rPr>
          <w:lang w:val="fr-FR"/>
        </w:rPr>
      </w:pPr>
      <w:r w:rsidRPr="007D4DEC">
        <w:rPr>
          <w:lang w:val="fr-FR"/>
        </w:rPr>
        <w:t>En matière de délit de non-justification de ressources, il appartenait aux intéressés de justifier de l</w:t>
      </w:r>
      <w:r w:rsidR="00504D76">
        <w:rPr>
          <w:lang w:val="fr-FR"/>
        </w:rPr>
        <w:t>’</w:t>
      </w:r>
      <w:r w:rsidRPr="007D4DEC">
        <w:rPr>
          <w:lang w:val="fr-FR"/>
        </w:rPr>
        <w:t>origine de leurs ressources, ce qui n</w:t>
      </w:r>
      <w:r w:rsidR="00504D76">
        <w:rPr>
          <w:lang w:val="fr-FR"/>
        </w:rPr>
        <w:t>’</w:t>
      </w:r>
      <w:r w:rsidRPr="007D4DEC">
        <w:rPr>
          <w:lang w:val="fr-FR"/>
        </w:rPr>
        <w:t>a pas été le cas en l</w:t>
      </w:r>
      <w:r w:rsidR="00504D76">
        <w:rPr>
          <w:lang w:val="fr-FR"/>
        </w:rPr>
        <w:t>’</w:t>
      </w:r>
      <w:r w:rsidRPr="007D4DEC">
        <w:rPr>
          <w:lang w:val="fr-FR"/>
        </w:rPr>
        <w:t>espèce.</w:t>
      </w:r>
    </w:p>
    <w:p w:rsidR="004149AA" w:rsidRDefault="004149AA" w:rsidP="00EE69CB">
      <w:pPr>
        <w:pStyle w:val="ECHRParaQuote"/>
        <w:rPr>
          <w:lang w:val="fr-FR"/>
        </w:rPr>
      </w:pPr>
      <w:r>
        <w:rPr>
          <w:lang w:val="fr-FR"/>
        </w:rPr>
        <w:t>Les [requérants] tentaient de justifier de ressources correspondant à leur train de vie notamment par des économies, la vente d</w:t>
      </w:r>
      <w:r w:rsidR="00504D76">
        <w:rPr>
          <w:lang w:val="fr-FR"/>
        </w:rPr>
        <w:t>’</w:t>
      </w:r>
      <w:r>
        <w:rPr>
          <w:lang w:val="fr-FR"/>
        </w:rPr>
        <w:t>un terrain au Maroc, un héritage, des primes de licenciement, de l</w:t>
      </w:r>
      <w:r w:rsidR="00504D76">
        <w:rPr>
          <w:lang w:val="fr-FR"/>
        </w:rPr>
        <w:t>’</w:t>
      </w:r>
      <w:r>
        <w:rPr>
          <w:lang w:val="fr-FR"/>
        </w:rPr>
        <w:t>argent versé par leur fille (...). Si certaines sommes d</w:t>
      </w:r>
      <w:r w:rsidR="00504D76">
        <w:rPr>
          <w:lang w:val="fr-FR"/>
        </w:rPr>
        <w:t>’</w:t>
      </w:r>
      <w:r>
        <w:rPr>
          <w:lang w:val="fr-FR"/>
        </w:rPr>
        <w:t>argent perçues par le couple étaient justifiées, d</w:t>
      </w:r>
      <w:r w:rsidR="00504D76">
        <w:rPr>
          <w:lang w:val="fr-FR"/>
        </w:rPr>
        <w:t>’</w:t>
      </w:r>
      <w:r>
        <w:rPr>
          <w:lang w:val="fr-FR"/>
        </w:rPr>
        <w:t>autres ne l</w:t>
      </w:r>
      <w:r w:rsidR="00504D76">
        <w:rPr>
          <w:lang w:val="fr-FR"/>
        </w:rPr>
        <w:t>’</w:t>
      </w:r>
      <w:r>
        <w:rPr>
          <w:lang w:val="fr-FR"/>
        </w:rPr>
        <w:t>étaient pas. En effet, si le terrain a bien été vendu au Maroc et si [le requérant] a vendu une partie de son héritage à sa sœur, [les requérants] ne rapportent pas la preuve du transfert des fonds en France. Ils ne justifiaient pas la provenance des nombreux versements en liquide réalisés sur leurs comptes.</w:t>
      </w:r>
    </w:p>
    <w:p w:rsidR="004149AA" w:rsidRDefault="004149AA" w:rsidP="00EE69CB">
      <w:pPr>
        <w:pStyle w:val="ECHRParaQuote"/>
        <w:rPr>
          <w:lang w:val="fr-FR"/>
        </w:rPr>
      </w:pPr>
      <w:r>
        <w:rPr>
          <w:lang w:val="fr-FR"/>
        </w:rPr>
        <w:t>Il ressort de l</w:t>
      </w:r>
      <w:r w:rsidR="00504D76">
        <w:rPr>
          <w:lang w:val="fr-FR"/>
        </w:rPr>
        <w:t>’</w:t>
      </w:r>
      <w:r>
        <w:rPr>
          <w:lang w:val="fr-FR"/>
        </w:rPr>
        <w:t>exploitation de leurs relevés de carrières et des diverses allocations perçues qu</w:t>
      </w:r>
      <w:r w:rsidR="00504D76">
        <w:rPr>
          <w:lang w:val="fr-FR"/>
        </w:rPr>
        <w:t>’</w:t>
      </w:r>
      <w:r>
        <w:rPr>
          <w:lang w:val="fr-FR"/>
        </w:rPr>
        <w:t>ils n</w:t>
      </w:r>
      <w:r w:rsidR="00504D76">
        <w:rPr>
          <w:lang w:val="fr-FR"/>
        </w:rPr>
        <w:t>’</w:t>
      </w:r>
      <w:r>
        <w:rPr>
          <w:lang w:val="fr-FR"/>
        </w:rPr>
        <w:t>ont pas pu avoir effectué des économies aussi importantes qu</w:t>
      </w:r>
      <w:r w:rsidR="00504D76">
        <w:rPr>
          <w:lang w:val="fr-FR"/>
        </w:rPr>
        <w:t>’</w:t>
      </w:r>
      <w:r>
        <w:rPr>
          <w:lang w:val="fr-FR"/>
        </w:rPr>
        <w:t xml:space="preserve">ils le prétendent. Au contraire, il ressort des diverses investigations diligentées </w:t>
      </w:r>
      <w:proofErr w:type="gramStart"/>
      <w:r>
        <w:rPr>
          <w:lang w:val="fr-FR"/>
        </w:rPr>
        <w:t>qu</w:t>
      </w:r>
      <w:r w:rsidR="00504D76">
        <w:rPr>
          <w:lang w:val="fr-FR"/>
        </w:rPr>
        <w:t>’</w:t>
      </w:r>
      <w:r>
        <w:rPr>
          <w:lang w:val="fr-FR"/>
        </w:rPr>
        <w:t>[</w:t>
      </w:r>
      <w:proofErr w:type="gramEnd"/>
      <w:r>
        <w:rPr>
          <w:lang w:val="fr-FR"/>
        </w:rPr>
        <w:t>A.] améliorait considérablement leur train de vie grâce à l</w:t>
      </w:r>
      <w:r w:rsidR="00504D76">
        <w:rPr>
          <w:lang w:val="fr-FR"/>
        </w:rPr>
        <w:t>’</w:t>
      </w:r>
      <w:r>
        <w:rPr>
          <w:lang w:val="fr-FR"/>
        </w:rPr>
        <w:t>argent provenant de son trafic.</w:t>
      </w:r>
    </w:p>
    <w:p w:rsidR="004149AA" w:rsidRDefault="004149AA" w:rsidP="00EE69CB">
      <w:pPr>
        <w:pStyle w:val="ECHRParaQuote"/>
        <w:rPr>
          <w:lang w:val="fr-FR"/>
        </w:rPr>
      </w:pPr>
      <w:r>
        <w:rPr>
          <w:lang w:val="fr-FR"/>
        </w:rPr>
        <w:t>Le couple (...) prétend ignorer l</w:t>
      </w:r>
      <w:r w:rsidR="00504D76">
        <w:rPr>
          <w:lang w:val="fr-FR"/>
        </w:rPr>
        <w:t>’</w:t>
      </w:r>
      <w:r>
        <w:rPr>
          <w:lang w:val="fr-FR"/>
        </w:rPr>
        <w:t>existence du trafic de stupéfiant orchestré par leur fils. Leurs déclarations sont peu crédibles eu égard à la nature de leurs relations, [au] contenu de la conversation enregistrée le 4 avril 2006, [au] train de vie et [à] la réputation de trafiquant de ce dernier. En outre, la personne qui ne peut justifier des ressources correspondant à son train de vie est présumée connaître l</w:t>
      </w:r>
      <w:r w:rsidR="00504D76">
        <w:rPr>
          <w:lang w:val="fr-FR"/>
        </w:rPr>
        <w:t>’</w:t>
      </w:r>
      <w:r>
        <w:rPr>
          <w:lang w:val="fr-FR"/>
        </w:rPr>
        <w:t>origine de ses biens et ressources.</w:t>
      </w:r>
    </w:p>
    <w:p w:rsidR="004149AA" w:rsidRDefault="004149AA" w:rsidP="00EE69CB">
      <w:pPr>
        <w:pStyle w:val="ECHRParaQuote"/>
        <w:rPr>
          <w:lang w:val="fr-FR"/>
        </w:rPr>
      </w:pPr>
      <w:r>
        <w:rPr>
          <w:lang w:val="fr-FR"/>
        </w:rPr>
        <w:t>En conséquence, l</w:t>
      </w:r>
      <w:r w:rsidR="00504D76">
        <w:rPr>
          <w:lang w:val="fr-FR"/>
        </w:rPr>
        <w:t>’</w:t>
      </w:r>
      <w:r>
        <w:rPr>
          <w:lang w:val="fr-FR"/>
        </w:rPr>
        <w:t>infraction de non-justification de ressources correspondant à son train de vie par une personne en relation habituelle avec une personne se livrant au trafic de stupéfiants est parfaitement caractérisée et [les requérants] en seront donc déclarés coupables.</w:t>
      </w:r>
    </w:p>
    <w:p w:rsidR="004149AA" w:rsidRDefault="004149AA" w:rsidP="00EE69CB">
      <w:pPr>
        <w:pStyle w:val="ECHRParaQuote"/>
        <w:rPr>
          <w:lang w:val="fr-FR"/>
        </w:rPr>
      </w:pPr>
      <w:r>
        <w:rPr>
          <w:lang w:val="fr-FR"/>
        </w:rPr>
        <w:t>Concernant la propriété des époux (...), une hypothèque judiciaire était inscrite au Livre Foncier afin de garantir le paiement des amendes et/ou l</w:t>
      </w:r>
      <w:r w:rsidR="00504D76">
        <w:rPr>
          <w:lang w:val="fr-FR"/>
        </w:rPr>
        <w:t>’</w:t>
      </w:r>
      <w:r>
        <w:rPr>
          <w:lang w:val="fr-FR"/>
        </w:rPr>
        <w:t>exécution de la confiscation des biens. Il y a lieu, conformément aux dispositions de l</w:t>
      </w:r>
      <w:r w:rsidR="00504D76">
        <w:rPr>
          <w:lang w:val="fr-FR"/>
        </w:rPr>
        <w:t>’</w:t>
      </w:r>
      <w:r>
        <w:rPr>
          <w:lang w:val="fr-FR"/>
        </w:rPr>
        <w:t>article 222-49 du code pénal d</w:t>
      </w:r>
      <w:r w:rsidR="00504D76">
        <w:rPr>
          <w:lang w:val="fr-FR"/>
        </w:rPr>
        <w:t>’</w:t>
      </w:r>
      <w:r>
        <w:rPr>
          <w:lang w:val="fr-FR"/>
        </w:rPr>
        <w:t>ordonner la confiscation de l</w:t>
      </w:r>
      <w:r w:rsidR="00504D76">
        <w:rPr>
          <w:lang w:val="fr-FR"/>
        </w:rPr>
        <w:t>’</w:t>
      </w:r>
      <w:r>
        <w:rPr>
          <w:lang w:val="fr-FR"/>
        </w:rPr>
        <w:t>ensemble immobilier. (...) ».</w:t>
      </w:r>
    </w:p>
    <w:p w:rsidR="004149AA" w:rsidRPr="00B276C1" w:rsidRDefault="004149AA" w:rsidP="00EE69CB">
      <w:pPr>
        <w:pStyle w:val="ECHRPara"/>
        <w:rPr>
          <w:lang w:val="fr-FR"/>
        </w:rPr>
      </w:pPr>
      <w:r>
        <w:rPr>
          <w:lang w:val="fr-FR"/>
        </w:rPr>
        <w:t>9.  </w:t>
      </w:r>
      <w:r w:rsidRPr="00B276C1">
        <w:rPr>
          <w:lang w:val="fr-FR"/>
        </w:rPr>
        <w:t>Saisie par les requérants, la cour d</w:t>
      </w:r>
      <w:r w:rsidR="00504D76">
        <w:rPr>
          <w:lang w:val="fr-FR"/>
        </w:rPr>
        <w:t>’</w:t>
      </w:r>
      <w:r w:rsidRPr="00B276C1">
        <w:rPr>
          <w:lang w:val="fr-FR"/>
        </w:rPr>
        <w:t>appel de Colmar confirma ce jugement par un arrêt du 23 janvier 2009. Elle retint notamment ce qui suit :</w:t>
      </w:r>
    </w:p>
    <w:p w:rsidR="004149AA" w:rsidRPr="00B276C1" w:rsidRDefault="004149AA" w:rsidP="00EE69CB">
      <w:pPr>
        <w:pStyle w:val="OpiQuot"/>
        <w:rPr>
          <w:lang w:val="fr-FR"/>
        </w:rPr>
      </w:pPr>
      <w:r w:rsidRPr="00B276C1">
        <w:rPr>
          <w:lang w:val="fr-FR"/>
        </w:rPr>
        <w:t>« (</w:t>
      </w:r>
      <w:r>
        <w:rPr>
          <w:lang w:val="fr-FR"/>
        </w:rPr>
        <w:t>...</w:t>
      </w:r>
      <w:r w:rsidRPr="00B276C1">
        <w:rPr>
          <w:lang w:val="fr-FR"/>
        </w:rPr>
        <w:t>) Attendu qu</w:t>
      </w:r>
      <w:r w:rsidR="00504D76">
        <w:rPr>
          <w:lang w:val="fr-FR"/>
        </w:rPr>
        <w:t>’</w:t>
      </w:r>
      <w:r w:rsidRPr="00B276C1">
        <w:rPr>
          <w:lang w:val="fr-FR"/>
        </w:rPr>
        <w:t>il est constant que [A.] s</w:t>
      </w:r>
      <w:r w:rsidR="00504D76">
        <w:rPr>
          <w:lang w:val="fr-FR"/>
        </w:rPr>
        <w:t>’</w:t>
      </w:r>
      <w:r w:rsidRPr="00B276C1">
        <w:rPr>
          <w:lang w:val="fr-FR"/>
        </w:rPr>
        <w:t>est livré sur une longue période à un trafic de stupéfiants à grande échelle, dont il a tiré des bénéfices, substantiels, ne disposant que d</w:t>
      </w:r>
      <w:r w:rsidR="00504D76">
        <w:rPr>
          <w:lang w:val="fr-FR"/>
        </w:rPr>
        <w:t>’</w:t>
      </w:r>
      <w:r w:rsidRPr="00B276C1">
        <w:rPr>
          <w:lang w:val="fr-FR"/>
        </w:rPr>
        <w:t>un contrat de travail de maçon comme source officielle de revenus, alors qu</w:t>
      </w:r>
      <w:r w:rsidR="00504D76">
        <w:rPr>
          <w:lang w:val="fr-FR"/>
        </w:rPr>
        <w:t>’</w:t>
      </w:r>
      <w:r w:rsidRPr="00B276C1">
        <w:rPr>
          <w:lang w:val="fr-FR"/>
        </w:rPr>
        <w:t>il versait des montants à son prétendu employeur pour se créer de toutes pièces un semblant de situation régulière ; qu</w:t>
      </w:r>
      <w:r w:rsidR="00504D76">
        <w:rPr>
          <w:lang w:val="fr-FR"/>
        </w:rPr>
        <w:t>’</w:t>
      </w:r>
      <w:r w:rsidRPr="00B276C1">
        <w:rPr>
          <w:lang w:val="fr-FR"/>
        </w:rPr>
        <w:t>il résulte à suffisance des</w:t>
      </w:r>
      <w:r>
        <w:rPr>
          <w:lang w:val="fr-FR"/>
        </w:rPr>
        <w:t xml:space="preserve"> </w:t>
      </w:r>
      <w:r w:rsidRPr="00B276C1">
        <w:rPr>
          <w:lang w:val="fr-FR"/>
        </w:rPr>
        <w:t>éléments recueillis au cours de la procédure que [A.] a fait largement profiter les membres de sa famille des bénéfices tirés de son trafic de stupéfiants, menant lui-même un train de vie sans proportion avec des prétendus revenus du travail ; qu</w:t>
      </w:r>
      <w:r w:rsidR="00504D76">
        <w:rPr>
          <w:lang w:val="fr-FR"/>
        </w:rPr>
        <w:t>’</w:t>
      </w:r>
      <w:r w:rsidRPr="00B276C1">
        <w:rPr>
          <w:lang w:val="fr-FR"/>
        </w:rPr>
        <w:t>ainsi ses parents (</w:t>
      </w:r>
      <w:r>
        <w:rPr>
          <w:lang w:val="fr-FR"/>
        </w:rPr>
        <w:t>...</w:t>
      </w:r>
      <w:r w:rsidRPr="00B276C1">
        <w:rPr>
          <w:lang w:val="fr-FR"/>
        </w:rPr>
        <w:t>) ont donné au cours de la procédure des explications mensongères, et à géométrie extrêmement variable quant aux subsides largement distribués par leur fils [A.], sur l</w:t>
      </w:r>
      <w:r w:rsidR="00504D76">
        <w:rPr>
          <w:lang w:val="fr-FR"/>
        </w:rPr>
        <w:t>’</w:t>
      </w:r>
      <w:r w:rsidRPr="00B276C1">
        <w:rPr>
          <w:lang w:val="fr-FR"/>
        </w:rPr>
        <w:t>usage qu</w:t>
      </w:r>
      <w:r w:rsidR="00504D76">
        <w:rPr>
          <w:lang w:val="fr-FR"/>
        </w:rPr>
        <w:t>’</w:t>
      </w:r>
      <w:r w:rsidRPr="00B276C1">
        <w:rPr>
          <w:lang w:val="fr-FR"/>
        </w:rPr>
        <w:t>ils en ont fait et sur l</w:t>
      </w:r>
      <w:r w:rsidR="00504D76">
        <w:rPr>
          <w:lang w:val="fr-FR"/>
        </w:rPr>
        <w:t>’</w:t>
      </w:r>
      <w:r w:rsidRPr="00B276C1">
        <w:rPr>
          <w:lang w:val="fr-FR"/>
        </w:rPr>
        <w:t>acquisition et les travaux d</w:t>
      </w:r>
      <w:r w:rsidR="00504D76">
        <w:rPr>
          <w:lang w:val="fr-FR"/>
        </w:rPr>
        <w:t>’</w:t>
      </w:r>
      <w:r w:rsidRPr="00B276C1">
        <w:rPr>
          <w:lang w:val="fr-FR"/>
        </w:rPr>
        <w:t>ampleur réalisés sur l</w:t>
      </w:r>
      <w:r w:rsidR="00504D76">
        <w:rPr>
          <w:lang w:val="fr-FR"/>
        </w:rPr>
        <w:t>’</w:t>
      </w:r>
      <w:r w:rsidRPr="00B276C1">
        <w:rPr>
          <w:lang w:val="fr-FR"/>
        </w:rPr>
        <w:t xml:space="preserve">immeuble de </w:t>
      </w:r>
      <w:proofErr w:type="spellStart"/>
      <w:r w:rsidRPr="00B276C1">
        <w:rPr>
          <w:lang w:val="fr-FR"/>
        </w:rPr>
        <w:t>Bitschwiller</w:t>
      </w:r>
      <w:proofErr w:type="spellEnd"/>
      <w:r w:rsidRPr="00B276C1">
        <w:rPr>
          <w:lang w:val="fr-FR"/>
        </w:rPr>
        <w:t>-les-Thann ; qu</w:t>
      </w:r>
      <w:r w:rsidR="00504D76">
        <w:rPr>
          <w:lang w:val="fr-FR"/>
        </w:rPr>
        <w:t>’</w:t>
      </w:r>
      <w:r w:rsidRPr="00B276C1">
        <w:rPr>
          <w:lang w:val="fr-FR"/>
        </w:rPr>
        <w:t>après les mensonges répétés et évolutifs, les deux prévenus ont acquiescé à la déclaration de culpabilité et aux condamnations contenues dans le jugement déféré, à l</w:t>
      </w:r>
      <w:r w:rsidR="00504D76">
        <w:rPr>
          <w:lang w:val="fr-FR"/>
        </w:rPr>
        <w:t>’</w:t>
      </w:r>
      <w:r w:rsidRPr="00B276C1">
        <w:rPr>
          <w:lang w:val="fr-FR"/>
        </w:rPr>
        <w:t>exception de celle portant confiscation dudit immeuble ;</w:t>
      </w:r>
    </w:p>
    <w:p w:rsidR="004149AA" w:rsidRDefault="004149AA" w:rsidP="00EE69CB">
      <w:pPr>
        <w:pStyle w:val="OpiQuot"/>
        <w:rPr>
          <w:lang w:val="fr-FR"/>
        </w:rPr>
      </w:pPr>
      <w:r w:rsidRPr="00B276C1">
        <w:rPr>
          <w:lang w:val="fr-FR"/>
        </w:rPr>
        <w:t>Attendu qu</w:t>
      </w:r>
      <w:r w:rsidR="00504D76">
        <w:rPr>
          <w:lang w:val="fr-FR"/>
        </w:rPr>
        <w:t>’</w:t>
      </w:r>
      <w:r w:rsidRPr="00B276C1">
        <w:rPr>
          <w:lang w:val="fr-FR"/>
        </w:rPr>
        <w:t>il résulte de l</w:t>
      </w:r>
      <w:r w:rsidR="00504D76">
        <w:rPr>
          <w:lang w:val="fr-FR"/>
        </w:rPr>
        <w:t>’</w:t>
      </w:r>
      <w:r w:rsidRPr="00B276C1">
        <w:rPr>
          <w:lang w:val="fr-FR"/>
        </w:rPr>
        <w:t>ensemble des investigations réalisées dans la présente procédure que les deux prévenus étaient propriétaires de trois véhicules (</w:t>
      </w:r>
      <w:r>
        <w:rPr>
          <w:lang w:val="fr-FR"/>
        </w:rPr>
        <w:t>...</w:t>
      </w:r>
      <w:r w:rsidRPr="00B276C1">
        <w:rPr>
          <w:lang w:val="fr-FR"/>
        </w:rPr>
        <w:t>) ; que des montants importants en espèces ont été versés et ont transité sur leurs nombreux comptes bancaires, qui présentent tous des soldes positifs considérables ; que des chèques (</w:t>
      </w:r>
      <w:r>
        <w:rPr>
          <w:lang w:val="fr-FR"/>
        </w:rPr>
        <w:t>...</w:t>
      </w:r>
      <w:r w:rsidRPr="00B276C1">
        <w:rPr>
          <w:lang w:val="fr-FR"/>
        </w:rPr>
        <w:t>) ont été également encaissés par eux pour 54 232 ,80 EUR ; qu</w:t>
      </w:r>
      <w:r w:rsidR="00504D76">
        <w:rPr>
          <w:lang w:val="fr-FR"/>
        </w:rPr>
        <w:t>’</w:t>
      </w:r>
      <w:r w:rsidRPr="00B276C1">
        <w:rPr>
          <w:lang w:val="fr-FR"/>
        </w:rPr>
        <w:t>un coffre loué (</w:t>
      </w:r>
      <w:r>
        <w:rPr>
          <w:lang w:val="fr-FR"/>
        </w:rPr>
        <w:t>...</w:t>
      </w:r>
      <w:r w:rsidRPr="00B276C1">
        <w:rPr>
          <w:lang w:val="fr-FR"/>
        </w:rPr>
        <w:t>) contenait 28 070 EUR, des espèces marocaines et des bijoux ;</w:t>
      </w:r>
    </w:p>
    <w:p w:rsidR="004149AA" w:rsidRDefault="004149AA" w:rsidP="00EE69CB">
      <w:pPr>
        <w:pStyle w:val="OpiQuot"/>
        <w:rPr>
          <w:lang w:val="fr-FR"/>
        </w:rPr>
      </w:pPr>
      <w:r w:rsidRPr="00B276C1">
        <w:rPr>
          <w:lang w:val="fr-FR"/>
        </w:rPr>
        <w:t>Attendu d</w:t>
      </w:r>
      <w:r w:rsidR="00504D76">
        <w:rPr>
          <w:lang w:val="fr-FR"/>
        </w:rPr>
        <w:t>’</w:t>
      </w:r>
      <w:r w:rsidRPr="00B276C1">
        <w:rPr>
          <w:lang w:val="fr-FR"/>
        </w:rPr>
        <w:t>autre part, outre le prix d</w:t>
      </w:r>
      <w:r w:rsidR="00504D76">
        <w:rPr>
          <w:lang w:val="fr-FR"/>
        </w:rPr>
        <w:t>’</w:t>
      </w:r>
      <w:r w:rsidRPr="00B276C1">
        <w:rPr>
          <w:lang w:val="fr-FR"/>
        </w:rPr>
        <w:t>achat lui-même de l</w:t>
      </w:r>
      <w:r w:rsidR="00504D76">
        <w:rPr>
          <w:lang w:val="fr-FR"/>
        </w:rPr>
        <w:t>’</w:t>
      </w:r>
      <w:r w:rsidRPr="00B276C1">
        <w:rPr>
          <w:lang w:val="fr-FR"/>
        </w:rPr>
        <w:t xml:space="preserve">immeuble à </w:t>
      </w:r>
      <w:proofErr w:type="spellStart"/>
      <w:r w:rsidRPr="00B276C1">
        <w:rPr>
          <w:lang w:val="fr-FR"/>
        </w:rPr>
        <w:t>Bitschwiller</w:t>
      </w:r>
      <w:proofErr w:type="spellEnd"/>
      <w:r w:rsidRPr="00B276C1">
        <w:rPr>
          <w:lang w:val="fr-FR"/>
        </w:rPr>
        <w:t>-les-Thann, de très nombreux et importants travaux d</w:t>
      </w:r>
      <w:r w:rsidR="00504D76">
        <w:rPr>
          <w:lang w:val="fr-FR"/>
        </w:rPr>
        <w:t>’</w:t>
      </w:r>
      <w:r w:rsidRPr="00B276C1">
        <w:rPr>
          <w:lang w:val="fr-FR"/>
        </w:rPr>
        <w:t>amélioration y ont été réalisés, dont une partie considérable a été payée au moyen d</w:t>
      </w:r>
      <w:r w:rsidR="00504D76">
        <w:rPr>
          <w:lang w:val="fr-FR"/>
        </w:rPr>
        <w:t>’</w:t>
      </w:r>
      <w:r w:rsidRPr="00B276C1">
        <w:rPr>
          <w:lang w:val="fr-FR"/>
        </w:rPr>
        <w:t>espèces et sans aucune facture ; que, notamment, il a été réalisé des travaux de pavage et agencement de cour pour environ 30 000 EUR : qu</w:t>
      </w:r>
      <w:r w:rsidR="00504D76">
        <w:rPr>
          <w:lang w:val="fr-FR"/>
        </w:rPr>
        <w:t>’</w:t>
      </w:r>
      <w:r w:rsidRPr="00B276C1">
        <w:rPr>
          <w:lang w:val="fr-FR"/>
        </w:rPr>
        <w:t>il résulte des éléments recueillis au cours de la procédure, aujourd</w:t>
      </w:r>
      <w:r w:rsidR="00504D76">
        <w:rPr>
          <w:lang w:val="fr-FR"/>
        </w:rPr>
        <w:t>’</w:t>
      </w:r>
      <w:r w:rsidRPr="00B276C1">
        <w:rPr>
          <w:lang w:val="fr-FR"/>
        </w:rPr>
        <w:t>hui constants, que [A.] était le seul interlocuteur des entreprises pendant ces travaux d</w:t>
      </w:r>
      <w:r w:rsidR="00504D76">
        <w:rPr>
          <w:lang w:val="fr-FR"/>
        </w:rPr>
        <w:t>’</w:t>
      </w:r>
      <w:r w:rsidRPr="00B276C1">
        <w:rPr>
          <w:lang w:val="fr-FR"/>
        </w:rPr>
        <w:t>amélioration et qu</w:t>
      </w:r>
      <w:r w:rsidR="00504D76">
        <w:rPr>
          <w:lang w:val="fr-FR"/>
        </w:rPr>
        <w:t>’</w:t>
      </w:r>
      <w:r w:rsidRPr="00B276C1">
        <w:rPr>
          <w:lang w:val="fr-FR"/>
        </w:rPr>
        <w:t>il rétribuait lui-même les intervenants, la majeure partie en espèce, et quasiment toujours sans facture ;</w:t>
      </w:r>
    </w:p>
    <w:p w:rsidR="004149AA" w:rsidRPr="00B276C1" w:rsidRDefault="004149AA" w:rsidP="00EE69CB">
      <w:pPr>
        <w:pStyle w:val="OpiQuot"/>
        <w:rPr>
          <w:lang w:val="fr-FR"/>
        </w:rPr>
      </w:pPr>
      <w:r w:rsidRPr="00B276C1">
        <w:rPr>
          <w:lang w:val="fr-FR"/>
        </w:rPr>
        <w:t>Attendu que ce comportement était tout-à-fait connu des prévenus, qui l</w:t>
      </w:r>
      <w:r w:rsidR="00504D76">
        <w:rPr>
          <w:lang w:val="fr-FR"/>
        </w:rPr>
        <w:t>’</w:t>
      </w:r>
      <w:r w:rsidRPr="00B276C1">
        <w:rPr>
          <w:lang w:val="fr-FR"/>
        </w:rPr>
        <w:t>ont reconnu par leur acquiescement au jugement du 1</w:t>
      </w:r>
      <w:r>
        <w:rPr>
          <w:lang w:val="fr-FR"/>
        </w:rPr>
        <w:t>1</w:t>
      </w:r>
      <w:r w:rsidRPr="00B276C1">
        <w:rPr>
          <w:lang w:val="fr-FR"/>
        </w:rPr>
        <w:t xml:space="preserve"> juillet 2008, leur fils les ayant d</w:t>
      </w:r>
      <w:r w:rsidR="00504D76">
        <w:rPr>
          <w:lang w:val="fr-FR"/>
        </w:rPr>
        <w:t>’</w:t>
      </w:r>
      <w:r w:rsidRPr="00B276C1">
        <w:rPr>
          <w:lang w:val="fr-FR"/>
        </w:rPr>
        <w:t>ailleurs incités à la prudence en ce qui concerne leurs dépenses somptuaires au cours d</w:t>
      </w:r>
      <w:r w:rsidR="00504D76">
        <w:rPr>
          <w:lang w:val="fr-FR"/>
        </w:rPr>
        <w:t>’</w:t>
      </w:r>
      <w:r w:rsidRPr="00B276C1">
        <w:rPr>
          <w:lang w:val="fr-FR"/>
        </w:rPr>
        <w:t>une conversation téléphonique dépourvue de toute ambiguïté ;</w:t>
      </w:r>
    </w:p>
    <w:p w:rsidR="004149AA" w:rsidRPr="00B276C1" w:rsidRDefault="004149AA" w:rsidP="00EE69CB">
      <w:pPr>
        <w:pStyle w:val="OpiQuot"/>
        <w:rPr>
          <w:lang w:val="fr-FR"/>
        </w:rPr>
      </w:pPr>
      <w:r w:rsidRPr="00B276C1">
        <w:rPr>
          <w:lang w:val="fr-FR"/>
        </w:rPr>
        <w:t>Attendu qu</w:t>
      </w:r>
      <w:r w:rsidR="00504D76">
        <w:rPr>
          <w:lang w:val="fr-FR"/>
        </w:rPr>
        <w:t>’</w:t>
      </w:r>
      <w:r w:rsidRPr="00B276C1">
        <w:rPr>
          <w:lang w:val="fr-FR"/>
        </w:rPr>
        <w:t>il n</w:t>
      </w:r>
      <w:r w:rsidR="00504D76">
        <w:rPr>
          <w:lang w:val="fr-FR"/>
        </w:rPr>
        <w:t>’</w:t>
      </w:r>
      <w:r w:rsidRPr="00B276C1">
        <w:rPr>
          <w:lang w:val="fr-FR"/>
        </w:rPr>
        <w:t>est pas inutile de rappeler que malgré les éléments cités plus haut, les deux prévenus ont déclaré au titre de l</w:t>
      </w:r>
      <w:r w:rsidR="00504D76">
        <w:rPr>
          <w:lang w:val="fr-FR"/>
        </w:rPr>
        <w:t>’</w:t>
      </w:r>
      <w:r w:rsidRPr="00B276C1">
        <w:rPr>
          <w:lang w:val="fr-FR"/>
        </w:rPr>
        <w:t>année 2004 des revenus à hauteur de 15</w:t>
      </w:r>
      <w:r>
        <w:rPr>
          <w:lang w:val="fr-FR"/>
        </w:rPr>
        <w:t> </w:t>
      </w:r>
      <w:r w:rsidRPr="00B276C1">
        <w:rPr>
          <w:lang w:val="fr-FR"/>
        </w:rPr>
        <w:t>132</w:t>
      </w:r>
      <w:r>
        <w:rPr>
          <w:lang w:val="fr-FR"/>
        </w:rPr>
        <w:t> </w:t>
      </w:r>
      <w:r w:rsidRPr="00B276C1">
        <w:rPr>
          <w:lang w:val="fr-FR"/>
        </w:rPr>
        <w:t>EUR, alors que leur fils [A.] ne disposait en vertu de son contrat de travail fictif de maçon que de 2 000 EUR par mois ;</w:t>
      </w:r>
    </w:p>
    <w:p w:rsidR="004149AA" w:rsidRDefault="004149AA" w:rsidP="00EE69CB">
      <w:pPr>
        <w:pStyle w:val="OpiQuot"/>
        <w:rPr>
          <w:lang w:val="fr-FR"/>
        </w:rPr>
      </w:pPr>
      <w:r w:rsidRPr="00B276C1">
        <w:rPr>
          <w:lang w:val="fr-FR"/>
        </w:rPr>
        <w:t>Attendu qu</w:t>
      </w:r>
      <w:r w:rsidR="00504D76">
        <w:rPr>
          <w:lang w:val="fr-FR"/>
        </w:rPr>
        <w:t>’</w:t>
      </w:r>
      <w:r w:rsidRPr="00B276C1">
        <w:rPr>
          <w:lang w:val="fr-FR"/>
        </w:rPr>
        <w:t>il résulte de l</w:t>
      </w:r>
      <w:r w:rsidR="00504D76">
        <w:rPr>
          <w:lang w:val="fr-FR"/>
        </w:rPr>
        <w:t>’</w:t>
      </w:r>
      <w:r w:rsidRPr="00B276C1">
        <w:rPr>
          <w:lang w:val="fr-FR"/>
        </w:rPr>
        <w:t>ensemble de ces éléments constants que les [requérants] connaissaient parfaitement l</w:t>
      </w:r>
      <w:r w:rsidR="00504D76">
        <w:rPr>
          <w:lang w:val="fr-FR"/>
        </w:rPr>
        <w:t>’</w:t>
      </w:r>
      <w:r w:rsidRPr="00B276C1">
        <w:rPr>
          <w:lang w:val="fr-FR"/>
        </w:rPr>
        <w:t>origine frauduleuse des fonds remis par leur fils [A.] et qu</w:t>
      </w:r>
      <w:r w:rsidR="00504D76">
        <w:rPr>
          <w:lang w:val="fr-FR"/>
        </w:rPr>
        <w:t>’</w:t>
      </w:r>
      <w:r w:rsidRPr="00B276C1">
        <w:rPr>
          <w:lang w:val="fr-FR"/>
        </w:rPr>
        <w:t>ils ont très largement profité des largesses de ce dernier, tant sous forme de remises d</w:t>
      </w:r>
      <w:r w:rsidR="00504D76">
        <w:rPr>
          <w:lang w:val="fr-FR"/>
        </w:rPr>
        <w:t>’</w:t>
      </w:r>
      <w:r w:rsidRPr="00B276C1">
        <w:rPr>
          <w:lang w:val="fr-FR"/>
        </w:rPr>
        <w:t>espèces que sous forme de travaux réalisés sur l</w:t>
      </w:r>
      <w:r w:rsidR="00504D76">
        <w:rPr>
          <w:lang w:val="fr-FR"/>
        </w:rPr>
        <w:t>’</w:t>
      </w:r>
      <w:r w:rsidRPr="00B276C1">
        <w:rPr>
          <w:lang w:val="fr-FR"/>
        </w:rPr>
        <w:t>immeuble familial</w:t>
      </w:r>
      <w:r>
        <w:rPr>
          <w:lang w:val="fr-FR"/>
        </w:rPr>
        <w:t> ; que, dès lors, le jugement déféré sera confirmé pour avoir retenu, par d</w:t>
      </w:r>
      <w:r w:rsidR="00504D76">
        <w:rPr>
          <w:lang w:val="fr-FR"/>
        </w:rPr>
        <w:t>’</w:t>
      </w:r>
      <w:r>
        <w:rPr>
          <w:lang w:val="fr-FR"/>
        </w:rPr>
        <w:t>excellents motifs, leur culpabilité ;</w:t>
      </w:r>
    </w:p>
    <w:p w:rsidR="004149AA" w:rsidRDefault="004149AA" w:rsidP="00EE69CB">
      <w:pPr>
        <w:pStyle w:val="OpiQuot"/>
        <w:rPr>
          <w:lang w:val="fr-FR"/>
        </w:rPr>
      </w:pPr>
      <w:r w:rsidRPr="00B276C1">
        <w:rPr>
          <w:lang w:val="fr-FR"/>
        </w:rPr>
        <w:t>(</w:t>
      </w:r>
      <w:r>
        <w:rPr>
          <w:lang w:val="fr-FR"/>
        </w:rPr>
        <w:t>...</w:t>
      </w:r>
      <w:r w:rsidRPr="00B276C1">
        <w:rPr>
          <w:lang w:val="fr-FR"/>
        </w:rPr>
        <w:t>)</w:t>
      </w:r>
      <w:r>
        <w:rPr>
          <w:lang w:val="fr-FR"/>
        </w:rPr>
        <w:t xml:space="preserve"> Attendu qu</w:t>
      </w:r>
      <w:r w:rsidR="00504D76">
        <w:rPr>
          <w:lang w:val="fr-FR"/>
        </w:rPr>
        <w:t>’</w:t>
      </w:r>
      <w:r>
        <w:rPr>
          <w:lang w:val="fr-FR"/>
        </w:rPr>
        <w:t>il y a lieu de confirmer d</w:t>
      </w:r>
      <w:r w:rsidR="00504D76">
        <w:rPr>
          <w:lang w:val="fr-FR"/>
        </w:rPr>
        <w:t>’</w:t>
      </w:r>
      <w:r>
        <w:rPr>
          <w:lang w:val="fr-FR"/>
        </w:rPr>
        <w:t>entrée les peines prononcées à l</w:t>
      </w:r>
      <w:r w:rsidR="00504D76">
        <w:rPr>
          <w:lang w:val="fr-FR"/>
        </w:rPr>
        <w:t>’</w:t>
      </w:r>
      <w:r>
        <w:rPr>
          <w:lang w:val="fr-FR"/>
        </w:rPr>
        <w:t>encontre des deux prévenus (...) ;</w:t>
      </w:r>
    </w:p>
    <w:p w:rsidR="004149AA" w:rsidRDefault="004149AA" w:rsidP="00EE69CB">
      <w:pPr>
        <w:pStyle w:val="OpiQuot"/>
        <w:rPr>
          <w:lang w:val="fr-FR"/>
        </w:rPr>
      </w:pPr>
      <w:r>
        <w:rPr>
          <w:lang w:val="fr-FR"/>
        </w:rPr>
        <w:t>Attendu que la confiscation de l</w:t>
      </w:r>
      <w:r w:rsidR="00504D76">
        <w:rPr>
          <w:lang w:val="fr-FR"/>
        </w:rPr>
        <w:t>’</w:t>
      </w:r>
      <w:r>
        <w:rPr>
          <w:lang w:val="fr-FR"/>
        </w:rPr>
        <w:t xml:space="preserve">immeuble de </w:t>
      </w:r>
      <w:proofErr w:type="spellStart"/>
      <w:r w:rsidRPr="00B276C1">
        <w:rPr>
          <w:lang w:val="fr-FR"/>
        </w:rPr>
        <w:t>Bitschwiller</w:t>
      </w:r>
      <w:proofErr w:type="spellEnd"/>
      <w:r w:rsidRPr="00B276C1">
        <w:rPr>
          <w:lang w:val="fr-FR"/>
        </w:rPr>
        <w:t>-les-Thann</w:t>
      </w:r>
      <w:r>
        <w:rPr>
          <w:lang w:val="fr-FR"/>
        </w:rPr>
        <w:t xml:space="preserve"> sera également confirmée par la Cour, compte tenu des circonstances rappelées plus haut ; que l</w:t>
      </w:r>
      <w:r w:rsidR="00504D76">
        <w:rPr>
          <w:lang w:val="fr-FR"/>
        </w:rPr>
        <w:t>’</w:t>
      </w:r>
      <w:r>
        <w:rPr>
          <w:lang w:val="fr-FR"/>
        </w:rPr>
        <w:t xml:space="preserve">essentiel de ce patrimoine provient en effet de façon constante et reconnue des fruits du trafic de stupéfiants auquel se livrait [A.]. (...) </w:t>
      </w:r>
      <w:r w:rsidRPr="00B276C1">
        <w:rPr>
          <w:lang w:val="fr-FR"/>
        </w:rPr>
        <w:t>».</w:t>
      </w:r>
    </w:p>
    <w:p w:rsidR="004149AA" w:rsidRPr="00B276C1" w:rsidRDefault="004149AA" w:rsidP="00EE69CB">
      <w:pPr>
        <w:pStyle w:val="ECHRPara"/>
        <w:rPr>
          <w:lang w:val="fr-FR"/>
        </w:rPr>
      </w:pPr>
      <w:r>
        <w:rPr>
          <w:lang w:val="fr-FR"/>
        </w:rPr>
        <w:t>10.  </w:t>
      </w:r>
      <w:r w:rsidRPr="00B276C1">
        <w:rPr>
          <w:lang w:val="fr-FR"/>
        </w:rPr>
        <w:t>Les requérants se pourvurent en cassation au moyen notamment d</w:t>
      </w:r>
      <w:r w:rsidR="00504D76">
        <w:rPr>
          <w:lang w:val="fr-FR"/>
        </w:rPr>
        <w:t>’</w:t>
      </w:r>
      <w:r w:rsidRPr="00B276C1">
        <w:rPr>
          <w:lang w:val="fr-FR"/>
        </w:rPr>
        <w:t>une violation des articles 8 de la Convention et 1 du Protocole n</w:t>
      </w:r>
      <w:r w:rsidRPr="009C4963">
        <w:rPr>
          <w:vertAlign w:val="superscript"/>
          <w:lang w:val="fr-FR"/>
        </w:rPr>
        <w:t>o</w:t>
      </w:r>
      <w:r w:rsidRPr="00B276C1">
        <w:rPr>
          <w:lang w:val="fr-FR"/>
        </w:rPr>
        <w:t xml:space="preserve"> 1. Ils reprochaient à la cour d</w:t>
      </w:r>
      <w:r w:rsidR="00504D76">
        <w:rPr>
          <w:lang w:val="fr-FR"/>
        </w:rPr>
        <w:t>’</w:t>
      </w:r>
      <w:r w:rsidRPr="00B276C1">
        <w:rPr>
          <w:lang w:val="fr-FR"/>
        </w:rPr>
        <w:t>appel d</w:t>
      </w:r>
      <w:r w:rsidR="00504D76">
        <w:rPr>
          <w:lang w:val="fr-FR"/>
        </w:rPr>
        <w:t>’</w:t>
      </w:r>
      <w:r w:rsidRPr="00B276C1">
        <w:rPr>
          <w:lang w:val="fr-FR"/>
        </w:rPr>
        <w:t>avoir, pour prononcer la confiscation de l</w:t>
      </w:r>
      <w:r w:rsidR="00504D76">
        <w:rPr>
          <w:lang w:val="fr-FR"/>
        </w:rPr>
        <w:t>’</w:t>
      </w:r>
      <w:r w:rsidRPr="00B276C1">
        <w:rPr>
          <w:lang w:val="fr-FR"/>
        </w:rPr>
        <w:t>intégralité de leur immeuble, retenu que l</w:t>
      </w:r>
      <w:r w:rsidR="00504D76">
        <w:rPr>
          <w:lang w:val="fr-FR"/>
        </w:rPr>
        <w:t>’</w:t>
      </w:r>
      <w:r w:rsidRPr="00B276C1">
        <w:rPr>
          <w:lang w:val="fr-FR"/>
        </w:rPr>
        <w:t>essentiel de ce patrimoine provenait de manière constante et continue du fruit du trafic de stupéfiants auquel se livrait leur fils, alors qu</w:t>
      </w:r>
      <w:r w:rsidR="00504D76">
        <w:rPr>
          <w:lang w:val="fr-FR"/>
        </w:rPr>
        <w:t>’</w:t>
      </w:r>
      <w:r w:rsidRPr="00B276C1">
        <w:rPr>
          <w:lang w:val="fr-FR"/>
        </w:rPr>
        <w:t>ils avaient fait valoir devant elle que seule une partie des travaux réalisés avait été financée de façon irrégulière et que l</w:t>
      </w:r>
      <w:r w:rsidR="00504D76">
        <w:rPr>
          <w:lang w:val="fr-FR"/>
        </w:rPr>
        <w:t>’</w:t>
      </w:r>
      <w:r w:rsidRPr="00B276C1">
        <w:rPr>
          <w:lang w:val="fr-FR"/>
        </w:rPr>
        <w:t>acquisition et le reste des travaux avaient été financés par leurs propres revenus et ressources. Ils lui reprochaient de plus de ne pas avoir répondu à leur argument selon lequel cette confiscation était disproportionnée en raison non seulement des faibles sommes provenant de leur fils dans l</w:t>
      </w:r>
      <w:r w:rsidR="00504D76">
        <w:rPr>
          <w:lang w:val="fr-FR"/>
        </w:rPr>
        <w:t>’</w:t>
      </w:r>
      <w:r w:rsidRPr="00B276C1">
        <w:rPr>
          <w:lang w:val="fr-FR"/>
        </w:rPr>
        <w:t>acquisition et la rénovation de leur domicile mais également de leur situation familiale. Ils soutenaient en outre qu</w:t>
      </w:r>
      <w:r w:rsidR="00504D76">
        <w:rPr>
          <w:lang w:val="fr-FR"/>
        </w:rPr>
        <w:t>’</w:t>
      </w:r>
      <w:r w:rsidRPr="00B276C1">
        <w:rPr>
          <w:lang w:val="fr-FR"/>
        </w:rPr>
        <w:t>en ordonnant la confiscation de cet immeuble, lieu de résidence de la famille et de l</w:t>
      </w:r>
      <w:r w:rsidR="00504D76">
        <w:rPr>
          <w:lang w:val="fr-FR"/>
        </w:rPr>
        <w:t>’</w:t>
      </w:r>
      <w:r w:rsidRPr="00B276C1">
        <w:rPr>
          <w:lang w:val="fr-FR"/>
        </w:rPr>
        <w:t>enfant handicapé qui était à leur charge, la cour d</w:t>
      </w:r>
      <w:r w:rsidR="00504D76">
        <w:rPr>
          <w:lang w:val="fr-FR"/>
        </w:rPr>
        <w:t>’</w:t>
      </w:r>
      <w:r w:rsidRPr="00B276C1">
        <w:rPr>
          <w:lang w:val="fr-FR"/>
        </w:rPr>
        <w:t>appel avait porté une atteinte excessive à leur droit au respect de leur vie familiale.</w:t>
      </w:r>
    </w:p>
    <w:p w:rsidR="004149AA" w:rsidRDefault="004149AA" w:rsidP="00EE69CB">
      <w:pPr>
        <w:pStyle w:val="ECHRPara"/>
        <w:rPr>
          <w:lang w:val="fr-FR"/>
        </w:rPr>
      </w:pPr>
      <w:r>
        <w:rPr>
          <w:lang w:val="fr-FR"/>
        </w:rPr>
        <w:t>11.  </w:t>
      </w:r>
      <w:r w:rsidRPr="00B276C1">
        <w:rPr>
          <w:lang w:val="fr-FR"/>
        </w:rPr>
        <w:t>La Cour de cassation rejeta le pourvoi par un arrêt du 18 novembre 2009. Elle constata que, pour prononcer la confiscation de l</w:t>
      </w:r>
      <w:r w:rsidR="00504D76">
        <w:rPr>
          <w:lang w:val="fr-FR"/>
        </w:rPr>
        <w:t>’</w:t>
      </w:r>
      <w:r w:rsidRPr="00B276C1">
        <w:rPr>
          <w:lang w:val="fr-FR"/>
        </w:rPr>
        <w:t>immeuble, la Cour d</w:t>
      </w:r>
      <w:r w:rsidR="00504D76">
        <w:rPr>
          <w:lang w:val="fr-FR"/>
        </w:rPr>
        <w:t>’</w:t>
      </w:r>
      <w:r w:rsidRPr="00B276C1">
        <w:rPr>
          <w:lang w:val="fr-FR"/>
        </w:rPr>
        <w:t>appel avaient relevé que « l</w:t>
      </w:r>
      <w:r w:rsidR="00504D76">
        <w:rPr>
          <w:lang w:val="fr-FR"/>
        </w:rPr>
        <w:t>’</w:t>
      </w:r>
      <w:r w:rsidRPr="00B276C1">
        <w:rPr>
          <w:lang w:val="fr-FR"/>
        </w:rPr>
        <w:t xml:space="preserve">essentiel de ce patrimoine </w:t>
      </w:r>
      <w:proofErr w:type="spellStart"/>
      <w:proofErr w:type="gramStart"/>
      <w:r w:rsidRPr="00B276C1">
        <w:rPr>
          <w:lang w:val="fr-FR"/>
        </w:rPr>
        <w:t>prov</w:t>
      </w:r>
      <w:proofErr w:type="spellEnd"/>
      <w:r w:rsidRPr="00B276C1">
        <w:rPr>
          <w:lang w:val="fr-FR"/>
        </w:rPr>
        <w:t>[</w:t>
      </w:r>
      <w:proofErr w:type="spellStart"/>
      <w:proofErr w:type="gramEnd"/>
      <w:r w:rsidRPr="00B276C1">
        <w:rPr>
          <w:lang w:val="fr-FR"/>
        </w:rPr>
        <w:t>enait</w:t>
      </w:r>
      <w:proofErr w:type="spellEnd"/>
      <w:r w:rsidRPr="00B276C1">
        <w:rPr>
          <w:lang w:val="fr-FR"/>
        </w:rPr>
        <w:t>] de façon constante et reconnu des fruits du trafic de stupéfiant ». Elle jugea ensuite « qu</w:t>
      </w:r>
      <w:r w:rsidR="00504D76">
        <w:rPr>
          <w:lang w:val="fr-FR"/>
        </w:rPr>
        <w:t>’</w:t>
      </w:r>
      <w:r w:rsidRPr="00B276C1">
        <w:rPr>
          <w:lang w:val="fr-FR"/>
        </w:rPr>
        <w:t>en statuant ainsi, et dès lors que, hormis les cas expressément prévus par la loi, les juges ne sont pas tenus de motiver spécialement le choix de la sanction qu</w:t>
      </w:r>
      <w:r w:rsidR="00504D76">
        <w:rPr>
          <w:lang w:val="fr-FR"/>
        </w:rPr>
        <w:t>’</w:t>
      </w:r>
      <w:r w:rsidRPr="00B276C1">
        <w:rPr>
          <w:lang w:val="fr-FR"/>
        </w:rPr>
        <w:t>ils appliquent dans les limites légale, la cour d</w:t>
      </w:r>
      <w:r w:rsidR="00504D76">
        <w:rPr>
          <w:lang w:val="fr-FR"/>
        </w:rPr>
        <w:t>’</w:t>
      </w:r>
      <w:r w:rsidRPr="00B276C1">
        <w:rPr>
          <w:lang w:val="fr-FR"/>
        </w:rPr>
        <w:t>appel, qui [avait] répondu aux chefs péremptoires des conclusions dont elle était saisie, [avait] justifié sa décision ».</w:t>
      </w:r>
    </w:p>
    <w:p w:rsidR="004149AA" w:rsidRDefault="004149AA" w:rsidP="00EE69CB">
      <w:pPr>
        <w:pStyle w:val="ECHRPara"/>
        <w:rPr>
          <w:lang w:val="fr-FR"/>
        </w:rPr>
      </w:pPr>
      <w:r>
        <w:rPr>
          <w:lang w:val="fr-FR"/>
        </w:rPr>
        <w:t>12</w:t>
      </w:r>
      <w:r w:rsidRPr="00F87015">
        <w:rPr>
          <w:lang w:val="fr-FR"/>
        </w:rPr>
        <w:t>.  </w:t>
      </w:r>
      <w:r>
        <w:rPr>
          <w:lang w:val="fr-FR"/>
        </w:rPr>
        <w:t xml:space="preserve">Les requérants furent autorisés à rester dans la maison </w:t>
      </w:r>
      <w:r w:rsidRPr="00F87015">
        <w:rPr>
          <w:lang w:val="fr-FR"/>
        </w:rPr>
        <w:t>jusqu</w:t>
      </w:r>
      <w:r w:rsidR="00504D76">
        <w:rPr>
          <w:lang w:val="fr-FR"/>
        </w:rPr>
        <w:t>’</w:t>
      </w:r>
      <w:r w:rsidRPr="00F87015">
        <w:rPr>
          <w:lang w:val="fr-FR"/>
        </w:rPr>
        <w:t>au 31</w:t>
      </w:r>
      <w:r>
        <w:rPr>
          <w:lang w:val="fr-FR"/>
        </w:rPr>
        <w:t> </w:t>
      </w:r>
      <w:r w:rsidRPr="00F87015">
        <w:rPr>
          <w:lang w:val="fr-FR"/>
        </w:rPr>
        <w:t>mai 2011 contre payement d</w:t>
      </w:r>
      <w:r w:rsidR="00504D76">
        <w:rPr>
          <w:lang w:val="fr-FR"/>
        </w:rPr>
        <w:t>’</w:t>
      </w:r>
      <w:r w:rsidRPr="00F87015">
        <w:rPr>
          <w:lang w:val="fr-FR"/>
        </w:rPr>
        <w:t>un loyer</w:t>
      </w:r>
      <w:r>
        <w:rPr>
          <w:lang w:val="fr-FR"/>
        </w:rPr>
        <w:t xml:space="preserve"> mensuel de 900 EUR</w:t>
      </w:r>
      <w:r w:rsidRPr="00F87015">
        <w:rPr>
          <w:lang w:val="fr-FR"/>
        </w:rPr>
        <w:t>, jusqu</w:t>
      </w:r>
      <w:r w:rsidR="00504D76">
        <w:rPr>
          <w:lang w:val="fr-FR"/>
        </w:rPr>
        <w:t>’</w:t>
      </w:r>
      <w:r w:rsidRPr="00F87015">
        <w:rPr>
          <w:lang w:val="fr-FR"/>
        </w:rPr>
        <w:t>à ce qu</w:t>
      </w:r>
      <w:r w:rsidR="00504D76">
        <w:rPr>
          <w:lang w:val="fr-FR"/>
        </w:rPr>
        <w:t>’</w:t>
      </w:r>
      <w:r w:rsidRPr="00F87015">
        <w:rPr>
          <w:lang w:val="fr-FR"/>
        </w:rPr>
        <w:t>ils trouvent un autre logement.</w:t>
      </w:r>
    </w:p>
    <w:p w:rsidR="004149AA" w:rsidRPr="00AD412E" w:rsidRDefault="004149AA" w:rsidP="00EE69CB">
      <w:pPr>
        <w:pStyle w:val="ECHRPara"/>
        <w:rPr>
          <w:lang w:val="fr-FR"/>
        </w:rPr>
      </w:pPr>
      <w:r>
        <w:rPr>
          <w:lang w:val="fr-FR"/>
        </w:rPr>
        <w:t>13</w:t>
      </w:r>
      <w:r w:rsidRPr="009C7B65">
        <w:rPr>
          <w:lang w:val="fr-FR"/>
        </w:rPr>
        <w:t>.  L</w:t>
      </w:r>
      <w:r w:rsidR="00504D76">
        <w:rPr>
          <w:lang w:val="fr-FR"/>
        </w:rPr>
        <w:t>’</w:t>
      </w:r>
      <w:r w:rsidRPr="009C7B65">
        <w:rPr>
          <w:lang w:val="fr-FR"/>
        </w:rPr>
        <w:t>État prit possession de l</w:t>
      </w:r>
      <w:r w:rsidR="00504D76">
        <w:rPr>
          <w:lang w:val="fr-FR"/>
        </w:rPr>
        <w:t>’</w:t>
      </w:r>
      <w:r w:rsidRPr="009C7B65">
        <w:rPr>
          <w:lang w:val="fr-FR"/>
        </w:rPr>
        <w:t>immeuble le 1</w:t>
      </w:r>
      <w:r w:rsidRPr="009C7B65">
        <w:rPr>
          <w:vertAlign w:val="superscript"/>
          <w:lang w:val="fr-FR"/>
        </w:rPr>
        <w:t>er</w:t>
      </w:r>
      <w:r w:rsidRPr="009C7B65">
        <w:rPr>
          <w:lang w:val="fr-FR"/>
        </w:rPr>
        <w:t xml:space="preserve"> juin 2011. Les requérants indiquent « reste[r] redevables » à la banque auprès de laquelle ils ont contracté l</w:t>
      </w:r>
      <w:r w:rsidR="00504D76">
        <w:rPr>
          <w:lang w:val="fr-FR"/>
        </w:rPr>
        <w:t>’</w:t>
      </w:r>
      <w:r w:rsidRPr="009C7B65">
        <w:rPr>
          <w:lang w:val="fr-FR"/>
        </w:rPr>
        <w:t>emprunt relatif à l</w:t>
      </w:r>
      <w:r w:rsidR="00504D76">
        <w:rPr>
          <w:lang w:val="fr-FR"/>
        </w:rPr>
        <w:t>’</w:t>
      </w:r>
      <w:r w:rsidRPr="009C7B65">
        <w:rPr>
          <w:lang w:val="fr-FR"/>
        </w:rPr>
        <w:t>achat de la maison « du solde du prêt bancaire », soit 100 390,80 EUR.</w:t>
      </w:r>
    </w:p>
    <w:p w:rsidR="004149AA" w:rsidRPr="00905EBC" w:rsidRDefault="004149AA" w:rsidP="00EE69CB">
      <w:pPr>
        <w:pStyle w:val="ECHRHeading2"/>
        <w:rPr>
          <w:lang w:val="fr-FR"/>
        </w:rPr>
      </w:pPr>
      <w:r w:rsidRPr="00905EBC">
        <w:rPr>
          <w:lang w:val="fr-FR"/>
        </w:rPr>
        <w:t>B.  Le droit interne pertinent</w:t>
      </w:r>
    </w:p>
    <w:p w:rsidR="004149AA" w:rsidRPr="00B276C1" w:rsidRDefault="004149AA" w:rsidP="00EE69CB">
      <w:pPr>
        <w:pStyle w:val="ECHRPara"/>
        <w:rPr>
          <w:lang w:val="fr-FR"/>
        </w:rPr>
      </w:pPr>
      <w:r>
        <w:rPr>
          <w:lang w:val="fr-FR"/>
        </w:rPr>
        <w:t>14.  </w:t>
      </w:r>
      <w:r w:rsidRPr="00B276C1">
        <w:rPr>
          <w:lang w:val="fr-FR"/>
        </w:rPr>
        <w:t>Les dispositions pertinentes du code pénal sont les suivantes (dans leur version applicable à l</w:t>
      </w:r>
      <w:r w:rsidR="00504D76">
        <w:rPr>
          <w:lang w:val="fr-FR"/>
        </w:rPr>
        <w:t>’</w:t>
      </w:r>
      <w:r w:rsidRPr="00B276C1">
        <w:rPr>
          <w:lang w:val="fr-FR"/>
        </w:rPr>
        <w:t>époque des faits) :</w:t>
      </w:r>
    </w:p>
    <w:p w:rsidR="004149AA" w:rsidRDefault="004149AA" w:rsidP="00EE69CB">
      <w:pPr>
        <w:pStyle w:val="ECHRTitleCentre3"/>
        <w:rPr>
          <w:lang w:val="fr-FR"/>
        </w:rPr>
      </w:pPr>
      <w:r w:rsidRPr="00B276C1">
        <w:rPr>
          <w:lang w:val="fr-FR"/>
        </w:rPr>
        <w:t>Article 321-6</w:t>
      </w:r>
    </w:p>
    <w:p w:rsidR="004149AA" w:rsidRPr="00B276C1" w:rsidRDefault="004149AA" w:rsidP="00EE69CB">
      <w:pPr>
        <w:pStyle w:val="ECHRParaQuote"/>
        <w:rPr>
          <w:lang w:val="fr-FR"/>
        </w:rPr>
      </w:pPr>
      <w:r w:rsidRPr="00B276C1">
        <w:rPr>
          <w:lang w:val="fr-FR"/>
        </w:rPr>
        <w:t>« Le fait de ne pas pouvoir justifier de ressources correspondant à son train de vie ou de ne pas pouvoir justifier de l</w:t>
      </w:r>
      <w:r w:rsidR="00504D76">
        <w:rPr>
          <w:lang w:val="fr-FR"/>
        </w:rPr>
        <w:t>’</w:t>
      </w:r>
      <w:r w:rsidRPr="00B276C1">
        <w:rPr>
          <w:lang w:val="fr-FR"/>
        </w:rPr>
        <w:t>origine d</w:t>
      </w:r>
      <w:r w:rsidR="00504D76">
        <w:rPr>
          <w:lang w:val="fr-FR"/>
        </w:rPr>
        <w:t>’</w:t>
      </w:r>
      <w:r w:rsidRPr="00B276C1">
        <w:rPr>
          <w:lang w:val="fr-FR"/>
        </w:rPr>
        <w:t>un bien détenu, tout en étant en relations habituelles avec une ou plusieurs personnes qui soit se livrent à la commission de crimes ou de délits punis d</w:t>
      </w:r>
      <w:r w:rsidR="00504D76">
        <w:rPr>
          <w:lang w:val="fr-FR"/>
        </w:rPr>
        <w:t>’</w:t>
      </w:r>
      <w:r w:rsidRPr="00B276C1">
        <w:rPr>
          <w:lang w:val="fr-FR"/>
        </w:rPr>
        <w:t>au moins cinq ans d</w:t>
      </w:r>
      <w:r w:rsidR="00504D76">
        <w:rPr>
          <w:lang w:val="fr-FR"/>
        </w:rPr>
        <w:t>’</w:t>
      </w:r>
      <w:r w:rsidRPr="00B276C1">
        <w:rPr>
          <w:lang w:val="fr-FR"/>
        </w:rPr>
        <w:t>emprisonnement et procurant à celles-ci un profit direct ou indirect, soit sont les victimes d</w:t>
      </w:r>
      <w:r w:rsidR="00504D76">
        <w:rPr>
          <w:lang w:val="fr-FR"/>
        </w:rPr>
        <w:t>’</w:t>
      </w:r>
      <w:r w:rsidRPr="00B276C1">
        <w:rPr>
          <w:lang w:val="fr-FR"/>
        </w:rPr>
        <w:t>une de ces infractions, est puni d</w:t>
      </w:r>
      <w:r w:rsidR="00504D76">
        <w:rPr>
          <w:lang w:val="fr-FR"/>
        </w:rPr>
        <w:t>’</w:t>
      </w:r>
      <w:r w:rsidRPr="00B276C1">
        <w:rPr>
          <w:lang w:val="fr-FR"/>
        </w:rPr>
        <w:t>une peine de trois ans d</w:t>
      </w:r>
      <w:r w:rsidR="00504D76">
        <w:rPr>
          <w:lang w:val="fr-FR"/>
        </w:rPr>
        <w:t>’</w:t>
      </w:r>
      <w:r w:rsidRPr="00B276C1">
        <w:rPr>
          <w:lang w:val="fr-FR"/>
        </w:rPr>
        <w:t>emprisonnement et de 75 000 Euros d</w:t>
      </w:r>
      <w:r w:rsidR="00504D76">
        <w:rPr>
          <w:lang w:val="fr-FR"/>
        </w:rPr>
        <w:t>’</w:t>
      </w:r>
      <w:r w:rsidRPr="00B276C1">
        <w:rPr>
          <w:lang w:val="fr-FR"/>
        </w:rPr>
        <w:t>amende.</w:t>
      </w:r>
    </w:p>
    <w:p w:rsidR="004149AA" w:rsidRPr="00B276C1" w:rsidRDefault="004149AA" w:rsidP="00EE69CB">
      <w:pPr>
        <w:pStyle w:val="ECHRParaQuote"/>
        <w:rPr>
          <w:lang w:val="fr-FR"/>
        </w:rPr>
      </w:pPr>
      <w:r w:rsidRPr="00B276C1">
        <w:rPr>
          <w:lang w:val="fr-FR"/>
        </w:rPr>
        <w:t>(</w:t>
      </w:r>
      <w:r>
        <w:rPr>
          <w:lang w:val="fr-FR"/>
        </w:rPr>
        <w:t>...</w:t>
      </w:r>
      <w:r w:rsidRPr="00B276C1">
        <w:rPr>
          <w:lang w:val="fr-FR"/>
        </w:rPr>
        <w:t>) ».</w:t>
      </w:r>
    </w:p>
    <w:p w:rsidR="004149AA" w:rsidRPr="00B276C1" w:rsidRDefault="004149AA" w:rsidP="00504D76">
      <w:pPr>
        <w:pStyle w:val="ECHRTitleCentre3"/>
        <w:rPr>
          <w:lang w:val="fr-FR"/>
        </w:rPr>
      </w:pPr>
      <w:r w:rsidRPr="00B276C1">
        <w:rPr>
          <w:lang w:val="fr-FR"/>
        </w:rPr>
        <w:t>Article 321-6-1</w:t>
      </w:r>
    </w:p>
    <w:p w:rsidR="004149AA" w:rsidRPr="00B276C1" w:rsidRDefault="004149AA" w:rsidP="00504D76">
      <w:pPr>
        <w:pStyle w:val="ECHRParaQuote"/>
        <w:keepNext/>
        <w:rPr>
          <w:lang w:val="fr-FR"/>
        </w:rPr>
      </w:pPr>
      <w:r w:rsidRPr="00B276C1">
        <w:rPr>
          <w:lang w:val="fr-FR"/>
        </w:rPr>
        <w:t>« (</w:t>
      </w:r>
      <w:r>
        <w:rPr>
          <w:lang w:val="fr-FR"/>
        </w:rPr>
        <w:t>...</w:t>
      </w:r>
      <w:r w:rsidRPr="00B276C1">
        <w:rPr>
          <w:lang w:val="fr-FR"/>
        </w:rPr>
        <w:t>)</w:t>
      </w:r>
    </w:p>
    <w:p w:rsidR="004149AA" w:rsidRPr="00B276C1" w:rsidRDefault="004149AA" w:rsidP="00EE69CB">
      <w:pPr>
        <w:pStyle w:val="ECHRParaQuote"/>
        <w:rPr>
          <w:lang w:val="fr-FR"/>
        </w:rPr>
      </w:pPr>
      <w:r w:rsidRPr="00B276C1">
        <w:rPr>
          <w:lang w:val="fr-FR"/>
        </w:rPr>
        <w:t>[Les peines prévues par l</w:t>
      </w:r>
      <w:r w:rsidR="00504D76">
        <w:rPr>
          <w:lang w:val="fr-FR"/>
        </w:rPr>
        <w:t>’</w:t>
      </w:r>
      <w:r w:rsidRPr="00B276C1">
        <w:rPr>
          <w:lang w:val="fr-FR"/>
        </w:rPr>
        <w:t>article 321-6] sont portées à sept ans d</w:t>
      </w:r>
      <w:r w:rsidR="00504D76">
        <w:rPr>
          <w:lang w:val="fr-FR"/>
        </w:rPr>
        <w:t>’</w:t>
      </w:r>
      <w:r w:rsidRPr="00B276C1">
        <w:rPr>
          <w:lang w:val="fr-FR"/>
        </w:rPr>
        <w:t>emprisonnement et 200 000 Euros d</w:t>
      </w:r>
      <w:r w:rsidR="00504D76">
        <w:rPr>
          <w:lang w:val="fr-FR"/>
        </w:rPr>
        <w:t>’</w:t>
      </w:r>
      <w:r w:rsidRPr="00B276C1">
        <w:rPr>
          <w:lang w:val="fr-FR"/>
        </w:rPr>
        <w:t>amende lorsque les infractions commises constituent les crimes ou délits de traite des êtres humains, d</w:t>
      </w:r>
      <w:r w:rsidR="00504D76">
        <w:rPr>
          <w:lang w:val="fr-FR"/>
        </w:rPr>
        <w:t>’</w:t>
      </w:r>
      <w:r w:rsidRPr="00B276C1">
        <w:rPr>
          <w:lang w:val="fr-FR"/>
        </w:rPr>
        <w:t>extorsion ou d</w:t>
      </w:r>
      <w:r w:rsidR="00504D76">
        <w:rPr>
          <w:lang w:val="fr-FR"/>
        </w:rPr>
        <w:t>’</w:t>
      </w:r>
      <w:r w:rsidRPr="00B276C1">
        <w:rPr>
          <w:lang w:val="fr-FR"/>
        </w:rPr>
        <w:t>association de malfaiteurs, ou qu</w:t>
      </w:r>
      <w:r w:rsidR="00504D76">
        <w:rPr>
          <w:lang w:val="fr-FR"/>
        </w:rPr>
        <w:t>’</w:t>
      </w:r>
      <w:r w:rsidRPr="00B276C1">
        <w:rPr>
          <w:lang w:val="fr-FR"/>
        </w:rPr>
        <w:t>elles constituent les crimes ou délits de trafic de stupéfiants, y compris en cas de relations habituelles avec une ou plusieurs personnes faisant usage de stupéfiants.</w:t>
      </w:r>
    </w:p>
    <w:p w:rsidR="004149AA" w:rsidRPr="00B276C1" w:rsidRDefault="004149AA" w:rsidP="00EE69CB">
      <w:pPr>
        <w:pStyle w:val="ECHRParaQuote"/>
        <w:rPr>
          <w:lang w:val="fr-FR"/>
        </w:rPr>
      </w:pPr>
      <w:r w:rsidRPr="00B276C1">
        <w:rPr>
          <w:lang w:val="fr-FR"/>
        </w:rPr>
        <w:t>(</w:t>
      </w:r>
      <w:r>
        <w:rPr>
          <w:lang w:val="fr-FR"/>
        </w:rPr>
        <w:t>...</w:t>
      </w:r>
      <w:r w:rsidRPr="00B276C1">
        <w:rPr>
          <w:lang w:val="fr-FR"/>
        </w:rPr>
        <w:t>) ».</w:t>
      </w:r>
    </w:p>
    <w:p w:rsidR="004149AA" w:rsidRDefault="004149AA" w:rsidP="00EE69CB">
      <w:pPr>
        <w:pStyle w:val="ECHRTitleCentre3"/>
        <w:rPr>
          <w:lang w:val="fr-FR"/>
        </w:rPr>
      </w:pPr>
      <w:r w:rsidRPr="00B276C1">
        <w:rPr>
          <w:lang w:val="fr-FR"/>
        </w:rPr>
        <w:t>Article 321-10-1</w:t>
      </w:r>
    </w:p>
    <w:p w:rsidR="004149AA" w:rsidRPr="00B276C1" w:rsidRDefault="004149AA" w:rsidP="00EE69CB">
      <w:pPr>
        <w:pStyle w:val="ECHRParaQuote"/>
        <w:rPr>
          <w:lang w:val="fr-FR"/>
        </w:rPr>
      </w:pPr>
      <w:r w:rsidRPr="007D4DEC">
        <w:rPr>
          <w:lang w:val="fr-FR"/>
        </w:rPr>
        <w:t>« Les personnes physiques coupables des délits prévus aux articles 321-6 et 321-6-1 encourent également la peine complémentaire de confiscation de tout ou partie de leurs biens, quelle qu</w:t>
      </w:r>
      <w:r w:rsidR="00504D76">
        <w:rPr>
          <w:lang w:val="fr-FR"/>
        </w:rPr>
        <w:t>’</w:t>
      </w:r>
      <w:r w:rsidRPr="007D4DEC">
        <w:rPr>
          <w:lang w:val="fr-FR"/>
        </w:rPr>
        <w:t>en soit la nature, meuble ou immeuble, divis ou indivis, dont elles n</w:t>
      </w:r>
      <w:r w:rsidR="00504D76">
        <w:rPr>
          <w:lang w:val="fr-FR"/>
        </w:rPr>
        <w:t>’</w:t>
      </w:r>
      <w:r w:rsidRPr="007D4DEC">
        <w:rPr>
          <w:lang w:val="fr-FR"/>
        </w:rPr>
        <w:t>ont pu justifier l</w:t>
      </w:r>
      <w:r w:rsidR="00504D76">
        <w:rPr>
          <w:lang w:val="fr-FR"/>
        </w:rPr>
        <w:t>’</w:t>
      </w:r>
      <w:r w:rsidRPr="007D4DEC">
        <w:rPr>
          <w:lang w:val="fr-FR"/>
        </w:rPr>
        <w:t>origine.</w:t>
      </w:r>
    </w:p>
    <w:p w:rsidR="004149AA" w:rsidRPr="00B276C1" w:rsidRDefault="004149AA" w:rsidP="00EE69CB">
      <w:pPr>
        <w:pStyle w:val="ECHRParaQuote"/>
        <w:rPr>
          <w:lang w:val="fr-FR"/>
        </w:rPr>
      </w:pPr>
      <w:r w:rsidRPr="00B276C1">
        <w:rPr>
          <w:lang w:val="fr-FR"/>
        </w:rPr>
        <w:t>(</w:t>
      </w:r>
      <w:r>
        <w:rPr>
          <w:lang w:val="fr-FR"/>
        </w:rPr>
        <w:t>...</w:t>
      </w:r>
      <w:r w:rsidRPr="00B276C1">
        <w:rPr>
          <w:lang w:val="fr-FR"/>
        </w:rPr>
        <w:t>) ».</w:t>
      </w:r>
    </w:p>
    <w:p w:rsidR="004149AA" w:rsidRPr="00B276C1" w:rsidRDefault="004149AA" w:rsidP="00EE69CB">
      <w:pPr>
        <w:pStyle w:val="ECHRTitleCentre3"/>
        <w:rPr>
          <w:lang w:val="fr-FR"/>
        </w:rPr>
      </w:pPr>
      <w:r w:rsidRPr="00B276C1">
        <w:rPr>
          <w:lang w:val="fr-FR"/>
        </w:rPr>
        <w:t>Article 222-49</w:t>
      </w:r>
    </w:p>
    <w:p w:rsidR="004149AA" w:rsidRPr="00B276C1" w:rsidRDefault="004149AA" w:rsidP="00EE69CB">
      <w:pPr>
        <w:pStyle w:val="ECHRParaQuote"/>
        <w:rPr>
          <w:lang w:val="fr-FR"/>
        </w:rPr>
      </w:pPr>
      <w:r w:rsidRPr="007D4DEC">
        <w:rPr>
          <w:lang w:val="fr-FR"/>
        </w:rPr>
        <w:t>« Dans les cas prévus par les articles 222-34 à 222-40 [relatifs au trafic de stupéfiant], doit être prononcée la confiscation des installations, matériels et de tout bien ayant servi, directement ou indirectement, à la commission de l</w:t>
      </w:r>
      <w:r w:rsidR="00504D76">
        <w:rPr>
          <w:lang w:val="fr-FR"/>
        </w:rPr>
        <w:t>’</w:t>
      </w:r>
      <w:r w:rsidRPr="007D4DEC">
        <w:rPr>
          <w:lang w:val="fr-FR"/>
        </w:rPr>
        <w:t>infraction, ainsi que tout produit provenant de celle-ci, à quelque personne qu</w:t>
      </w:r>
      <w:r w:rsidR="00504D76">
        <w:rPr>
          <w:lang w:val="fr-FR"/>
        </w:rPr>
        <w:t>’</w:t>
      </w:r>
      <w:r w:rsidRPr="007D4DEC">
        <w:rPr>
          <w:lang w:val="fr-FR"/>
        </w:rPr>
        <w:t>ils appartiennent et en quelque lieu qu</w:t>
      </w:r>
      <w:r w:rsidR="00504D76">
        <w:rPr>
          <w:lang w:val="fr-FR"/>
        </w:rPr>
        <w:t>’</w:t>
      </w:r>
      <w:r w:rsidRPr="007D4DEC">
        <w:rPr>
          <w:lang w:val="fr-FR"/>
        </w:rPr>
        <w:t>ils se trouvent, dès lors que leur propriétaire ne pouvait en ignorer l</w:t>
      </w:r>
      <w:r w:rsidR="00504D76">
        <w:rPr>
          <w:lang w:val="fr-FR"/>
        </w:rPr>
        <w:t>’</w:t>
      </w:r>
      <w:r w:rsidRPr="007D4DEC">
        <w:rPr>
          <w:lang w:val="fr-FR"/>
        </w:rPr>
        <w:t>origine ou l</w:t>
      </w:r>
      <w:r w:rsidR="00504D76">
        <w:rPr>
          <w:lang w:val="fr-FR"/>
        </w:rPr>
        <w:t>’</w:t>
      </w:r>
      <w:r w:rsidRPr="007D4DEC">
        <w:rPr>
          <w:lang w:val="fr-FR"/>
        </w:rPr>
        <w:t>utilisation frauduleuse.</w:t>
      </w:r>
    </w:p>
    <w:p w:rsidR="004149AA" w:rsidRPr="00AD412E" w:rsidRDefault="004149AA" w:rsidP="00EE69CB">
      <w:pPr>
        <w:pStyle w:val="ECHRPara"/>
        <w:rPr>
          <w:lang w:val="fr-FR"/>
        </w:rPr>
      </w:pPr>
      <w:r w:rsidRPr="00B276C1">
        <w:rPr>
          <w:lang w:val="fr-FR"/>
        </w:rPr>
        <w:t>(</w:t>
      </w:r>
      <w:r>
        <w:rPr>
          <w:lang w:val="fr-FR"/>
        </w:rPr>
        <w:t>...</w:t>
      </w:r>
      <w:r w:rsidRPr="00B276C1">
        <w:rPr>
          <w:lang w:val="fr-FR"/>
        </w:rPr>
        <w:t>) ».</w:t>
      </w:r>
    </w:p>
    <w:p w:rsidR="004149AA" w:rsidRPr="00905EBC" w:rsidRDefault="004149AA" w:rsidP="00EE69CB">
      <w:pPr>
        <w:pStyle w:val="ECHRTitle1"/>
        <w:rPr>
          <w:lang w:val="fr-FR"/>
        </w:rPr>
      </w:pPr>
      <w:r w:rsidRPr="00905EBC">
        <w:rPr>
          <w:lang w:val="fr-FR"/>
        </w:rPr>
        <w:t>GRIEFS</w:t>
      </w:r>
    </w:p>
    <w:p w:rsidR="004149AA" w:rsidRDefault="004149AA" w:rsidP="00EE69CB">
      <w:pPr>
        <w:pStyle w:val="ECHRPara"/>
        <w:rPr>
          <w:lang w:val="fr-FR"/>
        </w:rPr>
      </w:pPr>
      <w:r>
        <w:rPr>
          <w:lang w:val="fr-FR"/>
        </w:rPr>
        <w:t>15.  </w:t>
      </w:r>
      <w:r w:rsidRPr="00905EBC">
        <w:rPr>
          <w:lang w:val="fr-FR"/>
        </w:rPr>
        <w:t>Invoquant l</w:t>
      </w:r>
      <w:r w:rsidR="00504D76">
        <w:rPr>
          <w:lang w:val="fr-FR"/>
        </w:rPr>
        <w:t>’</w:t>
      </w:r>
      <w:r w:rsidRPr="00905EBC">
        <w:rPr>
          <w:lang w:val="fr-FR"/>
        </w:rPr>
        <w:t xml:space="preserve">article </w:t>
      </w:r>
      <w:r>
        <w:rPr>
          <w:lang w:val="fr-FR"/>
        </w:rPr>
        <w:t>1 du Protocole n</w:t>
      </w:r>
      <w:r w:rsidRPr="009C4963">
        <w:rPr>
          <w:vertAlign w:val="superscript"/>
          <w:lang w:val="fr-FR"/>
        </w:rPr>
        <w:t>o</w:t>
      </w:r>
      <w:r>
        <w:rPr>
          <w:lang w:val="fr-FR"/>
        </w:rPr>
        <w:t xml:space="preserve"> 1</w:t>
      </w:r>
      <w:r w:rsidRPr="00905EBC">
        <w:rPr>
          <w:lang w:val="fr-FR"/>
        </w:rPr>
        <w:t xml:space="preserve"> de la Convention, les </w:t>
      </w:r>
      <w:r w:rsidRPr="00B276C1">
        <w:rPr>
          <w:lang w:val="fr-FR"/>
        </w:rPr>
        <w:t>requérants se plaignent d</w:t>
      </w:r>
      <w:r w:rsidR="00504D76">
        <w:rPr>
          <w:lang w:val="fr-FR"/>
        </w:rPr>
        <w:t>’</w:t>
      </w:r>
      <w:r w:rsidRPr="00B276C1">
        <w:rPr>
          <w:lang w:val="fr-FR"/>
        </w:rPr>
        <w:t>une violation de leur droit au respect de leurs biens</w:t>
      </w:r>
      <w:r>
        <w:rPr>
          <w:lang w:val="fr-FR"/>
        </w:rPr>
        <w:t>,</w:t>
      </w:r>
      <w:r w:rsidRPr="00307C5F">
        <w:rPr>
          <w:lang w:val="fr-FR"/>
        </w:rPr>
        <w:t xml:space="preserve"> </w:t>
      </w:r>
      <w:r w:rsidRPr="00B276C1">
        <w:rPr>
          <w:lang w:val="fr-FR"/>
        </w:rPr>
        <w:t>résultant de la confiscation de leur maison ordonnée par les juridictions répressives</w:t>
      </w:r>
      <w:r>
        <w:rPr>
          <w:lang w:val="fr-FR"/>
        </w:rPr>
        <w:t>.</w:t>
      </w:r>
    </w:p>
    <w:p w:rsidR="004149AA" w:rsidRDefault="004149AA" w:rsidP="00EE69CB">
      <w:pPr>
        <w:pStyle w:val="ECHRPara"/>
        <w:rPr>
          <w:lang w:val="fr-FR"/>
        </w:rPr>
      </w:pPr>
      <w:r>
        <w:rPr>
          <w:lang w:val="fr-FR"/>
        </w:rPr>
        <w:t>16.  </w:t>
      </w:r>
      <w:r w:rsidRPr="005B7DD4">
        <w:rPr>
          <w:lang w:val="fr-FR"/>
        </w:rPr>
        <w:t xml:space="preserve">Invoquant </w:t>
      </w:r>
      <w:r w:rsidRPr="005B7DD4">
        <w:rPr>
          <w:bCs/>
          <w:lang w:val="fr-FR"/>
        </w:rPr>
        <w:t>l</w:t>
      </w:r>
      <w:r w:rsidR="00504D76">
        <w:rPr>
          <w:bCs/>
          <w:lang w:val="fr-FR"/>
        </w:rPr>
        <w:t>’</w:t>
      </w:r>
      <w:r w:rsidRPr="005B7DD4">
        <w:rPr>
          <w:bCs/>
          <w:lang w:val="fr-FR"/>
        </w:rPr>
        <w:t>article 8 de la Convention, l</w:t>
      </w:r>
      <w:r w:rsidRPr="005B7DD4">
        <w:rPr>
          <w:lang w:val="fr-FR"/>
        </w:rPr>
        <w:t>es requérants se plaignent d</w:t>
      </w:r>
      <w:r w:rsidR="00504D76">
        <w:rPr>
          <w:lang w:val="fr-FR"/>
        </w:rPr>
        <w:t>’</w:t>
      </w:r>
      <w:r w:rsidRPr="005B7DD4">
        <w:rPr>
          <w:lang w:val="fr-FR"/>
        </w:rPr>
        <w:t xml:space="preserve">une violation de leur droit au respect de leur vie privée et familiale et de leur domicile résultant </w:t>
      </w:r>
      <w:r>
        <w:rPr>
          <w:lang w:val="fr-FR"/>
        </w:rPr>
        <w:t>de ces mêmes circonstances</w:t>
      </w:r>
      <w:r w:rsidRPr="005B7DD4">
        <w:rPr>
          <w:lang w:val="fr-FR"/>
        </w:rPr>
        <w:t>.</w:t>
      </w:r>
    </w:p>
    <w:p w:rsidR="004149AA" w:rsidRPr="00905EBC" w:rsidRDefault="004149AA" w:rsidP="00EE69CB">
      <w:pPr>
        <w:pStyle w:val="ECHRTitle1"/>
        <w:rPr>
          <w:lang w:val="fr-FR"/>
        </w:rPr>
      </w:pPr>
      <w:r w:rsidRPr="00905EBC">
        <w:rPr>
          <w:lang w:val="fr-FR"/>
        </w:rPr>
        <w:t>EN DROIT</w:t>
      </w:r>
    </w:p>
    <w:p w:rsidR="004149AA" w:rsidRPr="00AD412E" w:rsidRDefault="004149AA" w:rsidP="00EE69CB">
      <w:pPr>
        <w:pStyle w:val="ECHRHeading2"/>
        <w:rPr>
          <w:lang w:val="fr-FR"/>
        </w:rPr>
      </w:pPr>
      <w:r>
        <w:rPr>
          <w:lang w:val="fr-FR"/>
        </w:rPr>
        <w:t>A</w:t>
      </w:r>
      <w:r w:rsidRPr="00AD412E">
        <w:rPr>
          <w:lang w:val="fr-FR"/>
        </w:rPr>
        <w:t>.  S</w:t>
      </w:r>
      <w:r>
        <w:rPr>
          <w:lang w:val="fr-FR"/>
        </w:rPr>
        <w:t>ur la violation alléguée de l</w:t>
      </w:r>
      <w:r w:rsidR="00504D76">
        <w:rPr>
          <w:lang w:val="fr-FR"/>
        </w:rPr>
        <w:t>’</w:t>
      </w:r>
      <w:r>
        <w:rPr>
          <w:lang w:val="fr-FR"/>
        </w:rPr>
        <w:t>article 1 du Protocole n</w:t>
      </w:r>
      <w:r w:rsidRPr="009C4963">
        <w:rPr>
          <w:vertAlign w:val="superscript"/>
          <w:lang w:val="fr-FR"/>
        </w:rPr>
        <w:t>o</w:t>
      </w:r>
      <w:r>
        <w:rPr>
          <w:lang w:val="fr-FR"/>
        </w:rPr>
        <w:t xml:space="preserve"> 1</w:t>
      </w:r>
    </w:p>
    <w:p w:rsidR="004149AA" w:rsidRDefault="004149AA" w:rsidP="00EE69CB">
      <w:pPr>
        <w:pStyle w:val="ECHRPara"/>
        <w:rPr>
          <w:lang w:val="fr-FR"/>
        </w:rPr>
      </w:pPr>
      <w:r>
        <w:rPr>
          <w:lang w:val="fr-FR"/>
        </w:rPr>
        <w:t xml:space="preserve">17.  Les requérants invoquent </w:t>
      </w:r>
      <w:r w:rsidRPr="00B276C1">
        <w:rPr>
          <w:lang w:val="fr-FR"/>
        </w:rPr>
        <w:t>l</w:t>
      </w:r>
      <w:r w:rsidR="00504D76">
        <w:rPr>
          <w:lang w:val="fr-FR"/>
        </w:rPr>
        <w:t>’</w:t>
      </w:r>
      <w:r w:rsidRPr="00B276C1">
        <w:rPr>
          <w:lang w:val="fr-FR"/>
        </w:rPr>
        <w:t>article 1 du Protocole n</w:t>
      </w:r>
      <w:r w:rsidRPr="009C4963">
        <w:rPr>
          <w:vertAlign w:val="superscript"/>
          <w:lang w:val="fr-FR"/>
        </w:rPr>
        <w:t>o</w:t>
      </w:r>
      <w:r w:rsidRPr="00B276C1">
        <w:rPr>
          <w:lang w:val="fr-FR"/>
        </w:rPr>
        <w:t xml:space="preserve"> 1,</w:t>
      </w:r>
      <w:r>
        <w:rPr>
          <w:lang w:val="fr-FR"/>
        </w:rPr>
        <w:t xml:space="preserve"> aux termes duquel :</w:t>
      </w:r>
    </w:p>
    <w:p w:rsidR="004149AA" w:rsidRPr="00307C5F" w:rsidRDefault="004149AA" w:rsidP="00EE69CB">
      <w:pPr>
        <w:pStyle w:val="ECHRParaQuote"/>
        <w:rPr>
          <w:lang w:val="fr-FR"/>
        </w:rPr>
      </w:pPr>
      <w:r w:rsidRPr="00307C5F">
        <w:rPr>
          <w:lang w:val="fr-FR"/>
        </w:rPr>
        <w:t>« Toute personne physique ou morale a droit au respect de ses biens. Nul ne peut être privé de sa propriété que pour cause d</w:t>
      </w:r>
      <w:r w:rsidR="00504D76">
        <w:rPr>
          <w:lang w:val="fr-FR"/>
        </w:rPr>
        <w:t>’</w:t>
      </w:r>
      <w:r w:rsidRPr="00307C5F">
        <w:rPr>
          <w:lang w:val="fr-FR"/>
        </w:rPr>
        <w:t>utilité publique et dans les conditions prévues par la loi et les principes généraux du droit international.</w:t>
      </w:r>
    </w:p>
    <w:p w:rsidR="004149AA" w:rsidRPr="00307C5F" w:rsidRDefault="004149AA" w:rsidP="00EE69CB">
      <w:pPr>
        <w:pStyle w:val="ECHRParaQuote"/>
        <w:rPr>
          <w:lang w:val="fr-FR"/>
        </w:rPr>
      </w:pPr>
      <w:r w:rsidRPr="00307C5F">
        <w:rPr>
          <w:lang w:val="fr-FR"/>
        </w:rPr>
        <w:t>Les dispositions précédentes ne portent pas atteinte au droit que possèdent les États de mettre en vigueur les lois qu</w:t>
      </w:r>
      <w:r w:rsidR="00504D76">
        <w:rPr>
          <w:lang w:val="fr-FR"/>
        </w:rPr>
        <w:t>’</w:t>
      </w:r>
      <w:r w:rsidRPr="00307C5F">
        <w:rPr>
          <w:lang w:val="fr-FR"/>
        </w:rPr>
        <w:t>ils jugent nécessaires pour réglementer l</w:t>
      </w:r>
      <w:r w:rsidR="00504D76">
        <w:rPr>
          <w:lang w:val="fr-FR"/>
        </w:rPr>
        <w:t>’</w:t>
      </w:r>
      <w:r w:rsidRPr="00307C5F">
        <w:rPr>
          <w:lang w:val="fr-FR"/>
        </w:rPr>
        <w:t>usage des biens conformément à l</w:t>
      </w:r>
      <w:r w:rsidR="00504D76">
        <w:rPr>
          <w:lang w:val="fr-FR"/>
        </w:rPr>
        <w:t>’</w:t>
      </w:r>
      <w:r w:rsidRPr="00307C5F">
        <w:rPr>
          <w:lang w:val="fr-FR"/>
        </w:rPr>
        <w:t>intérêt général ou pour assurer le paiement des impôts ou d</w:t>
      </w:r>
      <w:r w:rsidR="00504D76">
        <w:rPr>
          <w:lang w:val="fr-FR"/>
        </w:rPr>
        <w:t>’</w:t>
      </w:r>
      <w:r w:rsidRPr="00307C5F">
        <w:rPr>
          <w:lang w:val="fr-FR"/>
        </w:rPr>
        <w:t>autres contributions ou des amendes. »</w:t>
      </w:r>
    </w:p>
    <w:p w:rsidR="004149AA" w:rsidRDefault="00504D76" w:rsidP="00EE69CB">
      <w:pPr>
        <w:pStyle w:val="ECHRHeading3"/>
        <w:rPr>
          <w:lang w:val="fr-FR"/>
        </w:rPr>
      </w:pPr>
      <w:r>
        <w:rPr>
          <w:lang w:val="fr-FR"/>
        </w:rPr>
        <w:t>1.  </w:t>
      </w:r>
      <w:r w:rsidR="004149AA">
        <w:rPr>
          <w:lang w:val="fr-FR"/>
        </w:rPr>
        <w:t>Les parties</w:t>
      </w:r>
    </w:p>
    <w:p w:rsidR="004149AA" w:rsidRDefault="004149AA" w:rsidP="00EE69CB">
      <w:pPr>
        <w:pStyle w:val="ECHRPara"/>
        <w:rPr>
          <w:lang w:val="fr-FR"/>
        </w:rPr>
      </w:pPr>
      <w:r>
        <w:rPr>
          <w:lang w:val="fr-FR"/>
        </w:rPr>
        <w:t>18.  Le Gouvernement admet que la confiscation litigieuse constitue une ingérence dans la jouissance du droit des requérants au respect de leurs biens. Il soutient que cette ingérence relève de la réglementation de l</w:t>
      </w:r>
      <w:r w:rsidR="00504D76">
        <w:rPr>
          <w:lang w:val="fr-FR"/>
        </w:rPr>
        <w:t>’</w:t>
      </w:r>
      <w:r>
        <w:rPr>
          <w:lang w:val="fr-FR"/>
        </w:rPr>
        <w:t>usage des biens au sens du second alinéa de l</w:t>
      </w:r>
      <w:r w:rsidR="00504D76">
        <w:rPr>
          <w:lang w:val="fr-FR"/>
        </w:rPr>
        <w:t>’</w:t>
      </w:r>
      <w:r>
        <w:rPr>
          <w:lang w:val="fr-FR"/>
        </w:rPr>
        <w:t>article 1 du Protocole n</w:t>
      </w:r>
      <w:r w:rsidRPr="009C4963">
        <w:rPr>
          <w:vertAlign w:val="superscript"/>
          <w:lang w:val="fr-FR"/>
        </w:rPr>
        <w:t>o</w:t>
      </w:r>
      <w:r>
        <w:rPr>
          <w:lang w:val="fr-FR"/>
        </w:rPr>
        <w:t xml:space="preserve"> 1, lequel confère aux États une large marge d</w:t>
      </w:r>
      <w:r w:rsidR="00504D76">
        <w:rPr>
          <w:lang w:val="fr-FR"/>
        </w:rPr>
        <w:t>’</w:t>
      </w:r>
      <w:r>
        <w:rPr>
          <w:lang w:val="fr-FR"/>
        </w:rPr>
        <w:t>appréciation en leur permettant d</w:t>
      </w:r>
      <w:r w:rsidR="00504D76">
        <w:rPr>
          <w:lang w:val="fr-FR"/>
        </w:rPr>
        <w:t>’</w:t>
      </w:r>
      <w:r>
        <w:rPr>
          <w:lang w:val="fr-FR"/>
        </w:rPr>
        <w:t>adopter les lois qu</w:t>
      </w:r>
      <w:r w:rsidR="00504D76">
        <w:rPr>
          <w:lang w:val="fr-FR"/>
        </w:rPr>
        <w:t>’</w:t>
      </w:r>
      <w:r>
        <w:rPr>
          <w:lang w:val="fr-FR"/>
        </w:rPr>
        <w:t>ils jugent nécessaires pour réglementer l</w:t>
      </w:r>
      <w:r w:rsidR="00504D76">
        <w:rPr>
          <w:lang w:val="fr-FR"/>
        </w:rPr>
        <w:t>’</w:t>
      </w:r>
      <w:r>
        <w:rPr>
          <w:lang w:val="fr-FR"/>
        </w:rPr>
        <w:t>usage des biens conformément à l</w:t>
      </w:r>
      <w:r w:rsidR="00504D76">
        <w:rPr>
          <w:lang w:val="fr-FR"/>
        </w:rPr>
        <w:t>’</w:t>
      </w:r>
      <w:r>
        <w:rPr>
          <w:lang w:val="fr-FR"/>
        </w:rPr>
        <w:t>intérêt général, et est prévue par la loi puisque fondée sur l</w:t>
      </w:r>
      <w:r w:rsidR="00504D76">
        <w:rPr>
          <w:lang w:val="fr-FR"/>
        </w:rPr>
        <w:t>’</w:t>
      </w:r>
      <w:r>
        <w:rPr>
          <w:lang w:val="fr-FR"/>
        </w:rPr>
        <w:t>article 321-10-1 du code pénal. Il ajoute qu</w:t>
      </w:r>
      <w:r w:rsidR="00504D76">
        <w:rPr>
          <w:lang w:val="fr-FR"/>
        </w:rPr>
        <w:t>’</w:t>
      </w:r>
      <w:r>
        <w:rPr>
          <w:lang w:val="fr-FR"/>
        </w:rPr>
        <w:t>elle repose sur des considérations d</w:t>
      </w:r>
      <w:r w:rsidR="00504D76">
        <w:rPr>
          <w:lang w:val="fr-FR"/>
        </w:rPr>
        <w:t>’</w:t>
      </w:r>
      <w:r>
        <w:rPr>
          <w:lang w:val="fr-FR"/>
        </w:rPr>
        <w:t>intérêt général dès lors qu</w:t>
      </w:r>
      <w:r w:rsidR="00504D76">
        <w:rPr>
          <w:lang w:val="fr-FR"/>
        </w:rPr>
        <w:t>’</w:t>
      </w:r>
      <w:r>
        <w:rPr>
          <w:lang w:val="fr-FR"/>
        </w:rPr>
        <w:t>elle a pour objectif la lutte contre le trafic de stupéfiants et le blanchiment de capitaux issus d</w:t>
      </w:r>
      <w:r w:rsidR="00504D76">
        <w:rPr>
          <w:lang w:val="fr-FR"/>
        </w:rPr>
        <w:t>’</w:t>
      </w:r>
      <w:r>
        <w:rPr>
          <w:lang w:val="fr-FR"/>
        </w:rPr>
        <w:t>une telle activité.</w:t>
      </w:r>
    </w:p>
    <w:p w:rsidR="004149AA" w:rsidRDefault="004149AA" w:rsidP="00EE69CB">
      <w:pPr>
        <w:pStyle w:val="ECHRPara"/>
        <w:rPr>
          <w:lang w:val="fr-FR"/>
        </w:rPr>
      </w:pPr>
      <w:r>
        <w:rPr>
          <w:lang w:val="fr-FR"/>
        </w:rPr>
        <w:t>19.  Le Gouvernement estime par ailleurs qu</w:t>
      </w:r>
      <w:r w:rsidR="00504D76">
        <w:rPr>
          <w:lang w:val="fr-FR"/>
        </w:rPr>
        <w:t>’</w:t>
      </w:r>
      <w:r>
        <w:rPr>
          <w:lang w:val="fr-FR"/>
        </w:rPr>
        <w:t>un juste équilibre a été respecté entre les exigences de l</w:t>
      </w:r>
      <w:r w:rsidR="00504D76">
        <w:rPr>
          <w:lang w:val="fr-FR"/>
        </w:rPr>
        <w:t>’</w:t>
      </w:r>
      <w:r>
        <w:rPr>
          <w:lang w:val="fr-FR"/>
        </w:rPr>
        <w:t>intérêt général et la sauvegarde des droits fondamentaux des requérants. Il souligne que le jugement et l</w:t>
      </w:r>
      <w:r w:rsidR="00504D76">
        <w:rPr>
          <w:lang w:val="fr-FR"/>
        </w:rPr>
        <w:t>’</w:t>
      </w:r>
      <w:r>
        <w:rPr>
          <w:lang w:val="fr-FR"/>
        </w:rPr>
        <w:t>arrêt d</w:t>
      </w:r>
      <w:r w:rsidR="00504D76">
        <w:rPr>
          <w:lang w:val="fr-FR"/>
        </w:rPr>
        <w:t>’</w:t>
      </w:r>
      <w:r>
        <w:rPr>
          <w:lang w:val="fr-FR"/>
        </w:rPr>
        <w:t>appel concluant que les requérants avaient omis de justifier de ressources correspondant à leur train de vie alors qu</w:t>
      </w:r>
      <w:r w:rsidR="00504D76">
        <w:rPr>
          <w:lang w:val="fr-FR"/>
        </w:rPr>
        <w:t>’</w:t>
      </w:r>
      <w:r>
        <w:rPr>
          <w:lang w:val="fr-FR"/>
        </w:rPr>
        <w:t>ils étaient en relation habituelle avec une personne se livrant au trafic de stupéfiant, au sens de l</w:t>
      </w:r>
      <w:r w:rsidR="00504D76">
        <w:rPr>
          <w:lang w:val="fr-FR"/>
        </w:rPr>
        <w:t>’</w:t>
      </w:r>
      <w:r w:rsidR="004D1B69">
        <w:rPr>
          <w:lang w:val="fr-FR"/>
        </w:rPr>
        <w:t>article </w:t>
      </w:r>
      <w:r>
        <w:rPr>
          <w:lang w:val="fr-FR"/>
        </w:rPr>
        <w:t>321</w:t>
      </w:r>
      <w:r>
        <w:rPr>
          <w:lang w:val="fr-FR"/>
        </w:rPr>
        <w:noBreakHyphen/>
        <w:t>6 du code pénal, exposent les éléments objectifs démontrant que les requérants étaient au courant du fait que leur fils se livrait au trafic de stupéfiant et démontrant que les fonds provenant de ce trafic avaient contribué à financer leur patrimoine. Il observe que les juges ont relevé que neuf véhicules étaient immatriculés au nom de l</w:t>
      </w:r>
      <w:r w:rsidR="00504D76">
        <w:rPr>
          <w:lang w:val="fr-FR"/>
        </w:rPr>
        <w:t>’</w:t>
      </w:r>
      <w:r>
        <w:rPr>
          <w:lang w:val="fr-FR"/>
        </w:rPr>
        <w:t>un ou l</w:t>
      </w:r>
      <w:r w:rsidR="00504D76">
        <w:rPr>
          <w:lang w:val="fr-FR"/>
        </w:rPr>
        <w:t>’</w:t>
      </w:r>
      <w:r>
        <w:rPr>
          <w:lang w:val="fr-FR"/>
        </w:rPr>
        <w:t>autre des requérants en 2006, qu</w:t>
      </w:r>
      <w:r w:rsidR="00504D76">
        <w:rPr>
          <w:lang w:val="fr-FR"/>
        </w:rPr>
        <w:t>’</w:t>
      </w:r>
      <w:r>
        <w:rPr>
          <w:lang w:val="fr-FR"/>
        </w:rPr>
        <w:t>ils avaient acquis en 2005 une maison pour 246 120 EUR, avaient fait réaliser de nombreux travaux, étaient titulaires de plusieurs comptes au Maroc et en France, avaient un train de vie largement supérieur à leurs revenus déclarés et ne pouvaient avoir effectué des économies aussi importantes que celles qu</w:t>
      </w:r>
      <w:r w:rsidR="00504D76">
        <w:rPr>
          <w:lang w:val="fr-FR"/>
        </w:rPr>
        <w:t>’</w:t>
      </w:r>
      <w:r>
        <w:rPr>
          <w:lang w:val="fr-FR"/>
        </w:rPr>
        <w:t>ils prétendaient avoir faites. Il ajoute que les juges ont également constaté que, si</w:t>
      </w:r>
      <w:r w:rsidRPr="006706CB">
        <w:rPr>
          <w:lang w:val="fr-FR"/>
        </w:rPr>
        <w:t xml:space="preserve"> </w:t>
      </w:r>
      <w:r>
        <w:rPr>
          <w:lang w:val="fr-FR"/>
        </w:rPr>
        <w:t>l</w:t>
      </w:r>
      <w:r w:rsidR="00504D76">
        <w:rPr>
          <w:lang w:val="fr-FR"/>
        </w:rPr>
        <w:t>’</w:t>
      </w:r>
      <w:r>
        <w:rPr>
          <w:lang w:val="fr-FR"/>
        </w:rPr>
        <w:t>acquisition de la maison avait été financée par un apport personnel des requérants de 96 120 EUR et par un crédit bancaire à leur nom de 150 000 EUR, ils n</w:t>
      </w:r>
      <w:r w:rsidR="00504D76">
        <w:rPr>
          <w:lang w:val="fr-FR"/>
        </w:rPr>
        <w:t>’</w:t>
      </w:r>
      <w:r>
        <w:rPr>
          <w:lang w:val="fr-FR"/>
        </w:rPr>
        <w:t>avaient pas démontré que cet apport était composé comme ils le prétendaient d</w:t>
      </w:r>
      <w:r w:rsidR="00504D76">
        <w:rPr>
          <w:lang w:val="fr-FR"/>
        </w:rPr>
        <w:t>’</w:t>
      </w:r>
      <w:r>
        <w:rPr>
          <w:lang w:val="fr-FR"/>
        </w:rPr>
        <w:t>économies personnelles, de la vente d</w:t>
      </w:r>
      <w:r w:rsidR="00504D76">
        <w:rPr>
          <w:lang w:val="fr-FR"/>
        </w:rPr>
        <w:t>’</w:t>
      </w:r>
      <w:r>
        <w:rPr>
          <w:lang w:val="fr-FR"/>
        </w:rPr>
        <w:t>un terrain au Maroc pour 13 119 EUR et d</w:t>
      </w:r>
      <w:r w:rsidR="00504D76">
        <w:rPr>
          <w:lang w:val="fr-FR"/>
        </w:rPr>
        <w:t>’</w:t>
      </w:r>
      <w:r>
        <w:rPr>
          <w:lang w:val="fr-FR"/>
        </w:rPr>
        <w:t>un héritage pour 19 193 EUR, et que les mensualités du prêt étaient payés par leur fils ; ils ont de plus constaté que les requérants n</w:t>
      </w:r>
      <w:r w:rsidR="00504D76">
        <w:rPr>
          <w:lang w:val="fr-FR"/>
        </w:rPr>
        <w:t>’</w:t>
      </w:r>
      <w:r>
        <w:rPr>
          <w:lang w:val="fr-FR"/>
        </w:rPr>
        <w:t>avaient pas été en mesure d</w:t>
      </w:r>
      <w:r w:rsidR="00504D76">
        <w:rPr>
          <w:lang w:val="fr-FR"/>
        </w:rPr>
        <w:t>’</w:t>
      </w:r>
      <w:r>
        <w:rPr>
          <w:lang w:val="fr-FR"/>
        </w:rPr>
        <w:t>établir l</w:t>
      </w:r>
      <w:r w:rsidR="00504D76">
        <w:rPr>
          <w:lang w:val="fr-FR"/>
        </w:rPr>
        <w:t>’</w:t>
      </w:r>
      <w:r>
        <w:rPr>
          <w:lang w:val="fr-FR"/>
        </w:rPr>
        <w:t>origine des fonds ayant servi en 2005 au remboursement par anticipation d</w:t>
      </w:r>
      <w:r w:rsidR="00504D76">
        <w:rPr>
          <w:lang w:val="fr-FR"/>
        </w:rPr>
        <w:t>’</w:t>
      </w:r>
      <w:r>
        <w:rPr>
          <w:lang w:val="fr-FR"/>
        </w:rPr>
        <w:t>une partie du prêt (19 400 EUR). Le Gouvernement conclut en conséquence à l</w:t>
      </w:r>
      <w:r w:rsidR="00504D76">
        <w:rPr>
          <w:lang w:val="fr-FR"/>
        </w:rPr>
        <w:t>’</w:t>
      </w:r>
      <w:r>
        <w:rPr>
          <w:lang w:val="fr-FR"/>
        </w:rPr>
        <w:t>absence de violation de l</w:t>
      </w:r>
      <w:r w:rsidR="00504D76">
        <w:rPr>
          <w:lang w:val="fr-FR"/>
        </w:rPr>
        <w:t>’</w:t>
      </w:r>
      <w:r>
        <w:rPr>
          <w:lang w:val="fr-FR"/>
        </w:rPr>
        <w:t>article 1 du Protocole n</w:t>
      </w:r>
      <w:r w:rsidRPr="009C4963">
        <w:rPr>
          <w:vertAlign w:val="superscript"/>
          <w:lang w:val="fr-FR"/>
        </w:rPr>
        <w:t>o</w:t>
      </w:r>
      <w:r>
        <w:rPr>
          <w:lang w:val="fr-FR"/>
        </w:rPr>
        <w:t xml:space="preserve"> 1.</w:t>
      </w:r>
    </w:p>
    <w:p w:rsidR="004149AA" w:rsidRDefault="004149AA" w:rsidP="00EE69CB">
      <w:pPr>
        <w:pStyle w:val="ECHRPara"/>
        <w:rPr>
          <w:lang w:val="fr-FR"/>
        </w:rPr>
      </w:pPr>
      <w:r>
        <w:rPr>
          <w:lang w:val="fr-FR"/>
        </w:rPr>
        <w:t>20.  Les requérants soulignent que la confiscation de leur maison constitue indéniablement une ingérence dans la jouissance de leur droit de propriété. Ils soutiennent avoir produit devant les juridictions internes des éléments démontrant que l</w:t>
      </w:r>
      <w:r w:rsidR="00504D76">
        <w:rPr>
          <w:lang w:val="fr-FR"/>
        </w:rPr>
        <w:t>’</w:t>
      </w:r>
      <w:r>
        <w:rPr>
          <w:lang w:val="fr-FR"/>
        </w:rPr>
        <w:t>acquisition de cette maison avait été réalisée par un moyen licite, à savoir un emprunt bancaire. Selon eux, il résulte du dossier pénal que seulement 30 000 EUR provenant du trafic de stupéfiants avaient été investis dans des travaux de rénovation de celle-ci. Ils estiment que l</w:t>
      </w:r>
      <w:r w:rsidR="00504D76">
        <w:rPr>
          <w:lang w:val="fr-FR"/>
        </w:rPr>
        <w:t>’</w:t>
      </w:r>
      <w:r>
        <w:rPr>
          <w:lang w:val="fr-FR"/>
        </w:rPr>
        <w:t>existence même de ce prêt et le solde qu</w:t>
      </w:r>
      <w:r w:rsidR="00504D76">
        <w:rPr>
          <w:lang w:val="fr-FR"/>
        </w:rPr>
        <w:t>’</w:t>
      </w:r>
      <w:r>
        <w:rPr>
          <w:lang w:val="fr-FR"/>
        </w:rPr>
        <w:t>ils doivent toujours à la banque prouvent incontestablement qu</w:t>
      </w:r>
      <w:r w:rsidR="00504D76">
        <w:rPr>
          <w:lang w:val="fr-FR"/>
        </w:rPr>
        <w:t>’</w:t>
      </w:r>
      <w:r>
        <w:rPr>
          <w:lang w:val="fr-FR"/>
        </w:rPr>
        <w:t>une partie très importante du prix d</w:t>
      </w:r>
      <w:r w:rsidR="00504D76">
        <w:rPr>
          <w:lang w:val="fr-FR"/>
        </w:rPr>
        <w:t>’</w:t>
      </w:r>
      <w:r>
        <w:rPr>
          <w:lang w:val="fr-FR"/>
        </w:rPr>
        <w:t>acquisition a été financée de manière licite. La violation de l</w:t>
      </w:r>
      <w:r w:rsidR="00504D76">
        <w:rPr>
          <w:lang w:val="fr-FR"/>
        </w:rPr>
        <w:t>’</w:t>
      </w:r>
      <w:r>
        <w:rPr>
          <w:lang w:val="fr-FR"/>
        </w:rPr>
        <w:t>article 1 du Protocole n</w:t>
      </w:r>
      <w:r w:rsidRPr="009C4963">
        <w:rPr>
          <w:vertAlign w:val="superscript"/>
          <w:lang w:val="fr-FR"/>
        </w:rPr>
        <w:t>o</w:t>
      </w:r>
      <w:r>
        <w:rPr>
          <w:lang w:val="fr-FR"/>
        </w:rPr>
        <w:t xml:space="preserve"> 1 résulterait ainsi du fait que, ordonnant purement et simplement la confiscation, les juridictions internes ont refusé de prendre en considération les éléments de preuve qu</w:t>
      </w:r>
      <w:r w:rsidR="00504D76">
        <w:rPr>
          <w:lang w:val="fr-FR"/>
        </w:rPr>
        <w:t>’</w:t>
      </w:r>
      <w:r>
        <w:rPr>
          <w:lang w:val="fr-FR"/>
        </w:rPr>
        <w:t>ils produisaient devant elles et d</w:t>
      </w:r>
      <w:r w:rsidR="00504D76">
        <w:rPr>
          <w:lang w:val="fr-FR"/>
        </w:rPr>
        <w:t>’</w:t>
      </w:r>
      <w:r>
        <w:rPr>
          <w:lang w:val="fr-FR"/>
        </w:rPr>
        <w:t>apprécier la proportion de ressources licites (ils soulignent à cet égard que ni les décisions rendues en leur cause, ni les conclusions de l</w:t>
      </w:r>
      <w:r w:rsidR="00504D76">
        <w:rPr>
          <w:lang w:val="fr-FR"/>
        </w:rPr>
        <w:t>’</w:t>
      </w:r>
      <w:r>
        <w:rPr>
          <w:lang w:val="fr-FR"/>
        </w:rPr>
        <w:t>avocat général devant la Cour de cassation ni le rapport du conseiller rapporteur, n</w:t>
      </w:r>
      <w:r w:rsidR="00504D76">
        <w:rPr>
          <w:lang w:val="fr-FR"/>
        </w:rPr>
        <w:t>’</w:t>
      </w:r>
      <w:r>
        <w:rPr>
          <w:lang w:val="fr-FR"/>
        </w:rPr>
        <w:t>évoquent la question de l</w:t>
      </w:r>
      <w:r w:rsidR="00504D76">
        <w:rPr>
          <w:lang w:val="fr-FR"/>
        </w:rPr>
        <w:t>’</w:t>
      </w:r>
      <w:r>
        <w:rPr>
          <w:lang w:val="fr-FR"/>
        </w:rPr>
        <w:t>examen de la proportion du financement du bien par des deniers licites). Rappelant que cette mesure s</w:t>
      </w:r>
      <w:r w:rsidR="00504D76">
        <w:rPr>
          <w:lang w:val="fr-FR"/>
        </w:rPr>
        <w:t>’</w:t>
      </w:r>
      <w:r>
        <w:rPr>
          <w:lang w:val="fr-FR"/>
        </w:rPr>
        <w:t>ajoute à leur condamnation à une peine de prison et à la confiscation de la somme de 28 070 EUR, ils soutiennent que la sanction pénale prononcée contre eux est disproportionnée et constitue une charge spéciale et excessive au regard des manquements reprochés. Ils renvoient aux conclusions de la Cour dans l</w:t>
      </w:r>
      <w:r w:rsidR="00504D76">
        <w:rPr>
          <w:lang w:val="fr-FR"/>
        </w:rPr>
        <w:t>’</w:t>
      </w:r>
      <w:r>
        <w:rPr>
          <w:lang w:val="fr-FR"/>
        </w:rPr>
        <w:t xml:space="preserve">affaire </w:t>
      </w:r>
      <w:proofErr w:type="spellStart"/>
      <w:r w:rsidRPr="00A5774E">
        <w:rPr>
          <w:i/>
          <w:lang w:val="fr-FR"/>
        </w:rPr>
        <w:t>Grifhorst</w:t>
      </w:r>
      <w:proofErr w:type="spellEnd"/>
      <w:r w:rsidRPr="00A5774E">
        <w:rPr>
          <w:i/>
          <w:lang w:val="fr-FR"/>
        </w:rPr>
        <w:t xml:space="preserve"> c. France</w:t>
      </w:r>
      <w:r w:rsidRPr="00A5774E">
        <w:rPr>
          <w:lang w:val="fr-FR"/>
        </w:rPr>
        <w:t xml:space="preserve"> </w:t>
      </w:r>
      <w:r>
        <w:rPr>
          <w:lang w:val="fr-FR"/>
        </w:rPr>
        <w:t>(</w:t>
      </w:r>
      <w:r w:rsidRPr="00A5774E">
        <w:rPr>
          <w:lang w:val="fr-FR"/>
        </w:rPr>
        <w:t>n</w:t>
      </w:r>
      <w:r w:rsidRPr="00A5774E">
        <w:rPr>
          <w:vertAlign w:val="superscript"/>
          <w:lang w:val="fr-FR"/>
        </w:rPr>
        <w:t>o</w:t>
      </w:r>
      <w:r w:rsidRPr="00A5774E">
        <w:rPr>
          <w:lang w:val="fr-FR"/>
        </w:rPr>
        <w:t xml:space="preserve"> 28336/02, </w:t>
      </w:r>
      <w:r w:rsidRPr="00A5774E">
        <w:rPr>
          <w:snapToGrid w:val="0"/>
          <w:lang w:val="fr-FR"/>
        </w:rPr>
        <w:t>§</w:t>
      </w:r>
      <w:r>
        <w:rPr>
          <w:snapToGrid w:val="0"/>
          <w:lang w:val="fr-FR"/>
        </w:rPr>
        <w:t>§ 105-106,</w:t>
      </w:r>
      <w:r w:rsidRPr="00A5774E">
        <w:rPr>
          <w:snapToGrid w:val="0"/>
          <w:lang w:val="fr-FR"/>
        </w:rPr>
        <w:t xml:space="preserve"> </w:t>
      </w:r>
      <w:r w:rsidRPr="00A5774E">
        <w:rPr>
          <w:lang w:val="fr-FR"/>
        </w:rPr>
        <w:t>26 février 2009</w:t>
      </w:r>
      <w:r>
        <w:rPr>
          <w:lang w:val="fr-FR"/>
        </w:rPr>
        <w:t>).</w:t>
      </w:r>
    </w:p>
    <w:p w:rsidR="004149AA" w:rsidRDefault="00504D76" w:rsidP="00EE69CB">
      <w:pPr>
        <w:pStyle w:val="ECHRHeading3"/>
        <w:rPr>
          <w:lang w:val="fr-FR"/>
        </w:rPr>
      </w:pPr>
      <w:r>
        <w:rPr>
          <w:lang w:val="fr-FR"/>
        </w:rPr>
        <w:t>2.  </w:t>
      </w:r>
      <w:r w:rsidR="004149AA">
        <w:rPr>
          <w:lang w:val="fr-FR"/>
        </w:rPr>
        <w:t>La Cour</w:t>
      </w:r>
    </w:p>
    <w:p w:rsidR="004149AA" w:rsidRDefault="004149AA" w:rsidP="00EE69CB">
      <w:pPr>
        <w:pStyle w:val="ECHRPara"/>
        <w:rPr>
          <w:lang w:val="fr-FR"/>
        </w:rPr>
      </w:pPr>
      <w:r>
        <w:rPr>
          <w:lang w:val="fr-FR"/>
        </w:rPr>
        <w:t>21</w:t>
      </w:r>
      <w:r w:rsidRPr="00FD1D52">
        <w:rPr>
          <w:lang w:val="fr-FR"/>
        </w:rPr>
        <w:t>.  </w:t>
      </w:r>
      <w:r>
        <w:rPr>
          <w:lang w:val="fr-FR"/>
        </w:rPr>
        <w:t>La Cour rappelle tout d</w:t>
      </w:r>
      <w:r w:rsidR="00504D76">
        <w:rPr>
          <w:lang w:val="fr-FR"/>
        </w:rPr>
        <w:t>’</w:t>
      </w:r>
      <w:r>
        <w:rPr>
          <w:lang w:val="fr-FR"/>
        </w:rPr>
        <w:t xml:space="preserve">abord que, même si elle implique une privation de propriété, </w:t>
      </w:r>
      <w:r w:rsidRPr="00960453">
        <w:rPr>
          <w:lang w:val="fr-FR"/>
        </w:rPr>
        <w:t xml:space="preserve">la confiscation critiquée relève du second paragraphe de </w:t>
      </w:r>
      <w:r>
        <w:rPr>
          <w:lang w:val="fr-FR"/>
        </w:rPr>
        <w:t>l</w:t>
      </w:r>
      <w:r w:rsidR="00504D76">
        <w:rPr>
          <w:lang w:val="fr-FR"/>
        </w:rPr>
        <w:t>’</w:t>
      </w:r>
      <w:r>
        <w:rPr>
          <w:lang w:val="fr-FR"/>
        </w:rPr>
        <w:t>article 1 du Protocole n</w:t>
      </w:r>
      <w:r w:rsidRPr="009C4963">
        <w:rPr>
          <w:vertAlign w:val="superscript"/>
          <w:lang w:val="fr-FR"/>
        </w:rPr>
        <w:t>o</w:t>
      </w:r>
      <w:r>
        <w:rPr>
          <w:lang w:val="fr-FR"/>
        </w:rPr>
        <w:t xml:space="preserve"> 1 </w:t>
      </w:r>
      <w:r w:rsidRPr="00960453">
        <w:rPr>
          <w:lang w:val="fr-FR"/>
        </w:rPr>
        <w:t>(</w:t>
      </w:r>
      <w:r>
        <w:rPr>
          <w:lang w:val="fr-FR"/>
        </w:rPr>
        <w:t xml:space="preserve">voir, notamment, </w:t>
      </w:r>
      <w:r w:rsidRPr="00960453">
        <w:rPr>
          <w:i/>
          <w:lang w:val="fr-FR"/>
        </w:rPr>
        <w:t>Phillips c. Royaume-Uni</w:t>
      </w:r>
      <w:r w:rsidRPr="00960453">
        <w:rPr>
          <w:lang w:val="fr-FR"/>
        </w:rPr>
        <w:t>, n</w:t>
      </w:r>
      <w:r w:rsidRPr="009C4963">
        <w:rPr>
          <w:vertAlign w:val="superscript"/>
          <w:lang w:val="fr-FR"/>
        </w:rPr>
        <w:t>o</w:t>
      </w:r>
      <w:r w:rsidRPr="00960453">
        <w:rPr>
          <w:lang w:val="fr-FR"/>
        </w:rPr>
        <w:t> 41087/98, § 51, CEDH 2001</w:t>
      </w:r>
      <w:r w:rsidRPr="00960453">
        <w:rPr>
          <w:lang w:val="fr-FR"/>
        </w:rPr>
        <w:noBreakHyphen/>
        <w:t>VII</w:t>
      </w:r>
      <w:r>
        <w:rPr>
          <w:lang w:val="fr-FR"/>
        </w:rPr>
        <w:t xml:space="preserve">, </w:t>
      </w:r>
      <w:proofErr w:type="spellStart"/>
      <w:r w:rsidRPr="00A5774E">
        <w:rPr>
          <w:i/>
          <w:lang w:val="fr-FR"/>
        </w:rPr>
        <w:t>Grifhorst</w:t>
      </w:r>
      <w:proofErr w:type="spellEnd"/>
      <w:r w:rsidRPr="00960453">
        <w:rPr>
          <w:lang w:val="fr-FR"/>
        </w:rPr>
        <w:t xml:space="preserve"> </w:t>
      </w:r>
      <w:r>
        <w:rPr>
          <w:lang w:val="fr-FR"/>
        </w:rPr>
        <w:t xml:space="preserve">précité, §§ 85-86, et </w:t>
      </w:r>
      <w:proofErr w:type="spellStart"/>
      <w:r w:rsidRPr="00960453">
        <w:rPr>
          <w:i/>
          <w:lang w:val="fr-FR"/>
        </w:rPr>
        <w:t>Silickienė</w:t>
      </w:r>
      <w:proofErr w:type="spellEnd"/>
      <w:r w:rsidRPr="00960453">
        <w:rPr>
          <w:i/>
          <w:lang w:val="fr-FR"/>
        </w:rPr>
        <w:t xml:space="preserve"> c. Lituanie</w:t>
      </w:r>
      <w:r w:rsidRPr="00960453">
        <w:rPr>
          <w:lang w:val="fr-FR"/>
        </w:rPr>
        <w:t>, n</w:t>
      </w:r>
      <w:r w:rsidRPr="009C4963">
        <w:rPr>
          <w:vertAlign w:val="superscript"/>
          <w:lang w:val="fr-FR"/>
        </w:rPr>
        <w:t>o</w:t>
      </w:r>
      <w:r w:rsidRPr="00960453">
        <w:rPr>
          <w:lang w:val="fr-FR"/>
        </w:rPr>
        <w:t xml:space="preserve"> 20496/02, § 62, 10 avril 2012).</w:t>
      </w:r>
    </w:p>
    <w:p w:rsidR="004149AA" w:rsidRDefault="004149AA" w:rsidP="00EE69CB">
      <w:pPr>
        <w:pStyle w:val="ECHRPara"/>
        <w:rPr>
          <w:lang w:val="fr-FR"/>
        </w:rPr>
      </w:pPr>
      <w:r>
        <w:rPr>
          <w:lang w:val="fr-FR"/>
        </w:rPr>
        <w:t>22.  Elle rappelle ensuite que toute</w:t>
      </w:r>
      <w:r w:rsidRPr="00402F17">
        <w:rPr>
          <w:lang w:val="fr-FR"/>
        </w:rPr>
        <w:t xml:space="preserve"> atteinte au droit au respect des biens doit ménager un « juste équilibre » entre les exigences de l</w:t>
      </w:r>
      <w:r w:rsidR="00504D76">
        <w:rPr>
          <w:lang w:val="fr-FR"/>
        </w:rPr>
        <w:t>’</w:t>
      </w:r>
      <w:r w:rsidRPr="00402F17">
        <w:rPr>
          <w:lang w:val="fr-FR"/>
        </w:rPr>
        <w:t>intérêt général de la collectivité et celles de la protection des droits fondamentaux de l</w:t>
      </w:r>
      <w:r w:rsidR="00504D76">
        <w:rPr>
          <w:lang w:val="fr-FR"/>
        </w:rPr>
        <w:t>’</w:t>
      </w:r>
      <w:r w:rsidRPr="00402F17">
        <w:rPr>
          <w:lang w:val="fr-FR"/>
        </w:rPr>
        <w:t>individu</w:t>
      </w:r>
      <w:r>
        <w:rPr>
          <w:lang w:val="fr-FR"/>
        </w:rPr>
        <w:t>. S</w:t>
      </w:r>
      <w:r w:rsidR="00504D76">
        <w:rPr>
          <w:lang w:val="fr-FR"/>
        </w:rPr>
        <w:t>’</w:t>
      </w:r>
      <w:r>
        <w:rPr>
          <w:lang w:val="fr-FR"/>
        </w:rPr>
        <w:t xml:space="preserve">agissant en particulier </w:t>
      </w:r>
      <w:r w:rsidRPr="00402F17">
        <w:rPr>
          <w:lang w:val="fr-FR"/>
        </w:rPr>
        <w:t xml:space="preserve">des ingérences </w:t>
      </w:r>
      <w:r>
        <w:rPr>
          <w:lang w:val="fr-FR"/>
        </w:rPr>
        <w:t>qui, comme en l</w:t>
      </w:r>
      <w:r w:rsidR="00504D76">
        <w:rPr>
          <w:lang w:val="fr-FR"/>
        </w:rPr>
        <w:t>’</w:t>
      </w:r>
      <w:r>
        <w:rPr>
          <w:lang w:val="fr-FR"/>
        </w:rPr>
        <w:t>espèce, relèvent</w:t>
      </w:r>
      <w:r w:rsidRPr="00402F17">
        <w:rPr>
          <w:lang w:val="fr-FR"/>
        </w:rPr>
        <w:t xml:space="preserve"> du second alinéa de l</w:t>
      </w:r>
      <w:r w:rsidR="00504D76">
        <w:rPr>
          <w:lang w:val="fr-FR"/>
        </w:rPr>
        <w:t>’</w:t>
      </w:r>
      <w:r w:rsidRPr="00402F17">
        <w:rPr>
          <w:lang w:val="fr-FR"/>
        </w:rPr>
        <w:t>article 1 du Protocole n</w:t>
      </w:r>
      <w:r w:rsidRPr="00402F17">
        <w:rPr>
          <w:vertAlign w:val="superscript"/>
          <w:lang w:val="fr-FR"/>
        </w:rPr>
        <w:t>o</w:t>
      </w:r>
      <w:r w:rsidRPr="00402F17">
        <w:rPr>
          <w:lang w:val="fr-FR"/>
        </w:rPr>
        <w:t xml:space="preserve"> 1, </w:t>
      </w:r>
      <w:r>
        <w:rPr>
          <w:lang w:val="fr-FR"/>
        </w:rPr>
        <w:t>lequel</w:t>
      </w:r>
      <w:r w:rsidRPr="00402F17">
        <w:rPr>
          <w:lang w:val="fr-FR"/>
        </w:rPr>
        <w:t xml:space="preserve"> prévoit spécialement le « droit que possèdent les États de mettre en vigueur les lois qu</w:t>
      </w:r>
      <w:r w:rsidR="00504D76">
        <w:rPr>
          <w:lang w:val="fr-FR"/>
        </w:rPr>
        <w:t>’</w:t>
      </w:r>
      <w:r w:rsidRPr="00402F17">
        <w:rPr>
          <w:lang w:val="fr-FR"/>
        </w:rPr>
        <w:t>ils jugent nécessaires pour réglementer l</w:t>
      </w:r>
      <w:r w:rsidR="00504D76">
        <w:rPr>
          <w:lang w:val="fr-FR"/>
        </w:rPr>
        <w:t>’</w:t>
      </w:r>
      <w:r w:rsidRPr="00402F17">
        <w:rPr>
          <w:lang w:val="fr-FR"/>
        </w:rPr>
        <w:t>usage des biens conformément à l</w:t>
      </w:r>
      <w:r w:rsidR="00504D76">
        <w:rPr>
          <w:lang w:val="fr-FR"/>
        </w:rPr>
        <w:t>’</w:t>
      </w:r>
      <w:r w:rsidRPr="00402F17">
        <w:rPr>
          <w:lang w:val="fr-FR"/>
        </w:rPr>
        <w:t>intérêt général (...) »,</w:t>
      </w:r>
      <w:r>
        <w:rPr>
          <w:lang w:val="fr-FR"/>
        </w:rPr>
        <w:t xml:space="preserve"> la Cour a précisé qu</w:t>
      </w:r>
      <w:r w:rsidR="00504D76">
        <w:rPr>
          <w:lang w:val="fr-FR"/>
        </w:rPr>
        <w:t>’</w:t>
      </w:r>
      <w:r>
        <w:rPr>
          <w:lang w:val="fr-FR"/>
        </w:rPr>
        <w:t>il</w:t>
      </w:r>
      <w:r w:rsidRPr="00402F17">
        <w:rPr>
          <w:lang w:val="fr-FR"/>
        </w:rPr>
        <w:t xml:space="preserve"> doit exister un rapport raisonnable de proportionnalité entre les moyens employés et le but visé</w:t>
      </w:r>
      <w:r>
        <w:rPr>
          <w:lang w:val="fr-FR"/>
        </w:rPr>
        <w:t xml:space="preserve"> et que </w:t>
      </w:r>
      <w:r w:rsidRPr="00402F17">
        <w:rPr>
          <w:lang w:val="fr-FR"/>
        </w:rPr>
        <w:t xml:space="preserve">les États disposent </w:t>
      </w:r>
      <w:r>
        <w:rPr>
          <w:lang w:val="fr-FR"/>
        </w:rPr>
        <w:t xml:space="preserve">à cet égard </w:t>
      </w:r>
      <w:r w:rsidRPr="00402F17">
        <w:rPr>
          <w:lang w:val="fr-FR"/>
        </w:rPr>
        <w:t>d</w:t>
      </w:r>
      <w:r w:rsidR="00504D76">
        <w:rPr>
          <w:lang w:val="fr-FR"/>
        </w:rPr>
        <w:t>’</w:t>
      </w:r>
      <w:r w:rsidRPr="00402F17">
        <w:rPr>
          <w:lang w:val="fr-FR"/>
        </w:rPr>
        <w:t>une ample marge d</w:t>
      </w:r>
      <w:r w:rsidR="00504D76">
        <w:rPr>
          <w:lang w:val="fr-FR"/>
        </w:rPr>
        <w:t>’</w:t>
      </w:r>
      <w:r w:rsidRPr="00402F17">
        <w:rPr>
          <w:lang w:val="fr-FR"/>
        </w:rPr>
        <w:t>appréciation tant pour choisir les modalités de mise en œuvre que pour juger si leurs conséquences se trouvent légitimées, dans l</w:t>
      </w:r>
      <w:r w:rsidR="00504D76">
        <w:rPr>
          <w:lang w:val="fr-FR"/>
        </w:rPr>
        <w:t>’</w:t>
      </w:r>
      <w:r w:rsidRPr="00402F17">
        <w:rPr>
          <w:lang w:val="fr-FR"/>
        </w:rPr>
        <w:t>intérêt général, par le souci d</w:t>
      </w:r>
      <w:r w:rsidR="00504D76">
        <w:rPr>
          <w:lang w:val="fr-FR"/>
        </w:rPr>
        <w:t>’</w:t>
      </w:r>
      <w:r w:rsidRPr="00402F17">
        <w:rPr>
          <w:lang w:val="fr-FR"/>
        </w:rPr>
        <w:t>atteindre l</w:t>
      </w:r>
      <w:r w:rsidR="00504D76">
        <w:rPr>
          <w:lang w:val="fr-FR"/>
        </w:rPr>
        <w:t>’</w:t>
      </w:r>
      <w:r w:rsidRPr="00402F17">
        <w:rPr>
          <w:lang w:val="fr-FR"/>
        </w:rPr>
        <w:t>objectif de la loi en cause (</w:t>
      </w:r>
      <w:r w:rsidRPr="00FD1D52">
        <w:rPr>
          <w:lang w:val="fr-FR"/>
        </w:rPr>
        <w:t>voir l</w:t>
      </w:r>
      <w:r w:rsidR="00504D76">
        <w:rPr>
          <w:lang w:val="fr-FR"/>
        </w:rPr>
        <w:t>’</w:t>
      </w:r>
      <w:r w:rsidRPr="00FD1D52">
        <w:rPr>
          <w:lang w:val="fr-FR"/>
        </w:rPr>
        <w:t>arrêt</w:t>
      </w:r>
      <w:r>
        <w:rPr>
          <w:i/>
          <w:lang w:val="fr-FR"/>
        </w:rPr>
        <w:t xml:space="preserve"> </w:t>
      </w:r>
      <w:proofErr w:type="spellStart"/>
      <w:r w:rsidRPr="00A5774E">
        <w:rPr>
          <w:i/>
          <w:lang w:val="fr-FR"/>
        </w:rPr>
        <w:t>Grifhorst</w:t>
      </w:r>
      <w:proofErr w:type="spellEnd"/>
      <w:r>
        <w:rPr>
          <w:lang w:val="fr-FR"/>
        </w:rPr>
        <w:t xml:space="preserve"> précité, §§ 82</w:t>
      </w:r>
      <w:r>
        <w:rPr>
          <w:lang w:val="fr-FR"/>
        </w:rPr>
        <w:noBreakHyphen/>
        <w:t>83, ainsi que les arrêts auquel il renvoie</w:t>
      </w:r>
      <w:r w:rsidRPr="00402F17">
        <w:rPr>
          <w:lang w:val="fr-FR"/>
        </w:rPr>
        <w:t>).</w:t>
      </w:r>
    </w:p>
    <w:p w:rsidR="004149AA" w:rsidRDefault="004149AA" w:rsidP="00EE69CB">
      <w:pPr>
        <w:pStyle w:val="ECHRPara"/>
        <w:rPr>
          <w:lang w:val="fr-FR"/>
        </w:rPr>
      </w:pPr>
      <w:r>
        <w:rPr>
          <w:lang w:val="fr-FR"/>
        </w:rPr>
        <w:t>23.  En l</w:t>
      </w:r>
      <w:r w:rsidR="00504D76">
        <w:rPr>
          <w:lang w:val="fr-FR"/>
        </w:rPr>
        <w:t>’</w:t>
      </w:r>
      <w:r>
        <w:rPr>
          <w:lang w:val="fr-FR"/>
        </w:rPr>
        <w:t>espèce, la Cour relève que la confiscation dont il est question est prévue par la loi : l</w:t>
      </w:r>
      <w:r w:rsidR="00504D76">
        <w:rPr>
          <w:lang w:val="fr-FR"/>
        </w:rPr>
        <w:t>’</w:t>
      </w:r>
      <w:r>
        <w:rPr>
          <w:lang w:val="fr-FR"/>
        </w:rPr>
        <w:t>article 222-49 et les a</w:t>
      </w:r>
      <w:r w:rsidRPr="00C168A1">
        <w:rPr>
          <w:lang w:val="fr-FR"/>
        </w:rPr>
        <w:t>rticle</w:t>
      </w:r>
      <w:r>
        <w:rPr>
          <w:lang w:val="fr-FR"/>
        </w:rPr>
        <w:t>s</w:t>
      </w:r>
      <w:r w:rsidRPr="00C168A1">
        <w:rPr>
          <w:lang w:val="fr-FR"/>
        </w:rPr>
        <w:t xml:space="preserve"> </w:t>
      </w:r>
      <w:r>
        <w:rPr>
          <w:lang w:val="fr-FR"/>
        </w:rPr>
        <w:t xml:space="preserve">321-6 et </w:t>
      </w:r>
      <w:r w:rsidRPr="00C168A1">
        <w:rPr>
          <w:lang w:val="fr-FR"/>
        </w:rPr>
        <w:t>321-10-1</w:t>
      </w:r>
      <w:r>
        <w:rPr>
          <w:lang w:val="fr-FR"/>
        </w:rPr>
        <w:t xml:space="preserve"> du code pénal.</w:t>
      </w:r>
    </w:p>
    <w:p w:rsidR="004149AA" w:rsidRDefault="004149AA" w:rsidP="00EE69CB">
      <w:pPr>
        <w:pStyle w:val="ECHRPara"/>
        <w:rPr>
          <w:lang w:val="fr-FR"/>
        </w:rPr>
      </w:pPr>
      <w:r>
        <w:rPr>
          <w:lang w:val="fr-FR"/>
        </w:rPr>
        <w:t>24.  Elle constate ensuite que cette mesure vise à lutter contre le trafic de stupéfiants et à le prévenir en dissuadant le recel et le blanchiment ; il s</w:t>
      </w:r>
      <w:r w:rsidR="00504D76">
        <w:rPr>
          <w:lang w:val="fr-FR"/>
        </w:rPr>
        <w:t>’</w:t>
      </w:r>
      <w:r>
        <w:rPr>
          <w:lang w:val="fr-FR"/>
        </w:rPr>
        <w:t>agit là à n</w:t>
      </w:r>
      <w:r w:rsidR="00504D76">
        <w:rPr>
          <w:lang w:val="fr-FR"/>
        </w:rPr>
        <w:t>’</w:t>
      </w:r>
      <w:r>
        <w:rPr>
          <w:lang w:val="fr-FR"/>
        </w:rPr>
        <w:t>en pas douter d</w:t>
      </w:r>
      <w:r w:rsidR="00504D76">
        <w:rPr>
          <w:lang w:val="fr-FR"/>
        </w:rPr>
        <w:t>’</w:t>
      </w:r>
      <w:r>
        <w:rPr>
          <w:lang w:val="fr-FR"/>
        </w:rPr>
        <w:t>un but d</w:t>
      </w:r>
      <w:r w:rsidR="00504D76">
        <w:rPr>
          <w:lang w:val="fr-FR"/>
        </w:rPr>
        <w:t>’</w:t>
      </w:r>
      <w:r>
        <w:rPr>
          <w:lang w:val="fr-FR"/>
        </w:rPr>
        <w:t xml:space="preserve">intérêt général (voir, par exemple, </w:t>
      </w:r>
      <w:proofErr w:type="spellStart"/>
      <w:r w:rsidRPr="00A5774E">
        <w:rPr>
          <w:i/>
          <w:lang w:val="fr-FR"/>
        </w:rPr>
        <w:t>Grifhorst</w:t>
      </w:r>
      <w:proofErr w:type="spellEnd"/>
      <w:r>
        <w:rPr>
          <w:lang w:val="fr-FR"/>
        </w:rPr>
        <w:t>, précité, § 92).</w:t>
      </w:r>
    </w:p>
    <w:p w:rsidR="004149AA" w:rsidRDefault="004149AA" w:rsidP="00EE69CB">
      <w:pPr>
        <w:pStyle w:val="ECHRPara"/>
        <w:rPr>
          <w:lang w:val="fr-FR"/>
        </w:rPr>
      </w:pPr>
      <w:r>
        <w:rPr>
          <w:lang w:val="fr-FR"/>
        </w:rPr>
        <w:t>25.  S</w:t>
      </w:r>
      <w:r w:rsidR="00504D76">
        <w:rPr>
          <w:lang w:val="fr-FR"/>
        </w:rPr>
        <w:t>’</w:t>
      </w:r>
      <w:r>
        <w:rPr>
          <w:lang w:val="fr-FR"/>
        </w:rPr>
        <w:t>agissant de la proportionnalité, le Gouvernement explique qu</w:t>
      </w:r>
      <w:r w:rsidR="00504D76">
        <w:rPr>
          <w:lang w:val="fr-FR"/>
        </w:rPr>
        <w:t>’</w:t>
      </w:r>
      <w:r>
        <w:rPr>
          <w:lang w:val="fr-FR"/>
        </w:rPr>
        <w:t>afin d</w:t>
      </w:r>
      <w:r w:rsidR="00504D76">
        <w:rPr>
          <w:lang w:val="fr-FR"/>
        </w:rPr>
        <w:t>’</w:t>
      </w:r>
      <w:r>
        <w:rPr>
          <w:lang w:val="fr-FR"/>
        </w:rPr>
        <w:t>atteindre efficacement ceux qui sont en relations habituelles avec une personne qui se livre à la commission de crimes ou de délits punis d</w:t>
      </w:r>
      <w:r w:rsidR="00504D76">
        <w:rPr>
          <w:lang w:val="fr-FR"/>
        </w:rPr>
        <w:t>’</w:t>
      </w:r>
      <w:r>
        <w:rPr>
          <w:lang w:val="fr-FR"/>
        </w:rPr>
        <w:t>au moins cinq ans d</w:t>
      </w:r>
      <w:r w:rsidR="00504D76">
        <w:rPr>
          <w:lang w:val="fr-FR"/>
        </w:rPr>
        <w:t>’</w:t>
      </w:r>
      <w:r>
        <w:rPr>
          <w:lang w:val="fr-FR"/>
        </w:rPr>
        <w:t>emprisonnement et qui ne peuvent justifier de ressources correspondant à leur train de vie ou de l</w:t>
      </w:r>
      <w:r w:rsidR="00504D76">
        <w:rPr>
          <w:lang w:val="fr-FR"/>
        </w:rPr>
        <w:t>’</w:t>
      </w:r>
      <w:r>
        <w:rPr>
          <w:lang w:val="fr-FR"/>
        </w:rPr>
        <w:t>origine de biens qu</w:t>
      </w:r>
      <w:r w:rsidR="00504D76">
        <w:rPr>
          <w:lang w:val="fr-FR"/>
        </w:rPr>
        <w:t>’</w:t>
      </w:r>
      <w:r>
        <w:rPr>
          <w:lang w:val="fr-FR"/>
        </w:rPr>
        <w:t>ils détiennent, le législateur a eu recours à la technique de la présomption : les intéressés sont présumés bénéficier en connaissance de cause de ressources ou de biens dont l</w:t>
      </w:r>
      <w:r w:rsidR="00504D76">
        <w:rPr>
          <w:lang w:val="fr-FR"/>
        </w:rPr>
        <w:t>’</w:t>
      </w:r>
      <w:r>
        <w:rPr>
          <w:lang w:val="fr-FR"/>
        </w:rPr>
        <w:t>origine est frauduleuse. Tout ou partie des biens dont ils n</w:t>
      </w:r>
      <w:r w:rsidR="00504D76">
        <w:rPr>
          <w:lang w:val="fr-FR"/>
        </w:rPr>
        <w:t>’</w:t>
      </w:r>
      <w:r>
        <w:rPr>
          <w:lang w:val="fr-FR"/>
        </w:rPr>
        <w:t>auront pu justifier l</w:t>
      </w:r>
      <w:r w:rsidR="00504D76">
        <w:rPr>
          <w:lang w:val="fr-FR"/>
        </w:rPr>
        <w:t>’</w:t>
      </w:r>
      <w:r>
        <w:rPr>
          <w:lang w:val="fr-FR"/>
        </w:rPr>
        <w:t>origine sont alors susceptibles d</w:t>
      </w:r>
      <w:r w:rsidR="00504D76">
        <w:rPr>
          <w:lang w:val="fr-FR"/>
        </w:rPr>
        <w:t>’</w:t>
      </w:r>
      <w:r>
        <w:rPr>
          <w:lang w:val="fr-FR"/>
        </w:rPr>
        <w:t>être confisqués à titre de peine complémentaire.</w:t>
      </w:r>
    </w:p>
    <w:p w:rsidR="004149AA" w:rsidRDefault="004149AA" w:rsidP="00EE69CB">
      <w:pPr>
        <w:pStyle w:val="ECHRPara"/>
        <w:rPr>
          <w:lang w:val="fr-FR"/>
        </w:rPr>
      </w:pPr>
      <w:r>
        <w:rPr>
          <w:lang w:val="fr-FR"/>
        </w:rPr>
        <w:t>26.  La Cour constate que l</w:t>
      </w:r>
      <w:r w:rsidR="00504D76">
        <w:rPr>
          <w:lang w:val="fr-FR"/>
        </w:rPr>
        <w:t>’</w:t>
      </w:r>
      <w:r>
        <w:rPr>
          <w:lang w:val="fr-FR"/>
        </w:rPr>
        <w:t>application de cette présomption et la mise en œuvre de cette mesure de confiscation ont eu des conséquences importantes sur le patrimoine des requérants.</w:t>
      </w:r>
    </w:p>
    <w:p w:rsidR="004149AA" w:rsidRDefault="004149AA" w:rsidP="00EE69CB">
      <w:pPr>
        <w:pStyle w:val="ECHRPara"/>
        <w:rPr>
          <w:lang w:val="fr-FR"/>
        </w:rPr>
      </w:pPr>
      <w:r>
        <w:rPr>
          <w:lang w:val="fr-FR"/>
        </w:rPr>
        <w:t>27.  Elle a cependant déjà eu l</w:t>
      </w:r>
      <w:r w:rsidR="00504D76">
        <w:rPr>
          <w:lang w:val="fr-FR"/>
        </w:rPr>
        <w:t>’</w:t>
      </w:r>
      <w:r>
        <w:rPr>
          <w:lang w:val="fr-FR"/>
        </w:rPr>
        <w:t>occasion de souligner, y compris dans le contexte de l</w:t>
      </w:r>
      <w:r w:rsidR="00504D76">
        <w:rPr>
          <w:lang w:val="fr-FR"/>
        </w:rPr>
        <w:t>’</w:t>
      </w:r>
      <w:r>
        <w:rPr>
          <w:lang w:val="fr-FR"/>
        </w:rPr>
        <w:t>application de l</w:t>
      </w:r>
      <w:r w:rsidR="00504D76">
        <w:rPr>
          <w:lang w:val="fr-FR"/>
        </w:rPr>
        <w:t>’</w:t>
      </w:r>
      <w:r>
        <w:rPr>
          <w:lang w:val="fr-FR"/>
        </w:rPr>
        <w:t>article 1 du Protocole n</w:t>
      </w:r>
      <w:r w:rsidRPr="009C4963">
        <w:rPr>
          <w:vertAlign w:val="superscript"/>
          <w:lang w:val="fr-FR"/>
        </w:rPr>
        <w:t>o</w:t>
      </w:r>
      <w:r>
        <w:rPr>
          <w:lang w:val="fr-FR"/>
        </w:rPr>
        <w:t xml:space="preserve"> 1 (voir, notamment, </w:t>
      </w:r>
      <w:proofErr w:type="spellStart"/>
      <w:r w:rsidRPr="00BA2700">
        <w:rPr>
          <w:i/>
          <w:lang w:val="fr-FR"/>
        </w:rPr>
        <w:t>Arcuri</w:t>
      </w:r>
      <w:proofErr w:type="spellEnd"/>
      <w:r>
        <w:rPr>
          <w:i/>
          <w:lang w:val="fr-FR"/>
        </w:rPr>
        <w:t xml:space="preserve"> et autres</w:t>
      </w:r>
      <w:r w:rsidRPr="00BA2700">
        <w:rPr>
          <w:i/>
          <w:lang w:val="fr-FR"/>
        </w:rPr>
        <w:t xml:space="preserve"> c. Italie</w:t>
      </w:r>
      <w:r>
        <w:rPr>
          <w:lang w:val="fr-FR"/>
        </w:rPr>
        <w:t xml:space="preserve"> (déc.), n</w:t>
      </w:r>
      <w:r w:rsidRPr="009C4963">
        <w:rPr>
          <w:vertAlign w:val="superscript"/>
          <w:lang w:val="fr-FR"/>
        </w:rPr>
        <w:t>o</w:t>
      </w:r>
      <w:r w:rsidRPr="00BA2700">
        <w:rPr>
          <w:lang w:val="fr-FR"/>
        </w:rPr>
        <w:t xml:space="preserve"> 52024/99, CEDH 2001 VII</w:t>
      </w:r>
      <w:r>
        <w:rPr>
          <w:lang w:val="fr-FR"/>
        </w:rPr>
        <w:t>,</w:t>
      </w:r>
      <w:r w:rsidRPr="00BA2700">
        <w:rPr>
          <w:lang w:val="fr-FR"/>
        </w:rPr>
        <w:t xml:space="preserve"> et </w:t>
      </w:r>
      <w:proofErr w:type="spellStart"/>
      <w:r w:rsidRPr="00BA2700">
        <w:rPr>
          <w:i/>
          <w:lang w:val="fr-FR"/>
        </w:rPr>
        <w:t>Riela</w:t>
      </w:r>
      <w:proofErr w:type="spellEnd"/>
      <w:r w:rsidRPr="00BA2700">
        <w:rPr>
          <w:i/>
          <w:lang w:val="fr-FR"/>
        </w:rPr>
        <w:t xml:space="preserve"> et autres c. Italie</w:t>
      </w:r>
      <w:r w:rsidRPr="00BA2700">
        <w:rPr>
          <w:lang w:val="fr-FR"/>
        </w:rPr>
        <w:t xml:space="preserve"> (</w:t>
      </w:r>
      <w:r>
        <w:rPr>
          <w:lang w:val="fr-FR"/>
        </w:rPr>
        <w:t xml:space="preserve">déc.), </w:t>
      </w:r>
      <w:r w:rsidRPr="00BA2700">
        <w:rPr>
          <w:lang w:val="fr-FR"/>
        </w:rPr>
        <w:t>n</w:t>
      </w:r>
      <w:r w:rsidRPr="009C4963">
        <w:rPr>
          <w:vertAlign w:val="superscript"/>
          <w:lang w:val="fr-FR"/>
        </w:rPr>
        <w:t>o</w:t>
      </w:r>
      <w:r>
        <w:rPr>
          <w:lang w:val="fr-FR"/>
        </w:rPr>
        <w:t> </w:t>
      </w:r>
      <w:r w:rsidRPr="00BA2700">
        <w:rPr>
          <w:lang w:val="fr-FR"/>
        </w:rPr>
        <w:t>52439/99, 4 septembre 2001</w:t>
      </w:r>
      <w:r>
        <w:rPr>
          <w:lang w:val="fr-FR"/>
        </w:rPr>
        <w:t xml:space="preserve">), que la Convention ne fait pas obstacle par principe aux présomptions de faits ou de droit. Elle a par ailleurs relevé </w:t>
      </w:r>
      <w:r w:rsidRPr="00DD58A1">
        <w:rPr>
          <w:lang w:val="fr-FR"/>
        </w:rPr>
        <w:t>que la confiscation de patrimoines criminels a acquis une place importante, tant dans l</w:t>
      </w:r>
      <w:r w:rsidR="00504D76">
        <w:rPr>
          <w:lang w:val="fr-FR"/>
        </w:rPr>
        <w:t>’</w:t>
      </w:r>
      <w:r w:rsidRPr="00DD58A1">
        <w:rPr>
          <w:lang w:val="fr-FR"/>
        </w:rPr>
        <w:t>ordre juridique de plusieurs États contractants que sur le plan international</w:t>
      </w:r>
      <w:r>
        <w:rPr>
          <w:lang w:val="fr-FR"/>
        </w:rPr>
        <w:t xml:space="preserve"> (donnant pour exemple </w:t>
      </w:r>
      <w:r w:rsidRPr="00DD58A1">
        <w:rPr>
          <w:lang w:val="fr-FR"/>
        </w:rPr>
        <w:t>la Convention du Conseil de l</w:t>
      </w:r>
      <w:r w:rsidR="00504D76">
        <w:rPr>
          <w:lang w:val="fr-FR"/>
        </w:rPr>
        <w:t>’</w:t>
      </w:r>
      <w:r w:rsidRPr="00DD58A1">
        <w:rPr>
          <w:lang w:val="fr-FR"/>
        </w:rPr>
        <w:t>Europe relative au blanchiment, au dépistage, à la saisie et à la confiscation des produits du crime, du 8 novembre 1990)</w:t>
      </w:r>
      <w:r>
        <w:rPr>
          <w:lang w:val="fr-FR"/>
        </w:rPr>
        <w:t>, et qu</w:t>
      </w:r>
      <w:r w:rsidR="00504D76">
        <w:rPr>
          <w:lang w:val="fr-FR"/>
        </w:rPr>
        <w:t>’</w:t>
      </w:r>
      <w:r>
        <w:rPr>
          <w:lang w:val="fr-FR"/>
        </w:rPr>
        <w:t>elle est aujourd</w:t>
      </w:r>
      <w:r w:rsidR="00504D76">
        <w:rPr>
          <w:lang w:val="fr-FR"/>
        </w:rPr>
        <w:t>’</w:t>
      </w:r>
      <w:r>
        <w:rPr>
          <w:lang w:val="fr-FR"/>
        </w:rPr>
        <w:t xml:space="preserve">hui utilisée non seulement </w:t>
      </w:r>
      <w:r w:rsidRPr="00DD58A1">
        <w:rPr>
          <w:lang w:val="fr-FR"/>
        </w:rPr>
        <w:t xml:space="preserve">comme moyen de preuve, mais </w:t>
      </w:r>
      <w:r>
        <w:rPr>
          <w:lang w:val="fr-FR"/>
        </w:rPr>
        <w:t>aussi</w:t>
      </w:r>
      <w:r w:rsidRPr="00DD58A1">
        <w:rPr>
          <w:lang w:val="fr-FR"/>
        </w:rPr>
        <w:t xml:space="preserve"> en tant que sanction indépendante d</w:t>
      </w:r>
      <w:r w:rsidR="00504D76">
        <w:rPr>
          <w:lang w:val="fr-FR"/>
        </w:rPr>
        <w:t>’</w:t>
      </w:r>
      <w:r w:rsidRPr="00DD58A1">
        <w:rPr>
          <w:lang w:val="fr-FR"/>
        </w:rPr>
        <w:t>un délit</w:t>
      </w:r>
      <w:r>
        <w:rPr>
          <w:lang w:val="fr-FR"/>
        </w:rPr>
        <w:t xml:space="preserve"> (</w:t>
      </w:r>
      <w:r w:rsidRPr="00DD58A1">
        <w:rPr>
          <w:i/>
          <w:lang w:val="fr-FR"/>
        </w:rPr>
        <w:t>Tas c. Belgique</w:t>
      </w:r>
      <w:r>
        <w:rPr>
          <w:lang w:val="fr-FR"/>
        </w:rPr>
        <w:t xml:space="preserve"> (déc.), n</w:t>
      </w:r>
      <w:r w:rsidRPr="009C4963">
        <w:rPr>
          <w:vertAlign w:val="superscript"/>
          <w:lang w:val="fr-FR"/>
        </w:rPr>
        <w:t>o</w:t>
      </w:r>
      <w:r>
        <w:rPr>
          <w:lang w:val="fr-FR"/>
        </w:rPr>
        <w:t> 44614/06, 12 mai 2009)</w:t>
      </w:r>
      <w:r w:rsidRPr="00DD58A1">
        <w:rPr>
          <w:lang w:val="fr-FR"/>
        </w:rPr>
        <w:t>.</w:t>
      </w:r>
    </w:p>
    <w:p w:rsidR="004149AA" w:rsidRDefault="004149AA" w:rsidP="00EE69CB">
      <w:pPr>
        <w:pStyle w:val="ECHRPara"/>
        <w:rPr>
          <w:lang w:val="fr-FR"/>
        </w:rPr>
      </w:pPr>
      <w:r>
        <w:rPr>
          <w:lang w:val="fr-FR"/>
        </w:rPr>
        <w:t>28</w:t>
      </w:r>
      <w:r w:rsidRPr="006179EE">
        <w:rPr>
          <w:lang w:val="fr-FR"/>
        </w:rPr>
        <w:t>.  La Cour relève en outre qu</w:t>
      </w:r>
      <w:r w:rsidR="00504D76">
        <w:rPr>
          <w:lang w:val="fr-FR"/>
        </w:rPr>
        <w:t>’</w:t>
      </w:r>
      <w:r w:rsidRPr="006179EE">
        <w:rPr>
          <w:lang w:val="fr-FR"/>
        </w:rPr>
        <w:t>il s</w:t>
      </w:r>
      <w:r w:rsidR="00504D76">
        <w:rPr>
          <w:lang w:val="fr-FR"/>
        </w:rPr>
        <w:t>’</w:t>
      </w:r>
      <w:r w:rsidRPr="006179EE">
        <w:rPr>
          <w:lang w:val="fr-FR"/>
        </w:rPr>
        <w:t>agit d</w:t>
      </w:r>
      <w:r w:rsidR="00504D76">
        <w:rPr>
          <w:lang w:val="fr-FR"/>
        </w:rPr>
        <w:t>’</w:t>
      </w:r>
      <w:r w:rsidRPr="006179EE">
        <w:rPr>
          <w:lang w:val="fr-FR"/>
        </w:rPr>
        <w:t xml:space="preserve">une présomption </w:t>
      </w:r>
      <w:proofErr w:type="spellStart"/>
      <w:r>
        <w:rPr>
          <w:lang w:val="fr-FR"/>
        </w:rPr>
        <w:t>réfragable</w:t>
      </w:r>
      <w:proofErr w:type="spellEnd"/>
      <w:r>
        <w:rPr>
          <w:lang w:val="fr-FR"/>
        </w:rPr>
        <w:t xml:space="preserve"> </w:t>
      </w:r>
      <w:r w:rsidRPr="004C258E">
        <w:rPr>
          <w:lang w:val="fr-FR"/>
        </w:rPr>
        <w:t>qui se rapporte à des questions dont les requérants avaient une connaissance particulière : ces derniers</w:t>
      </w:r>
      <w:r w:rsidRPr="006179EE">
        <w:rPr>
          <w:lang w:val="fr-FR"/>
        </w:rPr>
        <w:t xml:space="preserve"> avaient la possibilité d</w:t>
      </w:r>
      <w:r w:rsidR="00504D76">
        <w:rPr>
          <w:lang w:val="fr-FR"/>
        </w:rPr>
        <w:t>’</w:t>
      </w:r>
      <w:r w:rsidRPr="006179EE">
        <w:rPr>
          <w:lang w:val="fr-FR"/>
        </w:rPr>
        <w:t>échapper à la condamnation en établissant l</w:t>
      </w:r>
      <w:r w:rsidR="00504D76">
        <w:rPr>
          <w:lang w:val="fr-FR"/>
        </w:rPr>
        <w:t>’</w:t>
      </w:r>
      <w:r w:rsidRPr="006179EE">
        <w:rPr>
          <w:lang w:val="fr-FR"/>
        </w:rPr>
        <w:t>origine licite de leurs ressources et biens. Or, contrairement à ce qu</w:t>
      </w:r>
      <w:r w:rsidR="00504D76">
        <w:rPr>
          <w:lang w:val="fr-FR"/>
        </w:rPr>
        <w:t>’</w:t>
      </w:r>
      <w:r w:rsidRPr="006179EE">
        <w:rPr>
          <w:lang w:val="fr-FR"/>
        </w:rPr>
        <w:t>ils soutiennent, il ressort des motifs du jugement du tribunal correctionnel de Mulhouse du 11 juillet 2008 (paragraphe 8 ci-dessus) et de l</w:t>
      </w:r>
      <w:r w:rsidR="00504D76">
        <w:rPr>
          <w:lang w:val="fr-FR"/>
        </w:rPr>
        <w:t>’</w:t>
      </w:r>
      <w:r w:rsidRPr="006179EE">
        <w:rPr>
          <w:lang w:val="fr-FR"/>
        </w:rPr>
        <w:t>arrêt de la cour d</w:t>
      </w:r>
      <w:r w:rsidR="00504D76">
        <w:rPr>
          <w:lang w:val="fr-FR"/>
        </w:rPr>
        <w:t>’</w:t>
      </w:r>
      <w:r w:rsidRPr="006179EE">
        <w:rPr>
          <w:lang w:val="fr-FR"/>
        </w:rPr>
        <w:t>appel de Colmar du 23 janvier 2009 (paragraphe 9 ci-dessus), qu</w:t>
      </w:r>
      <w:r w:rsidR="00504D76">
        <w:rPr>
          <w:lang w:val="fr-FR"/>
        </w:rPr>
        <w:t>’</w:t>
      </w:r>
      <w:r w:rsidRPr="006179EE">
        <w:rPr>
          <w:lang w:val="fr-FR"/>
        </w:rPr>
        <w:t>après avoir constaté que leur train de vie était sans rapport avec les revenus qu</w:t>
      </w:r>
      <w:r w:rsidR="00504D76">
        <w:rPr>
          <w:lang w:val="fr-FR"/>
        </w:rPr>
        <w:t>’</w:t>
      </w:r>
      <w:r w:rsidRPr="006179EE">
        <w:rPr>
          <w:lang w:val="fr-FR"/>
        </w:rPr>
        <w:t>ils déclaraient, les juridictions internes ont dûment examiné les éléments qu</w:t>
      </w:r>
      <w:r w:rsidR="00504D76">
        <w:rPr>
          <w:lang w:val="fr-FR"/>
        </w:rPr>
        <w:t>’</w:t>
      </w:r>
      <w:r w:rsidRPr="006179EE">
        <w:rPr>
          <w:lang w:val="fr-FR"/>
        </w:rPr>
        <w:t>ils ont produits à cette fin. Elles ont notamment pris en compte leurs allégations selon lesquelles leurs ressources provenaient d</w:t>
      </w:r>
      <w:r w:rsidR="00504D76">
        <w:rPr>
          <w:lang w:val="fr-FR"/>
        </w:rPr>
        <w:t>’</w:t>
      </w:r>
      <w:r w:rsidRPr="006179EE">
        <w:rPr>
          <w:lang w:val="fr-FR"/>
        </w:rPr>
        <w:t>un héritage et de la vente d</w:t>
      </w:r>
      <w:r w:rsidR="00504D76">
        <w:rPr>
          <w:lang w:val="fr-FR"/>
        </w:rPr>
        <w:t>’</w:t>
      </w:r>
      <w:r w:rsidRPr="006179EE">
        <w:rPr>
          <w:lang w:val="fr-FR"/>
        </w:rPr>
        <w:t>un terrain au Maroc, mais ont constaté qu</w:t>
      </w:r>
      <w:r w:rsidR="00504D76">
        <w:rPr>
          <w:lang w:val="fr-FR"/>
        </w:rPr>
        <w:t>’</w:t>
      </w:r>
      <w:r w:rsidRPr="006179EE">
        <w:rPr>
          <w:lang w:val="fr-FR"/>
        </w:rPr>
        <w:t>ils n</w:t>
      </w:r>
      <w:r w:rsidR="00504D76">
        <w:rPr>
          <w:lang w:val="fr-FR"/>
        </w:rPr>
        <w:t>’</w:t>
      </w:r>
      <w:r w:rsidRPr="006179EE">
        <w:rPr>
          <w:lang w:val="fr-FR"/>
        </w:rPr>
        <w:t>apportaient pas la preuve du transfert en France des sommes correspondantes. Elles ont par ailleurs relevé qu</w:t>
      </w:r>
      <w:r w:rsidR="00504D76">
        <w:rPr>
          <w:lang w:val="fr-FR"/>
        </w:rPr>
        <w:t>’</w:t>
      </w:r>
      <w:r w:rsidRPr="006179EE">
        <w:rPr>
          <w:lang w:val="fr-FR"/>
        </w:rPr>
        <w:t>ils ne justifiaient pas les nombreux versements en liquide réalisés sur leurs comptes, et, au vu des éléments du dossier, jugé établi que les échéances du prêt contracté pour l</w:t>
      </w:r>
      <w:r w:rsidR="00504D76">
        <w:rPr>
          <w:lang w:val="fr-FR"/>
        </w:rPr>
        <w:t>’</w:t>
      </w:r>
      <w:r w:rsidRPr="006179EE">
        <w:rPr>
          <w:lang w:val="fr-FR"/>
        </w:rPr>
        <w:t>achat de la maison étaient réglées par A. et que ce dernier avait payé les travaux réalisés sur celle-ci. Elles ont en outre pris en compte le comportement des requérants, relevant en particulier qu</w:t>
      </w:r>
      <w:r w:rsidR="00504D76">
        <w:rPr>
          <w:lang w:val="fr-FR"/>
        </w:rPr>
        <w:t>’</w:t>
      </w:r>
      <w:r w:rsidRPr="006179EE">
        <w:rPr>
          <w:lang w:val="fr-FR"/>
        </w:rPr>
        <w:t>ils ne pouvaient ignorer l</w:t>
      </w:r>
      <w:r w:rsidR="00504D76">
        <w:rPr>
          <w:lang w:val="fr-FR"/>
        </w:rPr>
        <w:t>’</w:t>
      </w:r>
      <w:r w:rsidRPr="006179EE">
        <w:rPr>
          <w:lang w:val="fr-FR"/>
        </w:rPr>
        <w:t>origine de l</w:t>
      </w:r>
      <w:r w:rsidR="00504D76">
        <w:rPr>
          <w:lang w:val="fr-FR"/>
        </w:rPr>
        <w:t>’</w:t>
      </w:r>
      <w:r w:rsidRPr="006179EE">
        <w:rPr>
          <w:lang w:val="fr-FR"/>
        </w:rPr>
        <w:t>argent dont leur fils les faisait profiter.</w:t>
      </w:r>
    </w:p>
    <w:p w:rsidR="004149AA" w:rsidRDefault="004149AA" w:rsidP="00EE69CB">
      <w:pPr>
        <w:pStyle w:val="ECHRPara"/>
        <w:rPr>
          <w:lang w:val="fr-FR"/>
        </w:rPr>
      </w:pPr>
      <w:r>
        <w:rPr>
          <w:lang w:val="fr-FR"/>
        </w:rPr>
        <w:t>29.  Plus largement, rien ne permet de considérer que les requérants, qui ont bénéficié de deux degrés de juridiction ainsi que d</w:t>
      </w:r>
      <w:r w:rsidR="00504D76">
        <w:rPr>
          <w:lang w:val="fr-FR"/>
        </w:rPr>
        <w:t>’</w:t>
      </w:r>
      <w:r>
        <w:rPr>
          <w:lang w:val="fr-FR"/>
        </w:rPr>
        <w:t>un pourvoi et qui ne prétendent pas être victimes d</w:t>
      </w:r>
      <w:r w:rsidR="00504D76">
        <w:rPr>
          <w:lang w:val="fr-FR"/>
        </w:rPr>
        <w:t>’</w:t>
      </w:r>
      <w:r>
        <w:rPr>
          <w:lang w:val="fr-FR"/>
        </w:rPr>
        <w:t>une violation de leur droit à un procès équitable, n</w:t>
      </w:r>
      <w:r w:rsidR="00504D76">
        <w:rPr>
          <w:lang w:val="fr-FR"/>
        </w:rPr>
        <w:t>’</w:t>
      </w:r>
      <w:r>
        <w:rPr>
          <w:lang w:val="fr-FR"/>
        </w:rPr>
        <w:t>auraient pas eu une occasion adéquate d</w:t>
      </w:r>
      <w:r w:rsidR="00504D76">
        <w:rPr>
          <w:lang w:val="fr-FR"/>
        </w:rPr>
        <w:t>’</w:t>
      </w:r>
      <w:r>
        <w:rPr>
          <w:lang w:val="fr-FR"/>
        </w:rPr>
        <w:t xml:space="preserve">exposer leur cause aux juridictions compétentes (voir en particulier les décisions </w:t>
      </w:r>
      <w:proofErr w:type="spellStart"/>
      <w:r w:rsidRPr="006E2D50">
        <w:rPr>
          <w:i/>
          <w:lang w:val="fr-FR"/>
        </w:rPr>
        <w:t>Arcuri</w:t>
      </w:r>
      <w:proofErr w:type="spellEnd"/>
      <w:r w:rsidRPr="006E2D50">
        <w:rPr>
          <w:i/>
          <w:lang w:val="fr-FR"/>
        </w:rPr>
        <w:t xml:space="preserve"> et autres</w:t>
      </w:r>
      <w:r>
        <w:rPr>
          <w:lang w:val="fr-FR"/>
        </w:rPr>
        <w:t xml:space="preserve">, </w:t>
      </w:r>
      <w:proofErr w:type="spellStart"/>
      <w:r w:rsidRPr="006E2D50">
        <w:rPr>
          <w:i/>
          <w:lang w:val="fr-FR"/>
        </w:rPr>
        <w:t>Riela</w:t>
      </w:r>
      <w:proofErr w:type="spellEnd"/>
      <w:r w:rsidRPr="006E2D50">
        <w:rPr>
          <w:i/>
          <w:lang w:val="fr-FR"/>
        </w:rPr>
        <w:t xml:space="preserve"> et autres</w:t>
      </w:r>
      <w:r>
        <w:rPr>
          <w:lang w:val="fr-FR"/>
        </w:rPr>
        <w:t xml:space="preserve"> et </w:t>
      </w:r>
      <w:r w:rsidRPr="00DD58A1">
        <w:rPr>
          <w:i/>
          <w:lang w:val="fr-FR"/>
        </w:rPr>
        <w:t>Tas</w:t>
      </w:r>
      <w:r>
        <w:rPr>
          <w:lang w:val="fr-FR"/>
        </w:rPr>
        <w:t xml:space="preserve"> précitées).</w:t>
      </w:r>
    </w:p>
    <w:p w:rsidR="00504D76" w:rsidRDefault="004149AA" w:rsidP="00EE69CB">
      <w:pPr>
        <w:pStyle w:val="ECHRPara"/>
        <w:rPr>
          <w:lang w:val="fr-FR"/>
        </w:rPr>
      </w:pPr>
      <w:r>
        <w:rPr>
          <w:lang w:val="fr-FR"/>
        </w:rPr>
        <w:t>30</w:t>
      </w:r>
      <w:r w:rsidRPr="006179EE">
        <w:rPr>
          <w:lang w:val="fr-FR"/>
        </w:rPr>
        <w:t>.  Il apparait certes qu</w:t>
      </w:r>
      <w:r w:rsidR="00504D76">
        <w:rPr>
          <w:lang w:val="fr-FR"/>
        </w:rPr>
        <w:t>’</w:t>
      </w:r>
      <w:r w:rsidRPr="006179EE">
        <w:rPr>
          <w:lang w:val="fr-FR"/>
        </w:rPr>
        <w:t>une partie du financement de l</w:t>
      </w:r>
      <w:r w:rsidR="00504D76">
        <w:rPr>
          <w:lang w:val="fr-FR"/>
        </w:rPr>
        <w:t>’</w:t>
      </w:r>
      <w:r w:rsidRPr="006179EE">
        <w:rPr>
          <w:lang w:val="fr-FR"/>
        </w:rPr>
        <w:t>acquisition de la maison des requérants a une autre source que les revenus du trafic de stupéfiants auquel se livrait leur fils. La Cour relève en effet que les requérants ont été jugés coupables d</w:t>
      </w:r>
      <w:r w:rsidR="00504D76">
        <w:rPr>
          <w:lang w:val="fr-FR"/>
        </w:rPr>
        <w:t>’</w:t>
      </w:r>
      <w:r w:rsidRPr="006179EE">
        <w:rPr>
          <w:lang w:val="fr-FR"/>
        </w:rPr>
        <w:t>avoir, « courant 2004, courant 2005, courant 2006 et depuis temps non prescrit » (paragraphe 6 ci-dessus), commis l</w:t>
      </w:r>
      <w:r w:rsidR="00504D76">
        <w:rPr>
          <w:lang w:val="fr-FR"/>
        </w:rPr>
        <w:t>’</w:t>
      </w:r>
      <w:r w:rsidRPr="006179EE">
        <w:rPr>
          <w:lang w:val="fr-FR"/>
        </w:rPr>
        <w:t>infraction prévue par l</w:t>
      </w:r>
      <w:r w:rsidR="00504D76">
        <w:rPr>
          <w:lang w:val="fr-FR"/>
        </w:rPr>
        <w:t>’</w:t>
      </w:r>
      <w:r w:rsidRPr="006179EE">
        <w:rPr>
          <w:lang w:val="fr-FR"/>
        </w:rPr>
        <w:t>article 321-6 du code pénal, et que leurs ressources postérieures à 2006 ne sont pas en cause. La partie du prêt immobilier contracté par les requérants pour l</w:t>
      </w:r>
      <w:r w:rsidR="00504D76">
        <w:rPr>
          <w:lang w:val="fr-FR"/>
        </w:rPr>
        <w:t>’</w:t>
      </w:r>
      <w:r w:rsidRPr="006179EE">
        <w:rPr>
          <w:lang w:val="fr-FR"/>
        </w:rPr>
        <w:t>achat de la maison dont le remboursement restait dû après 2006 constitue donc un moyen de financement de l</w:t>
      </w:r>
      <w:r w:rsidR="00504D76">
        <w:rPr>
          <w:lang w:val="fr-FR"/>
        </w:rPr>
        <w:t>’</w:t>
      </w:r>
      <w:r w:rsidRPr="006179EE">
        <w:rPr>
          <w:lang w:val="fr-FR"/>
        </w:rPr>
        <w:t>acquisition de celle-ci dont la source ne se trouve pas dans le trafic dans le cadre duquel ils ont été condamnés.</w:t>
      </w:r>
    </w:p>
    <w:p w:rsidR="004149AA" w:rsidRDefault="004149AA" w:rsidP="00EE69CB">
      <w:pPr>
        <w:pStyle w:val="ECHRPara"/>
        <w:rPr>
          <w:lang w:val="fr-FR"/>
        </w:rPr>
      </w:pPr>
      <w:r>
        <w:rPr>
          <w:lang w:val="fr-FR"/>
        </w:rPr>
        <w:t>31.  La Cour observe toutefois qu</w:t>
      </w:r>
      <w:r w:rsidR="00504D76">
        <w:rPr>
          <w:lang w:val="fr-FR"/>
        </w:rPr>
        <w:t>’</w:t>
      </w:r>
      <w:r>
        <w:rPr>
          <w:lang w:val="fr-FR"/>
        </w:rPr>
        <w:t>achetée 246 120 EUR le 1</w:t>
      </w:r>
      <w:r w:rsidRPr="00EB6F88">
        <w:rPr>
          <w:vertAlign w:val="superscript"/>
          <w:lang w:val="fr-FR"/>
        </w:rPr>
        <w:t>er</w:t>
      </w:r>
      <w:r>
        <w:rPr>
          <w:lang w:val="fr-FR"/>
        </w:rPr>
        <w:t xml:space="preserve"> mars 2005, cette maison n</w:t>
      </w:r>
      <w:r w:rsidR="00504D76">
        <w:rPr>
          <w:lang w:val="fr-FR"/>
        </w:rPr>
        <w:t>’</w:t>
      </w:r>
      <w:r>
        <w:rPr>
          <w:lang w:val="fr-FR"/>
        </w:rPr>
        <w:t>a été financée par l</w:t>
      </w:r>
      <w:r w:rsidR="00504D76">
        <w:rPr>
          <w:lang w:val="fr-FR"/>
        </w:rPr>
        <w:t>’</w:t>
      </w:r>
      <w:r>
        <w:rPr>
          <w:lang w:val="fr-FR"/>
        </w:rPr>
        <w:t>emprunt immobilier contracté par les requérants qu</w:t>
      </w:r>
      <w:r w:rsidR="00504D76">
        <w:rPr>
          <w:lang w:val="fr-FR"/>
        </w:rPr>
        <w:t>’</w:t>
      </w:r>
      <w:r>
        <w:rPr>
          <w:lang w:val="fr-FR"/>
        </w:rPr>
        <w:t>à hauteur de 150 000 EUR et qu</w:t>
      </w:r>
      <w:r w:rsidR="00504D76">
        <w:rPr>
          <w:lang w:val="fr-FR"/>
        </w:rPr>
        <w:t>’</w:t>
      </w:r>
      <w:r>
        <w:rPr>
          <w:lang w:val="fr-FR"/>
        </w:rPr>
        <w:t>une partie de cette somme (19 400 EUR) a été remboursée par anticipation avant 2007. Eu égard en outre aux échéances de l</w:t>
      </w:r>
      <w:r w:rsidR="00504D76">
        <w:rPr>
          <w:lang w:val="fr-FR"/>
        </w:rPr>
        <w:t>’</w:t>
      </w:r>
      <w:r>
        <w:rPr>
          <w:lang w:val="fr-FR"/>
        </w:rPr>
        <w:t>emprunt réglées en 2005 et 2006 et au fait que des travaux de réfection et d</w:t>
      </w:r>
      <w:r w:rsidR="00504D76">
        <w:rPr>
          <w:lang w:val="fr-FR"/>
        </w:rPr>
        <w:t>’</w:t>
      </w:r>
      <w:r>
        <w:rPr>
          <w:lang w:val="fr-FR"/>
        </w:rPr>
        <w:t>aménagement couteux ont été réalisés avant 2007, la Cour ne voit rien d</w:t>
      </w:r>
      <w:r w:rsidR="00504D76">
        <w:rPr>
          <w:lang w:val="fr-FR"/>
        </w:rPr>
        <w:t>’</w:t>
      </w:r>
      <w:r>
        <w:rPr>
          <w:lang w:val="fr-FR"/>
        </w:rPr>
        <w:t>excessif dans la conclusion de la cour d</w:t>
      </w:r>
      <w:r w:rsidR="00504D76">
        <w:rPr>
          <w:lang w:val="fr-FR"/>
        </w:rPr>
        <w:t>’</w:t>
      </w:r>
      <w:r>
        <w:rPr>
          <w:lang w:val="fr-FR"/>
        </w:rPr>
        <w:t>appel de Colmar selon laquelle c</w:t>
      </w:r>
      <w:r w:rsidR="00504D76">
        <w:rPr>
          <w:lang w:val="fr-FR"/>
        </w:rPr>
        <w:t>’</w:t>
      </w:r>
      <w:r>
        <w:rPr>
          <w:lang w:val="fr-FR"/>
        </w:rPr>
        <w:t>est « l</w:t>
      </w:r>
      <w:r w:rsidR="00504D76">
        <w:rPr>
          <w:lang w:val="fr-FR"/>
        </w:rPr>
        <w:t>’</w:t>
      </w:r>
      <w:r>
        <w:rPr>
          <w:lang w:val="fr-FR"/>
        </w:rPr>
        <w:t>essentiel » de ce patrimoine qui provenait des fruits du trafic de stupéfiants auquel se livrait A.</w:t>
      </w:r>
    </w:p>
    <w:p w:rsidR="004149AA" w:rsidRDefault="004149AA" w:rsidP="00EE69CB">
      <w:pPr>
        <w:pStyle w:val="ECHRPara"/>
        <w:rPr>
          <w:lang w:val="fr-FR"/>
        </w:rPr>
      </w:pPr>
      <w:r>
        <w:rPr>
          <w:lang w:val="fr-FR"/>
        </w:rPr>
        <w:t>32.  Par ailleurs, elle voit dans la décision des juridictions internes de confisquer la maison dans son intégralité à titre de peine, l</w:t>
      </w:r>
      <w:r w:rsidR="00504D76">
        <w:rPr>
          <w:lang w:val="fr-FR"/>
        </w:rPr>
        <w:t>’</w:t>
      </w:r>
      <w:r>
        <w:rPr>
          <w:lang w:val="fr-FR"/>
        </w:rPr>
        <w:t>expression d</w:t>
      </w:r>
      <w:r w:rsidR="00504D76">
        <w:rPr>
          <w:lang w:val="fr-FR"/>
        </w:rPr>
        <w:t>’</w:t>
      </w:r>
      <w:r>
        <w:rPr>
          <w:lang w:val="fr-FR"/>
        </w:rPr>
        <w:t>une volonté légitime de sanctionner sévèrement des faits graves dont les requérants s</w:t>
      </w:r>
      <w:r w:rsidR="00504D76">
        <w:rPr>
          <w:lang w:val="fr-FR"/>
        </w:rPr>
        <w:t>’</w:t>
      </w:r>
      <w:r>
        <w:rPr>
          <w:lang w:val="fr-FR"/>
        </w:rPr>
        <w:t>étaient rendus coupables, qui s</w:t>
      </w:r>
      <w:r w:rsidR="00504D76">
        <w:rPr>
          <w:lang w:val="fr-FR"/>
        </w:rPr>
        <w:t>’</w:t>
      </w:r>
      <w:r>
        <w:rPr>
          <w:lang w:val="fr-FR"/>
        </w:rPr>
        <w:t>apparentaient à du recel de délit, et qui, de surcroît, s</w:t>
      </w:r>
      <w:r w:rsidR="00504D76">
        <w:rPr>
          <w:lang w:val="fr-FR"/>
        </w:rPr>
        <w:t>’</w:t>
      </w:r>
      <w:r>
        <w:rPr>
          <w:lang w:val="fr-FR"/>
        </w:rPr>
        <w:t>inscrivaient dans le contexte d</w:t>
      </w:r>
      <w:r w:rsidR="00504D76">
        <w:rPr>
          <w:lang w:val="fr-FR"/>
        </w:rPr>
        <w:t>’</w:t>
      </w:r>
      <w:r>
        <w:rPr>
          <w:lang w:val="fr-FR"/>
        </w:rPr>
        <w:t>un trafic de stupéfiants d</w:t>
      </w:r>
      <w:r w:rsidR="00504D76">
        <w:rPr>
          <w:lang w:val="fr-FR"/>
        </w:rPr>
        <w:t>’</w:t>
      </w:r>
      <w:r>
        <w:rPr>
          <w:lang w:val="fr-FR"/>
        </w:rPr>
        <w:t>une grande ampleur au niveau local. É</w:t>
      </w:r>
      <w:r w:rsidRPr="001C3743">
        <w:rPr>
          <w:lang w:val="fr-FR"/>
        </w:rPr>
        <w:t xml:space="preserve">tant donné les </w:t>
      </w:r>
      <w:r w:rsidRPr="001C3743">
        <w:rPr>
          <w:rStyle w:val="wordhighlighted"/>
          <w:lang w:val="fr-FR"/>
        </w:rPr>
        <w:t>ravages de la drogue</w:t>
      </w:r>
      <w:r w:rsidRPr="001C3743">
        <w:rPr>
          <w:rStyle w:val="sb8d990e2"/>
          <w:lang w:val="fr-FR"/>
        </w:rPr>
        <w:t xml:space="preserve">, </w:t>
      </w:r>
      <w:r>
        <w:rPr>
          <w:rStyle w:val="sb8d990e2"/>
          <w:lang w:val="fr-FR"/>
        </w:rPr>
        <w:t>elle</w:t>
      </w:r>
      <w:r w:rsidRPr="001C3743">
        <w:rPr>
          <w:rStyle w:val="sb8d990e2"/>
          <w:lang w:val="fr-FR"/>
        </w:rPr>
        <w:t xml:space="preserve"> conçoit que les autorités des États parties fassent preuve d</w:t>
      </w:r>
      <w:r w:rsidR="00504D76">
        <w:rPr>
          <w:rStyle w:val="sb8d990e2"/>
          <w:lang w:val="fr-FR"/>
        </w:rPr>
        <w:t>’</w:t>
      </w:r>
      <w:r w:rsidRPr="001C3743">
        <w:rPr>
          <w:rStyle w:val="sb8d990e2"/>
          <w:lang w:val="fr-FR"/>
        </w:rPr>
        <w:t>une grande fermeté à l</w:t>
      </w:r>
      <w:r w:rsidR="00504D76">
        <w:rPr>
          <w:rStyle w:val="sb8d990e2"/>
          <w:lang w:val="fr-FR"/>
        </w:rPr>
        <w:t>’</w:t>
      </w:r>
      <w:r w:rsidRPr="001C3743">
        <w:rPr>
          <w:rStyle w:val="sb8d990e2"/>
          <w:lang w:val="fr-FR"/>
        </w:rPr>
        <w:t>égard de ceux qui contribuent à la propagation de ce fléau (</w:t>
      </w:r>
      <w:r>
        <w:rPr>
          <w:rStyle w:val="sb8d990e2"/>
          <w:lang w:val="fr-FR"/>
        </w:rPr>
        <w:t xml:space="preserve">voir, par exemple, </w:t>
      </w:r>
      <w:proofErr w:type="spellStart"/>
      <w:r w:rsidRPr="001C3743">
        <w:rPr>
          <w:i/>
          <w:lang w:val="fr-FR"/>
        </w:rPr>
        <w:t>Medvedyev</w:t>
      </w:r>
      <w:proofErr w:type="spellEnd"/>
      <w:r w:rsidRPr="001C3743">
        <w:rPr>
          <w:i/>
          <w:lang w:val="fr-FR"/>
        </w:rPr>
        <w:t xml:space="preserve"> et autres</w:t>
      </w:r>
      <w:r w:rsidRPr="001C3743">
        <w:rPr>
          <w:lang w:val="fr-FR"/>
        </w:rPr>
        <w:t xml:space="preserve"> </w:t>
      </w:r>
      <w:r w:rsidRPr="001C3743">
        <w:rPr>
          <w:i/>
          <w:lang w:val="fr-FR"/>
        </w:rPr>
        <w:t>c</w:t>
      </w:r>
      <w:r w:rsidRPr="001C3743">
        <w:rPr>
          <w:lang w:val="fr-FR"/>
        </w:rPr>
        <w:t xml:space="preserve">. </w:t>
      </w:r>
      <w:r w:rsidRPr="001C3743">
        <w:rPr>
          <w:i/>
          <w:lang w:val="fr-FR"/>
        </w:rPr>
        <w:t>France</w:t>
      </w:r>
      <w:r w:rsidRPr="001C3743">
        <w:rPr>
          <w:lang w:val="fr-FR"/>
        </w:rPr>
        <w:t xml:space="preserve"> [GC], n</w:t>
      </w:r>
      <w:r w:rsidRPr="001C3743">
        <w:rPr>
          <w:vertAlign w:val="superscript"/>
          <w:lang w:val="fr-FR"/>
        </w:rPr>
        <w:t>o</w:t>
      </w:r>
      <w:r>
        <w:rPr>
          <w:vertAlign w:val="superscript"/>
          <w:lang w:val="fr-FR"/>
        </w:rPr>
        <w:t> </w:t>
      </w:r>
      <w:r w:rsidRPr="001C3743">
        <w:rPr>
          <w:lang w:val="fr-FR"/>
        </w:rPr>
        <w:t>3394/03, §</w:t>
      </w:r>
      <w:r>
        <w:rPr>
          <w:lang w:val="fr-FR"/>
        </w:rPr>
        <w:t> 8</w:t>
      </w:r>
      <w:r w:rsidRPr="001C3743">
        <w:rPr>
          <w:lang w:val="fr-FR"/>
        </w:rPr>
        <w:t>1, CEDH 2010</w:t>
      </w:r>
      <w:r>
        <w:rPr>
          <w:lang w:val="fr-FR"/>
        </w:rPr>
        <w:t xml:space="preserve">, et </w:t>
      </w:r>
      <w:r w:rsidRPr="002625C9">
        <w:rPr>
          <w:i/>
          <w:lang w:val="fr-FR"/>
        </w:rPr>
        <w:t>D. c. Royaume-Uni</w:t>
      </w:r>
      <w:r w:rsidRPr="002625C9">
        <w:rPr>
          <w:lang w:val="fr-FR"/>
        </w:rPr>
        <w:t xml:space="preserve">, 2 mai 1997, § 46, </w:t>
      </w:r>
      <w:r w:rsidRPr="002625C9">
        <w:rPr>
          <w:i/>
          <w:lang w:val="fr-FR"/>
        </w:rPr>
        <w:t>Recueil des arrêts et décisions</w:t>
      </w:r>
      <w:r w:rsidRPr="002625C9">
        <w:rPr>
          <w:lang w:val="fr-FR"/>
        </w:rPr>
        <w:t xml:space="preserve"> 1997</w:t>
      </w:r>
      <w:r w:rsidRPr="002625C9">
        <w:rPr>
          <w:lang w:val="fr-FR"/>
        </w:rPr>
        <w:noBreakHyphen/>
        <w:t>III</w:t>
      </w:r>
      <w:r w:rsidRPr="001C3743">
        <w:rPr>
          <w:lang w:val="fr-FR"/>
        </w:rPr>
        <w:t>).</w:t>
      </w:r>
    </w:p>
    <w:p w:rsidR="004149AA" w:rsidRDefault="004149AA" w:rsidP="00EE69CB">
      <w:pPr>
        <w:pStyle w:val="ECHRPara"/>
        <w:rPr>
          <w:rStyle w:val="sb8d990e2"/>
          <w:lang w:val="fr-FR"/>
        </w:rPr>
      </w:pPr>
      <w:r>
        <w:rPr>
          <w:lang w:val="fr-FR"/>
        </w:rPr>
        <w:t>33.  Enfin, la Cour constate que l</w:t>
      </w:r>
      <w:r w:rsidR="00504D76">
        <w:rPr>
          <w:lang w:val="fr-FR"/>
        </w:rPr>
        <w:t>’</w:t>
      </w:r>
      <w:r>
        <w:rPr>
          <w:lang w:val="fr-FR"/>
        </w:rPr>
        <w:t>espèce se distingue de l</w:t>
      </w:r>
      <w:r w:rsidR="00504D76">
        <w:rPr>
          <w:lang w:val="fr-FR"/>
        </w:rPr>
        <w:t>’</w:t>
      </w:r>
      <w:r>
        <w:rPr>
          <w:lang w:val="fr-FR"/>
        </w:rPr>
        <w:t xml:space="preserve">affaire </w:t>
      </w:r>
      <w:proofErr w:type="spellStart"/>
      <w:r w:rsidRPr="00A5774E">
        <w:rPr>
          <w:i/>
          <w:lang w:val="fr-FR"/>
        </w:rPr>
        <w:t>Grifhorst</w:t>
      </w:r>
      <w:proofErr w:type="spellEnd"/>
      <w:r>
        <w:rPr>
          <w:lang w:val="fr-FR"/>
        </w:rPr>
        <w:t xml:space="preserve"> (précitée) à laquelle se réfèrent les requérants. Cette affaire concernait la condamnation d</w:t>
      </w:r>
      <w:r w:rsidR="00504D76">
        <w:rPr>
          <w:lang w:val="fr-FR"/>
        </w:rPr>
        <w:t>’</w:t>
      </w:r>
      <w:r>
        <w:rPr>
          <w:lang w:val="fr-FR"/>
        </w:rPr>
        <w:t>un individu pour avoir omis de déclarer une somme équivalant à 233 056 EUR lors de son passage de la frontière franco-andorrane. Reconnu coupable du délit de non-respect de l</w:t>
      </w:r>
      <w:r w:rsidR="00504D76">
        <w:rPr>
          <w:lang w:val="fr-FR"/>
        </w:rPr>
        <w:t>’</w:t>
      </w:r>
      <w:r>
        <w:rPr>
          <w:lang w:val="fr-FR"/>
        </w:rPr>
        <w:t>obligation de déclarer des sommes, titres ou valeurs, prévu par l</w:t>
      </w:r>
      <w:r w:rsidR="00504D76">
        <w:rPr>
          <w:lang w:val="fr-FR"/>
        </w:rPr>
        <w:t>’</w:t>
      </w:r>
      <w:r>
        <w:rPr>
          <w:lang w:val="fr-FR"/>
        </w:rPr>
        <w:t>article 464 du code des douanes, il avait été condamné à la confiscation de l</w:t>
      </w:r>
      <w:r w:rsidR="00504D76">
        <w:rPr>
          <w:lang w:val="fr-FR"/>
        </w:rPr>
        <w:t>’</w:t>
      </w:r>
      <w:r>
        <w:rPr>
          <w:lang w:val="fr-FR"/>
        </w:rPr>
        <w:t>intégralité de ce montant ainsi qu</w:t>
      </w:r>
      <w:r w:rsidR="00504D76">
        <w:rPr>
          <w:lang w:val="fr-FR"/>
        </w:rPr>
        <w:t>’</w:t>
      </w:r>
      <w:r w:rsidRPr="0044383A">
        <w:rPr>
          <w:rStyle w:val="sb8d990e2"/>
          <w:lang w:val="fr-FR"/>
        </w:rPr>
        <w:t>au paiement d</w:t>
      </w:r>
      <w:r w:rsidR="00504D76">
        <w:rPr>
          <w:rStyle w:val="sb8d990e2"/>
          <w:lang w:val="fr-FR"/>
        </w:rPr>
        <w:t>’</w:t>
      </w:r>
      <w:r w:rsidRPr="0044383A">
        <w:rPr>
          <w:rStyle w:val="sb8d990e2"/>
          <w:lang w:val="fr-FR"/>
        </w:rPr>
        <w:t>une amende égale à la moitié de la somme non déclarée, assortie de la contrainte par corps avec exécution provisoire.</w:t>
      </w:r>
      <w:r>
        <w:rPr>
          <w:rStyle w:val="sb8d990e2"/>
          <w:lang w:val="fr-FR"/>
        </w:rPr>
        <w:t xml:space="preserve"> La Cour a conclu à la violation de l</w:t>
      </w:r>
      <w:r w:rsidR="00504D76">
        <w:rPr>
          <w:rStyle w:val="sb8d990e2"/>
          <w:lang w:val="fr-FR"/>
        </w:rPr>
        <w:t>’</w:t>
      </w:r>
      <w:r>
        <w:rPr>
          <w:rStyle w:val="sb8d990e2"/>
          <w:lang w:val="fr-FR"/>
        </w:rPr>
        <w:t>article 1 du Protocole n</w:t>
      </w:r>
      <w:r w:rsidRPr="009C4963">
        <w:rPr>
          <w:rStyle w:val="sb8d990e2"/>
          <w:vertAlign w:val="superscript"/>
          <w:lang w:val="fr-FR"/>
        </w:rPr>
        <w:t>o</w:t>
      </w:r>
      <w:r>
        <w:rPr>
          <w:rStyle w:val="sb8d990e2"/>
          <w:lang w:val="fr-FR"/>
        </w:rPr>
        <w:t xml:space="preserve"> 1, jugeant que la sanction imposée au requérant, cumulant la confiscation et l</w:t>
      </w:r>
      <w:r w:rsidR="00504D76">
        <w:rPr>
          <w:rStyle w:val="sb8d990e2"/>
          <w:lang w:val="fr-FR"/>
        </w:rPr>
        <w:t>’</w:t>
      </w:r>
      <w:r>
        <w:rPr>
          <w:rStyle w:val="sb8d990e2"/>
          <w:lang w:val="fr-FR"/>
        </w:rPr>
        <w:t>amende, était disproportionnée au regard du manquement commis, et que le juste équilibre requis n</w:t>
      </w:r>
      <w:r w:rsidR="00504D76">
        <w:rPr>
          <w:rStyle w:val="sb8d990e2"/>
          <w:lang w:val="fr-FR"/>
        </w:rPr>
        <w:t>’</w:t>
      </w:r>
      <w:r>
        <w:rPr>
          <w:rStyle w:val="sb8d990e2"/>
          <w:lang w:val="fr-FR"/>
        </w:rPr>
        <w:t>avait pas été respecté. Pour parvenir à cette conclusion, elle a tout particulièrement pris en compte le fait que le seul comportement délictueux qui pouvait être retenu à l</w:t>
      </w:r>
      <w:r w:rsidR="00504D76">
        <w:rPr>
          <w:rStyle w:val="sb8d990e2"/>
          <w:lang w:val="fr-FR"/>
        </w:rPr>
        <w:t>’</w:t>
      </w:r>
      <w:r>
        <w:rPr>
          <w:rStyle w:val="sb8d990e2"/>
          <w:lang w:val="fr-FR"/>
        </w:rPr>
        <w:t>encontre de l</w:t>
      </w:r>
      <w:r w:rsidR="00504D76">
        <w:rPr>
          <w:rStyle w:val="sb8d990e2"/>
          <w:lang w:val="fr-FR"/>
        </w:rPr>
        <w:t>’</w:t>
      </w:r>
      <w:r>
        <w:rPr>
          <w:rStyle w:val="sb8d990e2"/>
          <w:lang w:val="fr-FR"/>
        </w:rPr>
        <w:t>intéressé consistait dans le fait de n</w:t>
      </w:r>
      <w:r w:rsidR="00504D76">
        <w:rPr>
          <w:rStyle w:val="sb8d990e2"/>
          <w:lang w:val="fr-FR"/>
        </w:rPr>
        <w:t>’</w:t>
      </w:r>
      <w:r>
        <w:rPr>
          <w:rStyle w:val="sb8d990e2"/>
          <w:lang w:val="fr-FR"/>
        </w:rPr>
        <w:t>avoir pas déclaré au passage de la frontière les espèces qu</w:t>
      </w:r>
      <w:r w:rsidR="00504D76">
        <w:rPr>
          <w:rStyle w:val="sb8d990e2"/>
          <w:lang w:val="fr-FR"/>
        </w:rPr>
        <w:t>’</w:t>
      </w:r>
      <w:r>
        <w:rPr>
          <w:rStyle w:val="sb8d990e2"/>
          <w:lang w:val="fr-FR"/>
        </w:rPr>
        <w:t>il transportait et que le gouvernement défendeur n</w:t>
      </w:r>
      <w:r w:rsidR="00504D76">
        <w:rPr>
          <w:rStyle w:val="sb8d990e2"/>
          <w:lang w:val="fr-FR"/>
        </w:rPr>
        <w:t>’</w:t>
      </w:r>
      <w:r>
        <w:rPr>
          <w:rStyle w:val="sb8d990e2"/>
          <w:lang w:val="fr-FR"/>
        </w:rPr>
        <w:t>avait pas soutenu que les sommes transportées étaient issues d</w:t>
      </w:r>
      <w:r w:rsidR="00504D76">
        <w:rPr>
          <w:rStyle w:val="sb8d990e2"/>
          <w:lang w:val="fr-FR"/>
        </w:rPr>
        <w:t>’</w:t>
      </w:r>
      <w:r>
        <w:rPr>
          <w:rStyle w:val="sb8d990e2"/>
          <w:lang w:val="fr-FR"/>
        </w:rPr>
        <w:t>activités illicites ou destinées à de telles activités. En l</w:t>
      </w:r>
      <w:r w:rsidR="00504D76">
        <w:rPr>
          <w:rStyle w:val="sb8d990e2"/>
          <w:lang w:val="fr-FR"/>
        </w:rPr>
        <w:t>’</w:t>
      </w:r>
      <w:r>
        <w:rPr>
          <w:rStyle w:val="sb8d990e2"/>
          <w:lang w:val="fr-FR"/>
        </w:rPr>
        <w:t>espèce, au contraire, comme dans l</w:t>
      </w:r>
      <w:r w:rsidR="00504D76">
        <w:rPr>
          <w:rStyle w:val="sb8d990e2"/>
          <w:lang w:val="fr-FR"/>
        </w:rPr>
        <w:t>’</w:t>
      </w:r>
      <w:r>
        <w:rPr>
          <w:rStyle w:val="sb8d990e2"/>
          <w:lang w:val="fr-FR"/>
        </w:rPr>
        <w:t xml:space="preserve">affaire </w:t>
      </w:r>
      <w:r w:rsidRPr="00410D0E">
        <w:rPr>
          <w:rStyle w:val="sb8d990e2"/>
          <w:i/>
          <w:lang w:val="fr-FR"/>
        </w:rPr>
        <w:t>Phil</w:t>
      </w:r>
      <w:r>
        <w:rPr>
          <w:rStyle w:val="sb8d990e2"/>
          <w:i/>
          <w:lang w:val="fr-FR"/>
        </w:rPr>
        <w:t>l</w:t>
      </w:r>
      <w:r w:rsidRPr="00410D0E">
        <w:rPr>
          <w:rStyle w:val="sb8d990e2"/>
          <w:i/>
          <w:lang w:val="fr-FR"/>
        </w:rPr>
        <w:t>ips</w:t>
      </w:r>
      <w:r>
        <w:rPr>
          <w:rStyle w:val="sb8d990e2"/>
          <w:lang w:val="fr-FR"/>
        </w:rPr>
        <w:t xml:space="preserve"> susmentionnée, citée en contrexemple dans l</w:t>
      </w:r>
      <w:r w:rsidR="00504D76">
        <w:rPr>
          <w:rStyle w:val="sb8d990e2"/>
          <w:lang w:val="fr-FR"/>
        </w:rPr>
        <w:t>’</w:t>
      </w:r>
      <w:r>
        <w:rPr>
          <w:rStyle w:val="sb8d990e2"/>
          <w:lang w:val="fr-FR"/>
        </w:rPr>
        <w:t xml:space="preserve">arrêt </w:t>
      </w:r>
      <w:proofErr w:type="spellStart"/>
      <w:r w:rsidRPr="00410D0E">
        <w:rPr>
          <w:rStyle w:val="sb8d990e2"/>
          <w:i/>
          <w:lang w:val="fr-FR"/>
        </w:rPr>
        <w:t>Grifhorst</w:t>
      </w:r>
      <w:proofErr w:type="spellEnd"/>
      <w:r>
        <w:rPr>
          <w:rStyle w:val="sb8d990e2"/>
          <w:lang w:val="fr-FR"/>
        </w:rPr>
        <w:t xml:space="preserve"> (§ 99), la confiscation de la maison des requérants visait un bien présumé acquis au moyen d</w:t>
      </w:r>
      <w:r w:rsidR="00504D76">
        <w:rPr>
          <w:rStyle w:val="sb8d990e2"/>
          <w:lang w:val="fr-FR"/>
        </w:rPr>
        <w:t>’</w:t>
      </w:r>
      <w:r>
        <w:rPr>
          <w:rStyle w:val="sb8d990e2"/>
          <w:lang w:val="fr-FR"/>
        </w:rPr>
        <w:t>activités délictueuses.</w:t>
      </w:r>
    </w:p>
    <w:p w:rsidR="004149AA" w:rsidRDefault="004149AA" w:rsidP="00EE69CB">
      <w:pPr>
        <w:pStyle w:val="ECHRPara"/>
        <w:rPr>
          <w:snapToGrid w:val="0"/>
          <w:lang w:val="fr-FR"/>
        </w:rPr>
      </w:pPr>
      <w:r>
        <w:rPr>
          <w:lang w:val="fr-FR"/>
        </w:rPr>
        <w:t>34.  Ces éléments, ainsi que l</w:t>
      </w:r>
      <w:r w:rsidR="00504D76">
        <w:rPr>
          <w:lang w:val="fr-FR"/>
        </w:rPr>
        <w:t>’</w:t>
      </w:r>
      <w:r>
        <w:rPr>
          <w:lang w:val="fr-FR"/>
        </w:rPr>
        <w:t>ampleur de la marge d</w:t>
      </w:r>
      <w:r w:rsidR="00504D76">
        <w:rPr>
          <w:lang w:val="fr-FR"/>
        </w:rPr>
        <w:t>’</w:t>
      </w:r>
      <w:r>
        <w:rPr>
          <w:lang w:val="fr-FR"/>
        </w:rPr>
        <w:t>appréciation dont disposait l</w:t>
      </w:r>
      <w:r w:rsidR="00504D76">
        <w:rPr>
          <w:lang w:val="fr-FR"/>
        </w:rPr>
        <w:t>’</w:t>
      </w:r>
      <w:r>
        <w:rPr>
          <w:lang w:val="fr-FR"/>
        </w:rPr>
        <w:t>État défendeur, conduisent la Cour à considérer que l</w:t>
      </w:r>
      <w:r w:rsidR="00504D76">
        <w:rPr>
          <w:lang w:val="fr-FR"/>
        </w:rPr>
        <w:t>’</w:t>
      </w:r>
      <w:r>
        <w:rPr>
          <w:lang w:val="fr-FR"/>
        </w:rPr>
        <w:t>atteinte au droit des requérants au respect de leurs biens que constitue la confiscation critiquée n</w:t>
      </w:r>
      <w:r w:rsidR="00504D76">
        <w:rPr>
          <w:lang w:val="fr-FR"/>
        </w:rPr>
        <w:t>’</w:t>
      </w:r>
      <w:r>
        <w:rPr>
          <w:lang w:val="fr-FR"/>
        </w:rPr>
        <w:t>est pas disproportionnée par rapport au but d</w:t>
      </w:r>
      <w:r w:rsidR="00504D76">
        <w:rPr>
          <w:lang w:val="fr-FR"/>
        </w:rPr>
        <w:t>’</w:t>
      </w:r>
      <w:r>
        <w:rPr>
          <w:lang w:val="fr-FR"/>
        </w:rPr>
        <w:t>intérêt général poursuivi. Manifestement mal fondée, cette partie de la requête doit donc être rejetée</w:t>
      </w:r>
      <w:r>
        <w:rPr>
          <w:snapToGrid w:val="0"/>
          <w:lang w:val="fr-FR"/>
        </w:rPr>
        <w:t xml:space="preserve"> en application de l</w:t>
      </w:r>
      <w:r w:rsidR="00504D76">
        <w:rPr>
          <w:snapToGrid w:val="0"/>
          <w:lang w:val="fr-FR"/>
        </w:rPr>
        <w:t>’</w:t>
      </w:r>
      <w:r>
        <w:rPr>
          <w:snapToGrid w:val="0"/>
          <w:lang w:val="fr-FR"/>
        </w:rPr>
        <w:t>article 35 §§ 3 (a) et 4 de la Convention.</w:t>
      </w:r>
    </w:p>
    <w:p w:rsidR="004149AA" w:rsidRDefault="00504D76" w:rsidP="00EE69CB">
      <w:pPr>
        <w:pStyle w:val="ECHRHeading2"/>
        <w:rPr>
          <w:lang w:val="fr-FR"/>
        </w:rPr>
      </w:pPr>
      <w:r>
        <w:rPr>
          <w:lang w:val="fr-FR"/>
        </w:rPr>
        <w:t>B.  </w:t>
      </w:r>
      <w:r w:rsidR="004149AA">
        <w:rPr>
          <w:lang w:val="fr-FR"/>
        </w:rPr>
        <w:t>Sur la violation alléguée de l</w:t>
      </w:r>
      <w:r>
        <w:rPr>
          <w:lang w:val="fr-FR"/>
        </w:rPr>
        <w:t>’</w:t>
      </w:r>
      <w:r w:rsidR="004149AA">
        <w:rPr>
          <w:lang w:val="fr-FR"/>
        </w:rPr>
        <w:t>article 8 de la Convention</w:t>
      </w:r>
    </w:p>
    <w:p w:rsidR="004149AA" w:rsidRDefault="004149AA" w:rsidP="00EE69CB">
      <w:pPr>
        <w:pStyle w:val="ECHRPara"/>
        <w:rPr>
          <w:lang w:val="fr-FR"/>
        </w:rPr>
      </w:pPr>
      <w:r>
        <w:rPr>
          <w:lang w:val="fr-FR"/>
        </w:rPr>
        <w:t>35.  L</w:t>
      </w:r>
      <w:r w:rsidRPr="00B276C1">
        <w:rPr>
          <w:lang w:val="fr-FR"/>
        </w:rPr>
        <w:t xml:space="preserve">es requérants </w:t>
      </w:r>
      <w:r>
        <w:rPr>
          <w:lang w:val="fr-FR"/>
        </w:rPr>
        <w:t>i</w:t>
      </w:r>
      <w:r w:rsidRPr="00B276C1">
        <w:rPr>
          <w:lang w:val="fr-FR"/>
        </w:rPr>
        <w:t>nvoqu</w:t>
      </w:r>
      <w:r>
        <w:rPr>
          <w:lang w:val="fr-FR"/>
        </w:rPr>
        <w:t>e</w:t>
      </w:r>
      <w:r w:rsidRPr="00B276C1">
        <w:rPr>
          <w:lang w:val="fr-FR"/>
        </w:rPr>
        <w:t>nt l</w:t>
      </w:r>
      <w:r w:rsidR="00504D76">
        <w:rPr>
          <w:lang w:val="fr-FR"/>
        </w:rPr>
        <w:t>’</w:t>
      </w:r>
      <w:r w:rsidRPr="00B276C1">
        <w:rPr>
          <w:lang w:val="fr-FR"/>
        </w:rPr>
        <w:t>article 8 de la Convention</w:t>
      </w:r>
      <w:r>
        <w:rPr>
          <w:lang w:val="fr-FR"/>
        </w:rPr>
        <w:t>, lequel est ainsi libellé :</w:t>
      </w:r>
    </w:p>
    <w:p w:rsidR="004149AA" w:rsidRPr="00307C5F" w:rsidRDefault="004149AA" w:rsidP="00EE69CB">
      <w:pPr>
        <w:pStyle w:val="ECHRParaQuote"/>
        <w:rPr>
          <w:lang w:val="fr-FR"/>
        </w:rPr>
      </w:pPr>
      <w:r w:rsidRPr="00307C5F">
        <w:rPr>
          <w:lang w:val="fr-FR"/>
        </w:rPr>
        <w:t>« 1.  Toute personne a droit au respect de sa vie privée et familiale, de son domicile et de sa correspondance.</w:t>
      </w:r>
    </w:p>
    <w:p w:rsidR="004149AA" w:rsidRPr="00307C5F" w:rsidRDefault="004149AA" w:rsidP="00EE69CB">
      <w:pPr>
        <w:pStyle w:val="ECHRParaQuote"/>
        <w:rPr>
          <w:lang w:val="fr-FR"/>
        </w:rPr>
      </w:pPr>
      <w:r w:rsidRPr="00307C5F">
        <w:rPr>
          <w:lang w:val="fr-FR"/>
        </w:rPr>
        <w:t>2.  Il ne peut y avoir ingérence d</w:t>
      </w:r>
      <w:r w:rsidR="00504D76">
        <w:rPr>
          <w:lang w:val="fr-FR"/>
        </w:rPr>
        <w:t>’</w:t>
      </w:r>
      <w:r w:rsidRPr="00307C5F">
        <w:rPr>
          <w:lang w:val="fr-FR"/>
        </w:rPr>
        <w:t>une autorité publique dans l</w:t>
      </w:r>
      <w:r w:rsidR="00504D76">
        <w:rPr>
          <w:lang w:val="fr-FR"/>
        </w:rPr>
        <w:t>’</w:t>
      </w:r>
      <w:r w:rsidRPr="00307C5F">
        <w:rPr>
          <w:lang w:val="fr-FR"/>
        </w:rPr>
        <w:t>exercice de ce droit que pour autant que cette ingérence est prévue par la loi et qu</w:t>
      </w:r>
      <w:r w:rsidR="00504D76">
        <w:rPr>
          <w:lang w:val="fr-FR"/>
        </w:rPr>
        <w:t>’</w:t>
      </w:r>
      <w:r w:rsidRPr="00307C5F">
        <w:rPr>
          <w:lang w:val="fr-FR"/>
        </w:rPr>
        <w:t>elle constitue une mesure qui, dans une société démocratique, est nécessaire à la sécurité nationale, à la sûreté publique, au bien</w:t>
      </w:r>
      <w:r w:rsidRPr="00307C5F">
        <w:rPr>
          <w:lang w:val="fr-FR"/>
        </w:rPr>
        <w:noBreakHyphen/>
        <w:t>être économique du pays, à la défense de l</w:t>
      </w:r>
      <w:r w:rsidR="00504D76">
        <w:rPr>
          <w:lang w:val="fr-FR"/>
        </w:rPr>
        <w:t>’</w:t>
      </w:r>
      <w:r w:rsidRPr="00307C5F">
        <w:rPr>
          <w:lang w:val="fr-FR"/>
        </w:rPr>
        <w:t>ordre et à la prévention des infractions pénales, à la protection de la santé ou de la morale, ou à la protection des droits et libertés d</w:t>
      </w:r>
      <w:r w:rsidR="00504D76">
        <w:rPr>
          <w:lang w:val="fr-FR"/>
        </w:rPr>
        <w:t>’</w:t>
      </w:r>
      <w:r w:rsidRPr="00307C5F">
        <w:rPr>
          <w:lang w:val="fr-FR"/>
        </w:rPr>
        <w:t>autrui. »</w:t>
      </w:r>
    </w:p>
    <w:p w:rsidR="004149AA" w:rsidRDefault="00504D76" w:rsidP="00EE69CB">
      <w:pPr>
        <w:pStyle w:val="ECHRHeading3"/>
        <w:rPr>
          <w:lang w:val="fr-FR"/>
        </w:rPr>
      </w:pPr>
      <w:r>
        <w:rPr>
          <w:lang w:val="fr-FR"/>
        </w:rPr>
        <w:t>1.  </w:t>
      </w:r>
      <w:r w:rsidR="004149AA">
        <w:rPr>
          <w:lang w:val="fr-FR"/>
        </w:rPr>
        <w:t>Les parties</w:t>
      </w:r>
    </w:p>
    <w:p w:rsidR="004149AA" w:rsidRDefault="004149AA" w:rsidP="00EE69CB">
      <w:pPr>
        <w:pStyle w:val="ECHRPara"/>
        <w:rPr>
          <w:lang w:val="fr-FR"/>
        </w:rPr>
      </w:pPr>
      <w:r>
        <w:rPr>
          <w:lang w:val="fr-FR"/>
        </w:rPr>
        <w:t>36.  Dans ses observations en réplique à celles des requérants, le Gouvernement déclare « réaffirme[r] qu</w:t>
      </w:r>
      <w:r w:rsidR="00504D76">
        <w:rPr>
          <w:lang w:val="fr-FR"/>
        </w:rPr>
        <w:t>’</w:t>
      </w:r>
      <w:r>
        <w:rPr>
          <w:lang w:val="fr-FR"/>
        </w:rPr>
        <w:t>il n</w:t>
      </w:r>
      <w:r w:rsidR="00504D76">
        <w:rPr>
          <w:lang w:val="fr-FR"/>
        </w:rPr>
        <w:t>’</w:t>
      </w:r>
      <w:r>
        <w:rPr>
          <w:lang w:val="fr-FR"/>
        </w:rPr>
        <w:t>y a pas eu (...) d</w:t>
      </w:r>
      <w:r w:rsidR="00504D76">
        <w:rPr>
          <w:lang w:val="fr-FR"/>
        </w:rPr>
        <w:t>’</w:t>
      </w:r>
      <w:r>
        <w:rPr>
          <w:lang w:val="fr-FR"/>
        </w:rPr>
        <w:t>ingérence dans l</w:t>
      </w:r>
      <w:r w:rsidR="00504D76">
        <w:rPr>
          <w:lang w:val="fr-FR"/>
        </w:rPr>
        <w:t>’</w:t>
      </w:r>
      <w:r>
        <w:rPr>
          <w:lang w:val="fr-FR"/>
        </w:rPr>
        <w:t>exercice par les requérants de leurs droits découlant de l</w:t>
      </w:r>
      <w:r w:rsidR="00504D76">
        <w:rPr>
          <w:lang w:val="fr-FR"/>
        </w:rPr>
        <w:t>’</w:t>
      </w:r>
      <w:r>
        <w:rPr>
          <w:lang w:val="fr-FR"/>
        </w:rPr>
        <w:t>article 8 de la Convention, qui ne trouve pas à s</w:t>
      </w:r>
      <w:r w:rsidR="00504D76">
        <w:rPr>
          <w:lang w:val="fr-FR"/>
        </w:rPr>
        <w:t>’</w:t>
      </w:r>
      <w:r>
        <w:rPr>
          <w:lang w:val="fr-FR"/>
        </w:rPr>
        <w:t>appliquer dans la présente affaire ». Il tire cette conclusion du constat que la Cour n</w:t>
      </w:r>
      <w:r w:rsidR="00504D76">
        <w:rPr>
          <w:lang w:val="fr-FR"/>
        </w:rPr>
        <w:t>’</w:t>
      </w:r>
      <w:r>
        <w:rPr>
          <w:lang w:val="fr-FR"/>
        </w:rPr>
        <w:t>a jamais admis qu</w:t>
      </w:r>
      <w:r w:rsidR="00504D76">
        <w:rPr>
          <w:lang w:val="fr-FR"/>
        </w:rPr>
        <w:t>’</w:t>
      </w:r>
      <w:r>
        <w:rPr>
          <w:lang w:val="fr-FR"/>
        </w:rPr>
        <w:t>une condamnation pénale puisse constituer en soi une atteinte au droit au respect de la vie privée et que les requérants ont été autorisés à demeurer dans la maison saisie jusqu</w:t>
      </w:r>
      <w:r w:rsidR="00504D76">
        <w:rPr>
          <w:lang w:val="fr-FR"/>
        </w:rPr>
        <w:t>’</w:t>
      </w:r>
      <w:r>
        <w:rPr>
          <w:lang w:val="fr-FR"/>
        </w:rPr>
        <w:t>à ce qu</w:t>
      </w:r>
      <w:r w:rsidR="00504D76">
        <w:rPr>
          <w:lang w:val="fr-FR"/>
        </w:rPr>
        <w:t>’</w:t>
      </w:r>
      <w:r>
        <w:rPr>
          <w:lang w:val="fr-FR"/>
        </w:rPr>
        <w:t>ils trouvent un autre logement.</w:t>
      </w:r>
    </w:p>
    <w:p w:rsidR="004149AA" w:rsidRDefault="004149AA" w:rsidP="00EE69CB">
      <w:pPr>
        <w:pStyle w:val="ECHRPara"/>
        <w:rPr>
          <w:lang w:val="fr-FR"/>
        </w:rPr>
      </w:pPr>
      <w:r>
        <w:rPr>
          <w:lang w:val="fr-FR"/>
        </w:rPr>
        <w:t>Dans ses observations principales, le Gouvernement déclare au contraire ne pas contester que la confiscation de la maison d</w:t>
      </w:r>
      <w:r w:rsidR="00504D76">
        <w:rPr>
          <w:lang w:val="fr-FR"/>
        </w:rPr>
        <w:t>’</w:t>
      </w:r>
      <w:r>
        <w:rPr>
          <w:lang w:val="fr-FR"/>
        </w:rPr>
        <w:t>habitation des requérants constitue une ingérence dans leur droit au respect de leur vie privée et familiale et de leur domicile. Renvoyant à son argumentation relative à l</w:t>
      </w:r>
      <w:r w:rsidR="00504D76">
        <w:rPr>
          <w:lang w:val="fr-FR"/>
        </w:rPr>
        <w:t>’</w:t>
      </w:r>
      <w:r>
        <w:rPr>
          <w:lang w:val="fr-FR"/>
        </w:rPr>
        <w:t>article 1 du Protocole n</w:t>
      </w:r>
      <w:r w:rsidRPr="009C4963">
        <w:rPr>
          <w:vertAlign w:val="superscript"/>
          <w:lang w:val="fr-FR"/>
        </w:rPr>
        <w:t>o</w:t>
      </w:r>
      <w:r>
        <w:rPr>
          <w:lang w:val="fr-FR"/>
        </w:rPr>
        <w:t xml:space="preserve"> 1, il souligne que cette ingérence était prévue par la loi et poursuivait un « but d</w:t>
      </w:r>
      <w:r w:rsidR="00504D76">
        <w:rPr>
          <w:lang w:val="fr-FR"/>
        </w:rPr>
        <w:t>’</w:t>
      </w:r>
      <w:r>
        <w:rPr>
          <w:lang w:val="fr-FR"/>
        </w:rPr>
        <w:t>intérêt général ». Il ajoute que cette mesure avait été prononcée par un tribunal indépendant dans le cadre d</w:t>
      </w:r>
      <w:r w:rsidR="00504D76">
        <w:rPr>
          <w:lang w:val="fr-FR"/>
        </w:rPr>
        <w:t>’</w:t>
      </w:r>
      <w:r>
        <w:rPr>
          <w:lang w:val="fr-FR"/>
        </w:rPr>
        <w:t>une procédure équitable, et que les requérants avaient bénéficié d</w:t>
      </w:r>
      <w:r w:rsidR="00504D76">
        <w:rPr>
          <w:lang w:val="fr-FR"/>
        </w:rPr>
        <w:t>’</w:t>
      </w:r>
      <w:r>
        <w:rPr>
          <w:lang w:val="fr-FR"/>
        </w:rPr>
        <w:t>un contrôle juridictionnel et pu faire examiner par le juge sa légalité et son caractère raisonnable. Se référant à l</w:t>
      </w:r>
      <w:r w:rsidR="00504D76">
        <w:rPr>
          <w:lang w:val="fr-FR"/>
        </w:rPr>
        <w:t>’</w:t>
      </w:r>
      <w:r>
        <w:rPr>
          <w:lang w:val="fr-FR"/>
        </w:rPr>
        <w:t xml:space="preserve">arrêt </w:t>
      </w:r>
      <w:r w:rsidRPr="00CB5A46">
        <w:rPr>
          <w:i/>
          <w:lang w:val="it-IT"/>
        </w:rPr>
        <w:t xml:space="preserve">Connors c. </w:t>
      </w:r>
      <w:proofErr w:type="spellStart"/>
      <w:r w:rsidRPr="00CB5A46">
        <w:rPr>
          <w:i/>
          <w:lang w:val="it-IT"/>
        </w:rPr>
        <w:t>Royaume</w:t>
      </w:r>
      <w:proofErr w:type="spellEnd"/>
      <w:r w:rsidRPr="00CB5A46">
        <w:rPr>
          <w:i/>
          <w:lang w:val="it-IT"/>
        </w:rPr>
        <w:t>-Uni</w:t>
      </w:r>
      <w:r w:rsidRPr="00CB5A46">
        <w:rPr>
          <w:lang w:val="it-IT"/>
        </w:rPr>
        <w:t xml:space="preserve"> (n</w:t>
      </w:r>
      <w:r w:rsidRPr="00CB5A46">
        <w:rPr>
          <w:vertAlign w:val="superscript"/>
          <w:lang w:val="it-IT"/>
        </w:rPr>
        <w:t>o</w:t>
      </w:r>
      <w:r w:rsidRPr="00CB5A46">
        <w:rPr>
          <w:lang w:val="it-IT"/>
        </w:rPr>
        <w:t xml:space="preserve"> 66746/01, 27</w:t>
      </w:r>
      <w:r>
        <w:rPr>
          <w:lang w:val="it-IT"/>
        </w:rPr>
        <w:t> </w:t>
      </w:r>
      <w:r w:rsidRPr="00CB5A46">
        <w:rPr>
          <w:lang w:val="it-IT"/>
        </w:rPr>
        <w:t>mai 2004)</w:t>
      </w:r>
      <w:r>
        <w:rPr>
          <w:lang w:val="it-IT"/>
        </w:rPr>
        <w:t xml:space="preserve"> </w:t>
      </w:r>
      <w:proofErr w:type="spellStart"/>
      <w:r w:rsidRPr="00FE5800">
        <w:rPr>
          <w:i/>
          <w:lang w:val="fr-FR"/>
        </w:rPr>
        <w:t>a</w:t>
      </w:r>
      <w:proofErr w:type="spellEnd"/>
      <w:r w:rsidRPr="00FE5800">
        <w:rPr>
          <w:i/>
          <w:lang w:val="fr-FR"/>
        </w:rPr>
        <w:t xml:space="preserve"> contrario</w:t>
      </w:r>
      <w:r>
        <w:rPr>
          <w:lang w:val="fr-FR"/>
        </w:rPr>
        <w:t>, il souligne ensuite que les autorités ont pris en compte la situation et les difficultés financières des requérants en ne les contraignant pas à quitter leur domicile avant d</w:t>
      </w:r>
      <w:r w:rsidR="00504D76">
        <w:rPr>
          <w:lang w:val="fr-FR"/>
        </w:rPr>
        <w:t>’</w:t>
      </w:r>
      <w:r>
        <w:rPr>
          <w:lang w:val="fr-FR"/>
        </w:rPr>
        <w:t>avoir pu préalablement trouver un autre logement. Le Gouvernement en déduit que le grief est manifestement mal fondé.</w:t>
      </w:r>
    </w:p>
    <w:p w:rsidR="00504D76" w:rsidRDefault="004149AA" w:rsidP="00EE69CB">
      <w:pPr>
        <w:pStyle w:val="ECHRPara"/>
        <w:rPr>
          <w:lang w:val="fr-FR"/>
        </w:rPr>
      </w:pPr>
      <w:r>
        <w:rPr>
          <w:lang w:val="fr-FR"/>
        </w:rPr>
        <w:t>37.  Les requérants répliquent que le Trésor public a exigé d</w:t>
      </w:r>
      <w:r w:rsidR="00504D76">
        <w:rPr>
          <w:lang w:val="fr-FR"/>
        </w:rPr>
        <w:t>’</w:t>
      </w:r>
      <w:r>
        <w:rPr>
          <w:lang w:val="fr-FR"/>
        </w:rPr>
        <w:t>eux le versement d</w:t>
      </w:r>
      <w:r w:rsidR="00504D76">
        <w:rPr>
          <w:lang w:val="fr-FR"/>
        </w:rPr>
        <w:t>’</w:t>
      </w:r>
      <w:r>
        <w:rPr>
          <w:lang w:val="fr-FR"/>
        </w:rPr>
        <w:t>un loyer conséquent de 900 EUR par mois jusqu</w:t>
      </w:r>
      <w:r w:rsidR="00504D76">
        <w:rPr>
          <w:lang w:val="fr-FR"/>
        </w:rPr>
        <w:t>’</w:t>
      </w:r>
      <w:r>
        <w:rPr>
          <w:lang w:val="fr-FR"/>
        </w:rPr>
        <w:t>à la libération des lieux et qu</w:t>
      </w:r>
      <w:r w:rsidR="00504D76">
        <w:rPr>
          <w:lang w:val="fr-FR"/>
        </w:rPr>
        <w:t>’</w:t>
      </w:r>
      <w:r>
        <w:rPr>
          <w:lang w:val="fr-FR"/>
        </w:rPr>
        <w:t>ils n</w:t>
      </w:r>
      <w:r w:rsidR="00504D76">
        <w:rPr>
          <w:lang w:val="fr-FR"/>
        </w:rPr>
        <w:t>’</w:t>
      </w:r>
      <w:r>
        <w:rPr>
          <w:lang w:val="fr-FR"/>
        </w:rPr>
        <w:t>ont reçu aucune aide pour leur relogement. Soulignant que la maison confisquée était leur domicile et qu</w:t>
      </w:r>
      <w:r w:rsidR="00504D76">
        <w:rPr>
          <w:lang w:val="fr-FR"/>
        </w:rPr>
        <w:t>’</w:t>
      </w:r>
      <w:r>
        <w:rPr>
          <w:lang w:val="fr-FR"/>
        </w:rPr>
        <w:t>ils y accueillaient régulièrement leur fils handicapé né en 1978, et renvoyant à leur argumentation relative à l</w:t>
      </w:r>
      <w:r w:rsidR="00504D76">
        <w:rPr>
          <w:lang w:val="fr-FR"/>
        </w:rPr>
        <w:t>’</w:t>
      </w:r>
      <w:r>
        <w:rPr>
          <w:lang w:val="fr-FR"/>
        </w:rPr>
        <w:t>article 1 du Protocole n</w:t>
      </w:r>
      <w:r w:rsidRPr="009C4963">
        <w:rPr>
          <w:vertAlign w:val="superscript"/>
          <w:lang w:val="fr-FR"/>
        </w:rPr>
        <w:t>o</w:t>
      </w:r>
      <w:r>
        <w:rPr>
          <w:lang w:val="fr-FR"/>
        </w:rPr>
        <w:t xml:space="preserve"> 1, ils concluent que cette confiscation constituait une atteinte disproportionnée aux droits garantis par l</w:t>
      </w:r>
      <w:r w:rsidR="00504D76">
        <w:rPr>
          <w:lang w:val="fr-FR"/>
        </w:rPr>
        <w:t>’</w:t>
      </w:r>
      <w:r>
        <w:rPr>
          <w:lang w:val="fr-FR"/>
        </w:rPr>
        <w:t>article 8 de la Convention.</w:t>
      </w:r>
    </w:p>
    <w:p w:rsidR="004149AA" w:rsidRDefault="00504D76" w:rsidP="00EE69CB">
      <w:pPr>
        <w:pStyle w:val="ECHRHeading3"/>
        <w:rPr>
          <w:lang w:val="fr-FR"/>
        </w:rPr>
      </w:pPr>
      <w:r>
        <w:rPr>
          <w:lang w:val="fr-FR"/>
        </w:rPr>
        <w:t>2.  </w:t>
      </w:r>
      <w:r w:rsidR="004149AA">
        <w:rPr>
          <w:lang w:val="fr-FR"/>
        </w:rPr>
        <w:t>La Cour</w:t>
      </w:r>
    </w:p>
    <w:p w:rsidR="004149AA" w:rsidRDefault="004149AA" w:rsidP="00EE69CB">
      <w:pPr>
        <w:pStyle w:val="ECHRPara"/>
        <w:rPr>
          <w:lang w:val="fr-FR"/>
        </w:rPr>
      </w:pPr>
      <w:r>
        <w:rPr>
          <w:lang w:val="fr-FR"/>
        </w:rPr>
        <w:t>38.  La Cour constate que la maison dont les juridictions internes ont ordonné la confiscation était le domicile familial des requérants. Cette mesure, qui les a contraints à déménager, s</w:t>
      </w:r>
      <w:r w:rsidR="00504D76">
        <w:rPr>
          <w:lang w:val="fr-FR"/>
        </w:rPr>
        <w:t>’</w:t>
      </w:r>
      <w:r>
        <w:rPr>
          <w:lang w:val="fr-FR"/>
        </w:rPr>
        <w:t>analyse donc en une ingérence d</w:t>
      </w:r>
      <w:r w:rsidR="00504D76">
        <w:rPr>
          <w:lang w:val="fr-FR"/>
        </w:rPr>
        <w:t>’</w:t>
      </w:r>
      <w:r>
        <w:rPr>
          <w:lang w:val="fr-FR"/>
        </w:rPr>
        <w:t>une autorité publique dans l</w:t>
      </w:r>
      <w:r w:rsidR="00504D76">
        <w:rPr>
          <w:lang w:val="fr-FR"/>
        </w:rPr>
        <w:t>’</w:t>
      </w:r>
      <w:r>
        <w:rPr>
          <w:lang w:val="fr-FR"/>
        </w:rPr>
        <w:t>exercice de leur droit au respect de leur vie privée et familiale et de leur domicile.</w:t>
      </w:r>
    </w:p>
    <w:p w:rsidR="004149AA" w:rsidRDefault="004149AA" w:rsidP="00EE69CB">
      <w:pPr>
        <w:pStyle w:val="ECHRPara"/>
        <w:rPr>
          <w:rStyle w:val="sb8d990e2"/>
          <w:lang w:val="fr-FR"/>
        </w:rPr>
      </w:pPr>
      <w:r>
        <w:rPr>
          <w:lang w:val="fr-FR"/>
        </w:rPr>
        <w:t xml:space="preserve">39.  Pareille ingérence </w:t>
      </w:r>
      <w:r w:rsidRPr="00C40A58">
        <w:rPr>
          <w:rStyle w:val="sb8d990e2"/>
          <w:lang w:val="fr-FR"/>
        </w:rPr>
        <w:t>méconnaît l</w:t>
      </w:r>
      <w:r w:rsidR="00504D76">
        <w:rPr>
          <w:rStyle w:val="sb8d990e2"/>
          <w:lang w:val="fr-FR"/>
        </w:rPr>
        <w:t>’</w:t>
      </w:r>
      <w:r w:rsidRPr="00C40A58">
        <w:rPr>
          <w:rStyle w:val="sb8d990e2"/>
          <w:lang w:val="fr-FR"/>
        </w:rPr>
        <w:t>article 8, sauf si elle est « prévue par la loi », poursuit un ou plusieurs des buts légitimes cités au paragraphe 2 et est « nécessaire dans une société démocratique » pour les atteindre</w:t>
      </w:r>
      <w:r>
        <w:rPr>
          <w:rStyle w:val="sb8d990e2"/>
          <w:lang w:val="fr-FR"/>
        </w:rPr>
        <w:t>.</w:t>
      </w:r>
    </w:p>
    <w:p w:rsidR="004149AA" w:rsidRDefault="004149AA" w:rsidP="00EE69CB">
      <w:pPr>
        <w:pStyle w:val="ECHRPara"/>
        <w:rPr>
          <w:rStyle w:val="sb8d990e2"/>
          <w:lang w:val="fr-FR"/>
        </w:rPr>
      </w:pPr>
      <w:r>
        <w:rPr>
          <w:rStyle w:val="sb8d990e2"/>
          <w:lang w:val="fr-FR"/>
        </w:rPr>
        <w:t>40</w:t>
      </w:r>
      <w:r w:rsidRPr="006179EE">
        <w:rPr>
          <w:rStyle w:val="sb8d990e2"/>
          <w:lang w:val="fr-FR"/>
        </w:rPr>
        <w:t>.  La première condition est sans conteste remplie (paragraphe 23 ci-dessus).</w:t>
      </w:r>
    </w:p>
    <w:p w:rsidR="004149AA" w:rsidRDefault="004149AA" w:rsidP="00EE69CB">
      <w:pPr>
        <w:pStyle w:val="ECHRPara"/>
        <w:rPr>
          <w:lang w:val="fr-FR"/>
        </w:rPr>
      </w:pPr>
      <w:r>
        <w:rPr>
          <w:rStyle w:val="sb8d990e2"/>
          <w:lang w:val="fr-FR"/>
        </w:rPr>
        <w:t>41</w:t>
      </w:r>
      <w:r w:rsidRPr="006179EE">
        <w:rPr>
          <w:rStyle w:val="sb8d990e2"/>
          <w:lang w:val="fr-FR"/>
        </w:rPr>
        <w:t>.  Quant à la seconde, la Cour rappelle que, pour être compatible avec la Convention, une restriction au droit garanti par l</w:t>
      </w:r>
      <w:r w:rsidR="00504D76">
        <w:rPr>
          <w:rStyle w:val="sb8d990e2"/>
          <w:lang w:val="fr-FR"/>
        </w:rPr>
        <w:t>’</w:t>
      </w:r>
      <w:r w:rsidRPr="006179EE">
        <w:rPr>
          <w:rStyle w:val="sb8d990e2"/>
          <w:lang w:val="fr-FR"/>
        </w:rPr>
        <w:t>article 8 doit être inspirée par un but susceptible d</w:t>
      </w:r>
      <w:r w:rsidR="00504D76">
        <w:rPr>
          <w:rStyle w:val="sb8d990e2"/>
          <w:lang w:val="fr-FR"/>
        </w:rPr>
        <w:t>’</w:t>
      </w:r>
      <w:r w:rsidRPr="006179EE">
        <w:rPr>
          <w:rStyle w:val="sb8d990e2"/>
          <w:lang w:val="fr-FR"/>
        </w:rPr>
        <w:t>être rattaché à l</w:t>
      </w:r>
      <w:r w:rsidR="00504D76">
        <w:rPr>
          <w:rStyle w:val="sb8d990e2"/>
          <w:lang w:val="fr-FR"/>
        </w:rPr>
        <w:t>’</w:t>
      </w:r>
      <w:r w:rsidRPr="006179EE">
        <w:rPr>
          <w:rStyle w:val="sb8d990e2"/>
          <w:lang w:val="fr-FR"/>
        </w:rPr>
        <w:t>un de ceux que le second paragraphe de cette disposition énumère exhaustivement (</w:t>
      </w:r>
      <w:bookmarkStart w:id="0" w:name="File15"/>
      <w:r w:rsidRPr="006179EE">
        <w:rPr>
          <w:i/>
          <w:lang w:val="fr-FR"/>
        </w:rPr>
        <w:t>S.A.S.</w:t>
      </w:r>
      <w:bookmarkEnd w:id="0"/>
      <w:r w:rsidRPr="006179EE">
        <w:rPr>
          <w:lang w:val="fr-FR"/>
        </w:rPr>
        <w:t xml:space="preserve"> </w:t>
      </w:r>
      <w:r w:rsidRPr="006179EE">
        <w:rPr>
          <w:i/>
          <w:lang w:val="fr-FR"/>
        </w:rPr>
        <w:t xml:space="preserve">c. France </w:t>
      </w:r>
      <w:r w:rsidRPr="006179EE">
        <w:rPr>
          <w:lang w:val="fr-FR"/>
        </w:rPr>
        <w:t>[GC]</w:t>
      </w:r>
      <w:r w:rsidRPr="006179EE">
        <w:rPr>
          <w:snapToGrid w:val="0"/>
          <w:lang w:val="fr-FR"/>
        </w:rPr>
        <w:t xml:space="preserve">, </w:t>
      </w:r>
      <w:r w:rsidRPr="006179EE">
        <w:rPr>
          <w:lang w:val="fr-FR"/>
        </w:rPr>
        <w:t>n</w:t>
      </w:r>
      <w:r w:rsidRPr="006179EE">
        <w:rPr>
          <w:vertAlign w:val="superscript"/>
          <w:lang w:val="fr-FR"/>
        </w:rPr>
        <w:t>o</w:t>
      </w:r>
      <w:r w:rsidRPr="006179EE">
        <w:rPr>
          <w:lang w:val="fr-FR"/>
        </w:rPr>
        <w:t xml:space="preserve"> 43835/11</w:t>
      </w:r>
      <w:r w:rsidRPr="006179EE">
        <w:rPr>
          <w:snapToGrid w:val="0"/>
          <w:lang w:val="fr-FR"/>
        </w:rPr>
        <w:t xml:space="preserve">, § 113, </w:t>
      </w:r>
      <w:r w:rsidRPr="006179EE">
        <w:rPr>
          <w:lang w:val="fr-FR"/>
        </w:rPr>
        <w:t>1</w:t>
      </w:r>
      <w:r w:rsidRPr="006179EE">
        <w:rPr>
          <w:vertAlign w:val="superscript"/>
          <w:lang w:val="fr-FR"/>
        </w:rPr>
        <w:t>er</w:t>
      </w:r>
      <w:r w:rsidRPr="006179EE">
        <w:rPr>
          <w:lang w:val="fr-FR"/>
        </w:rPr>
        <w:t xml:space="preserve"> juillet</w:t>
      </w:r>
      <w:r w:rsidRPr="006179EE">
        <w:rPr>
          <w:snapToGrid w:val="0"/>
          <w:lang w:val="fr-FR"/>
        </w:rPr>
        <w:t xml:space="preserve"> 2014</w:t>
      </w:r>
      <w:r w:rsidRPr="006179EE">
        <w:rPr>
          <w:rStyle w:val="sb8d990e2"/>
          <w:lang w:val="fr-FR"/>
        </w:rPr>
        <w:t>). L</w:t>
      </w:r>
      <w:r w:rsidRPr="006179EE">
        <w:rPr>
          <w:lang w:val="fr-FR"/>
        </w:rPr>
        <w:t>e Gouvernement ne saurait donc déduire que cette condition est remplie du seul fait que l</w:t>
      </w:r>
      <w:r w:rsidR="00504D76">
        <w:rPr>
          <w:lang w:val="fr-FR"/>
        </w:rPr>
        <w:t>’</w:t>
      </w:r>
      <w:r w:rsidRPr="006179EE">
        <w:rPr>
          <w:lang w:val="fr-FR"/>
        </w:rPr>
        <w:t>ingérence litigieuse poursuit un but d</w:t>
      </w:r>
      <w:r w:rsidR="00504D76">
        <w:rPr>
          <w:lang w:val="fr-FR"/>
        </w:rPr>
        <w:t>’</w:t>
      </w:r>
      <w:r w:rsidRPr="006179EE">
        <w:rPr>
          <w:lang w:val="fr-FR"/>
        </w:rPr>
        <w:t>intérêt général au sens de l</w:t>
      </w:r>
      <w:r w:rsidR="00504D76">
        <w:rPr>
          <w:lang w:val="fr-FR"/>
        </w:rPr>
        <w:t>’</w:t>
      </w:r>
      <w:r w:rsidRPr="006179EE">
        <w:rPr>
          <w:lang w:val="fr-FR"/>
        </w:rPr>
        <w:t>article 1 du Protocole n</w:t>
      </w:r>
      <w:r w:rsidRPr="006179EE">
        <w:rPr>
          <w:vertAlign w:val="superscript"/>
          <w:lang w:val="fr-FR"/>
        </w:rPr>
        <w:t>o</w:t>
      </w:r>
      <w:r w:rsidRPr="006179EE">
        <w:rPr>
          <w:lang w:val="fr-FR"/>
        </w:rPr>
        <w:t xml:space="preserve"> 1. Cela étant souligné, la Cour estime que, visant à lutter contre le trafic de stupéfiants et à le prévenir en dissuadant le recel et le blanchiment (paragraphe 24 ci-dessus), elle tend à « la défense de l</w:t>
      </w:r>
      <w:r w:rsidR="00504D76">
        <w:rPr>
          <w:lang w:val="fr-FR"/>
        </w:rPr>
        <w:t>’</w:t>
      </w:r>
      <w:r w:rsidRPr="006179EE">
        <w:rPr>
          <w:lang w:val="fr-FR"/>
        </w:rPr>
        <w:t>ordre et à la prévention des infractions pénales », au sens du second paragraphe de l</w:t>
      </w:r>
      <w:r w:rsidR="00504D76">
        <w:rPr>
          <w:lang w:val="fr-FR"/>
        </w:rPr>
        <w:t>’</w:t>
      </w:r>
      <w:r w:rsidRPr="006179EE">
        <w:rPr>
          <w:lang w:val="fr-FR"/>
        </w:rPr>
        <w:t>article 8.</w:t>
      </w:r>
    </w:p>
    <w:p w:rsidR="004149AA" w:rsidRDefault="004149AA" w:rsidP="00EE69CB">
      <w:pPr>
        <w:pStyle w:val="ECHRPara"/>
        <w:rPr>
          <w:snapToGrid w:val="0"/>
          <w:lang w:val="fr-FR"/>
        </w:rPr>
      </w:pPr>
      <w:r>
        <w:rPr>
          <w:lang w:val="fr-FR"/>
        </w:rPr>
        <w:t>42.  S</w:t>
      </w:r>
      <w:r w:rsidR="00504D76">
        <w:rPr>
          <w:lang w:val="fr-FR"/>
        </w:rPr>
        <w:t>’</w:t>
      </w:r>
      <w:r>
        <w:rPr>
          <w:lang w:val="fr-FR"/>
        </w:rPr>
        <w:t>agissant de la troisième condition, la Cour rappelle qu</w:t>
      </w:r>
      <w:r w:rsidR="00504D76">
        <w:rPr>
          <w:lang w:val="fr-FR"/>
        </w:rPr>
        <w:t>’</w:t>
      </w:r>
      <w:r>
        <w:rPr>
          <w:lang w:val="fr-FR"/>
        </w:rPr>
        <w:t xml:space="preserve">une </w:t>
      </w:r>
      <w:r w:rsidRPr="000F646B">
        <w:rPr>
          <w:lang w:val="fr-FR"/>
        </w:rPr>
        <w:t>ingérence est considérée comme « nécessaire dans une société démocratique » pour atteindre un but légitime si elle répond à un « besoin social impérieux » et, en particulier, demeure proportionnée au but légitime poursuivi</w:t>
      </w:r>
      <w:r>
        <w:rPr>
          <w:lang w:val="fr-FR"/>
        </w:rPr>
        <w:t>,</w:t>
      </w:r>
      <w:r w:rsidRPr="000F646B">
        <w:rPr>
          <w:lang w:val="fr-FR"/>
        </w:rPr>
        <w:t xml:space="preserve"> et si les motifs invoqués par les autorités nationales pour la justifier apparaissent « pertinents et suffisants ». S</w:t>
      </w:r>
      <w:r w:rsidR="00504D76">
        <w:rPr>
          <w:lang w:val="fr-FR"/>
        </w:rPr>
        <w:t>’</w:t>
      </w:r>
      <w:r w:rsidRPr="000F646B">
        <w:rPr>
          <w:lang w:val="fr-FR"/>
        </w:rPr>
        <w:t>il appartient aux autorités nationales de juger les premières si ces conditions se trouvent remplies, c</w:t>
      </w:r>
      <w:r w:rsidR="00504D76">
        <w:rPr>
          <w:lang w:val="fr-FR"/>
        </w:rPr>
        <w:t>’</w:t>
      </w:r>
      <w:r w:rsidRPr="000F646B">
        <w:rPr>
          <w:lang w:val="fr-FR"/>
        </w:rPr>
        <w:t>est à la Cour qu</w:t>
      </w:r>
      <w:r w:rsidR="00504D76">
        <w:rPr>
          <w:lang w:val="fr-FR"/>
        </w:rPr>
        <w:t>’</w:t>
      </w:r>
      <w:r w:rsidRPr="000F646B">
        <w:rPr>
          <w:lang w:val="fr-FR"/>
        </w:rPr>
        <w:t>il revient de trancher en définitive la question de la nécessité de l</w:t>
      </w:r>
      <w:r w:rsidR="00504D76">
        <w:rPr>
          <w:lang w:val="fr-FR"/>
        </w:rPr>
        <w:t>’</w:t>
      </w:r>
      <w:r w:rsidRPr="000F646B">
        <w:rPr>
          <w:lang w:val="fr-FR"/>
        </w:rPr>
        <w:t>ingérence au regard des exigences de la Convention</w:t>
      </w:r>
      <w:r>
        <w:rPr>
          <w:lang w:val="fr-FR"/>
        </w:rPr>
        <w:t xml:space="preserve"> (voir, par exemple, </w:t>
      </w:r>
      <w:r w:rsidRPr="006644FB">
        <w:rPr>
          <w:i/>
          <w:lang w:val="fr-FR"/>
        </w:rPr>
        <w:t>Connors</w:t>
      </w:r>
      <w:r>
        <w:rPr>
          <w:lang w:val="fr-FR"/>
        </w:rPr>
        <w:t xml:space="preserve">, précité, § 81, et </w:t>
      </w:r>
      <w:proofErr w:type="spellStart"/>
      <w:r w:rsidRPr="000F646B">
        <w:rPr>
          <w:i/>
          <w:lang w:val="fr-FR"/>
        </w:rPr>
        <w:t>Winterstein</w:t>
      </w:r>
      <w:proofErr w:type="spellEnd"/>
      <w:r w:rsidRPr="000F646B">
        <w:rPr>
          <w:i/>
          <w:lang w:val="fr-FR"/>
        </w:rPr>
        <w:t xml:space="preserve"> et autres</w:t>
      </w:r>
      <w:r w:rsidRPr="000F646B">
        <w:rPr>
          <w:i/>
          <w:snapToGrid w:val="0"/>
          <w:lang w:val="fr-FR"/>
        </w:rPr>
        <w:t xml:space="preserve"> </w:t>
      </w:r>
      <w:r w:rsidRPr="000F646B">
        <w:rPr>
          <w:i/>
          <w:lang w:val="fr-FR"/>
        </w:rPr>
        <w:t>c. France</w:t>
      </w:r>
      <w:r w:rsidRPr="000F646B">
        <w:rPr>
          <w:snapToGrid w:val="0"/>
          <w:lang w:val="fr-FR"/>
        </w:rPr>
        <w:t xml:space="preserve">, </w:t>
      </w:r>
      <w:r w:rsidRPr="000F646B">
        <w:rPr>
          <w:lang w:val="fr-FR"/>
        </w:rPr>
        <w:t>n</w:t>
      </w:r>
      <w:r w:rsidRPr="000F646B">
        <w:rPr>
          <w:vertAlign w:val="superscript"/>
          <w:lang w:val="fr-FR"/>
        </w:rPr>
        <w:t>o</w:t>
      </w:r>
      <w:r>
        <w:rPr>
          <w:vertAlign w:val="superscript"/>
          <w:lang w:val="fr-FR"/>
        </w:rPr>
        <w:t> </w:t>
      </w:r>
      <w:r w:rsidRPr="000F646B">
        <w:rPr>
          <w:lang w:val="fr-FR"/>
        </w:rPr>
        <w:t>27013/07</w:t>
      </w:r>
      <w:r w:rsidRPr="000F646B">
        <w:rPr>
          <w:snapToGrid w:val="0"/>
          <w:lang w:val="fr-FR"/>
        </w:rPr>
        <w:t xml:space="preserve">, § </w:t>
      </w:r>
      <w:r>
        <w:rPr>
          <w:snapToGrid w:val="0"/>
          <w:lang w:val="fr-FR"/>
        </w:rPr>
        <w:t>147</w:t>
      </w:r>
      <w:r w:rsidRPr="000F646B">
        <w:rPr>
          <w:snapToGrid w:val="0"/>
          <w:lang w:val="fr-FR"/>
        </w:rPr>
        <w:t xml:space="preserve">, 17 </w:t>
      </w:r>
      <w:r w:rsidRPr="000F646B">
        <w:rPr>
          <w:lang w:val="fr-FR"/>
        </w:rPr>
        <w:t>octobre</w:t>
      </w:r>
      <w:r w:rsidRPr="000F646B">
        <w:rPr>
          <w:snapToGrid w:val="0"/>
          <w:lang w:val="fr-FR"/>
        </w:rPr>
        <w:t xml:space="preserve"> 2013</w:t>
      </w:r>
      <w:r>
        <w:rPr>
          <w:snapToGrid w:val="0"/>
          <w:lang w:val="fr-FR"/>
        </w:rPr>
        <w:t>).</w:t>
      </w:r>
    </w:p>
    <w:p w:rsidR="004149AA" w:rsidRDefault="004149AA" w:rsidP="00EE69CB">
      <w:pPr>
        <w:pStyle w:val="ECHRPara"/>
        <w:rPr>
          <w:snapToGrid w:val="0"/>
          <w:lang w:val="fr-FR"/>
        </w:rPr>
      </w:pPr>
      <w:r>
        <w:rPr>
          <w:snapToGrid w:val="0"/>
          <w:lang w:val="fr-FR"/>
        </w:rPr>
        <w:t>43</w:t>
      </w:r>
      <w:r w:rsidRPr="006179EE">
        <w:rPr>
          <w:snapToGrid w:val="0"/>
          <w:lang w:val="fr-FR"/>
        </w:rPr>
        <w:t>.  La Cour estime que cette troisième condition est également remplie en l</w:t>
      </w:r>
      <w:r w:rsidR="00504D76">
        <w:rPr>
          <w:snapToGrid w:val="0"/>
          <w:lang w:val="fr-FR"/>
        </w:rPr>
        <w:t>’</w:t>
      </w:r>
      <w:r w:rsidRPr="006179EE">
        <w:rPr>
          <w:snapToGrid w:val="0"/>
          <w:lang w:val="fr-FR"/>
        </w:rPr>
        <w:t>espèce. Elle renvoie tout d</w:t>
      </w:r>
      <w:r w:rsidR="00504D76">
        <w:rPr>
          <w:snapToGrid w:val="0"/>
          <w:lang w:val="fr-FR"/>
        </w:rPr>
        <w:t>’</w:t>
      </w:r>
      <w:r w:rsidRPr="006179EE">
        <w:rPr>
          <w:snapToGrid w:val="0"/>
          <w:lang w:val="fr-FR"/>
        </w:rPr>
        <w:t>abord aux éléments exposés aux paragraphes 27-29 ci</w:t>
      </w:r>
      <w:r w:rsidRPr="006179EE">
        <w:rPr>
          <w:snapToGrid w:val="0"/>
          <w:lang w:val="fr-FR"/>
        </w:rPr>
        <w:noBreakHyphen/>
        <w:t>dessus. Elle constate ensuite que les autorités compétentes – qui, comme elle l</w:t>
      </w:r>
      <w:r w:rsidR="00504D76">
        <w:rPr>
          <w:snapToGrid w:val="0"/>
          <w:lang w:val="fr-FR"/>
        </w:rPr>
        <w:t>’</w:t>
      </w:r>
      <w:r w:rsidRPr="006179EE">
        <w:rPr>
          <w:snapToGrid w:val="0"/>
          <w:lang w:val="fr-FR"/>
        </w:rPr>
        <w:t xml:space="preserve">a souligné précédemment (paragraphe 32 ci-dessus), ont </w:t>
      </w:r>
      <w:r w:rsidRPr="006179EE">
        <w:rPr>
          <w:lang w:val="fr-FR"/>
        </w:rPr>
        <w:t>pu légitimement juger nécessaire de prononcer des sanctions sévères s</w:t>
      </w:r>
      <w:r w:rsidR="00504D76">
        <w:rPr>
          <w:lang w:val="fr-FR"/>
        </w:rPr>
        <w:t>’</w:t>
      </w:r>
      <w:r w:rsidRPr="006179EE">
        <w:rPr>
          <w:lang w:val="fr-FR"/>
        </w:rPr>
        <w:t>agissant d</w:t>
      </w:r>
      <w:r w:rsidR="00504D76">
        <w:rPr>
          <w:lang w:val="fr-FR"/>
        </w:rPr>
        <w:t>’</w:t>
      </w:r>
      <w:r w:rsidRPr="006179EE">
        <w:rPr>
          <w:lang w:val="fr-FR"/>
        </w:rPr>
        <w:t>un trafic d</w:t>
      </w:r>
      <w:r w:rsidR="00504D76">
        <w:rPr>
          <w:lang w:val="fr-FR"/>
        </w:rPr>
        <w:t>’</w:t>
      </w:r>
      <w:r w:rsidRPr="006179EE">
        <w:rPr>
          <w:lang w:val="fr-FR"/>
        </w:rPr>
        <w:t xml:space="preserve">une grande ampleur an niveau local – </w:t>
      </w:r>
      <w:r w:rsidRPr="006179EE">
        <w:rPr>
          <w:snapToGrid w:val="0"/>
          <w:lang w:val="fr-FR"/>
        </w:rPr>
        <w:t>ont dûment pris en compte la situation des requérants au regard de l</w:t>
      </w:r>
      <w:r w:rsidR="00504D76">
        <w:rPr>
          <w:snapToGrid w:val="0"/>
          <w:lang w:val="fr-FR"/>
        </w:rPr>
        <w:t>’</w:t>
      </w:r>
      <w:r w:rsidRPr="006179EE">
        <w:rPr>
          <w:snapToGrid w:val="0"/>
          <w:lang w:val="fr-FR"/>
        </w:rPr>
        <w:t>article 8 de la Convention en les autorisant à demeurer dans leur domicile jusqu</w:t>
      </w:r>
      <w:r w:rsidR="00504D76">
        <w:rPr>
          <w:snapToGrid w:val="0"/>
          <w:lang w:val="fr-FR"/>
        </w:rPr>
        <w:t>’</w:t>
      </w:r>
      <w:r w:rsidRPr="006179EE">
        <w:rPr>
          <w:snapToGrid w:val="0"/>
          <w:lang w:val="fr-FR"/>
        </w:rPr>
        <w:t>à ce qu</w:t>
      </w:r>
      <w:r w:rsidR="00504D76">
        <w:rPr>
          <w:snapToGrid w:val="0"/>
          <w:lang w:val="fr-FR"/>
        </w:rPr>
        <w:t>’</w:t>
      </w:r>
      <w:r w:rsidRPr="006179EE">
        <w:rPr>
          <w:snapToGrid w:val="0"/>
          <w:lang w:val="fr-FR"/>
        </w:rPr>
        <w:t>ils aient été en mesure de s</w:t>
      </w:r>
      <w:r w:rsidR="00504D76">
        <w:rPr>
          <w:snapToGrid w:val="0"/>
          <w:lang w:val="fr-FR"/>
        </w:rPr>
        <w:t>’</w:t>
      </w:r>
      <w:r w:rsidRPr="006179EE">
        <w:rPr>
          <w:snapToGrid w:val="0"/>
          <w:lang w:val="fr-FR"/>
        </w:rPr>
        <w:t>installer en un autre lieu. Ils ont ainsi pu y rester après le prononcé de l</w:t>
      </w:r>
      <w:r w:rsidR="00504D76">
        <w:rPr>
          <w:snapToGrid w:val="0"/>
          <w:lang w:val="fr-FR"/>
        </w:rPr>
        <w:t>’</w:t>
      </w:r>
      <w:r w:rsidRPr="006179EE">
        <w:rPr>
          <w:snapToGrid w:val="0"/>
          <w:lang w:val="fr-FR"/>
        </w:rPr>
        <w:t>arrêt de la Cour de cassation qui marque la fin de la procédure interne (le 18 novembre 2009) et jusqu</w:t>
      </w:r>
      <w:r w:rsidR="00504D76">
        <w:rPr>
          <w:snapToGrid w:val="0"/>
          <w:lang w:val="fr-FR"/>
        </w:rPr>
        <w:t>’</w:t>
      </w:r>
      <w:r w:rsidRPr="006179EE">
        <w:rPr>
          <w:snapToGrid w:val="0"/>
          <w:lang w:val="fr-FR"/>
        </w:rPr>
        <w:t>au 31 mai 2011, soit durant plus d</w:t>
      </w:r>
      <w:r w:rsidR="00504D76">
        <w:rPr>
          <w:snapToGrid w:val="0"/>
          <w:lang w:val="fr-FR"/>
        </w:rPr>
        <w:t>’</w:t>
      </w:r>
      <w:r>
        <w:rPr>
          <w:snapToGrid w:val="0"/>
          <w:lang w:val="fr-FR"/>
        </w:rPr>
        <w:t>un an et six mois.</w:t>
      </w:r>
    </w:p>
    <w:p w:rsidR="004149AA" w:rsidRDefault="004149AA" w:rsidP="00EE69CB">
      <w:pPr>
        <w:pStyle w:val="ECHRPara"/>
        <w:rPr>
          <w:snapToGrid w:val="0"/>
          <w:lang w:val="fr-FR"/>
        </w:rPr>
      </w:pPr>
      <w:r>
        <w:rPr>
          <w:snapToGrid w:val="0"/>
          <w:lang w:val="fr-FR"/>
        </w:rPr>
        <w:t xml:space="preserve">44.  En conséquence, </w:t>
      </w:r>
      <w:r w:rsidRPr="00946191">
        <w:rPr>
          <w:snapToGrid w:val="0"/>
          <w:lang w:val="fr-FR"/>
        </w:rPr>
        <w:t>même si la marge d</w:t>
      </w:r>
      <w:r w:rsidR="00504D76">
        <w:rPr>
          <w:snapToGrid w:val="0"/>
          <w:lang w:val="fr-FR"/>
        </w:rPr>
        <w:t>’</w:t>
      </w:r>
      <w:r w:rsidRPr="00946191">
        <w:rPr>
          <w:snapToGrid w:val="0"/>
          <w:lang w:val="fr-FR"/>
        </w:rPr>
        <w:t>appréciation dont disposent les États est plus restreinte dans le contexte de l</w:t>
      </w:r>
      <w:r w:rsidR="00504D76">
        <w:rPr>
          <w:snapToGrid w:val="0"/>
          <w:lang w:val="fr-FR"/>
        </w:rPr>
        <w:t>’</w:t>
      </w:r>
      <w:r w:rsidRPr="00946191">
        <w:rPr>
          <w:snapToGrid w:val="0"/>
          <w:lang w:val="fr-FR"/>
        </w:rPr>
        <w:t>application de l</w:t>
      </w:r>
      <w:r w:rsidR="00504D76">
        <w:rPr>
          <w:snapToGrid w:val="0"/>
          <w:lang w:val="fr-FR"/>
        </w:rPr>
        <w:t>’</w:t>
      </w:r>
      <w:r w:rsidRPr="00946191">
        <w:rPr>
          <w:snapToGrid w:val="0"/>
          <w:lang w:val="fr-FR"/>
        </w:rPr>
        <w:t xml:space="preserve">article 8 de la Convention (voir notamment </w:t>
      </w:r>
      <w:proofErr w:type="spellStart"/>
      <w:r w:rsidRPr="00946191">
        <w:rPr>
          <w:i/>
          <w:lang w:val="fr-FR"/>
        </w:rPr>
        <w:t>Winterstein</w:t>
      </w:r>
      <w:proofErr w:type="spellEnd"/>
      <w:r w:rsidRPr="00946191">
        <w:rPr>
          <w:i/>
          <w:lang w:val="fr-FR"/>
        </w:rPr>
        <w:t xml:space="preserve"> et autres</w:t>
      </w:r>
      <w:r w:rsidRPr="00946191">
        <w:rPr>
          <w:lang w:val="fr-FR"/>
        </w:rPr>
        <w:t>, précité, § 148, ainsi que l</w:t>
      </w:r>
      <w:r w:rsidR="00504D76">
        <w:rPr>
          <w:lang w:val="fr-FR"/>
        </w:rPr>
        <w:t>’</w:t>
      </w:r>
      <w:r w:rsidRPr="00946191">
        <w:rPr>
          <w:lang w:val="fr-FR"/>
        </w:rPr>
        <w:t xml:space="preserve">arrêt </w:t>
      </w:r>
      <w:r w:rsidRPr="00946191">
        <w:rPr>
          <w:i/>
          <w:lang w:val="fr-FR"/>
        </w:rPr>
        <w:t>Connors</w:t>
      </w:r>
      <w:r w:rsidRPr="00946191">
        <w:rPr>
          <w:lang w:val="fr-FR"/>
        </w:rPr>
        <w:t xml:space="preserve"> précité, § 82, auquel il renvoie, et </w:t>
      </w:r>
      <w:proofErr w:type="spellStart"/>
      <w:r w:rsidRPr="00946191">
        <w:rPr>
          <w:i/>
          <w:lang w:val="fr-FR"/>
        </w:rPr>
        <w:t>Gladysheva</w:t>
      </w:r>
      <w:proofErr w:type="spellEnd"/>
      <w:r w:rsidRPr="00946191">
        <w:rPr>
          <w:i/>
          <w:lang w:val="fr-FR"/>
        </w:rPr>
        <w:t xml:space="preserve"> c. Russie</w:t>
      </w:r>
      <w:r w:rsidRPr="00946191">
        <w:rPr>
          <w:lang w:val="fr-FR"/>
        </w:rPr>
        <w:t>, n</w:t>
      </w:r>
      <w:r w:rsidRPr="00946191">
        <w:rPr>
          <w:vertAlign w:val="superscript"/>
          <w:lang w:val="fr-FR"/>
        </w:rPr>
        <w:t>o </w:t>
      </w:r>
      <w:r w:rsidRPr="00946191">
        <w:rPr>
          <w:lang w:val="fr-FR"/>
        </w:rPr>
        <w:t xml:space="preserve"> 7097/10</w:t>
      </w:r>
      <w:r w:rsidRPr="00946191">
        <w:rPr>
          <w:szCs w:val="24"/>
          <w:lang w:val="fr-FR"/>
        </w:rPr>
        <w:t>, § 93, 6 décembre 2011</w:t>
      </w:r>
      <w:r w:rsidRPr="00946191">
        <w:rPr>
          <w:snapToGrid w:val="0"/>
          <w:lang w:val="fr-FR"/>
        </w:rPr>
        <w:t>) que de celui de l</w:t>
      </w:r>
      <w:r w:rsidR="00504D76">
        <w:rPr>
          <w:snapToGrid w:val="0"/>
          <w:lang w:val="fr-FR"/>
        </w:rPr>
        <w:t>’</w:t>
      </w:r>
      <w:r w:rsidRPr="00946191">
        <w:rPr>
          <w:snapToGrid w:val="0"/>
          <w:lang w:val="fr-FR"/>
        </w:rPr>
        <w:t>application du second alinéa du l</w:t>
      </w:r>
      <w:r w:rsidR="00504D76">
        <w:rPr>
          <w:snapToGrid w:val="0"/>
          <w:lang w:val="fr-FR"/>
        </w:rPr>
        <w:t>’</w:t>
      </w:r>
      <w:r w:rsidRPr="00946191">
        <w:rPr>
          <w:snapToGrid w:val="0"/>
          <w:lang w:val="fr-FR"/>
        </w:rPr>
        <w:t>article 1 du Protocole n</w:t>
      </w:r>
      <w:r w:rsidRPr="009C4963">
        <w:rPr>
          <w:snapToGrid w:val="0"/>
          <w:vertAlign w:val="superscript"/>
          <w:lang w:val="fr-FR"/>
        </w:rPr>
        <w:t>o</w:t>
      </w:r>
      <w:r w:rsidRPr="00946191">
        <w:rPr>
          <w:snapToGrid w:val="0"/>
          <w:lang w:val="fr-FR"/>
        </w:rPr>
        <w:t xml:space="preserve"> 1,</w:t>
      </w:r>
      <w:r>
        <w:rPr>
          <w:snapToGrid w:val="0"/>
          <w:lang w:val="fr-FR"/>
        </w:rPr>
        <w:t xml:space="preserve"> la Cour conclut au défaut manifeste de fondement de cette partie de la requête et à son rejet en application de l</w:t>
      </w:r>
      <w:r w:rsidR="00504D76">
        <w:rPr>
          <w:snapToGrid w:val="0"/>
          <w:lang w:val="fr-FR"/>
        </w:rPr>
        <w:t>’</w:t>
      </w:r>
      <w:r>
        <w:rPr>
          <w:snapToGrid w:val="0"/>
          <w:lang w:val="fr-FR"/>
        </w:rPr>
        <w:t>article 35 §§ 3 (a) et 4 de la Convention.</w:t>
      </w:r>
    </w:p>
    <w:p w:rsidR="004149AA" w:rsidRPr="00905EBC" w:rsidRDefault="004149AA" w:rsidP="00EE69CB">
      <w:pPr>
        <w:pStyle w:val="JuParaLast"/>
        <w:rPr>
          <w:lang w:val="fr-FR"/>
        </w:rPr>
      </w:pPr>
      <w:r w:rsidRPr="00905EBC">
        <w:rPr>
          <w:lang w:val="fr-FR"/>
        </w:rPr>
        <w:t>Par ces motifs, la Cour, à la majorité,</w:t>
      </w:r>
    </w:p>
    <w:p w:rsidR="006544C4" w:rsidRPr="00E02897" w:rsidRDefault="004149AA" w:rsidP="004149AA">
      <w:pPr>
        <w:pStyle w:val="DecList"/>
        <w:rPr>
          <w:lang w:val="fr-FR" w:eastAsia="en-GB"/>
        </w:rPr>
      </w:pPr>
      <w:r w:rsidRPr="00905EBC">
        <w:rPr>
          <w:lang w:val="fr-FR"/>
        </w:rPr>
        <w:t>Déclare la requête irrecevable.</w:t>
      </w:r>
    </w:p>
    <w:p w:rsidR="00234E8A" w:rsidRPr="004149AA" w:rsidRDefault="004149AA" w:rsidP="004149AA">
      <w:pPr>
        <w:pStyle w:val="JuSigned"/>
        <w:rPr>
          <w:lang w:val="fr-FR"/>
        </w:rPr>
      </w:pPr>
      <w:r w:rsidRPr="00504D76">
        <w:rPr>
          <w:lang w:val="fr-FR"/>
        </w:rPr>
        <w:tab/>
      </w:r>
      <w:r w:rsidRPr="004149AA">
        <w:rPr>
          <w:lang w:val="fr-FR"/>
        </w:rPr>
        <w:t>Stephen Phillips</w:t>
      </w:r>
      <w:r w:rsidRPr="004149AA">
        <w:rPr>
          <w:lang w:val="fr-FR"/>
        </w:rPr>
        <w:tab/>
        <w:t xml:space="preserve">Mark </w:t>
      </w:r>
      <w:proofErr w:type="spellStart"/>
      <w:r w:rsidRPr="004149AA">
        <w:rPr>
          <w:lang w:val="fr-FR"/>
        </w:rPr>
        <w:t>Villiger</w:t>
      </w:r>
      <w:proofErr w:type="spellEnd"/>
      <w:r w:rsidRPr="004149AA">
        <w:rPr>
          <w:lang w:val="fr-FR"/>
        </w:rPr>
        <w:br/>
      </w:r>
      <w:r w:rsidRPr="004149AA">
        <w:rPr>
          <w:lang w:val="fr-FR"/>
        </w:rPr>
        <w:tab/>
        <w:t>Greffier</w:t>
      </w:r>
      <w:r w:rsidRPr="004149AA">
        <w:rPr>
          <w:lang w:val="fr-FR"/>
        </w:rPr>
        <w:tab/>
        <w:t>Président</w:t>
      </w:r>
    </w:p>
    <w:sectPr w:rsidR="00234E8A" w:rsidRPr="004149AA" w:rsidSect="00AF7102">
      <w:headerReference w:type="even" r:id="rId9"/>
      <w:headerReference w:type="default" r:id="rId10"/>
      <w:headerReference w:type="first" r:id="rId11"/>
      <w:footerReference w:type="first" r:id="rId12"/>
      <w:footnotePr>
        <w:numRestart w:val="eachPage"/>
      </w:footnotePr>
      <w:pgSz w:w="11906" w:h="16838" w:code="9"/>
      <w:pgMar w:top="2274" w:right="2274" w:bottom="2274" w:left="2274" w:header="1701" w:footer="72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49AA" w:rsidRDefault="004149AA" w:rsidP="006544C4">
      <w:r>
        <w:separator/>
      </w:r>
    </w:p>
  </w:endnote>
  <w:endnote w:type="continuationSeparator" w:id="0">
    <w:p w:rsidR="004149AA" w:rsidRDefault="004149AA" w:rsidP="006544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49AA" w:rsidRPr="00150BFA" w:rsidRDefault="004149AA" w:rsidP="0020718E">
    <w:pPr>
      <w:jc w:val="center"/>
    </w:pPr>
    <w:r>
      <w:rPr>
        <w:noProof/>
        <w:lang w:eastAsia="ja-JP"/>
      </w:rPr>
      <w:drawing>
        <wp:inline distT="0" distB="0" distL="0" distR="0" wp14:anchorId="624BF685" wp14:editId="173D4481">
          <wp:extent cx="771525" cy="619125"/>
          <wp:effectExtent l="0" t="0" r="9525" b="9525"/>
          <wp:docPr id="22" name="Picture 2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112D62" w:rsidRPr="00633A19" w:rsidRDefault="00D67EE6" w:rsidP="003146E4">
    <w:pPr>
      <w:jc w:val="center"/>
      <w:rPr>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49AA" w:rsidRDefault="004149AA" w:rsidP="006544C4">
      <w:r>
        <w:separator/>
      </w:r>
    </w:p>
  </w:footnote>
  <w:footnote w:type="continuationSeparator" w:id="0">
    <w:p w:rsidR="004149AA" w:rsidRDefault="004149AA" w:rsidP="006544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2D62" w:rsidRPr="000D527F" w:rsidRDefault="004149AA" w:rsidP="003312A3">
    <w:pPr>
      <w:pStyle w:val="ECHRHeader"/>
      <w:rPr>
        <w:lang w:val="en-GB"/>
      </w:rPr>
    </w:pPr>
    <w:r>
      <w:rPr>
        <w:rStyle w:val="PageNumber"/>
        <w:lang w:val="en-GB"/>
      </w:rPr>
      <w:fldChar w:fldCharType="begin"/>
    </w:r>
    <w:r>
      <w:rPr>
        <w:rStyle w:val="PageNumber"/>
        <w:lang w:val="en-GB"/>
      </w:rPr>
      <w:instrText xml:space="preserve"> PAGE </w:instrText>
    </w:r>
    <w:r>
      <w:rPr>
        <w:rStyle w:val="PageNumber"/>
        <w:lang w:val="en-GB"/>
      </w:rPr>
      <w:fldChar w:fldCharType="separate"/>
    </w:r>
    <w:r w:rsidR="00D67EE6">
      <w:rPr>
        <w:rStyle w:val="PageNumber"/>
        <w:noProof/>
        <w:lang w:val="en-GB"/>
      </w:rPr>
      <w:t>3</w:t>
    </w:r>
    <w:r>
      <w:rPr>
        <w:rStyle w:val="PageNumber"/>
        <w:lang w:val="en-GB"/>
      </w:rPr>
      <w:fldChar w:fldCharType="end"/>
    </w:r>
    <w:r w:rsidR="00334EC5" w:rsidRPr="000D527F">
      <w:rPr>
        <w:lang w:val="en-GB"/>
      </w:rPr>
      <w:tab/>
      <w:t xml:space="preserve">DÉCISION </w:t>
    </w:r>
    <w:r>
      <w:rPr>
        <w:lang w:val="en-GB"/>
      </w:rPr>
      <w:t>ABOUFADDA c. FRANCE</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2D62" w:rsidRPr="000D527F" w:rsidRDefault="00334EC5" w:rsidP="006544C4">
    <w:pPr>
      <w:pStyle w:val="ECHRHeader"/>
      <w:rPr>
        <w:lang w:val="en-GB"/>
      </w:rPr>
    </w:pPr>
    <w:r>
      <w:tab/>
    </w:r>
    <w:r w:rsidRPr="000D527F">
      <w:rPr>
        <w:lang w:val="en-GB"/>
      </w:rPr>
      <w:t xml:space="preserve">DÉCISION </w:t>
    </w:r>
    <w:r w:rsidR="004149AA">
      <w:rPr>
        <w:lang w:val="en-GB"/>
      </w:rPr>
      <w:t>ABOUFADDA c. FRANCE</w:t>
    </w:r>
    <w:r w:rsidRPr="000D527F">
      <w:rPr>
        <w:lang w:val="en-GB"/>
      </w:rPr>
      <w:tab/>
    </w:r>
    <w:r w:rsidR="004149AA">
      <w:rPr>
        <w:rStyle w:val="PageNumber"/>
        <w:lang w:val="en-GB"/>
      </w:rPr>
      <w:fldChar w:fldCharType="begin"/>
    </w:r>
    <w:r w:rsidR="004149AA">
      <w:rPr>
        <w:rStyle w:val="PageNumber"/>
        <w:lang w:val="en-GB"/>
      </w:rPr>
      <w:instrText xml:space="preserve"> PAGE </w:instrText>
    </w:r>
    <w:r w:rsidR="004149AA">
      <w:rPr>
        <w:rStyle w:val="PageNumber"/>
        <w:lang w:val="en-GB"/>
      </w:rPr>
      <w:fldChar w:fldCharType="separate"/>
    </w:r>
    <w:r w:rsidR="00D67EE6">
      <w:rPr>
        <w:rStyle w:val="PageNumber"/>
        <w:noProof/>
        <w:lang w:val="en-GB"/>
      </w:rPr>
      <w:t>3</w:t>
    </w:r>
    <w:r w:rsidR="004149AA">
      <w:rPr>
        <w:rStyle w:val="PageNumber"/>
        <w:lang w:val="en-GB"/>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49AA" w:rsidRPr="00A45145" w:rsidRDefault="004149AA" w:rsidP="00A45145">
    <w:pPr>
      <w:jc w:val="center"/>
    </w:pPr>
    <w:r>
      <w:rPr>
        <w:noProof/>
        <w:lang w:eastAsia="ja-JP"/>
      </w:rPr>
      <w:drawing>
        <wp:inline distT="0" distB="0" distL="0" distR="0" wp14:anchorId="05764E68" wp14:editId="26AAA627">
          <wp:extent cx="2962275" cy="1219200"/>
          <wp:effectExtent l="0" t="0" r="9525" b="0"/>
          <wp:docPr id="14" name="Picture 1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112D62" w:rsidRDefault="00D67EE6" w:rsidP="003146E4">
    <w:pP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26C560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784B49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52BEA742"/>
    <w:lvl w:ilvl="0">
      <w:start w:val="1"/>
      <w:numFmt w:val="decimal"/>
      <w:pStyle w:val="ListNumber3"/>
      <w:lvlText w:val="%1."/>
      <w:lvlJc w:val="left"/>
      <w:pPr>
        <w:tabs>
          <w:tab w:val="num" w:pos="926"/>
        </w:tabs>
        <w:ind w:left="926" w:hanging="360"/>
      </w:pPr>
    </w:lvl>
  </w:abstractNum>
  <w:abstractNum w:abstractNumId="3">
    <w:nsid w:val="FFFFFF7F"/>
    <w:multiLevelType w:val="singleLevel"/>
    <w:tmpl w:val="50CE4694"/>
    <w:lvl w:ilvl="0">
      <w:start w:val="1"/>
      <w:numFmt w:val="decimal"/>
      <w:pStyle w:val="ListNumber2"/>
      <w:lvlText w:val="%1."/>
      <w:lvlJc w:val="left"/>
      <w:pPr>
        <w:tabs>
          <w:tab w:val="num" w:pos="643"/>
        </w:tabs>
        <w:ind w:left="643" w:hanging="360"/>
      </w:pPr>
    </w:lvl>
  </w:abstractNum>
  <w:abstractNum w:abstractNumId="4">
    <w:nsid w:val="FFFFFF80"/>
    <w:multiLevelType w:val="singleLevel"/>
    <w:tmpl w:val="BBB0CDAA"/>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3FAB61E"/>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97A584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3A5A1074"/>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DE83B68"/>
    <w:lvl w:ilvl="0">
      <w:start w:val="1"/>
      <w:numFmt w:val="decimal"/>
      <w:pStyle w:val="ListNumber"/>
      <w:lvlText w:val="%1."/>
      <w:lvlJc w:val="left"/>
      <w:pPr>
        <w:tabs>
          <w:tab w:val="num" w:pos="360"/>
        </w:tabs>
        <w:ind w:left="360" w:hanging="360"/>
      </w:pPr>
    </w:lvl>
  </w:abstractNum>
  <w:abstractNum w:abstractNumId="9">
    <w:nsid w:val="FFFFFF89"/>
    <w:multiLevelType w:val="singleLevel"/>
    <w:tmpl w:val="215E9F4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B16086F"/>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1">
    <w:nsid w:val="0F5865E5"/>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2">
    <w:nsid w:val="2EAB0D03"/>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3">
    <w:nsid w:val="33EA48BE"/>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4">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590D1DC3"/>
    <w:multiLevelType w:val="multilevel"/>
    <w:tmpl w:val="0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726306C2"/>
    <w:multiLevelType w:val="multilevel"/>
    <w:tmpl w:val="04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nsid w:val="7CCD2930"/>
    <w:multiLevelType w:val="multilevel"/>
    <w:tmpl w:val="0409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4"/>
  </w:num>
  <w:num w:numId="2">
    <w:abstractNumId w:val="10"/>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11"/>
  </w:num>
  <w:num w:numId="6">
    <w:abstractNumId w:val="10"/>
  </w:num>
  <w:num w:numId="7">
    <w:abstractNumId w:val="11"/>
  </w:num>
  <w:num w:numId="8">
    <w:abstractNumId w:val="7"/>
  </w:num>
  <w:num w:numId="9">
    <w:abstractNumId w:val="6"/>
  </w:num>
  <w:num w:numId="10">
    <w:abstractNumId w:val="17"/>
  </w:num>
  <w:num w:numId="11">
    <w:abstractNumId w:val="17"/>
  </w:num>
  <w:num w:numId="12">
    <w:abstractNumId w:val="15"/>
  </w:num>
  <w:num w:numId="13">
    <w:abstractNumId w:val="16"/>
  </w:num>
  <w:num w:numId="14">
    <w:abstractNumId w:val="18"/>
  </w:num>
  <w:num w:numId="15">
    <w:abstractNumId w:val="9"/>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13"/>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AppNatAutre" w:val="0"/>
    <w:docVar w:name="DocVarPREMATURE" w:val="0"/>
    <w:docVar w:name="EMM" w:val="0"/>
    <w:docVar w:name="ETRANSMISSION" w:val="PAR VOIE ÉLECTRONIQUE UNIQUEMENT"/>
    <w:docVar w:name="L4_1Annex" w:val="0"/>
    <w:docVar w:name="L4_1Anonymity" w:val="0"/>
    <w:docVar w:name="NBEMMDOC" w:val="0"/>
    <w:docVar w:name="Plural" w:val="0"/>
    <w:docVar w:name="SignForeName" w:val="0"/>
  </w:docVars>
  <w:rsids>
    <w:rsidRoot w:val="004149AA"/>
    <w:rsid w:val="000041F8"/>
    <w:rsid w:val="000042A8"/>
    <w:rsid w:val="00004308"/>
    <w:rsid w:val="00005BF0"/>
    <w:rsid w:val="00007154"/>
    <w:rsid w:val="000103AE"/>
    <w:rsid w:val="00011D69"/>
    <w:rsid w:val="00012AD3"/>
    <w:rsid w:val="00015C2D"/>
    <w:rsid w:val="00015F00"/>
    <w:rsid w:val="00022C1D"/>
    <w:rsid w:val="00034987"/>
    <w:rsid w:val="000602DF"/>
    <w:rsid w:val="00061B05"/>
    <w:rsid w:val="000632D5"/>
    <w:rsid w:val="000644EE"/>
    <w:rsid w:val="000925AD"/>
    <w:rsid w:val="000A24EB"/>
    <w:rsid w:val="000B6923"/>
    <w:rsid w:val="000C5F3C"/>
    <w:rsid w:val="000C6DCC"/>
    <w:rsid w:val="000D47AA"/>
    <w:rsid w:val="000D721F"/>
    <w:rsid w:val="000E069B"/>
    <w:rsid w:val="000E0E82"/>
    <w:rsid w:val="000E1DC5"/>
    <w:rsid w:val="000E223F"/>
    <w:rsid w:val="000E7D45"/>
    <w:rsid w:val="000F7851"/>
    <w:rsid w:val="00104E23"/>
    <w:rsid w:val="00111B0C"/>
    <w:rsid w:val="00120D6C"/>
    <w:rsid w:val="001257EC"/>
    <w:rsid w:val="00133D33"/>
    <w:rsid w:val="00134D64"/>
    <w:rsid w:val="00135A30"/>
    <w:rsid w:val="0013612C"/>
    <w:rsid w:val="00137FF6"/>
    <w:rsid w:val="00141650"/>
    <w:rsid w:val="00162A12"/>
    <w:rsid w:val="00166530"/>
    <w:rsid w:val="001832BD"/>
    <w:rsid w:val="001943B5"/>
    <w:rsid w:val="00195134"/>
    <w:rsid w:val="001A145B"/>
    <w:rsid w:val="001A674C"/>
    <w:rsid w:val="001B3B24"/>
    <w:rsid w:val="001C0F98"/>
    <w:rsid w:val="001C2A42"/>
    <w:rsid w:val="001D63ED"/>
    <w:rsid w:val="001D7348"/>
    <w:rsid w:val="001E035B"/>
    <w:rsid w:val="001E0961"/>
    <w:rsid w:val="001E3EAE"/>
    <w:rsid w:val="001E6F32"/>
    <w:rsid w:val="001F2145"/>
    <w:rsid w:val="001F6262"/>
    <w:rsid w:val="001F67B0"/>
    <w:rsid w:val="001F7B3D"/>
    <w:rsid w:val="00205F9F"/>
    <w:rsid w:val="00210338"/>
    <w:rsid w:val="002115FC"/>
    <w:rsid w:val="0021423C"/>
    <w:rsid w:val="00230D00"/>
    <w:rsid w:val="00231DF7"/>
    <w:rsid w:val="00231FD1"/>
    <w:rsid w:val="002339E0"/>
    <w:rsid w:val="00233CF8"/>
    <w:rsid w:val="00234E8A"/>
    <w:rsid w:val="0023575D"/>
    <w:rsid w:val="00237148"/>
    <w:rsid w:val="0024222D"/>
    <w:rsid w:val="00244B0E"/>
    <w:rsid w:val="00244F6C"/>
    <w:rsid w:val="002532C5"/>
    <w:rsid w:val="00260C03"/>
    <w:rsid w:val="0026540E"/>
    <w:rsid w:val="00275123"/>
    <w:rsid w:val="00282240"/>
    <w:rsid w:val="002948AD"/>
    <w:rsid w:val="002A01CC"/>
    <w:rsid w:val="002A61B1"/>
    <w:rsid w:val="002A663C"/>
    <w:rsid w:val="002B444B"/>
    <w:rsid w:val="002B5887"/>
    <w:rsid w:val="002C0E27"/>
    <w:rsid w:val="002C3040"/>
    <w:rsid w:val="002D022D"/>
    <w:rsid w:val="002D24BB"/>
    <w:rsid w:val="002F2AF7"/>
    <w:rsid w:val="002F7E1C"/>
    <w:rsid w:val="00301A75"/>
    <w:rsid w:val="00302F70"/>
    <w:rsid w:val="0030336F"/>
    <w:rsid w:val="0030375E"/>
    <w:rsid w:val="00312A30"/>
    <w:rsid w:val="00320F72"/>
    <w:rsid w:val="0032463E"/>
    <w:rsid w:val="00326224"/>
    <w:rsid w:val="003312A3"/>
    <w:rsid w:val="00334EC5"/>
    <w:rsid w:val="00337EE4"/>
    <w:rsid w:val="00340FFD"/>
    <w:rsid w:val="003506B1"/>
    <w:rsid w:val="00356AC7"/>
    <w:rsid w:val="003609FA"/>
    <w:rsid w:val="003710C8"/>
    <w:rsid w:val="003750BE"/>
    <w:rsid w:val="00381AF0"/>
    <w:rsid w:val="00387B9D"/>
    <w:rsid w:val="0039364F"/>
    <w:rsid w:val="00396686"/>
    <w:rsid w:val="0039778E"/>
    <w:rsid w:val="003B4941"/>
    <w:rsid w:val="003C5714"/>
    <w:rsid w:val="003C6B9F"/>
    <w:rsid w:val="003C6E2A"/>
    <w:rsid w:val="003D0299"/>
    <w:rsid w:val="003E6D80"/>
    <w:rsid w:val="003E747B"/>
    <w:rsid w:val="003F05FA"/>
    <w:rsid w:val="003F244A"/>
    <w:rsid w:val="003F30B8"/>
    <w:rsid w:val="003F4C45"/>
    <w:rsid w:val="003F5F7B"/>
    <w:rsid w:val="003F7D64"/>
    <w:rsid w:val="004047FE"/>
    <w:rsid w:val="00414300"/>
    <w:rsid w:val="004149AA"/>
    <w:rsid w:val="00425C67"/>
    <w:rsid w:val="00427E7A"/>
    <w:rsid w:val="00436C49"/>
    <w:rsid w:val="00445366"/>
    <w:rsid w:val="00447F5B"/>
    <w:rsid w:val="00461DB0"/>
    <w:rsid w:val="00463926"/>
    <w:rsid w:val="00464C9A"/>
    <w:rsid w:val="00474F3D"/>
    <w:rsid w:val="00477E3A"/>
    <w:rsid w:val="00483E5F"/>
    <w:rsid w:val="00485C2A"/>
    <w:rsid w:val="00485FF9"/>
    <w:rsid w:val="004907F0"/>
    <w:rsid w:val="0049140B"/>
    <w:rsid w:val="004923A5"/>
    <w:rsid w:val="00496BFB"/>
    <w:rsid w:val="004A15C7"/>
    <w:rsid w:val="004B013B"/>
    <w:rsid w:val="004B112B"/>
    <w:rsid w:val="004C01E4"/>
    <w:rsid w:val="004C086C"/>
    <w:rsid w:val="004C1F56"/>
    <w:rsid w:val="004C27BC"/>
    <w:rsid w:val="004D15F3"/>
    <w:rsid w:val="004D1B69"/>
    <w:rsid w:val="004D5311"/>
    <w:rsid w:val="004D5DCC"/>
    <w:rsid w:val="004F10AF"/>
    <w:rsid w:val="004F11A4"/>
    <w:rsid w:val="004F2389"/>
    <w:rsid w:val="004F304D"/>
    <w:rsid w:val="004F61BE"/>
    <w:rsid w:val="004F66B1"/>
    <w:rsid w:val="00504D76"/>
    <w:rsid w:val="00511C07"/>
    <w:rsid w:val="005173A6"/>
    <w:rsid w:val="00520BAA"/>
    <w:rsid w:val="00525208"/>
    <w:rsid w:val="005257A5"/>
    <w:rsid w:val="005264C0"/>
    <w:rsid w:val="00526A8A"/>
    <w:rsid w:val="00531DF2"/>
    <w:rsid w:val="005442EE"/>
    <w:rsid w:val="00547353"/>
    <w:rsid w:val="005474E7"/>
    <w:rsid w:val="005512A3"/>
    <w:rsid w:val="005578CE"/>
    <w:rsid w:val="00562781"/>
    <w:rsid w:val="0057271C"/>
    <w:rsid w:val="00572845"/>
    <w:rsid w:val="00592772"/>
    <w:rsid w:val="0059574A"/>
    <w:rsid w:val="005A1B9B"/>
    <w:rsid w:val="005A6751"/>
    <w:rsid w:val="005B092E"/>
    <w:rsid w:val="005B152C"/>
    <w:rsid w:val="005B1EE0"/>
    <w:rsid w:val="005B2B24"/>
    <w:rsid w:val="005B4425"/>
    <w:rsid w:val="005B4B94"/>
    <w:rsid w:val="005C3EE8"/>
    <w:rsid w:val="005D34F9"/>
    <w:rsid w:val="005D4190"/>
    <w:rsid w:val="005D67A3"/>
    <w:rsid w:val="005E2988"/>
    <w:rsid w:val="005E3085"/>
    <w:rsid w:val="005F51E1"/>
    <w:rsid w:val="00611C80"/>
    <w:rsid w:val="00620692"/>
    <w:rsid w:val="006242CA"/>
    <w:rsid w:val="00627507"/>
    <w:rsid w:val="00633717"/>
    <w:rsid w:val="006344E1"/>
    <w:rsid w:val="006544C4"/>
    <w:rsid w:val="006545C4"/>
    <w:rsid w:val="00661971"/>
    <w:rsid w:val="00661CE8"/>
    <w:rsid w:val="006623D9"/>
    <w:rsid w:val="0066550C"/>
    <w:rsid w:val="006716F2"/>
    <w:rsid w:val="00682BF2"/>
    <w:rsid w:val="006859CE"/>
    <w:rsid w:val="00691270"/>
    <w:rsid w:val="00694BA8"/>
    <w:rsid w:val="006A037C"/>
    <w:rsid w:val="006A36F4"/>
    <w:rsid w:val="006A406F"/>
    <w:rsid w:val="006A5D3A"/>
    <w:rsid w:val="006C23D4"/>
    <w:rsid w:val="006C7BB0"/>
    <w:rsid w:val="006D3237"/>
    <w:rsid w:val="006E2E37"/>
    <w:rsid w:val="006E3CF1"/>
    <w:rsid w:val="006E7E80"/>
    <w:rsid w:val="006F48CA"/>
    <w:rsid w:val="006F64DD"/>
    <w:rsid w:val="00715127"/>
    <w:rsid w:val="00715E8E"/>
    <w:rsid w:val="00723580"/>
    <w:rsid w:val="00723755"/>
    <w:rsid w:val="0073136C"/>
    <w:rsid w:val="00731F0F"/>
    <w:rsid w:val="00733250"/>
    <w:rsid w:val="00741404"/>
    <w:rsid w:val="007449E5"/>
    <w:rsid w:val="00747FF0"/>
    <w:rsid w:val="00764D4E"/>
    <w:rsid w:val="00765A1F"/>
    <w:rsid w:val="00775B6D"/>
    <w:rsid w:val="00776D68"/>
    <w:rsid w:val="007850EE"/>
    <w:rsid w:val="00785B95"/>
    <w:rsid w:val="00790E96"/>
    <w:rsid w:val="00793366"/>
    <w:rsid w:val="007A716F"/>
    <w:rsid w:val="007B270A"/>
    <w:rsid w:val="007C0695"/>
    <w:rsid w:val="007C419A"/>
    <w:rsid w:val="007C4CC8"/>
    <w:rsid w:val="007C5426"/>
    <w:rsid w:val="007C5798"/>
    <w:rsid w:val="007D4832"/>
    <w:rsid w:val="007E21B2"/>
    <w:rsid w:val="007E2C4E"/>
    <w:rsid w:val="007F1905"/>
    <w:rsid w:val="00801300"/>
    <w:rsid w:val="00802C64"/>
    <w:rsid w:val="00805E52"/>
    <w:rsid w:val="008061D0"/>
    <w:rsid w:val="00810B38"/>
    <w:rsid w:val="008204C7"/>
    <w:rsid w:val="00820992"/>
    <w:rsid w:val="00823602"/>
    <w:rsid w:val="008255F5"/>
    <w:rsid w:val="0083014E"/>
    <w:rsid w:val="0083214A"/>
    <w:rsid w:val="00834220"/>
    <w:rsid w:val="00845723"/>
    <w:rsid w:val="00851EF9"/>
    <w:rsid w:val="008577FD"/>
    <w:rsid w:val="00860B03"/>
    <w:rsid w:val="0086497A"/>
    <w:rsid w:val="008713A1"/>
    <w:rsid w:val="008754AB"/>
    <w:rsid w:val="0088060C"/>
    <w:rsid w:val="00893576"/>
    <w:rsid w:val="00893E73"/>
    <w:rsid w:val="008B02DC"/>
    <w:rsid w:val="008B57CE"/>
    <w:rsid w:val="008C26DE"/>
    <w:rsid w:val="008C4AA6"/>
    <w:rsid w:val="008D2225"/>
    <w:rsid w:val="008D4752"/>
    <w:rsid w:val="008E271C"/>
    <w:rsid w:val="008E418E"/>
    <w:rsid w:val="008E5BC6"/>
    <w:rsid w:val="008E6A25"/>
    <w:rsid w:val="008F5193"/>
    <w:rsid w:val="009013A7"/>
    <w:rsid w:val="009017FB"/>
    <w:rsid w:val="009017FC"/>
    <w:rsid w:val="0090506B"/>
    <w:rsid w:val="009050C9"/>
    <w:rsid w:val="009066FC"/>
    <w:rsid w:val="009140A3"/>
    <w:rsid w:val="009144A2"/>
    <w:rsid w:val="0091510C"/>
    <w:rsid w:val="009259AC"/>
    <w:rsid w:val="00926F38"/>
    <w:rsid w:val="00934301"/>
    <w:rsid w:val="00936CD1"/>
    <w:rsid w:val="00941747"/>
    <w:rsid w:val="00941EFB"/>
    <w:rsid w:val="00947AFB"/>
    <w:rsid w:val="00951D7D"/>
    <w:rsid w:val="009630C7"/>
    <w:rsid w:val="00972B55"/>
    <w:rsid w:val="009743B7"/>
    <w:rsid w:val="0098228B"/>
    <w:rsid w:val="009828DA"/>
    <w:rsid w:val="00985BAB"/>
    <w:rsid w:val="009B1B5F"/>
    <w:rsid w:val="009B6673"/>
    <w:rsid w:val="009C191B"/>
    <w:rsid w:val="009C2BD6"/>
    <w:rsid w:val="009E1F32"/>
    <w:rsid w:val="009E776C"/>
    <w:rsid w:val="00A1726E"/>
    <w:rsid w:val="00A204CF"/>
    <w:rsid w:val="00A23D49"/>
    <w:rsid w:val="00A27004"/>
    <w:rsid w:val="00A30C29"/>
    <w:rsid w:val="00A34DD6"/>
    <w:rsid w:val="00A36819"/>
    <w:rsid w:val="00A36989"/>
    <w:rsid w:val="00A43628"/>
    <w:rsid w:val="00A54192"/>
    <w:rsid w:val="00A6035E"/>
    <w:rsid w:val="00A6144C"/>
    <w:rsid w:val="00A66617"/>
    <w:rsid w:val="00A671F8"/>
    <w:rsid w:val="00A673A4"/>
    <w:rsid w:val="00A724AE"/>
    <w:rsid w:val="00A73329"/>
    <w:rsid w:val="00A82359"/>
    <w:rsid w:val="00A865D2"/>
    <w:rsid w:val="00A94C20"/>
    <w:rsid w:val="00AA227F"/>
    <w:rsid w:val="00AA3BC7"/>
    <w:rsid w:val="00AA754A"/>
    <w:rsid w:val="00AB099E"/>
    <w:rsid w:val="00AB4328"/>
    <w:rsid w:val="00AE0A2E"/>
    <w:rsid w:val="00AE354C"/>
    <w:rsid w:val="00AF4B07"/>
    <w:rsid w:val="00AF6186"/>
    <w:rsid w:val="00AF7102"/>
    <w:rsid w:val="00AF7A3A"/>
    <w:rsid w:val="00B160DB"/>
    <w:rsid w:val="00B20836"/>
    <w:rsid w:val="00B235BB"/>
    <w:rsid w:val="00B27A44"/>
    <w:rsid w:val="00B30BBF"/>
    <w:rsid w:val="00B33C03"/>
    <w:rsid w:val="00B44E56"/>
    <w:rsid w:val="00B46543"/>
    <w:rsid w:val="00B47D33"/>
    <w:rsid w:val="00B52BE0"/>
    <w:rsid w:val="00B54133"/>
    <w:rsid w:val="00B701ED"/>
    <w:rsid w:val="00B8086C"/>
    <w:rsid w:val="00B861B4"/>
    <w:rsid w:val="00B86DFE"/>
    <w:rsid w:val="00B87FB1"/>
    <w:rsid w:val="00B90990"/>
    <w:rsid w:val="00B922FF"/>
    <w:rsid w:val="00B9281E"/>
    <w:rsid w:val="00B93925"/>
    <w:rsid w:val="00B95187"/>
    <w:rsid w:val="00BA2D55"/>
    <w:rsid w:val="00BA71B1"/>
    <w:rsid w:val="00BB0637"/>
    <w:rsid w:val="00BB345F"/>
    <w:rsid w:val="00BB68EA"/>
    <w:rsid w:val="00BC1C27"/>
    <w:rsid w:val="00BC6BBF"/>
    <w:rsid w:val="00BD1572"/>
    <w:rsid w:val="00BE14E3"/>
    <w:rsid w:val="00BE3774"/>
    <w:rsid w:val="00BE41E5"/>
    <w:rsid w:val="00BF4109"/>
    <w:rsid w:val="00BF4CC3"/>
    <w:rsid w:val="00C054C7"/>
    <w:rsid w:val="00C057B5"/>
    <w:rsid w:val="00C22687"/>
    <w:rsid w:val="00C32E4D"/>
    <w:rsid w:val="00C333A0"/>
    <w:rsid w:val="00C36408"/>
    <w:rsid w:val="00C36A81"/>
    <w:rsid w:val="00C41974"/>
    <w:rsid w:val="00C53F4A"/>
    <w:rsid w:val="00C54125"/>
    <w:rsid w:val="00C55B54"/>
    <w:rsid w:val="00C6098E"/>
    <w:rsid w:val="00C6152C"/>
    <w:rsid w:val="00C74810"/>
    <w:rsid w:val="00C90D68"/>
    <w:rsid w:val="00C939FE"/>
    <w:rsid w:val="00CA4BDA"/>
    <w:rsid w:val="00CB1F66"/>
    <w:rsid w:val="00CB2951"/>
    <w:rsid w:val="00CD282B"/>
    <w:rsid w:val="00CD4C35"/>
    <w:rsid w:val="00CD7369"/>
    <w:rsid w:val="00CE0B0E"/>
    <w:rsid w:val="00CE3831"/>
    <w:rsid w:val="00CE6ED9"/>
    <w:rsid w:val="00D00ABB"/>
    <w:rsid w:val="00D02EEC"/>
    <w:rsid w:val="00D03551"/>
    <w:rsid w:val="00D06A63"/>
    <w:rsid w:val="00D07E0E"/>
    <w:rsid w:val="00D11478"/>
    <w:rsid w:val="00D15ED0"/>
    <w:rsid w:val="00D21B3E"/>
    <w:rsid w:val="00D21FED"/>
    <w:rsid w:val="00D24251"/>
    <w:rsid w:val="00D343E2"/>
    <w:rsid w:val="00D361A2"/>
    <w:rsid w:val="00D44C2E"/>
    <w:rsid w:val="00D45414"/>
    <w:rsid w:val="00D566BD"/>
    <w:rsid w:val="00D57A4D"/>
    <w:rsid w:val="00D60AA7"/>
    <w:rsid w:val="00D6435F"/>
    <w:rsid w:val="00D67EE6"/>
    <w:rsid w:val="00D75E28"/>
    <w:rsid w:val="00D772C2"/>
    <w:rsid w:val="00D8008E"/>
    <w:rsid w:val="00D82C45"/>
    <w:rsid w:val="00D908A8"/>
    <w:rsid w:val="00D977B6"/>
    <w:rsid w:val="00DA4A31"/>
    <w:rsid w:val="00DA7B04"/>
    <w:rsid w:val="00DB36C2"/>
    <w:rsid w:val="00DC169B"/>
    <w:rsid w:val="00DC2AB9"/>
    <w:rsid w:val="00DC63F0"/>
    <w:rsid w:val="00DD6EE5"/>
    <w:rsid w:val="00DE386C"/>
    <w:rsid w:val="00DE4D35"/>
    <w:rsid w:val="00DF098B"/>
    <w:rsid w:val="00DF11C4"/>
    <w:rsid w:val="00DF210C"/>
    <w:rsid w:val="00DF4B6A"/>
    <w:rsid w:val="00E02897"/>
    <w:rsid w:val="00E02C09"/>
    <w:rsid w:val="00E04D59"/>
    <w:rsid w:val="00E07DA1"/>
    <w:rsid w:val="00E123CB"/>
    <w:rsid w:val="00E20E13"/>
    <w:rsid w:val="00E21DBC"/>
    <w:rsid w:val="00E275D7"/>
    <w:rsid w:val="00E27DBE"/>
    <w:rsid w:val="00E32AB1"/>
    <w:rsid w:val="00E36C71"/>
    <w:rsid w:val="00E40404"/>
    <w:rsid w:val="00E459C6"/>
    <w:rsid w:val="00E47589"/>
    <w:rsid w:val="00E64915"/>
    <w:rsid w:val="00E661D4"/>
    <w:rsid w:val="00E70091"/>
    <w:rsid w:val="00E720F5"/>
    <w:rsid w:val="00E76D47"/>
    <w:rsid w:val="00E849F7"/>
    <w:rsid w:val="00E90302"/>
    <w:rsid w:val="00E97396"/>
    <w:rsid w:val="00EA185E"/>
    <w:rsid w:val="00EA592A"/>
    <w:rsid w:val="00EB14E4"/>
    <w:rsid w:val="00EB32A5"/>
    <w:rsid w:val="00EB34ED"/>
    <w:rsid w:val="00EB7BE0"/>
    <w:rsid w:val="00EC315E"/>
    <w:rsid w:val="00EC78A3"/>
    <w:rsid w:val="00ED077C"/>
    <w:rsid w:val="00ED1190"/>
    <w:rsid w:val="00ED6544"/>
    <w:rsid w:val="00EE0277"/>
    <w:rsid w:val="00EE3E00"/>
    <w:rsid w:val="00EE5DD2"/>
    <w:rsid w:val="00F00A79"/>
    <w:rsid w:val="00F00E86"/>
    <w:rsid w:val="00F07C1E"/>
    <w:rsid w:val="00F105DB"/>
    <w:rsid w:val="00F132BC"/>
    <w:rsid w:val="00F13D80"/>
    <w:rsid w:val="00F16AAA"/>
    <w:rsid w:val="00F21161"/>
    <w:rsid w:val="00F218EF"/>
    <w:rsid w:val="00F21BC7"/>
    <w:rsid w:val="00F266A2"/>
    <w:rsid w:val="00F32269"/>
    <w:rsid w:val="00F56A6F"/>
    <w:rsid w:val="00F5709C"/>
    <w:rsid w:val="00F64EF1"/>
    <w:rsid w:val="00F8765F"/>
    <w:rsid w:val="00F90767"/>
    <w:rsid w:val="00FA685B"/>
    <w:rsid w:val="00FB0C01"/>
    <w:rsid w:val="00FC18F2"/>
    <w:rsid w:val="00FC39E5"/>
    <w:rsid w:val="00FC3A78"/>
    <w:rsid w:val="00FD1005"/>
    <w:rsid w:val="00FD6C75"/>
    <w:rsid w:val="00FE71B3"/>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0" w:defQFormat="0" w:count="267">
    <w:lsdException w:name="Normal" w:semiHidden="0" w:uiPriority="0"/>
    <w:lsdException w:name="heading 1" w:semiHidden="0" w:qFormat="1"/>
    <w:lsdException w:name="heading 2" w:unhideWhenUsed="1" w:qFormat="1"/>
    <w:lsdException w:name="heading 3" w:unhideWhenUsed="1" w:qFormat="1"/>
    <w:lsdException w:name="heading 4" w:unhideWhenUsed="1" w:qFormat="1"/>
    <w:lsdException w:name="heading 5" w:unhideWhenUsed="1" w:qFormat="1"/>
    <w:lsdException w:name="heading 6" w:unhideWhenUsed="1" w:qFormat="1"/>
    <w:lsdException w:name="heading 7" w:unhideWhenUsed="1" w:qFormat="1"/>
    <w:lsdException w:name="heading 8" w:unhideWhenUsed="1" w:qFormat="1"/>
    <w:lsdException w:name="heading 9" w:unhideWhenUsed="1" w:qFormat="1"/>
    <w:lsdException w:name="index 2" w:uiPriority="0"/>
    <w:lsdException w:name="index 6" w:uiPriority="0"/>
    <w:lsdException w:name="index 8" w:uiPriority="0"/>
    <w:lsdException w:name="toc 1" w:unhideWhenUsed="1"/>
    <w:lsdException w:name="toc 2" w:unhideWhenUsed="1"/>
    <w:lsdException w:name="toc 3" w:unhideWhenUsed="1"/>
    <w:lsdException w:name="toc 4" w:unhideWhenUsed="1"/>
    <w:lsdException w:name="toc 5" w:unhideWhenUsed="1"/>
    <w:lsdException w:name="footnote text" w:unhideWhenUsed="1"/>
    <w:lsdException w:name="annotation text" w:uiPriority="0"/>
    <w:lsdException w:name="header" w:unhideWhenUsed="1"/>
    <w:lsdException w:name="footer" w:unhideWhenUsed="1"/>
    <w:lsdException w:name="index heading" w:uiPriority="0"/>
    <w:lsdException w:name="caption" w:qFormat="1"/>
    <w:lsdException w:name="envelope return" w:uiPriority="0"/>
    <w:lsdException w:name="footnote reference" w:unhideWhenUsed="1"/>
    <w:lsdException w:name="line number" w:uiPriority="0"/>
    <w:lsdException w:name="endnote reference" w:uiPriority="0"/>
    <w:lsdException w:name="List Number" w:uiPriority="0"/>
    <w:lsdException w:name="List 2" w:uiPriority="0"/>
    <w:lsdException w:name="List 4" w:uiPriority="0"/>
    <w:lsdException w:name="List Bullet 3" w:uiPriority="0"/>
    <w:lsdException w:name="List Bullet 5" w:uiPriority="0"/>
    <w:lsdException w:name="List Number 3" w:uiPriority="0"/>
    <w:lsdException w:name="List Number 5" w:uiPriority="0"/>
    <w:lsdException w:name="Title" w:semiHidden="0" w:qFormat="1"/>
    <w:lsdException w:name="Default Paragraph Font" w:uiPriority="1" w:unhideWhenUsed="1"/>
    <w:lsdException w:name="Body Text" w:uiPriority="0"/>
    <w:lsdException w:name="List Continue 2" w:uiPriority="0"/>
    <w:lsdException w:name="Subtitle" w:qFormat="1"/>
    <w:lsdException w:name="Body Text First Indent 2" w:uiPriority="0"/>
    <w:lsdException w:name="Body Text Indent 2" w:uiPriority="0"/>
    <w:lsdException w:name="Hyperlink" w:unhideWhenUsed="1"/>
    <w:lsdException w:name="Strong" w:semiHidden="0" w:qFormat="1"/>
    <w:lsdException w:name="Emphasis" w:semiHidden="0" w:qFormat="1"/>
    <w:lsdException w:name="Document Map" w:uiPriority="0"/>
    <w:lsdException w:name="HTML Top of Form" w:unhideWhenUsed="1"/>
    <w:lsdException w:name="HTML Bottom of Form" w:unhideWhenUsed="1"/>
    <w:lsdException w:name="HTML Address" w:uiPriority="0"/>
    <w:lsdException w:name="HTML Keyboard" w:uiPriority="0"/>
    <w:lsdException w:name="HTML Sample" w:uiPriority="0"/>
    <w:lsdException w:name="HTML Variable" w:uiPriority="0"/>
    <w:lsdException w:name="Normal Table" w:unhideWhenUsed="1"/>
    <w:lsdException w:name="annotation subject" w:uiPriority="0"/>
    <w:lsdException w:name="No List" w:unhideWhenUsed="1"/>
    <w:lsdException w:name="Outline List 1" w:uiPriority="0"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lsdException w:name="Table Theme" w:unhideWhenUsed="1"/>
    <w:lsdException w:name="No Spacing" w:semiHidden="0" w:uiPriority="0" w:qFormat="1"/>
    <w:lsdException w:name="Light Shading" w:semiHidden="0"/>
    <w:lsdException w:name="Light List" w:semiHidden="0" w:uiPriority="61"/>
    <w:lsdException w:name="Light Grid" w:semiHidden="0"/>
    <w:lsdException w:name="Medium Shading 1" w:semiHidden="0"/>
    <w:lsdException w:name="Medium Shading 2" w:semiHidden="0"/>
    <w:lsdException w:name="Medium List 1" w:semiHidden="0"/>
    <w:lsdException w:name="Medium List 2" w:semiHidden="0" w:uiPriority="66"/>
    <w:lsdException w:name="Medium Grid 1" w:semiHidden="0" w:uiPriority="67"/>
    <w:lsdException w:name="Medium Grid 2" w:semiHidden="0"/>
    <w:lsdException w:name="Medium Grid 3" w:semiHidden="0"/>
    <w:lsdException w:name="Dark List" w:semiHidden="0"/>
    <w:lsdException w:name="Colorful Shading" w:semiHidden="0"/>
    <w:lsdException w:name="Colorful List" w:semiHidden="0" w:uiPriority="72"/>
    <w:lsdException w:name="Colorful Grid" w:semiHidden="0"/>
    <w:lsdException w:name="Light Shading Accent 1" w:semiHidden="0"/>
    <w:lsdException w:name="Light List Accent 1" w:semiHidden="0"/>
    <w:lsdException w:name="Light Grid Accent 1" w:semiHidden="0" w:uiPriority="62"/>
    <w:lsdException w:name="Medium Shading 1 Accent 1" w:semiHidden="0" w:uiPriority="63"/>
    <w:lsdException w:name="Medium Shading 2 Accent 1" w:semiHidden="0"/>
    <w:lsdException w:name="Medium List 1 Accent 1" w:semiHidden="0" w:uiPriority="65"/>
    <w:lsdException w:name="List Paragraph" w:semiHidden="0" w:qFormat="1"/>
    <w:lsdException w:name="Quote" w:semiHidden="0" w:qFormat="1"/>
    <w:lsdException w:name="Intense Quote" w:semiHidden="0" w:qFormat="1"/>
    <w:lsdException w:name="Medium List 2 Accent 1" w:semiHidden="0"/>
    <w:lsdException w:name="Medium Grid 1 Accent 1" w:semiHidden="0"/>
    <w:lsdException w:name="Medium Grid 2 Accent 1" w:semiHidden="0" w:uiPriority="68"/>
    <w:lsdException w:name="Medium Grid 3 Accent 1" w:semiHidden="0"/>
    <w:lsdException w:name="Dark List Accent 1" w:semiHidden="0"/>
    <w:lsdException w:name="Colorful Shading Accent 1" w:semiHidden="0"/>
    <w:lsdException w:name="Colorful List Accent 1" w:semiHidden="0"/>
    <w:lsdException w:name="Colorful Grid Accent 1" w:semiHidden="0" w:uiPriority="73"/>
    <w:lsdException w:name="Light Shading Accent 2" w:semiHidden="0"/>
    <w:lsdException w:name="Light List Accent 2" w:semiHidden="0" w:uiPriority="61"/>
    <w:lsdException w:name="Light Grid Accent 2" w:semiHidden="0"/>
    <w:lsdException w:name="Medium Shading 1 Accent 2" w:semiHidden="0"/>
    <w:lsdException w:name="Medium Shading 2 Accent 2" w:semiHidden="0" w:uiPriority="64"/>
    <w:lsdException w:name="Medium List 1 Accent 2" w:semiHidden="0"/>
    <w:lsdException w:name="Medium List 2 Accent 2" w:semiHidden="0" w:uiPriority="66"/>
    <w:lsdException w:name="Medium Grid 1 Accent 2" w:semiHidden="0"/>
    <w:lsdException w:name="Medium Grid 2 Accent 2" w:semiHidden="0"/>
    <w:lsdException w:name="Medium Grid 3 Accent 2" w:semiHidden="0" w:uiPriority="69"/>
    <w:lsdException w:name="Dark List Accent 2" w:semiHidden="0" w:uiPriority="70"/>
    <w:lsdException w:name="Colorful Shading Accent 2" w:semiHidden="0"/>
    <w:lsdException w:name="Colorful List Accent 2" w:semiHidden="0" w:uiPriority="72"/>
    <w:lsdException w:name="Colorful Grid Accent 2" w:semiHidden="0"/>
    <w:lsdException w:name="Light Shading Accent 3" w:semiHidden="0" w:uiPriority="60"/>
    <w:lsdException w:name="Light List Accent 3" w:semiHidden="0"/>
    <w:lsdException w:name="Light Grid Accent 3" w:semiHidden="0"/>
    <w:lsdException w:name="Medium Shading 1 Accent 3" w:semiHidden="0" w:uiPriority="63"/>
    <w:lsdException w:name="Medium Shading 2 Accent 3" w:semiHidden="0"/>
    <w:lsdException w:name="Medium List 1 Accent 3" w:semiHidden="0" w:uiPriority="65"/>
    <w:lsdException w:name="Medium List 2 Accent 3" w:semiHidden="0"/>
    <w:lsdException w:name="Medium Grid 1 Accent 3" w:semiHidden="0"/>
    <w:lsdException w:name="Medium Grid 2 Accent 3" w:semiHidden="0"/>
    <w:lsdException w:name="Medium Grid 3 Accent 3" w:semiHidden="0"/>
    <w:lsdException w:name="Dark List Accent 3" w:semiHidden="0"/>
    <w:lsdException w:name="Colorful Shading Accent 3" w:semiHidden="0" w:uiPriority="71"/>
    <w:lsdException w:name="Colorful List Accent 3" w:semiHidden="0"/>
    <w:lsdException w:name="Colorful Grid Accent 3" w:semiHidden="0"/>
    <w:lsdException w:name="Light Shading Accent 4" w:semiHidden="0"/>
    <w:lsdException w:name="Light List Accent 4" w:semiHidden="0"/>
    <w:lsdException w:name="Light Grid Accent 4" w:semiHidden="0"/>
    <w:lsdException w:name="Medium Shading 1 Accent 4" w:semiHidden="0"/>
    <w:lsdException w:name="Medium Shading 2 Accent 4" w:semiHidden="0"/>
    <w:lsdException w:name="Medium List 1 Accent 4" w:semiHidden="0"/>
    <w:lsdException w:name="Medium List 2 Accent 4" w:semiHidden="0" w:uiPriority="66"/>
    <w:lsdException w:name="Medium Grid 1 Accent 4" w:semiHidden="0" w:uiPriority="67"/>
    <w:lsdException w:name="Medium Grid 2 Accent 4" w:semiHidden="0"/>
    <w:lsdException w:name="Medium Grid 3 Accent 4" w:semiHidden="0"/>
    <w:lsdException w:name="Dark List Accent 4" w:semiHidden="0"/>
    <w:lsdException w:name="Colorful Shading Accent 4" w:semiHidden="0"/>
    <w:lsdException w:name="Colorful List Accent 4" w:semiHidden="0"/>
    <w:lsdException w:name="Colorful Grid Accent 4" w:semiHidden="0"/>
    <w:lsdException w:name="Light Shading Accent 5" w:semiHidden="0"/>
    <w:lsdException w:name="Light List Accent 5" w:semiHidden="0"/>
    <w:lsdException w:name="Light Grid Accent 5" w:semiHidden="0" w:uiPriority="62"/>
    <w:lsdException w:name="Medium Shading 1 Accent 5" w:semiHidden="0" w:uiPriority="63"/>
    <w:lsdException w:name="Medium Shading 2 Accent 5" w:semiHidden="0"/>
    <w:lsdException w:name="Medium List 1 Accent 5" w:semiHidden="0"/>
    <w:lsdException w:name="Medium List 2 Accent 5" w:semiHidden="0"/>
    <w:lsdException w:name="Medium Grid 1 Accent 5" w:semiHidden="0"/>
    <w:lsdException w:name="Medium Grid 2 Accent 5" w:semiHidden="0" w:uiPriority="68"/>
    <w:lsdException w:name="Medium Grid 3 Accent 5" w:semiHidden="0"/>
    <w:lsdException w:name="Dark List Accent 5" w:semiHidden="0"/>
    <w:lsdException w:name="Colorful Shading Accent 5" w:semiHidden="0"/>
    <w:lsdException w:name="Colorful List Accent 5" w:semiHidden="0"/>
    <w:lsdException w:name="Colorful Grid Accent 5" w:semiHidden="0" w:uiPriority="73"/>
    <w:lsdException w:name="Light Shading Accent 6" w:semiHidden="0"/>
    <w:lsdException w:name="Light List Accent 6" w:semiHidden="0" w:uiPriority="61"/>
    <w:lsdException w:name="Light Grid Accent 6" w:semiHidden="0"/>
    <w:lsdException w:name="Medium Shading 1 Accent 6" w:semiHidden="0"/>
    <w:lsdException w:name="Medium Shading 2 Accent 6" w:semiHidden="0" w:uiPriority="64"/>
    <w:lsdException w:name="Medium List 1 Accent 6" w:semiHidden="0"/>
    <w:lsdException w:name="Medium List 2 Accent 6" w:semiHidden="0"/>
    <w:lsdException w:name="Medium Grid 1 Accent 6" w:semiHidden="0" w:uiPriority="67"/>
    <w:lsdException w:name="Medium Grid 2 Accent 6" w:semiHidden="0"/>
    <w:lsdException w:name="Medium Grid 3 Accent 6" w:semiHidden="0" w:uiPriority="69"/>
    <w:lsdException w:name="Dark List Accent 6" w:semiHidden="0" w:uiPriority="70"/>
    <w:lsdException w:name="Colorful Shading Accent 6" w:semiHidden="0"/>
    <w:lsdException w:name="Colorful List Accent 6" w:semiHidden="0" w:uiPriority="72"/>
    <w:lsdException w:name="Colorful Grid Accent 6" w:semiHidden="0"/>
    <w:lsdException w:name="Subtle Emphasis" w:semiHidden="0" w:qFormat="1"/>
    <w:lsdException w:name="Intense Emphasis" w:semiHidden="0" w:qFormat="1"/>
    <w:lsdException w:name="Subtle Reference" w:semiHidden="0" w:qFormat="1"/>
    <w:lsdException w:name="Intense Reference" w:semiHidden="0" w:qFormat="1"/>
    <w:lsdException w:name="Book Title" w:semiHidden="0" w:qFormat="1"/>
    <w:lsdException w:name="TOC Heading" w:unhideWhenUsed="1" w:qFormat="1"/>
  </w:latentStyles>
  <w:style w:type="paragraph" w:default="1" w:styleId="Normal">
    <w:name w:val="Normal"/>
    <w:semiHidden/>
    <w:rsid w:val="006544C4"/>
    <w:pPr>
      <w:jc w:val="both"/>
    </w:pPr>
    <w:rPr>
      <w:rFonts w:eastAsiaTheme="minorEastAsia"/>
      <w:sz w:val="24"/>
    </w:rPr>
  </w:style>
  <w:style w:type="paragraph" w:styleId="Heading1">
    <w:name w:val="heading 1"/>
    <w:basedOn w:val="Normal"/>
    <w:next w:val="Normal"/>
    <w:link w:val="Heading1Char"/>
    <w:uiPriority w:val="99"/>
    <w:semiHidden/>
    <w:rsid w:val="00941747"/>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941747"/>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941747"/>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941747"/>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6544C4"/>
    <w:pPr>
      <w:spacing w:before="200"/>
      <w:outlineLvl w:val="4"/>
    </w:pPr>
    <w:rPr>
      <w:rFonts w:asciiTheme="majorHAnsi" w:eastAsiaTheme="majorEastAsia" w:hAnsiTheme="majorHAnsi" w:cstheme="majorBidi"/>
      <w:b/>
      <w:bCs/>
      <w:color w:val="808080"/>
      <w:sz w:val="22"/>
    </w:rPr>
  </w:style>
  <w:style w:type="paragraph" w:styleId="Heading6">
    <w:name w:val="heading 6"/>
    <w:basedOn w:val="Normal"/>
    <w:next w:val="Normal"/>
    <w:link w:val="Heading6Char"/>
    <w:uiPriority w:val="99"/>
    <w:semiHidden/>
    <w:rsid w:val="0094174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6544C4"/>
    <w:pPr>
      <w:outlineLvl w:val="6"/>
    </w:pPr>
    <w:rPr>
      <w:rFonts w:asciiTheme="majorHAnsi" w:eastAsiaTheme="majorEastAsia" w:hAnsiTheme="majorHAnsi" w:cstheme="majorBidi"/>
      <w:i/>
      <w:iCs/>
      <w:sz w:val="22"/>
      <w:lang w:bidi="en-US"/>
    </w:rPr>
  </w:style>
  <w:style w:type="paragraph" w:styleId="Heading8">
    <w:name w:val="heading 8"/>
    <w:basedOn w:val="Normal"/>
    <w:next w:val="Normal"/>
    <w:link w:val="Heading8Char"/>
    <w:uiPriority w:val="99"/>
    <w:semiHidden/>
    <w:qFormat/>
    <w:rsid w:val="006544C4"/>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6544C4"/>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941747"/>
    <w:rPr>
      <w:rFonts w:ascii="Tahoma" w:hAnsi="Tahoma" w:cs="Tahoma"/>
      <w:sz w:val="16"/>
      <w:szCs w:val="16"/>
    </w:rPr>
  </w:style>
  <w:style w:type="character" w:customStyle="1" w:styleId="BalloonTextChar">
    <w:name w:val="Balloon Text Char"/>
    <w:basedOn w:val="DefaultParagraphFont"/>
    <w:link w:val="BalloonText"/>
    <w:uiPriority w:val="99"/>
    <w:semiHidden/>
    <w:rsid w:val="00A671F8"/>
    <w:rPr>
      <w:rFonts w:ascii="Tahoma" w:eastAsiaTheme="minorEastAsia" w:hAnsi="Tahoma" w:cs="Tahoma"/>
      <w:sz w:val="16"/>
      <w:szCs w:val="16"/>
    </w:rPr>
  </w:style>
  <w:style w:type="character" w:styleId="BookTitle">
    <w:name w:val="Book Title"/>
    <w:uiPriority w:val="99"/>
    <w:semiHidden/>
    <w:qFormat/>
    <w:rsid w:val="006544C4"/>
    <w:rPr>
      <w:i/>
      <w:iCs/>
      <w:smallCaps/>
      <w:spacing w:val="5"/>
    </w:rPr>
  </w:style>
  <w:style w:type="paragraph" w:customStyle="1" w:styleId="ECHRHeader">
    <w:name w:val="ECHR_Header"/>
    <w:aliases w:val="Ju_Header"/>
    <w:basedOn w:val="Header"/>
    <w:uiPriority w:val="4"/>
    <w:qFormat/>
    <w:rsid w:val="006544C4"/>
    <w:pPr>
      <w:tabs>
        <w:tab w:val="clear" w:pos="4536"/>
        <w:tab w:val="clear" w:pos="9696"/>
        <w:tab w:val="center" w:pos="3686"/>
        <w:tab w:val="right" w:pos="7371"/>
      </w:tabs>
      <w:ind w:left="0" w:right="0"/>
      <w:jc w:val="left"/>
    </w:pPr>
    <w:rPr>
      <w:rFonts w:eastAsiaTheme="minorHAnsi"/>
      <w:sz w:val="18"/>
    </w:rPr>
  </w:style>
  <w:style w:type="paragraph" w:customStyle="1" w:styleId="JuAppQuestion">
    <w:name w:val="Ju_App_Question"/>
    <w:basedOn w:val="Normal"/>
    <w:uiPriority w:val="5"/>
    <w:qFormat/>
    <w:rsid w:val="006544C4"/>
    <w:pPr>
      <w:numPr>
        <w:numId w:val="11"/>
      </w:numPr>
      <w:jc w:val="left"/>
    </w:pPr>
    <w:rPr>
      <w:b/>
    </w:rPr>
  </w:style>
  <w:style w:type="character" w:styleId="Strong">
    <w:name w:val="Strong"/>
    <w:uiPriority w:val="99"/>
    <w:semiHidden/>
    <w:qFormat/>
    <w:rsid w:val="006544C4"/>
    <w:rPr>
      <w:b/>
      <w:bCs/>
    </w:rPr>
  </w:style>
  <w:style w:type="paragraph" w:styleId="NoSpacing">
    <w:name w:val="No Spacing"/>
    <w:basedOn w:val="Normal"/>
    <w:link w:val="NoSpacingChar"/>
    <w:semiHidden/>
    <w:qFormat/>
    <w:rsid w:val="006544C4"/>
    <w:rPr>
      <w:sz w:val="22"/>
    </w:rPr>
  </w:style>
  <w:style w:type="character" w:customStyle="1" w:styleId="NoSpacingChar">
    <w:name w:val="No Spacing Char"/>
    <w:basedOn w:val="DefaultParagraphFont"/>
    <w:link w:val="NoSpacing"/>
    <w:semiHidden/>
    <w:rsid w:val="006544C4"/>
    <w:rPr>
      <w:rFonts w:eastAsiaTheme="minorEastAsia"/>
    </w:rPr>
  </w:style>
  <w:style w:type="paragraph" w:customStyle="1" w:styleId="OpiPara">
    <w:name w:val="Opi_Para"/>
    <w:basedOn w:val="Normal"/>
    <w:uiPriority w:val="46"/>
    <w:semiHidden/>
    <w:qFormat/>
    <w:rsid w:val="004047FE"/>
    <w:pPr>
      <w:ind w:firstLine="284"/>
    </w:pPr>
  </w:style>
  <w:style w:type="paragraph" w:customStyle="1" w:styleId="ECHRParaQuote">
    <w:name w:val="ECHR_Para_Quote"/>
    <w:aliases w:val="Ju_Quot,Para_Quote"/>
    <w:basedOn w:val="Normal"/>
    <w:qFormat/>
    <w:rsid w:val="006544C4"/>
    <w:pPr>
      <w:spacing w:before="120" w:after="120"/>
      <w:ind w:left="425" w:firstLine="142"/>
    </w:pPr>
    <w:rPr>
      <w:sz w:val="20"/>
    </w:rPr>
  </w:style>
  <w:style w:type="paragraph" w:customStyle="1" w:styleId="JuParaSub">
    <w:name w:val="Ju_Para_Sub"/>
    <w:basedOn w:val="Normal"/>
    <w:uiPriority w:val="13"/>
    <w:qFormat/>
    <w:rsid w:val="004047FE"/>
    <w:pPr>
      <w:ind w:left="284" w:firstLine="284"/>
    </w:pPr>
  </w:style>
  <w:style w:type="paragraph" w:customStyle="1" w:styleId="OpiParaSub">
    <w:name w:val="Opi_Para_Sub"/>
    <w:basedOn w:val="JuParaSub"/>
    <w:uiPriority w:val="47"/>
    <w:semiHidden/>
    <w:qFormat/>
    <w:rsid w:val="006544C4"/>
  </w:style>
  <w:style w:type="paragraph" w:customStyle="1" w:styleId="OpiQuot">
    <w:name w:val="Opi_Quot"/>
    <w:basedOn w:val="ECHRParaQuote"/>
    <w:qFormat/>
    <w:rsid w:val="006544C4"/>
  </w:style>
  <w:style w:type="paragraph" w:customStyle="1" w:styleId="OpiQuotSub">
    <w:name w:val="Opi_Quot_Sub"/>
    <w:basedOn w:val="JuQuotSub"/>
    <w:uiPriority w:val="49"/>
    <w:semiHidden/>
    <w:qFormat/>
    <w:rsid w:val="006544C4"/>
  </w:style>
  <w:style w:type="paragraph" w:customStyle="1" w:styleId="ECHRTitleCentre3">
    <w:name w:val="ECHR_Title_Centre_3"/>
    <w:aliases w:val="Ju_H_Article"/>
    <w:basedOn w:val="Normal"/>
    <w:next w:val="ECHRParaQuote"/>
    <w:qFormat/>
    <w:rsid w:val="006544C4"/>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semiHidden/>
    <w:qFormat/>
    <w:rsid w:val="006544C4"/>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6544C4"/>
    <w:pPr>
      <w:ind w:left="567"/>
    </w:pPr>
  </w:style>
  <w:style w:type="paragraph" w:customStyle="1" w:styleId="ECHRTitle1">
    <w:name w:val="ECHR_Title_1"/>
    <w:aliases w:val="Ju_H_Head"/>
    <w:basedOn w:val="Normal"/>
    <w:next w:val="Normal"/>
    <w:uiPriority w:val="18"/>
    <w:qFormat/>
    <w:rsid w:val="006544C4"/>
    <w:pPr>
      <w:keepNext/>
      <w:keepLines/>
      <w:spacing w:before="720" w:after="240"/>
      <w:outlineLvl w:val="0"/>
    </w:pPr>
    <w:rPr>
      <w:rFonts w:asciiTheme="majorHAnsi" w:hAnsiTheme="majorHAnsi"/>
      <w:sz w:val="28"/>
    </w:rPr>
  </w:style>
  <w:style w:type="paragraph" w:customStyle="1" w:styleId="JuInitialled">
    <w:name w:val="Ju_Initialled"/>
    <w:basedOn w:val="Normal"/>
    <w:uiPriority w:val="31"/>
    <w:qFormat/>
    <w:rsid w:val="006544C4"/>
    <w:pPr>
      <w:tabs>
        <w:tab w:val="center" w:pos="6407"/>
      </w:tabs>
      <w:spacing w:before="720"/>
      <w:jc w:val="right"/>
    </w:pPr>
  </w:style>
  <w:style w:type="paragraph" w:styleId="Title">
    <w:name w:val="Title"/>
    <w:basedOn w:val="Normal"/>
    <w:next w:val="Normal"/>
    <w:link w:val="TitleChar"/>
    <w:uiPriority w:val="99"/>
    <w:semiHidden/>
    <w:qFormat/>
    <w:rsid w:val="006544C4"/>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6544C4"/>
    <w:rPr>
      <w:rFonts w:asciiTheme="majorHAnsi" w:eastAsiaTheme="majorEastAsia" w:hAnsiTheme="majorHAnsi" w:cstheme="majorBidi"/>
      <w:spacing w:val="5"/>
      <w:sz w:val="52"/>
      <w:szCs w:val="52"/>
      <w:lang w:bidi="en-US"/>
    </w:rPr>
  </w:style>
  <w:style w:type="paragraph" w:customStyle="1" w:styleId="OpiHA">
    <w:name w:val="Opi_H_A"/>
    <w:basedOn w:val="ECHRHeading1"/>
    <w:next w:val="OpiPara"/>
    <w:uiPriority w:val="41"/>
    <w:semiHidden/>
    <w:qFormat/>
    <w:rsid w:val="006544C4"/>
    <w:pPr>
      <w:tabs>
        <w:tab w:val="clear" w:pos="357"/>
      </w:tabs>
      <w:outlineLvl w:val="1"/>
    </w:pPr>
    <w:rPr>
      <w:b/>
    </w:rPr>
  </w:style>
  <w:style w:type="character" w:customStyle="1" w:styleId="JUNAMES">
    <w:name w:val="JU_NAMES"/>
    <w:uiPriority w:val="17"/>
    <w:qFormat/>
    <w:rsid w:val="006544C4"/>
    <w:rPr>
      <w:caps w:val="0"/>
      <w:smallCaps/>
    </w:rPr>
  </w:style>
  <w:style w:type="character" w:customStyle="1" w:styleId="JuITMark">
    <w:name w:val="Ju_ITMark"/>
    <w:basedOn w:val="DefaultParagraphFont"/>
    <w:uiPriority w:val="38"/>
    <w:qFormat/>
    <w:rsid w:val="006544C4"/>
    <w:rPr>
      <w:vanish/>
      <w:color w:val="339966"/>
      <w:sz w:val="14"/>
    </w:rPr>
  </w:style>
  <w:style w:type="paragraph" w:customStyle="1" w:styleId="OpiTranslation">
    <w:name w:val="Opi_Translation"/>
    <w:basedOn w:val="Normal"/>
    <w:next w:val="OpiPara"/>
    <w:uiPriority w:val="40"/>
    <w:semiHidden/>
    <w:qFormat/>
    <w:rsid w:val="006544C4"/>
    <w:pPr>
      <w:jc w:val="center"/>
      <w:outlineLvl w:val="0"/>
    </w:pPr>
    <w:rPr>
      <w:i/>
    </w:rPr>
  </w:style>
  <w:style w:type="paragraph" w:customStyle="1" w:styleId="JuCourt">
    <w:name w:val="Ju_Court"/>
    <w:basedOn w:val="Normal"/>
    <w:next w:val="Normal"/>
    <w:uiPriority w:val="16"/>
    <w:qFormat/>
    <w:rsid w:val="006544C4"/>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Heading1"/>
    <w:next w:val="Normal"/>
    <w:uiPriority w:val="19"/>
    <w:qFormat/>
    <w:rsid w:val="006544C4"/>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Head_2"/>
    <w:basedOn w:val="Heading2"/>
    <w:next w:val="Normal"/>
    <w:uiPriority w:val="20"/>
    <w:qFormat/>
    <w:rsid w:val="006544C4"/>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Heading3"/>
    <w:next w:val="Normal"/>
    <w:uiPriority w:val="21"/>
    <w:qFormat/>
    <w:rsid w:val="006544C4"/>
    <w:pPr>
      <w:keepNext/>
      <w:keepLines/>
      <w:tabs>
        <w:tab w:val="left" w:pos="731"/>
      </w:tabs>
      <w:spacing w:before="240" w:after="120" w:line="240" w:lineRule="auto"/>
      <w:ind w:left="732" w:hanging="301"/>
    </w:pPr>
    <w:rPr>
      <w:b w:val="0"/>
      <w:i/>
      <w:color w:val="auto"/>
    </w:rPr>
  </w:style>
  <w:style w:type="paragraph" w:styleId="Header">
    <w:name w:val="header"/>
    <w:basedOn w:val="Normal"/>
    <w:link w:val="HeaderChar"/>
    <w:uiPriority w:val="99"/>
    <w:semiHidden/>
    <w:rsid w:val="00941747"/>
    <w:pPr>
      <w:tabs>
        <w:tab w:val="center" w:pos="4536"/>
        <w:tab w:val="right" w:pos="9696"/>
      </w:tabs>
      <w:ind w:left="-680" w:right="-680"/>
    </w:pPr>
  </w:style>
  <w:style w:type="character" w:customStyle="1" w:styleId="HeaderChar">
    <w:name w:val="Header Char"/>
    <w:basedOn w:val="DefaultParagraphFont"/>
    <w:link w:val="Header"/>
    <w:uiPriority w:val="57"/>
    <w:semiHidden/>
    <w:rsid w:val="008D4752"/>
  </w:style>
  <w:style w:type="character" w:customStyle="1" w:styleId="Heading1Char">
    <w:name w:val="Heading 1 Char"/>
    <w:basedOn w:val="DefaultParagraphFont"/>
    <w:link w:val="Heading1"/>
    <w:uiPriority w:val="99"/>
    <w:semiHidden/>
    <w:rsid w:val="00A671F8"/>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Heading4"/>
    <w:next w:val="Normal"/>
    <w:uiPriority w:val="22"/>
    <w:qFormat/>
    <w:rsid w:val="006544C4"/>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Normal"/>
    <w:uiPriority w:val="23"/>
    <w:qFormat/>
    <w:rsid w:val="006544C4"/>
    <w:pPr>
      <w:keepNext/>
      <w:keepLines/>
      <w:tabs>
        <w:tab w:val="left" w:pos="1191"/>
      </w:tabs>
      <w:spacing w:before="240" w:after="120"/>
      <w:ind w:left="1190" w:hanging="357"/>
    </w:pPr>
    <w:rPr>
      <w:b w:val="0"/>
      <w:i/>
      <w:color w:val="auto"/>
      <w:sz w:val="20"/>
    </w:rPr>
  </w:style>
  <w:style w:type="character" w:customStyle="1" w:styleId="Heading2Char">
    <w:name w:val="Heading 2 Char"/>
    <w:basedOn w:val="DefaultParagraphFont"/>
    <w:link w:val="Heading2"/>
    <w:uiPriority w:val="99"/>
    <w:semiHidden/>
    <w:rsid w:val="00A671F8"/>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Heading6"/>
    <w:next w:val="Normal"/>
    <w:uiPriority w:val="24"/>
    <w:qFormat/>
    <w:rsid w:val="006544C4"/>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Heading7"/>
    <w:next w:val="Normal"/>
    <w:uiPriority w:val="25"/>
    <w:qFormat/>
    <w:rsid w:val="006544C4"/>
    <w:pPr>
      <w:keepNext/>
      <w:keepLines/>
      <w:spacing w:before="240" w:after="120"/>
      <w:ind w:left="1236"/>
    </w:pPr>
    <w:rPr>
      <w:sz w:val="20"/>
    </w:rPr>
  </w:style>
  <w:style w:type="character" w:customStyle="1" w:styleId="Heading3Char">
    <w:name w:val="Heading 3 Char"/>
    <w:basedOn w:val="DefaultParagraphFont"/>
    <w:link w:val="Heading3"/>
    <w:uiPriority w:val="99"/>
    <w:semiHidden/>
    <w:rsid w:val="00A671F8"/>
    <w:rPr>
      <w:rFonts w:asciiTheme="majorHAnsi" w:eastAsiaTheme="majorEastAsia" w:hAnsiTheme="majorHAnsi" w:cstheme="majorBidi"/>
      <w:b/>
      <w:bCs/>
      <w:color w:val="5F5F5F"/>
    </w:rPr>
  </w:style>
  <w:style w:type="paragraph" w:customStyle="1" w:styleId="JuParaLast">
    <w:name w:val="Ju_Para_Last"/>
    <w:basedOn w:val="Normal"/>
    <w:next w:val="Normal"/>
    <w:uiPriority w:val="30"/>
    <w:qFormat/>
    <w:rsid w:val="006544C4"/>
    <w:pPr>
      <w:keepNext/>
      <w:keepLines/>
      <w:spacing w:before="240"/>
      <w:ind w:firstLine="284"/>
    </w:pPr>
  </w:style>
  <w:style w:type="paragraph" w:customStyle="1" w:styleId="DecList">
    <w:name w:val="Dec_List"/>
    <w:basedOn w:val="Normal"/>
    <w:uiPriority w:val="9"/>
    <w:qFormat/>
    <w:rsid w:val="006544C4"/>
    <w:pPr>
      <w:spacing w:before="240"/>
      <w:ind w:left="284"/>
    </w:pPr>
  </w:style>
  <w:style w:type="character" w:customStyle="1" w:styleId="Heading4Char">
    <w:name w:val="Heading 4 Char"/>
    <w:basedOn w:val="DefaultParagraphFont"/>
    <w:link w:val="Heading4"/>
    <w:uiPriority w:val="99"/>
    <w:semiHidden/>
    <w:rsid w:val="00A671F8"/>
    <w:rPr>
      <w:rFonts w:asciiTheme="majorHAnsi" w:eastAsiaTheme="majorEastAsia" w:hAnsiTheme="majorHAnsi" w:cstheme="majorBidi"/>
      <w:b/>
      <w:bCs/>
      <w:i/>
      <w:iCs/>
      <w:color w:val="777777"/>
    </w:rPr>
  </w:style>
  <w:style w:type="paragraph" w:customStyle="1" w:styleId="ECHRDecisionBody">
    <w:name w:val="ECHR_Decision_Body"/>
    <w:aliases w:val="Ju_Judges"/>
    <w:basedOn w:val="Normal"/>
    <w:uiPriority w:val="11"/>
    <w:qFormat/>
    <w:rsid w:val="006544C4"/>
    <w:pPr>
      <w:tabs>
        <w:tab w:val="left" w:pos="567"/>
        <w:tab w:val="left" w:pos="1134"/>
      </w:tabs>
      <w:jc w:val="left"/>
    </w:pPr>
  </w:style>
  <w:style w:type="character" w:customStyle="1" w:styleId="Heading5Char">
    <w:name w:val="Heading 5 Char"/>
    <w:basedOn w:val="DefaultParagraphFont"/>
    <w:link w:val="Heading5"/>
    <w:uiPriority w:val="99"/>
    <w:semiHidden/>
    <w:rsid w:val="006544C4"/>
    <w:rPr>
      <w:rFonts w:asciiTheme="majorHAnsi" w:eastAsiaTheme="majorEastAsia" w:hAnsiTheme="majorHAnsi" w:cstheme="majorBidi"/>
      <w:b/>
      <w:bCs/>
      <w:color w:val="808080"/>
    </w:rPr>
  </w:style>
  <w:style w:type="paragraph" w:customStyle="1" w:styleId="JuList">
    <w:name w:val="Ju_List"/>
    <w:basedOn w:val="Normal"/>
    <w:uiPriority w:val="28"/>
    <w:qFormat/>
    <w:rsid w:val="006544C4"/>
    <w:pPr>
      <w:ind w:left="340" w:hanging="340"/>
    </w:pPr>
  </w:style>
  <w:style w:type="paragraph" w:customStyle="1" w:styleId="JuLista">
    <w:name w:val="Ju_List_a"/>
    <w:basedOn w:val="JuList"/>
    <w:uiPriority w:val="28"/>
    <w:qFormat/>
    <w:rsid w:val="006544C4"/>
    <w:pPr>
      <w:ind w:left="346" w:firstLine="0"/>
    </w:pPr>
  </w:style>
  <w:style w:type="character" w:styleId="SubtleEmphasis">
    <w:name w:val="Subtle Emphasis"/>
    <w:uiPriority w:val="99"/>
    <w:semiHidden/>
    <w:qFormat/>
    <w:rsid w:val="006544C4"/>
    <w:rPr>
      <w:i/>
      <w:iCs/>
    </w:rPr>
  </w:style>
  <w:style w:type="paragraph" w:customStyle="1" w:styleId="JuListi">
    <w:name w:val="Ju_List_i"/>
    <w:basedOn w:val="Normal"/>
    <w:next w:val="JuLista"/>
    <w:uiPriority w:val="28"/>
    <w:qFormat/>
    <w:rsid w:val="006544C4"/>
    <w:pPr>
      <w:ind w:left="794"/>
    </w:p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1">
    <w:name w:val="Opi_H_1"/>
    <w:basedOn w:val="ECHRHeading2"/>
    <w:uiPriority w:val="42"/>
    <w:semiHidden/>
    <w:qFormat/>
    <w:rsid w:val="006544C4"/>
    <w:pPr>
      <w:ind w:left="635" w:hanging="357"/>
      <w:outlineLvl w:val="2"/>
    </w:pPr>
  </w:style>
  <w:style w:type="paragraph" w:customStyle="1" w:styleId="OpiHa0">
    <w:name w:val="Opi_H_a"/>
    <w:basedOn w:val="ECHRHeading3"/>
    <w:uiPriority w:val="43"/>
    <w:semiHidden/>
    <w:qFormat/>
    <w:rsid w:val="006544C4"/>
    <w:pPr>
      <w:ind w:left="833" w:hanging="357"/>
      <w:outlineLvl w:val="3"/>
    </w:pPr>
    <w:rPr>
      <w:b/>
      <w:i w:val="0"/>
      <w:sz w:val="20"/>
    </w:rPr>
  </w:style>
  <w:style w:type="paragraph" w:customStyle="1" w:styleId="ECHRTitleCentre2">
    <w:name w:val="ECHR_Title_Centre_2"/>
    <w:aliases w:val="Dec_H_Case"/>
    <w:basedOn w:val="Normal"/>
    <w:next w:val="Normal"/>
    <w:uiPriority w:val="8"/>
    <w:qFormat/>
    <w:rsid w:val="006544C4"/>
    <w:pPr>
      <w:spacing w:after="240"/>
      <w:jc w:val="center"/>
      <w:outlineLvl w:val="0"/>
    </w:pPr>
    <w:rPr>
      <w:rFonts w:asciiTheme="majorHAnsi" w:hAnsiTheme="majorHAnsi"/>
    </w:rPr>
  </w:style>
  <w:style w:type="character" w:styleId="Emphasis">
    <w:name w:val="Emphasis"/>
    <w:uiPriority w:val="99"/>
    <w:semiHidden/>
    <w:qFormat/>
    <w:rsid w:val="006544C4"/>
    <w:rPr>
      <w:b/>
      <w:bCs/>
      <w:i/>
      <w:iCs/>
      <w:spacing w:val="10"/>
      <w:bdr w:val="none" w:sz="0" w:space="0" w:color="auto"/>
      <w:shd w:val="clear" w:color="auto" w:fill="auto"/>
    </w:rPr>
  </w:style>
  <w:style w:type="paragraph" w:styleId="Footer">
    <w:name w:val="footer"/>
    <w:basedOn w:val="Normal"/>
    <w:link w:val="FooterChar"/>
    <w:uiPriority w:val="99"/>
    <w:semiHidden/>
    <w:rsid w:val="00941747"/>
    <w:pPr>
      <w:tabs>
        <w:tab w:val="center" w:pos="4536"/>
        <w:tab w:val="right" w:pos="9696"/>
      </w:tabs>
      <w:ind w:left="-680" w:right="-680"/>
    </w:pPr>
  </w:style>
  <w:style w:type="character" w:customStyle="1" w:styleId="FooterChar">
    <w:name w:val="Footer Char"/>
    <w:basedOn w:val="DefaultParagraphFont"/>
    <w:link w:val="Footer"/>
    <w:uiPriority w:val="57"/>
    <w:semiHidden/>
    <w:rsid w:val="008D4752"/>
  </w:style>
  <w:style w:type="character" w:styleId="FootnoteReference">
    <w:name w:val="footnote reference"/>
    <w:basedOn w:val="DefaultParagraphFont"/>
    <w:uiPriority w:val="99"/>
    <w:semiHidden/>
    <w:rsid w:val="00941747"/>
    <w:rPr>
      <w:vertAlign w:val="superscript"/>
    </w:rPr>
  </w:style>
  <w:style w:type="paragraph" w:styleId="FootnoteText">
    <w:name w:val="footnote text"/>
    <w:basedOn w:val="Normal"/>
    <w:link w:val="FootnoteTextChar"/>
    <w:uiPriority w:val="99"/>
    <w:semiHidden/>
    <w:rsid w:val="00941747"/>
    <w:rPr>
      <w:sz w:val="20"/>
      <w:szCs w:val="20"/>
    </w:rPr>
  </w:style>
  <w:style w:type="character" w:customStyle="1" w:styleId="FootnoteTextChar">
    <w:name w:val="Footnote Text Char"/>
    <w:basedOn w:val="DefaultParagraphFont"/>
    <w:link w:val="FootnoteText"/>
    <w:uiPriority w:val="99"/>
    <w:semiHidden/>
    <w:rsid w:val="00A671F8"/>
    <w:rPr>
      <w:rFonts w:eastAsiaTheme="minorEastAsia"/>
      <w:sz w:val="20"/>
      <w:szCs w:val="20"/>
    </w:rPr>
  </w:style>
  <w:style w:type="character" w:customStyle="1" w:styleId="Heading6Char">
    <w:name w:val="Heading 6 Char"/>
    <w:basedOn w:val="DefaultParagraphFont"/>
    <w:link w:val="Heading6"/>
    <w:uiPriority w:val="99"/>
    <w:semiHidden/>
    <w:rsid w:val="00A671F8"/>
    <w:rPr>
      <w:rFonts w:asciiTheme="majorHAnsi" w:eastAsiaTheme="majorEastAsia" w:hAnsiTheme="majorHAnsi" w:cstheme="majorBidi"/>
      <w:b/>
      <w:bCs/>
      <w:i/>
      <w:iCs/>
      <w:color w:val="7F7F7F" w:themeColor="text1" w:themeTint="80"/>
      <w:lang w:bidi="en-US"/>
    </w:rPr>
  </w:style>
  <w:style w:type="character" w:customStyle="1" w:styleId="Heading7Char">
    <w:name w:val="Heading 7 Char"/>
    <w:basedOn w:val="DefaultParagraphFont"/>
    <w:link w:val="Heading7"/>
    <w:uiPriority w:val="99"/>
    <w:semiHidden/>
    <w:rsid w:val="006544C4"/>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6544C4"/>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6544C4"/>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941747"/>
    <w:rPr>
      <w:color w:val="0072BC" w:themeColor="hyperlink"/>
      <w:u w:val="single"/>
    </w:rPr>
  </w:style>
  <w:style w:type="character" w:styleId="IntenseEmphasis">
    <w:name w:val="Intense Emphasis"/>
    <w:uiPriority w:val="99"/>
    <w:semiHidden/>
    <w:qFormat/>
    <w:rsid w:val="006544C4"/>
    <w:rPr>
      <w:b/>
      <w:bCs/>
    </w:rPr>
  </w:style>
  <w:style w:type="paragraph" w:styleId="IntenseQuote">
    <w:name w:val="Intense Quote"/>
    <w:basedOn w:val="Normal"/>
    <w:next w:val="Normal"/>
    <w:link w:val="IntenseQuoteChar"/>
    <w:uiPriority w:val="99"/>
    <w:semiHidden/>
    <w:qFormat/>
    <w:rsid w:val="006544C4"/>
    <w:pPr>
      <w:pBdr>
        <w:bottom w:val="single" w:sz="4" w:space="1" w:color="auto"/>
      </w:pBdr>
      <w:spacing w:before="200" w:after="280"/>
      <w:ind w:left="1008" w:right="1152"/>
    </w:pPr>
    <w:rPr>
      <w:b/>
      <w:bCs/>
      <w:i/>
      <w:iCs/>
      <w:sz w:val="22"/>
      <w:lang w:bidi="en-US"/>
    </w:rPr>
  </w:style>
  <w:style w:type="character" w:customStyle="1" w:styleId="IntenseQuoteChar">
    <w:name w:val="Intense Quote Char"/>
    <w:basedOn w:val="DefaultParagraphFont"/>
    <w:link w:val="IntenseQuote"/>
    <w:uiPriority w:val="99"/>
    <w:semiHidden/>
    <w:rsid w:val="006544C4"/>
    <w:rPr>
      <w:rFonts w:eastAsiaTheme="minorEastAsia"/>
      <w:b/>
      <w:bCs/>
      <w:i/>
      <w:iCs/>
      <w:lang w:bidi="en-US"/>
    </w:rPr>
  </w:style>
  <w:style w:type="character" w:styleId="IntenseReference">
    <w:name w:val="Intense Reference"/>
    <w:uiPriority w:val="99"/>
    <w:semiHidden/>
    <w:qFormat/>
    <w:rsid w:val="006544C4"/>
    <w:rPr>
      <w:smallCaps/>
      <w:spacing w:val="5"/>
      <w:u w:val="single"/>
    </w:rPr>
  </w:style>
  <w:style w:type="paragraph" w:styleId="ListParagraph">
    <w:name w:val="List Paragraph"/>
    <w:basedOn w:val="Normal"/>
    <w:uiPriority w:val="99"/>
    <w:semiHidden/>
    <w:qFormat/>
    <w:rsid w:val="006544C4"/>
    <w:pPr>
      <w:ind w:left="720"/>
      <w:contextualSpacing/>
    </w:pPr>
  </w:style>
  <w:style w:type="table" w:customStyle="1" w:styleId="LtrTableAddress">
    <w:name w:val="Ltr_Table_Address"/>
    <w:basedOn w:val="TableNormal"/>
    <w:uiPriority w:val="99"/>
    <w:rsid w:val="001E6F32"/>
    <w:tblPr>
      <w:tblInd w:w="5103" w:type="dxa"/>
      <w:tblCellMar>
        <w:top w:w="0" w:type="dxa"/>
        <w:left w:w="108" w:type="dxa"/>
        <w:bottom w:w="0" w:type="dxa"/>
        <w:right w:w="108" w:type="dxa"/>
      </w:tblCellMar>
    </w:tblPr>
  </w:style>
  <w:style w:type="paragraph" w:styleId="Quote">
    <w:name w:val="Quote"/>
    <w:basedOn w:val="Normal"/>
    <w:next w:val="Normal"/>
    <w:link w:val="QuoteChar"/>
    <w:uiPriority w:val="99"/>
    <w:semiHidden/>
    <w:qFormat/>
    <w:rsid w:val="006544C4"/>
    <w:pPr>
      <w:spacing w:before="200"/>
      <w:ind w:left="360" w:right="360"/>
    </w:pPr>
    <w:rPr>
      <w:i/>
      <w:iCs/>
      <w:sz w:val="22"/>
      <w:lang w:bidi="en-US"/>
    </w:rPr>
  </w:style>
  <w:style w:type="character" w:customStyle="1" w:styleId="QuoteChar">
    <w:name w:val="Quote Char"/>
    <w:basedOn w:val="DefaultParagraphFont"/>
    <w:link w:val="Quote"/>
    <w:uiPriority w:val="99"/>
    <w:semiHidden/>
    <w:rsid w:val="006544C4"/>
    <w:rPr>
      <w:rFonts w:eastAsiaTheme="minorEastAsia"/>
      <w:i/>
      <w:iCs/>
      <w:lang w:bidi="en-US"/>
    </w:rPr>
  </w:style>
  <w:style w:type="character" w:styleId="SubtleReference">
    <w:name w:val="Subtle Reference"/>
    <w:uiPriority w:val="99"/>
    <w:semiHidden/>
    <w:qFormat/>
    <w:rsid w:val="006544C4"/>
    <w:rPr>
      <w:smallCaps/>
    </w:rPr>
  </w:style>
  <w:style w:type="table" w:styleId="TableGrid">
    <w:name w:val="Table Grid"/>
    <w:basedOn w:val="TableNormal"/>
    <w:uiPriority w:val="99"/>
    <w:semiHidden/>
    <w:rsid w:val="00941747"/>
    <w:rPr>
      <w:rFonts w:eastAsiaTheme="minorEastAsia"/>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next w:val="Normal"/>
    <w:autoRedefine/>
    <w:uiPriority w:val="99"/>
    <w:semiHidden/>
    <w:rsid w:val="00EA185E"/>
    <w:pPr>
      <w:spacing w:before="120" w:after="60"/>
      <w:ind w:left="340" w:right="340" w:hanging="340"/>
    </w:pPr>
    <w:rPr>
      <w:color w:val="0D0D0D" w:themeColor="text1" w:themeTint="F2"/>
    </w:rPr>
  </w:style>
  <w:style w:type="paragraph" w:styleId="TOC2">
    <w:name w:val="toc 2"/>
    <w:basedOn w:val="Normal"/>
    <w:next w:val="Normal"/>
    <w:autoRedefine/>
    <w:uiPriority w:val="99"/>
    <w:semiHidden/>
    <w:rsid w:val="00EA185E"/>
    <w:pPr>
      <w:spacing w:after="60"/>
      <w:ind w:left="680" w:right="340" w:hanging="340"/>
    </w:pPr>
  </w:style>
  <w:style w:type="paragraph" w:styleId="TOC3">
    <w:name w:val="toc 3"/>
    <w:basedOn w:val="Normal"/>
    <w:next w:val="Normal"/>
    <w:autoRedefine/>
    <w:uiPriority w:val="99"/>
    <w:semiHidden/>
    <w:rsid w:val="00EA185E"/>
    <w:pPr>
      <w:spacing w:after="60"/>
      <w:ind w:left="1020" w:right="340" w:hanging="340"/>
    </w:pPr>
  </w:style>
  <w:style w:type="paragraph" w:styleId="TOC4">
    <w:name w:val="toc 4"/>
    <w:basedOn w:val="Normal"/>
    <w:next w:val="Normal"/>
    <w:autoRedefine/>
    <w:uiPriority w:val="99"/>
    <w:semiHidden/>
    <w:rsid w:val="00EA185E"/>
    <w:pPr>
      <w:tabs>
        <w:tab w:val="right" w:leader="dot" w:pos="9017"/>
      </w:tabs>
      <w:spacing w:after="60"/>
      <w:ind w:left="1361" w:right="340" w:hanging="340"/>
    </w:pPr>
  </w:style>
  <w:style w:type="paragraph" w:styleId="TOC5">
    <w:name w:val="toc 5"/>
    <w:basedOn w:val="Normal"/>
    <w:next w:val="Normal"/>
    <w:autoRedefine/>
    <w:uiPriority w:val="99"/>
    <w:semiHidden/>
    <w:rsid w:val="00B46543"/>
    <w:pPr>
      <w:spacing w:after="60"/>
      <w:ind w:left="1701" w:right="340" w:hanging="340"/>
    </w:pPr>
  </w:style>
  <w:style w:type="paragraph" w:styleId="TOCHeading">
    <w:name w:val="TOC Heading"/>
    <w:basedOn w:val="Heading1"/>
    <w:next w:val="Normal"/>
    <w:uiPriority w:val="99"/>
    <w:semiHidden/>
    <w:qFormat/>
    <w:rsid w:val="006544C4"/>
    <w:pPr>
      <w:outlineLvl w:val="9"/>
    </w:pPr>
    <w:rPr>
      <w:color w:val="474747" w:themeColor="accent3" w:themeShade="BF"/>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bottom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Ind w:w="0"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TableNormal"/>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C333A0"/>
    <w:pPr>
      <w:spacing w:before="120"/>
    </w:pPr>
    <w:rPr>
      <w:rFonts w:asciiTheme="majorHAnsi" w:eastAsiaTheme="majorEastAsia" w:hAnsiTheme="majorHAnsi" w:cstheme="majorBidi"/>
      <w:b/>
      <w:bCs/>
      <w:color w:val="474747" w:themeColor="accent3" w:themeShade="BF"/>
      <w:szCs w:val="24"/>
    </w:rPr>
  </w:style>
  <w:style w:type="paragraph" w:customStyle="1" w:styleId="OpiHi">
    <w:name w:val="Opi_H_i"/>
    <w:basedOn w:val="ECHRHeading4"/>
    <w:uiPriority w:val="44"/>
    <w:semiHidden/>
    <w:qFormat/>
    <w:rsid w:val="006544C4"/>
    <w:pPr>
      <w:ind w:left="1037" w:hanging="357"/>
      <w:outlineLvl w:val="4"/>
    </w:pPr>
    <w:rPr>
      <w:b w:val="0"/>
      <w:i/>
    </w:rPr>
  </w:style>
  <w:style w:type="paragraph" w:customStyle="1" w:styleId="DummyStyle">
    <w:name w:val="Dummy_Style"/>
    <w:basedOn w:val="Normal"/>
    <w:semiHidden/>
    <w:qFormat/>
    <w:rsid w:val="006544C4"/>
    <w:rPr>
      <w:color w:val="00B050"/>
      <w:lang w:bidi="en-US"/>
    </w:rPr>
  </w:style>
  <w:style w:type="paragraph" w:styleId="Subtitle">
    <w:name w:val="Subtitle"/>
    <w:basedOn w:val="Normal"/>
    <w:next w:val="Normal"/>
    <w:link w:val="SubtitleChar"/>
    <w:uiPriority w:val="99"/>
    <w:semiHidden/>
    <w:qFormat/>
    <w:rsid w:val="006544C4"/>
    <w:pPr>
      <w:spacing w:after="600"/>
    </w:pPr>
    <w:rPr>
      <w:rFonts w:asciiTheme="majorHAnsi" w:eastAsiaTheme="majorEastAsia" w:hAnsiTheme="majorHAnsi" w:cstheme="majorBidi"/>
      <w:i/>
      <w:iCs/>
      <w:spacing w:val="13"/>
      <w:szCs w:val="24"/>
      <w:lang w:bidi="en-US"/>
    </w:rPr>
  </w:style>
  <w:style w:type="paragraph" w:customStyle="1" w:styleId="ECHRPara">
    <w:name w:val="ECHR_Para"/>
    <w:aliases w:val="Ju_Para,Left,First line:  0 cm,Para"/>
    <w:basedOn w:val="Normal"/>
    <w:link w:val="ECHRParaChar"/>
    <w:uiPriority w:val="12"/>
    <w:qFormat/>
    <w:rsid w:val="004047FE"/>
    <w:pPr>
      <w:ind w:firstLine="284"/>
    </w:pPr>
  </w:style>
  <w:style w:type="character" w:customStyle="1" w:styleId="SubtitleChar">
    <w:name w:val="Subtitle Char"/>
    <w:basedOn w:val="DefaultParagraphFont"/>
    <w:link w:val="Subtitle"/>
    <w:uiPriority w:val="99"/>
    <w:semiHidden/>
    <w:rsid w:val="006544C4"/>
    <w:rPr>
      <w:rFonts w:asciiTheme="majorHAnsi" w:eastAsiaTheme="majorEastAsia" w:hAnsiTheme="majorHAnsi" w:cstheme="majorBidi"/>
      <w:i/>
      <w:iCs/>
      <w:spacing w:val="13"/>
      <w:sz w:val="24"/>
      <w:szCs w:val="24"/>
      <w:lang w:bidi="en-US"/>
    </w:rPr>
  </w:style>
  <w:style w:type="table" w:customStyle="1" w:styleId="ECHRTableSimpleBox">
    <w:name w:val="ECHR_Table_Simple_Box"/>
    <w:basedOn w:val="TableNormal"/>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TableNormal"/>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111111">
    <w:name w:val="Outline List 2"/>
    <w:basedOn w:val="NoList"/>
    <w:uiPriority w:val="99"/>
    <w:semiHidden/>
    <w:unhideWhenUsed/>
    <w:rsid w:val="006544C4"/>
    <w:pPr>
      <w:numPr>
        <w:numId w:val="12"/>
      </w:numPr>
    </w:p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520BAA"/>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numbering" w:styleId="1ai">
    <w:name w:val="Outline List 1"/>
    <w:basedOn w:val="NoList"/>
    <w:semiHidden/>
    <w:unhideWhenUsed/>
    <w:rsid w:val="006544C4"/>
    <w:pPr>
      <w:numPr>
        <w:numId w:val="13"/>
      </w:numPr>
    </w:pPr>
  </w:style>
  <w:style w:type="numbering" w:styleId="ArticleSection">
    <w:name w:val="Outline List 3"/>
    <w:basedOn w:val="NoList"/>
    <w:uiPriority w:val="99"/>
    <w:semiHidden/>
    <w:unhideWhenUsed/>
    <w:rsid w:val="006544C4"/>
    <w:pPr>
      <w:numPr>
        <w:numId w:val="14"/>
      </w:numPr>
    </w:p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paragraph" w:styleId="Bibliography">
    <w:name w:val="Bibliography"/>
    <w:basedOn w:val="Normal"/>
    <w:next w:val="Normal"/>
    <w:uiPriority w:val="99"/>
    <w:semiHidden/>
    <w:rsid w:val="006544C4"/>
  </w:style>
  <w:style w:type="paragraph" w:styleId="BlockText">
    <w:name w:val="Block Text"/>
    <w:basedOn w:val="Normal"/>
    <w:uiPriority w:val="99"/>
    <w:semiHidden/>
    <w:rsid w:val="006544C4"/>
    <w:pPr>
      <w:pBdr>
        <w:top w:val="single" w:sz="2" w:space="10" w:color="0072BC" w:themeColor="accent1" w:shadow="1"/>
        <w:left w:val="single" w:sz="2" w:space="10" w:color="0072BC" w:themeColor="accent1" w:shadow="1"/>
        <w:bottom w:val="single" w:sz="2" w:space="10" w:color="0072BC" w:themeColor="accent1" w:shadow="1"/>
        <w:right w:val="single" w:sz="2" w:space="10" w:color="0072BC" w:themeColor="accent1" w:shadow="1"/>
      </w:pBdr>
      <w:ind w:left="1152" w:right="1152"/>
    </w:pPr>
    <w:rPr>
      <w:i/>
      <w:iCs/>
      <w:color w:val="0072BC" w:themeColor="accent1"/>
    </w:rPr>
  </w:style>
  <w:style w:type="table" w:customStyle="1" w:styleId="ECHRTableOddBanded">
    <w:name w:val="ECHR_Table_Odd_Banded"/>
    <w:basedOn w:val="TableNormal"/>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
    <w:name w:val="Body Text"/>
    <w:basedOn w:val="Normal"/>
    <w:link w:val="BodyTextChar"/>
    <w:semiHidden/>
    <w:rsid w:val="006544C4"/>
    <w:pPr>
      <w:spacing w:after="120"/>
    </w:pPr>
  </w:style>
  <w:style w:type="table" w:customStyle="1" w:styleId="ECHRHeaderTableReduced">
    <w:name w:val="ECHR_Header_Table_Reduced"/>
    <w:basedOn w:val="TableNormal"/>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styleId="PageNumber">
    <w:name w:val="page number"/>
    <w:basedOn w:val="DefaultParagraphFont"/>
    <w:uiPriority w:val="99"/>
    <w:semiHidden/>
    <w:rsid w:val="006544C4"/>
    <w:rPr>
      <w:rFonts w:ascii="Times New Roman" w:hAnsi="Times New Roman" w:cs="Times New Roman"/>
      <w:sz w:val="18"/>
    </w:rPr>
  </w:style>
  <w:style w:type="character" w:styleId="CommentReference">
    <w:name w:val="annotation reference"/>
    <w:basedOn w:val="DefaultParagraphFont"/>
    <w:uiPriority w:val="99"/>
    <w:semiHidden/>
    <w:rsid w:val="006544C4"/>
    <w:rPr>
      <w:sz w:val="16"/>
    </w:rPr>
  </w:style>
  <w:style w:type="paragraph" w:styleId="CommentText">
    <w:name w:val="annotation text"/>
    <w:basedOn w:val="Normal"/>
    <w:link w:val="CommentTextChar"/>
    <w:semiHidden/>
    <w:rsid w:val="006544C4"/>
    <w:rPr>
      <w:sz w:val="20"/>
    </w:rPr>
  </w:style>
  <w:style w:type="character" w:customStyle="1" w:styleId="CommentTextChar">
    <w:name w:val="Comment Text Char"/>
    <w:basedOn w:val="DefaultParagraphFont"/>
    <w:link w:val="CommentText"/>
    <w:semiHidden/>
    <w:rsid w:val="006544C4"/>
    <w:rPr>
      <w:rFonts w:eastAsiaTheme="minorEastAsia"/>
      <w:sz w:val="20"/>
    </w:rPr>
  </w:style>
  <w:style w:type="paragraph" w:customStyle="1" w:styleId="JuSigned">
    <w:name w:val="Ju_Signed"/>
    <w:basedOn w:val="Normal"/>
    <w:next w:val="JuParaLast"/>
    <w:uiPriority w:val="32"/>
    <w:qFormat/>
    <w:rsid w:val="006544C4"/>
    <w:pPr>
      <w:tabs>
        <w:tab w:val="center" w:pos="851"/>
        <w:tab w:val="center" w:pos="6407"/>
      </w:tabs>
      <w:spacing w:before="720"/>
      <w:jc w:val="left"/>
    </w:pPr>
  </w:style>
  <w:style w:type="paragraph" w:customStyle="1" w:styleId="JuTitle">
    <w:name w:val="Ju_Title"/>
    <w:basedOn w:val="Normal"/>
    <w:next w:val="Normal"/>
    <w:uiPriority w:val="3"/>
    <w:qFormat/>
    <w:rsid w:val="006544C4"/>
    <w:pPr>
      <w:spacing w:before="720" w:after="240"/>
      <w:jc w:val="center"/>
      <w:outlineLvl w:val="0"/>
    </w:pPr>
    <w:rPr>
      <w:rFonts w:asciiTheme="majorHAnsi" w:hAnsiTheme="majorHAnsi"/>
      <w:b/>
      <w:caps/>
    </w:rPr>
  </w:style>
  <w:style w:type="paragraph" w:customStyle="1" w:styleId="DecHTitle">
    <w:name w:val="Dec_H_Title"/>
    <w:basedOn w:val="ECHRTitleCentre1"/>
    <w:uiPriority w:val="7"/>
    <w:qFormat/>
    <w:rsid w:val="006544C4"/>
  </w:style>
  <w:style w:type="paragraph" w:styleId="ListBullet2">
    <w:name w:val="List Bullet 2"/>
    <w:basedOn w:val="Normal"/>
    <w:uiPriority w:val="99"/>
    <w:semiHidden/>
    <w:rsid w:val="006544C4"/>
    <w:pPr>
      <w:numPr>
        <w:numId w:val="8"/>
      </w:numPr>
      <w:contextualSpacing/>
    </w:pPr>
  </w:style>
  <w:style w:type="paragraph" w:styleId="ListBullet3">
    <w:name w:val="List Bullet 3"/>
    <w:basedOn w:val="Normal"/>
    <w:semiHidden/>
    <w:rsid w:val="006544C4"/>
    <w:pPr>
      <w:numPr>
        <w:numId w:val="9"/>
      </w:numPr>
      <w:contextualSpacing/>
    </w:pPr>
  </w:style>
  <w:style w:type="character" w:customStyle="1" w:styleId="BodyTextChar">
    <w:name w:val="Body Text Char"/>
    <w:basedOn w:val="DefaultParagraphFont"/>
    <w:link w:val="BodyText"/>
    <w:semiHidden/>
    <w:rsid w:val="006544C4"/>
    <w:rPr>
      <w:rFonts w:eastAsiaTheme="minorEastAsia"/>
      <w:sz w:val="24"/>
    </w:rPr>
  </w:style>
  <w:style w:type="paragraph" w:styleId="BodyText2">
    <w:name w:val="Body Text 2"/>
    <w:basedOn w:val="Normal"/>
    <w:link w:val="BodyText2Char"/>
    <w:uiPriority w:val="99"/>
    <w:semiHidden/>
    <w:rsid w:val="006544C4"/>
    <w:pPr>
      <w:spacing w:after="120" w:line="480" w:lineRule="auto"/>
    </w:pPr>
  </w:style>
  <w:style w:type="character" w:customStyle="1" w:styleId="BodyText2Char">
    <w:name w:val="Body Text 2 Char"/>
    <w:basedOn w:val="DefaultParagraphFont"/>
    <w:link w:val="BodyText2"/>
    <w:uiPriority w:val="99"/>
    <w:semiHidden/>
    <w:rsid w:val="006544C4"/>
    <w:rPr>
      <w:rFonts w:eastAsiaTheme="minorEastAsia"/>
      <w:sz w:val="24"/>
    </w:rPr>
  </w:style>
  <w:style w:type="paragraph" w:styleId="BodyText3">
    <w:name w:val="Body Text 3"/>
    <w:basedOn w:val="Normal"/>
    <w:link w:val="BodyText3Char"/>
    <w:uiPriority w:val="99"/>
    <w:semiHidden/>
    <w:rsid w:val="006544C4"/>
    <w:pPr>
      <w:spacing w:after="120"/>
    </w:pPr>
    <w:rPr>
      <w:sz w:val="16"/>
      <w:szCs w:val="16"/>
    </w:rPr>
  </w:style>
  <w:style w:type="character" w:customStyle="1" w:styleId="BodyText3Char">
    <w:name w:val="Body Text 3 Char"/>
    <w:basedOn w:val="DefaultParagraphFont"/>
    <w:link w:val="BodyText3"/>
    <w:uiPriority w:val="99"/>
    <w:semiHidden/>
    <w:rsid w:val="006544C4"/>
    <w:rPr>
      <w:rFonts w:eastAsiaTheme="minorEastAsia"/>
      <w:sz w:val="16"/>
      <w:szCs w:val="16"/>
    </w:rPr>
  </w:style>
  <w:style w:type="paragraph" w:styleId="BodyTextFirstIndent">
    <w:name w:val="Body Text First Indent"/>
    <w:basedOn w:val="BodyText"/>
    <w:link w:val="BodyTextFirstIndentChar"/>
    <w:uiPriority w:val="99"/>
    <w:semiHidden/>
    <w:rsid w:val="006544C4"/>
    <w:pPr>
      <w:spacing w:after="0"/>
      <w:ind w:firstLine="360"/>
    </w:pPr>
  </w:style>
  <w:style w:type="character" w:customStyle="1" w:styleId="BodyTextFirstIndentChar">
    <w:name w:val="Body Text First Indent Char"/>
    <w:basedOn w:val="BodyTextChar"/>
    <w:link w:val="BodyTextFirstIndent"/>
    <w:uiPriority w:val="99"/>
    <w:semiHidden/>
    <w:rsid w:val="006544C4"/>
    <w:rPr>
      <w:rFonts w:eastAsiaTheme="minorEastAsia"/>
      <w:sz w:val="24"/>
    </w:rPr>
  </w:style>
  <w:style w:type="paragraph" w:styleId="BodyTextIndent">
    <w:name w:val="Body Text Indent"/>
    <w:basedOn w:val="Normal"/>
    <w:link w:val="BodyTextIndentChar"/>
    <w:uiPriority w:val="99"/>
    <w:semiHidden/>
    <w:rsid w:val="006544C4"/>
    <w:pPr>
      <w:spacing w:after="120"/>
      <w:ind w:left="283"/>
    </w:pPr>
  </w:style>
  <w:style w:type="character" w:customStyle="1" w:styleId="BodyTextIndentChar">
    <w:name w:val="Body Text Indent Char"/>
    <w:basedOn w:val="DefaultParagraphFont"/>
    <w:link w:val="BodyTextIndent"/>
    <w:uiPriority w:val="99"/>
    <w:semiHidden/>
    <w:rsid w:val="006544C4"/>
    <w:rPr>
      <w:rFonts w:eastAsiaTheme="minorEastAsia"/>
      <w:sz w:val="24"/>
    </w:rPr>
  </w:style>
  <w:style w:type="paragraph" w:styleId="BodyTextFirstIndent2">
    <w:name w:val="Body Text First Indent 2"/>
    <w:basedOn w:val="BodyTextIndent"/>
    <w:link w:val="BodyTextFirstIndent2Char"/>
    <w:semiHidden/>
    <w:rsid w:val="006544C4"/>
    <w:pPr>
      <w:spacing w:after="0"/>
      <w:ind w:left="360" w:firstLine="360"/>
    </w:pPr>
  </w:style>
  <w:style w:type="character" w:customStyle="1" w:styleId="BodyTextFirstIndent2Char">
    <w:name w:val="Body Text First Indent 2 Char"/>
    <w:basedOn w:val="BodyTextIndentChar"/>
    <w:link w:val="BodyTextFirstIndent2"/>
    <w:semiHidden/>
    <w:rsid w:val="006544C4"/>
    <w:rPr>
      <w:rFonts w:eastAsiaTheme="minorEastAsia"/>
      <w:sz w:val="24"/>
    </w:rPr>
  </w:style>
  <w:style w:type="paragraph" w:styleId="BodyTextIndent2">
    <w:name w:val="Body Text Indent 2"/>
    <w:basedOn w:val="Normal"/>
    <w:link w:val="BodyTextIndent2Char"/>
    <w:semiHidden/>
    <w:rsid w:val="006544C4"/>
    <w:pPr>
      <w:spacing w:after="120" w:line="480" w:lineRule="auto"/>
      <w:ind w:left="283"/>
    </w:pPr>
  </w:style>
  <w:style w:type="character" w:customStyle="1" w:styleId="BodyTextIndent2Char">
    <w:name w:val="Body Text Indent 2 Char"/>
    <w:basedOn w:val="DefaultParagraphFont"/>
    <w:link w:val="BodyTextIndent2"/>
    <w:semiHidden/>
    <w:rsid w:val="006544C4"/>
    <w:rPr>
      <w:rFonts w:eastAsiaTheme="minorEastAsia"/>
      <w:sz w:val="24"/>
    </w:rPr>
  </w:style>
  <w:style w:type="paragraph" w:styleId="BodyTextIndent3">
    <w:name w:val="Body Text Indent 3"/>
    <w:basedOn w:val="Normal"/>
    <w:link w:val="BodyTextIndent3Char"/>
    <w:uiPriority w:val="99"/>
    <w:semiHidden/>
    <w:rsid w:val="006544C4"/>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6544C4"/>
    <w:rPr>
      <w:rFonts w:eastAsiaTheme="minorEastAsia"/>
      <w:sz w:val="16"/>
      <w:szCs w:val="16"/>
    </w:rPr>
  </w:style>
  <w:style w:type="paragraph" w:styleId="Caption">
    <w:name w:val="caption"/>
    <w:basedOn w:val="Normal"/>
    <w:next w:val="Normal"/>
    <w:uiPriority w:val="99"/>
    <w:semiHidden/>
    <w:qFormat/>
    <w:rsid w:val="006544C4"/>
    <w:pPr>
      <w:spacing w:after="200"/>
    </w:pPr>
    <w:rPr>
      <w:b/>
      <w:bCs/>
      <w:color w:val="0072BC" w:themeColor="accent1"/>
      <w:sz w:val="18"/>
      <w:szCs w:val="18"/>
    </w:rPr>
  </w:style>
  <w:style w:type="paragraph" w:styleId="Closing">
    <w:name w:val="Closing"/>
    <w:basedOn w:val="Normal"/>
    <w:link w:val="ClosingChar"/>
    <w:uiPriority w:val="99"/>
    <w:semiHidden/>
    <w:rsid w:val="006544C4"/>
    <w:pPr>
      <w:ind w:left="4252"/>
    </w:pPr>
  </w:style>
  <w:style w:type="character" w:customStyle="1" w:styleId="ClosingChar">
    <w:name w:val="Closing Char"/>
    <w:basedOn w:val="DefaultParagraphFont"/>
    <w:link w:val="Closing"/>
    <w:uiPriority w:val="99"/>
    <w:semiHidden/>
    <w:rsid w:val="006544C4"/>
    <w:rPr>
      <w:rFonts w:eastAsiaTheme="minorEastAsia"/>
      <w:sz w:val="24"/>
    </w:rPr>
  </w:style>
  <w:style w:type="table" w:styleId="ColorfulGrid">
    <w:name w:val="Colorful Grid"/>
    <w:basedOn w:val="TableNormal"/>
    <w:uiPriority w:val="99"/>
    <w:semiHidden/>
    <w:rsid w:val="006544C4"/>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6544C4"/>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6544C4"/>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6544C4"/>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6544C4"/>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6544C4"/>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6544C4"/>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6544C4"/>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6544C4"/>
    <w:rPr>
      <w:color w:val="000000" w:themeColor="text1"/>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6544C4"/>
    <w:rPr>
      <w:color w:val="000000" w:themeColor="text1"/>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6544C4"/>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6544C4"/>
    <w:rPr>
      <w:color w:val="000000" w:themeColor="text1"/>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6544C4"/>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6544C4"/>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6544C4"/>
    <w:rPr>
      <w:color w:val="000000" w:themeColor="text1"/>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6544C4"/>
    <w:rPr>
      <w:color w:val="000000" w:themeColor="text1"/>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6544C4"/>
    <w:rPr>
      <w:color w:val="000000" w:themeColor="text1"/>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6544C4"/>
    <w:rPr>
      <w:color w:val="000000" w:themeColor="text1"/>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6544C4"/>
    <w:rPr>
      <w:color w:val="000000" w:themeColor="text1"/>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6544C4"/>
    <w:rPr>
      <w:color w:val="000000" w:themeColor="text1"/>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6544C4"/>
    <w:rPr>
      <w:color w:val="000000" w:themeColor="text1"/>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semiHidden/>
    <w:rsid w:val="006544C4"/>
    <w:rPr>
      <w:b/>
      <w:bCs/>
      <w:szCs w:val="20"/>
    </w:rPr>
  </w:style>
  <w:style w:type="character" w:customStyle="1" w:styleId="CommentSubjectChar">
    <w:name w:val="Comment Subject Char"/>
    <w:basedOn w:val="CommentTextChar"/>
    <w:link w:val="CommentSubject"/>
    <w:semiHidden/>
    <w:rsid w:val="006544C4"/>
    <w:rPr>
      <w:rFonts w:eastAsiaTheme="minorEastAsia"/>
      <w:b/>
      <w:bCs/>
      <w:sz w:val="20"/>
      <w:szCs w:val="20"/>
    </w:rPr>
  </w:style>
  <w:style w:type="table" w:styleId="DarkList">
    <w:name w:val="Dark List"/>
    <w:basedOn w:val="TableNormal"/>
    <w:uiPriority w:val="99"/>
    <w:semiHidden/>
    <w:rsid w:val="006544C4"/>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6544C4"/>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6544C4"/>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6544C4"/>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6544C4"/>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6544C4"/>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6544C4"/>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6544C4"/>
  </w:style>
  <w:style w:type="character" w:customStyle="1" w:styleId="DateChar">
    <w:name w:val="Date Char"/>
    <w:basedOn w:val="DefaultParagraphFont"/>
    <w:link w:val="Date"/>
    <w:uiPriority w:val="99"/>
    <w:semiHidden/>
    <w:rsid w:val="006544C4"/>
    <w:rPr>
      <w:rFonts w:eastAsiaTheme="minorEastAsia"/>
      <w:sz w:val="24"/>
    </w:rPr>
  </w:style>
  <w:style w:type="paragraph" w:styleId="DocumentMap">
    <w:name w:val="Document Map"/>
    <w:basedOn w:val="Normal"/>
    <w:link w:val="DocumentMapChar"/>
    <w:semiHidden/>
    <w:rsid w:val="006544C4"/>
    <w:rPr>
      <w:rFonts w:ascii="Tahoma" w:hAnsi="Tahoma" w:cs="Tahoma"/>
      <w:sz w:val="16"/>
      <w:szCs w:val="16"/>
    </w:rPr>
  </w:style>
  <w:style w:type="character" w:customStyle="1" w:styleId="DocumentMapChar">
    <w:name w:val="Document Map Char"/>
    <w:basedOn w:val="DefaultParagraphFont"/>
    <w:link w:val="DocumentMap"/>
    <w:semiHidden/>
    <w:rsid w:val="006544C4"/>
    <w:rPr>
      <w:rFonts w:ascii="Tahoma" w:eastAsiaTheme="minorEastAsia" w:hAnsi="Tahoma" w:cs="Tahoma"/>
      <w:sz w:val="16"/>
      <w:szCs w:val="16"/>
    </w:rPr>
  </w:style>
  <w:style w:type="paragraph" w:styleId="E-mailSignature">
    <w:name w:val="E-mail Signature"/>
    <w:basedOn w:val="Normal"/>
    <w:link w:val="E-mailSignatureChar"/>
    <w:uiPriority w:val="99"/>
    <w:semiHidden/>
    <w:rsid w:val="006544C4"/>
  </w:style>
  <w:style w:type="character" w:customStyle="1" w:styleId="E-mailSignatureChar">
    <w:name w:val="E-mail Signature Char"/>
    <w:basedOn w:val="DefaultParagraphFont"/>
    <w:link w:val="E-mailSignature"/>
    <w:uiPriority w:val="99"/>
    <w:semiHidden/>
    <w:rsid w:val="006544C4"/>
    <w:rPr>
      <w:rFonts w:eastAsiaTheme="minorEastAsia"/>
      <w:sz w:val="24"/>
    </w:rPr>
  </w:style>
  <w:style w:type="character" w:styleId="EndnoteReference">
    <w:name w:val="endnote reference"/>
    <w:basedOn w:val="DefaultParagraphFont"/>
    <w:semiHidden/>
    <w:rsid w:val="006544C4"/>
    <w:rPr>
      <w:vertAlign w:val="superscript"/>
    </w:rPr>
  </w:style>
  <w:style w:type="paragraph" w:styleId="EndnoteText">
    <w:name w:val="endnote text"/>
    <w:basedOn w:val="Normal"/>
    <w:link w:val="EndnoteTextChar"/>
    <w:uiPriority w:val="99"/>
    <w:semiHidden/>
    <w:rsid w:val="006544C4"/>
    <w:rPr>
      <w:sz w:val="20"/>
      <w:szCs w:val="20"/>
    </w:rPr>
  </w:style>
  <w:style w:type="character" w:customStyle="1" w:styleId="EndnoteTextChar">
    <w:name w:val="Endnote Text Char"/>
    <w:basedOn w:val="DefaultParagraphFont"/>
    <w:link w:val="EndnoteText"/>
    <w:uiPriority w:val="99"/>
    <w:semiHidden/>
    <w:rsid w:val="006544C4"/>
    <w:rPr>
      <w:rFonts w:eastAsiaTheme="minorEastAsia"/>
      <w:sz w:val="20"/>
      <w:szCs w:val="20"/>
    </w:rPr>
  </w:style>
  <w:style w:type="paragraph" w:styleId="EnvelopeAddress">
    <w:name w:val="envelope address"/>
    <w:basedOn w:val="Normal"/>
    <w:uiPriority w:val="99"/>
    <w:semiHidden/>
    <w:rsid w:val="006544C4"/>
    <w:pPr>
      <w:framePr w:w="7920" w:h="1980" w:hRule="exact" w:hSpace="180" w:wrap="auto" w:hAnchor="page" w:xAlign="center" w:yAlign="bottom"/>
      <w:ind w:left="2880"/>
    </w:pPr>
    <w:rPr>
      <w:rFonts w:asciiTheme="majorHAnsi" w:eastAsiaTheme="majorEastAsia" w:hAnsiTheme="majorHAnsi" w:cstheme="majorBidi"/>
      <w:szCs w:val="24"/>
    </w:rPr>
  </w:style>
  <w:style w:type="paragraph" w:styleId="EnvelopeReturn">
    <w:name w:val="envelope return"/>
    <w:basedOn w:val="Normal"/>
    <w:semiHidden/>
    <w:rsid w:val="006544C4"/>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6544C4"/>
    <w:rPr>
      <w:color w:val="7030A0" w:themeColor="followedHyperlink"/>
      <w:u w:val="single"/>
    </w:rPr>
  </w:style>
  <w:style w:type="character" w:styleId="HTMLAcronym">
    <w:name w:val="HTML Acronym"/>
    <w:basedOn w:val="DefaultParagraphFont"/>
    <w:uiPriority w:val="99"/>
    <w:semiHidden/>
    <w:rsid w:val="006544C4"/>
  </w:style>
  <w:style w:type="paragraph" w:styleId="HTMLAddress">
    <w:name w:val="HTML Address"/>
    <w:basedOn w:val="Normal"/>
    <w:link w:val="HTMLAddressChar"/>
    <w:semiHidden/>
    <w:rsid w:val="006544C4"/>
    <w:rPr>
      <w:i/>
      <w:iCs/>
    </w:rPr>
  </w:style>
  <w:style w:type="character" w:customStyle="1" w:styleId="HTMLAddressChar">
    <w:name w:val="HTML Address Char"/>
    <w:basedOn w:val="DefaultParagraphFont"/>
    <w:link w:val="HTMLAddress"/>
    <w:semiHidden/>
    <w:rsid w:val="006544C4"/>
    <w:rPr>
      <w:rFonts w:eastAsiaTheme="minorEastAsia"/>
      <w:i/>
      <w:iCs/>
      <w:sz w:val="24"/>
    </w:rPr>
  </w:style>
  <w:style w:type="character" w:styleId="HTMLCite">
    <w:name w:val="HTML Cite"/>
    <w:basedOn w:val="DefaultParagraphFont"/>
    <w:uiPriority w:val="99"/>
    <w:semiHidden/>
    <w:rsid w:val="006544C4"/>
    <w:rPr>
      <w:i/>
      <w:iCs/>
    </w:rPr>
  </w:style>
  <w:style w:type="character" w:styleId="HTMLCode">
    <w:name w:val="HTML Code"/>
    <w:basedOn w:val="DefaultParagraphFont"/>
    <w:uiPriority w:val="99"/>
    <w:semiHidden/>
    <w:rsid w:val="006544C4"/>
    <w:rPr>
      <w:rFonts w:ascii="Consolas" w:hAnsi="Consolas" w:cs="Consolas"/>
      <w:sz w:val="20"/>
      <w:szCs w:val="20"/>
    </w:rPr>
  </w:style>
  <w:style w:type="character" w:styleId="HTMLDefinition">
    <w:name w:val="HTML Definition"/>
    <w:basedOn w:val="DefaultParagraphFont"/>
    <w:uiPriority w:val="99"/>
    <w:semiHidden/>
    <w:rsid w:val="006544C4"/>
    <w:rPr>
      <w:i/>
      <w:iCs/>
    </w:rPr>
  </w:style>
  <w:style w:type="character" w:styleId="HTMLKeyboard">
    <w:name w:val="HTML Keyboard"/>
    <w:basedOn w:val="DefaultParagraphFont"/>
    <w:semiHidden/>
    <w:rsid w:val="006544C4"/>
    <w:rPr>
      <w:rFonts w:ascii="Consolas" w:hAnsi="Consolas" w:cs="Consolas"/>
      <w:sz w:val="20"/>
      <w:szCs w:val="20"/>
    </w:rPr>
  </w:style>
  <w:style w:type="paragraph" w:styleId="HTMLPreformatted">
    <w:name w:val="HTML Preformatted"/>
    <w:basedOn w:val="Normal"/>
    <w:link w:val="HTMLPreformattedChar"/>
    <w:uiPriority w:val="99"/>
    <w:semiHidden/>
    <w:rsid w:val="006544C4"/>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6544C4"/>
    <w:rPr>
      <w:rFonts w:ascii="Consolas" w:eastAsiaTheme="minorEastAsia" w:hAnsi="Consolas" w:cs="Consolas"/>
      <w:sz w:val="20"/>
      <w:szCs w:val="20"/>
    </w:rPr>
  </w:style>
  <w:style w:type="character" w:styleId="HTMLSample">
    <w:name w:val="HTML Sample"/>
    <w:basedOn w:val="DefaultParagraphFont"/>
    <w:semiHidden/>
    <w:rsid w:val="006544C4"/>
    <w:rPr>
      <w:rFonts w:ascii="Consolas" w:hAnsi="Consolas" w:cs="Consolas"/>
      <w:sz w:val="24"/>
      <w:szCs w:val="24"/>
    </w:rPr>
  </w:style>
  <w:style w:type="character" w:styleId="HTMLTypewriter">
    <w:name w:val="HTML Typewriter"/>
    <w:basedOn w:val="DefaultParagraphFont"/>
    <w:uiPriority w:val="99"/>
    <w:semiHidden/>
    <w:rsid w:val="006544C4"/>
    <w:rPr>
      <w:rFonts w:ascii="Consolas" w:hAnsi="Consolas" w:cs="Consolas"/>
      <w:sz w:val="20"/>
      <w:szCs w:val="20"/>
    </w:rPr>
  </w:style>
  <w:style w:type="character" w:styleId="HTMLVariable">
    <w:name w:val="HTML Variable"/>
    <w:basedOn w:val="DefaultParagraphFont"/>
    <w:semiHidden/>
    <w:rsid w:val="006544C4"/>
    <w:rPr>
      <w:i/>
      <w:iCs/>
    </w:rPr>
  </w:style>
  <w:style w:type="paragraph" w:styleId="Index1">
    <w:name w:val="index 1"/>
    <w:basedOn w:val="Normal"/>
    <w:next w:val="Normal"/>
    <w:autoRedefine/>
    <w:uiPriority w:val="99"/>
    <w:semiHidden/>
    <w:rsid w:val="006544C4"/>
    <w:pPr>
      <w:ind w:left="240" w:hanging="240"/>
    </w:pPr>
  </w:style>
  <w:style w:type="paragraph" w:styleId="Index2">
    <w:name w:val="index 2"/>
    <w:basedOn w:val="Normal"/>
    <w:next w:val="Normal"/>
    <w:autoRedefine/>
    <w:semiHidden/>
    <w:rsid w:val="006544C4"/>
    <w:pPr>
      <w:ind w:left="480" w:hanging="240"/>
    </w:pPr>
  </w:style>
  <w:style w:type="paragraph" w:styleId="Index3">
    <w:name w:val="index 3"/>
    <w:basedOn w:val="Normal"/>
    <w:next w:val="Normal"/>
    <w:autoRedefine/>
    <w:uiPriority w:val="99"/>
    <w:semiHidden/>
    <w:rsid w:val="006544C4"/>
    <w:pPr>
      <w:ind w:left="720" w:hanging="240"/>
    </w:pPr>
  </w:style>
  <w:style w:type="paragraph" w:styleId="Index4">
    <w:name w:val="index 4"/>
    <w:basedOn w:val="Normal"/>
    <w:next w:val="Normal"/>
    <w:autoRedefine/>
    <w:uiPriority w:val="99"/>
    <w:semiHidden/>
    <w:rsid w:val="006544C4"/>
    <w:pPr>
      <w:ind w:left="960" w:hanging="240"/>
    </w:pPr>
  </w:style>
  <w:style w:type="paragraph" w:styleId="Index5">
    <w:name w:val="index 5"/>
    <w:basedOn w:val="Normal"/>
    <w:next w:val="Normal"/>
    <w:autoRedefine/>
    <w:uiPriority w:val="99"/>
    <w:semiHidden/>
    <w:rsid w:val="006544C4"/>
    <w:pPr>
      <w:ind w:left="1200" w:hanging="240"/>
    </w:pPr>
  </w:style>
  <w:style w:type="paragraph" w:styleId="Index6">
    <w:name w:val="index 6"/>
    <w:basedOn w:val="Normal"/>
    <w:next w:val="Normal"/>
    <w:autoRedefine/>
    <w:semiHidden/>
    <w:rsid w:val="006544C4"/>
    <w:pPr>
      <w:ind w:left="1440" w:hanging="240"/>
    </w:pPr>
  </w:style>
  <w:style w:type="paragraph" w:styleId="Index7">
    <w:name w:val="index 7"/>
    <w:basedOn w:val="Normal"/>
    <w:next w:val="Normal"/>
    <w:autoRedefine/>
    <w:uiPriority w:val="99"/>
    <w:semiHidden/>
    <w:rsid w:val="006544C4"/>
    <w:pPr>
      <w:ind w:left="1680" w:hanging="240"/>
    </w:pPr>
  </w:style>
  <w:style w:type="paragraph" w:styleId="Index8">
    <w:name w:val="index 8"/>
    <w:basedOn w:val="Normal"/>
    <w:next w:val="Normal"/>
    <w:autoRedefine/>
    <w:semiHidden/>
    <w:rsid w:val="006544C4"/>
    <w:pPr>
      <w:ind w:left="1920" w:hanging="240"/>
    </w:pPr>
  </w:style>
  <w:style w:type="paragraph" w:styleId="Index9">
    <w:name w:val="index 9"/>
    <w:basedOn w:val="Normal"/>
    <w:next w:val="Normal"/>
    <w:autoRedefine/>
    <w:uiPriority w:val="99"/>
    <w:semiHidden/>
    <w:rsid w:val="006544C4"/>
    <w:pPr>
      <w:ind w:left="2160" w:hanging="240"/>
    </w:pPr>
  </w:style>
  <w:style w:type="paragraph" w:styleId="IndexHeading">
    <w:name w:val="index heading"/>
    <w:basedOn w:val="Normal"/>
    <w:next w:val="Index1"/>
    <w:semiHidden/>
    <w:rsid w:val="006544C4"/>
    <w:rPr>
      <w:rFonts w:asciiTheme="majorHAnsi" w:eastAsiaTheme="majorEastAsia" w:hAnsiTheme="majorHAnsi" w:cstheme="majorBidi"/>
      <w:b/>
      <w:bCs/>
    </w:rPr>
  </w:style>
  <w:style w:type="table" w:styleId="LightGrid">
    <w:name w:val="Light Grid"/>
    <w:basedOn w:val="TableNormal"/>
    <w:uiPriority w:val="99"/>
    <w:semiHidden/>
    <w:rsid w:val="006544C4"/>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6544C4"/>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6544C4"/>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6544C4"/>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6544C4"/>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6544C4"/>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6544C4"/>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6544C4"/>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6544C4"/>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6544C4"/>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6544C4"/>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6544C4"/>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6544C4"/>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6544C4"/>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6544C4"/>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6544C4"/>
    <w:rPr>
      <w:color w:val="00548C" w:themeColor="accent1" w:themeShade="BF"/>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6544C4"/>
    <w:rPr>
      <w:color w:val="8F0000" w:themeColor="accent2" w:themeShade="BF"/>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6544C4"/>
    <w:rPr>
      <w:color w:val="474747" w:themeColor="accent3" w:themeShade="BF"/>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6544C4"/>
    <w:rPr>
      <w:color w:val="707070" w:themeColor="accent4" w:themeShade="BF"/>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6544C4"/>
    <w:rPr>
      <w:color w:val="474747" w:themeColor="accent5" w:themeShade="BF"/>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6544C4"/>
    <w:rPr>
      <w:color w:val="393939" w:themeColor="accent6" w:themeShade="BF"/>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semiHidden/>
    <w:rsid w:val="006544C4"/>
  </w:style>
  <w:style w:type="paragraph" w:styleId="List">
    <w:name w:val="List"/>
    <w:basedOn w:val="Normal"/>
    <w:uiPriority w:val="99"/>
    <w:semiHidden/>
    <w:rsid w:val="006544C4"/>
    <w:pPr>
      <w:ind w:left="283" w:hanging="283"/>
      <w:contextualSpacing/>
    </w:pPr>
  </w:style>
  <w:style w:type="paragraph" w:styleId="List2">
    <w:name w:val="List 2"/>
    <w:basedOn w:val="Normal"/>
    <w:semiHidden/>
    <w:rsid w:val="006544C4"/>
    <w:pPr>
      <w:ind w:left="566" w:hanging="283"/>
      <w:contextualSpacing/>
    </w:pPr>
  </w:style>
  <w:style w:type="paragraph" w:styleId="List3">
    <w:name w:val="List 3"/>
    <w:basedOn w:val="Normal"/>
    <w:uiPriority w:val="99"/>
    <w:semiHidden/>
    <w:rsid w:val="006544C4"/>
    <w:pPr>
      <w:ind w:left="849" w:hanging="283"/>
      <w:contextualSpacing/>
    </w:pPr>
  </w:style>
  <w:style w:type="paragraph" w:styleId="List4">
    <w:name w:val="List 4"/>
    <w:basedOn w:val="Normal"/>
    <w:semiHidden/>
    <w:rsid w:val="006544C4"/>
    <w:pPr>
      <w:ind w:left="1132" w:hanging="283"/>
      <w:contextualSpacing/>
    </w:pPr>
  </w:style>
  <w:style w:type="paragraph" w:styleId="List5">
    <w:name w:val="List 5"/>
    <w:basedOn w:val="Normal"/>
    <w:uiPriority w:val="99"/>
    <w:semiHidden/>
    <w:rsid w:val="006544C4"/>
    <w:pPr>
      <w:ind w:left="1415" w:hanging="283"/>
      <w:contextualSpacing/>
    </w:pPr>
  </w:style>
  <w:style w:type="paragraph" w:styleId="ListBullet">
    <w:name w:val="List Bullet"/>
    <w:basedOn w:val="Normal"/>
    <w:uiPriority w:val="99"/>
    <w:semiHidden/>
    <w:rsid w:val="006544C4"/>
    <w:pPr>
      <w:numPr>
        <w:numId w:val="15"/>
      </w:numPr>
      <w:contextualSpacing/>
    </w:pPr>
  </w:style>
  <w:style w:type="paragraph" w:styleId="ListBullet4">
    <w:name w:val="List Bullet 4"/>
    <w:basedOn w:val="Normal"/>
    <w:uiPriority w:val="99"/>
    <w:semiHidden/>
    <w:rsid w:val="006544C4"/>
    <w:pPr>
      <w:numPr>
        <w:numId w:val="16"/>
      </w:numPr>
      <w:contextualSpacing/>
    </w:pPr>
  </w:style>
  <w:style w:type="paragraph" w:styleId="ListBullet5">
    <w:name w:val="List Bullet 5"/>
    <w:basedOn w:val="Normal"/>
    <w:semiHidden/>
    <w:rsid w:val="006544C4"/>
    <w:pPr>
      <w:numPr>
        <w:numId w:val="17"/>
      </w:numPr>
      <w:contextualSpacing/>
    </w:pPr>
  </w:style>
  <w:style w:type="paragraph" w:styleId="ListContinue">
    <w:name w:val="List Continue"/>
    <w:basedOn w:val="Normal"/>
    <w:uiPriority w:val="99"/>
    <w:semiHidden/>
    <w:rsid w:val="006544C4"/>
    <w:pPr>
      <w:spacing w:after="120"/>
      <w:ind w:left="283"/>
      <w:contextualSpacing/>
    </w:pPr>
  </w:style>
  <w:style w:type="paragraph" w:styleId="ListContinue2">
    <w:name w:val="List Continue 2"/>
    <w:basedOn w:val="Normal"/>
    <w:semiHidden/>
    <w:rsid w:val="006544C4"/>
    <w:pPr>
      <w:spacing w:after="120"/>
      <w:ind w:left="566"/>
      <w:contextualSpacing/>
    </w:pPr>
  </w:style>
  <w:style w:type="paragraph" w:styleId="ListContinue3">
    <w:name w:val="List Continue 3"/>
    <w:basedOn w:val="Normal"/>
    <w:uiPriority w:val="99"/>
    <w:semiHidden/>
    <w:rsid w:val="006544C4"/>
    <w:pPr>
      <w:spacing w:after="120"/>
      <w:ind w:left="849"/>
      <w:contextualSpacing/>
    </w:pPr>
  </w:style>
  <w:style w:type="paragraph" w:styleId="ListContinue4">
    <w:name w:val="List Continue 4"/>
    <w:basedOn w:val="Normal"/>
    <w:uiPriority w:val="99"/>
    <w:semiHidden/>
    <w:rsid w:val="006544C4"/>
    <w:pPr>
      <w:spacing w:after="120"/>
      <w:ind w:left="1132"/>
      <w:contextualSpacing/>
    </w:pPr>
  </w:style>
  <w:style w:type="paragraph" w:styleId="ListContinue5">
    <w:name w:val="List Continue 5"/>
    <w:basedOn w:val="Normal"/>
    <w:uiPriority w:val="99"/>
    <w:semiHidden/>
    <w:rsid w:val="006544C4"/>
    <w:pPr>
      <w:spacing w:after="120"/>
      <w:ind w:left="1415"/>
      <w:contextualSpacing/>
    </w:pPr>
  </w:style>
  <w:style w:type="paragraph" w:styleId="ListNumber">
    <w:name w:val="List Number"/>
    <w:basedOn w:val="Normal"/>
    <w:semiHidden/>
    <w:rsid w:val="006544C4"/>
    <w:pPr>
      <w:numPr>
        <w:numId w:val="18"/>
      </w:numPr>
      <w:contextualSpacing/>
    </w:pPr>
  </w:style>
  <w:style w:type="paragraph" w:styleId="ListNumber2">
    <w:name w:val="List Number 2"/>
    <w:basedOn w:val="Normal"/>
    <w:uiPriority w:val="99"/>
    <w:semiHidden/>
    <w:rsid w:val="006544C4"/>
    <w:pPr>
      <w:numPr>
        <w:numId w:val="19"/>
      </w:numPr>
      <w:contextualSpacing/>
    </w:pPr>
  </w:style>
  <w:style w:type="paragraph" w:styleId="ListNumber3">
    <w:name w:val="List Number 3"/>
    <w:basedOn w:val="Normal"/>
    <w:semiHidden/>
    <w:rsid w:val="006544C4"/>
    <w:pPr>
      <w:numPr>
        <w:numId w:val="20"/>
      </w:numPr>
      <w:contextualSpacing/>
    </w:pPr>
  </w:style>
  <w:style w:type="paragraph" w:styleId="ListNumber4">
    <w:name w:val="List Number 4"/>
    <w:basedOn w:val="Normal"/>
    <w:uiPriority w:val="99"/>
    <w:semiHidden/>
    <w:rsid w:val="006544C4"/>
    <w:pPr>
      <w:numPr>
        <w:numId w:val="21"/>
      </w:numPr>
      <w:contextualSpacing/>
    </w:pPr>
  </w:style>
  <w:style w:type="paragraph" w:styleId="ListNumber5">
    <w:name w:val="List Number 5"/>
    <w:basedOn w:val="Normal"/>
    <w:semiHidden/>
    <w:rsid w:val="006544C4"/>
    <w:pPr>
      <w:numPr>
        <w:numId w:val="22"/>
      </w:numPr>
      <w:contextualSpacing/>
    </w:pPr>
  </w:style>
  <w:style w:type="paragraph" w:styleId="MacroText">
    <w:name w:val="macro"/>
    <w:link w:val="MacroTextChar"/>
    <w:uiPriority w:val="99"/>
    <w:semiHidden/>
    <w:rsid w:val="006544C4"/>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6544C4"/>
    <w:rPr>
      <w:rFonts w:ascii="Consolas" w:eastAsiaTheme="minorEastAsia" w:hAnsi="Consolas" w:cs="Consolas"/>
      <w:sz w:val="20"/>
      <w:szCs w:val="20"/>
    </w:rPr>
  </w:style>
  <w:style w:type="table" w:styleId="MediumGrid1">
    <w:name w:val="Medium Grid 1"/>
    <w:basedOn w:val="TableNormal"/>
    <w:uiPriority w:val="67"/>
    <w:semiHidden/>
    <w:rsid w:val="006544C4"/>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6544C4"/>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6544C4"/>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6544C4"/>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6544C4"/>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6544C4"/>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6544C4"/>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6544C4"/>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6544C4"/>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6544C4"/>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6544C4"/>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6544C4"/>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6544C4"/>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6544C4"/>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6544C4"/>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6544C4"/>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6544C4"/>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6544C4"/>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6544C4"/>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6544C4"/>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6544C4"/>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6544C4"/>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6544C4"/>
    <w:rPr>
      <w:color w:val="000000" w:themeColor="text1"/>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6544C4"/>
    <w:rPr>
      <w:color w:val="000000" w:themeColor="text1"/>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6544C4"/>
    <w:rPr>
      <w:color w:val="000000" w:themeColor="text1"/>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6544C4"/>
    <w:rPr>
      <w:color w:val="000000" w:themeColor="text1"/>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6544C4"/>
    <w:rPr>
      <w:color w:val="000000" w:themeColor="text1"/>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6544C4"/>
    <w:rPr>
      <w:color w:val="000000" w:themeColor="text1"/>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6544C4"/>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6544C4"/>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6544C4"/>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6544C4"/>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6544C4"/>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6544C4"/>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6544C4"/>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6544C4"/>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6544C4"/>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6544C4"/>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6544C4"/>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6544C4"/>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6544C4"/>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6544C4"/>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6544C4"/>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6544C4"/>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6544C4"/>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6544C4"/>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6544C4"/>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6544C4"/>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6544C4"/>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6544C4"/>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6544C4"/>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6544C4"/>
    <w:rPr>
      <w:rFonts w:ascii="Times New Roman" w:hAnsi="Times New Roman" w:cs="Times New Roman"/>
      <w:szCs w:val="24"/>
    </w:rPr>
  </w:style>
  <w:style w:type="paragraph" w:styleId="NormalIndent">
    <w:name w:val="Normal Indent"/>
    <w:basedOn w:val="Normal"/>
    <w:uiPriority w:val="99"/>
    <w:semiHidden/>
    <w:rsid w:val="006544C4"/>
    <w:pPr>
      <w:ind w:left="720"/>
    </w:pPr>
  </w:style>
  <w:style w:type="paragraph" w:styleId="NoteHeading">
    <w:name w:val="Note Heading"/>
    <w:basedOn w:val="Normal"/>
    <w:next w:val="Normal"/>
    <w:link w:val="NoteHeadingChar"/>
    <w:uiPriority w:val="99"/>
    <w:semiHidden/>
    <w:rsid w:val="006544C4"/>
  </w:style>
  <w:style w:type="character" w:customStyle="1" w:styleId="NoteHeadingChar">
    <w:name w:val="Note Heading Char"/>
    <w:basedOn w:val="DefaultParagraphFont"/>
    <w:link w:val="NoteHeading"/>
    <w:uiPriority w:val="99"/>
    <w:semiHidden/>
    <w:rsid w:val="006544C4"/>
    <w:rPr>
      <w:rFonts w:eastAsiaTheme="minorEastAsia"/>
      <w:sz w:val="24"/>
    </w:rPr>
  </w:style>
  <w:style w:type="character" w:styleId="PlaceholderText">
    <w:name w:val="Placeholder Text"/>
    <w:basedOn w:val="DefaultParagraphFont"/>
    <w:uiPriority w:val="99"/>
    <w:semiHidden/>
    <w:rsid w:val="006544C4"/>
    <w:rPr>
      <w:color w:val="808080"/>
    </w:rPr>
  </w:style>
  <w:style w:type="paragraph" w:styleId="PlainText">
    <w:name w:val="Plain Text"/>
    <w:basedOn w:val="Normal"/>
    <w:link w:val="PlainTextChar"/>
    <w:uiPriority w:val="99"/>
    <w:semiHidden/>
    <w:rsid w:val="006544C4"/>
    <w:rPr>
      <w:rFonts w:ascii="Consolas" w:hAnsi="Consolas" w:cs="Consolas"/>
      <w:sz w:val="21"/>
      <w:szCs w:val="21"/>
    </w:rPr>
  </w:style>
  <w:style w:type="character" w:customStyle="1" w:styleId="PlainTextChar">
    <w:name w:val="Plain Text Char"/>
    <w:basedOn w:val="DefaultParagraphFont"/>
    <w:link w:val="PlainText"/>
    <w:uiPriority w:val="99"/>
    <w:semiHidden/>
    <w:rsid w:val="006544C4"/>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6544C4"/>
  </w:style>
  <w:style w:type="character" w:customStyle="1" w:styleId="SalutationChar">
    <w:name w:val="Salutation Char"/>
    <w:basedOn w:val="DefaultParagraphFont"/>
    <w:link w:val="Salutation"/>
    <w:uiPriority w:val="99"/>
    <w:semiHidden/>
    <w:rsid w:val="006544C4"/>
    <w:rPr>
      <w:rFonts w:eastAsiaTheme="minorEastAsia"/>
      <w:sz w:val="24"/>
    </w:rPr>
  </w:style>
  <w:style w:type="paragraph" w:styleId="Signature">
    <w:name w:val="Signature"/>
    <w:basedOn w:val="Normal"/>
    <w:link w:val="SignatureChar"/>
    <w:uiPriority w:val="99"/>
    <w:semiHidden/>
    <w:rsid w:val="006544C4"/>
    <w:pPr>
      <w:ind w:left="4252"/>
    </w:pPr>
  </w:style>
  <w:style w:type="character" w:customStyle="1" w:styleId="SignatureChar">
    <w:name w:val="Signature Char"/>
    <w:basedOn w:val="DefaultParagraphFont"/>
    <w:link w:val="Signature"/>
    <w:uiPriority w:val="99"/>
    <w:semiHidden/>
    <w:rsid w:val="006544C4"/>
    <w:rPr>
      <w:rFonts w:eastAsiaTheme="minorEastAsia"/>
      <w:sz w:val="24"/>
    </w:rPr>
  </w:style>
  <w:style w:type="table" w:styleId="Table3Deffects1">
    <w:name w:val="Table 3D effects 1"/>
    <w:basedOn w:val="TableNormal"/>
    <w:uiPriority w:val="99"/>
    <w:semiHidden/>
    <w:unhideWhenUsed/>
    <w:rsid w:val="006544C4"/>
    <w:pPr>
      <w:jc w:val="both"/>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6544C4"/>
    <w:pPr>
      <w:jc w:val="both"/>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6544C4"/>
    <w:pPr>
      <w:jc w:val="both"/>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6544C4"/>
    <w:pPr>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6544C4"/>
    <w:pPr>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6544C4"/>
    <w:pPr>
      <w:jc w:val="both"/>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6544C4"/>
    <w:pPr>
      <w:jc w:val="both"/>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6544C4"/>
    <w:pPr>
      <w:jc w:val="both"/>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6544C4"/>
    <w:pPr>
      <w:jc w:val="both"/>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6544C4"/>
    <w:pPr>
      <w:jc w:val="both"/>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6544C4"/>
    <w:pPr>
      <w:jc w:val="both"/>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6544C4"/>
    <w:pPr>
      <w:jc w:val="both"/>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6544C4"/>
    <w:pPr>
      <w:jc w:val="both"/>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6544C4"/>
    <w:pPr>
      <w:jc w:val="both"/>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6544C4"/>
    <w:pPr>
      <w:jc w:val="both"/>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6544C4"/>
    <w:pPr>
      <w:jc w:val="both"/>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6544C4"/>
    <w:pPr>
      <w:jc w:val="both"/>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6544C4"/>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6544C4"/>
    <w:pPr>
      <w:jc w:val="both"/>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6544C4"/>
    <w:pPr>
      <w:jc w:val="both"/>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6544C4"/>
    <w:pPr>
      <w:jc w:val="both"/>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6544C4"/>
    <w:pPr>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6544C4"/>
    <w:pPr>
      <w:jc w:val="both"/>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6544C4"/>
    <w:pPr>
      <w:jc w:val="both"/>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6544C4"/>
    <w:pPr>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6544C4"/>
    <w:pPr>
      <w:jc w:val="both"/>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6544C4"/>
    <w:pPr>
      <w:jc w:val="both"/>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6544C4"/>
    <w:pPr>
      <w:jc w:val="both"/>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6544C4"/>
    <w:pPr>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6544C4"/>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6544C4"/>
    <w:pPr>
      <w:jc w:val="both"/>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6544C4"/>
    <w:pPr>
      <w:jc w:val="both"/>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6544C4"/>
    <w:pPr>
      <w:jc w:val="both"/>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6544C4"/>
    <w:pPr>
      <w:ind w:left="240" w:hanging="240"/>
    </w:pPr>
  </w:style>
  <w:style w:type="paragraph" w:styleId="TableofFigures">
    <w:name w:val="table of figures"/>
    <w:basedOn w:val="Normal"/>
    <w:next w:val="Normal"/>
    <w:uiPriority w:val="99"/>
    <w:semiHidden/>
    <w:rsid w:val="006544C4"/>
  </w:style>
  <w:style w:type="table" w:styleId="TableProfessional">
    <w:name w:val="Table Professional"/>
    <w:basedOn w:val="TableNormal"/>
    <w:uiPriority w:val="99"/>
    <w:semiHidden/>
    <w:unhideWhenUsed/>
    <w:rsid w:val="006544C4"/>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6544C4"/>
    <w:pPr>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6544C4"/>
    <w:pPr>
      <w:jc w:val="both"/>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6544C4"/>
    <w:pPr>
      <w:jc w:val="both"/>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6544C4"/>
    <w:pPr>
      <w:jc w:val="both"/>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6544C4"/>
    <w:pPr>
      <w:jc w:val="both"/>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6544C4"/>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uiPriority w:val="99"/>
    <w:semiHidden/>
    <w:unhideWhenUsed/>
    <w:rsid w:val="006544C4"/>
    <w:pPr>
      <w:jc w:val="both"/>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6544C4"/>
    <w:pPr>
      <w:jc w:val="both"/>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6544C4"/>
    <w:pPr>
      <w:jc w:val="both"/>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6544C4"/>
    <w:pPr>
      <w:spacing w:after="100"/>
      <w:ind w:left="1200"/>
    </w:pPr>
  </w:style>
  <w:style w:type="paragraph" w:styleId="TOC7">
    <w:name w:val="toc 7"/>
    <w:basedOn w:val="Normal"/>
    <w:next w:val="Normal"/>
    <w:autoRedefine/>
    <w:uiPriority w:val="99"/>
    <w:semiHidden/>
    <w:rsid w:val="006544C4"/>
    <w:pPr>
      <w:spacing w:after="100"/>
      <w:ind w:left="1440"/>
    </w:pPr>
  </w:style>
  <w:style w:type="paragraph" w:styleId="TOC8">
    <w:name w:val="toc 8"/>
    <w:basedOn w:val="Normal"/>
    <w:next w:val="Normal"/>
    <w:autoRedefine/>
    <w:uiPriority w:val="99"/>
    <w:semiHidden/>
    <w:rsid w:val="006544C4"/>
    <w:pPr>
      <w:spacing w:after="100"/>
      <w:ind w:left="1680"/>
    </w:pPr>
  </w:style>
  <w:style w:type="paragraph" w:styleId="TOC9">
    <w:name w:val="toc 9"/>
    <w:basedOn w:val="Normal"/>
    <w:next w:val="Normal"/>
    <w:autoRedefine/>
    <w:uiPriority w:val="99"/>
    <w:semiHidden/>
    <w:rsid w:val="006544C4"/>
    <w:pPr>
      <w:spacing w:after="100"/>
      <w:ind w:left="1920"/>
    </w:pPr>
  </w:style>
  <w:style w:type="character" w:customStyle="1" w:styleId="ECHRParaChar">
    <w:name w:val="ECHR_Para Char"/>
    <w:aliases w:val="Ju_Para Char"/>
    <w:link w:val="ECHRPara"/>
    <w:uiPriority w:val="12"/>
    <w:rsid w:val="004149AA"/>
    <w:rPr>
      <w:rFonts w:eastAsiaTheme="minorEastAsia"/>
      <w:sz w:val="24"/>
    </w:rPr>
  </w:style>
  <w:style w:type="character" w:customStyle="1" w:styleId="sb8d990e2">
    <w:name w:val="sb8d990e2"/>
    <w:rsid w:val="004149AA"/>
  </w:style>
  <w:style w:type="character" w:customStyle="1" w:styleId="wordhighlighted">
    <w:name w:val="wordhighlighted"/>
    <w:rsid w:val="004149A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0" w:defQFormat="0" w:count="267">
    <w:lsdException w:name="Normal" w:semiHidden="0" w:uiPriority="0"/>
    <w:lsdException w:name="heading 1" w:semiHidden="0" w:qFormat="1"/>
    <w:lsdException w:name="heading 2" w:unhideWhenUsed="1" w:qFormat="1"/>
    <w:lsdException w:name="heading 3" w:unhideWhenUsed="1" w:qFormat="1"/>
    <w:lsdException w:name="heading 4" w:unhideWhenUsed="1" w:qFormat="1"/>
    <w:lsdException w:name="heading 5" w:unhideWhenUsed="1" w:qFormat="1"/>
    <w:lsdException w:name="heading 6" w:unhideWhenUsed="1" w:qFormat="1"/>
    <w:lsdException w:name="heading 7" w:unhideWhenUsed="1" w:qFormat="1"/>
    <w:lsdException w:name="heading 8" w:unhideWhenUsed="1" w:qFormat="1"/>
    <w:lsdException w:name="heading 9" w:unhideWhenUsed="1" w:qFormat="1"/>
    <w:lsdException w:name="index 2" w:uiPriority="0"/>
    <w:lsdException w:name="index 6" w:uiPriority="0"/>
    <w:lsdException w:name="index 8" w:uiPriority="0"/>
    <w:lsdException w:name="toc 1" w:unhideWhenUsed="1"/>
    <w:lsdException w:name="toc 2" w:unhideWhenUsed="1"/>
    <w:lsdException w:name="toc 3" w:unhideWhenUsed="1"/>
    <w:lsdException w:name="toc 4" w:unhideWhenUsed="1"/>
    <w:lsdException w:name="toc 5" w:unhideWhenUsed="1"/>
    <w:lsdException w:name="footnote text" w:unhideWhenUsed="1"/>
    <w:lsdException w:name="annotation text" w:uiPriority="0"/>
    <w:lsdException w:name="header" w:unhideWhenUsed="1"/>
    <w:lsdException w:name="footer" w:unhideWhenUsed="1"/>
    <w:lsdException w:name="index heading" w:uiPriority="0"/>
    <w:lsdException w:name="caption" w:qFormat="1"/>
    <w:lsdException w:name="envelope return" w:uiPriority="0"/>
    <w:lsdException w:name="footnote reference" w:unhideWhenUsed="1"/>
    <w:lsdException w:name="line number" w:uiPriority="0"/>
    <w:lsdException w:name="endnote reference" w:uiPriority="0"/>
    <w:lsdException w:name="List Number" w:uiPriority="0"/>
    <w:lsdException w:name="List 2" w:uiPriority="0"/>
    <w:lsdException w:name="List 4" w:uiPriority="0"/>
    <w:lsdException w:name="List Bullet 3" w:uiPriority="0"/>
    <w:lsdException w:name="List Bullet 5" w:uiPriority="0"/>
    <w:lsdException w:name="List Number 3" w:uiPriority="0"/>
    <w:lsdException w:name="List Number 5" w:uiPriority="0"/>
    <w:lsdException w:name="Title" w:semiHidden="0" w:qFormat="1"/>
    <w:lsdException w:name="Default Paragraph Font" w:uiPriority="1" w:unhideWhenUsed="1"/>
    <w:lsdException w:name="Body Text" w:uiPriority="0"/>
    <w:lsdException w:name="List Continue 2" w:uiPriority="0"/>
    <w:lsdException w:name="Subtitle" w:qFormat="1"/>
    <w:lsdException w:name="Body Text First Indent 2" w:uiPriority="0"/>
    <w:lsdException w:name="Body Text Indent 2" w:uiPriority="0"/>
    <w:lsdException w:name="Hyperlink" w:unhideWhenUsed="1"/>
    <w:lsdException w:name="Strong" w:semiHidden="0" w:qFormat="1"/>
    <w:lsdException w:name="Emphasis" w:semiHidden="0" w:qFormat="1"/>
    <w:lsdException w:name="Document Map" w:uiPriority="0"/>
    <w:lsdException w:name="HTML Top of Form" w:unhideWhenUsed="1"/>
    <w:lsdException w:name="HTML Bottom of Form" w:unhideWhenUsed="1"/>
    <w:lsdException w:name="HTML Address" w:uiPriority="0"/>
    <w:lsdException w:name="HTML Keyboard" w:uiPriority="0"/>
    <w:lsdException w:name="HTML Sample" w:uiPriority="0"/>
    <w:lsdException w:name="HTML Variable" w:uiPriority="0"/>
    <w:lsdException w:name="Normal Table" w:unhideWhenUsed="1"/>
    <w:lsdException w:name="annotation subject" w:uiPriority="0"/>
    <w:lsdException w:name="No List" w:unhideWhenUsed="1"/>
    <w:lsdException w:name="Outline List 1" w:uiPriority="0"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lsdException w:name="Table Theme" w:unhideWhenUsed="1"/>
    <w:lsdException w:name="No Spacing" w:semiHidden="0" w:uiPriority="0" w:qFormat="1"/>
    <w:lsdException w:name="Light Shading" w:semiHidden="0"/>
    <w:lsdException w:name="Light List" w:semiHidden="0" w:uiPriority="61"/>
    <w:lsdException w:name="Light Grid" w:semiHidden="0"/>
    <w:lsdException w:name="Medium Shading 1" w:semiHidden="0"/>
    <w:lsdException w:name="Medium Shading 2" w:semiHidden="0"/>
    <w:lsdException w:name="Medium List 1" w:semiHidden="0"/>
    <w:lsdException w:name="Medium List 2" w:semiHidden="0" w:uiPriority="66"/>
    <w:lsdException w:name="Medium Grid 1" w:semiHidden="0" w:uiPriority="67"/>
    <w:lsdException w:name="Medium Grid 2" w:semiHidden="0"/>
    <w:lsdException w:name="Medium Grid 3" w:semiHidden="0"/>
    <w:lsdException w:name="Dark List" w:semiHidden="0"/>
    <w:lsdException w:name="Colorful Shading" w:semiHidden="0"/>
    <w:lsdException w:name="Colorful List" w:semiHidden="0" w:uiPriority="72"/>
    <w:lsdException w:name="Colorful Grid" w:semiHidden="0"/>
    <w:lsdException w:name="Light Shading Accent 1" w:semiHidden="0"/>
    <w:lsdException w:name="Light List Accent 1" w:semiHidden="0"/>
    <w:lsdException w:name="Light Grid Accent 1" w:semiHidden="0" w:uiPriority="62"/>
    <w:lsdException w:name="Medium Shading 1 Accent 1" w:semiHidden="0" w:uiPriority="63"/>
    <w:lsdException w:name="Medium Shading 2 Accent 1" w:semiHidden="0"/>
    <w:lsdException w:name="Medium List 1 Accent 1" w:semiHidden="0" w:uiPriority="65"/>
    <w:lsdException w:name="List Paragraph" w:semiHidden="0" w:qFormat="1"/>
    <w:lsdException w:name="Quote" w:semiHidden="0" w:qFormat="1"/>
    <w:lsdException w:name="Intense Quote" w:semiHidden="0" w:qFormat="1"/>
    <w:lsdException w:name="Medium List 2 Accent 1" w:semiHidden="0"/>
    <w:lsdException w:name="Medium Grid 1 Accent 1" w:semiHidden="0"/>
    <w:lsdException w:name="Medium Grid 2 Accent 1" w:semiHidden="0" w:uiPriority="68"/>
    <w:lsdException w:name="Medium Grid 3 Accent 1" w:semiHidden="0"/>
    <w:lsdException w:name="Dark List Accent 1" w:semiHidden="0"/>
    <w:lsdException w:name="Colorful Shading Accent 1" w:semiHidden="0"/>
    <w:lsdException w:name="Colorful List Accent 1" w:semiHidden="0"/>
    <w:lsdException w:name="Colorful Grid Accent 1" w:semiHidden="0" w:uiPriority="73"/>
    <w:lsdException w:name="Light Shading Accent 2" w:semiHidden="0"/>
    <w:lsdException w:name="Light List Accent 2" w:semiHidden="0" w:uiPriority="61"/>
    <w:lsdException w:name="Light Grid Accent 2" w:semiHidden="0"/>
    <w:lsdException w:name="Medium Shading 1 Accent 2" w:semiHidden="0"/>
    <w:lsdException w:name="Medium Shading 2 Accent 2" w:semiHidden="0" w:uiPriority="64"/>
    <w:lsdException w:name="Medium List 1 Accent 2" w:semiHidden="0"/>
    <w:lsdException w:name="Medium List 2 Accent 2" w:semiHidden="0" w:uiPriority="66"/>
    <w:lsdException w:name="Medium Grid 1 Accent 2" w:semiHidden="0"/>
    <w:lsdException w:name="Medium Grid 2 Accent 2" w:semiHidden="0"/>
    <w:lsdException w:name="Medium Grid 3 Accent 2" w:semiHidden="0" w:uiPriority="69"/>
    <w:lsdException w:name="Dark List Accent 2" w:semiHidden="0" w:uiPriority="70"/>
    <w:lsdException w:name="Colorful Shading Accent 2" w:semiHidden="0"/>
    <w:lsdException w:name="Colorful List Accent 2" w:semiHidden="0" w:uiPriority="72"/>
    <w:lsdException w:name="Colorful Grid Accent 2" w:semiHidden="0"/>
    <w:lsdException w:name="Light Shading Accent 3" w:semiHidden="0" w:uiPriority="60"/>
    <w:lsdException w:name="Light List Accent 3" w:semiHidden="0"/>
    <w:lsdException w:name="Light Grid Accent 3" w:semiHidden="0"/>
    <w:lsdException w:name="Medium Shading 1 Accent 3" w:semiHidden="0" w:uiPriority="63"/>
    <w:lsdException w:name="Medium Shading 2 Accent 3" w:semiHidden="0"/>
    <w:lsdException w:name="Medium List 1 Accent 3" w:semiHidden="0" w:uiPriority="65"/>
    <w:lsdException w:name="Medium List 2 Accent 3" w:semiHidden="0"/>
    <w:lsdException w:name="Medium Grid 1 Accent 3" w:semiHidden="0"/>
    <w:lsdException w:name="Medium Grid 2 Accent 3" w:semiHidden="0"/>
    <w:lsdException w:name="Medium Grid 3 Accent 3" w:semiHidden="0"/>
    <w:lsdException w:name="Dark List Accent 3" w:semiHidden="0"/>
    <w:lsdException w:name="Colorful Shading Accent 3" w:semiHidden="0" w:uiPriority="71"/>
    <w:lsdException w:name="Colorful List Accent 3" w:semiHidden="0"/>
    <w:lsdException w:name="Colorful Grid Accent 3" w:semiHidden="0"/>
    <w:lsdException w:name="Light Shading Accent 4" w:semiHidden="0"/>
    <w:lsdException w:name="Light List Accent 4" w:semiHidden="0"/>
    <w:lsdException w:name="Light Grid Accent 4" w:semiHidden="0"/>
    <w:lsdException w:name="Medium Shading 1 Accent 4" w:semiHidden="0"/>
    <w:lsdException w:name="Medium Shading 2 Accent 4" w:semiHidden="0"/>
    <w:lsdException w:name="Medium List 1 Accent 4" w:semiHidden="0"/>
    <w:lsdException w:name="Medium List 2 Accent 4" w:semiHidden="0" w:uiPriority="66"/>
    <w:lsdException w:name="Medium Grid 1 Accent 4" w:semiHidden="0" w:uiPriority="67"/>
    <w:lsdException w:name="Medium Grid 2 Accent 4" w:semiHidden="0"/>
    <w:lsdException w:name="Medium Grid 3 Accent 4" w:semiHidden="0"/>
    <w:lsdException w:name="Dark List Accent 4" w:semiHidden="0"/>
    <w:lsdException w:name="Colorful Shading Accent 4" w:semiHidden="0"/>
    <w:lsdException w:name="Colorful List Accent 4" w:semiHidden="0"/>
    <w:lsdException w:name="Colorful Grid Accent 4" w:semiHidden="0"/>
    <w:lsdException w:name="Light Shading Accent 5" w:semiHidden="0"/>
    <w:lsdException w:name="Light List Accent 5" w:semiHidden="0"/>
    <w:lsdException w:name="Light Grid Accent 5" w:semiHidden="0" w:uiPriority="62"/>
    <w:lsdException w:name="Medium Shading 1 Accent 5" w:semiHidden="0" w:uiPriority="63"/>
    <w:lsdException w:name="Medium Shading 2 Accent 5" w:semiHidden="0"/>
    <w:lsdException w:name="Medium List 1 Accent 5" w:semiHidden="0"/>
    <w:lsdException w:name="Medium List 2 Accent 5" w:semiHidden="0"/>
    <w:lsdException w:name="Medium Grid 1 Accent 5" w:semiHidden="0"/>
    <w:lsdException w:name="Medium Grid 2 Accent 5" w:semiHidden="0" w:uiPriority="68"/>
    <w:lsdException w:name="Medium Grid 3 Accent 5" w:semiHidden="0"/>
    <w:lsdException w:name="Dark List Accent 5" w:semiHidden="0"/>
    <w:lsdException w:name="Colorful Shading Accent 5" w:semiHidden="0"/>
    <w:lsdException w:name="Colorful List Accent 5" w:semiHidden="0"/>
    <w:lsdException w:name="Colorful Grid Accent 5" w:semiHidden="0" w:uiPriority="73"/>
    <w:lsdException w:name="Light Shading Accent 6" w:semiHidden="0"/>
    <w:lsdException w:name="Light List Accent 6" w:semiHidden="0" w:uiPriority="61"/>
    <w:lsdException w:name="Light Grid Accent 6" w:semiHidden="0"/>
    <w:lsdException w:name="Medium Shading 1 Accent 6" w:semiHidden="0"/>
    <w:lsdException w:name="Medium Shading 2 Accent 6" w:semiHidden="0" w:uiPriority="64"/>
    <w:lsdException w:name="Medium List 1 Accent 6" w:semiHidden="0"/>
    <w:lsdException w:name="Medium List 2 Accent 6" w:semiHidden="0"/>
    <w:lsdException w:name="Medium Grid 1 Accent 6" w:semiHidden="0" w:uiPriority="67"/>
    <w:lsdException w:name="Medium Grid 2 Accent 6" w:semiHidden="0"/>
    <w:lsdException w:name="Medium Grid 3 Accent 6" w:semiHidden="0" w:uiPriority="69"/>
    <w:lsdException w:name="Dark List Accent 6" w:semiHidden="0" w:uiPriority="70"/>
    <w:lsdException w:name="Colorful Shading Accent 6" w:semiHidden="0"/>
    <w:lsdException w:name="Colorful List Accent 6" w:semiHidden="0" w:uiPriority="72"/>
    <w:lsdException w:name="Colorful Grid Accent 6" w:semiHidden="0"/>
    <w:lsdException w:name="Subtle Emphasis" w:semiHidden="0" w:qFormat="1"/>
    <w:lsdException w:name="Intense Emphasis" w:semiHidden="0" w:qFormat="1"/>
    <w:lsdException w:name="Subtle Reference" w:semiHidden="0" w:qFormat="1"/>
    <w:lsdException w:name="Intense Reference" w:semiHidden="0" w:qFormat="1"/>
    <w:lsdException w:name="Book Title" w:semiHidden="0" w:qFormat="1"/>
    <w:lsdException w:name="TOC Heading" w:unhideWhenUsed="1" w:qFormat="1"/>
  </w:latentStyles>
  <w:style w:type="paragraph" w:default="1" w:styleId="Normal">
    <w:name w:val="Normal"/>
    <w:semiHidden/>
    <w:rsid w:val="006544C4"/>
    <w:pPr>
      <w:jc w:val="both"/>
    </w:pPr>
    <w:rPr>
      <w:rFonts w:eastAsiaTheme="minorEastAsia"/>
      <w:sz w:val="24"/>
    </w:rPr>
  </w:style>
  <w:style w:type="paragraph" w:styleId="Heading1">
    <w:name w:val="heading 1"/>
    <w:basedOn w:val="Normal"/>
    <w:next w:val="Normal"/>
    <w:link w:val="Heading1Char"/>
    <w:uiPriority w:val="99"/>
    <w:semiHidden/>
    <w:rsid w:val="00941747"/>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941747"/>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941747"/>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941747"/>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6544C4"/>
    <w:pPr>
      <w:spacing w:before="200"/>
      <w:outlineLvl w:val="4"/>
    </w:pPr>
    <w:rPr>
      <w:rFonts w:asciiTheme="majorHAnsi" w:eastAsiaTheme="majorEastAsia" w:hAnsiTheme="majorHAnsi" w:cstheme="majorBidi"/>
      <w:b/>
      <w:bCs/>
      <w:color w:val="808080"/>
      <w:sz w:val="22"/>
    </w:rPr>
  </w:style>
  <w:style w:type="paragraph" w:styleId="Heading6">
    <w:name w:val="heading 6"/>
    <w:basedOn w:val="Normal"/>
    <w:next w:val="Normal"/>
    <w:link w:val="Heading6Char"/>
    <w:uiPriority w:val="99"/>
    <w:semiHidden/>
    <w:rsid w:val="0094174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6544C4"/>
    <w:pPr>
      <w:outlineLvl w:val="6"/>
    </w:pPr>
    <w:rPr>
      <w:rFonts w:asciiTheme="majorHAnsi" w:eastAsiaTheme="majorEastAsia" w:hAnsiTheme="majorHAnsi" w:cstheme="majorBidi"/>
      <w:i/>
      <w:iCs/>
      <w:sz w:val="22"/>
      <w:lang w:bidi="en-US"/>
    </w:rPr>
  </w:style>
  <w:style w:type="paragraph" w:styleId="Heading8">
    <w:name w:val="heading 8"/>
    <w:basedOn w:val="Normal"/>
    <w:next w:val="Normal"/>
    <w:link w:val="Heading8Char"/>
    <w:uiPriority w:val="99"/>
    <w:semiHidden/>
    <w:qFormat/>
    <w:rsid w:val="006544C4"/>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6544C4"/>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941747"/>
    <w:rPr>
      <w:rFonts w:ascii="Tahoma" w:hAnsi="Tahoma" w:cs="Tahoma"/>
      <w:sz w:val="16"/>
      <w:szCs w:val="16"/>
    </w:rPr>
  </w:style>
  <w:style w:type="character" w:customStyle="1" w:styleId="BalloonTextChar">
    <w:name w:val="Balloon Text Char"/>
    <w:basedOn w:val="DefaultParagraphFont"/>
    <w:link w:val="BalloonText"/>
    <w:uiPriority w:val="99"/>
    <w:semiHidden/>
    <w:rsid w:val="00A671F8"/>
    <w:rPr>
      <w:rFonts w:ascii="Tahoma" w:eastAsiaTheme="minorEastAsia" w:hAnsi="Tahoma" w:cs="Tahoma"/>
      <w:sz w:val="16"/>
      <w:szCs w:val="16"/>
    </w:rPr>
  </w:style>
  <w:style w:type="character" w:styleId="BookTitle">
    <w:name w:val="Book Title"/>
    <w:uiPriority w:val="99"/>
    <w:semiHidden/>
    <w:qFormat/>
    <w:rsid w:val="006544C4"/>
    <w:rPr>
      <w:i/>
      <w:iCs/>
      <w:smallCaps/>
      <w:spacing w:val="5"/>
    </w:rPr>
  </w:style>
  <w:style w:type="paragraph" w:customStyle="1" w:styleId="ECHRHeader">
    <w:name w:val="ECHR_Header"/>
    <w:aliases w:val="Ju_Header"/>
    <w:basedOn w:val="Header"/>
    <w:uiPriority w:val="4"/>
    <w:qFormat/>
    <w:rsid w:val="006544C4"/>
    <w:pPr>
      <w:tabs>
        <w:tab w:val="clear" w:pos="4536"/>
        <w:tab w:val="clear" w:pos="9696"/>
        <w:tab w:val="center" w:pos="3686"/>
        <w:tab w:val="right" w:pos="7371"/>
      </w:tabs>
      <w:ind w:left="0" w:right="0"/>
      <w:jc w:val="left"/>
    </w:pPr>
    <w:rPr>
      <w:rFonts w:eastAsiaTheme="minorHAnsi"/>
      <w:sz w:val="18"/>
    </w:rPr>
  </w:style>
  <w:style w:type="paragraph" w:customStyle="1" w:styleId="JuAppQuestion">
    <w:name w:val="Ju_App_Question"/>
    <w:basedOn w:val="Normal"/>
    <w:uiPriority w:val="5"/>
    <w:qFormat/>
    <w:rsid w:val="006544C4"/>
    <w:pPr>
      <w:numPr>
        <w:numId w:val="11"/>
      </w:numPr>
      <w:jc w:val="left"/>
    </w:pPr>
    <w:rPr>
      <w:b/>
    </w:rPr>
  </w:style>
  <w:style w:type="character" w:styleId="Strong">
    <w:name w:val="Strong"/>
    <w:uiPriority w:val="99"/>
    <w:semiHidden/>
    <w:qFormat/>
    <w:rsid w:val="006544C4"/>
    <w:rPr>
      <w:b/>
      <w:bCs/>
    </w:rPr>
  </w:style>
  <w:style w:type="paragraph" w:styleId="NoSpacing">
    <w:name w:val="No Spacing"/>
    <w:basedOn w:val="Normal"/>
    <w:link w:val="NoSpacingChar"/>
    <w:semiHidden/>
    <w:qFormat/>
    <w:rsid w:val="006544C4"/>
    <w:rPr>
      <w:sz w:val="22"/>
    </w:rPr>
  </w:style>
  <w:style w:type="character" w:customStyle="1" w:styleId="NoSpacingChar">
    <w:name w:val="No Spacing Char"/>
    <w:basedOn w:val="DefaultParagraphFont"/>
    <w:link w:val="NoSpacing"/>
    <w:semiHidden/>
    <w:rsid w:val="006544C4"/>
    <w:rPr>
      <w:rFonts w:eastAsiaTheme="minorEastAsia"/>
    </w:rPr>
  </w:style>
  <w:style w:type="paragraph" w:customStyle="1" w:styleId="OpiPara">
    <w:name w:val="Opi_Para"/>
    <w:basedOn w:val="Normal"/>
    <w:uiPriority w:val="46"/>
    <w:semiHidden/>
    <w:qFormat/>
    <w:rsid w:val="004047FE"/>
    <w:pPr>
      <w:ind w:firstLine="284"/>
    </w:pPr>
  </w:style>
  <w:style w:type="paragraph" w:customStyle="1" w:styleId="ECHRParaQuote">
    <w:name w:val="ECHR_Para_Quote"/>
    <w:aliases w:val="Ju_Quot,Para_Quote"/>
    <w:basedOn w:val="Normal"/>
    <w:qFormat/>
    <w:rsid w:val="006544C4"/>
    <w:pPr>
      <w:spacing w:before="120" w:after="120"/>
      <w:ind w:left="425" w:firstLine="142"/>
    </w:pPr>
    <w:rPr>
      <w:sz w:val="20"/>
    </w:rPr>
  </w:style>
  <w:style w:type="paragraph" w:customStyle="1" w:styleId="JuParaSub">
    <w:name w:val="Ju_Para_Sub"/>
    <w:basedOn w:val="Normal"/>
    <w:uiPriority w:val="13"/>
    <w:qFormat/>
    <w:rsid w:val="004047FE"/>
    <w:pPr>
      <w:ind w:left="284" w:firstLine="284"/>
    </w:pPr>
  </w:style>
  <w:style w:type="paragraph" w:customStyle="1" w:styleId="OpiParaSub">
    <w:name w:val="Opi_Para_Sub"/>
    <w:basedOn w:val="JuParaSub"/>
    <w:uiPriority w:val="47"/>
    <w:semiHidden/>
    <w:qFormat/>
    <w:rsid w:val="006544C4"/>
  </w:style>
  <w:style w:type="paragraph" w:customStyle="1" w:styleId="OpiQuot">
    <w:name w:val="Opi_Quot"/>
    <w:basedOn w:val="ECHRParaQuote"/>
    <w:qFormat/>
    <w:rsid w:val="006544C4"/>
  </w:style>
  <w:style w:type="paragraph" w:customStyle="1" w:styleId="OpiQuotSub">
    <w:name w:val="Opi_Quot_Sub"/>
    <w:basedOn w:val="JuQuotSub"/>
    <w:uiPriority w:val="49"/>
    <w:semiHidden/>
    <w:qFormat/>
    <w:rsid w:val="006544C4"/>
  </w:style>
  <w:style w:type="paragraph" w:customStyle="1" w:styleId="ECHRTitleCentre3">
    <w:name w:val="ECHR_Title_Centre_3"/>
    <w:aliases w:val="Ju_H_Article"/>
    <w:basedOn w:val="Normal"/>
    <w:next w:val="ECHRParaQuote"/>
    <w:qFormat/>
    <w:rsid w:val="006544C4"/>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semiHidden/>
    <w:qFormat/>
    <w:rsid w:val="006544C4"/>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6544C4"/>
    <w:pPr>
      <w:ind w:left="567"/>
    </w:pPr>
  </w:style>
  <w:style w:type="paragraph" w:customStyle="1" w:styleId="ECHRTitle1">
    <w:name w:val="ECHR_Title_1"/>
    <w:aliases w:val="Ju_H_Head"/>
    <w:basedOn w:val="Normal"/>
    <w:next w:val="Normal"/>
    <w:uiPriority w:val="18"/>
    <w:qFormat/>
    <w:rsid w:val="006544C4"/>
    <w:pPr>
      <w:keepNext/>
      <w:keepLines/>
      <w:spacing w:before="720" w:after="240"/>
      <w:outlineLvl w:val="0"/>
    </w:pPr>
    <w:rPr>
      <w:rFonts w:asciiTheme="majorHAnsi" w:hAnsiTheme="majorHAnsi"/>
      <w:sz w:val="28"/>
    </w:rPr>
  </w:style>
  <w:style w:type="paragraph" w:customStyle="1" w:styleId="JuInitialled">
    <w:name w:val="Ju_Initialled"/>
    <w:basedOn w:val="Normal"/>
    <w:uiPriority w:val="31"/>
    <w:qFormat/>
    <w:rsid w:val="006544C4"/>
    <w:pPr>
      <w:tabs>
        <w:tab w:val="center" w:pos="6407"/>
      </w:tabs>
      <w:spacing w:before="720"/>
      <w:jc w:val="right"/>
    </w:pPr>
  </w:style>
  <w:style w:type="paragraph" w:styleId="Title">
    <w:name w:val="Title"/>
    <w:basedOn w:val="Normal"/>
    <w:next w:val="Normal"/>
    <w:link w:val="TitleChar"/>
    <w:uiPriority w:val="99"/>
    <w:semiHidden/>
    <w:qFormat/>
    <w:rsid w:val="006544C4"/>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6544C4"/>
    <w:rPr>
      <w:rFonts w:asciiTheme="majorHAnsi" w:eastAsiaTheme="majorEastAsia" w:hAnsiTheme="majorHAnsi" w:cstheme="majorBidi"/>
      <w:spacing w:val="5"/>
      <w:sz w:val="52"/>
      <w:szCs w:val="52"/>
      <w:lang w:bidi="en-US"/>
    </w:rPr>
  </w:style>
  <w:style w:type="paragraph" w:customStyle="1" w:styleId="OpiHA">
    <w:name w:val="Opi_H_A"/>
    <w:basedOn w:val="ECHRHeading1"/>
    <w:next w:val="OpiPara"/>
    <w:uiPriority w:val="41"/>
    <w:semiHidden/>
    <w:qFormat/>
    <w:rsid w:val="006544C4"/>
    <w:pPr>
      <w:tabs>
        <w:tab w:val="clear" w:pos="357"/>
      </w:tabs>
      <w:outlineLvl w:val="1"/>
    </w:pPr>
    <w:rPr>
      <w:b/>
    </w:rPr>
  </w:style>
  <w:style w:type="character" w:customStyle="1" w:styleId="JUNAMES">
    <w:name w:val="JU_NAMES"/>
    <w:uiPriority w:val="17"/>
    <w:qFormat/>
    <w:rsid w:val="006544C4"/>
    <w:rPr>
      <w:caps w:val="0"/>
      <w:smallCaps/>
    </w:rPr>
  </w:style>
  <w:style w:type="character" w:customStyle="1" w:styleId="JuITMark">
    <w:name w:val="Ju_ITMark"/>
    <w:basedOn w:val="DefaultParagraphFont"/>
    <w:uiPriority w:val="38"/>
    <w:qFormat/>
    <w:rsid w:val="006544C4"/>
    <w:rPr>
      <w:vanish/>
      <w:color w:val="339966"/>
      <w:sz w:val="14"/>
    </w:rPr>
  </w:style>
  <w:style w:type="paragraph" w:customStyle="1" w:styleId="OpiTranslation">
    <w:name w:val="Opi_Translation"/>
    <w:basedOn w:val="Normal"/>
    <w:next w:val="OpiPara"/>
    <w:uiPriority w:val="40"/>
    <w:semiHidden/>
    <w:qFormat/>
    <w:rsid w:val="006544C4"/>
    <w:pPr>
      <w:jc w:val="center"/>
      <w:outlineLvl w:val="0"/>
    </w:pPr>
    <w:rPr>
      <w:i/>
    </w:rPr>
  </w:style>
  <w:style w:type="paragraph" w:customStyle="1" w:styleId="JuCourt">
    <w:name w:val="Ju_Court"/>
    <w:basedOn w:val="Normal"/>
    <w:next w:val="Normal"/>
    <w:uiPriority w:val="16"/>
    <w:qFormat/>
    <w:rsid w:val="006544C4"/>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Heading1"/>
    <w:next w:val="Normal"/>
    <w:uiPriority w:val="19"/>
    <w:qFormat/>
    <w:rsid w:val="006544C4"/>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Head_2"/>
    <w:basedOn w:val="Heading2"/>
    <w:next w:val="Normal"/>
    <w:uiPriority w:val="20"/>
    <w:qFormat/>
    <w:rsid w:val="006544C4"/>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Heading3"/>
    <w:next w:val="Normal"/>
    <w:uiPriority w:val="21"/>
    <w:qFormat/>
    <w:rsid w:val="006544C4"/>
    <w:pPr>
      <w:keepNext/>
      <w:keepLines/>
      <w:tabs>
        <w:tab w:val="left" w:pos="731"/>
      </w:tabs>
      <w:spacing w:before="240" w:after="120" w:line="240" w:lineRule="auto"/>
      <w:ind w:left="732" w:hanging="301"/>
    </w:pPr>
    <w:rPr>
      <w:b w:val="0"/>
      <w:i/>
      <w:color w:val="auto"/>
    </w:rPr>
  </w:style>
  <w:style w:type="paragraph" w:styleId="Header">
    <w:name w:val="header"/>
    <w:basedOn w:val="Normal"/>
    <w:link w:val="HeaderChar"/>
    <w:uiPriority w:val="99"/>
    <w:semiHidden/>
    <w:rsid w:val="00941747"/>
    <w:pPr>
      <w:tabs>
        <w:tab w:val="center" w:pos="4536"/>
        <w:tab w:val="right" w:pos="9696"/>
      </w:tabs>
      <w:ind w:left="-680" w:right="-680"/>
    </w:pPr>
  </w:style>
  <w:style w:type="character" w:customStyle="1" w:styleId="HeaderChar">
    <w:name w:val="Header Char"/>
    <w:basedOn w:val="DefaultParagraphFont"/>
    <w:link w:val="Header"/>
    <w:uiPriority w:val="57"/>
    <w:semiHidden/>
    <w:rsid w:val="008D4752"/>
  </w:style>
  <w:style w:type="character" w:customStyle="1" w:styleId="Heading1Char">
    <w:name w:val="Heading 1 Char"/>
    <w:basedOn w:val="DefaultParagraphFont"/>
    <w:link w:val="Heading1"/>
    <w:uiPriority w:val="99"/>
    <w:semiHidden/>
    <w:rsid w:val="00A671F8"/>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Heading4"/>
    <w:next w:val="Normal"/>
    <w:uiPriority w:val="22"/>
    <w:qFormat/>
    <w:rsid w:val="006544C4"/>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Normal"/>
    <w:uiPriority w:val="23"/>
    <w:qFormat/>
    <w:rsid w:val="006544C4"/>
    <w:pPr>
      <w:keepNext/>
      <w:keepLines/>
      <w:tabs>
        <w:tab w:val="left" w:pos="1191"/>
      </w:tabs>
      <w:spacing w:before="240" w:after="120"/>
      <w:ind w:left="1190" w:hanging="357"/>
    </w:pPr>
    <w:rPr>
      <w:b w:val="0"/>
      <w:i/>
      <w:color w:val="auto"/>
      <w:sz w:val="20"/>
    </w:rPr>
  </w:style>
  <w:style w:type="character" w:customStyle="1" w:styleId="Heading2Char">
    <w:name w:val="Heading 2 Char"/>
    <w:basedOn w:val="DefaultParagraphFont"/>
    <w:link w:val="Heading2"/>
    <w:uiPriority w:val="99"/>
    <w:semiHidden/>
    <w:rsid w:val="00A671F8"/>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Heading6"/>
    <w:next w:val="Normal"/>
    <w:uiPriority w:val="24"/>
    <w:qFormat/>
    <w:rsid w:val="006544C4"/>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Heading7"/>
    <w:next w:val="Normal"/>
    <w:uiPriority w:val="25"/>
    <w:qFormat/>
    <w:rsid w:val="006544C4"/>
    <w:pPr>
      <w:keepNext/>
      <w:keepLines/>
      <w:spacing w:before="240" w:after="120"/>
      <w:ind w:left="1236"/>
    </w:pPr>
    <w:rPr>
      <w:sz w:val="20"/>
    </w:rPr>
  </w:style>
  <w:style w:type="character" w:customStyle="1" w:styleId="Heading3Char">
    <w:name w:val="Heading 3 Char"/>
    <w:basedOn w:val="DefaultParagraphFont"/>
    <w:link w:val="Heading3"/>
    <w:uiPriority w:val="99"/>
    <w:semiHidden/>
    <w:rsid w:val="00A671F8"/>
    <w:rPr>
      <w:rFonts w:asciiTheme="majorHAnsi" w:eastAsiaTheme="majorEastAsia" w:hAnsiTheme="majorHAnsi" w:cstheme="majorBidi"/>
      <w:b/>
      <w:bCs/>
      <w:color w:val="5F5F5F"/>
    </w:rPr>
  </w:style>
  <w:style w:type="paragraph" w:customStyle="1" w:styleId="JuParaLast">
    <w:name w:val="Ju_Para_Last"/>
    <w:basedOn w:val="Normal"/>
    <w:next w:val="Normal"/>
    <w:uiPriority w:val="30"/>
    <w:qFormat/>
    <w:rsid w:val="006544C4"/>
    <w:pPr>
      <w:keepNext/>
      <w:keepLines/>
      <w:spacing w:before="240"/>
      <w:ind w:firstLine="284"/>
    </w:pPr>
  </w:style>
  <w:style w:type="paragraph" w:customStyle="1" w:styleId="DecList">
    <w:name w:val="Dec_List"/>
    <w:basedOn w:val="Normal"/>
    <w:uiPriority w:val="9"/>
    <w:qFormat/>
    <w:rsid w:val="006544C4"/>
    <w:pPr>
      <w:spacing w:before="240"/>
      <w:ind w:left="284"/>
    </w:pPr>
  </w:style>
  <w:style w:type="character" w:customStyle="1" w:styleId="Heading4Char">
    <w:name w:val="Heading 4 Char"/>
    <w:basedOn w:val="DefaultParagraphFont"/>
    <w:link w:val="Heading4"/>
    <w:uiPriority w:val="99"/>
    <w:semiHidden/>
    <w:rsid w:val="00A671F8"/>
    <w:rPr>
      <w:rFonts w:asciiTheme="majorHAnsi" w:eastAsiaTheme="majorEastAsia" w:hAnsiTheme="majorHAnsi" w:cstheme="majorBidi"/>
      <w:b/>
      <w:bCs/>
      <w:i/>
      <w:iCs/>
      <w:color w:val="777777"/>
    </w:rPr>
  </w:style>
  <w:style w:type="paragraph" w:customStyle="1" w:styleId="ECHRDecisionBody">
    <w:name w:val="ECHR_Decision_Body"/>
    <w:aliases w:val="Ju_Judges"/>
    <w:basedOn w:val="Normal"/>
    <w:uiPriority w:val="11"/>
    <w:qFormat/>
    <w:rsid w:val="006544C4"/>
    <w:pPr>
      <w:tabs>
        <w:tab w:val="left" w:pos="567"/>
        <w:tab w:val="left" w:pos="1134"/>
      </w:tabs>
      <w:jc w:val="left"/>
    </w:pPr>
  </w:style>
  <w:style w:type="character" w:customStyle="1" w:styleId="Heading5Char">
    <w:name w:val="Heading 5 Char"/>
    <w:basedOn w:val="DefaultParagraphFont"/>
    <w:link w:val="Heading5"/>
    <w:uiPriority w:val="99"/>
    <w:semiHidden/>
    <w:rsid w:val="006544C4"/>
    <w:rPr>
      <w:rFonts w:asciiTheme="majorHAnsi" w:eastAsiaTheme="majorEastAsia" w:hAnsiTheme="majorHAnsi" w:cstheme="majorBidi"/>
      <w:b/>
      <w:bCs/>
      <w:color w:val="808080"/>
    </w:rPr>
  </w:style>
  <w:style w:type="paragraph" w:customStyle="1" w:styleId="JuList">
    <w:name w:val="Ju_List"/>
    <w:basedOn w:val="Normal"/>
    <w:uiPriority w:val="28"/>
    <w:qFormat/>
    <w:rsid w:val="006544C4"/>
    <w:pPr>
      <w:ind w:left="340" w:hanging="340"/>
    </w:pPr>
  </w:style>
  <w:style w:type="paragraph" w:customStyle="1" w:styleId="JuLista">
    <w:name w:val="Ju_List_a"/>
    <w:basedOn w:val="JuList"/>
    <w:uiPriority w:val="28"/>
    <w:qFormat/>
    <w:rsid w:val="006544C4"/>
    <w:pPr>
      <w:ind w:left="346" w:firstLine="0"/>
    </w:pPr>
  </w:style>
  <w:style w:type="character" w:styleId="SubtleEmphasis">
    <w:name w:val="Subtle Emphasis"/>
    <w:uiPriority w:val="99"/>
    <w:semiHidden/>
    <w:qFormat/>
    <w:rsid w:val="006544C4"/>
    <w:rPr>
      <w:i/>
      <w:iCs/>
    </w:rPr>
  </w:style>
  <w:style w:type="paragraph" w:customStyle="1" w:styleId="JuListi">
    <w:name w:val="Ju_List_i"/>
    <w:basedOn w:val="Normal"/>
    <w:next w:val="JuLista"/>
    <w:uiPriority w:val="28"/>
    <w:qFormat/>
    <w:rsid w:val="006544C4"/>
    <w:pPr>
      <w:ind w:left="794"/>
    </w:p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1">
    <w:name w:val="Opi_H_1"/>
    <w:basedOn w:val="ECHRHeading2"/>
    <w:uiPriority w:val="42"/>
    <w:semiHidden/>
    <w:qFormat/>
    <w:rsid w:val="006544C4"/>
    <w:pPr>
      <w:ind w:left="635" w:hanging="357"/>
      <w:outlineLvl w:val="2"/>
    </w:pPr>
  </w:style>
  <w:style w:type="paragraph" w:customStyle="1" w:styleId="OpiHa0">
    <w:name w:val="Opi_H_a"/>
    <w:basedOn w:val="ECHRHeading3"/>
    <w:uiPriority w:val="43"/>
    <w:semiHidden/>
    <w:qFormat/>
    <w:rsid w:val="006544C4"/>
    <w:pPr>
      <w:ind w:left="833" w:hanging="357"/>
      <w:outlineLvl w:val="3"/>
    </w:pPr>
    <w:rPr>
      <w:b/>
      <w:i w:val="0"/>
      <w:sz w:val="20"/>
    </w:rPr>
  </w:style>
  <w:style w:type="paragraph" w:customStyle="1" w:styleId="ECHRTitleCentre2">
    <w:name w:val="ECHR_Title_Centre_2"/>
    <w:aliases w:val="Dec_H_Case"/>
    <w:basedOn w:val="Normal"/>
    <w:next w:val="Normal"/>
    <w:uiPriority w:val="8"/>
    <w:qFormat/>
    <w:rsid w:val="006544C4"/>
    <w:pPr>
      <w:spacing w:after="240"/>
      <w:jc w:val="center"/>
      <w:outlineLvl w:val="0"/>
    </w:pPr>
    <w:rPr>
      <w:rFonts w:asciiTheme="majorHAnsi" w:hAnsiTheme="majorHAnsi"/>
    </w:rPr>
  </w:style>
  <w:style w:type="character" w:styleId="Emphasis">
    <w:name w:val="Emphasis"/>
    <w:uiPriority w:val="99"/>
    <w:semiHidden/>
    <w:qFormat/>
    <w:rsid w:val="006544C4"/>
    <w:rPr>
      <w:b/>
      <w:bCs/>
      <w:i/>
      <w:iCs/>
      <w:spacing w:val="10"/>
      <w:bdr w:val="none" w:sz="0" w:space="0" w:color="auto"/>
      <w:shd w:val="clear" w:color="auto" w:fill="auto"/>
    </w:rPr>
  </w:style>
  <w:style w:type="paragraph" w:styleId="Footer">
    <w:name w:val="footer"/>
    <w:basedOn w:val="Normal"/>
    <w:link w:val="FooterChar"/>
    <w:uiPriority w:val="99"/>
    <w:semiHidden/>
    <w:rsid w:val="00941747"/>
    <w:pPr>
      <w:tabs>
        <w:tab w:val="center" w:pos="4536"/>
        <w:tab w:val="right" w:pos="9696"/>
      </w:tabs>
      <w:ind w:left="-680" w:right="-680"/>
    </w:pPr>
  </w:style>
  <w:style w:type="character" w:customStyle="1" w:styleId="FooterChar">
    <w:name w:val="Footer Char"/>
    <w:basedOn w:val="DefaultParagraphFont"/>
    <w:link w:val="Footer"/>
    <w:uiPriority w:val="57"/>
    <w:semiHidden/>
    <w:rsid w:val="008D4752"/>
  </w:style>
  <w:style w:type="character" w:styleId="FootnoteReference">
    <w:name w:val="footnote reference"/>
    <w:basedOn w:val="DefaultParagraphFont"/>
    <w:uiPriority w:val="99"/>
    <w:semiHidden/>
    <w:rsid w:val="00941747"/>
    <w:rPr>
      <w:vertAlign w:val="superscript"/>
    </w:rPr>
  </w:style>
  <w:style w:type="paragraph" w:styleId="FootnoteText">
    <w:name w:val="footnote text"/>
    <w:basedOn w:val="Normal"/>
    <w:link w:val="FootnoteTextChar"/>
    <w:uiPriority w:val="99"/>
    <w:semiHidden/>
    <w:rsid w:val="00941747"/>
    <w:rPr>
      <w:sz w:val="20"/>
      <w:szCs w:val="20"/>
    </w:rPr>
  </w:style>
  <w:style w:type="character" w:customStyle="1" w:styleId="FootnoteTextChar">
    <w:name w:val="Footnote Text Char"/>
    <w:basedOn w:val="DefaultParagraphFont"/>
    <w:link w:val="FootnoteText"/>
    <w:uiPriority w:val="99"/>
    <w:semiHidden/>
    <w:rsid w:val="00A671F8"/>
    <w:rPr>
      <w:rFonts w:eastAsiaTheme="minorEastAsia"/>
      <w:sz w:val="20"/>
      <w:szCs w:val="20"/>
    </w:rPr>
  </w:style>
  <w:style w:type="character" w:customStyle="1" w:styleId="Heading6Char">
    <w:name w:val="Heading 6 Char"/>
    <w:basedOn w:val="DefaultParagraphFont"/>
    <w:link w:val="Heading6"/>
    <w:uiPriority w:val="99"/>
    <w:semiHidden/>
    <w:rsid w:val="00A671F8"/>
    <w:rPr>
      <w:rFonts w:asciiTheme="majorHAnsi" w:eastAsiaTheme="majorEastAsia" w:hAnsiTheme="majorHAnsi" w:cstheme="majorBidi"/>
      <w:b/>
      <w:bCs/>
      <w:i/>
      <w:iCs/>
      <w:color w:val="7F7F7F" w:themeColor="text1" w:themeTint="80"/>
      <w:lang w:bidi="en-US"/>
    </w:rPr>
  </w:style>
  <w:style w:type="character" w:customStyle="1" w:styleId="Heading7Char">
    <w:name w:val="Heading 7 Char"/>
    <w:basedOn w:val="DefaultParagraphFont"/>
    <w:link w:val="Heading7"/>
    <w:uiPriority w:val="99"/>
    <w:semiHidden/>
    <w:rsid w:val="006544C4"/>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6544C4"/>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6544C4"/>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941747"/>
    <w:rPr>
      <w:color w:val="0072BC" w:themeColor="hyperlink"/>
      <w:u w:val="single"/>
    </w:rPr>
  </w:style>
  <w:style w:type="character" w:styleId="IntenseEmphasis">
    <w:name w:val="Intense Emphasis"/>
    <w:uiPriority w:val="99"/>
    <w:semiHidden/>
    <w:qFormat/>
    <w:rsid w:val="006544C4"/>
    <w:rPr>
      <w:b/>
      <w:bCs/>
    </w:rPr>
  </w:style>
  <w:style w:type="paragraph" w:styleId="IntenseQuote">
    <w:name w:val="Intense Quote"/>
    <w:basedOn w:val="Normal"/>
    <w:next w:val="Normal"/>
    <w:link w:val="IntenseQuoteChar"/>
    <w:uiPriority w:val="99"/>
    <w:semiHidden/>
    <w:qFormat/>
    <w:rsid w:val="006544C4"/>
    <w:pPr>
      <w:pBdr>
        <w:bottom w:val="single" w:sz="4" w:space="1" w:color="auto"/>
      </w:pBdr>
      <w:spacing w:before="200" w:after="280"/>
      <w:ind w:left="1008" w:right="1152"/>
    </w:pPr>
    <w:rPr>
      <w:b/>
      <w:bCs/>
      <w:i/>
      <w:iCs/>
      <w:sz w:val="22"/>
      <w:lang w:bidi="en-US"/>
    </w:rPr>
  </w:style>
  <w:style w:type="character" w:customStyle="1" w:styleId="IntenseQuoteChar">
    <w:name w:val="Intense Quote Char"/>
    <w:basedOn w:val="DefaultParagraphFont"/>
    <w:link w:val="IntenseQuote"/>
    <w:uiPriority w:val="99"/>
    <w:semiHidden/>
    <w:rsid w:val="006544C4"/>
    <w:rPr>
      <w:rFonts w:eastAsiaTheme="minorEastAsia"/>
      <w:b/>
      <w:bCs/>
      <w:i/>
      <w:iCs/>
      <w:lang w:bidi="en-US"/>
    </w:rPr>
  </w:style>
  <w:style w:type="character" w:styleId="IntenseReference">
    <w:name w:val="Intense Reference"/>
    <w:uiPriority w:val="99"/>
    <w:semiHidden/>
    <w:qFormat/>
    <w:rsid w:val="006544C4"/>
    <w:rPr>
      <w:smallCaps/>
      <w:spacing w:val="5"/>
      <w:u w:val="single"/>
    </w:rPr>
  </w:style>
  <w:style w:type="paragraph" w:styleId="ListParagraph">
    <w:name w:val="List Paragraph"/>
    <w:basedOn w:val="Normal"/>
    <w:uiPriority w:val="99"/>
    <w:semiHidden/>
    <w:qFormat/>
    <w:rsid w:val="006544C4"/>
    <w:pPr>
      <w:ind w:left="720"/>
      <w:contextualSpacing/>
    </w:pPr>
  </w:style>
  <w:style w:type="table" w:customStyle="1" w:styleId="LtrTableAddress">
    <w:name w:val="Ltr_Table_Address"/>
    <w:basedOn w:val="TableNormal"/>
    <w:uiPriority w:val="99"/>
    <w:rsid w:val="001E6F32"/>
    <w:tblPr>
      <w:tblInd w:w="5103" w:type="dxa"/>
      <w:tblCellMar>
        <w:top w:w="0" w:type="dxa"/>
        <w:left w:w="108" w:type="dxa"/>
        <w:bottom w:w="0" w:type="dxa"/>
        <w:right w:w="108" w:type="dxa"/>
      </w:tblCellMar>
    </w:tblPr>
  </w:style>
  <w:style w:type="paragraph" w:styleId="Quote">
    <w:name w:val="Quote"/>
    <w:basedOn w:val="Normal"/>
    <w:next w:val="Normal"/>
    <w:link w:val="QuoteChar"/>
    <w:uiPriority w:val="99"/>
    <w:semiHidden/>
    <w:qFormat/>
    <w:rsid w:val="006544C4"/>
    <w:pPr>
      <w:spacing w:before="200"/>
      <w:ind w:left="360" w:right="360"/>
    </w:pPr>
    <w:rPr>
      <w:i/>
      <w:iCs/>
      <w:sz w:val="22"/>
      <w:lang w:bidi="en-US"/>
    </w:rPr>
  </w:style>
  <w:style w:type="character" w:customStyle="1" w:styleId="QuoteChar">
    <w:name w:val="Quote Char"/>
    <w:basedOn w:val="DefaultParagraphFont"/>
    <w:link w:val="Quote"/>
    <w:uiPriority w:val="99"/>
    <w:semiHidden/>
    <w:rsid w:val="006544C4"/>
    <w:rPr>
      <w:rFonts w:eastAsiaTheme="minorEastAsia"/>
      <w:i/>
      <w:iCs/>
      <w:lang w:bidi="en-US"/>
    </w:rPr>
  </w:style>
  <w:style w:type="character" w:styleId="SubtleReference">
    <w:name w:val="Subtle Reference"/>
    <w:uiPriority w:val="99"/>
    <w:semiHidden/>
    <w:qFormat/>
    <w:rsid w:val="006544C4"/>
    <w:rPr>
      <w:smallCaps/>
    </w:rPr>
  </w:style>
  <w:style w:type="table" w:styleId="TableGrid">
    <w:name w:val="Table Grid"/>
    <w:basedOn w:val="TableNormal"/>
    <w:uiPriority w:val="99"/>
    <w:semiHidden/>
    <w:rsid w:val="00941747"/>
    <w:rPr>
      <w:rFonts w:eastAsiaTheme="minorEastAsia"/>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next w:val="Normal"/>
    <w:autoRedefine/>
    <w:uiPriority w:val="99"/>
    <w:semiHidden/>
    <w:rsid w:val="00EA185E"/>
    <w:pPr>
      <w:spacing w:before="120" w:after="60"/>
      <w:ind w:left="340" w:right="340" w:hanging="340"/>
    </w:pPr>
    <w:rPr>
      <w:color w:val="0D0D0D" w:themeColor="text1" w:themeTint="F2"/>
    </w:rPr>
  </w:style>
  <w:style w:type="paragraph" w:styleId="TOC2">
    <w:name w:val="toc 2"/>
    <w:basedOn w:val="Normal"/>
    <w:next w:val="Normal"/>
    <w:autoRedefine/>
    <w:uiPriority w:val="99"/>
    <w:semiHidden/>
    <w:rsid w:val="00EA185E"/>
    <w:pPr>
      <w:spacing w:after="60"/>
      <w:ind w:left="680" w:right="340" w:hanging="340"/>
    </w:pPr>
  </w:style>
  <w:style w:type="paragraph" w:styleId="TOC3">
    <w:name w:val="toc 3"/>
    <w:basedOn w:val="Normal"/>
    <w:next w:val="Normal"/>
    <w:autoRedefine/>
    <w:uiPriority w:val="99"/>
    <w:semiHidden/>
    <w:rsid w:val="00EA185E"/>
    <w:pPr>
      <w:spacing w:after="60"/>
      <w:ind w:left="1020" w:right="340" w:hanging="340"/>
    </w:pPr>
  </w:style>
  <w:style w:type="paragraph" w:styleId="TOC4">
    <w:name w:val="toc 4"/>
    <w:basedOn w:val="Normal"/>
    <w:next w:val="Normal"/>
    <w:autoRedefine/>
    <w:uiPriority w:val="99"/>
    <w:semiHidden/>
    <w:rsid w:val="00EA185E"/>
    <w:pPr>
      <w:tabs>
        <w:tab w:val="right" w:leader="dot" w:pos="9017"/>
      </w:tabs>
      <w:spacing w:after="60"/>
      <w:ind w:left="1361" w:right="340" w:hanging="340"/>
    </w:pPr>
  </w:style>
  <w:style w:type="paragraph" w:styleId="TOC5">
    <w:name w:val="toc 5"/>
    <w:basedOn w:val="Normal"/>
    <w:next w:val="Normal"/>
    <w:autoRedefine/>
    <w:uiPriority w:val="99"/>
    <w:semiHidden/>
    <w:rsid w:val="00B46543"/>
    <w:pPr>
      <w:spacing w:after="60"/>
      <w:ind w:left="1701" w:right="340" w:hanging="340"/>
    </w:pPr>
  </w:style>
  <w:style w:type="paragraph" w:styleId="TOCHeading">
    <w:name w:val="TOC Heading"/>
    <w:basedOn w:val="Heading1"/>
    <w:next w:val="Normal"/>
    <w:uiPriority w:val="99"/>
    <w:semiHidden/>
    <w:qFormat/>
    <w:rsid w:val="006544C4"/>
    <w:pPr>
      <w:outlineLvl w:val="9"/>
    </w:pPr>
    <w:rPr>
      <w:color w:val="474747" w:themeColor="accent3" w:themeShade="BF"/>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bottom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Ind w:w="0"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TableNormal"/>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C333A0"/>
    <w:pPr>
      <w:spacing w:before="120"/>
    </w:pPr>
    <w:rPr>
      <w:rFonts w:asciiTheme="majorHAnsi" w:eastAsiaTheme="majorEastAsia" w:hAnsiTheme="majorHAnsi" w:cstheme="majorBidi"/>
      <w:b/>
      <w:bCs/>
      <w:color w:val="474747" w:themeColor="accent3" w:themeShade="BF"/>
      <w:szCs w:val="24"/>
    </w:rPr>
  </w:style>
  <w:style w:type="paragraph" w:customStyle="1" w:styleId="OpiHi">
    <w:name w:val="Opi_H_i"/>
    <w:basedOn w:val="ECHRHeading4"/>
    <w:uiPriority w:val="44"/>
    <w:semiHidden/>
    <w:qFormat/>
    <w:rsid w:val="006544C4"/>
    <w:pPr>
      <w:ind w:left="1037" w:hanging="357"/>
      <w:outlineLvl w:val="4"/>
    </w:pPr>
    <w:rPr>
      <w:b w:val="0"/>
      <w:i/>
    </w:rPr>
  </w:style>
  <w:style w:type="paragraph" w:customStyle="1" w:styleId="DummyStyle">
    <w:name w:val="Dummy_Style"/>
    <w:basedOn w:val="Normal"/>
    <w:semiHidden/>
    <w:qFormat/>
    <w:rsid w:val="006544C4"/>
    <w:rPr>
      <w:color w:val="00B050"/>
      <w:lang w:bidi="en-US"/>
    </w:rPr>
  </w:style>
  <w:style w:type="paragraph" w:styleId="Subtitle">
    <w:name w:val="Subtitle"/>
    <w:basedOn w:val="Normal"/>
    <w:next w:val="Normal"/>
    <w:link w:val="SubtitleChar"/>
    <w:uiPriority w:val="99"/>
    <w:semiHidden/>
    <w:qFormat/>
    <w:rsid w:val="006544C4"/>
    <w:pPr>
      <w:spacing w:after="600"/>
    </w:pPr>
    <w:rPr>
      <w:rFonts w:asciiTheme="majorHAnsi" w:eastAsiaTheme="majorEastAsia" w:hAnsiTheme="majorHAnsi" w:cstheme="majorBidi"/>
      <w:i/>
      <w:iCs/>
      <w:spacing w:val="13"/>
      <w:szCs w:val="24"/>
      <w:lang w:bidi="en-US"/>
    </w:rPr>
  </w:style>
  <w:style w:type="paragraph" w:customStyle="1" w:styleId="ECHRPara">
    <w:name w:val="ECHR_Para"/>
    <w:aliases w:val="Ju_Para,Left,First line:  0 cm,Para"/>
    <w:basedOn w:val="Normal"/>
    <w:link w:val="ECHRParaChar"/>
    <w:uiPriority w:val="12"/>
    <w:qFormat/>
    <w:rsid w:val="004047FE"/>
    <w:pPr>
      <w:ind w:firstLine="284"/>
    </w:pPr>
  </w:style>
  <w:style w:type="character" w:customStyle="1" w:styleId="SubtitleChar">
    <w:name w:val="Subtitle Char"/>
    <w:basedOn w:val="DefaultParagraphFont"/>
    <w:link w:val="Subtitle"/>
    <w:uiPriority w:val="99"/>
    <w:semiHidden/>
    <w:rsid w:val="006544C4"/>
    <w:rPr>
      <w:rFonts w:asciiTheme="majorHAnsi" w:eastAsiaTheme="majorEastAsia" w:hAnsiTheme="majorHAnsi" w:cstheme="majorBidi"/>
      <w:i/>
      <w:iCs/>
      <w:spacing w:val="13"/>
      <w:sz w:val="24"/>
      <w:szCs w:val="24"/>
      <w:lang w:bidi="en-US"/>
    </w:rPr>
  </w:style>
  <w:style w:type="table" w:customStyle="1" w:styleId="ECHRTableSimpleBox">
    <w:name w:val="ECHR_Table_Simple_Box"/>
    <w:basedOn w:val="TableNormal"/>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TableNormal"/>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111111">
    <w:name w:val="Outline List 2"/>
    <w:basedOn w:val="NoList"/>
    <w:uiPriority w:val="99"/>
    <w:semiHidden/>
    <w:unhideWhenUsed/>
    <w:rsid w:val="006544C4"/>
    <w:pPr>
      <w:numPr>
        <w:numId w:val="12"/>
      </w:numPr>
    </w:p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520BAA"/>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numbering" w:styleId="1ai">
    <w:name w:val="Outline List 1"/>
    <w:basedOn w:val="NoList"/>
    <w:semiHidden/>
    <w:unhideWhenUsed/>
    <w:rsid w:val="006544C4"/>
    <w:pPr>
      <w:numPr>
        <w:numId w:val="13"/>
      </w:numPr>
    </w:pPr>
  </w:style>
  <w:style w:type="numbering" w:styleId="ArticleSection">
    <w:name w:val="Outline List 3"/>
    <w:basedOn w:val="NoList"/>
    <w:uiPriority w:val="99"/>
    <w:semiHidden/>
    <w:unhideWhenUsed/>
    <w:rsid w:val="006544C4"/>
    <w:pPr>
      <w:numPr>
        <w:numId w:val="14"/>
      </w:numPr>
    </w:p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paragraph" w:styleId="Bibliography">
    <w:name w:val="Bibliography"/>
    <w:basedOn w:val="Normal"/>
    <w:next w:val="Normal"/>
    <w:uiPriority w:val="99"/>
    <w:semiHidden/>
    <w:rsid w:val="006544C4"/>
  </w:style>
  <w:style w:type="paragraph" w:styleId="BlockText">
    <w:name w:val="Block Text"/>
    <w:basedOn w:val="Normal"/>
    <w:uiPriority w:val="99"/>
    <w:semiHidden/>
    <w:rsid w:val="006544C4"/>
    <w:pPr>
      <w:pBdr>
        <w:top w:val="single" w:sz="2" w:space="10" w:color="0072BC" w:themeColor="accent1" w:shadow="1"/>
        <w:left w:val="single" w:sz="2" w:space="10" w:color="0072BC" w:themeColor="accent1" w:shadow="1"/>
        <w:bottom w:val="single" w:sz="2" w:space="10" w:color="0072BC" w:themeColor="accent1" w:shadow="1"/>
        <w:right w:val="single" w:sz="2" w:space="10" w:color="0072BC" w:themeColor="accent1" w:shadow="1"/>
      </w:pBdr>
      <w:ind w:left="1152" w:right="1152"/>
    </w:pPr>
    <w:rPr>
      <w:i/>
      <w:iCs/>
      <w:color w:val="0072BC" w:themeColor="accent1"/>
    </w:rPr>
  </w:style>
  <w:style w:type="table" w:customStyle="1" w:styleId="ECHRTableOddBanded">
    <w:name w:val="ECHR_Table_Odd_Banded"/>
    <w:basedOn w:val="TableNormal"/>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
    <w:name w:val="Body Text"/>
    <w:basedOn w:val="Normal"/>
    <w:link w:val="BodyTextChar"/>
    <w:semiHidden/>
    <w:rsid w:val="006544C4"/>
    <w:pPr>
      <w:spacing w:after="120"/>
    </w:pPr>
  </w:style>
  <w:style w:type="table" w:customStyle="1" w:styleId="ECHRHeaderTableReduced">
    <w:name w:val="ECHR_Header_Table_Reduced"/>
    <w:basedOn w:val="TableNormal"/>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styleId="PageNumber">
    <w:name w:val="page number"/>
    <w:basedOn w:val="DefaultParagraphFont"/>
    <w:uiPriority w:val="99"/>
    <w:semiHidden/>
    <w:rsid w:val="006544C4"/>
    <w:rPr>
      <w:rFonts w:ascii="Times New Roman" w:hAnsi="Times New Roman" w:cs="Times New Roman"/>
      <w:sz w:val="18"/>
    </w:rPr>
  </w:style>
  <w:style w:type="character" w:styleId="CommentReference">
    <w:name w:val="annotation reference"/>
    <w:basedOn w:val="DefaultParagraphFont"/>
    <w:uiPriority w:val="99"/>
    <w:semiHidden/>
    <w:rsid w:val="006544C4"/>
    <w:rPr>
      <w:sz w:val="16"/>
    </w:rPr>
  </w:style>
  <w:style w:type="paragraph" w:styleId="CommentText">
    <w:name w:val="annotation text"/>
    <w:basedOn w:val="Normal"/>
    <w:link w:val="CommentTextChar"/>
    <w:semiHidden/>
    <w:rsid w:val="006544C4"/>
    <w:rPr>
      <w:sz w:val="20"/>
    </w:rPr>
  </w:style>
  <w:style w:type="character" w:customStyle="1" w:styleId="CommentTextChar">
    <w:name w:val="Comment Text Char"/>
    <w:basedOn w:val="DefaultParagraphFont"/>
    <w:link w:val="CommentText"/>
    <w:semiHidden/>
    <w:rsid w:val="006544C4"/>
    <w:rPr>
      <w:rFonts w:eastAsiaTheme="minorEastAsia"/>
      <w:sz w:val="20"/>
    </w:rPr>
  </w:style>
  <w:style w:type="paragraph" w:customStyle="1" w:styleId="JuSigned">
    <w:name w:val="Ju_Signed"/>
    <w:basedOn w:val="Normal"/>
    <w:next w:val="JuParaLast"/>
    <w:uiPriority w:val="32"/>
    <w:qFormat/>
    <w:rsid w:val="006544C4"/>
    <w:pPr>
      <w:tabs>
        <w:tab w:val="center" w:pos="851"/>
        <w:tab w:val="center" w:pos="6407"/>
      </w:tabs>
      <w:spacing w:before="720"/>
      <w:jc w:val="left"/>
    </w:pPr>
  </w:style>
  <w:style w:type="paragraph" w:customStyle="1" w:styleId="JuTitle">
    <w:name w:val="Ju_Title"/>
    <w:basedOn w:val="Normal"/>
    <w:next w:val="Normal"/>
    <w:uiPriority w:val="3"/>
    <w:qFormat/>
    <w:rsid w:val="006544C4"/>
    <w:pPr>
      <w:spacing w:before="720" w:after="240"/>
      <w:jc w:val="center"/>
      <w:outlineLvl w:val="0"/>
    </w:pPr>
    <w:rPr>
      <w:rFonts w:asciiTheme="majorHAnsi" w:hAnsiTheme="majorHAnsi"/>
      <w:b/>
      <w:caps/>
    </w:rPr>
  </w:style>
  <w:style w:type="paragraph" w:customStyle="1" w:styleId="DecHTitle">
    <w:name w:val="Dec_H_Title"/>
    <w:basedOn w:val="ECHRTitleCentre1"/>
    <w:uiPriority w:val="7"/>
    <w:qFormat/>
    <w:rsid w:val="006544C4"/>
  </w:style>
  <w:style w:type="paragraph" w:styleId="ListBullet2">
    <w:name w:val="List Bullet 2"/>
    <w:basedOn w:val="Normal"/>
    <w:uiPriority w:val="99"/>
    <w:semiHidden/>
    <w:rsid w:val="006544C4"/>
    <w:pPr>
      <w:numPr>
        <w:numId w:val="8"/>
      </w:numPr>
      <w:contextualSpacing/>
    </w:pPr>
  </w:style>
  <w:style w:type="paragraph" w:styleId="ListBullet3">
    <w:name w:val="List Bullet 3"/>
    <w:basedOn w:val="Normal"/>
    <w:semiHidden/>
    <w:rsid w:val="006544C4"/>
    <w:pPr>
      <w:numPr>
        <w:numId w:val="9"/>
      </w:numPr>
      <w:contextualSpacing/>
    </w:pPr>
  </w:style>
  <w:style w:type="character" w:customStyle="1" w:styleId="BodyTextChar">
    <w:name w:val="Body Text Char"/>
    <w:basedOn w:val="DefaultParagraphFont"/>
    <w:link w:val="BodyText"/>
    <w:semiHidden/>
    <w:rsid w:val="006544C4"/>
    <w:rPr>
      <w:rFonts w:eastAsiaTheme="minorEastAsia"/>
      <w:sz w:val="24"/>
    </w:rPr>
  </w:style>
  <w:style w:type="paragraph" w:styleId="BodyText2">
    <w:name w:val="Body Text 2"/>
    <w:basedOn w:val="Normal"/>
    <w:link w:val="BodyText2Char"/>
    <w:uiPriority w:val="99"/>
    <w:semiHidden/>
    <w:rsid w:val="006544C4"/>
    <w:pPr>
      <w:spacing w:after="120" w:line="480" w:lineRule="auto"/>
    </w:pPr>
  </w:style>
  <w:style w:type="character" w:customStyle="1" w:styleId="BodyText2Char">
    <w:name w:val="Body Text 2 Char"/>
    <w:basedOn w:val="DefaultParagraphFont"/>
    <w:link w:val="BodyText2"/>
    <w:uiPriority w:val="99"/>
    <w:semiHidden/>
    <w:rsid w:val="006544C4"/>
    <w:rPr>
      <w:rFonts w:eastAsiaTheme="minorEastAsia"/>
      <w:sz w:val="24"/>
    </w:rPr>
  </w:style>
  <w:style w:type="paragraph" w:styleId="BodyText3">
    <w:name w:val="Body Text 3"/>
    <w:basedOn w:val="Normal"/>
    <w:link w:val="BodyText3Char"/>
    <w:uiPriority w:val="99"/>
    <w:semiHidden/>
    <w:rsid w:val="006544C4"/>
    <w:pPr>
      <w:spacing w:after="120"/>
    </w:pPr>
    <w:rPr>
      <w:sz w:val="16"/>
      <w:szCs w:val="16"/>
    </w:rPr>
  </w:style>
  <w:style w:type="character" w:customStyle="1" w:styleId="BodyText3Char">
    <w:name w:val="Body Text 3 Char"/>
    <w:basedOn w:val="DefaultParagraphFont"/>
    <w:link w:val="BodyText3"/>
    <w:uiPriority w:val="99"/>
    <w:semiHidden/>
    <w:rsid w:val="006544C4"/>
    <w:rPr>
      <w:rFonts w:eastAsiaTheme="minorEastAsia"/>
      <w:sz w:val="16"/>
      <w:szCs w:val="16"/>
    </w:rPr>
  </w:style>
  <w:style w:type="paragraph" w:styleId="BodyTextFirstIndent">
    <w:name w:val="Body Text First Indent"/>
    <w:basedOn w:val="BodyText"/>
    <w:link w:val="BodyTextFirstIndentChar"/>
    <w:uiPriority w:val="99"/>
    <w:semiHidden/>
    <w:rsid w:val="006544C4"/>
    <w:pPr>
      <w:spacing w:after="0"/>
      <w:ind w:firstLine="360"/>
    </w:pPr>
  </w:style>
  <w:style w:type="character" w:customStyle="1" w:styleId="BodyTextFirstIndentChar">
    <w:name w:val="Body Text First Indent Char"/>
    <w:basedOn w:val="BodyTextChar"/>
    <w:link w:val="BodyTextFirstIndent"/>
    <w:uiPriority w:val="99"/>
    <w:semiHidden/>
    <w:rsid w:val="006544C4"/>
    <w:rPr>
      <w:rFonts w:eastAsiaTheme="minorEastAsia"/>
      <w:sz w:val="24"/>
    </w:rPr>
  </w:style>
  <w:style w:type="paragraph" w:styleId="BodyTextIndent">
    <w:name w:val="Body Text Indent"/>
    <w:basedOn w:val="Normal"/>
    <w:link w:val="BodyTextIndentChar"/>
    <w:uiPriority w:val="99"/>
    <w:semiHidden/>
    <w:rsid w:val="006544C4"/>
    <w:pPr>
      <w:spacing w:after="120"/>
      <w:ind w:left="283"/>
    </w:pPr>
  </w:style>
  <w:style w:type="character" w:customStyle="1" w:styleId="BodyTextIndentChar">
    <w:name w:val="Body Text Indent Char"/>
    <w:basedOn w:val="DefaultParagraphFont"/>
    <w:link w:val="BodyTextIndent"/>
    <w:uiPriority w:val="99"/>
    <w:semiHidden/>
    <w:rsid w:val="006544C4"/>
    <w:rPr>
      <w:rFonts w:eastAsiaTheme="minorEastAsia"/>
      <w:sz w:val="24"/>
    </w:rPr>
  </w:style>
  <w:style w:type="paragraph" w:styleId="BodyTextFirstIndent2">
    <w:name w:val="Body Text First Indent 2"/>
    <w:basedOn w:val="BodyTextIndent"/>
    <w:link w:val="BodyTextFirstIndent2Char"/>
    <w:semiHidden/>
    <w:rsid w:val="006544C4"/>
    <w:pPr>
      <w:spacing w:after="0"/>
      <w:ind w:left="360" w:firstLine="360"/>
    </w:pPr>
  </w:style>
  <w:style w:type="character" w:customStyle="1" w:styleId="BodyTextFirstIndent2Char">
    <w:name w:val="Body Text First Indent 2 Char"/>
    <w:basedOn w:val="BodyTextIndentChar"/>
    <w:link w:val="BodyTextFirstIndent2"/>
    <w:semiHidden/>
    <w:rsid w:val="006544C4"/>
    <w:rPr>
      <w:rFonts w:eastAsiaTheme="minorEastAsia"/>
      <w:sz w:val="24"/>
    </w:rPr>
  </w:style>
  <w:style w:type="paragraph" w:styleId="BodyTextIndent2">
    <w:name w:val="Body Text Indent 2"/>
    <w:basedOn w:val="Normal"/>
    <w:link w:val="BodyTextIndent2Char"/>
    <w:semiHidden/>
    <w:rsid w:val="006544C4"/>
    <w:pPr>
      <w:spacing w:after="120" w:line="480" w:lineRule="auto"/>
      <w:ind w:left="283"/>
    </w:pPr>
  </w:style>
  <w:style w:type="character" w:customStyle="1" w:styleId="BodyTextIndent2Char">
    <w:name w:val="Body Text Indent 2 Char"/>
    <w:basedOn w:val="DefaultParagraphFont"/>
    <w:link w:val="BodyTextIndent2"/>
    <w:semiHidden/>
    <w:rsid w:val="006544C4"/>
    <w:rPr>
      <w:rFonts w:eastAsiaTheme="minorEastAsia"/>
      <w:sz w:val="24"/>
    </w:rPr>
  </w:style>
  <w:style w:type="paragraph" w:styleId="BodyTextIndent3">
    <w:name w:val="Body Text Indent 3"/>
    <w:basedOn w:val="Normal"/>
    <w:link w:val="BodyTextIndent3Char"/>
    <w:uiPriority w:val="99"/>
    <w:semiHidden/>
    <w:rsid w:val="006544C4"/>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6544C4"/>
    <w:rPr>
      <w:rFonts w:eastAsiaTheme="minorEastAsia"/>
      <w:sz w:val="16"/>
      <w:szCs w:val="16"/>
    </w:rPr>
  </w:style>
  <w:style w:type="paragraph" w:styleId="Caption">
    <w:name w:val="caption"/>
    <w:basedOn w:val="Normal"/>
    <w:next w:val="Normal"/>
    <w:uiPriority w:val="99"/>
    <w:semiHidden/>
    <w:qFormat/>
    <w:rsid w:val="006544C4"/>
    <w:pPr>
      <w:spacing w:after="200"/>
    </w:pPr>
    <w:rPr>
      <w:b/>
      <w:bCs/>
      <w:color w:val="0072BC" w:themeColor="accent1"/>
      <w:sz w:val="18"/>
      <w:szCs w:val="18"/>
    </w:rPr>
  </w:style>
  <w:style w:type="paragraph" w:styleId="Closing">
    <w:name w:val="Closing"/>
    <w:basedOn w:val="Normal"/>
    <w:link w:val="ClosingChar"/>
    <w:uiPriority w:val="99"/>
    <w:semiHidden/>
    <w:rsid w:val="006544C4"/>
    <w:pPr>
      <w:ind w:left="4252"/>
    </w:pPr>
  </w:style>
  <w:style w:type="character" w:customStyle="1" w:styleId="ClosingChar">
    <w:name w:val="Closing Char"/>
    <w:basedOn w:val="DefaultParagraphFont"/>
    <w:link w:val="Closing"/>
    <w:uiPriority w:val="99"/>
    <w:semiHidden/>
    <w:rsid w:val="006544C4"/>
    <w:rPr>
      <w:rFonts w:eastAsiaTheme="minorEastAsia"/>
      <w:sz w:val="24"/>
    </w:rPr>
  </w:style>
  <w:style w:type="table" w:styleId="ColorfulGrid">
    <w:name w:val="Colorful Grid"/>
    <w:basedOn w:val="TableNormal"/>
    <w:uiPriority w:val="99"/>
    <w:semiHidden/>
    <w:rsid w:val="006544C4"/>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6544C4"/>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6544C4"/>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6544C4"/>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6544C4"/>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6544C4"/>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6544C4"/>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6544C4"/>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6544C4"/>
    <w:rPr>
      <w:color w:val="000000" w:themeColor="text1"/>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6544C4"/>
    <w:rPr>
      <w:color w:val="000000" w:themeColor="text1"/>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6544C4"/>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6544C4"/>
    <w:rPr>
      <w:color w:val="000000" w:themeColor="text1"/>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6544C4"/>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6544C4"/>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6544C4"/>
    <w:rPr>
      <w:color w:val="000000" w:themeColor="text1"/>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6544C4"/>
    <w:rPr>
      <w:color w:val="000000" w:themeColor="text1"/>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6544C4"/>
    <w:rPr>
      <w:color w:val="000000" w:themeColor="text1"/>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6544C4"/>
    <w:rPr>
      <w:color w:val="000000" w:themeColor="text1"/>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6544C4"/>
    <w:rPr>
      <w:color w:val="000000" w:themeColor="text1"/>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6544C4"/>
    <w:rPr>
      <w:color w:val="000000" w:themeColor="text1"/>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6544C4"/>
    <w:rPr>
      <w:color w:val="000000" w:themeColor="text1"/>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semiHidden/>
    <w:rsid w:val="006544C4"/>
    <w:rPr>
      <w:b/>
      <w:bCs/>
      <w:szCs w:val="20"/>
    </w:rPr>
  </w:style>
  <w:style w:type="character" w:customStyle="1" w:styleId="CommentSubjectChar">
    <w:name w:val="Comment Subject Char"/>
    <w:basedOn w:val="CommentTextChar"/>
    <w:link w:val="CommentSubject"/>
    <w:semiHidden/>
    <w:rsid w:val="006544C4"/>
    <w:rPr>
      <w:rFonts w:eastAsiaTheme="minorEastAsia"/>
      <w:b/>
      <w:bCs/>
      <w:sz w:val="20"/>
      <w:szCs w:val="20"/>
    </w:rPr>
  </w:style>
  <w:style w:type="table" w:styleId="DarkList">
    <w:name w:val="Dark List"/>
    <w:basedOn w:val="TableNormal"/>
    <w:uiPriority w:val="99"/>
    <w:semiHidden/>
    <w:rsid w:val="006544C4"/>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6544C4"/>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6544C4"/>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6544C4"/>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6544C4"/>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6544C4"/>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6544C4"/>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6544C4"/>
  </w:style>
  <w:style w:type="character" w:customStyle="1" w:styleId="DateChar">
    <w:name w:val="Date Char"/>
    <w:basedOn w:val="DefaultParagraphFont"/>
    <w:link w:val="Date"/>
    <w:uiPriority w:val="99"/>
    <w:semiHidden/>
    <w:rsid w:val="006544C4"/>
    <w:rPr>
      <w:rFonts w:eastAsiaTheme="minorEastAsia"/>
      <w:sz w:val="24"/>
    </w:rPr>
  </w:style>
  <w:style w:type="paragraph" w:styleId="DocumentMap">
    <w:name w:val="Document Map"/>
    <w:basedOn w:val="Normal"/>
    <w:link w:val="DocumentMapChar"/>
    <w:semiHidden/>
    <w:rsid w:val="006544C4"/>
    <w:rPr>
      <w:rFonts w:ascii="Tahoma" w:hAnsi="Tahoma" w:cs="Tahoma"/>
      <w:sz w:val="16"/>
      <w:szCs w:val="16"/>
    </w:rPr>
  </w:style>
  <w:style w:type="character" w:customStyle="1" w:styleId="DocumentMapChar">
    <w:name w:val="Document Map Char"/>
    <w:basedOn w:val="DefaultParagraphFont"/>
    <w:link w:val="DocumentMap"/>
    <w:semiHidden/>
    <w:rsid w:val="006544C4"/>
    <w:rPr>
      <w:rFonts w:ascii="Tahoma" w:eastAsiaTheme="minorEastAsia" w:hAnsi="Tahoma" w:cs="Tahoma"/>
      <w:sz w:val="16"/>
      <w:szCs w:val="16"/>
    </w:rPr>
  </w:style>
  <w:style w:type="paragraph" w:styleId="E-mailSignature">
    <w:name w:val="E-mail Signature"/>
    <w:basedOn w:val="Normal"/>
    <w:link w:val="E-mailSignatureChar"/>
    <w:uiPriority w:val="99"/>
    <w:semiHidden/>
    <w:rsid w:val="006544C4"/>
  </w:style>
  <w:style w:type="character" w:customStyle="1" w:styleId="E-mailSignatureChar">
    <w:name w:val="E-mail Signature Char"/>
    <w:basedOn w:val="DefaultParagraphFont"/>
    <w:link w:val="E-mailSignature"/>
    <w:uiPriority w:val="99"/>
    <w:semiHidden/>
    <w:rsid w:val="006544C4"/>
    <w:rPr>
      <w:rFonts w:eastAsiaTheme="minorEastAsia"/>
      <w:sz w:val="24"/>
    </w:rPr>
  </w:style>
  <w:style w:type="character" w:styleId="EndnoteReference">
    <w:name w:val="endnote reference"/>
    <w:basedOn w:val="DefaultParagraphFont"/>
    <w:semiHidden/>
    <w:rsid w:val="006544C4"/>
    <w:rPr>
      <w:vertAlign w:val="superscript"/>
    </w:rPr>
  </w:style>
  <w:style w:type="paragraph" w:styleId="EndnoteText">
    <w:name w:val="endnote text"/>
    <w:basedOn w:val="Normal"/>
    <w:link w:val="EndnoteTextChar"/>
    <w:uiPriority w:val="99"/>
    <w:semiHidden/>
    <w:rsid w:val="006544C4"/>
    <w:rPr>
      <w:sz w:val="20"/>
      <w:szCs w:val="20"/>
    </w:rPr>
  </w:style>
  <w:style w:type="character" w:customStyle="1" w:styleId="EndnoteTextChar">
    <w:name w:val="Endnote Text Char"/>
    <w:basedOn w:val="DefaultParagraphFont"/>
    <w:link w:val="EndnoteText"/>
    <w:uiPriority w:val="99"/>
    <w:semiHidden/>
    <w:rsid w:val="006544C4"/>
    <w:rPr>
      <w:rFonts w:eastAsiaTheme="minorEastAsia"/>
      <w:sz w:val="20"/>
      <w:szCs w:val="20"/>
    </w:rPr>
  </w:style>
  <w:style w:type="paragraph" w:styleId="EnvelopeAddress">
    <w:name w:val="envelope address"/>
    <w:basedOn w:val="Normal"/>
    <w:uiPriority w:val="99"/>
    <w:semiHidden/>
    <w:rsid w:val="006544C4"/>
    <w:pPr>
      <w:framePr w:w="7920" w:h="1980" w:hRule="exact" w:hSpace="180" w:wrap="auto" w:hAnchor="page" w:xAlign="center" w:yAlign="bottom"/>
      <w:ind w:left="2880"/>
    </w:pPr>
    <w:rPr>
      <w:rFonts w:asciiTheme="majorHAnsi" w:eastAsiaTheme="majorEastAsia" w:hAnsiTheme="majorHAnsi" w:cstheme="majorBidi"/>
      <w:szCs w:val="24"/>
    </w:rPr>
  </w:style>
  <w:style w:type="paragraph" w:styleId="EnvelopeReturn">
    <w:name w:val="envelope return"/>
    <w:basedOn w:val="Normal"/>
    <w:semiHidden/>
    <w:rsid w:val="006544C4"/>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6544C4"/>
    <w:rPr>
      <w:color w:val="7030A0" w:themeColor="followedHyperlink"/>
      <w:u w:val="single"/>
    </w:rPr>
  </w:style>
  <w:style w:type="character" w:styleId="HTMLAcronym">
    <w:name w:val="HTML Acronym"/>
    <w:basedOn w:val="DefaultParagraphFont"/>
    <w:uiPriority w:val="99"/>
    <w:semiHidden/>
    <w:rsid w:val="006544C4"/>
  </w:style>
  <w:style w:type="paragraph" w:styleId="HTMLAddress">
    <w:name w:val="HTML Address"/>
    <w:basedOn w:val="Normal"/>
    <w:link w:val="HTMLAddressChar"/>
    <w:semiHidden/>
    <w:rsid w:val="006544C4"/>
    <w:rPr>
      <w:i/>
      <w:iCs/>
    </w:rPr>
  </w:style>
  <w:style w:type="character" w:customStyle="1" w:styleId="HTMLAddressChar">
    <w:name w:val="HTML Address Char"/>
    <w:basedOn w:val="DefaultParagraphFont"/>
    <w:link w:val="HTMLAddress"/>
    <w:semiHidden/>
    <w:rsid w:val="006544C4"/>
    <w:rPr>
      <w:rFonts w:eastAsiaTheme="minorEastAsia"/>
      <w:i/>
      <w:iCs/>
      <w:sz w:val="24"/>
    </w:rPr>
  </w:style>
  <w:style w:type="character" w:styleId="HTMLCite">
    <w:name w:val="HTML Cite"/>
    <w:basedOn w:val="DefaultParagraphFont"/>
    <w:uiPriority w:val="99"/>
    <w:semiHidden/>
    <w:rsid w:val="006544C4"/>
    <w:rPr>
      <w:i/>
      <w:iCs/>
    </w:rPr>
  </w:style>
  <w:style w:type="character" w:styleId="HTMLCode">
    <w:name w:val="HTML Code"/>
    <w:basedOn w:val="DefaultParagraphFont"/>
    <w:uiPriority w:val="99"/>
    <w:semiHidden/>
    <w:rsid w:val="006544C4"/>
    <w:rPr>
      <w:rFonts w:ascii="Consolas" w:hAnsi="Consolas" w:cs="Consolas"/>
      <w:sz w:val="20"/>
      <w:szCs w:val="20"/>
    </w:rPr>
  </w:style>
  <w:style w:type="character" w:styleId="HTMLDefinition">
    <w:name w:val="HTML Definition"/>
    <w:basedOn w:val="DefaultParagraphFont"/>
    <w:uiPriority w:val="99"/>
    <w:semiHidden/>
    <w:rsid w:val="006544C4"/>
    <w:rPr>
      <w:i/>
      <w:iCs/>
    </w:rPr>
  </w:style>
  <w:style w:type="character" w:styleId="HTMLKeyboard">
    <w:name w:val="HTML Keyboard"/>
    <w:basedOn w:val="DefaultParagraphFont"/>
    <w:semiHidden/>
    <w:rsid w:val="006544C4"/>
    <w:rPr>
      <w:rFonts w:ascii="Consolas" w:hAnsi="Consolas" w:cs="Consolas"/>
      <w:sz w:val="20"/>
      <w:szCs w:val="20"/>
    </w:rPr>
  </w:style>
  <w:style w:type="paragraph" w:styleId="HTMLPreformatted">
    <w:name w:val="HTML Preformatted"/>
    <w:basedOn w:val="Normal"/>
    <w:link w:val="HTMLPreformattedChar"/>
    <w:uiPriority w:val="99"/>
    <w:semiHidden/>
    <w:rsid w:val="006544C4"/>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6544C4"/>
    <w:rPr>
      <w:rFonts w:ascii="Consolas" w:eastAsiaTheme="minorEastAsia" w:hAnsi="Consolas" w:cs="Consolas"/>
      <w:sz w:val="20"/>
      <w:szCs w:val="20"/>
    </w:rPr>
  </w:style>
  <w:style w:type="character" w:styleId="HTMLSample">
    <w:name w:val="HTML Sample"/>
    <w:basedOn w:val="DefaultParagraphFont"/>
    <w:semiHidden/>
    <w:rsid w:val="006544C4"/>
    <w:rPr>
      <w:rFonts w:ascii="Consolas" w:hAnsi="Consolas" w:cs="Consolas"/>
      <w:sz w:val="24"/>
      <w:szCs w:val="24"/>
    </w:rPr>
  </w:style>
  <w:style w:type="character" w:styleId="HTMLTypewriter">
    <w:name w:val="HTML Typewriter"/>
    <w:basedOn w:val="DefaultParagraphFont"/>
    <w:uiPriority w:val="99"/>
    <w:semiHidden/>
    <w:rsid w:val="006544C4"/>
    <w:rPr>
      <w:rFonts w:ascii="Consolas" w:hAnsi="Consolas" w:cs="Consolas"/>
      <w:sz w:val="20"/>
      <w:szCs w:val="20"/>
    </w:rPr>
  </w:style>
  <w:style w:type="character" w:styleId="HTMLVariable">
    <w:name w:val="HTML Variable"/>
    <w:basedOn w:val="DefaultParagraphFont"/>
    <w:semiHidden/>
    <w:rsid w:val="006544C4"/>
    <w:rPr>
      <w:i/>
      <w:iCs/>
    </w:rPr>
  </w:style>
  <w:style w:type="paragraph" w:styleId="Index1">
    <w:name w:val="index 1"/>
    <w:basedOn w:val="Normal"/>
    <w:next w:val="Normal"/>
    <w:autoRedefine/>
    <w:uiPriority w:val="99"/>
    <w:semiHidden/>
    <w:rsid w:val="006544C4"/>
    <w:pPr>
      <w:ind w:left="240" w:hanging="240"/>
    </w:pPr>
  </w:style>
  <w:style w:type="paragraph" w:styleId="Index2">
    <w:name w:val="index 2"/>
    <w:basedOn w:val="Normal"/>
    <w:next w:val="Normal"/>
    <w:autoRedefine/>
    <w:semiHidden/>
    <w:rsid w:val="006544C4"/>
    <w:pPr>
      <w:ind w:left="480" w:hanging="240"/>
    </w:pPr>
  </w:style>
  <w:style w:type="paragraph" w:styleId="Index3">
    <w:name w:val="index 3"/>
    <w:basedOn w:val="Normal"/>
    <w:next w:val="Normal"/>
    <w:autoRedefine/>
    <w:uiPriority w:val="99"/>
    <w:semiHidden/>
    <w:rsid w:val="006544C4"/>
    <w:pPr>
      <w:ind w:left="720" w:hanging="240"/>
    </w:pPr>
  </w:style>
  <w:style w:type="paragraph" w:styleId="Index4">
    <w:name w:val="index 4"/>
    <w:basedOn w:val="Normal"/>
    <w:next w:val="Normal"/>
    <w:autoRedefine/>
    <w:uiPriority w:val="99"/>
    <w:semiHidden/>
    <w:rsid w:val="006544C4"/>
    <w:pPr>
      <w:ind w:left="960" w:hanging="240"/>
    </w:pPr>
  </w:style>
  <w:style w:type="paragraph" w:styleId="Index5">
    <w:name w:val="index 5"/>
    <w:basedOn w:val="Normal"/>
    <w:next w:val="Normal"/>
    <w:autoRedefine/>
    <w:uiPriority w:val="99"/>
    <w:semiHidden/>
    <w:rsid w:val="006544C4"/>
    <w:pPr>
      <w:ind w:left="1200" w:hanging="240"/>
    </w:pPr>
  </w:style>
  <w:style w:type="paragraph" w:styleId="Index6">
    <w:name w:val="index 6"/>
    <w:basedOn w:val="Normal"/>
    <w:next w:val="Normal"/>
    <w:autoRedefine/>
    <w:semiHidden/>
    <w:rsid w:val="006544C4"/>
    <w:pPr>
      <w:ind w:left="1440" w:hanging="240"/>
    </w:pPr>
  </w:style>
  <w:style w:type="paragraph" w:styleId="Index7">
    <w:name w:val="index 7"/>
    <w:basedOn w:val="Normal"/>
    <w:next w:val="Normal"/>
    <w:autoRedefine/>
    <w:uiPriority w:val="99"/>
    <w:semiHidden/>
    <w:rsid w:val="006544C4"/>
    <w:pPr>
      <w:ind w:left="1680" w:hanging="240"/>
    </w:pPr>
  </w:style>
  <w:style w:type="paragraph" w:styleId="Index8">
    <w:name w:val="index 8"/>
    <w:basedOn w:val="Normal"/>
    <w:next w:val="Normal"/>
    <w:autoRedefine/>
    <w:semiHidden/>
    <w:rsid w:val="006544C4"/>
    <w:pPr>
      <w:ind w:left="1920" w:hanging="240"/>
    </w:pPr>
  </w:style>
  <w:style w:type="paragraph" w:styleId="Index9">
    <w:name w:val="index 9"/>
    <w:basedOn w:val="Normal"/>
    <w:next w:val="Normal"/>
    <w:autoRedefine/>
    <w:uiPriority w:val="99"/>
    <w:semiHidden/>
    <w:rsid w:val="006544C4"/>
    <w:pPr>
      <w:ind w:left="2160" w:hanging="240"/>
    </w:pPr>
  </w:style>
  <w:style w:type="paragraph" w:styleId="IndexHeading">
    <w:name w:val="index heading"/>
    <w:basedOn w:val="Normal"/>
    <w:next w:val="Index1"/>
    <w:semiHidden/>
    <w:rsid w:val="006544C4"/>
    <w:rPr>
      <w:rFonts w:asciiTheme="majorHAnsi" w:eastAsiaTheme="majorEastAsia" w:hAnsiTheme="majorHAnsi" w:cstheme="majorBidi"/>
      <w:b/>
      <w:bCs/>
    </w:rPr>
  </w:style>
  <w:style w:type="table" w:styleId="LightGrid">
    <w:name w:val="Light Grid"/>
    <w:basedOn w:val="TableNormal"/>
    <w:uiPriority w:val="99"/>
    <w:semiHidden/>
    <w:rsid w:val="006544C4"/>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6544C4"/>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6544C4"/>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6544C4"/>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6544C4"/>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6544C4"/>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6544C4"/>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6544C4"/>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6544C4"/>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6544C4"/>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6544C4"/>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6544C4"/>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6544C4"/>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6544C4"/>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6544C4"/>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6544C4"/>
    <w:rPr>
      <w:color w:val="00548C" w:themeColor="accent1" w:themeShade="BF"/>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6544C4"/>
    <w:rPr>
      <w:color w:val="8F0000" w:themeColor="accent2" w:themeShade="BF"/>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6544C4"/>
    <w:rPr>
      <w:color w:val="474747" w:themeColor="accent3" w:themeShade="BF"/>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6544C4"/>
    <w:rPr>
      <w:color w:val="707070" w:themeColor="accent4" w:themeShade="BF"/>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6544C4"/>
    <w:rPr>
      <w:color w:val="474747" w:themeColor="accent5" w:themeShade="BF"/>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6544C4"/>
    <w:rPr>
      <w:color w:val="393939" w:themeColor="accent6" w:themeShade="BF"/>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semiHidden/>
    <w:rsid w:val="006544C4"/>
  </w:style>
  <w:style w:type="paragraph" w:styleId="List">
    <w:name w:val="List"/>
    <w:basedOn w:val="Normal"/>
    <w:uiPriority w:val="99"/>
    <w:semiHidden/>
    <w:rsid w:val="006544C4"/>
    <w:pPr>
      <w:ind w:left="283" w:hanging="283"/>
      <w:contextualSpacing/>
    </w:pPr>
  </w:style>
  <w:style w:type="paragraph" w:styleId="List2">
    <w:name w:val="List 2"/>
    <w:basedOn w:val="Normal"/>
    <w:semiHidden/>
    <w:rsid w:val="006544C4"/>
    <w:pPr>
      <w:ind w:left="566" w:hanging="283"/>
      <w:contextualSpacing/>
    </w:pPr>
  </w:style>
  <w:style w:type="paragraph" w:styleId="List3">
    <w:name w:val="List 3"/>
    <w:basedOn w:val="Normal"/>
    <w:uiPriority w:val="99"/>
    <w:semiHidden/>
    <w:rsid w:val="006544C4"/>
    <w:pPr>
      <w:ind w:left="849" w:hanging="283"/>
      <w:contextualSpacing/>
    </w:pPr>
  </w:style>
  <w:style w:type="paragraph" w:styleId="List4">
    <w:name w:val="List 4"/>
    <w:basedOn w:val="Normal"/>
    <w:semiHidden/>
    <w:rsid w:val="006544C4"/>
    <w:pPr>
      <w:ind w:left="1132" w:hanging="283"/>
      <w:contextualSpacing/>
    </w:pPr>
  </w:style>
  <w:style w:type="paragraph" w:styleId="List5">
    <w:name w:val="List 5"/>
    <w:basedOn w:val="Normal"/>
    <w:uiPriority w:val="99"/>
    <w:semiHidden/>
    <w:rsid w:val="006544C4"/>
    <w:pPr>
      <w:ind w:left="1415" w:hanging="283"/>
      <w:contextualSpacing/>
    </w:pPr>
  </w:style>
  <w:style w:type="paragraph" w:styleId="ListBullet">
    <w:name w:val="List Bullet"/>
    <w:basedOn w:val="Normal"/>
    <w:uiPriority w:val="99"/>
    <w:semiHidden/>
    <w:rsid w:val="006544C4"/>
    <w:pPr>
      <w:numPr>
        <w:numId w:val="15"/>
      </w:numPr>
      <w:contextualSpacing/>
    </w:pPr>
  </w:style>
  <w:style w:type="paragraph" w:styleId="ListBullet4">
    <w:name w:val="List Bullet 4"/>
    <w:basedOn w:val="Normal"/>
    <w:uiPriority w:val="99"/>
    <w:semiHidden/>
    <w:rsid w:val="006544C4"/>
    <w:pPr>
      <w:numPr>
        <w:numId w:val="16"/>
      </w:numPr>
      <w:contextualSpacing/>
    </w:pPr>
  </w:style>
  <w:style w:type="paragraph" w:styleId="ListBullet5">
    <w:name w:val="List Bullet 5"/>
    <w:basedOn w:val="Normal"/>
    <w:semiHidden/>
    <w:rsid w:val="006544C4"/>
    <w:pPr>
      <w:numPr>
        <w:numId w:val="17"/>
      </w:numPr>
      <w:contextualSpacing/>
    </w:pPr>
  </w:style>
  <w:style w:type="paragraph" w:styleId="ListContinue">
    <w:name w:val="List Continue"/>
    <w:basedOn w:val="Normal"/>
    <w:uiPriority w:val="99"/>
    <w:semiHidden/>
    <w:rsid w:val="006544C4"/>
    <w:pPr>
      <w:spacing w:after="120"/>
      <w:ind w:left="283"/>
      <w:contextualSpacing/>
    </w:pPr>
  </w:style>
  <w:style w:type="paragraph" w:styleId="ListContinue2">
    <w:name w:val="List Continue 2"/>
    <w:basedOn w:val="Normal"/>
    <w:semiHidden/>
    <w:rsid w:val="006544C4"/>
    <w:pPr>
      <w:spacing w:after="120"/>
      <w:ind w:left="566"/>
      <w:contextualSpacing/>
    </w:pPr>
  </w:style>
  <w:style w:type="paragraph" w:styleId="ListContinue3">
    <w:name w:val="List Continue 3"/>
    <w:basedOn w:val="Normal"/>
    <w:uiPriority w:val="99"/>
    <w:semiHidden/>
    <w:rsid w:val="006544C4"/>
    <w:pPr>
      <w:spacing w:after="120"/>
      <w:ind w:left="849"/>
      <w:contextualSpacing/>
    </w:pPr>
  </w:style>
  <w:style w:type="paragraph" w:styleId="ListContinue4">
    <w:name w:val="List Continue 4"/>
    <w:basedOn w:val="Normal"/>
    <w:uiPriority w:val="99"/>
    <w:semiHidden/>
    <w:rsid w:val="006544C4"/>
    <w:pPr>
      <w:spacing w:after="120"/>
      <w:ind w:left="1132"/>
      <w:contextualSpacing/>
    </w:pPr>
  </w:style>
  <w:style w:type="paragraph" w:styleId="ListContinue5">
    <w:name w:val="List Continue 5"/>
    <w:basedOn w:val="Normal"/>
    <w:uiPriority w:val="99"/>
    <w:semiHidden/>
    <w:rsid w:val="006544C4"/>
    <w:pPr>
      <w:spacing w:after="120"/>
      <w:ind w:left="1415"/>
      <w:contextualSpacing/>
    </w:pPr>
  </w:style>
  <w:style w:type="paragraph" w:styleId="ListNumber">
    <w:name w:val="List Number"/>
    <w:basedOn w:val="Normal"/>
    <w:semiHidden/>
    <w:rsid w:val="006544C4"/>
    <w:pPr>
      <w:numPr>
        <w:numId w:val="18"/>
      </w:numPr>
      <w:contextualSpacing/>
    </w:pPr>
  </w:style>
  <w:style w:type="paragraph" w:styleId="ListNumber2">
    <w:name w:val="List Number 2"/>
    <w:basedOn w:val="Normal"/>
    <w:uiPriority w:val="99"/>
    <w:semiHidden/>
    <w:rsid w:val="006544C4"/>
    <w:pPr>
      <w:numPr>
        <w:numId w:val="19"/>
      </w:numPr>
      <w:contextualSpacing/>
    </w:pPr>
  </w:style>
  <w:style w:type="paragraph" w:styleId="ListNumber3">
    <w:name w:val="List Number 3"/>
    <w:basedOn w:val="Normal"/>
    <w:semiHidden/>
    <w:rsid w:val="006544C4"/>
    <w:pPr>
      <w:numPr>
        <w:numId w:val="20"/>
      </w:numPr>
      <w:contextualSpacing/>
    </w:pPr>
  </w:style>
  <w:style w:type="paragraph" w:styleId="ListNumber4">
    <w:name w:val="List Number 4"/>
    <w:basedOn w:val="Normal"/>
    <w:uiPriority w:val="99"/>
    <w:semiHidden/>
    <w:rsid w:val="006544C4"/>
    <w:pPr>
      <w:numPr>
        <w:numId w:val="21"/>
      </w:numPr>
      <w:contextualSpacing/>
    </w:pPr>
  </w:style>
  <w:style w:type="paragraph" w:styleId="ListNumber5">
    <w:name w:val="List Number 5"/>
    <w:basedOn w:val="Normal"/>
    <w:semiHidden/>
    <w:rsid w:val="006544C4"/>
    <w:pPr>
      <w:numPr>
        <w:numId w:val="22"/>
      </w:numPr>
      <w:contextualSpacing/>
    </w:pPr>
  </w:style>
  <w:style w:type="paragraph" w:styleId="MacroText">
    <w:name w:val="macro"/>
    <w:link w:val="MacroTextChar"/>
    <w:uiPriority w:val="99"/>
    <w:semiHidden/>
    <w:rsid w:val="006544C4"/>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6544C4"/>
    <w:rPr>
      <w:rFonts w:ascii="Consolas" w:eastAsiaTheme="minorEastAsia" w:hAnsi="Consolas" w:cs="Consolas"/>
      <w:sz w:val="20"/>
      <w:szCs w:val="20"/>
    </w:rPr>
  </w:style>
  <w:style w:type="table" w:styleId="MediumGrid1">
    <w:name w:val="Medium Grid 1"/>
    <w:basedOn w:val="TableNormal"/>
    <w:uiPriority w:val="67"/>
    <w:semiHidden/>
    <w:rsid w:val="006544C4"/>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6544C4"/>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6544C4"/>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6544C4"/>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6544C4"/>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6544C4"/>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6544C4"/>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6544C4"/>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6544C4"/>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6544C4"/>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6544C4"/>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6544C4"/>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6544C4"/>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6544C4"/>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6544C4"/>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6544C4"/>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6544C4"/>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6544C4"/>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6544C4"/>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6544C4"/>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6544C4"/>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6544C4"/>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6544C4"/>
    <w:rPr>
      <w:color w:val="000000" w:themeColor="text1"/>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6544C4"/>
    <w:rPr>
      <w:color w:val="000000" w:themeColor="text1"/>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6544C4"/>
    <w:rPr>
      <w:color w:val="000000" w:themeColor="text1"/>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6544C4"/>
    <w:rPr>
      <w:color w:val="000000" w:themeColor="text1"/>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6544C4"/>
    <w:rPr>
      <w:color w:val="000000" w:themeColor="text1"/>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6544C4"/>
    <w:rPr>
      <w:color w:val="000000" w:themeColor="text1"/>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6544C4"/>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6544C4"/>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6544C4"/>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6544C4"/>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6544C4"/>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6544C4"/>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6544C4"/>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6544C4"/>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6544C4"/>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6544C4"/>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6544C4"/>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6544C4"/>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6544C4"/>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6544C4"/>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6544C4"/>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6544C4"/>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6544C4"/>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6544C4"/>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6544C4"/>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6544C4"/>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6544C4"/>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6544C4"/>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6544C4"/>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6544C4"/>
    <w:rPr>
      <w:rFonts w:ascii="Times New Roman" w:hAnsi="Times New Roman" w:cs="Times New Roman"/>
      <w:szCs w:val="24"/>
    </w:rPr>
  </w:style>
  <w:style w:type="paragraph" w:styleId="NormalIndent">
    <w:name w:val="Normal Indent"/>
    <w:basedOn w:val="Normal"/>
    <w:uiPriority w:val="99"/>
    <w:semiHidden/>
    <w:rsid w:val="006544C4"/>
    <w:pPr>
      <w:ind w:left="720"/>
    </w:pPr>
  </w:style>
  <w:style w:type="paragraph" w:styleId="NoteHeading">
    <w:name w:val="Note Heading"/>
    <w:basedOn w:val="Normal"/>
    <w:next w:val="Normal"/>
    <w:link w:val="NoteHeadingChar"/>
    <w:uiPriority w:val="99"/>
    <w:semiHidden/>
    <w:rsid w:val="006544C4"/>
  </w:style>
  <w:style w:type="character" w:customStyle="1" w:styleId="NoteHeadingChar">
    <w:name w:val="Note Heading Char"/>
    <w:basedOn w:val="DefaultParagraphFont"/>
    <w:link w:val="NoteHeading"/>
    <w:uiPriority w:val="99"/>
    <w:semiHidden/>
    <w:rsid w:val="006544C4"/>
    <w:rPr>
      <w:rFonts w:eastAsiaTheme="minorEastAsia"/>
      <w:sz w:val="24"/>
    </w:rPr>
  </w:style>
  <w:style w:type="character" w:styleId="PlaceholderText">
    <w:name w:val="Placeholder Text"/>
    <w:basedOn w:val="DefaultParagraphFont"/>
    <w:uiPriority w:val="99"/>
    <w:semiHidden/>
    <w:rsid w:val="006544C4"/>
    <w:rPr>
      <w:color w:val="808080"/>
    </w:rPr>
  </w:style>
  <w:style w:type="paragraph" w:styleId="PlainText">
    <w:name w:val="Plain Text"/>
    <w:basedOn w:val="Normal"/>
    <w:link w:val="PlainTextChar"/>
    <w:uiPriority w:val="99"/>
    <w:semiHidden/>
    <w:rsid w:val="006544C4"/>
    <w:rPr>
      <w:rFonts w:ascii="Consolas" w:hAnsi="Consolas" w:cs="Consolas"/>
      <w:sz w:val="21"/>
      <w:szCs w:val="21"/>
    </w:rPr>
  </w:style>
  <w:style w:type="character" w:customStyle="1" w:styleId="PlainTextChar">
    <w:name w:val="Plain Text Char"/>
    <w:basedOn w:val="DefaultParagraphFont"/>
    <w:link w:val="PlainText"/>
    <w:uiPriority w:val="99"/>
    <w:semiHidden/>
    <w:rsid w:val="006544C4"/>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6544C4"/>
  </w:style>
  <w:style w:type="character" w:customStyle="1" w:styleId="SalutationChar">
    <w:name w:val="Salutation Char"/>
    <w:basedOn w:val="DefaultParagraphFont"/>
    <w:link w:val="Salutation"/>
    <w:uiPriority w:val="99"/>
    <w:semiHidden/>
    <w:rsid w:val="006544C4"/>
    <w:rPr>
      <w:rFonts w:eastAsiaTheme="minorEastAsia"/>
      <w:sz w:val="24"/>
    </w:rPr>
  </w:style>
  <w:style w:type="paragraph" w:styleId="Signature">
    <w:name w:val="Signature"/>
    <w:basedOn w:val="Normal"/>
    <w:link w:val="SignatureChar"/>
    <w:uiPriority w:val="99"/>
    <w:semiHidden/>
    <w:rsid w:val="006544C4"/>
    <w:pPr>
      <w:ind w:left="4252"/>
    </w:pPr>
  </w:style>
  <w:style w:type="character" w:customStyle="1" w:styleId="SignatureChar">
    <w:name w:val="Signature Char"/>
    <w:basedOn w:val="DefaultParagraphFont"/>
    <w:link w:val="Signature"/>
    <w:uiPriority w:val="99"/>
    <w:semiHidden/>
    <w:rsid w:val="006544C4"/>
    <w:rPr>
      <w:rFonts w:eastAsiaTheme="minorEastAsia"/>
      <w:sz w:val="24"/>
    </w:rPr>
  </w:style>
  <w:style w:type="table" w:styleId="Table3Deffects1">
    <w:name w:val="Table 3D effects 1"/>
    <w:basedOn w:val="TableNormal"/>
    <w:uiPriority w:val="99"/>
    <w:semiHidden/>
    <w:unhideWhenUsed/>
    <w:rsid w:val="006544C4"/>
    <w:pPr>
      <w:jc w:val="both"/>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6544C4"/>
    <w:pPr>
      <w:jc w:val="both"/>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6544C4"/>
    <w:pPr>
      <w:jc w:val="both"/>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6544C4"/>
    <w:pPr>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6544C4"/>
    <w:pPr>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6544C4"/>
    <w:pPr>
      <w:jc w:val="both"/>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6544C4"/>
    <w:pPr>
      <w:jc w:val="both"/>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6544C4"/>
    <w:pPr>
      <w:jc w:val="both"/>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6544C4"/>
    <w:pPr>
      <w:jc w:val="both"/>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6544C4"/>
    <w:pPr>
      <w:jc w:val="both"/>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6544C4"/>
    <w:pPr>
      <w:jc w:val="both"/>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6544C4"/>
    <w:pPr>
      <w:jc w:val="both"/>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6544C4"/>
    <w:pPr>
      <w:jc w:val="both"/>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6544C4"/>
    <w:pPr>
      <w:jc w:val="both"/>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6544C4"/>
    <w:pPr>
      <w:jc w:val="both"/>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6544C4"/>
    <w:pPr>
      <w:jc w:val="both"/>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6544C4"/>
    <w:pPr>
      <w:jc w:val="both"/>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6544C4"/>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6544C4"/>
    <w:pPr>
      <w:jc w:val="both"/>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6544C4"/>
    <w:pPr>
      <w:jc w:val="both"/>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6544C4"/>
    <w:pPr>
      <w:jc w:val="both"/>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6544C4"/>
    <w:pPr>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6544C4"/>
    <w:pPr>
      <w:jc w:val="both"/>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6544C4"/>
    <w:pPr>
      <w:jc w:val="both"/>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6544C4"/>
    <w:pPr>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6544C4"/>
    <w:pPr>
      <w:jc w:val="both"/>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6544C4"/>
    <w:pPr>
      <w:jc w:val="both"/>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6544C4"/>
    <w:pPr>
      <w:jc w:val="both"/>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6544C4"/>
    <w:pPr>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6544C4"/>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6544C4"/>
    <w:pPr>
      <w:jc w:val="both"/>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6544C4"/>
    <w:pPr>
      <w:jc w:val="both"/>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6544C4"/>
    <w:pPr>
      <w:jc w:val="both"/>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6544C4"/>
    <w:pPr>
      <w:ind w:left="240" w:hanging="240"/>
    </w:pPr>
  </w:style>
  <w:style w:type="paragraph" w:styleId="TableofFigures">
    <w:name w:val="table of figures"/>
    <w:basedOn w:val="Normal"/>
    <w:next w:val="Normal"/>
    <w:uiPriority w:val="99"/>
    <w:semiHidden/>
    <w:rsid w:val="006544C4"/>
  </w:style>
  <w:style w:type="table" w:styleId="TableProfessional">
    <w:name w:val="Table Professional"/>
    <w:basedOn w:val="TableNormal"/>
    <w:uiPriority w:val="99"/>
    <w:semiHidden/>
    <w:unhideWhenUsed/>
    <w:rsid w:val="006544C4"/>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6544C4"/>
    <w:pPr>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6544C4"/>
    <w:pPr>
      <w:jc w:val="both"/>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6544C4"/>
    <w:pPr>
      <w:jc w:val="both"/>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6544C4"/>
    <w:pPr>
      <w:jc w:val="both"/>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6544C4"/>
    <w:pPr>
      <w:jc w:val="both"/>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6544C4"/>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uiPriority w:val="99"/>
    <w:semiHidden/>
    <w:unhideWhenUsed/>
    <w:rsid w:val="006544C4"/>
    <w:pPr>
      <w:jc w:val="both"/>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6544C4"/>
    <w:pPr>
      <w:jc w:val="both"/>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6544C4"/>
    <w:pPr>
      <w:jc w:val="both"/>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6544C4"/>
    <w:pPr>
      <w:spacing w:after="100"/>
      <w:ind w:left="1200"/>
    </w:pPr>
  </w:style>
  <w:style w:type="paragraph" w:styleId="TOC7">
    <w:name w:val="toc 7"/>
    <w:basedOn w:val="Normal"/>
    <w:next w:val="Normal"/>
    <w:autoRedefine/>
    <w:uiPriority w:val="99"/>
    <w:semiHidden/>
    <w:rsid w:val="006544C4"/>
    <w:pPr>
      <w:spacing w:after="100"/>
      <w:ind w:left="1440"/>
    </w:pPr>
  </w:style>
  <w:style w:type="paragraph" w:styleId="TOC8">
    <w:name w:val="toc 8"/>
    <w:basedOn w:val="Normal"/>
    <w:next w:val="Normal"/>
    <w:autoRedefine/>
    <w:uiPriority w:val="99"/>
    <w:semiHidden/>
    <w:rsid w:val="006544C4"/>
    <w:pPr>
      <w:spacing w:after="100"/>
      <w:ind w:left="1680"/>
    </w:pPr>
  </w:style>
  <w:style w:type="paragraph" w:styleId="TOC9">
    <w:name w:val="toc 9"/>
    <w:basedOn w:val="Normal"/>
    <w:next w:val="Normal"/>
    <w:autoRedefine/>
    <w:uiPriority w:val="99"/>
    <w:semiHidden/>
    <w:rsid w:val="006544C4"/>
    <w:pPr>
      <w:spacing w:after="100"/>
      <w:ind w:left="1920"/>
    </w:pPr>
  </w:style>
  <w:style w:type="character" w:customStyle="1" w:styleId="ECHRParaChar">
    <w:name w:val="ECHR_Para Char"/>
    <w:aliases w:val="Ju_Para Char"/>
    <w:link w:val="ECHRPara"/>
    <w:uiPriority w:val="12"/>
    <w:rsid w:val="004149AA"/>
    <w:rPr>
      <w:rFonts w:eastAsiaTheme="minorEastAsia"/>
      <w:sz w:val="24"/>
    </w:rPr>
  </w:style>
  <w:style w:type="character" w:customStyle="1" w:styleId="sb8d990e2">
    <w:name w:val="sb8d990e2"/>
    <w:rsid w:val="004149AA"/>
  </w:style>
  <w:style w:type="character" w:customStyle="1" w:styleId="wordhighlighted">
    <w:name w:val="wordhighlighted"/>
    <w:rsid w:val="004149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CD9F4E3-4A7A-46AB-8D7A-7ACDB86E529F}"/>
</file>

<file path=customXml/itemProps2.xml><?xml version="1.0" encoding="utf-8"?>
<ds:datastoreItem xmlns:ds="http://schemas.openxmlformats.org/officeDocument/2006/customXml" ds:itemID="{845FB494-7EA9-415D-8E17-6851AAEF2F97}"/>
</file>

<file path=customXml/itemProps3.xml><?xml version="1.0" encoding="utf-8"?>
<ds:datastoreItem xmlns:ds="http://schemas.openxmlformats.org/officeDocument/2006/customXml" ds:itemID="{E6B10301-1EC7-4B1B-94E3-CF8D34214BA7}"/>
</file>

<file path=customXml/itemProps4.xml><?xml version="1.0" encoding="utf-8"?>
<ds:datastoreItem xmlns:ds="http://schemas.openxmlformats.org/officeDocument/2006/customXml" ds:itemID="{5D0D1DD4-2AF9-4673-9C3B-A9021DF2BD6B}"/>
</file>

<file path=docProps/app.xml><?xml version="1.0" encoding="utf-8"?>
<Properties xmlns="http://schemas.openxmlformats.org/officeDocument/2006/extended-properties" xmlns:vt="http://schemas.openxmlformats.org/officeDocument/2006/docPropsVTypes">
  <Template>Normal.dotm</Template>
  <TotalTime>0</TotalTime>
  <Pages>1</Pages>
  <Words>5522</Words>
  <Characters>31478</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Décision</vt:lpstr>
    </vt:vector>
  </TitlesOfParts>
  <Manager/>
  <Company/>
  <LinksUpToDate>false</LinksUpToDate>
  <CharactersWithSpaces>36927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DCF</dc:subject>
  <dc:creator/>
  <cp:lastModifiedBy/>
  <cp:revision>1</cp:revision>
  <dcterms:created xsi:type="dcterms:W3CDTF">2015-02-05T16:02:00Z</dcterms:created>
  <dcterms:modified xsi:type="dcterms:W3CDTF">2015-02-05T16:02:00Z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1036</vt:i4>
  </property>
  <property fmtid="{D5CDD505-2E9C-101B-9397-08002B2CF9AE}" pid="3" name="RegisteredNo">
    <vt:lpwstr>28457/10</vt:lpwstr>
  </property>
  <property fmtid="{D5CDD505-2E9C-101B-9397-08002B2CF9AE}" pid="4" name="CASEID">
    <vt:lpwstr>642421</vt:lpwstr>
  </property>
  <property fmtid="{D5CDD505-2E9C-101B-9397-08002B2CF9AE}" pid="5" name="OrigTemp">
    <vt:lpwstr>French\Documents\DF01 Decisions et Rapports\Reports automation IT ONLY\Décision.dotx</vt:lpwstr>
  </property>
</Properties>
</file>