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0CB" w:rsidRDefault="003350CB" w:rsidP="00792E86">
      <w:pPr>
        <w:pStyle w:val="ECHRDecisionBody"/>
        <w:jc w:val="center"/>
        <w:rPr>
          <w:lang w:val="en-GB"/>
        </w:rPr>
      </w:pPr>
    </w:p>
    <w:p w:rsidR="003350CB" w:rsidRDefault="003350CB" w:rsidP="00792E86">
      <w:pPr>
        <w:pStyle w:val="ECHRDecisionBody"/>
        <w:jc w:val="center"/>
        <w:rPr>
          <w:lang w:val="en-GB"/>
        </w:rPr>
      </w:pPr>
    </w:p>
    <w:p w:rsidR="003350CB" w:rsidRPr="00A96ED6" w:rsidRDefault="003350CB" w:rsidP="00792E86">
      <w:pPr>
        <w:pStyle w:val="ECHRDecisionBody"/>
        <w:jc w:val="center"/>
        <w:rPr>
          <w:lang w:val="en-GB"/>
        </w:rPr>
      </w:pPr>
    </w:p>
    <w:p w:rsidR="003350CB" w:rsidRPr="006E14DD" w:rsidRDefault="003350CB">
      <w:pPr>
        <w:jc w:val="center"/>
        <w:rPr>
          <w:lang w:val="pl-PL"/>
        </w:rPr>
      </w:pPr>
      <w:r w:rsidRPr="006E14DD">
        <w:rPr>
          <w:lang w:val="pl-PL"/>
        </w:rPr>
        <w:t>SEKCJA CZWARTA</w:t>
      </w: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b/>
          <w:lang w:val="pl-PL"/>
        </w:rPr>
      </w:pPr>
      <w:bookmarkStart w:id="0" w:name="To"/>
      <w:r w:rsidRPr="006E14DD">
        <w:rPr>
          <w:b/>
          <w:lang w:val="pl-PL"/>
        </w:rPr>
        <w:t xml:space="preserve">SPRAWA </w:t>
      </w:r>
      <w:bookmarkEnd w:id="0"/>
      <w:r>
        <w:rPr>
          <w:b/>
          <w:lang w:val="pl-PL"/>
        </w:rPr>
        <w:t>MILKA przeciwko</w:t>
      </w:r>
      <w:r w:rsidRPr="006E14DD">
        <w:rPr>
          <w:b/>
          <w:lang w:val="pl-PL"/>
        </w:rPr>
        <w:t xml:space="preserve"> POL</w:t>
      </w:r>
      <w:r>
        <w:rPr>
          <w:b/>
          <w:lang w:val="pl-PL"/>
        </w:rPr>
        <w:t>SCE</w:t>
      </w:r>
    </w:p>
    <w:p w:rsidR="003350CB" w:rsidRPr="006E14DD" w:rsidRDefault="003350CB">
      <w:pPr>
        <w:jc w:val="center"/>
        <w:rPr>
          <w:lang w:val="pl-PL"/>
        </w:rPr>
      </w:pPr>
    </w:p>
    <w:p w:rsidR="003350CB" w:rsidRPr="006E14DD" w:rsidRDefault="003350CB">
      <w:pPr>
        <w:jc w:val="center"/>
        <w:rPr>
          <w:i/>
          <w:lang w:val="pl-PL"/>
        </w:rPr>
      </w:pPr>
      <w:r w:rsidRPr="006E14DD">
        <w:rPr>
          <w:i/>
          <w:lang w:val="pl-PL"/>
        </w:rPr>
        <w:t>(Skarga nr 14322/12)</w:t>
      </w: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6E14DD" w:rsidRDefault="003350CB">
      <w:pPr>
        <w:jc w:val="center"/>
        <w:rPr>
          <w:lang w:val="pl-PL"/>
        </w:rPr>
      </w:pPr>
    </w:p>
    <w:p w:rsidR="003350CB" w:rsidRPr="00D66F60" w:rsidRDefault="003350CB">
      <w:pPr>
        <w:jc w:val="center"/>
        <w:rPr>
          <w:lang w:val="pl-PL"/>
        </w:rPr>
      </w:pPr>
      <w:r w:rsidRPr="00D66F60">
        <w:rPr>
          <w:lang w:val="pl-PL"/>
        </w:rPr>
        <w:t>WYROK</w:t>
      </w:r>
    </w:p>
    <w:p w:rsidR="003350CB" w:rsidRPr="00D66F60" w:rsidRDefault="003350CB">
      <w:pPr>
        <w:jc w:val="center"/>
        <w:rPr>
          <w:lang w:val="pl-PL"/>
        </w:rPr>
      </w:pPr>
    </w:p>
    <w:p w:rsidR="003350CB" w:rsidRPr="00D66F60" w:rsidRDefault="003350CB" w:rsidP="000B5079">
      <w:pPr>
        <w:jc w:val="center"/>
        <w:rPr>
          <w:szCs w:val="24"/>
          <w:lang w:val="pl-PL"/>
        </w:rPr>
      </w:pPr>
    </w:p>
    <w:p w:rsidR="003350CB" w:rsidRPr="00D66F60" w:rsidRDefault="003350CB" w:rsidP="000B5079">
      <w:pPr>
        <w:jc w:val="center"/>
        <w:rPr>
          <w:szCs w:val="24"/>
          <w:lang w:val="pl-PL"/>
        </w:rPr>
      </w:pPr>
    </w:p>
    <w:p w:rsidR="003350CB" w:rsidRPr="00D66F60" w:rsidRDefault="003350CB" w:rsidP="000B5079">
      <w:pPr>
        <w:jc w:val="center"/>
        <w:rPr>
          <w:szCs w:val="24"/>
          <w:lang w:val="pl-PL"/>
        </w:rPr>
      </w:pPr>
      <w:r w:rsidRPr="00D66F60">
        <w:rPr>
          <w:szCs w:val="24"/>
          <w:lang w:val="pl-PL"/>
        </w:rPr>
        <w:t>STRASBURG</w:t>
      </w:r>
    </w:p>
    <w:p w:rsidR="003350CB" w:rsidRPr="00D66F60" w:rsidRDefault="003350CB" w:rsidP="000B5079">
      <w:pPr>
        <w:jc w:val="center"/>
        <w:rPr>
          <w:szCs w:val="24"/>
          <w:lang w:val="pl-PL"/>
        </w:rPr>
      </w:pPr>
    </w:p>
    <w:p w:rsidR="003350CB" w:rsidRPr="00D66F60" w:rsidRDefault="003350CB" w:rsidP="000B5079">
      <w:pPr>
        <w:jc w:val="center"/>
        <w:rPr>
          <w:szCs w:val="24"/>
          <w:lang w:val="pl-PL"/>
        </w:rPr>
      </w:pPr>
      <w:r w:rsidRPr="00D66F60">
        <w:rPr>
          <w:szCs w:val="24"/>
          <w:lang w:val="pl-PL"/>
        </w:rPr>
        <w:t>z dnia 15 września 2015 roku</w:t>
      </w:r>
    </w:p>
    <w:p w:rsidR="003350CB" w:rsidRPr="00D66F60" w:rsidRDefault="003350CB" w:rsidP="000B5079">
      <w:pPr>
        <w:jc w:val="center"/>
        <w:rPr>
          <w:szCs w:val="24"/>
          <w:lang w:val="pl-PL"/>
        </w:rPr>
      </w:pPr>
    </w:p>
    <w:p w:rsidR="003350CB" w:rsidRPr="00D66F60" w:rsidRDefault="003350CB" w:rsidP="000B5079">
      <w:pPr>
        <w:jc w:val="center"/>
        <w:rPr>
          <w:szCs w:val="24"/>
          <w:lang w:val="pl-PL"/>
        </w:rPr>
      </w:pPr>
    </w:p>
    <w:p w:rsidR="003350CB" w:rsidRPr="00D66F60" w:rsidRDefault="003350CB" w:rsidP="000B5079">
      <w:pPr>
        <w:jc w:val="center"/>
        <w:rPr>
          <w:szCs w:val="24"/>
          <w:lang w:val="pl-PL"/>
        </w:rPr>
      </w:pPr>
    </w:p>
    <w:p w:rsidR="003350CB" w:rsidRPr="00F907DC" w:rsidRDefault="003350CB" w:rsidP="006E14DD">
      <w:pPr>
        <w:jc w:val="center"/>
        <w:rPr>
          <w:szCs w:val="24"/>
          <w:lang w:val="pl-PL" w:eastAsia="en-GB"/>
        </w:rPr>
      </w:pPr>
    </w:p>
    <w:p w:rsidR="003350CB" w:rsidRDefault="003350CB" w:rsidP="006E14DD">
      <w:pPr>
        <w:rPr>
          <w:lang w:val="uk-UA"/>
        </w:rPr>
      </w:pPr>
      <w:r w:rsidRPr="00F907DC">
        <w:rPr>
          <w:rFonts w:eastAsia="MS Mincho"/>
          <w:i/>
          <w:sz w:val="22"/>
          <w:szCs w:val="20"/>
          <w:lang w:val="pl-PL" w:eastAsia="fr-FR"/>
        </w:rPr>
        <w:t>Ten wyrok uprawomocni się na warunkach określonych w Artykule 44 § 2 Konwencji. Może podlegać korekcie wydawniczej.</w:t>
      </w:r>
    </w:p>
    <w:p w:rsidR="003350CB" w:rsidRPr="006E14DD" w:rsidRDefault="003350CB" w:rsidP="000B5079">
      <w:pPr>
        <w:jc w:val="left"/>
        <w:rPr>
          <w:i/>
          <w:sz w:val="22"/>
          <w:szCs w:val="24"/>
          <w:lang w:val="pl-PL"/>
        </w:rPr>
      </w:pPr>
    </w:p>
    <w:p w:rsidR="003350CB" w:rsidRPr="006E14DD" w:rsidRDefault="003350CB" w:rsidP="000B5079">
      <w:pPr>
        <w:jc w:val="left"/>
        <w:rPr>
          <w:lang w:val="pl-PL"/>
        </w:rPr>
        <w:sectPr w:rsidR="003350CB" w:rsidRPr="006E14DD" w:rsidSect="000B5079">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3350CB" w:rsidRPr="006E14DD" w:rsidRDefault="003350CB">
      <w:pPr>
        <w:pStyle w:val="JuCase"/>
        <w:rPr>
          <w:bCs/>
          <w:lang w:val="pl-PL"/>
        </w:rPr>
      </w:pPr>
      <w:r w:rsidRPr="006E14DD">
        <w:rPr>
          <w:lang w:val="pl-PL"/>
        </w:rPr>
        <w:lastRenderedPageBreak/>
        <w:t>W sprawie Milka przeciwko Polsce,</w:t>
      </w:r>
    </w:p>
    <w:p w:rsidR="003350CB" w:rsidRPr="006E14DD" w:rsidRDefault="003350CB">
      <w:pPr>
        <w:pStyle w:val="ECHRPara"/>
      </w:pPr>
      <w:r w:rsidRPr="00F907DC">
        <w:rPr>
          <w:rFonts w:eastAsia="MS Mincho"/>
          <w:szCs w:val="24"/>
          <w:lang w:eastAsia="fr-FR"/>
        </w:rPr>
        <w:t>Europejski Trybunał Praw Człowieka (Sekcja Czwarta), zasiadając jako Izba w składzie</w:t>
      </w:r>
      <w:r w:rsidRPr="006E14DD">
        <w:t>:</w:t>
      </w:r>
    </w:p>
    <w:p w:rsidR="003350CB" w:rsidRPr="006E14DD" w:rsidRDefault="003350CB">
      <w:pPr>
        <w:pStyle w:val="ECHRDecisionBody"/>
        <w:rPr>
          <w:lang w:val="pl-PL"/>
        </w:rPr>
      </w:pPr>
      <w:r w:rsidRPr="006E14DD">
        <w:rPr>
          <w:lang w:val="pl-PL"/>
        </w:rPr>
        <w:tab/>
        <w:t>Guido Raimondi,</w:t>
      </w:r>
      <w:r w:rsidRPr="006E14DD">
        <w:rPr>
          <w:i/>
          <w:lang w:val="pl-PL"/>
        </w:rPr>
        <w:t xml:space="preserve"> Przewodniczący,</w:t>
      </w:r>
      <w:r w:rsidRPr="006E14DD">
        <w:rPr>
          <w:i/>
          <w:lang w:val="pl-PL"/>
        </w:rPr>
        <w:br/>
      </w:r>
      <w:r w:rsidRPr="006E14DD">
        <w:rPr>
          <w:lang w:val="pl-PL"/>
        </w:rPr>
        <w:tab/>
        <w:t>Päivi Hirvelä,</w:t>
      </w:r>
      <w:r w:rsidRPr="006E14DD">
        <w:rPr>
          <w:i/>
          <w:lang w:val="pl-PL"/>
        </w:rPr>
        <w:br/>
      </w:r>
      <w:r w:rsidRPr="006E14DD">
        <w:rPr>
          <w:lang w:val="pl-PL"/>
        </w:rPr>
        <w:tab/>
        <w:t>George Nicolaou,</w:t>
      </w:r>
      <w:r w:rsidRPr="006E14DD">
        <w:rPr>
          <w:i/>
          <w:lang w:val="pl-PL"/>
        </w:rPr>
        <w:br/>
      </w:r>
      <w:r w:rsidRPr="006E14DD">
        <w:rPr>
          <w:lang w:val="pl-PL"/>
        </w:rPr>
        <w:tab/>
        <w:t>Ledi Bianku,</w:t>
      </w:r>
      <w:r w:rsidRPr="006E14DD">
        <w:rPr>
          <w:i/>
          <w:lang w:val="pl-PL"/>
        </w:rPr>
        <w:br/>
      </w:r>
      <w:r w:rsidRPr="006E14DD">
        <w:rPr>
          <w:lang w:val="pl-PL"/>
        </w:rPr>
        <w:tab/>
        <w:t>Krzysztof Wojtyczek,</w:t>
      </w:r>
      <w:r w:rsidRPr="006E14DD">
        <w:rPr>
          <w:i/>
          <w:lang w:val="pl-PL"/>
        </w:rPr>
        <w:br/>
      </w:r>
      <w:r w:rsidRPr="006E14DD">
        <w:rPr>
          <w:lang w:val="pl-PL"/>
        </w:rPr>
        <w:tab/>
        <w:t>Faris Vehabović,</w:t>
      </w:r>
      <w:r w:rsidRPr="006E14DD">
        <w:rPr>
          <w:i/>
          <w:lang w:val="pl-PL"/>
        </w:rPr>
        <w:br/>
      </w:r>
      <w:r w:rsidRPr="006E14DD">
        <w:rPr>
          <w:lang w:val="pl-PL"/>
        </w:rPr>
        <w:tab/>
        <w:t>Yonko Grozev,</w:t>
      </w:r>
      <w:r>
        <w:rPr>
          <w:i/>
          <w:lang w:val="pl-PL"/>
        </w:rPr>
        <w:t xml:space="preserve"> </w:t>
      </w:r>
      <w:r w:rsidRPr="006E14DD">
        <w:rPr>
          <w:i/>
          <w:lang w:val="pl-PL"/>
        </w:rPr>
        <w:t>s</w:t>
      </w:r>
      <w:r>
        <w:rPr>
          <w:i/>
          <w:lang w:val="pl-PL"/>
        </w:rPr>
        <w:t>ędziowie</w:t>
      </w:r>
      <w:r w:rsidRPr="006E14DD">
        <w:rPr>
          <w:i/>
          <w:lang w:val="pl-PL"/>
        </w:rPr>
        <w:t>,</w:t>
      </w:r>
      <w:r w:rsidRPr="006E14DD">
        <w:rPr>
          <w:szCs w:val="24"/>
          <w:lang w:val="pl-PL"/>
        </w:rPr>
        <w:br/>
      </w:r>
      <w:r>
        <w:rPr>
          <w:lang w:val="pl-PL"/>
        </w:rPr>
        <w:t>oraz</w:t>
      </w:r>
      <w:r w:rsidRPr="006E14DD">
        <w:rPr>
          <w:lang w:val="pl-PL"/>
        </w:rPr>
        <w:t xml:space="preserve"> Françoise Elens-Passos, </w:t>
      </w:r>
      <w:r>
        <w:rPr>
          <w:i/>
          <w:lang w:val="pl-PL"/>
        </w:rPr>
        <w:t>Kanclerz Sekcji</w:t>
      </w:r>
      <w:r w:rsidRPr="006E14DD">
        <w:rPr>
          <w:i/>
          <w:lang w:val="pl-PL"/>
        </w:rPr>
        <w:t>,</w:t>
      </w:r>
    </w:p>
    <w:p w:rsidR="003350CB" w:rsidRPr="006E14DD" w:rsidRDefault="003350CB">
      <w:pPr>
        <w:pStyle w:val="ECHRPara"/>
      </w:pPr>
      <w:r w:rsidRPr="00F907DC">
        <w:rPr>
          <w:rFonts w:eastAsia="MS Mincho"/>
          <w:lang w:eastAsia="fr-FR"/>
        </w:rPr>
        <w:t>Obradując na posiedzeniu niejawnym w dniu</w:t>
      </w:r>
      <w:r w:rsidRPr="006E14DD">
        <w:t xml:space="preserve"> 25 sierpnia 2015 roku,</w:t>
      </w:r>
    </w:p>
    <w:p w:rsidR="003350CB" w:rsidRPr="006E14DD" w:rsidRDefault="003350CB">
      <w:pPr>
        <w:pStyle w:val="ECHRPara"/>
      </w:pPr>
      <w:r w:rsidRPr="00F907DC">
        <w:rPr>
          <w:rFonts w:eastAsia="MS Mincho"/>
          <w:lang w:eastAsia="fr-FR"/>
        </w:rPr>
        <w:t>Wydaje następujący wyrok, który został przyjęty w tym dniu</w:t>
      </w:r>
      <w:r w:rsidRPr="006E14DD">
        <w:t>:</w:t>
      </w:r>
    </w:p>
    <w:p w:rsidR="003350CB" w:rsidRPr="00D66F60" w:rsidRDefault="003350CB">
      <w:pPr>
        <w:pStyle w:val="ECHRTitle1"/>
        <w:rPr>
          <w:lang w:val="pl-PL"/>
        </w:rPr>
      </w:pPr>
      <w:r w:rsidRPr="00D66F60">
        <w:rPr>
          <w:lang w:val="pl-PL"/>
        </w:rPr>
        <w:t>POSTĘPOWANIE</w:t>
      </w:r>
    </w:p>
    <w:p w:rsidR="003350CB" w:rsidRPr="00AB031F" w:rsidRDefault="003350CB" w:rsidP="000F277F">
      <w:pPr>
        <w:pStyle w:val="ECHRPara"/>
      </w:pPr>
      <w:fldSimple w:instr=" SEQ level0 \*arabic ">
        <w:r w:rsidRPr="00D66F60">
          <w:rPr>
            <w:noProof/>
          </w:rPr>
          <w:t>1</w:t>
        </w:r>
      </w:fldSimple>
      <w:r w:rsidRPr="00D66F60">
        <w:t>.  </w:t>
      </w:r>
      <w:r w:rsidRPr="00AB031F">
        <w:t xml:space="preserve">Sprawa wywodzi się ze skargi (nr 14322/12) wniesionej do Trybunału w dniu 10 lutego 2012 roku </w:t>
      </w:r>
      <w:r w:rsidRPr="003F3282">
        <w:rPr>
          <w:rFonts w:eastAsia="MS Mincho"/>
          <w:szCs w:val="24"/>
          <w:lang w:eastAsia="fr-FR"/>
        </w:rPr>
        <w:t xml:space="preserve">przeciwko Rzeczypospolitej Polskiej na podstawie Artykułu 34 Konwencji o Ochronie Praw Człowieka i Podstawowych Wolności ("Konwencja") przez obywatela Polski, Pana </w:t>
      </w:r>
      <w:r>
        <w:rPr>
          <w:noProof/>
          <w:lang w:eastAsia="fr-FR"/>
        </w:rPr>
        <w:t>Sławomira Milka</w:t>
      </w:r>
      <w:r w:rsidRPr="003F3282">
        <w:rPr>
          <w:noProof/>
          <w:lang w:eastAsia="fr-FR"/>
        </w:rPr>
        <w:t xml:space="preserve"> (“skarżący”)</w:t>
      </w:r>
      <w:r w:rsidRPr="003F3282">
        <w:t>.</w:t>
      </w:r>
      <w:r>
        <w:t xml:space="preserve"> </w:t>
      </w:r>
    </w:p>
    <w:p w:rsidR="003350CB" w:rsidRPr="00AB031F" w:rsidRDefault="003350CB" w:rsidP="000F277F">
      <w:pPr>
        <w:pStyle w:val="ECHRPara"/>
      </w:pPr>
      <w:fldSimple w:instr=" SEQ level0 \*arabic ">
        <w:r w:rsidRPr="00D66F60">
          <w:rPr>
            <w:noProof/>
          </w:rPr>
          <w:t>2</w:t>
        </w:r>
      </w:fldSimple>
      <w:r w:rsidRPr="00D66F60">
        <w:t>.  </w:t>
      </w:r>
      <w:r w:rsidRPr="00AB031F">
        <w:t xml:space="preserve">Skarżący, któremu przyznano pomoc prawną, był reprezentowany przez </w:t>
      </w:r>
      <w:r>
        <w:t>Pana</w:t>
      </w:r>
      <w:r w:rsidRPr="00AB031F">
        <w:t> J. Köhler</w:t>
      </w:r>
      <w:r>
        <w:t>a</w:t>
      </w:r>
      <w:r w:rsidRPr="00AB031F">
        <w:t xml:space="preserve">, </w:t>
      </w:r>
      <w:r>
        <w:t xml:space="preserve">adwokata prowadzącego praktykę w </w:t>
      </w:r>
      <w:r w:rsidRPr="00AB031F">
        <w:t>Katowic</w:t>
      </w:r>
      <w:r>
        <w:t>ach</w:t>
      </w:r>
      <w:r w:rsidRPr="00AB031F">
        <w:t xml:space="preserve">. Rząd polski (“Rząd”) był reprezentowany przez pełnomocnika, </w:t>
      </w:r>
      <w:r>
        <w:t>Panią J. Chrzanowską</w:t>
      </w:r>
      <w:r w:rsidRPr="00AB031F">
        <w:t xml:space="preserve"> </w:t>
      </w:r>
      <w:r>
        <w:t>z Ministerstwa Spraw Zagranicznych</w:t>
      </w:r>
      <w:r w:rsidRPr="00AB031F">
        <w:t>.</w:t>
      </w:r>
    </w:p>
    <w:p w:rsidR="003350CB" w:rsidRPr="00AD03F0" w:rsidRDefault="003350CB" w:rsidP="000F277F">
      <w:pPr>
        <w:pStyle w:val="ECHRPara"/>
      </w:pPr>
      <w:fldSimple w:instr=" SEQ level0 \*arabic ">
        <w:r w:rsidRPr="00D66F60">
          <w:rPr>
            <w:noProof/>
          </w:rPr>
          <w:t>3</w:t>
        </w:r>
      </w:fldSimple>
      <w:r w:rsidRPr="00D66F60">
        <w:t>.  </w:t>
      </w:r>
      <w:r w:rsidRPr="00AD03F0">
        <w:t xml:space="preserve">Skarżący sformułował zarzut, że w areszcie zastosowano wobec niego karę dyscyplinarną, ponieważ wielokrotnie </w:t>
      </w:r>
      <w:r>
        <w:t xml:space="preserve">odmawiał </w:t>
      </w:r>
      <w:r w:rsidRPr="00AD03F0">
        <w:t>podd</w:t>
      </w:r>
      <w:r>
        <w:t>ania</w:t>
      </w:r>
      <w:r w:rsidRPr="00AD03F0">
        <w:t xml:space="preserve"> się </w:t>
      </w:r>
      <w:r>
        <w:t>oględzinom ciała</w:t>
      </w:r>
      <w:r w:rsidRPr="00AD03F0">
        <w:t xml:space="preserve">, </w:t>
      </w:r>
      <w:r>
        <w:t>które stanowiły naruszenie Artykułu 3 Konwencji</w:t>
      </w:r>
      <w:r w:rsidRPr="00AD03F0">
        <w:t>.</w:t>
      </w:r>
    </w:p>
    <w:p w:rsidR="003350CB" w:rsidRPr="004A2D43" w:rsidRDefault="003350CB" w:rsidP="000F277F">
      <w:pPr>
        <w:pStyle w:val="ECHRPara"/>
      </w:pPr>
      <w:fldSimple w:instr=" SEQ level0 \*arabic ">
        <w:r w:rsidRPr="00D66F60">
          <w:rPr>
            <w:noProof/>
          </w:rPr>
          <w:t>4</w:t>
        </w:r>
      </w:fldSimple>
      <w:r w:rsidRPr="00D66F60">
        <w:t>.  </w:t>
      </w:r>
      <w:r w:rsidRPr="004A2D43">
        <w:t xml:space="preserve">W dniu </w:t>
      </w:r>
      <w:r w:rsidRPr="004A2D43">
        <w:rPr>
          <w:szCs w:val="24"/>
        </w:rPr>
        <w:t>1 września 2014</w:t>
      </w:r>
      <w:r w:rsidRPr="004A2D43">
        <w:t xml:space="preserve"> roku zarzuty te zostały zakomunikowane Rządowi na podstawie Artykułu 3 </w:t>
      </w:r>
      <w:r>
        <w:t>i</w:t>
      </w:r>
      <w:r w:rsidRPr="004A2D43">
        <w:t xml:space="preserve"> 8 Konwencji </w:t>
      </w:r>
      <w:r>
        <w:t xml:space="preserve">a pozostała część skargi została uznana za niedopuszczalną. </w:t>
      </w:r>
    </w:p>
    <w:p w:rsidR="003350CB" w:rsidRPr="00D66F60" w:rsidRDefault="003350CB">
      <w:pPr>
        <w:pStyle w:val="ECHRTitle1"/>
        <w:rPr>
          <w:lang w:val="pl-PL"/>
        </w:rPr>
      </w:pPr>
      <w:r w:rsidRPr="00D66F60">
        <w:rPr>
          <w:lang w:val="pl-PL"/>
        </w:rPr>
        <w:t>STAN FAKTYCZNY</w:t>
      </w:r>
    </w:p>
    <w:p w:rsidR="003350CB" w:rsidRPr="00D66F60" w:rsidRDefault="003350CB">
      <w:pPr>
        <w:pStyle w:val="ECHRHeading1"/>
        <w:rPr>
          <w:lang w:val="pl-PL"/>
        </w:rPr>
      </w:pPr>
      <w:r w:rsidRPr="00D66F60">
        <w:rPr>
          <w:lang w:val="pl-PL"/>
        </w:rPr>
        <w:t>I.  OKOLICZNOŚCI SPRAWY</w:t>
      </w:r>
    </w:p>
    <w:p w:rsidR="003350CB" w:rsidRPr="004A2D43" w:rsidRDefault="003350CB" w:rsidP="000F277F">
      <w:pPr>
        <w:pStyle w:val="ECHRPara"/>
      </w:pPr>
      <w:fldSimple w:instr=" SEQ level0 \*arabic ">
        <w:r w:rsidRPr="00D66F60">
          <w:rPr>
            <w:noProof/>
          </w:rPr>
          <w:t>5</w:t>
        </w:r>
      </w:fldSimple>
      <w:r w:rsidRPr="00D66F60">
        <w:t>.  </w:t>
      </w:r>
      <w:r w:rsidRPr="004A2D43">
        <w:t>Skarżący urodził się w 1957 roku i jest osadzony w Dąbrowie Górniczej.</w:t>
      </w:r>
    </w:p>
    <w:p w:rsidR="003350CB" w:rsidRPr="002011E7" w:rsidRDefault="003350CB" w:rsidP="00B60967">
      <w:pPr>
        <w:pStyle w:val="ECHRHeading2"/>
        <w:rPr>
          <w:lang w:val="pl-PL"/>
        </w:rPr>
      </w:pPr>
      <w:r>
        <w:rPr>
          <w:lang w:val="pl-PL"/>
        </w:rPr>
        <w:lastRenderedPageBreak/>
        <w:t>Odmowa skarżącego poddania</w:t>
      </w:r>
      <w:r w:rsidRPr="002011E7">
        <w:rPr>
          <w:lang w:val="pl-PL"/>
        </w:rPr>
        <w:t xml:space="preserve"> się </w:t>
      </w:r>
      <w:r>
        <w:rPr>
          <w:lang w:val="pl-PL"/>
        </w:rPr>
        <w:t>oględzinom ciała</w:t>
      </w:r>
      <w:r w:rsidRPr="002011E7">
        <w:rPr>
          <w:lang w:val="pl-PL"/>
        </w:rPr>
        <w:t xml:space="preserve"> oraz kara dyscyplinarna zastosowana wobec niego.</w:t>
      </w:r>
    </w:p>
    <w:p w:rsidR="003350CB" w:rsidRPr="00293D75" w:rsidRDefault="003350CB" w:rsidP="000F277F">
      <w:pPr>
        <w:pStyle w:val="ECHRPara"/>
      </w:pPr>
      <w:fldSimple w:instr=" SEQ level0 \*arabic ">
        <w:r w:rsidRPr="00D66F60">
          <w:rPr>
            <w:noProof/>
          </w:rPr>
          <w:t>6</w:t>
        </w:r>
      </w:fldSimple>
      <w:r w:rsidRPr="00D66F60">
        <w:t>.  </w:t>
      </w:r>
      <w:r>
        <w:t xml:space="preserve">Skarżący został tymczasowo aresztowany w </w:t>
      </w:r>
      <w:r w:rsidRPr="00293D75">
        <w:t>2007 i 2008 roku. Następnie wydano wobec niego wyrok skazujący i</w:t>
      </w:r>
      <w:r>
        <w:t xml:space="preserve"> odbywał </w:t>
      </w:r>
      <w:r w:rsidRPr="00293D75">
        <w:t xml:space="preserve">karę </w:t>
      </w:r>
      <w:r>
        <w:t xml:space="preserve">w różnych aresztach śledczych oraz zakładach karnych. </w:t>
      </w:r>
    </w:p>
    <w:p w:rsidR="003350CB" w:rsidRPr="00293D75" w:rsidRDefault="003350CB" w:rsidP="000F277F">
      <w:pPr>
        <w:pStyle w:val="ECHRPara"/>
      </w:pPr>
      <w:fldSimple w:instr=" SEQ level0 \*arabic ">
        <w:r w:rsidRPr="00D66F60">
          <w:rPr>
            <w:noProof/>
          </w:rPr>
          <w:t>7</w:t>
        </w:r>
      </w:fldSimple>
      <w:r w:rsidRPr="00D66F60">
        <w:t>.  </w:t>
      </w:r>
      <w:r w:rsidRPr="00293D75">
        <w:t>Od dnia 24 maja 2011 roku skarżący przebywał w Areszcie Śledczym w S</w:t>
      </w:r>
      <w:r>
        <w:t>o</w:t>
      </w:r>
      <w:r w:rsidRPr="00293D75">
        <w:t xml:space="preserve">snowcu a od dnia 17 maja 2012 </w:t>
      </w:r>
      <w:r>
        <w:t>do dnia</w:t>
      </w:r>
      <w:r w:rsidRPr="00293D75">
        <w:t xml:space="preserve"> 10 </w:t>
      </w:r>
      <w:r>
        <w:t>czerwca</w:t>
      </w:r>
      <w:r w:rsidRPr="00293D75">
        <w:t xml:space="preserve"> 2013</w:t>
      </w:r>
      <w:r>
        <w:t xml:space="preserve"> roku</w:t>
      </w:r>
      <w:r w:rsidRPr="00293D75">
        <w:t xml:space="preserve"> </w:t>
      </w:r>
      <w:r>
        <w:t>w Zakładzie Karnym w Wojkowicach</w:t>
      </w:r>
      <w:r w:rsidRPr="00293D75">
        <w:t>.</w:t>
      </w:r>
    </w:p>
    <w:p w:rsidR="003350CB" w:rsidRPr="00D66F60" w:rsidRDefault="003350CB" w:rsidP="000F277F">
      <w:pPr>
        <w:pStyle w:val="ECHRPara"/>
      </w:pPr>
      <w:fldSimple w:instr=" SEQ level0 \*arabic ">
        <w:r w:rsidRPr="00D66F60">
          <w:rPr>
            <w:noProof/>
          </w:rPr>
          <w:t>8</w:t>
        </w:r>
      </w:fldSimple>
      <w:r w:rsidRPr="00D66F60">
        <w:t>. </w:t>
      </w:r>
      <w:r w:rsidRPr="00C12EF1">
        <w:t>W dniu 20 października 2011 roku skarżący został przeniesiony w inne miejsce w celu doprowad</w:t>
      </w:r>
      <w:r>
        <w:t>zenia na czynności proceduralne i w związku z tym wydano mu polecenie, by poddał się oględzinom ciała, on jednak odmówił</w:t>
      </w:r>
      <w:r w:rsidRPr="00C12EF1">
        <w:t xml:space="preserve">. </w:t>
      </w:r>
      <w:r w:rsidRPr="00854FB2">
        <w:t>Skarżący zwrócił się do funkcjonariuszy publicznych w sposób wulgarny oraz</w:t>
      </w:r>
      <w:r>
        <w:t xml:space="preserve"> nie okazywał skruchy. </w:t>
      </w:r>
      <w:r w:rsidRPr="00D66F60">
        <w:t>Jego wychowawca wystąpił zatem o wymierzenie kary dyscyplinarnej.</w:t>
      </w:r>
    </w:p>
    <w:p w:rsidR="003350CB" w:rsidRPr="00A077A4" w:rsidRDefault="003350CB" w:rsidP="000F277F">
      <w:pPr>
        <w:pStyle w:val="ECHRPara"/>
      </w:pPr>
      <w:fldSimple w:instr=" SEQ level0 \*arabic ">
        <w:r w:rsidRPr="00D66F60">
          <w:rPr>
            <w:noProof/>
          </w:rPr>
          <w:t>9</w:t>
        </w:r>
      </w:fldSimple>
      <w:r w:rsidRPr="00D66F60">
        <w:t>.  </w:t>
      </w:r>
      <w:r w:rsidRPr="00D8002E">
        <w:t xml:space="preserve">W dniu 26 października 2011 roku skarżący udał się do lekarza, by obciąć paznokcie i zachowywał się wobec niego w sposób agresywny, </w:t>
      </w:r>
      <w:r>
        <w:t xml:space="preserve">w związku z tym złożono kolejny wniosek o wymierzenie wobec niego kary dyscyplinarnej. </w:t>
      </w:r>
      <w:r w:rsidRPr="00A077A4">
        <w:t>Z treści uzasadnienia wniosku wynika, że skarżący przyznał się do popełnienia czynu</w:t>
      </w:r>
      <w:r>
        <w:t>, który stanowi podstawę nałożenia kary dyscyplinarnej, a jego postawa nie wykazywała skruchy</w:t>
      </w:r>
      <w:r w:rsidRPr="00A077A4">
        <w:t>.</w:t>
      </w:r>
    </w:p>
    <w:p w:rsidR="003350CB" w:rsidRPr="00204D06" w:rsidRDefault="003350CB" w:rsidP="000F277F">
      <w:pPr>
        <w:pStyle w:val="ECHRPara"/>
      </w:pPr>
      <w:fldSimple w:instr=" SEQ level0 \*arabic ">
        <w:r w:rsidRPr="00D66F60">
          <w:rPr>
            <w:noProof/>
          </w:rPr>
          <w:t>10</w:t>
        </w:r>
      </w:fldSimple>
      <w:r w:rsidRPr="00D66F60">
        <w:t>.  </w:t>
      </w:r>
      <w:r w:rsidRPr="00204D06">
        <w:t>W dniu 27 października 2011 roku Dyrektor Aresztu Śledczego w Sosnowcu zbadał jednocześnie oba wnioski i ukarał skarżącego naganą w drodze kary dyscyplinarnej.</w:t>
      </w:r>
    </w:p>
    <w:p w:rsidR="003350CB" w:rsidRPr="00D66F60" w:rsidRDefault="003350CB" w:rsidP="000F277F">
      <w:pPr>
        <w:pStyle w:val="ECHRPara"/>
      </w:pPr>
      <w:fldSimple w:instr=" SEQ level0 \*arabic ">
        <w:r w:rsidRPr="00D66F60">
          <w:rPr>
            <w:noProof/>
          </w:rPr>
          <w:t>11</w:t>
        </w:r>
      </w:fldSimple>
      <w:r w:rsidRPr="00D66F60">
        <w:t>.  Skarżący złożył zażalenie.</w:t>
      </w:r>
    </w:p>
    <w:p w:rsidR="003350CB" w:rsidRPr="0028074C" w:rsidRDefault="003350CB" w:rsidP="000F277F">
      <w:pPr>
        <w:pStyle w:val="ECHRPara"/>
      </w:pPr>
      <w:fldSimple w:instr=" SEQ level0 \*arabic ">
        <w:r w:rsidRPr="00D66F60">
          <w:rPr>
            <w:noProof/>
          </w:rPr>
          <w:t>12</w:t>
        </w:r>
      </w:fldSimple>
      <w:r w:rsidRPr="00D66F60">
        <w:t>.  </w:t>
      </w:r>
      <w:r w:rsidRPr="0028074C">
        <w:t>W dniu 17 stycznia 2012 roku Sąd Okręgowy w Katowicach oddalił zażalenie i utrzymał w mocy zaskarżoną decyzję uznając, że została wydana zgodnie z obowiązującymi prze</w:t>
      </w:r>
      <w:r>
        <w:t>p</w:t>
      </w:r>
      <w:r w:rsidRPr="0028074C">
        <w:t>isami prawa.</w:t>
      </w:r>
    </w:p>
    <w:p w:rsidR="003350CB" w:rsidRPr="0028074C" w:rsidRDefault="003350CB" w:rsidP="000F277F">
      <w:pPr>
        <w:pStyle w:val="ECHRPara"/>
      </w:pPr>
      <w:fldSimple w:instr=" SEQ level0 \*arabic ">
        <w:r w:rsidRPr="00D66F60">
          <w:rPr>
            <w:noProof/>
          </w:rPr>
          <w:t>13</w:t>
        </w:r>
      </w:fldSimple>
      <w:r w:rsidRPr="00D66F60">
        <w:t>.  </w:t>
      </w:r>
      <w:r w:rsidRPr="0028074C">
        <w:t>W dniu 18 maja 2012 roku skarżący ponownie odmówił poddani</w:t>
      </w:r>
      <w:r>
        <w:t>a</w:t>
      </w:r>
      <w:r w:rsidRPr="0028074C">
        <w:t xml:space="preserve"> się oględzinom ciała w jednostce penitencjarnej w Wojkowicach. </w:t>
      </w:r>
    </w:p>
    <w:p w:rsidR="003350CB" w:rsidRPr="0028074C" w:rsidRDefault="003350CB" w:rsidP="000F277F">
      <w:pPr>
        <w:pStyle w:val="ECHRPara"/>
      </w:pPr>
      <w:fldSimple w:instr=" SEQ level0 \*arabic ">
        <w:r w:rsidRPr="00D66F60">
          <w:rPr>
            <w:noProof/>
          </w:rPr>
          <w:t>14</w:t>
        </w:r>
      </w:fldSimple>
      <w:r w:rsidRPr="00D66F60">
        <w:t>.  </w:t>
      </w:r>
      <w:r w:rsidRPr="0028074C">
        <w:t xml:space="preserve">W dniu 23 maja 2012 roku Dyrektor Zakładu Karnego w Wojkowicach wymierzył wobec skarżącego karę dyscyplinarną </w:t>
      </w:r>
      <w:r>
        <w:t xml:space="preserve">w związku z odmową poddania się oględzinom ciała. </w:t>
      </w:r>
      <w:r w:rsidRPr="0028074C">
        <w:t>Skarżący miał zakaz otrzymywania paczek żywnościowych przez okres dwóch miesięcy.</w:t>
      </w:r>
      <w:r>
        <w:t xml:space="preserve"> </w:t>
      </w:r>
    </w:p>
    <w:p w:rsidR="003350CB" w:rsidRPr="002A60E2" w:rsidRDefault="003350CB" w:rsidP="000F277F">
      <w:pPr>
        <w:pStyle w:val="ECHRPara"/>
      </w:pPr>
      <w:fldSimple w:instr=" SEQ level0 \*arabic ">
        <w:r w:rsidRPr="00D66F60">
          <w:rPr>
            <w:noProof/>
          </w:rPr>
          <w:t>15</w:t>
        </w:r>
      </w:fldSimple>
      <w:r w:rsidRPr="00D66F60">
        <w:t>.  </w:t>
      </w:r>
      <w:r w:rsidRPr="002A60E2">
        <w:t>W dniu 28 maja 2012 roku skarżący złożył do sądu zażalenie na przedmiotową decyzję.</w:t>
      </w:r>
      <w:r>
        <w:t xml:space="preserve"> </w:t>
      </w:r>
    </w:p>
    <w:p w:rsidR="003350CB" w:rsidRPr="00E559F6" w:rsidRDefault="003350CB" w:rsidP="000F277F">
      <w:pPr>
        <w:pStyle w:val="ECHRPara"/>
      </w:pPr>
      <w:fldSimple w:instr=" SEQ level0 \*arabic ">
        <w:r w:rsidRPr="00D66F60">
          <w:rPr>
            <w:noProof/>
          </w:rPr>
          <w:t>16</w:t>
        </w:r>
      </w:fldSimple>
      <w:r w:rsidRPr="00D66F60">
        <w:t>.  </w:t>
      </w:r>
      <w:r w:rsidRPr="002A60E2">
        <w:t xml:space="preserve">W dniu 18 lipca 2012 roku Sąd Okręgowy w Katowicach oddalił zażalenie i utrzymał w mocy </w:t>
      </w:r>
      <w:r>
        <w:t>za</w:t>
      </w:r>
      <w:r w:rsidRPr="002A60E2">
        <w:t xml:space="preserve">kwestionowaną decyzję. </w:t>
      </w:r>
      <w:r w:rsidRPr="00E559F6">
        <w:t xml:space="preserve">Sąd nie zbadał </w:t>
      </w:r>
      <w:r>
        <w:t>przesłanek poddania skarżącego</w:t>
      </w:r>
      <w:r w:rsidRPr="00E559F6">
        <w:t xml:space="preserve"> oględzinom ciała. </w:t>
      </w:r>
      <w:r>
        <w:t>S</w:t>
      </w:r>
      <w:r w:rsidRPr="00E559F6">
        <w:t xml:space="preserve">twierdził, że przedmiotowa decyzja została wydana zgodnie z obowiązującymi przepisami </w:t>
      </w:r>
      <w:r>
        <w:t>Kodeksu karnego wykonawczego</w:t>
      </w:r>
      <w:r w:rsidRPr="00E559F6">
        <w:t>.</w:t>
      </w:r>
    </w:p>
    <w:p w:rsidR="003350CB" w:rsidRPr="000E7BAE" w:rsidRDefault="003350CB" w:rsidP="003472F3">
      <w:pPr>
        <w:pStyle w:val="ECHRPara"/>
        <w:keepNext/>
        <w:keepLines/>
      </w:pPr>
      <w:fldSimple w:instr=" SEQ level0 \*arabic ">
        <w:r w:rsidRPr="00D66F60">
          <w:rPr>
            <w:noProof/>
          </w:rPr>
          <w:t>17</w:t>
        </w:r>
      </w:fldSimple>
      <w:r w:rsidRPr="00D66F60">
        <w:t>.  </w:t>
      </w:r>
      <w:r w:rsidRPr="002D3E90">
        <w:t>W dniu 26 czerwca 2012 roku skarżący ponownie odmówił poddania się oględzinom ciała w jednostce penitencjarnej w Wojkowicach.</w:t>
      </w:r>
      <w:r>
        <w:t xml:space="preserve"> </w:t>
      </w:r>
      <w:r w:rsidRPr="000E7BAE">
        <w:t xml:space="preserve">Z wniosku o wymierzenie wobec skarżącego kary dyscyplinarnej, który został przedstawiony na piśmie wynika, że </w:t>
      </w:r>
      <w:r>
        <w:t>odmówił zdjęcia bielizny</w:t>
      </w:r>
      <w:r w:rsidRPr="000E7BAE">
        <w:t xml:space="preserve">. Wychowawca domagał się umieszczenia skarżącego w celi izolacyjnej na okres 7 </w:t>
      </w:r>
      <w:r w:rsidRPr="00DB7FD0">
        <w:t>dni za karę.</w:t>
      </w:r>
      <w:r w:rsidRPr="000E7BAE">
        <w:t xml:space="preserve"> </w:t>
      </w:r>
    </w:p>
    <w:p w:rsidR="003350CB" w:rsidRPr="00471478" w:rsidRDefault="003350CB" w:rsidP="000F277F">
      <w:pPr>
        <w:pStyle w:val="ECHRPara"/>
      </w:pPr>
      <w:fldSimple w:instr=" SEQ level0 \*arabic ">
        <w:r w:rsidRPr="00D66F60">
          <w:rPr>
            <w:noProof/>
          </w:rPr>
          <w:t>18</w:t>
        </w:r>
      </w:fldSimple>
      <w:r w:rsidRPr="00D66F60">
        <w:t>.  </w:t>
      </w:r>
      <w:r w:rsidRPr="00A732EC">
        <w:t xml:space="preserve">W dniu 27 czerwca 2012 roku Dyrektor Zakładu Karnego w Wojkowicach wymierzył </w:t>
      </w:r>
      <w:r>
        <w:t xml:space="preserve">wobec </w:t>
      </w:r>
      <w:r w:rsidRPr="00A732EC">
        <w:t>skarżące</w:t>
      </w:r>
      <w:r>
        <w:t>go</w:t>
      </w:r>
      <w:r w:rsidRPr="00A732EC">
        <w:t xml:space="preserve"> karę dyscyplinarną w postaci umieszczenia w </w:t>
      </w:r>
      <w:r>
        <w:t>celi izolacyjnej na okres 7 dni</w:t>
      </w:r>
      <w:r w:rsidRPr="00A732EC">
        <w:t xml:space="preserve">. </w:t>
      </w:r>
      <w:r>
        <w:t>Skarżący odbył karę pomiędzy dniem 27 czerwca a</w:t>
      </w:r>
      <w:r w:rsidRPr="00471478">
        <w:t xml:space="preserve"> 4 lipca 2012 roku. </w:t>
      </w:r>
    </w:p>
    <w:p w:rsidR="003350CB" w:rsidRPr="00843A1C" w:rsidRDefault="003350CB" w:rsidP="000F277F">
      <w:pPr>
        <w:pStyle w:val="ECHRPara"/>
      </w:pPr>
      <w:fldSimple w:instr=" SEQ level0 \*arabic ">
        <w:r w:rsidRPr="00D66F60">
          <w:rPr>
            <w:noProof/>
          </w:rPr>
          <w:t>19</w:t>
        </w:r>
      </w:fldSimple>
      <w:r w:rsidRPr="00D66F60">
        <w:t>.  </w:t>
      </w:r>
      <w:r w:rsidRPr="00843A1C">
        <w:t>Skarżący złożył zażalenie na tę decyzję.</w:t>
      </w:r>
      <w:r>
        <w:t xml:space="preserve"> </w:t>
      </w:r>
    </w:p>
    <w:p w:rsidR="003350CB" w:rsidRPr="00843A1C" w:rsidRDefault="003350CB" w:rsidP="000F277F">
      <w:pPr>
        <w:pStyle w:val="ECHRPara"/>
      </w:pPr>
      <w:fldSimple w:instr=" SEQ level0 \*arabic ">
        <w:r w:rsidRPr="00D66F60">
          <w:rPr>
            <w:noProof/>
          </w:rPr>
          <w:t>20</w:t>
        </w:r>
      </w:fldSimple>
      <w:r w:rsidRPr="00D66F60">
        <w:t>.  </w:t>
      </w:r>
      <w:r w:rsidRPr="00843A1C">
        <w:t xml:space="preserve">W dniu 3 września 2012 roku Sąd Okręgowy w Katowicach oddalił zażalenie i utrzymał w mocy </w:t>
      </w:r>
      <w:r>
        <w:t>za</w:t>
      </w:r>
      <w:r w:rsidRPr="00843A1C">
        <w:t xml:space="preserve">kwestionowaną decyzję uznając, że została wydana zgodnie z prawem i była uzasadniona w okolicznościach niniejszej sprawy, mianowicie </w:t>
      </w:r>
      <w:r>
        <w:t>skarżący odmówił poddania się oględzinom ciała</w:t>
      </w:r>
      <w:r w:rsidRPr="00843A1C">
        <w:t xml:space="preserve">, </w:t>
      </w:r>
      <w:r>
        <w:t>co stanowiło przewinienie dyscyplinarn</w:t>
      </w:r>
      <w:r w:rsidRPr="00817C01">
        <w:t>e.</w:t>
      </w:r>
    </w:p>
    <w:p w:rsidR="003350CB" w:rsidRPr="00A015A6" w:rsidRDefault="003350CB" w:rsidP="000F277F">
      <w:pPr>
        <w:pStyle w:val="ECHRPara"/>
      </w:pPr>
      <w:fldSimple w:instr=" SEQ level0 \*arabic ">
        <w:r w:rsidRPr="00D66F60">
          <w:rPr>
            <w:noProof/>
          </w:rPr>
          <w:t>21</w:t>
        </w:r>
      </w:fldSimple>
      <w:r w:rsidRPr="00D66F60">
        <w:t>.  </w:t>
      </w:r>
      <w:r w:rsidRPr="00A015A6">
        <w:t xml:space="preserve">W dniu 27 czerwca 2012 roku skarżący odmówił poddania się oględzinom ciała, gdy został przyjęty na oddział szpitalny oraz ponownie w dniu </w:t>
      </w:r>
      <w:r>
        <w:t xml:space="preserve">30 czerwca 2012 roku po powrocie ze spaceru. </w:t>
      </w:r>
      <w:r w:rsidRPr="00A015A6">
        <w:t>Z wniosku o wymierzenie kary dyscyplinarnej, który zosta</w:t>
      </w:r>
      <w:r>
        <w:t>ł</w:t>
      </w:r>
      <w:r w:rsidRPr="00A015A6">
        <w:t xml:space="preserve"> przedstawiony na piśmie wynika, że skarżący tolerował oględziny “</w:t>
      </w:r>
      <w:r>
        <w:t>w zakresie, który uważał za właściwy</w:t>
      </w:r>
      <w:r w:rsidRPr="00A015A6">
        <w:t>”.</w:t>
      </w:r>
    </w:p>
    <w:p w:rsidR="003350CB" w:rsidRPr="00B13CC8" w:rsidRDefault="003350CB" w:rsidP="000F277F">
      <w:pPr>
        <w:pStyle w:val="ECHRPara"/>
      </w:pPr>
      <w:fldSimple w:instr=" SEQ level0 \*arabic ">
        <w:r w:rsidRPr="00D66F60">
          <w:rPr>
            <w:noProof/>
          </w:rPr>
          <w:t>22</w:t>
        </w:r>
      </w:fldSimple>
      <w:r w:rsidRPr="00D66F60">
        <w:t>.  </w:t>
      </w:r>
      <w:r w:rsidRPr="00471478">
        <w:t>W dniu 4 czerwca 2012 roku Dyrektor Zakładu Karnego w Wojkowicach wymierzył wobec skarżącego karę dyscyplinarną w postaci umieszczenia w celi izolacyjnej na okres 7 dni.</w:t>
      </w:r>
      <w:r>
        <w:t xml:space="preserve"> </w:t>
      </w:r>
      <w:r w:rsidRPr="00D66F60">
        <w:t xml:space="preserve">Skarżący odbył karę pomiędzy dniem </w:t>
      </w:r>
      <w:smartTag w:uri="urn:schemas-microsoft-com:office:smarttags" w:element="metricconverter">
        <w:smartTagPr>
          <w:attr w:name="ProductID" w:val="4 a"/>
        </w:smartTagPr>
        <w:r w:rsidRPr="00D66F60">
          <w:t>4 a</w:t>
        </w:r>
      </w:smartTag>
      <w:r w:rsidRPr="00D66F60">
        <w:t xml:space="preserve"> 10 lipca 2012 roku. </w:t>
      </w:r>
      <w:r w:rsidRPr="00471478">
        <w:t>W decyzji z dnia 4 lipca 2012 roku stwierdzono, że podlega ona zaskarżeniu w terminie siedmiu dni w drodze zażalenia do sądu penitencj</w:t>
      </w:r>
      <w:r>
        <w:t>arnego</w:t>
      </w:r>
      <w:r w:rsidRPr="00471478">
        <w:t xml:space="preserve">. </w:t>
      </w:r>
      <w:r w:rsidRPr="00B13CC8">
        <w:t>Skarżący złożył zażalenia na tę decyzję.</w:t>
      </w:r>
    </w:p>
    <w:p w:rsidR="00DD456F" w:rsidRDefault="003350CB" w:rsidP="000F277F">
      <w:pPr>
        <w:pStyle w:val="ECHRPara"/>
      </w:pPr>
      <w:fldSimple w:instr=" SEQ level0 \*arabic ">
        <w:r w:rsidRPr="00D66F60">
          <w:rPr>
            <w:noProof/>
          </w:rPr>
          <w:t>23</w:t>
        </w:r>
      </w:fldSimple>
      <w:r w:rsidRPr="00D66F60">
        <w:t>.  </w:t>
      </w:r>
      <w:r w:rsidRPr="002E3738">
        <w:t>W uzasadnieniu pis</w:t>
      </w:r>
      <w:r>
        <w:t>e</w:t>
      </w:r>
      <w:r w:rsidRPr="002E3738">
        <w:t>mn</w:t>
      </w:r>
      <w:r>
        <w:t>ych wniosków</w:t>
      </w:r>
      <w:r w:rsidRPr="002E3738">
        <w:t xml:space="preserve"> z dnia 20 października i 26 grudnia 2011 oraz 27 i 30 czerwca 2012 roku o wymierzenie kary dyscyplinarnej stwierdzo</w:t>
      </w:r>
      <w:r>
        <w:t>n</w:t>
      </w:r>
      <w:r w:rsidRPr="002E3738">
        <w:t xml:space="preserve">o </w:t>
      </w:r>
      <w:r w:rsidRPr="00DD456F">
        <w:t xml:space="preserve">ponadto, że </w:t>
      </w:r>
      <w:r w:rsidR="00DD456F" w:rsidRPr="00DD456F">
        <w:t xml:space="preserve">skarżący nie wykazywał </w:t>
      </w:r>
      <w:r w:rsidRPr="00DD456F">
        <w:t>skruchy.</w:t>
      </w:r>
      <w:r>
        <w:t xml:space="preserve"> </w:t>
      </w:r>
    </w:p>
    <w:p w:rsidR="003350CB" w:rsidRPr="00125B20" w:rsidRDefault="003350CB" w:rsidP="000F277F">
      <w:pPr>
        <w:pStyle w:val="ECHRPara"/>
      </w:pPr>
      <w:fldSimple w:instr=" SEQ level0 \*arabic ">
        <w:r w:rsidRPr="00D66F60">
          <w:rPr>
            <w:noProof/>
          </w:rPr>
          <w:t>24</w:t>
        </w:r>
      </w:fldSimple>
      <w:r w:rsidRPr="00D66F60">
        <w:t>.  </w:t>
      </w:r>
      <w:r w:rsidRPr="00125B20">
        <w:t>W dniu 10 czerwca 2013 roku skarżący zakończył odbywanie kary i został zwolniony z więzienia.</w:t>
      </w:r>
    </w:p>
    <w:p w:rsidR="003350CB" w:rsidRPr="00B13CC8" w:rsidRDefault="003350CB">
      <w:pPr>
        <w:pStyle w:val="ECHRHeading1"/>
        <w:rPr>
          <w:lang w:val="pl-PL"/>
        </w:rPr>
      </w:pPr>
      <w:r w:rsidRPr="00B13CC8">
        <w:rPr>
          <w:lang w:val="pl-PL"/>
        </w:rPr>
        <w:t>II.  WŁAŚCIWE PRAWO KRAJOWE I PRAKTYKA</w:t>
      </w:r>
    </w:p>
    <w:p w:rsidR="003350CB" w:rsidRPr="00B13CC8" w:rsidRDefault="003350CB">
      <w:pPr>
        <w:pStyle w:val="ECHRHeading2"/>
        <w:rPr>
          <w:lang w:val="pl-PL"/>
        </w:rPr>
      </w:pPr>
      <w:r w:rsidRPr="00B13CC8">
        <w:rPr>
          <w:lang w:val="pl-PL"/>
        </w:rPr>
        <w:t>A.  Kontrola osobista</w:t>
      </w:r>
    </w:p>
    <w:p w:rsidR="003350CB" w:rsidRPr="00D66F60" w:rsidRDefault="003350CB" w:rsidP="000F277F">
      <w:pPr>
        <w:pStyle w:val="ECHRPara"/>
      </w:pPr>
      <w:fldSimple w:instr=" SEQ level0 \*arabic ">
        <w:r w:rsidRPr="00B13CC8">
          <w:rPr>
            <w:noProof/>
          </w:rPr>
          <w:t>25</w:t>
        </w:r>
      </w:fldSimple>
      <w:r w:rsidRPr="00B13CC8">
        <w:t>.  </w:t>
      </w:r>
      <w:r w:rsidRPr="00D66F60">
        <w:t xml:space="preserve">Artykuł 116 ust. 2 </w:t>
      </w:r>
      <w:r w:rsidRPr="00DD456F">
        <w:t>Kodeksu karnego wykonawczego, w</w:t>
      </w:r>
      <w:r w:rsidRPr="00D66F60">
        <w:t xml:space="preserve"> istotnym dla sprawie zakresie, </w:t>
      </w:r>
      <w:r>
        <w:t>stanowi</w:t>
      </w:r>
      <w:r w:rsidRPr="00D66F60">
        <w:t>:</w:t>
      </w:r>
    </w:p>
    <w:p w:rsidR="003350CB" w:rsidRPr="004511DA" w:rsidRDefault="003350CB">
      <w:pPr>
        <w:pStyle w:val="ECHRParaQuote"/>
        <w:rPr>
          <w:lang w:val="pl-PL"/>
        </w:rPr>
      </w:pPr>
      <w:r w:rsidRPr="004511DA">
        <w:rPr>
          <w:lang w:val="pl-PL"/>
        </w:rPr>
        <w:t>“W wypadkach uzasadnionych względami porządku lub bezpieczeństwa skazany pod</w:t>
      </w:r>
      <w:r>
        <w:rPr>
          <w:lang w:val="pl-PL"/>
        </w:rPr>
        <w:t>lega kontroli osobistej</w:t>
      </w:r>
      <w:r w:rsidRPr="004511DA">
        <w:rPr>
          <w:lang w:val="pl-PL"/>
        </w:rPr>
        <w:t>.”</w:t>
      </w:r>
    </w:p>
    <w:p w:rsidR="003350CB" w:rsidRPr="001C47D1" w:rsidRDefault="003350CB" w:rsidP="000F277F">
      <w:pPr>
        <w:pStyle w:val="ECHRPara"/>
      </w:pPr>
      <w:fldSimple w:instr=" SEQ level0 \*arabic ">
        <w:r w:rsidRPr="00B13CC8">
          <w:rPr>
            <w:noProof/>
          </w:rPr>
          <w:t>26</w:t>
        </w:r>
      </w:fldSimple>
      <w:r w:rsidRPr="00B13CC8">
        <w:t>.  </w:t>
      </w:r>
      <w:r w:rsidRPr="001C47D1">
        <w:t>Artykuł 116 ust. 3 Kodeksu karnego wykonawczego definiuje “</w:t>
      </w:r>
      <w:r>
        <w:t>kontrolę osobistą</w:t>
      </w:r>
      <w:r w:rsidRPr="001C47D1">
        <w:t xml:space="preserve">” </w:t>
      </w:r>
      <w:r>
        <w:t>w następujący sposób</w:t>
      </w:r>
      <w:r w:rsidRPr="001C47D1">
        <w:t>:</w:t>
      </w:r>
    </w:p>
    <w:p w:rsidR="003350CB" w:rsidRPr="00363A45" w:rsidRDefault="003350CB">
      <w:pPr>
        <w:pStyle w:val="ECHRParaQuote"/>
        <w:rPr>
          <w:lang w:val="pl-PL"/>
        </w:rPr>
      </w:pPr>
      <w:r w:rsidRPr="00363A45">
        <w:rPr>
          <w:lang w:val="pl-PL"/>
        </w:rPr>
        <w:t xml:space="preserve">“Kontrola osobista polega na oględzinach ciała oraz sprawdzeniu odzieży, </w:t>
      </w:r>
      <w:r>
        <w:rPr>
          <w:lang w:val="pl-PL"/>
        </w:rPr>
        <w:t>bielizny i obuwia</w:t>
      </w:r>
      <w:r w:rsidRPr="00363A45">
        <w:rPr>
          <w:lang w:val="pl-PL"/>
        </w:rPr>
        <w:t xml:space="preserve"> </w:t>
      </w:r>
      <w:r>
        <w:rPr>
          <w:lang w:val="pl-PL"/>
        </w:rPr>
        <w:t>a także przedmiotów posiadanych przez skazanego. Oględziny ciała oraz sprawdzenie odzieży i obuwia przeprowadza się w pomieszczeniu, podczas nieobecności osób postronnych oraz osób odmiennej płci i dokonywane są za pośrednictwem osoby tej samem płci</w:t>
      </w:r>
      <w:r w:rsidRPr="00363A45">
        <w:rPr>
          <w:lang w:val="pl-PL"/>
        </w:rPr>
        <w:t>.”</w:t>
      </w:r>
    </w:p>
    <w:p w:rsidR="003350CB" w:rsidRPr="00B13CC8" w:rsidRDefault="003350CB">
      <w:pPr>
        <w:pStyle w:val="ECHRHeading2"/>
        <w:rPr>
          <w:lang w:val="pl-PL"/>
        </w:rPr>
      </w:pPr>
      <w:r w:rsidRPr="00B13CC8">
        <w:rPr>
          <w:rStyle w:val="s7d2086b4"/>
          <w:lang w:val="pl-PL"/>
        </w:rPr>
        <w:t>B.  Ochrona dóbr osobistych</w:t>
      </w:r>
    </w:p>
    <w:p w:rsidR="003350CB" w:rsidRPr="00245608" w:rsidRDefault="003350CB" w:rsidP="000F277F">
      <w:pPr>
        <w:pStyle w:val="ECHRPara"/>
        <w:rPr>
          <w:rStyle w:val="JuParaCar"/>
        </w:rPr>
      </w:pPr>
      <w:r w:rsidRPr="00B13CC8">
        <w:rPr>
          <w:rStyle w:val="JuParaCar"/>
        </w:rPr>
        <w:fldChar w:fldCharType="begin"/>
      </w:r>
      <w:r w:rsidRPr="00B13CC8">
        <w:rPr>
          <w:rStyle w:val="JuParaCar"/>
        </w:rPr>
        <w:instrText xml:space="preserve"> SEQ level0 \*arabic </w:instrText>
      </w:r>
      <w:r w:rsidRPr="00B13CC8">
        <w:rPr>
          <w:rStyle w:val="JuParaCar"/>
        </w:rPr>
        <w:fldChar w:fldCharType="separate"/>
      </w:r>
      <w:r w:rsidRPr="00B13CC8">
        <w:rPr>
          <w:rStyle w:val="JuParaCar"/>
          <w:noProof/>
        </w:rPr>
        <w:t>27</w:t>
      </w:r>
      <w:r w:rsidRPr="00B13CC8">
        <w:rPr>
          <w:rStyle w:val="JuParaCar"/>
        </w:rPr>
        <w:fldChar w:fldCharType="end"/>
      </w:r>
      <w:r w:rsidRPr="00B13CC8">
        <w:rPr>
          <w:rStyle w:val="JuParaCar"/>
        </w:rPr>
        <w:t>.  </w:t>
      </w:r>
      <w:r w:rsidRPr="00245608">
        <w:rPr>
          <w:rStyle w:val="JuParaCar"/>
        </w:rPr>
        <w:t xml:space="preserve">Artykuł 23 Kodeksu cywilnego określa </w:t>
      </w:r>
      <w:r>
        <w:rPr>
          <w:rStyle w:val="JuParaCar"/>
        </w:rPr>
        <w:t xml:space="preserve">otwarty katalog </w:t>
      </w:r>
      <w:r w:rsidRPr="00245608">
        <w:rPr>
          <w:rStyle w:val="JuParaCar"/>
        </w:rPr>
        <w:t>tak zwanych “dóbr osobistych” w następujący sposób:</w:t>
      </w:r>
    </w:p>
    <w:p w:rsidR="003350CB" w:rsidRPr="00245608" w:rsidRDefault="003350CB">
      <w:pPr>
        <w:pStyle w:val="ECHRParaQuote"/>
        <w:rPr>
          <w:lang w:val="pl-PL"/>
        </w:rPr>
      </w:pPr>
      <w:r w:rsidRPr="00245608">
        <w:rPr>
          <w:rStyle w:val="sfbbfee58"/>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w:t>
      </w:r>
      <w:r>
        <w:rPr>
          <w:rStyle w:val="sfbbfee58"/>
          <w:lang w:val="pl-PL"/>
        </w:rPr>
        <w:t>zewidzianej w innych przepisach.</w:t>
      </w:r>
      <w:r w:rsidRPr="00245608">
        <w:rPr>
          <w:rStyle w:val="sfbbfee58"/>
          <w:lang w:val="pl-PL"/>
        </w:rPr>
        <w:t>”</w:t>
      </w:r>
    </w:p>
    <w:p w:rsidR="003350CB" w:rsidRPr="005B1F09" w:rsidRDefault="003350CB" w:rsidP="000F277F">
      <w:pPr>
        <w:pStyle w:val="ECHRPara"/>
      </w:pPr>
      <w:r w:rsidRPr="00B13CC8">
        <w:rPr>
          <w:rStyle w:val="sb8d990e2"/>
        </w:rPr>
        <w:fldChar w:fldCharType="begin"/>
      </w:r>
      <w:r w:rsidRPr="00B13CC8">
        <w:rPr>
          <w:rStyle w:val="sb8d990e2"/>
        </w:rPr>
        <w:instrText xml:space="preserve"> SEQ level0 \*arabic </w:instrText>
      </w:r>
      <w:r w:rsidRPr="00B13CC8">
        <w:rPr>
          <w:rStyle w:val="sb8d990e2"/>
        </w:rPr>
        <w:fldChar w:fldCharType="separate"/>
      </w:r>
      <w:r w:rsidRPr="00B13CC8">
        <w:rPr>
          <w:rStyle w:val="sb8d990e2"/>
          <w:noProof/>
        </w:rPr>
        <w:t>28</w:t>
      </w:r>
      <w:r w:rsidRPr="00B13CC8">
        <w:rPr>
          <w:rStyle w:val="sb8d990e2"/>
        </w:rPr>
        <w:fldChar w:fldCharType="end"/>
      </w:r>
      <w:r w:rsidRPr="00B13CC8">
        <w:rPr>
          <w:rStyle w:val="sb8d990e2"/>
        </w:rPr>
        <w:t>.  </w:t>
      </w:r>
      <w:r w:rsidRPr="005B1F09">
        <w:rPr>
          <w:rStyle w:val="sb8d990e2"/>
        </w:rPr>
        <w:t xml:space="preserve">Artykuł 24 ust. 1 Kodeksu cywilnego </w:t>
      </w:r>
      <w:r>
        <w:rPr>
          <w:rStyle w:val="sb8d990e2"/>
        </w:rPr>
        <w:t>stanowi</w:t>
      </w:r>
      <w:r w:rsidRPr="005B1F09">
        <w:rPr>
          <w:rStyle w:val="sb8d990e2"/>
        </w:rPr>
        <w:t>:</w:t>
      </w:r>
    </w:p>
    <w:p w:rsidR="003350CB" w:rsidRPr="00855E89" w:rsidRDefault="003350CB">
      <w:pPr>
        <w:pStyle w:val="ECHRParaQuote"/>
        <w:rPr>
          <w:lang w:val="pl-PL"/>
        </w:rPr>
      </w:pPr>
      <w:r w:rsidRPr="00855E89">
        <w:rPr>
          <w:rStyle w:val="sfbbfee58"/>
          <w:lang w:val="pl-PL"/>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w:t>
      </w:r>
      <w:r>
        <w:rPr>
          <w:rStyle w:val="sfbbfee58"/>
          <w:lang w:val="pl-PL"/>
        </w:rPr>
        <w:t xml:space="preserve"> </w:t>
      </w:r>
      <w:r w:rsidRPr="00855E89">
        <w:rPr>
          <w:rStyle w:val="sfbbfee58"/>
          <w:lang w:val="pl-PL"/>
        </w:rPr>
        <w:t>... Na zasadach przewidzianych w kodeksie może on również żądać zadośćuczynienia pieniężnego lub zapłaty odpowiedniej sumy pieniężnej na wskazany cel społeczny.”</w:t>
      </w:r>
    </w:p>
    <w:p w:rsidR="003350CB" w:rsidRPr="00B13CC8" w:rsidRDefault="003350CB" w:rsidP="000F277F">
      <w:pPr>
        <w:pStyle w:val="ECHRPara"/>
      </w:pPr>
      <w:r w:rsidRPr="00B13CC8">
        <w:rPr>
          <w:rStyle w:val="sb8d990e2"/>
        </w:rPr>
        <w:fldChar w:fldCharType="begin"/>
      </w:r>
      <w:r w:rsidRPr="00B13CC8">
        <w:rPr>
          <w:rStyle w:val="sb8d990e2"/>
        </w:rPr>
        <w:instrText xml:space="preserve"> SEQ level0 \*arabic </w:instrText>
      </w:r>
      <w:r w:rsidRPr="00B13CC8">
        <w:rPr>
          <w:rStyle w:val="sb8d990e2"/>
        </w:rPr>
        <w:fldChar w:fldCharType="separate"/>
      </w:r>
      <w:r w:rsidRPr="00B13CC8">
        <w:rPr>
          <w:rStyle w:val="sb8d990e2"/>
          <w:noProof/>
        </w:rPr>
        <w:t>29</w:t>
      </w:r>
      <w:r w:rsidRPr="00B13CC8">
        <w:rPr>
          <w:rStyle w:val="sb8d990e2"/>
        </w:rPr>
        <w:fldChar w:fldCharType="end"/>
      </w:r>
      <w:r w:rsidRPr="00B13CC8">
        <w:rPr>
          <w:rStyle w:val="sb8d990e2"/>
        </w:rPr>
        <w:t>.  Artykuł 448 Kodeksu cywilnego stanowi:</w:t>
      </w:r>
    </w:p>
    <w:p w:rsidR="003350CB" w:rsidRPr="008E180F" w:rsidRDefault="003350CB">
      <w:pPr>
        <w:pStyle w:val="ECHRParaQuote"/>
        <w:rPr>
          <w:rStyle w:val="sfbbfee58"/>
          <w:lang w:val="pl-PL"/>
        </w:rPr>
      </w:pPr>
      <w:r w:rsidRPr="00DF44F7">
        <w:rPr>
          <w:rStyle w:val="sfbbfee58"/>
          <w:lang w:val="pl-PL"/>
        </w:rPr>
        <w:t>“W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 …</w:t>
      </w:r>
      <w:r w:rsidRPr="008E180F">
        <w:rPr>
          <w:rStyle w:val="sfbbfee58"/>
          <w:lang w:val="pl-PL"/>
        </w:rPr>
        <w:t>”</w:t>
      </w:r>
    </w:p>
    <w:p w:rsidR="003350CB" w:rsidRPr="00B13CC8" w:rsidRDefault="003350CB" w:rsidP="00703B1C">
      <w:pPr>
        <w:pStyle w:val="ECHRHeading2"/>
        <w:rPr>
          <w:rStyle w:val="s7d2086b4"/>
          <w:lang w:val="pl-PL"/>
        </w:rPr>
      </w:pPr>
      <w:r w:rsidRPr="00B13CC8">
        <w:rPr>
          <w:rStyle w:val="s7d2086b4"/>
          <w:lang w:val="pl-PL"/>
        </w:rPr>
        <w:t>C.  Rekomendacje Rzecznika Praw Obywatelskich</w:t>
      </w:r>
    </w:p>
    <w:p w:rsidR="003350CB" w:rsidRPr="001F7F2B" w:rsidRDefault="003350CB" w:rsidP="00226F5D">
      <w:pPr>
        <w:pStyle w:val="ECHRPara"/>
      </w:pPr>
      <w:fldSimple w:instr=" SEQ level0 \*arabic ">
        <w:r w:rsidRPr="00B13CC8">
          <w:rPr>
            <w:noProof/>
          </w:rPr>
          <w:t>30</w:t>
        </w:r>
      </w:fldSimple>
      <w:r w:rsidRPr="00B13CC8">
        <w:t>.  </w:t>
      </w:r>
      <w:r w:rsidRPr="00BD312E">
        <w:t xml:space="preserve">W dniu 23 grudnia 2014 roku Rzecznik Praw Obywatelskich zwrócił się do Ministra Sprawiedliwości </w:t>
      </w:r>
      <w:r>
        <w:t xml:space="preserve">z </w:t>
      </w:r>
      <w:r w:rsidRPr="00BD312E">
        <w:t>oficjalnym pismem</w:t>
      </w:r>
      <w:r>
        <w:t>, w którym</w:t>
      </w:r>
      <w:r w:rsidRPr="00BD312E">
        <w:t xml:space="preserve"> </w:t>
      </w:r>
      <w:r>
        <w:t>podniósł kwestie dotyczące</w:t>
      </w:r>
      <w:r w:rsidRPr="00BD312E">
        <w:t xml:space="preserve"> </w:t>
      </w:r>
      <w:r>
        <w:t>kontroli osobistej oraz przeszukania z rozbieraniem więźniów</w:t>
      </w:r>
      <w:r w:rsidRPr="00BD312E">
        <w:t xml:space="preserve">. </w:t>
      </w:r>
      <w:r w:rsidRPr="00594836">
        <w:t>Rzecznik Praw Obywatelskich wskazał na fakt, że brak szczegółowych przepisów określających rodzaje kontroli oraz ich cel</w:t>
      </w:r>
      <w:r>
        <w:t>, a także</w:t>
      </w:r>
      <w:r w:rsidRPr="00594836">
        <w:t xml:space="preserve"> brak przepisów określających </w:t>
      </w:r>
      <w:r>
        <w:t>prawa osób</w:t>
      </w:r>
      <w:r w:rsidRPr="00594836">
        <w:t xml:space="preserve"> </w:t>
      </w:r>
      <w:r>
        <w:t>wykonujących kontrole</w:t>
      </w:r>
      <w:r w:rsidRPr="00594836">
        <w:t xml:space="preserve"> </w:t>
      </w:r>
      <w:r>
        <w:t>może tworzyć przestrzeń dla</w:t>
      </w:r>
      <w:r w:rsidRPr="00594836">
        <w:t xml:space="preserve"> </w:t>
      </w:r>
      <w:r>
        <w:t>arbitralności i groźby naruszenia standardów</w:t>
      </w:r>
      <w:r w:rsidRPr="00594836">
        <w:t xml:space="preserve"> </w:t>
      </w:r>
      <w:r>
        <w:t xml:space="preserve">wynikających z Europejskiej Konwencji Praw Człowieka. </w:t>
      </w:r>
      <w:r w:rsidRPr="00252889">
        <w:t>Rzecznik Praw Obywatelskich wydał następnie rekomendacje, by osoba wobec której wydano decyzję dotyczącą kontroli osobistej miała prawo zakwestionowania tej</w:t>
      </w:r>
      <w:r>
        <w:t xml:space="preserve"> decyzji przed sądem</w:t>
      </w:r>
      <w:r w:rsidRPr="001F7F2B">
        <w:t>.</w:t>
      </w:r>
    </w:p>
    <w:p w:rsidR="003350CB" w:rsidRPr="00B13CC8" w:rsidRDefault="003350CB">
      <w:pPr>
        <w:pStyle w:val="ECHRTitle1"/>
        <w:rPr>
          <w:lang w:val="pl-PL"/>
        </w:rPr>
      </w:pPr>
      <w:r w:rsidRPr="00B13CC8">
        <w:rPr>
          <w:lang w:val="pl-PL"/>
        </w:rPr>
        <w:lastRenderedPageBreak/>
        <w:t>PRAWO</w:t>
      </w:r>
    </w:p>
    <w:p w:rsidR="003350CB" w:rsidRPr="00B13CC8" w:rsidRDefault="003350CB">
      <w:pPr>
        <w:pStyle w:val="ECHRHeading1"/>
        <w:rPr>
          <w:lang w:val="pl-PL"/>
        </w:rPr>
      </w:pPr>
      <w:r w:rsidRPr="00B13CC8">
        <w:rPr>
          <w:lang w:val="pl-PL"/>
        </w:rPr>
        <w:t>I.  ZARZUT NARUSZENIA ARTYKUŁU 3 KONWENCJI</w:t>
      </w:r>
    </w:p>
    <w:p w:rsidR="003350CB" w:rsidRPr="001F7F2B" w:rsidRDefault="003350CB" w:rsidP="000F277F">
      <w:pPr>
        <w:pStyle w:val="ECHRPara"/>
      </w:pPr>
      <w:fldSimple w:instr=" SEQ level0 \*arabic ">
        <w:r w:rsidRPr="00B13CC8">
          <w:rPr>
            <w:noProof/>
          </w:rPr>
          <w:t>31</w:t>
        </w:r>
      </w:fldSimple>
      <w:r w:rsidRPr="00B13CC8">
        <w:t>.  </w:t>
      </w:r>
      <w:r w:rsidRPr="001F7F2B">
        <w:t>Skarżący sformułował zarzut, że przeszukania z rozbieraniem, którym został poddany oraz zastosowanie wobe</w:t>
      </w:r>
      <w:r>
        <w:t>c</w:t>
      </w:r>
      <w:r w:rsidRPr="001F7F2B">
        <w:t xml:space="preserve"> niego kar dyscyplinarnych stanowiło naruszenie </w:t>
      </w:r>
      <w:r>
        <w:t>Artykułu</w:t>
      </w:r>
      <w:r w:rsidRPr="001F7F2B">
        <w:t xml:space="preserve"> 3 </w:t>
      </w:r>
      <w:r>
        <w:t>Konwencji</w:t>
      </w:r>
      <w:r w:rsidRPr="001F7F2B">
        <w:t xml:space="preserve">, </w:t>
      </w:r>
      <w:r>
        <w:t>który stanowi</w:t>
      </w:r>
      <w:r w:rsidRPr="001F7F2B">
        <w:t>:</w:t>
      </w:r>
    </w:p>
    <w:p w:rsidR="003350CB" w:rsidRPr="003E4669" w:rsidRDefault="003350CB">
      <w:pPr>
        <w:pStyle w:val="ECHRParaQuote"/>
        <w:rPr>
          <w:lang w:val="pl-PL"/>
        </w:rPr>
      </w:pPr>
      <w:r w:rsidRPr="003E4669">
        <w:rPr>
          <w:lang w:val="pl-PL"/>
        </w:rPr>
        <w:t>“Nikt nie może być poddany torturom ani nieludzkiemu lub poniżającemu</w:t>
      </w:r>
      <w:r>
        <w:rPr>
          <w:lang w:val="pl-PL"/>
        </w:rPr>
        <w:t xml:space="preserve"> traktowaniu albo karaniu</w:t>
      </w:r>
      <w:r w:rsidRPr="003E4669">
        <w:rPr>
          <w:lang w:val="pl-PL"/>
        </w:rPr>
        <w:t>.”</w:t>
      </w:r>
    </w:p>
    <w:p w:rsidR="003350CB" w:rsidRPr="00015E90" w:rsidRDefault="003350CB" w:rsidP="000F277F">
      <w:pPr>
        <w:pStyle w:val="ECHRPara"/>
      </w:pPr>
      <w:fldSimple w:instr=" SEQ level0 \*arabic ">
        <w:r w:rsidRPr="00B13CC8">
          <w:rPr>
            <w:noProof/>
          </w:rPr>
          <w:t>32</w:t>
        </w:r>
      </w:fldSimple>
      <w:r w:rsidRPr="00B13CC8">
        <w:t xml:space="preserve">.  Rząd zakwestionował ten argument. </w:t>
      </w:r>
      <w:r w:rsidRPr="00015E90">
        <w:t xml:space="preserve">Rząd uznał, że oględziny ciała, których dotyczy skarga zostały przeprowadzone zgodnie z odpowiednimi przepisami prawa </w:t>
      </w:r>
      <w:r>
        <w:t>i</w:t>
      </w:r>
      <w:r w:rsidRPr="00015E90">
        <w:t xml:space="preserve"> nie były arbitralne lub </w:t>
      </w:r>
      <w:r>
        <w:t>nadmierne</w:t>
      </w:r>
      <w:r w:rsidRPr="00015E90">
        <w:t>.</w:t>
      </w:r>
    </w:p>
    <w:p w:rsidR="003350CB" w:rsidRPr="00215CF1" w:rsidRDefault="003350CB" w:rsidP="000F277F">
      <w:pPr>
        <w:pStyle w:val="ECHRPara"/>
      </w:pPr>
      <w:fldSimple w:instr=" SEQ level0 \*arabic ">
        <w:r w:rsidRPr="00B13CC8">
          <w:rPr>
            <w:noProof/>
          </w:rPr>
          <w:t>33</w:t>
        </w:r>
      </w:fldSimple>
      <w:r w:rsidRPr="00B13CC8">
        <w:t>.  </w:t>
      </w:r>
      <w:r w:rsidRPr="00015E90">
        <w:t xml:space="preserve">Skarżący nie zakwestionował “procedury dotyczącej oględzin ciała” </w:t>
      </w:r>
      <w:r>
        <w:t>jako takiej</w:t>
      </w:r>
      <w:r w:rsidRPr="00015E90">
        <w:t xml:space="preserve">. </w:t>
      </w:r>
      <w:r w:rsidRPr="00A90A06">
        <w:t>Jednakże</w:t>
      </w:r>
      <w:r w:rsidR="00DD456F">
        <w:t xml:space="preserve"> </w:t>
      </w:r>
      <w:r w:rsidRPr="00A90A06">
        <w:t xml:space="preserve">uznał takie </w:t>
      </w:r>
      <w:r>
        <w:t>oglę</w:t>
      </w:r>
      <w:r w:rsidRPr="00A90A06">
        <w:t>dziny za nieuzasadnione, poni</w:t>
      </w:r>
      <w:r>
        <w:t>e</w:t>
      </w:r>
      <w:r w:rsidRPr="00A90A06">
        <w:t>waż nigdy nie dał władzom penitencjarnym żadnych podstaw</w:t>
      </w:r>
      <w:r w:rsidR="00DD456F">
        <w:t xml:space="preserve"> </w:t>
      </w:r>
      <w:r w:rsidRPr="00A90A06">
        <w:t>by podejrzewać go</w:t>
      </w:r>
      <w:r>
        <w:t xml:space="preserve"> </w:t>
      </w:r>
      <w:r w:rsidRPr="00DD456F">
        <w:t>o</w:t>
      </w:r>
      <w:r w:rsidRPr="00A90A06">
        <w:t xml:space="preserve"> to, że</w:t>
      </w:r>
      <w:r>
        <w:t xml:space="preserve"> może stwarzać niebezpieczeństwo w więz</w:t>
      </w:r>
      <w:r w:rsidRPr="00A90A06">
        <w:t>ieniu.</w:t>
      </w:r>
      <w:r>
        <w:t xml:space="preserve"> </w:t>
      </w:r>
    </w:p>
    <w:p w:rsidR="003350CB" w:rsidRPr="00B13CC8" w:rsidRDefault="003350CB">
      <w:pPr>
        <w:pStyle w:val="ECHRHeading2"/>
        <w:outlineLvl w:val="0"/>
        <w:rPr>
          <w:lang w:val="pl-PL"/>
        </w:rPr>
      </w:pPr>
      <w:r w:rsidRPr="00B13CC8">
        <w:rPr>
          <w:lang w:val="pl-PL"/>
        </w:rPr>
        <w:t>Dopuszczal</w:t>
      </w:r>
      <w:r w:rsidR="00DD456F">
        <w:rPr>
          <w:lang w:val="pl-PL"/>
        </w:rPr>
        <w:t>n</w:t>
      </w:r>
      <w:r w:rsidRPr="00B13CC8">
        <w:rPr>
          <w:lang w:val="pl-PL"/>
        </w:rPr>
        <w:t>ość skargi</w:t>
      </w:r>
    </w:p>
    <w:p w:rsidR="003350CB" w:rsidRPr="008D60FC" w:rsidRDefault="003350CB">
      <w:pPr>
        <w:pStyle w:val="ECHRHeading3"/>
        <w:rPr>
          <w:lang w:val="pl-PL"/>
        </w:rPr>
      </w:pPr>
      <w:r w:rsidRPr="00B13CC8">
        <w:rPr>
          <w:lang w:val="pl-PL"/>
        </w:rPr>
        <w:t>1.  </w:t>
      </w:r>
      <w:r w:rsidRPr="008D60FC">
        <w:rPr>
          <w:lang w:val="pl-PL"/>
        </w:rPr>
        <w:t>Sprzeciw Rządu dotyczący niewyczerpania krajowych środków odwoław</w:t>
      </w:r>
      <w:r>
        <w:rPr>
          <w:lang w:val="pl-PL"/>
        </w:rPr>
        <w:t>c</w:t>
      </w:r>
      <w:r w:rsidRPr="008D60FC">
        <w:rPr>
          <w:lang w:val="pl-PL"/>
        </w:rPr>
        <w:t xml:space="preserve">zych </w:t>
      </w:r>
    </w:p>
    <w:p w:rsidR="003350CB" w:rsidRPr="008D60FC" w:rsidRDefault="003350CB" w:rsidP="000F277F">
      <w:pPr>
        <w:pStyle w:val="ECHRPara"/>
      </w:pPr>
      <w:fldSimple w:instr=" SEQ level0 \*arabic ">
        <w:r w:rsidRPr="00B13CC8">
          <w:rPr>
            <w:noProof/>
          </w:rPr>
          <w:t>34</w:t>
        </w:r>
      </w:fldSimple>
      <w:r w:rsidRPr="00B13CC8">
        <w:t>.  </w:t>
      </w:r>
      <w:r w:rsidRPr="008D60FC">
        <w:t xml:space="preserve">Rząd stwierdził, że skarżący nie wykorzystał wszystkich krajowych środków odwoławczych dostępnych na </w:t>
      </w:r>
      <w:r>
        <w:t>mocy</w:t>
      </w:r>
      <w:r w:rsidRPr="008D60FC">
        <w:t xml:space="preserve"> polskiego prawa; pod</w:t>
      </w:r>
      <w:r>
        <w:t>n</w:t>
      </w:r>
      <w:r w:rsidRPr="008D60FC">
        <w:t xml:space="preserve">iósł, że skarżący powinien był </w:t>
      </w:r>
      <w:r>
        <w:t>skorzystać z możliwości</w:t>
      </w:r>
      <w:r w:rsidRPr="008D60FC">
        <w:t xml:space="preserve"> </w:t>
      </w:r>
      <w:r>
        <w:t>wniesienia skargi na podstawie</w:t>
      </w:r>
      <w:r w:rsidRPr="008D60FC">
        <w:t xml:space="preserve"> </w:t>
      </w:r>
      <w:r>
        <w:t>artykułów</w:t>
      </w:r>
      <w:r w:rsidRPr="008D60FC">
        <w:t xml:space="preserve"> 23 </w:t>
      </w:r>
      <w:r>
        <w:t xml:space="preserve">oraz </w:t>
      </w:r>
      <w:r w:rsidRPr="008D60FC">
        <w:t xml:space="preserve">24 </w:t>
      </w:r>
      <w:r>
        <w:t>polskiego Kodeksu cywilnego</w:t>
      </w:r>
      <w:r w:rsidRPr="008D60FC">
        <w:t xml:space="preserve"> </w:t>
      </w:r>
      <w:r>
        <w:t>w celu ochrony dóbr osobistych</w:t>
      </w:r>
      <w:r w:rsidRPr="008D60FC">
        <w:t>.</w:t>
      </w:r>
    </w:p>
    <w:p w:rsidR="003350CB" w:rsidRPr="000C6C34" w:rsidRDefault="003350CB" w:rsidP="000F277F">
      <w:pPr>
        <w:pStyle w:val="ECHRPara"/>
      </w:pPr>
      <w:fldSimple w:instr=" SEQ level0 \*arabic ">
        <w:r w:rsidRPr="00B13CC8">
          <w:rPr>
            <w:noProof/>
          </w:rPr>
          <w:t>35</w:t>
        </w:r>
      </w:fldSimple>
      <w:r w:rsidRPr="00B13CC8">
        <w:t>.  </w:t>
      </w:r>
      <w:r w:rsidRPr="00BD46B4">
        <w:t xml:space="preserve">Pełnomocnik skarżącego stwierdził, że skarżący złożył zażalenie na większość decyzji nakładających na niego kary dyscyplinarne </w:t>
      </w:r>
      <w:r>
        <w:t>oraz że</w:t>
      </w:r>
      <w:r w:rsidRPr="00BD46B4">
        <w:t xml:space="preserve"> </w:t>
      </w:r>
      <w:r>
        <w:t xml:space="preserve">były to zwykłe środki odwoławcze, z których musiał skorzystać. </w:t>
      </w:r>
      <w:r w:rsidRPr="000C6C34">
        <w:t xml:space="preserve">Stwierdził, że środki odwoławcze, do których odniósł się Rząd w swoich obserwacjach nie były odpowiednie do regulacji </w:t>
      </w:r>
      <w:r>
        <w:t xml:space="preserve">określonych w Kodeksie karnym wykonawczym, który służył za podstawę kary dyscyplinarnej zastosowanej wobec skarżącego. </w:t>
      </w:r>
    </w:p>
    <w:p w:rsidR="003350CB" w:rsidRPr="008416D1" w:rsidRDefault="003350CB" w:rsidP="000F277F">
      <w:pPr>
        <w:pStyle w:val="ECHRPara"/>
      </w:pPr>
      <w:fldSimple w:instr=" SEQ level0 \*arabic ">
        <w:r w:rsidRPr="00B13CC8">
          <w:rPr>
            <w:noProof/>
          </w:rPr>
          <w:t>36</w:t>
        </w:r>
      </w:fldSimple>
      <w:r w:rsidRPr="00B13CC8">
        <w:t>.  </w:t>
      </w:r>
      <w:r w:rsidRPr="008416D1">
        <w:t>Trybunał zauważa, że zgodnie z dokumentami i informacjami przedstawionymi przez strony, skarżący wniósł zażaleni</w:t>
      </w:r>
      <w:r>
        <w:t>a na decyzje</w:t>
      </w:r>
      <w:r w:rsidRPr="008416D1">
        <w:t xml:space="preserve"> </w:t>
      </w:r>
      <w:r>
        <w:t>w przedmiocie nałożenia na niego kar dyscyplinarnych z dnia</w:t>
      </w:r>
      <w:r w:rsidRPr="008416D1">
        <w:t xml:space="preserve"> 27 </w:t>
      </w:r>
      <w:r>
        <w:t xml:space="preserve">października </w:t>
      </w:r>
      <w:r w:rsidRPr="008416D1">
        <w:t>2011</w:t>
      </w:r>
      <w:r>
        <w:t xml:space="preserve"> roku</w:t>
      </w:r>
      <w:r w:rsidRPr="008416D1">
        <w:t xml:space="preserve">, 23 </w:t>
      </w:r>
      <w:r>
        <w:t>maja</w:t>
      </w:r>
      <w:r w:rsidRPr="008416D1">
        <w:t xml:space="preserve"> </w:t>
      </w:r>
      <w:r>
        <w:t>oraz</w:t>
      </w:r>
      <w:r w:rsidRPr="008416D1">
        <w:t xml:space="preserve"> 27 </w:t>
      </w:r>
      <w:r>
        <w:t>czerwca</w:t>
      </w:r>
      <w:r w:rsidRPr="008416D1">
        <w:t xml:space="preserve"> 2012</w:t>
      </w:r>
      <w:r>
        <w:t xml:space="preserve"> roku</w:t>
      </w:r>
      <w:r w:rsidRPr="008416D1">
        <w:t xml:space="preserve">. Nie wniósł zażalenia na ostatnią decyzję z dnia 4 lipca 2012 roku, chociaż został poinformowany na piśmie </w:t>
      </w:r>
      <w:r>
        <w:t>o takiej możliwości</w:t>
      </w:r>
      <w:r w:rsidRPr="008416D1">
        <w:t xml:space="preserve"> (</w:t>
      </w:r>
      <w:r>
        <w:t>zobacz</w:t>
      </w:r>
      <w:r w:rsidRPr="008416D1">
        <w:t> paragra</w:t>
      </w:r>
      <w:r>
        <w:t>fy</w:t>
      </w:r>
      <w:r w:rsidRPr="008416D1">
        <w:t xml:space="preserve"> 11, 15, 19 </w:t>
      </w:r>
      <w:r>
        <w:t>oraz</w:t>
      </w:r>
      <w:r w:rsidRPr="008416D1">
        <w:t xml:space="preserve"> 22 </w:t>
      </w:r>
      <w:r>
        <w:t>powyżej</w:t>
      </w:r>
      <w:r w:rsidRPr="008416D1">
        <w:t>).</w:t>
      </w:r>
    </w:p>
    <w:p w:rsidR="003350CB" w:rsidRPr="00BB438A" w:rsidRDefault="003350CB" w:rsidP="000F277F">
      <w:pPr>
        <w:pStyle w:val="ECHRPara"/>
      </w:pPr>
      <w:fldSimple w:instr=" SEQ level0 \*arabic ">
        <w:r w:rsidRPr="00B13CC8">
          <w:rPr>
            <w:noProof/>
          </w:rPr>
          <w:t>37</w:t>
        </w:r>
      </w:fldSimple>
      <w:r w:rsidRPr="00B13CC8">
        <w:t>.  </w:t>
      </w:r>
      <w:r w:rsidRPr="00BB438A">
        <w:t>Wynika z tego, że część skargi, która dotyczy odmowy poddania się przeszukani</w:t>
      </w:r>
      <w:r>
        <w:t xml:space="preserve">u </w:t>
      </w:r>
      <w:r w:rsidRPr="00BB438A">
        <w:t xml:space="preserve">z rozbieraniem w dniach 27 oraz 30 czerwca 2012 roku oraz kary dyscyplinarnej nałożonej na skarżącego w dniu 4 </w:t>
      </w:r>
      <w:r>
        <w:t>lipca</w:t>
      </w:r>
      <w:r w:rsidRPr="00BB438A">
        <w:t xml:space="preserve"> 2012</w:t>
      </w:r>
      <w:r>
        <w:t xml:space="preserve"> roku</w:t>
      </w:r>
      <w:r w:rsidRPr="00BB438A">
        <w:t xml:space="preserve"> </w:t>
      </w:r>
      <w:r>
        <w:t xml:space="preserve">musi </w:t>
      </w:r>
      <w:r>
        <w:lastRenderedPageBreak/>
        <w:t>zostać uznana za niedopuszczalną ze względu na niewyczerpanie przez skarżącego</w:t>
      </w:r>
      <w:r w:rsidRPr="00BB438A">
        <w:t xml:space="preserve"> </w:t>
      </w:r>
      <w:r>
        <w:t>krajowych środków odwoławczych</w:t>
      </w:r>
      <w:r w:rsidRPr="00BB438A">
        <w:t>.</w:t>
      </w:r>
    </w:p>
    <w:p w:rsidR="003350CB" w:rsidRPr="0003340A" w:rsidRDefault="003350CB" w:rsidP="000F277F">
      <w:pPr>
        <w:pStyle w:val="ECHRPara"/>
        <w:rPr>
          <w:i/>
        </w:rPr>
      </w:pPr>
      <w:fldSimple w:instr=" SEQ level0 \*arabic ">
        <w:r w:rsidRPr="00B13CC8">
          <w:rPr>
            <w:noProof/>
          </w:rPr>
          <w:t>38</w:t>
        </w:r>
      </w:fldSimple>
      <w:r w:rsidRPr="00B13CC8">
        <w:t>.  </w:t>
      </w:r>
      <w:r w:rsidRPr="00F82DC9">
        <w:t xml:space="preserve">W odniesieniu do stwierdzenia Rządu, że skarżący powinien był skorzystać z kolejnego środka odwoławczego, mianowicie ze skargi cywilnej w celu ochrony dóbr osobistych, Trybunał zauważa, że Rząd nie przedstawił żadnych dowodów </w:t>
      </w:r>
      <w:r>
        <w:t>wskazujących, że</w:t>
      </w:r>
      <w:r w:rsidRPr="00F82DC9">
        <w:t xml:space="preserve"> </w:t>
      </w:r>
      <w:r>
        <w:t>może ona stanowić</w:t>
      </w:r>
      <w:r w:rsidRPr="00F82DC9">
        <w:t xml:space="preserve"> </w:t>
      </w:r>
      <w:r>
        <w:t>skuteczny środek odwoławczy</w:t>
      </w:r>
      <w:r w:rsidRPr="00F82DC9">
        <w:t xml:space="preserve"> </w:t>
      </w:r>
      <w:r>
        <w:t>w kontekście</w:t>
      </w:r>
      <w:r w:rsidRPr="00F82DC9">
        <w:t xml:space="preserve"> </w:t>
      </w:r>
      <w:r>
        <w:t>przeszukania więźnia z rozbieraniem</w:t>
      </w:r>
      <w:r w:rsidRPr="00F82DC9">
        <w:t xml:space="preserve">, </w:t>
      </w:r>
      <w:r>
        <w:t>w szczególności w okolicznościach, w których</w:t>
      </w:r>
      <w:r w:rsidRPr="00F82DC9">
        <w:t xml:space="preserve"> </w:t>
      </w:r>
      <w:r>
        <w:t>więzień</w:t>
      </w:r>
      <w:r w:rsidRPr="00F82DC9">
        <w:t xml:space="preserve"> </w:t>
      </w:r>
      <w:r>
        <w:t>odmawia poddania się takiemu przeszukaniu z rozbieraniem</w:t>
      </w:r>
      <w:r w:rsidRPr="00F82DC9">
        <w:t xml:space="preserve"> </w:t>
      </w:r>
      <w:r>
        <w:t>i zostaje</w:t>
      </w:r>
      <w:r w:rsidRPr="00F82DC9">
        <w:t xml:space="preserve"> </w:t>
      </w:r>
      <w:r>
        <w:t>ukarany dyscyplinarnie</w:t>
      </w:r>
      <w:r w:rsidRPr="00F82DC9">
        <w:t xml:space="preserve"> (porównaj </w:t>
      </w:r>
      <w:r w:rsidRPr="00F82DC9">
        <w:rPr>
          <w:i/>
        </w:rPr>
        <w:t>Biśta przeciwko Polsce</w:t>
      </w:r>
      <w:r w:rsidRPr="00F82DC9">
        <w:t>, skarga nr 22807/07</w:t>
      </w:r>
      <w:r w:rsidRPr="00F82DC9">
        <w:rPr>
          <w:snapToGrid w:val="0"/>
        </w:rPr>
        <w:t>, § 42, z dnia 12 stycznia 2010 roku)</w:t>
      </w:r>
      <w:r w:rsidRPr="00F82DC9">
        <w:t xml:space="preserve">. </w:t>
      </w:r>
      <w:r w:rsidRPr="0003340A">
        <w:t>T</w:t>
      </w:r>
      <w:r>
        <w:t>rybunał zauważa</w:t>
      </w:r>
      <w:r w:rsidRPr="0003340A">
        <w:t xml:space="preserve"> ponadto, że zgodnie z odpowiednimi przepisami polskiego Kodeksu cywilnego, żądanie ochrony dóbr osobistych jednostki może być skuteczne j</w:t>
      </w:r>
      <w:r>
        <w:t>e</w:t>
      </w:r>
      <w:r w:rsidRPr="0003340A">
        <w:t xml:space="preserve">dynie w sytuacji, gdy zarzucane naruszenie jest bezprawne (zobacz paragraf 28 powyżej) </w:t>
      </w:r>
      <w:r>
        <w:t>natomiast kwestia podnoszona w przedmiotowej sprawie</w:t>
      </w:r>
      <w:r w:rsidRPr="0003340A">
        <w:t xml:space="preserve"> </w:t>
      </w:r>
      <w:r>
        <w:t>dotyczy tego, czy środki zastosowane przez władze były arbitralne lub nadmierne w okolicznościach niniejszej sprawy</w:t>
      </w:r>
      <w:r w:rsidRPr="0003340A">
        <w:t>.</w:t>
      </w:r>
    </w:p>
    <w:p w:rsidR="003350CB" w:rsidRPr="001C156D" w:rsidRDefault="003350CB" w:rsidP="000F277F">
      <w:pPr>
        <w:pStyle w:val="ECHRPara"/>
      </w:pPr>
      <w:fldSimple w:instr=" SEQ level0 \*arabic ">
        <w:r w:rsidRPr="00B13CC8">
          <w:rPr>
            <w:noProof/>
          </w:rPr>
          <w:t>39</w:t>
        </w:r>
      </w:fldSimple>
      <w:r w:rsidRPr="00B13CC8">
        <w:t>.  </w:t>
      </w:r>
      <w:r w:rsidRPr="001C156D">
        <w:t xml:space="preserve">Wynika z tego, że środki odwoławcze, na które powołuje się Rząd nie mogą zostać uznane za odpowiednie w niniejszej sprawie </w:t>
      </w:r>
      <w:r>
        <w:t>oraz że</w:t>
      </w:r>
      <w:r w:rsidRPr="001C156D">
        <w:t xml:space="preserve"> </w:t>
      </w:r>
      <w:r>
        <w:t>wnosząc zażalenia do sądu penitencjarnego</w:t>
      </w:r>
      <w:r w:rsidRPr="001C156D">
        <w:t xml:space="preserve"> </w:t>
      </w:r>
      <w:r>
        <w:t>skarżący wyczerpał</w:t>
      </w:r>
      <w:r w:rsidRPr="001C156D">
        <w:t xml:space="preserve"> </w:t>
      </w:r>
      <w:r>
        <w:t>dostępne krajowe środki odwoławcze</w:t>
      </w:r>
      <w:r w:rsidRPr="001C156D">
        <w:t>. Zarzut Rządu w przedmiocie niedopuszczalności w związk</w:t>
      </w:r>
      <w:r>
        <w:t>u</w:t>
      </w:r>
      <w:r w:rsidRPr="001C156D">
        <w:t xml:space="preserve"> z niewyczerpaniem krajowych środków odwoławczych w </w:t>
      </w:r>
      <w:r>
        <w:t>zakresie</w:t>
      </w:r>
      <w:r w:rsidRPr="001C156D">
        <w:t xml:space="preserve"> </w:t>
      </w:r>
      <w:r>
        <w:t xml:space="preserve">decyzji, na które skarżący wnosił zażalenia musi zatem zostać oddalony. </w:t>
      </w:r>
    </w:p>
    <w:p w:rsidR="003350CB" w:rsidRPr="00B13CC8" w:rsidRDefault="003350CB">
      <w:pPr>
        <w:pStyle w:val="ECHRHeading3"/>
        <w:rPr>
          <w:lang w:val="pl-PL"/>
        </w:rPr>
      </w:pPr>
      <w:r w:rsidRPr="00B13CC8">
        <w:rPr>
          <w:lang w:val="pl-PL"/>
        </w:rPr>
        <w:t>2.  Inne przesłanki dopuszczalności</w:t>
      </w:r>
    </w:p>
    <w:p w:rsidR="003350CB" w:rsidRPr="000E3370" w:rsidRDefault="003350CB" w:rsidP="000F277F">
      <w:pPr>
        <w:pStyle w:val="ECHRPara"/>
      </w:pPr>
      <w:fldSimple w:instr=" SEQ level0 \*arabic ">
        <w:r w:rsidRPr="00B13CC8">
          <w:rPr>
            <w:noProof/>
          </w:rPr>
          <w:t>40</w:t>
        </w:r>
      </w:fldSimple>
      <w:r w:rsidRPr="00B13CC8">
        <w:t>.  </w:t>
      </w:r>
      <w:r w:rsidRPr="009E6DF7">
        <w:t>Trybunał zauważa, że przeszukania z rozbieraniem stanowiące początkowo przedmiot zarzutów skarżącego nie zostały właściwie nigdy przeprowadzone</w:t>
      </w:r>
      <w:r>
        <w:t xml:space="preserve"> całkowicie</w:t>
      </w:r>
      <w:r w:rsidRPr="009E6DF7">
        <w:t xml:space="preserve">. Za każdym razem, gdy </w:t>
      </w:r>
      <w:r>
        <w:t>wydawano</w:t>
      </w:r>
      <w:r w:rsidRPr="009E6DF7">
        <w:t xml:space="preserve"> skarżącemu </w:t>
      </w:r>
      <w:r>
        <w:t xml:space="preserve">polecenie, by się rozebrał </w:t>
      </w:r>
      <w:r w:rsidRPr="009E6DF7">
        <w:t>on odmawiał i zosta</w:t>
      </w:r>
      <w:r>
        <w:t>wał</w:t>
      </w:r>
      <w:r w:rsidRPr="009E6DF7">
        <w:t xml:space="preserve"> </w:t>
      </w:r>
      <w:r>
        <w:t>w konsekwencji ukarany</w:t>
      </w:r>
      <w:r w:rsidRPr="009E6DF7">
        <w:t xml:space="preserve"> dyscyplinarn</w:t>
      </w:r>
      <w:r>
        <w:t>ie</w:t>
      </w:r>
      <w:r w:rsidRPr="009E6DF7">
        <w:t>.</w:t>
      </w:r>
      <w:r>
        <w:t xml:space="preserve"> </w:t>
      </w:r>
      <w:r w:rsidRPr="009E6DF7">
        <w:t xml:space="preserve">W swoich obserwacjach skarżący wyraźnie potwierdził, że nie sformułował zarzutu </w:t>
      </w:r>
      <w:r>
        <w:t>dotyczącego</w:t>
      </w:r>
      <w:r w:rsidRPr="009E6DF7">
        <w:t xml:space="preserve"> </w:t>
      </w:r>
      <w:r>
        <w:t xml:space="preserve">sposobu, w jaki zachowywali się funkcjonariusze Służby Więziennej, wydając mu polecenie poddania się przeszukaniu z rozbieraniem </w:t>
      </w:r>
      <w:r w:rsidRPr="009E6DF7">
        <w:t xml:space="preserve">(zobacz paragraf 33 powyżej). </w:t>
      </w:r>
      <w:r w:rsidRPr="000E3370">
        <w:t>Wynika z tego, że w niniejszej sprawie nie było elementu poniżenia lub upokorzenia</w:t>
      </w:r>
      <w:r>
        <w:t>, które może</w:t>
      </w:r>
      <w:r w:rsidRPr="000E3370">
        <w:t xml:space="preserve"> </w:t>
      </w:r>
      <w:r>
        <w:t>stanowić naruszenie</w:t>
      </w:r>
      <w:r w:rsidRPr="000E3370">
        <w:t xml:space="preserve"> </w:t>
      </w:r>
      <w:r>
        <w:t>Artykułu</w:t>
      </w:r>
      <w:r w:rsidRPr="000E3370">
        <w:t xml:space="preserve"> 3 </w:t>
      </w:r>
      <w:r>
        <w:t>Konwencji</w:t>
      </w:r>
      <w:r w:rsidRPr="000E3370">
        <w:t xml:space="preserve"> (zobacz i porównaj </w:t>
      </w:r>
      <w:r w:rsidRPr="000E3370">
        <w:rPr>
          <w:i/>
        </w:rPr>
        <w:t>Iwańczuk przeciwko Polsce</w:t>
      </w:r>
      <w:r w:rsidRPr="000E3370">
        <w:t>, skarga nr 25196/94, § 57, z dnia 15 listopada 2001 roku).</w:t>
      </w:r>
    </w:p>
    <w:p w:rsidR="003350CB" w:rsidRPr="000E3370" w:rsidRDefault="003350CB">
      <w:pPr>
        <w:pStyle w:val="ECHRPara"/>
      </w:pPr>
      <w:r w:rsidRPr="000E3370">
        <w:t xml:space="preserve">Wynika z powyższego, że skarga wniesiona na podstawie Artykułu 3 Konwencji jest </w:t>
      </w:r>
      <w:r>
        <w:t>oczywiście bezzasadna i musi zostać uznana za niedopuszczalną zgodnie z</w:t>
      </w:r>
      <w:r w:rsidRPr="000E3370">
        <w:t xml:space="preserve"> </w:t>
      </w:r>
      <w:r>
        <w:t>Artykułem</w:t>
      </w:r>
      <w:r w:rsidRPr="000E3370">
        <w:t xml:space="preserve"> 35 § 3 lit. a Konwencji.</w:t>
      </w:r>
    </w:p>
    <w:p w:rsidR="003350CB" w:rsidRPr="000E3370" w:rsidRDefault="003350CB">
      <w:pPr>
        <w:pStyle w:val="ECHRPara"/>
      </w:pPr>
      <w:r w:rsidRPr="000E3370">
        <w:t xml:space="preserve">Trybunał zbada następnie czy zarzuty skarżącego podnoszą kwestie </w:t>
      </w:r>
      <w:r>
        <w:t xml:space="preserve">określone w </w:t>
      </w:r>
      <w:r w:rsidRPr="000E3370">
        <w:t>Art</w:t>
      </w:r>
      <w:r>
        <w:t>ykule</w:t>
      </w:r>
      <w:r w:rsidRPr="000E3370">
        <w:t xml:space="preserve"> 8 </w:t>
      </w:r>
      <w:r>
        <w:t>Konwencji</w:t>
      </w:r>
      <w:r w:rsidRPr="000E3370">
        <w:t>.</w:t>
      </w:r>
    </w:p>
    <w:p w:rsidR="003350CB" w:rsidRPr="002921FF" w:rsidRDefault="003350CB">
      <w:pPr>
        <w:pStyle w:val="ECHRHeading1"/>
        <w:rPr>
          <w:lang w:val="pl-PL"/>
        </w:rPr>
      </w:pPr>
      <w:r w:rsidRPr="002921FF">
        <w:rPr>
          <w:lang w:val="pl-PL"/>
        </w:rPr>
        <w:lastRenderedPageBreak/>
        <w:t>II.  ZARZUT NARUSZENIA ARTYKUŁU 8 KONWENCJI</w:t>
      </w:r>
    </w:p>
    <w:p w:rsidR="003350CB" w:rsidRPr="008A16DB" w:rsidRDefault="003350CB" w:rsidP="000F277F">
      <w:pPr>
        <w:pStyle w:val="ECHRPara"/>
      </w:pPr>
      <w:fldSimple w:instr=" SEQ level0 \*arabic ">
        <w:r w:rsidRPr="002921FF">
          <w:rPr>
            <w:noProof/>
          </w:rPr>
          <w:t>41</w:t>
        </w:r>
      </w:fldSimple>
      <w:r w:rsidRPr="002921FF">
        <w:t xml:space="preserve">.   </w:t>
      </w:r>
      <w:r w:rsidRPr="008A16DB">
        <w:t xml:space="preserve">Odwołując się do sprawy </w:t>
      </w:r>
      <w:r w:rsidRPr="008A16DB">
        <w:rPr>
          <w:i/>
        </w:rPr>
        <w:t>Wainwright przeciwko Zjednoczonemu Królestwu</w:t>
      </w:r>
      <w:r w:rsidRPr="008A16DB">
        <w:t>, skarga nr 12350/04, § 43,</w:t>
      </w:r>
      <w:r w:rsidRPr="008A16DB">
        <w:rPr>
          <w:szCs w:val="24"/>
        </w:rPr>
        <w:t xml:space="preserve"> ECHR 2006</w:t>
      </w:r>
      <w:r w:rsidRPr="008A16DB">
        <w:rPr>
          <w:szCs w:val="24"/>
        </w:rPr>
        <w:noBreakHyphen/>
        <w:t xml:space="preserve">X, </w:t>
      </w:r>
      <w:r w:rsidRPr="008A16DB">
        <w:t>w której stwierdzono, że w sytuacji, gdy środek nie spełnia</w:t>
      </w:r>
      <w:r>
        <w:t xml:space="preserve"> standardów</w:t>
      </w:r>
      <w:r w:rsidRPr="008A16DB">
        <w:t xml:space="preserve"> traktowania </w:t>
      </w:r>
      <w:r>
        <w:t>wynikających z Artykułu</w:t>
      </w:r>
      <w:r w:rsidRPr="008A16DB">
        <w:t xml:space="preserve"> 3, może stać w sprzeczności z Artykułem 8 Konwencji, Trybunał </w:t>
      </w:r>
      <w:r>
        <w:t>zakomunikował także zarzuty skarżącego na podstawie tego postanowienia</w:t>
      </w:r>
      <w:r w:rsidRPr="008A16DB">
        <w:t xml:space="preserve">, </w:t>
      </w:r>
      <w:r>
        <w:t>które stanowi</w:t>
      </w:r>
      <w:r w:rsidRPr="008A16DB">
        <w:t>:</w:t>
      </w:r>
    </w:p>
    <w:p w:rsidR="003350CB" w:rsidRPr="009B6AB0" w:rsidRDefault="003350CB">
      <w:pPr>
        <w:pStyle w:val="ECHRParaQuote"/>
        <w:rPr>
          <w:lang w:val="pl-PL"/>
        </w:rPr>
      </w:pPr>
      <w:r w:rsidRPr="009B6AB0">
        <w:rPr>
          <w:lang w:val="pl-PL"/>
        </w:rPr>
        <w:t>“1. Każdy ma prawo do poszanowania swojego życia prywatnego i rodzinnego, swojego mieszkania i swojej korespondencji.</w:t>
      </w:r>
    </w:p>
    <w:p w:rsidR="003350CB" w:rsidRPr="009B6AB0" w:rsidRDefault="003350CB">
      <w:pPr>
        <w:pStyle w:val="ECHRParaQuote"/>
        <w:rPr>
          <w:lang w:val="pl-PL"/>
        </w:rPr>
      </w:pPr>
      <w:r w:rsidRPr="002921FF">
        <w:rPr>
          <w:lang w:val="pl-PL"/>
        </w:rPr>
        <w:t>2.  </w:t>
      </w:r>
      <w:r w:rsidRPr="009B6AB0">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3350CB" w:rsidRPr="00CF19FC" w:rsidRDefault="003350CB" w:rsidP="000F277F">
      <w:pPr>
        <w:pStyle w:val="ECHRPara"/>
      </w:pPr>
      <w:fldSimple w:instr=" SEQ level0 \*arabic ">
        <w:r w:rsidRPr="002921FF">
          <w:rPr>
            <w:noProof/>
          </w:rPr>
          <w:t>42</w:t>
        </w:r>
      </w:fldSimple>
      <w:r w:rsidRPr="002921FF">
        <w:t>.  </w:t>
      </w:r>
      <w:r w:rsidRPr="0038162C">
        <w:t xml:space="preserve">Rząd stwierdził, że doszło do ingerencji w prawo skarżącego do poszanowania życia prywatnego, jednak ingerencja ta była uzasadniona </w:t>
      </w:r>
      <w:r>
        <w:t>i proporcjonalna w świetle</w:t>
      </w:r>
      <w:r w:rsidRPr="0038162C">
        <w:t xml:space="preserve"> </w:t>
      </w:r>
      <w:r>
        <w:t>wymogów określonych w Artykule 8 ust.</w:t>
      </w:r>
      <w:r w:rsidRPr="0038162C">
        <w:t xml:space="preserve"> 2 </w:t>
      </w:r>
      <w:r>
        <w:t>Konwencji</w:t>
      </w:r>
      <w:r w:rsidRPr="0038162C">
        <w:t xml:space="preserve">. </w:t>
      </w:r>
      <w:r w:rsidRPr="00CF19FC">
        <w:t xml:space="preserve">W szczególności, Rząd stwierdził, że nakazano przeprowadzenie oględzin ciała, gdy skarżący opuszczał jednostkę penitencjarną bądź wracał do więzienia </w:t>
      </w:r>
      <w:r>
        <w:t>oraz że istniała groźba, że</w:t>
      </w:r>
      <w:r w:rsidRPr="00CF19FC">
        <w:t xml:space="preserve"> </w:t>
      </w:r>
      <w:r>
        <w:t xml:space="preserve">może zabrać ze sobą przedmioty niebezpieczne. </w:t>
      </w:r>
    </w:p>
    <w:p w:rsidR="003350CB" w:rsidRPr="002921FF" w:rsidRDefault="003350CB">
      <w:pPr>
        <w:pStyle w:val="ECHRHeading2"/>
        <w:rPr>
          <w:lang w:val="pl-PL"/>
        </w:rPr>
      </w:pPr>
      <w:r w:rsidRPr="002921FF">
        <w:rPr>
          <w:lang w:val="pl-PL"/>
        </w:rPr>
        <w:t>A.  Dopuszczalność skargi</w:t>
      </w:r>
    </w:p>
    <w:p w:rsidR="003350CB" w:rsidRDefault="003350CB" w:rsidP="000F277F">
      <w:pPr>
        <w:pStyle w:val="ECHRPara"/>
        <w:rPr>
          <w:lang w:eastAsia="fr-FR"/>
        </w:rPr>
      </w:pPr>
      <w:fldSimple w:instr=" SEQ level0 \*arabic ">
        <w:r w:rsidRPr="002921FF">
          <w:rPr>
            <w:noProof/>
          </w:rPr>
          <w:t>43</w:t>
        </w:r>
      </w:fldSimple>
      <w:r w:rsidRPr="002921FF">
        <w:t>.  </w:t>
      </w:r>
      <w:r w:rsidRPr="00A15271">
        <w:t xml:space="preserve">Trybunał zauważa, że skarga ta nie jest oczywiście bezzasadna w rozumieniu </w:t>
      </w:r>
      <w:r>
        <w:t>Artykułu 35 ust. 3 lit. a</w:t>
      </w:r>
      <w:r w:rsidRPr="00A15271">
        <w:t xml:space="preserve"> </w:t>
      </w:r>
      <w:r>
        <w:t xml:space="preserve">Konwencji. </w:t>
      </w:r>
      <w:r w:rsidRPr="00A82523">
        <w:rPr>
          <w:lang w:eastAsia="fr-FR"/>
        </w:rPr>
        <w:t xml:space="preserve">Trybunał stwierdza ponadto, że nie jest niedopuszczalna z jakichkolwiek innych przyczyn. </w:t>
      </w:r>
      <w:r w:rsidRPr="000C7B55">
        <w:rPr>
          <w:lang w:eastAsia="fr-FR"/>
        </w:rPr>
        <w:t>Musi zatem zostać uznana za dopuszczalną.</w:t>
      </w:r>
    </w:p>
    <w:p w:rsidR="003350CB" w:rsidRPr="00FE7209" w:rsidRDefault="003350CB" w:rsidP="000F277F">
      <w:pPr>
        <w:pStyle w:val="ECHRPara"/>
      </w:pPr>
      <w:fldSimple w:instr=" SEQ level0 \*arabic ">
        <w:r w:rsidRPr="002921FF">
          <w:rPr>
            <w:noProof/>
          </w:rPr>
          <w:t>44</w:t>
        </w:r>
      </w:fldSimple>
      <w:r w:rsidRPr="002921FF">
        <w:t>.  </w:t>
      </w:r>
      <w:r w:rsidRPr="00C758DA">
        <w:t>Trybunał zbada jedynie te przypadki odmowy skarżącego poddania się oględzinom ciała oraz nałożon</w:t>
      </w:r>
      <w:r>
        <w:t>ych na niego kar dyscyplinarnych w związku z którymi złożył zażalenie na odpowiednie decyzje</w:t>
      </w:r>
      <w:r w:rsidRPr="00C758DA">
        <w:t xml:space="preserve">. </w:t>
      </w:r>
      <w:r w:rsidRPr="00FE7209">
        <w:t>Zarzut dotyczący kary dyscyplinarnej z dnia 4 lipca 2012 roku zostaje uznany za niedopuszczalny</w:t>
      </w:r>
      <w:r>
        <w:t>,</w:t>
      </w:r>
      <w:r w:rsidRPr="00FE7209">
        <w:t xml:space="preserve"> </w:t>
      </w:r>
      <w:r>
        <w:t>a zatem</w:t>
      </w:r>
      <w:r w:rsidRPr="00FE7209">
        <w:t xml:space="preserve"> </w:t>
      </w:r>
      <w:r>
        <w:t xml:space="preserve">wykracza poza badanie Trybunału co do meritum </w:t>
      </w:r>
      <w:r w:rsidRPr="00FE7209">
        <w:t>(zob</w:t>
      </w:r>
      <w:r>
        <w:t>acz</w:t>
      </w:r>
      <w:r w:rsidRPr="00FE7209">
        <w:t xml:space="preserve"> paragraf 37 powyżej).</w:t>
      </w:r>
    </w:p>
    <w:p w:rsidR="003350CB" w:rsidRPr="0085537B" w:rsidRDefault="003350CB">
      <w:pPr>
        <w:pStyle w:val="ECHRHeading2"/>
        <w:rPr>
          <w:lang w:val="pl-PL"/>
        </w:rPr>
      </w:pPr>
      <w:r w:rsidRPr="0085537B">
        <w:rPr>
          <w:lang w:val="pl-PL"/>
        </w:rPr>
        <w:t>B.  Meritum skargi</w:t>
      </w:r>
    </w:p>
    <w:p w:rsidR="003350CB" w:rsidRPr="0085537B" w:rsidRDefault="003350CB">
      <w:pPr>
        <w:pStyle w:val="ECHRHeading3"/>
        <w:rPr>
          <w:lang w:val="pl-PL"/>
        </w:rPr>
      </w:pPr>
      <w:r w:rsidRPr="0085537B">
        <w:rPr>
          <w:lang w:val="pl-PL"/>
        </w:rPr>
        <w:t>1.  Istnienie naruszenia</w:t>
      </w:r>
    </w:p>
    <w:p w:rsidR="003350CB" w:rsidRPr="003216E1" w:rsidRDefault="003350CB" w:rsidP="000F277F">
      <w:pPr>
        <w:pStyle w:val="ECHRPara"/>
      </w:pPr>
      <w:fldSimple w:instr=" SEQ level0 \*arabic ">
        <w:r w:rsidRPr="002921FF">
          <w:rPr>
            <w:noProof/>
          </w:rPr>
          <w:t>45</w:t>
        </w:r>
      </w:fldSimple>
      <w:r w:rsidRPr="002921FF">
        <w:t>.  </w:t>
      </w:r>
      <w:r w:rsidRPr="0060147F">
        <w:t xml:space="preserve">Zgodnie z powyższym, w sprawie </w:t>
      </w:r>
      <w:r w:rsidRPr="0060147F">
        <w:rPr>
          <w:i/>
        </w:rPr>
        <w:t>Wainwright przeciwko Zjednoczonemu Królestwu</w:t>
      </w:r>
      <w:r w:rsidRPr="0060147F">
        <w:t xml:space="preserve"> Trybunał stwierdził, że </w:t>
      </w:r>
      <w:r w:rsidRPr="008A16DB">
        <w:t>w sytuacji, gdy środek nie spełnia</w:t>
      </w:r>
      <w:r>
        <w:t xml:space="preserve"> standardów</w:t>
      </w:r>
      <w:r w:rsidRPr="008A16DB">
        <w:t xml:space="preserve"> traktowania </w:t>
      </w:r>
      <w:r>
        <w:t>wynikających z Artykułu</w:t>
      </w:r>
      <w:r w:rsidRPr="008A16DB">
        <w:t xml:space="preserve"> 3, może stać </w:t>
      </w:r>
      <w:r w:rsidRPr="008A16DB">
        <w:lastRenderedPageBreak/>
        <w:t>w sprzeczności z Artykułem 8 Konwencji</w:t>
      </w:r>
      <w:r w:rsidRPr="0060147F">
        <w:t>,</w:t>
      </w:r>
      <w:r>
        <w:t xml:space="preserve"> który</w:t>
      </w:r>
      <w:r w:rsidRPr="0060147F">
        <w:t xml:space="preserve"> </w:t>
      </w:r>
      <w:r w:rsidRPr="0060147F">
        <w:rPr>
          <w:i/>
        </w:rPr>
        <w:t>inter alia</w:t>
      </w:r>
      <w:r w:rsidRPr="0060147F">
        <w:t xml:space="preserve"> </w:t>
      </w:r>
      <w:r>
        <w:t>zapewnia ochronę</w:t>
      </w:r>
      <w:r w:rsidRPr="0060147F">
        <w:t xml:space="preserve"> </w:t>
      </w:r>
      <w:r>
        <w:t>integralności fizycznej i moralnej pod postacią poszanowania</w:t>
      </w:r>
      <w:r w:rsidRPr="0060147F">
        <w:t xml:space="preserve"> </w:t>
      </w:r>
      <w:r>
        <w:t>życia prywatnego jednostki</w:t>
      </w:r>
      <w:r w:rsidRPr="0060147F">
        <w:t xml:space="preserve"> (zobacz </w:t>
      </w:r>
      <w:r w:rsidRPr="0060147F">
        <w:rPr>
          <w:i/>
        </w:rPr>
        <w:t>Costello-Roberts przeciwko Zjednoczonemu Królewstwu</w:t>
      </w:r>
      <w:r w:rsidRPr="0060147F">
        <w:t>, z dnia 25 marca 1993 roku, § 36, Seria A nr 247</w:t>
      </w:r>
      <w:r w:rsidRPr="0060147F">
        <w:noBreakHyphen/>
        <w:t xml:space="preserve">C oraz </w:t>
      </w:r>
      <w:r w:rsidRPr="0060147F">
        <w:rPr>
          <w:i/>
        </w:rPr>
        <w:t>Bensaid przeciwko Zjednoczonemu Królestwu</w:t>
      </w:r>
      <w:r w:rsidRPr="0060147F">
        <w:t>, skarga nr 44599/98, § 46, ECHR 2001</w:t>
      </w:r>
      <w:r w:rsidRPr="0060147F">
        <w:noBreakHyphen/>
        <w:t xml:space="preserve">I). </w:t>
      </w:r>
      <w:r w:rsidRPr="00D736A4">
        <w:t>Nie ma wątpliwości, że wymóg poddania się przeszukaniu z rozbieraniem b</w:t>
      </w:r>
      <w:r>
        <w:t>ę</w:t>
      </w:r>
      <w:r w:rsidRPr="00D736A4">
        <w:t xml:space="preserve">dzie co do zasady stanowił ingerencję </w:t>
      </w:r>
      <w:r>
        <w:t>w prawa określone w paragrafie</w:t>
      </w:r>
      <w:r w:rsidRPr="00D736A4">
        <w:t xml:space="preserve"> </w:t>
      </w:r>
      <w:r>
        <w:t>pierwszym</w:t>
      </w:r>
      <w:r w:rsidRPr="00D736A4">
        <w:t xml:space="preserve"> Artykułu 8 </w:t>
      </w:r>
      <w:r>
        <w:t>i</w:t>
      </w:r>
      <w:r w:rsidRPr="00D736A4">
        <w:t xml:space="preserve"> </w:t>
      </w:r>
      <w:r>
        <w:t>musi być</w:t>
      </w:r>
      <w:r w:rsidRPr="00D736A4">
        <w:t xml:space="preserve"> uzasadniony </w:t>
      </w:r>
      <w:r>
        <w:t>przesłankami wskazanymi w paragrafie drugim</w:t>
      </w:r>
      <w:r w:rsidRPr="00D736A4">
        <w:t xml:space="preserve">, </w:t>
      </w:r>
      <w:r>
        <w:t xml:space="preserve">mianowicie musi być </w:t>
      </w:r>
      <w:r w:rsidRPr="00D736A4">
        <w:t>“</w:t>
      </w:r>
      <w:r>
        <w:t>zgodny z prawem</w:t>
      </w:r>
      <w:r w:rsidRPr="00D736A4">
        <w:t xml:space="preserve">” </w:t>
      </w:r>
      <w:r>
        <w:t xml:space="preserve">oraz </w:t>
      </w:r>
      <w:r w:rsidRPr="00D736A4">
        <w:t>“</w:t>
      </w:r>
      <w:r>
        <w:t>konieczny w demokratycznym społeczeństwie</w:t>
      </w:r>
      <w:r w:rsidRPr="00D736A4">
        <w:t xml:space="preserve">” </w:t>
      </w:r>
      <w:r>
        <w:t>dla osiągnięcia jednego lub kilku</w:t>
      </w:r>
      <w:r w:rsidRPr="00D736A4">
        <w:t xml:space="preserve"> </w:t>
      </w:r>
      <w:r>
        <w:t xml:space="preserve">uprawnionych celów tam wymienionych. </w:t>
      </w:r>
      <w:r w:rsidRPr="009C530E">
        <w:t>Zgodnie z ugruntowanym orzecznictwem, pojęcie ko</w:t>
      </w:r>
      <w:r>
        <w:t>nieczności</w:t>
      </w:r>
      <w:r w:rsidRPr="009C530E">
        <w:t xml:space="preserve"> </w:t>
      </w:r>
      <w:r>
        <w:t>oznacza, że</w:t>
      </w:r>
      <w:r w:rsidRPr="009C530E">
        <w:t xml:space="preserve"> </w:t>
      </w:r>
      <w:r>
        <w:t>ingerencja odpowiada</w:t>
      </w:r>
      <w:r w:rsidRPr="009C530E">
        <w:t xml:space="preserve"> </w:t>
      </w:r>
      <w:r>
        <w:t>naglącej potrzebie społecznej i jest w szczególności</w:t>
      </w:r>
      <w:r w:rsidRPr="009C530E">
        <w:t xml:space="preserve"> </w:t>
      </w:r>
      <w:r>
        <w:t>proporcjonalna</w:t>
      </w:r>
      <w:r w:rsidRPr="009C530E">
        <w:t xml:space="preserve"> </w:t>
      </w:r>
      <w:r>
        <w:t>do uzasadnionego celu</w:t>
      </w:r>
      <w:r w:rsidRPr="009C530E">
        <w:t xml:space="preserve"> (zob., na przykład, </w:t>
      </w:r>
      <w:r w:rsidRPr="009C530E">
        <w:rPr>
          <w:i/>
        </w:rPr>
        <w:t>Olsson przeciwko Szwecji</w:t>
      </w:r>
      <w:r w:rsidRPr="009C530E">
        <w:t xml:space="preserve"> (nr 1), z dnia 24 marca 1988 roku, § 67, Seria A nr 130). </w:t>
      </w:r>
      <w:r w:rsidRPr="003216E1">
        <w:t xml:space="preserve">Podczas, gdy przeszukania z rozbieraniem mogą być niekiedy konieczne w celu zapewnienia </w:t>
      </w:r>
      <w:r>
        <w:t>bezpieczeństwa w jednostce penitencjarnej</w:t>
      </w:r>
      <w:r w:rsidRPr="003216E1">
        <w:t xml:space="preserve"> </w:t>
      </w:r>
      <w:r>
        <w:t>lub zapobiegania zakłócaniu porządku w więzieniach</w:t>
      </w:r>
      <w:r w:rsidRPr="003216E1">
        <w:t xml:space="preserve">, </w:t>
      </w:r>
      <w:r>
        <w:t>muszą zostać przeprowadzone</w:t>
      </w:r>
      <w:r w:rsidRPr="003216E1">
        <w:t xml:space="preserve"> </w:t>
      </w:r>
      <w:r>
        <w:t>w odpowiedni sposób</w:t>
      </w:r>
      <w:r w:rsidRPr="003216E1">
        <w:t xml:space="preserve"> (zobacz </w:t>
      </w:r>
      <w:r w:rsidRPr="003216E1">
        <w:rPr>
          <w:i/>
        </w:rPr>
        <w:t xml:space="preserve">Iwańczuk, </w:t>
      </w:r>
      <w:r w:rsidRPr="003216E1">
        <w:t>cytowany powyżej, § 59).</w:t>
      </w:r>
    </w:p>
    <w:p w:rsidR="003350CB" w:rsidRPr="0085537B" w:rsidRDefault="003350CB">
      <w:pPr>
        <w:pStyle w:val="ECHRHeading3"/>
        <w:rPr>
          <w:lang w:val="pl-PL"/>
        </w:rPr>
      </w:pPr>
      <w:r w:rsidRPr="0085537B">
        <w:rPr>
          <w:lang w:val="pl-PL"/>
        </w:rPr>
        <w:t xml:space="preserve">2.  Czy ingerencja była zgodna z prawem </w:t>
      </w:r>
    </w:p>
    <w:p w:rsidR="003350CB" w:rsidRPr="002921FF" w:rsidRDefault="003350CB" w:rsidP="000F277F">
      <w:pPr>
        <w:pStyle w:val="ECHRPara"/>
      </w:pPr>
      <w:fldSimple w:instr=" SEQ level0 \*arabic ">
        <w:r w:rsidRPr="0085537B">
          <w:rPr>
            <w:noProof/>
          </w:rPr>
          <w:t>46</w:t>
        </w:r>
      </w:fldSimple>
      <w:r w:rsidRPr="0085537B">
        <w:t xml:space="preserve">.   </w:t>
      </w:r>
      <w:r>
        <w:t>Polecenie</w:t>
      </w:r>
      <w:r w:rsidRPr="002921FF">
        <w:t xml:space="preserve"> poddania się oględzinom ciała oraz kara za odmowę jego wykonania miał</w:t>
      </w:r>
      <w:r>
        <w:t>y</w:t>
      </w:r>
      <w:r w:rsidRPr="002921FF">
        <w:t xml:space="preserve"> solidną podstawę w przepisach prawa krajowego, </w:t>
      </w:r>
      <w:r>
        <w:t>mianowicie Kodeksu karnego wykonawczego</w:t>
      </w:r>
      <w:r w:rsidRPr="002921FF">
        <w:t xml:space="preserve">. </w:t>
      </w:r>
      <w:r w:rsidRPr="002921FF">
        <w:rPr>
          <w:rStyle w:val="sb8d990e2"/>
        </w:rPr>
        <w:t>Trybunał jest ponadto przekonany, że zakwestionowana ingerencja realizowała uprawniony cel</w:t>
      </w:r>
      <w:r>
        <w:rPr>
          <w:rStyle w:val="sb8d990e2"/>
        </w:rPr>
        <w:t xml:space="preserve"> </w:t>
      </w:r>
      <w:r w:rsidRPr="002921FF">
        <w:rPr>
          <w:rStyle w:val="sb8d990e2"/>
        </w:rPr>
        <w:t>“</w:t>
      </w:r>
      <w:r>
        <w:rPr>
          <w:rStyle w:val="sb8d990e2"/>
        </w:rPr>
        <w:t>zapobiegania zakłócaniu porządku lub przestępstwu</w:t>
      </w:r>
      <w:r w:rsidRPr="002921FF">
        <w:rPr>
          <w:rStyle w:val="sb8d990e2"/>
        </w:rPr>
        <w:t>”.</w:t>
      </w:r>
    </w:p>
    <w:p w:rsidR="003350CB" w:rsidRPr="002921FF" w:rsidRDefault="003350CB">
      <w:pPr>
        <w:pStyle w:val="ECHRHeading3"/>
        <w:rPr>
          <w:lang w:val="pl-PL"/>
        </w:rPr>
      </w:pPr>
      <w:r w:rsidRPr="002921FF">
        <w:rPr>
          <w:lang w:val="pl-PL"/>
        </w:rPr>
        <w:t xml:space="preserve">3.  Czy ingerencja była proporcjonalna </w:t>
      </w:r>
      <w:r>
        <w:rPr>
          <w:lang w:val="pl-PL"/>
        </w:rPr>
        <w:t>do uprawnionego celu</w:t>
      </w:r>
    </w:p>
    <w:p w:rsidR="003350CB" w:rsidRPr="004C0BE8" w:rsidRDefault="003350CB" w:rsidP="00BD7663">
      <w:pPr>
        <w:pStyle w:val="ECHRPara"/>
      </w:pPr>
      <w:fldSimple w:instr=" SEQ level0 \*arabic ">
        <w:r w:rsidRPr="0085537B">
          <w:rPr>
            <w:noProof/>
          </w:rPr>
          <w:t>47</w:t>
        </w:r>
      </w:fldSimple>
      <w:r w:rsidRPr="0085537B">
        <w:t>.  </w:t>
      </w:r>
      <w:r w:rsidRPr="004C0BE8">
        <w:t xml:space="preserve">Trybunał zauważa, że w przeciągu okresu osadzenia w dwóch jednostkach penitencjarnych od dnia 24 maja 2011 roku do dnia 10 czerwca 2013 roku skarżącemu kazano </w:t>
      </w:r>
      <w:r>
        <w:t>pięciokrotnie poddać się oględzinom ciała</w:t>
      </w:r>
      <w:r w:rsidRPr="004C0BE8">
        <w:t xml:space="preserve">, </w:t>
      </w:r>
      <w:r>
        <w:t>z których trzy podlegają ocenie Trybunału</w:t>
      </w:r>
      <w:r w:rsidRPr="004C0BE8">
        <w:t xml:space="preserve"> (zob. paragrafy 36, 37 oraz 44 powyżej).</w:t>
      </w:r>
    </w:p>
    <w:p w:rsidR="003350CB" w:rsidRPr="00B86F69" w:rsidRDefault="003350CB" w:rsidP="00703B1C">
      <w:pPr>
        <w:pStyle w:val="ECHRPara"/>
      </w:pPr>
      <w:fldSimple w:instr=" SEQ level0 \*arabic ">
        <w:r w:rsidRPr="0085537B">
          <w:rPr>
            <w:noProof/>
          </w:rPr>
          <w:t>48</w:t>
        </w:r>
      </w:fldSimple>
      <w:r w:rsidRPr="0085537B">
        <w:t>.  </w:t>
      </w:r>
      <w:r w:rsidRPr="00394974">
        <w:t>T</w:t>
      </w:r>
      <w:r>
        <w:t>rybunał zgadza się z wyjaśnieniem</w:t>
      </w:r>
      <w:r w:rsidRPr="00394974">
        <w:t xml:space="preserve"> Rządu, że </w:t>
      </w:r>
      <w:r>
        <w:t>polecenia</w:t>
      </w:r>
      <w:r w:rsidRPr="00394974">
        <w:t xml:space="preserve"> przeprowadzenia oględzin ciała skarżącego zostały wydane w </w:t>
      </w:r>
      <w:r>
        <w:t>kontekście</w:t>
      </w:r>
      <w:r w:rsidRPr="00394974">
        <w:t xml:space="preserve"> </w:t>
      </w:r>
      <w:r>
        <w:t>opuszczenia przez niego terenu jednostki</w:t>
      </w:r>
      <w:r w:rsidRPr="00394974">
        <w:t xml:space="preserve"> </w:t>
      </w:r>
      <w:r>
        <w:t>lub podczas przyjęcia do innego więzienia</w:t>
      </w:r>
      <w:r w:rsidRPr="00394974">
        <w:t xml:space="preserve">. </w:t>
      </w:r>
      <w:r w:rsidRPr="009D3DF5">
        <w:t>Jednakże kolejne stwierdzenie Rządu, że istniała groźba, że skarżący może z</w:t>
      </w:r>
      <w:r>
        <w:t>abrać</w:t>
      </w:r>
      <w:r w:rsidRPr="009D3DF5">
        <w:t xml:space="preserve"> ze sob</w:t>
      </w:r>
      <w:r>
        <w:t>ą</w:t>
      </w:r>
      <w:r w:rsidRPr="009D3DF5">
        <w:t xml:space="preserve"> przedmioty niebezpieczne </w:t>
      </w:r>
      <w:r>
        <w:t>nie znajduje potwierdzenia w materiale dowodowym</w:t>
      </w:r>
      <w:r w:rsidRPr="009D3DF5">
        <w:t xml:space="preserve">. </w:t>
      </w:r>
      <w:r w:rsidRPr="0085537B">
        <w:t xml:space="preserve">Skarżący nie został objęty reżimem więźnia niebezpiecznego. </w:t>
      </w:r>
      <w:r w:rsidRPr="005C4541">
        <w:t>Nie wykazano też, że w przeszłości skarżący dał władzom penitencjarnym jakikolwiek powód</w:t>
      </w:r>
      <w:r>
        <w:t>, by myślały</w:t>
      </w:r>
      <w:r w:rsidRPr="005C4541">
        <w:t xml:space="preserve">, że </w:t>
      </w:r>
      <w:r>
        <w:t xml:space="preserve">może zachowywać się w sposób niebezpieczny lub wnieść przedmioty niebezpieczne na teren jednostki. </w:t>
      </w:r>
      <w:r w:rsidRPr="00CD0E3D">
        <w:t xml:space="preserve">Podczas, gdy zachowywał się w sposób </w:t>
      </w:r>
      <w:r w:rsidRPr="00CD0E3D">
        <w:lastRenderedPageBreak/>
        <w:t xml:space="preserve">wulgarny i obraźliwy z </w:t>
      </w:r>
      <w:r>
        <w:t>dokumentów</w:t>
      </w:r>
      <w:r w:rsidRPr="00CD0E3D">
        <w:t xml:space="preserve"> prz</w:t>
      </w:r>
      <w:r>
        <w:t>e</w:t>
      </w:r>
      <w:r w:rsidRPr="00CD0E3D">
        <w:t>d</w:t>
      </w:r>
      <w:r>
        <w:t xml:space="preserve">łożonych </w:t>
      </w:r>
      <w:r w:rsidRPr="00CD0E3D">
        <w:t xml:space="preserve">przez strony </w:t>
      </w:r>
      <w:r>
        <w:t>wynika, że</w:t>
      </w:r>
      <w:r w:rsidRPr="00CD0E3D">
        <w:t xml:space="preserve"> </w:t>
      </w:r>
      <w:r>
        <w:t>jego zachowanie nigdy nie przekroczyło</w:t>
      </w:r>
      <w:r w:rsidRPr="00CD0E3D">
        <w:t xml:space="preserve"> </w:t>
      </w:r>
      <w:r>
        <w:t>granic słownego nadużycia.</w:t>
      </w:r>
      <w:r w:rsidRPr="00CD0E3D">
        <w:t xml:space="preserve"> </w:t>
      </w:r>
      <w:r w:rsidRPr="00AB5722">
        <w:t xml:space="preserve">Trybunał zdaje sobie sprawę z potrzeby zapewnienia bezpieczeństwa w instytucjach, w których </w:t>
      </w:r>
      <w:r>
        <w:t>przebywają ludzie</w:t>
      </w:r>
      <w:r w:rsidRPr="00AB5722">
        <w:t xml:space="preserve"> </w:t>
      </w:r>
      <w:r>
        <w:t xml:space="preserve">pozbawieni </w:t>
      </w:r>
      <w:r w:rsidRPr="00AB5722">
        <w:t>wolności, jednakże uważa</w:t>
      </w:r>
      <w:r>
        <w:t>, że mocno inwazyjne i potencjalnie</w:t>
      </w:r>
      <w:r w:rsidRPr="00AB5722">
        <w:t xml:space="preserve"> </w:t>
      </w:r>
      <w:r>
        <w:t>upokarzające środki, takie jak kontrole osobiste lub przeszukania z rozbieraniem</w:t>
      </w:r>
      <w:r w:rsidRPr="00AB5722">
        <w:t xml:space="preserve"> </w:t>
      </w:r>
      <w:r>
        <w:t>wymagają</w:t>
      </w:r>
      <w:r w:rsidRPr="00AB5722">
        <w:t xml:space="preserve"> </w:t>
      </w:r>
      <w:r>
        <w:t>przekonującego uzasadnienia</w:t>
      </w:r>
      <w:r w:rsidRPr="00AB5722">
        <w:t xml:space="preserve">. </w:t>
      </w:r>
      <w:r w:rsidRPr="00CC7EFD">
        <w:rPr>
          <w:bCs/>
        </w:rPr>
        <w:t xml:space="preserve">Nie wydaje się, </w:t>
      </w:r>
      <w:r>
        <w:rPr>
          <w:bCs/>
        </w:rPr>
        <w:t>by</w:t>
      </w:r>
      <w:r w:rsidRPr="00CC7EFD">
        <w:rPr>
          <w:bCs/>
        </w:rPr>
        <w:t xml:space="preserve"> takie uzasadnienie zostało przedstawione </w:t>
      </w:r>
      <w:r>
        <w:rPr>
          <w:bCs/>
        </w:rPr>
        <w:t xml:space="preserve">skarżącemu </w:t>
      </w:r>
      <w:r w:rsidRPr="00CC7EFD">
        <w:rPr>
          <w:bCs/>
        </w:rPr>
        <w:t xml:space="preserve">przez władze penitencjarne </w:t>
      </w:r>
      <w:r>
        <w:rPr>
          <w:bCs/>
        </w:rPr>
        <w:t>w przedmiotowej sprawie</w:t>
      </w:r>
      <w:r w:rsidRPr="00CC7EFD">
        <w:rPr>
          <w:bCs/>
        </w:rPr>
        <w:t>. Trybunał zauważa ponadto w odniesieniu do Rzecznika Praw Obywatelskich, że w wydanych rekomendacjach z dnia 23 grudnia 2014</w:t>
      </w:r>
      <w:r>
        <w:rPr>
          <w:bCs/>
        </w:rPr>
        <w:t xml:space="preserve"> roku</w:t>
      </w:r>
      <w:r w:rsidRPr="00CC7EFD">
        <w:rPr>
          <w:bCs/>
        </w:rPr>
        <w:t xml:space="preserve"> </w:t>
      </w:r>
      <w:r>
        <w:rPr>
          <w:bCs/>
        </w:rPr>
        <w:t>zwrócił uwagę na fakt, że</w:t>
      </w:r>
      <w:r w:rsidRPr="00CC7EFD">
        <w:rPr>
          <w:bCs/>
        </w:rPr>
        <w:t xml:space="preserve"> </w:t>
      </w:r>
      <w:r>
        <w:rPr>
          <w:bCs/>
        </w:rPr>
        <w:t>prawo krajowe</w:t>
      </w:r>
      <w:r w:rsidRPr="00CC7EFD">
        <w:rPr>
          <w:bCs/>
        </w:rPr>
        <w:t xml:space="preserve"> </w:t>
      </w:r>
      <w:r>
        <w:rPr>
          <w:bCs/>
        </w:rPr>
        <w:t>stosowane w praktyce</w:t>
      </w:r>
      <w:r w:rsidRPr="00CC7EFD">
        <w:rPr>
          <w:bCs/>
        </w:rPr>
        <w:t xml:space="preserve"> </w:t>
      </w:r>
      <w:r>
        <w:rPr>
          <w:bCs/>
        </w:rPr>
        <w:t>nie zapewniało osadzonym</w:t>
      </w:r>
      <w:r w:rsidRPr="00CC7EFD">
        <w:rPr>
          <w:bCs/>
        </w:rPr>
        <w:t xml:space="preserve"> </w:t>
      </w:r>
      <w:r>
        <w:rPr>
          <w:bCs/>
        </w:rPr>
        <w:t>skutecznego środka odwoławczego</w:t>
      </w:r>
      <w:r w:rsidRPr="00CC7EFD">
        <w:rPr>
          <w:bCs/>
        </w:rPr>
        <w:t xml:space="preserve"> </w:t>
      </w:r>
      <w:r>
        <w:rPr>
          <w:bCs/>
        </w:rPr>
        <w:t>pozwalającego na za</w:t>
      </w:r>
      <w:r w:rsidRPr="00DD456F">
        <w:rPr>
          <w:bCs/>
        </w:rPr>
        <w:t>kwestio</w:t>
      </w:r>
      <w:r w:rsidR="00DD456F" w:rsidRPr="00DD456F">
        <w:rPr>
          <w:bCs/>
        </w:rPr>
        <w:t>nowanie</w:t>
      </w:r>
      <w:r>
        <w:rPr>
          <w:bCs/>
        </w:rPr>
        <w:t xml:space="preserve"> decyzji</w:t>
      </w:r>
      <w:r w:rsidRPr="00CC7EFD">
        <w:rPr>
          <w:bCs/>
        </w:rPr>
        <w:t xml:space="preserve"> </w:t>
      </w:r>
      <w:r>
        <w:rPr>
          <w:bCs/>
        </w:rPr>
        <w:t xml:space="preserve">w przedmiocie przeprowadzenia kontroli osobistej </w:t>
      </w:r>
      <w:r w:rsidRPr="00CC7EFD">
        <w:rPr>
          <w:bCs/>
        </w:rPr>
        <w:t>(</w:t>
      </w:r>
      <w:r>
        <w:rPr>
          <w:bCs/>
        </w:rPr>
        <w:t xml:space="preserve">zobacz </w:t>
      </w:r>
      <w:r w:rsidRPr="00CC7EFD">
        <w:rPr>
          <w:bCs/>
        </w:rPr>
        <w:t>paragra</w:t>
      </w:r>
      <w:r>
        <w:rPr>
          <w:bCs/>
        </w:rPr>
        <w:t>f</w:t>
      </w:r>
      <w:r w:rsidRPr="00CC7EFD">
        <w:rPr>
          <w:bCs/>
        </w:rPr>
        <w:t xml:space="preserve"> 30 </w:t>
      </w:r>
      <w:r>
        <w:rPr>
          <w:bCs/>
        </w:rPr>
        <w:t>powyżej</w:t>
      </w:r>
      <w:r w:rsidRPr="00CC7EFD">
        <w:rPr>
          <w:bCs/>
        </w:rPr>
        <w:t xml:space="preserve">). </w:t>
      </w:r>
      <w:r w:rsidRPr="00B86F69">
        <w:rPr>
          <w:bCs/>
        </w:rPr>
        <w:t>Wob</w:t>
      </w:r>
      <w:r>
        <w:rPr>
          <w:bCs/>
        </w:rPr>
        <w:t>ec braku ta</w:t>
      </w:r>
      <w:r w:rsidRPr="00B86F69">
        <w:rPr>
          <w:bCs/>
        </w:rPr>
        <w:t xml:space="preserve">kiego skutecznego środka odwoławczego, trudno jest </w:t>
      </w:r>
      <w:r>
        <w:rPr>
          <w:bCs/>
        </w:rPr>
        <w:t>egzekwować</w:t>
      </w:r>
      <w:r w:rsidRPr="00B86F69">
        <w:rPr>
          <w:bCs/>
        </w:rPr>
        <w:t xml:space="preserve"> na szczeblu krajowym </w:t>
      </w:r>
      <w:r>
        <w:rPr>
          <w:bCs/>
        </w:rPr>
        <w:t>wymóg</w:t>
      </w:r>
      <w:r w:rsidRPr="00B86F69">
        <w:rPr>
          <w:bCs/>
        </w:rPr>
        <w:t xml:space="preserve"> </w:t>
      </w:r>
      <w:r>
        <w:rPr>
          <w:bCs/>
        </w:rPr>
        <w:t>wystarczającego uzasadnienia</w:t>
      </w:r>
      <w:r w:rsidRPr="00B86F69">
        <w:rPr>
          <w:bCs/>
        </w:rPr>
        <w:t xml:space="preserve"> </w:t>
      </w:r>
      <w:r>
        <w:rPr>
          <w:bCs/>
        </w:rPr>
        <w:t>kontroli osobistych</w:t>
      </w:r>
      <w:r w:rsidRPr="00B86F69">
        <w:rPr>
          <w:bCs/>
        </w:rPr>
        <w:t xml:space="preserve"> </w:t>
      </w:r>
      <w:r>
        <w:rPr>
          <w:bCs/>
        </w:rPr>
        <w:t>lub przeszukań z rozbieraniem</w:t>
      </w:r>
      <w:r w:rsidRPr="00B86F69">
        <w:rPr>
          <w:bCs/>
        </w:rPr>
        <w:t>.</w:t>
      </w:r>
    </w:p>
    <w:p w:rsidR="003350CB" w:rsidRPr="00AF79E3" w:rsidRDefault="003350CB" w:rsidP="00703B1C">
      <w:pPr>
        <w:pStyle w:val="ECHRPara"/>
      </w:pPr>
      <w:fldSimple w:instr=" SEQ level0 \*arabic ">
        <w:r w:rsidRPr="0085537B">
          <w:rPr>
            <w:noProof/>
          </w:rPr>
          <w:t>49</w:t>
        </w:r>
      </w:fldSimple>
      <w:r w:rsidRPr="0085537B">
        <w:t>.  </w:t>
      </w:r>
      <w:r w:rsidRPr="00B86F69">
        <w:t xml:space="preserve">W odniesieniu do kar dyscyplinarnych, które zostały zastosowane wobec skarżącego </w:t>
      </w:r>
      <w:bookmarkStart w:id="1" w:name="_GoBack"/>
      <w:bookmarkEnd w:id="1"/>
      <w:r w:rsidRPr="00DD456F">
        <w:t>Trybunał zauwa</w:t>
      </w:r>
      <w:r w:rsidR="00DD456F" w:rsidRPr="00DD456F">
        <w:t>ża</w:t>
      </w:r>
      <w:r w:rsidRPr="00DD456F">
        <w:t>, że na</w:t>
      </w:r>
      <w:r w:rsidRPr="00B86F69">
        <w:t xml:space="preserve"> początku skarżący został ukarany naganą, następnie zakazem otrzymywania paczek, a ostatecznie, gdy odmówił poddania się oględzinom ciała </w:t>
      </w:r>
      <w:r>
        <w:t>po raz trzeci</w:t>
      </w:r>
      <w:r w:rsidRPr="00B86F69">
        <w:t xml:space="preserve">, </w:t>
      </w:r>
      <w:r>
        <w:t>bardziej dotkliwym ograniczeniem</w:t>
      </w:r>
      <w:r w:rsidRPr="00B86F69">
        <w:t xml:space="preserve">, </w:t>
      </w:r>
      <w:r>
        <w:t>mianowicie</w:t>
      </w:r>
      <w:r w:rsidRPr="00B86F69">
        <w:t xml:space="preserve"> </w:t>
      </w:r>
      <w:r>
        <w:t>umieszczeniem w celi izolacyjnej</w:t>
      </w:r>
      <w:r w:rsidRPr="00B86F69">
        <w:t xml:space="preserve"> </w:t>
      </w:r>
      <w:r>
        <w:t>na okres siedmiu dni</w:t>
      </w:r>
      <w:r w:rsidRPr="00B86F69">
        <w:t xml:space="preserve"> (</w:t>
      </w:r>
      <w:r>
        <w:t xml:space="preserve">zobacz </w:t>
      </w:r>
      <w:r w:rsidRPr="00B86F69">
        <w:t>paragra</w:t>
      </w:r>
      <w:r>
        <w:t>f</w:t>
      </w:r>
      <w:r w:rsidRPr="00B86F69">
        <w:t xml:space="preserve"> 18 </w:t>
      </w:r>
      <w:r>
        <w:t>powyżej</w:t>
      </w:r>
      <w:r w:rsidRPr="00B86F69">
        <w:t xml:space="preserve">). </w:t>
      </w:r>
      <w:r w:rsidRPr="00CA610D">
        <w:t xml:space="preserve">Trybunał uważa, że kary zastosowane wobec skarżącego miały poważny charakter, w szczególności umieszczenie skarżącego </w:t>
      </w:r>
      <w:r>
        <w:t>w celi izolacyjnej</w:t>
      </w:r>
      <w:r w:rsidRPr="00CA610D">
        <w:t xml:space="preserve">, </w:t>
      </w:r>
      <w:r>
        <w:t>mając na względzie fakt, że</w:t>
      </w:r>
      <w:r w:rsidRPr="00CA610D">
        <w:t xml:space="preserve"> </w:t>
      </w:r>
      <w:r>
        <w:t>przesłanki dotyczące ich wymierzenia nie zostały wyjaśnione</w:t>
      </w:r>
      <w:r w:rsidRPr="00CA610D">
        <w:t xml:space="preserve">. </w:t>
      </w:r>
      <w:r w:rsidRPr="00B536C2">
        <w:t>Sądy krajowe, do których skarżący wniósł zażalenia stwierdziły, że środki dyscypli</w:t>
      </w:r>
      <w:r>
        <w:t>narne</w:t>
      </w:r>
      <w:r w:rsidRPr="00B536C2">
        <w:t xml:space="preserve"> </w:t>
      </w:r>
      <w:r>
        <w:t>zostały zastosowane właściwie</w:t>
      </w:r>
      <w:r w:rsidRPr="00B536C2">
        <w:t xml:space="preserve"> </w:t>
      </w:r>
      <w:r>
        <w:t>wobec odmowy skarżącego</w:t>
      </w:r>
      <w:r w:rsidRPr="00B536C2">
        <w:t xml:space="preserve"> </w:t>
      </w:r>
      <w:r>
        <w:t>poddania się oględzinom ciała</w:t>
      </w:r>
      <w:r w:rsidRPr="00B536C2">
        <w:t xml:space="preserve">. </w:t>
      </w:r>
      <w:r w:rsidRPr="00AF79E3">
        <w:rPr>
          <w:bCs/>
        </w:rPr>
        <w:t xml:space="preserve">Jednakże, </w:t>
      </w:r>
      <w:r>
        <w:rPr>
          <w:bCs/>
        </w:rPr>
        <w:t xml:space="preserve">nigdy w żadnym postępowaniu przed sądem krajowym nie zbadano </w:t>
      </w:r>
      <w:r w:rsidRPr="00AF79E3">
        <w:rPr>
          <w:bCs/>
        </w:rPr>
        <w:t>k</w:t>
      </w:r>
      <w:r>
        <w:rPr>
          <w:bCs/>
        </w:rPr>
        <w:t>westii,</w:t>
      </w:r>
      <w:r w:rsidRPr="00AF79E3">
        <w:rPr>
          <w:bCs/>
        </w:rPr>
        <w:t xml:space="preserve"> czy istniały p</w:t>
      </w:r>
      <w:r>
        <w:rPr>
          <w:bCs/>
        </w:rPr>
        <w:t>oważne</w:t>
      </w:r>
      <w:r w:rsidRPr="00AF79E3">
        <w:rPr>
          <w:bCs/>
        </w:rPr>
        <w:t xml:space="preserve"> i </w:t>
      </w:r>
      <w:r>
        <w:rPr>
          <w:bCs/>
        </w:rPr>
        <w:t xml:space="preserve">uzasadnione </w:t>
      </w:r>
      <w:r w:rsidRPr="00AF79E3">
        <w:rPr>
          <w:bCs/>
        </w:rPr>
        <w:t>przesłanki, które wymagały poddania skar</w:t>
      </w:r>
      <w:r>
        <w:rPr>
          <w:bCs/>
        </w:rPr>
        <w:t xml:space="preserve">żącego takim przeszukaniom </w:t>
      </w:r>
      <w:r w:rsidRPr="00AF79E3">
        <w:rPr>
          <w:bCs/>
        </w:rPr>
        <w:t>(zobacz paragrafy 16 oraz 20 powyżej).</w:t>
      </w:r>
    </w:p>
    <w:p w:rsidR="003350CB" w:rsidRDefault="003350CB">
      <w:pPr>
        <w:pStyle w:val="ECHRPara"/>
      </w:pPr>
      <w:fldSimple w:instr=" SEQ level0 \*arabic ">
        <w:r w:rsidRPr="00840187">
          <w:rPr>
            <w:noProof/>
          </w:rPr>
          <w:t>50</w:t>
        </w:r>
      </w:fldSimple>
      <w:r w:rsidRPr="00840187">
        <w:t>.  </w:t>
      </w:r>
      <w:r w:rsidRPr="0085537B">
        <w:t xml:space="preserve">Z powyższych rozważań wynika, że nie wykazano, że zakwestionowana ingerencja była uzasadniona naglącą potrzebą społeczną </w:t>
      </w:r>
      <w:r>
        <w:t>oraz że</w:t>
      </w:r>
      <w:r w:rsidRPr="0085537B">
        <w:t xml:space="preserve"> </w:t>
      </w:r>
      <w:r>
        <w:t xml:space="preserve">była proporcjonalna w okolicznościach niniejszej sprawy. </w:t>
      </w:r>
    </w:p>
    <w:p w:rsidR="003350CB" w:rsidRPr="00AF79E3" w:rsidRDefault="003350CB">
      <w:pPr>
        <w:pStyle w:val="ECHRPara"/>
      </w:pPr>
      <w:r w:rsidRPr="00AF79E3">
        <w:t xml:space="preserve">Trybunał stwierdza zatem w konkluzji, że doszło do naruszenia </w:t>
      </w:r>
      <w:r>
        <w:t>Artykułu</w:t>
      </w:r>
      <w:r w:rsidRPr="00AF79E3">
        <w:t xml:space="preserve"> </w:t>
      </w:r>
      <w:r>
        <w:t>8 Konwencji</w:t>
      </w:r>
      <w:r w:rsidRPr="00AF79E3">
        <w:t>.</w:t>
      </w:r>
    </w:p>
    <w:p w:rsidR="003350CB" w:rsidRPr="00B13CC8" w:rsidRDefault="003350CB" w:rsidP="00CA27B7">
      <w:pPr>
        <w:pStyle w:val="ECHRHeading1"/>
        <w:rPr>
          <w:lang w:val="pl-PL"/>
        </w:rPr>
      </w:pPr>
      <w:r w:rsidRPr="00B13CC8">
        <w:rPr>
          <w:lang w:val="pl-PL"/>
        </w:rPr>
        <w:t>III.  ZASTOSOWANIE ARTYKUŁU 41 KONWENCJI</w:t>
      </w:r>
    </w:p>
    <w:p w:rsidR="003350CB" w:rsidRPr="00B13CC8" w:rsidRDefault="003350CB" w:rsidP="00CA27B7">
      <w:pPr>
        <w:pStyle w:val="ECHRPara"/>
      </w:pPr>
      <w:fldSimple w:instr=" SEQ level0 \*arabic ">
        <w:r w:rsidRPr="00B13CC8">
          <w:rPr>
            <w:noProof/>
          </w:rPr>
          <w:t>51</w:t>
        </w:r>
      </w:fldSimple>
      <w:r w:rsidRPr="00B13CC8">
        <w:t>.  Artykuł 41 Konwencji stanowi:</w:t>
      </w:r>
    </w:p>
    <w:p w:rsidR="003350CB" w:rsidRPr="005C1CDF" w:rsidRDefault="003350CB" w:rsidP="00CA27B7">
      <w:pPr>
        <w:pStyle w:val="ECHRParaQuote"/>
        <w:keepNext/>
        <w:keepLines/>
        <w:rPr>
          <w:lang w:val="pl-PL"/>
        </w:rPr>
      </w:pPr>
      <w:r w:rsidRPr="005C1CDF">
        <w:rPr>
          <w:lang w:val="pl-PL"/>
        </w:rPr>
        <w:lastRenderedPageBreak/>
        <w:t>“</w:t>
      </w:r>
      <w:r>
        <w:rPr>
          <w:lang w:val="pl-PL"/>
        </w:rPr>
        <w:t xml:space="preserve">Jeśli </w:t>
      </w:r>
      <w:r w:rsidRPr="009953B8">
        <w:rPr>
          <w:szCs w:val="20"/>
          <w:lang w:val="pl-PL" w:eastAsia="fr-FR"/>
        </w:rPr>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5C1CDF">
        <w:rPr>
          <w:lang w:val="pl-PL"/>
        </w:rPr>
        <w:t>.”</w:t>
      </w:r>
    </w:p>
    <w:p w:rsidR="003350CB" w:rsidRPr="00840187" w:rsidRDefault="003350CB" w:rsidP="00CA27B7">
      <w:pPr>
        <w:pStyle w:val="ECHRHeading2"/>
        <w:keepLines w:val="0"/>
        <w:outlineLvl w:val="0"/>
        <w:rPr>
          <w:lang w:val="pl-PL"/>
        </w:rPr>
      </w:pPr>
      <w:r w:rsidRPr="00840187">
        <w:rPr>
          <w:lang w:val="pl-PL"/>
        </w:rPr>
        <w:t>A.  Szkoda</w:t>
      </w:r>
    </w:p>
    <w:p w:rsidR="003350CB" w:rsidRPr="000D2EED" w:rsidRDefault="003350CB" w:rsidP="00CA27B7">
      <w:pPr>
        <w:pStyle w:val="ECHRPara"/>
      </w:pPr>
      <w:fldSimple w:instr=" SEQ level0 \*arabic ">
        <w:r w:rsidRPr="00840187">
          <w:rPr>
            <w:noProof/>
          </w:rPr>
          <w:t>52</w:t>
        </w:r>
      </w:fldSimple>
      <w:r w:rsidRPr="00840187">
        <w:t>.  </w:t>
      </w:r>
      <w:r w:rsidRPr="000D2EED">
        <w:t>Skarżący dochodził kwoty 147.010.00 euro (EUR) z tytułu szkody niemajątkowej.</w:t>
      </w:r>
    </w:p>
    <w:p w:rsidR="003350CB" w:rsidRPr="006C7D17" w:rsidRDefault="003350CB" w:rsidP="00CA27B7">
      <w:pPr>
        <w:pStyle w:val="ECHRPara"/>
      </w:pPr>
      <w:fldSimple w:instr=" SEQ level0 \*arabic ">
        <w:r w:rsidRPr="00840187">
          <w:rPr>
            <w:noProof/>
          </w:rPr>
          <w:t>53</w:t>
        </w:r>
      </w:fldSimple>
      <w:r w:rsidRPr="00840187">
        <w:t>.  </w:t>
      </w:r>
      <w:r w:rsidRPr="000D2EED">
        <w:t xml:space="preserve">Rząd uznał roszczenie skarżącego za nadmierne </w:t>
      </w:r>
      <w:r>
        <w:t>i</w:t>
      </w:r>
      <w:r w:rsidRPr="000D2EED">
        <w:t xml:space="preserve"> bezpodstawne.</w:t>
      </w:r>
      <w:r>
        <w:t xml:space="preserve"> </w:t>
      </w:r>
      <w:r w:rsidRPr="006C7D17">
        <w:t xml:space="preserve">Stwierdził następnie, że skarżący </w:t>
      </w:r>
      <w:r>
        <w:t>nie poparł roszczenia</w:t>
      </w:r>
      <w:r w:rsidRPr="006C7D17">
        <w:t xml:space="preserve"> </w:t>
      </w:r>
      <w:r>
        <w:t>żadnym dokumentem</w:t>
      </w:r>
      <w:r w:rsidRPr="006C7D17">
        <w:t>. W konsekwencj</w:t>
      </w:r>
      <w:r>
        <w:t>i Rząd zwrócił się do Trybunału, by odrzucił roszczenie skarżącego</w:t>
      </w:r>
      <w:r w:rsidRPr="006C7D17">
        <w:t>.</w:t>
      </w:r>
    </w:p>
    <w:p w:rsidR="003350CB" w:rsidRPr="00394CE9" w:rsidRDefault="003350CB" w:rsidP="00CA27B7">
      <w:pPr>
        <w:pStyle w:val="ECHRPara"/>
      </w:pPr>
      <w:fldSimple w:instr=" SEQ level0 \*arabic ">
        <w:r w:rsidRPr="00840187">
          <w:rPr>
            <w:noProof/>
          </w:rPr>
          <w:t>54</w:t>
        </w:r>
      </w:fldSimple>
      <w:r w:rsidRPr="00840187">
        <w:t>.  </w:t>
      </w:r>
      <w:r w:rsidRPr="00394CE9">
        <w:t xml:space="preserve">Mając na względzie stwierdzenie naruszenia Artykułu 8 w przedmiotowej sprawie oraz dokonując oceny z uwzględnieniem zasady sprawiedliwości, </w:t>
      </w:r>
      <w:r>
        <w:t>Trybunał przyznaje</w:t>
      </w:r>
      <w:r w:rsidRPr="00394CE9">
        <w:t xml:space="preserve"> </w:t>
      </w:r>
      <w:r>
        <w:t>skarżącemu kwotę</w:t>
      </w:r>
      <w:r w:rsidRPr="00394CE9">
        <w:t xml:space="preserve"> 2</w:t>
      </w:r>
      <w:r>
        <w:t>.</w:t>
      </w:r>
      <w:r w:rsidRPr="00394CE9">
        <w:t xml:space="preserve">500 EUR </w:t>
      </w:r>
      <w:r>
        <w:t xml:space="preserve">z tytułu szkody niemajątkowej. </w:t>
      </w:r>
    </w:p>
    <w:p w:rsidR="003350CB" w:rsidRPr="00840187" w:rsidRDefault="003350CB" w:rsidP="00CA27B7">
      <w:pPr>
        <w:pStyle w:val="ECHRHeading2"/>
        <w:outlineLvl w:val="0"/>
        <w:rPr>
          <w:lang w:val="pl-PL"/>
        </w:rPr>
      </w:pPr>
      <w:r w:rsidRPr="00840187">
        <w:rPr>
          <w:lang w:val="pl-PL"/>
        </w:rPr>
        <w:t>B.  Koszty i wydatki</w:t>
      </w:r>
    </w:p>
    <w:p w:rsidR="003350CB" w:rsidRPr="006C7D17" w:rsidRDefault="003350CB" w:rsidP="00CA27B7">
      <w:pPr>
        <w:pStyle w:val="ECHRPara"/>
      </w:pPr>
      <w:fldSimple w:instr=" SEQ level0 \*arabic ">
        <w:r w:rsidRPr="00840187">
          <w:rPr>
            <w:noProof/>
          </w:rPr>
          <w:t>55</w:t>
        </w:r>
      </w:fldSimple>
      <w:r w:rsidRPr="00840187">
        <w:t>.  </w:t>
      </w:r>
      <w:r w:rsidRPr="006C7D17">
        <w:t>Skarżący nie dochodził zwrotu kosztów i wydatków poniesionych w postępowaniu.</w:t>
      </w:r>
    </w:p>
    <w:p w:rsidR="003350CB" w:rsidRPr="00840187" w:rsidRDefault="003350CB" w:rsidP="00CA27B7">
      <w:pPr>
        <w:pStyle w:val="ECHRHeading2"/>
        <w:outlineLvl w:val="0"/>
        <w:rPr>
          <w:lang w:val="pl-PL"/>
        </w:rPr>
      </w:pPr>
      <w:r w:rsidRPr="00840187">
        <w:rPr>
          <w:lang w:val="pl-PL"/>
        </w:rPr>
        <w:t>C.  Odsetki za zwłokę</w:t>
      </w:r>
    </w:p>
    <w:p w:rsidR="003350CB" w:rsidRPr="006C7D17" w:rsidRDefault="003350CB" w:rsidP="00CA27B7">
      <w:pPr>
        <w:pStyle w:val="ECHRPara"/>
      </w:pPr>
      <w:fldSimple w:instr=" SEQ level0 \*arabic ">
        <w:r w:rsidRPr="00840187">
          <w:rPr>
            <w:noProof/>
          </w:rPr>
          <w:t>56</w:t>
        </w:r>
      </w:fldSimple>
      <w:r w:rsidRPr="00840187">
        <w:t>.  </w:t>
      </w:r>
      <w:r w:rsidRPr="006C7D17">
        <w:rPr>
          <w:lang w:eastAsia="fr-FR"/>
        </w:rPr>
        <w:t>Trybunał uznaje za właściwe, by odsetki za zwłokę były oparte na marginalnej stopie procentowej Europejskiego Banku Centralnego, powiększonej o trzy punkty procentowe</w:t>
      </w:r>
      <w:r w:rsidRPr="006C7D17">
        <w:t>.</w:t>
      </w:r>
    </w:p>
    <w:p w:rsidR="003350CB" w:rsidRPr="006C7D17" w:rsidRDefault="003350CB" w:rsidP="00CA27B7">
      <w:pPr>
        <w:pStyle w:val="ECHRTitle1"/>
        <w:rPr>
          <w:lang w:val="pl-PL"/>
        </w:rPr>
      </w:pPr>
      <w:r w:rsidRPr="006C7D17">
        <w:rPr>
          <w:lang w:val="pl-PL"/>
        </w:rPr>
        <w:t>Z TYCH PRZYCZYN, TRYBUNAŁ JEDNOGŁOŚNIE,</w:t>
      </w:r>
    </w:p>
    <w:p w:rsidR="003350CB" w:rsidRPr="0042536A" w:rsidRDefault="003350CB" w:rsidP="00CA27B7">
      <w:pPr>
        <w:pStyle w:val="JuList"/>
        <w:rPr>
          <w:lang w:val="pl-PL"/>
        </w:rPr>
      </w:pPr>
      <w:r w:rsidRPr="00840187">
        <w:rPr>
          <w:lang w:val="pl-PL"/>
        </w:rPr>
        <w:t>1.  </w:t>
      </w:r>
      <w:r w:rsidRPr="0042536A">
        <w:rPr>
          <w:i/>
          <w:lang w:val="pl-PL"/>
        </w:rPr>
        <w:t>Uznaje</w:t>
      </w:r>
      <w:r w:rsidRPr="0042536A">
        <w:rPr>
          <w:color w:val="000000"/>
          <w:lang w:val="pl-PL"/>
        </w:rPr>
        <w:t xml:space="preserve"> </w:t>
      </w:r>
      <w:r w:rsidRPr="0042536A">
        <w:rPr>
          <w:lang w:val="pl-PL"/>
        </w:rPr>
        <w:t>skargę na podstawie Artykułu 8 Konwencji za dopuszczalną, a pozostałą część skargi za niedopuszczalną;</w:t>
      </w:r>
    </w:p>
    <w:p w:rsidR="003350CB" w:rsidRPr="0042536A" w:rsidRDefault="003350CB" w:rsidP="00CA27B7">
      <w:pPr>
        <w:pStyle w:val="JuList"/>
        <w:ind w:left="0" w:firstLine="0"/>
        <w:rPr>
          <w:lang w:val="pl-PL"/>
        </w:rPr>
      </w:pPr>
    </w:p>
    <w:p w:rsidR="003350CB" w:rsidRPr="0042536A" w:rsidRDefault="003350CB" w:rsidP="00CA27B7">
      <w:pPr>
        <w:pStyle w:val="JuList"/>
        <w:rPr>
          <w:lang w:val="pl-PL"/>
        </w:rPr>
      </w:pPr>
      <w:r w:rsidRPr="00840187">
        <w:rPr>
          <w:lang w:val="pl-PL"/>
        </w:rPr>
        <w:t>2.  </w:t>
      </w:r>
      <w:r w:rsidRPr="0042536A">
        <w:rPr>
          <w:i/>
          <w:lang w:val="pl-PL"/>
        </w:rPr>
        <w:t>Stwierdza,</w:t>
      </w:r>
      <w:r w:rsidRPr="0042536A">
        <w:rPr>
          <w:lang w:val="pl-PL"/>
        </w:rPr>
        <w:t xml:space="preserve"> że doszło do naruszenia</w:t>
      </w:r>
      <w:r w:rsidRPr="0042536A">
        <w:rPr>
          <w:color w:val="000000"/>
          <w:lang w:val="pl-PL"/>
        </w:rPr>
        <w:t xml:space="preserve"> </w:t>
      </w:r>
      <w:r w:rsidRPr="0042536A">
        <w:rPr>
          <w:lang w:val="pl-PL"/>
        </w:rPr>
        <w:t>Art</w:t>
      </w:r>
      <w:r>
        <w:rPr>
          <w:lang w:val="pl-PL"/>
        </w:rPr>
        <w:t>ykułu</w:t>
      </w:r>
      <w:r w:rsidRPr="0042536A">
        <w:rPr>
          <w:lang w:val="pl-PL"/>
        </w:rPr>
        <w:t xml:space="preserve"> 8 </w:t>
      </w:r>
      <w:r>
        <w:rPr>
          <w:lang w:val="pl-PL"/>
        </w:rPr>
        <w:t>Konwencji</w:t>
      </w:r>
      <w:r w:rsidRPr="0042536A">
        <w:rPr>
          <w:lang w:val="pl-PL"/>
        </w:rPr>
        <w:t>;</w:t>
      </w:r>
    </w:p>
    <w:p w:rsidR="003350CB" w:rsidRPr="0042536A" w:rsidRDefault="003350CB" w:rsidP="00CA27B7">
      <w:pPr>
        <w:pStyle w:val="JuList"/>
        <w:ind w:left="0" w:firstLine="0"/>
        <w:rPr>
          <w:lang w:val="pl-PL"/>
        </w:rPr>
      </w:pPr>
    </w:p>
    <w:p w:rsidR="003350CB" w:rsidRPr="00840187" w:rsidRDefault="003350CB" w:rsidP="00CA27B7">
      <w:pPr>
        <w:pStyle w:val="JuList"/>
        <w:rPr>
          <w:lang w:val="pl-PL"/>
        </w:rPr>
      </w:pPr>
      <w:r w:rsidRPr="00840187">
        <w:rPr>
          <w:lang w:val="pl-PL"/>
        </w:rPr>
        <w:t>3.  </w:t>
      </w:r>
      <w:r w:rsidRPr="00840187">
        <w:rPr>
          <w:i/>
          <w:lang w:val="pl-PL"/>
        </w:rPr>
        <w:t>Stwierdza</w:t>
      </w:r>
    </w:p>
    <w:p w:rsidR="003350CB" w:rsidRPr="0042536A" w:rsidRDefault="003350CB" w:rsidP="00CA27B7">
      <w:pPr>
        <w:pStyle w:val="JuLista"/>
        <w:rPr>
          <w:lang w:val="pl-PL"/>
        </w:rPr>
      </w:pPr>
      <w:r w:rsidRPr="0042536A">
        <w:rPr>
          <w:lang w:val="pl-PL"/>
        </w:rPr>
        <w:t>(a)  </w:t>
      </w:r>
      <w:r w:rsidRPr="0042536A">
        <w:rPr>
          <w:szCs w:val="20"/>
          <w:lang w:val="pl-PL" w:eastAsia="fr-FR"/>
        </w:rPr>
        <w:t>że pozwane państwo ma zapłacić skarżącemu w terminie trzech miesięcy od daty uprawomocnienia się wyroku zgodnie z Artykułem 44 ust. 2 Konwencji kwotę 2</w:t>
      </w:r>
      <w:r>
        <w:rPr>
          <w:szCs w:val="20"/>
          <w:lang w:val="pl-PL" w:eastAsia="fr-FR"/>
        </w:rPr>
        <w:t>.</w:t>
      </w:r>
      <w:r w:rsidRPr="0042536A">
        <w:rPr>
          <w:szCs w:val="20"/>
          <w:lang w:val="pl-PL" w:eastAsia="fr-FR"/>
        </w:rPr>
        <w:t xml:space="preserve">500 euro (dwa tysiące </w:t>
      </w:r>
      <w:r>
        <w:rPr>
          <w:szCs w:val="20"/>
          <w:lang w:val="pl-PL" w:eastAsia="fr-FR"/>
        </w:rPr>
        <w:t xml:space="preserve">pięćset </w:t>
      </w:r>
      <w:r w:rsidRPr="0042536A">
        <w:rPr>
          <w:szCs w:val="20"/>
          <w:lang w:val="pl-PL" w:eastAsia="fr-FR"/>
        </w:rPr>
        <w:t>euro), powiększoną o wszelkie podatki, które mogą zostać nałożone na tę kwotę, tytułem poniesionej szkody niematerialnej, przeliczoną na walutę polską po kursie obowiązującym w dniu wydania rozstrzygnięcia</w:t>
      </w:r>
      <w:r w:rsidRPr="0042536A">
        <w:rPr>
          <w:lang w:val="pl-PL"/>
        </w:rPr>
        <w:t>;</w:t>
      </w:r>
    </w:p>
    <w:p w:rsidR="003350CB" w:rsidRPr="0042536A" w:rsidRDefault="003350CB" w:rsidP="00CA27B7">
      <w:pPr>
        <w:pStyle w:val="JuLista"/>
        <w:rPr>
          <w:lang w:val="pl-PL"/>
        </w:rPr>
      </w:pPr>
      <w:r w:rsidRPr="0042536A">
        <w:rPr>
          <w:lang w:val="pl-PL"/>
        </w:rPr>
        <w:lastRenderedPageBreak/>
        <w:t>(b)  </w:t>
      </w:r>
      <w:r w:rsidRPr="00D576DF">
        <w:rPr>
          <w:szCs w:val="20"/>
          <w:lang w:val="pl-PL" w:eastAsia="fr-FR"/>
        </w:rPr>
        <w:t>że po upływie powyższego trzymiesięcznego terminu do momentu zapłaty, winny zostać naliczone od tych kwot odsetki zwykłe według marginalnej stopy procentowej Europejskiego Banku Centralnego powiększonej o trzy punkty procentowe</w:t>
      </w:r>
      <w:r w:rsidRPr="0042536A">
        <w:rPr>
          <w:lang w:val="pl-PL"/>
        </w:rPr>
        <w:t>;</w:t>
      </w:r>
    </w:p>
    <w:p w:rsidR="003350CB" w:rsidRPr="0042536A" w:rsidRDefault="003350CB" w:rsidP="00CA27B7">
      <w:pPr>
        <w:pStyle w:val="JuLista"/>
        <w:rPr>
          <w:lang w:val="pl-PL"/>
        </w:rPr>
      </w:pPr>
    </w:p>
    <w:p w:rsidR="003350CB" w:rsidRPr="0042536A" w:rsidRDefault="003350CB" w:rsidP="00CA27B7">
      <w:pPr>
        <w:pStyle w:val="JuList"/>
        <w:rPr>
          <w:lang w:val="pl-PL"/>
        </w:rPr>
      </w:pPr>
      <w:r w:rsidRPr="00840187">
        <w:rPr>
          <w:lang w:val="pl-PL"/>
        </w:rPr>
        <w:t>4.  </w:t>
      </w:r>
      <w:r w:rsidRPr="00A34F22">
        <w:rPr>
          <w:i/>
          <w:szCs w:val="20"/>
          <w:lang w:val="pl-PL" w:eastAsia="fr-FR"/>
        </w:rPr>
        <w:t xml:space="preserve">Oddala </w:t>
      </w:r>
      <w:r w:rsidRPr="00A34F22">
        <w:rPr>
          <w:szCs w:val="20"/>
          <w:lang w:val="pl-PL" w:eastAsia="fr-FR"/>
        </w:rPr>
        <w:t>pozostałą część roszczenia skarżącego o słuszne zadośćuczynienie</w:t>
      </w:r>
      <w:r w:rsidRPr="0042536A">
        <w:rPr>
          <w:lang w:val="pl-PL"/>
        </w:rPr>
        <w:t>.</w:t>
      </w:r>
    </w:p>
    <w:p w:rsidR="003350CB" w:rsidRPr="006C7D17" w:rsidRDefault="003350CB">
      <w:pPr>
        <w:pStyle w:val="JuParaLast"/>
        <w:rPr>
          <w:lang w:val="pl-PL"/>
        </w:rPr>
      </w:pPr>
      <w:r w:rsidRPr="00BD20D5">
        <w:rPr>
          <w:szCs w:val="20"/>
          <w:lang w:val="pl-PL" w:eastAsia="fr-FR"/>
        </w:rPr>
        <w:t xml:space="preserve">Sporządzono w języku angielskim oraz obwieszczono pisemnie dnia </w:t>
      </w:r>
      <w:r>
        <w:rPr>
          <w:szCs w:val="20"/>
          <w:lang w:val="pl-PL" w:eastAsia="fr-FR"/>
        </w:rPr>
        <w:t>15 września 2015</w:t>
      </w:r>
      <w:r w:rsidRPr="00BD20D5">
        <w:rPr>
          <w:szCs w:val="20"/>
          <w:lang w:val="pl-PL" w:eastAsia="fr-FR"/>
        </w:rPr>
        <w:t xml:space="preserve"> roku, zgodnie z Regułą 77 ust. 2 i ust. 3 Regulaminu Trybunału</w:t>
      </w:r>
      <w:r w:rsidRPr="006C7D17">
        <w:rPr>
          <w:lang w:val="pl-PL"/>
        </w:rPr>
        <w:t>.</w:t>
      </w:r>
    </w:p>
    <w:p w:rsidR="003350CB" w:rsidRPr="00B13CC8" w:rsidRDefault="003350CB" w:rsidP="006D1B6F">
      <w:pPr>
        <w:pStyle w:val="JuSigned"/>
        <w:tabs>
          <w:tab w:val="clear" w:pos="851"/>
          <w:tab w:val="center" w:pos="993"/>
        </w:tabs>
        <w:jc w:val="both"/>
        <w:rPr>
          <w:lang w:val="pl-PL"/>
        </w:rPr>
      </w:pPr>
      <w:r w:rsidRPr="006C7D17">
        <w:rPr>
          <w:lang w:val="pl-PL"/>
        </w:rPr>
        <w:tab/>
      </w:r>
      <w:r w:rsidRPr="00B13CC8">
        <w:rPr>
          <w:lang w:val="pl-PL"/>
        </w:rPr>
        <w:t>Françoise Elens-Passos</w:t>
      </w:r>
      <w:r w:rsidRPr="00B13CC8">
        <w:rPr>
          <w:lang w:val="pl-PL"/>
        </w:rPr>
        <w:tab/>
      </w:r>
      <w:r w:rsidRPr="00B13CC8">
        <w:rPr>
          <w:szCs w:val="24"/>
          <w:lang w:val="pl-PL"/>
        </w:rPr>
        <w:t>Guido Raimondi</w:t>
      </w:r>
      <w:r w:rsidRPr="00B13CC8">
        <w:rPr>
          <w:szCs w:val="24"/>
          <w:lang w:val="pl-PL"/>
        </w:rPr>
        <w:br/>
      </w:r>
      <w:r w:rsidRPr="00B13CC8">
        <w:rPr>
          <w:lang w:val="pl-PL"/>
        </w:rPr>
        <w:tab/>
      </w:r>
      <w:r w:rsidRPr="00B13CC8">
        <w:rPr>
          <w:iCs/>
          <w:lang w:val="pl-PL"/>
        </w:rPr>
        <w:t>Kanclerz Sekcji</w:t>
      </w:r>
      <w:r w:rsidRPr="00B13CC8">
        <w:rPr>
          <w:lang w:val="pl-PL"/>
        </w:rPr>
        <w:tab/>
        <w:t>Przewodniczący</w:t>
      </w:r>
    </w:p>
    <w:p w:rsidR="003350CB" w:rsidRPr="00B13CC8" w:rsidRDefault="003350CB" w:rsidP="00792E86">
      <w:pPr>
        <w:pStyle w:val="JuParaLast"/>
        <w:rPr>
          <w:lang w:val="pl-PL"/>
        </w:rPr>
      </w:pPr>
    </w:p>
    <w:sectPr w:rsidR="003350CB" w:rsidRPr="00B13CC8" w:rsidSect="000B5079">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15" w:rsidRDefault="003F1315" w:rsidP="00014566">
      <w:r>
        <w:separator/>
      </w:r>
    </w:p>
  </w:endnote>
  <w:endnote w:type="continuationSeparator" w:id="0">
    <w:p w:rsidR="003F1315" w:rsidRDefault="003F1315"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0CB" w:rsidRPr="00150BFA" w:rsidRDefault="00DD456F" w:rsidP="0020718E">
    <w:pPr>
      <w:jc w:val="center"/>
    </w:pPr>
    <w:r>
      <w:rPr>
        <w:noProof/>
        <w:lang w:val="pl-PL" w:eastAsia="pl-PL"/>
      </w:rPr>
      <w:drawing>
        <wp:inline distT="0" distB="0" distL="0" distR="0">
          <wp:extent cx="762000" cy="619125"/>
          <wp:effectExtent l="0" t="0" r="0" b="9525"/>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3350CB" w:rsidRDefault="003350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15" w:rsidRDefault="003F1315" w:rsidP="00014566">
      <w:r>
        <w:separator/>
      </w:r>
    </w:p>
  </w:footnote>
  <w:footnote w:type="continuationSeparator" w:id="0">
    <w:p w:rsidR="003F1315" w:rsidRDefault="003F1315"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0CB" w:rsidRPr="000B5079" w:rsidRDefault="003350CB" w:rsidP="000B5079">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0CB" w:rsidRPr="00A45145" w:rsidRDefault="00DD456F" w:rsidP="00A45145">
    <w:pPr>
      <w:jc w:val="center"/>
    </w:pPr>
    <w:r>
      <w:rPr>
        <w:noProof/>
        <w:lang w:val="pl-PL" w:eastAsia="pl-PL"/>
      </w:rPr>
      <w:drawing>
        <wp:inline distT="0" distB="0" distL="0" distR="0">
          <wp:extent cx="2962275" cy="1219200"/>
          <wp:effectExtent l="0" t="0" r="9525"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50CB" w:rsidRDefault="003350C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0CB" w:rsidRPr="00230107" w:rsidRDefault="003350CB" w:rsidP="00EE1DA9">
    <w:pPr>
      <w:pStyle w:val="ECHRHeader"/>
      <w:rPr>
        <w:lang w:val="pl-PL"/>
      </w:rPr>
    </w:pPr>
    <w:r w:rsidRPr="00230107">
      <w:rPr>
        <w:rStyle w:val="Numerstrony"/>
        <w:szCs w:val="18"/>
        <w:lang w:val="pl-PL"/>
      </w:rPr>
      <w:fldChar w:fldCharType="begin"/>
    </w:r>
    <w:r w:rsidRPr="00230107">
      <w:rPr>
        <w:rStyle w:val="Numerstrony"/>
        <w:szCs w:val="18"/>
        <w:lang w:val="pl-PL"/>
      </w:rPr>
      <w:instrText xml:space="preserve"> PAGE </w:instrText>
    </w:r>
    <w:r w:rsidRPr="00230107">
      <w:rPr>
        <w:rStyle w:val="Numerstrony"/>
        <w:szCs w:val="18"/>
        <w:lang w:val="pl-PL"/>
      </w:rPr>
      <w:fldChar w:fldCharType="separate"/>
    </w:r>
    <w:r w:rsidR="00DD456F">
      <w:rPr>
        <w:rStyle w:val="Numerstrony"/>
        <w:noProof/>
        <w:szCs w:val="18"/>
        <w:lang w:val="pl-PL"/>
      </w:rPr>
      <w:t>10</w:t>
    </w:r>
    <w:r w:rsidRPr="00230107">
      <w:rPr>
        <w:rStyle w:val="Numerstrony"/>
        <w:szCs w:val="18"/>
        <w:lang w:val="pl-PL"/>
      </w:rPr>
      <w:fldChar w:fldCharType="end"/>
    </w:r>
    <w:r w:rsidRPr="00230107">
      <w:rPr>
        <w:lang w:val="pl-PL"/>
      </w:rPr>
      <w:tab/>
      <w:t xml:space="preserve">WYROK W SPRAWIE MILKA </w:t>
    </w:r>
    <w:r>
      <w:rPr>
        <w:lang w:val="pl-PL"/>
      </w:rPr>
      <w:t>przeciwko</w:t>
    </w:r>
    <w:r w:rsidRPr="00230107">
      <w:rPr>
        <w:lang w:val="pl-PL"/>
      </w:rPr>
      <w:t xml:space="preserve"> POL</w:t>
    </w:r>
    <w:r>
      <w:rPr>
        <w:lang w:val="pl-PL"/>
      </w:rPr>
      <w:t>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0CB" w:rsidRPr="003B55AE" w:rsidRDefault="003350CB" w:rsidP="00D60D87">
    <w:pPr>
      <w:pStyle w:val="ECHRHeader"/>
      <w:rPr>
        <w:lang w:val="pl-PL"/>
      </w:rPr>
    </w:pPr>
    <w:r w:rsidRPr="00D60D87">
      <w:rPr>
        <w:lang w:val="en-GB"/>
      </w:rPr>
      <w:tab/>
    </w:r>
    <w:r w:rsidRPr="003B55AE">
      <w:rPr>
        <w:lang w:val="pl-PL"/>
      </w:rPr>
      <w:t xml:space="preserve">WYROK W SPRAWIE MILKA </w:t>
    </w:r>
    <w:r>
      <w:rPr>
        <w:lang w:val="pl-PL"/>
      </w:rPr>
      <w:t>przeciwko POLSCE</w:t>
    </w:r>
    <w:r w:rsidRPr="003B55AE">
      <w:rPr>
        <w:lang w:val="pl-PL"/>
      </w:rPr>
      <w:tab/>
    </w:r>
    <w:r w:rsidRPr="003B55AE">
      <w:rPr>
        <w:rStyle w:val="Numerstrony"/>
        <w:szCs w:val="18"/>
        <w:lang w:val="pl-PL"/>
      </w:rPr>
      <w:fldChar w:fldCharType="begin"/>
    </w:r>
    <w:r w:rsidRPr="003B55AE">
      <w:rPr>
        <w:rStyle w:val="Numerstrony"/>
        <w:szCs w:val="18"/>
        <w:lang w:val="pl-PL"/>
      </w:rPr>
      <w:instrText xml:space="preserve"> PAGE </w:instrText>
    </w:r>
    <w:r w:rsidRPr="003B55AE">
      <w:rPr>
        <w:rStyle w:val="Numerstrony"/>
        <w:szCs w:val="18"/>
        <w:lang w:val="pl-PL"/>
      </w:rPr>
      <w:fldChar w:fldCharType="separate"/>
    </w:r>
    <w:r w:rsidR="00DD456F">
      <w:rPr>
        <w:rStyle w:val="Numerstrony"/>
        <w:noProof/>
        <w:szCs w:val="18"/>
        <w:lang w:val="pl-PL"/>
      </w:rPr>
      <w:t>11</w:t>
    </w:r>
    <w:r w:rsidRPr="003B55AE">
      <w:rPr>
        <w:rStyle w:val="Numerstrony"/>
        <w:szCs w:val="18"/>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2"/>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punktowana5"/>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punktowana4"/>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punktowana2"/>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punktowana3"/>
      <w:lvlText w:val="%1."/>
      <w:lvlJc w:val="left"/>
      <w:pPr>
        <w:tabs>
          <w:tab w:val="num" w:pos="360"/>
        </w:tabs>
        <w:ind w:left="360" w:hanging="360"/>
      </w:pPr>
      <w:rPr>
        <w:rFonts w:cs="Times New Roman"/>
      </w:rPr>
    </w:lvl>
  </w:abstractNum>
  <w:abstractNum w:abstractNumId="9">
    <w:nsid w:val="FFFFFF89"/>
    <w:multiLevelType w:val="singleLevel"/>
    <w:tmpl w:val="932EE862"/>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pStyle w:val="Listanumerowana5"/>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pStyle w:val="Listanumerowana4"/>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D3E307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43A55489"/>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59572902"/>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2771DA2"/>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76E20F4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737461D"/>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1"/>
  </w:num>
  <w:num w:numId="23">
    <w:abstractNumId w:val="10"/>
  </w:num>
  <w:num w:numId="24">
    <w:abstractNumId w:val="1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7"/>
  </w:num>
  <w:num w:numId="35">
    <w:abstractNumId w:val="13"/>
  </w:num>
  <w:num w:numId="36">
    <w:abstractNumId w:val="14"/>
  </w:num>
  <w:num w:numId="37">
    <w:abstractNumId w:val="16"/>
  </w:num>
  <w:num w:numId="38">
    <w:abstractNumId w:val="18"/>
  </w:num>
  <w:num w:numId="3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E3D3F"/>
    <w:rsid w:val="000041F8"/>
    <w:rsid w:val="000042A8"/>
    <w:rsid w:val="00004308"/>
    <w:rsid w:val="00005BF0"/>
    <w:rsid w:val="00007154"/>
    <w:rsid w:val="000103AE"/>
    <w:rsid w:val="00011D69"/>
    <w:rsid w:val="00012AD3"/>
    <w:rsid w:val="00014566"/>
    <w:rsid w:val="00015C2D"/>
    <w:rsid w:val="00015E90"/>
    <w:rsid w:val="00015F00"/>
    <w:rsid w:val="00022C1D"/>
    <w:rsid w:val="00025462"/>
    <w:rsid w:val="0003340A"/>
    <w:rsid w:val="00034987"/>
    <w:rsid w:val="000602DF"/>
    <w:rsid w:val="00061B05"/>
    <w:rsid w:val="00062973"/>
    <w:rsid w:val="00062D5D"/>
    <w:rsid w:val="000632D5"/>
    <w:rsid w:val="00063473"/>
    <w:rsid w:val="000644EE"/>
    <w:rsid w:val="00070664"/>
    <w:rsid w:val="00090B9A"/>
    <w:rsid w:val="00091EDE"/>
    <w:rsid w:val="000925AD"/>
    <w:rsid w:val="00093A35"/>
    <w:rsid w:val="000A24EB"/>
    <w:rsid w:val="000A5C58"/>
    <w:rsid w:val="000A7B9D"/>
    <w:rsid w:val="000B161B"/>
    <w:rsid w:val="000B5079"/>
    <w:rsid w:val="000B6923"/>
    <w:rsid w:val="000C033C"/>
    <w:rsid w:val="000C5F3C"/>
    <w:rsid w:val="000C6C34"/>
    <w:rsid w:val="000C6DCC"/>
    <w:rsid w:val="000C7B55"/>
    <w:rsid w:val="000D2B35"/>
    <w:rsid w:val="000D2EED"/>
    <w:rsid w:val="000D47AA"/>
    <w:rsid w:val="000D721F"/>
    <w:rsid w:val="000E069B"/>
    <w:rsid w:val="000E0E82"/>
    <w:rsid w:val="000E1DC5"/>
    <w:rsid w:val="000E223F"/>
    <w:rsid w:val="000E3370"/>
    <w:rsid w:val="000E7BAE"/>
    <w:rsid w:val="000E7D45"/>
    <w:rsid w:val="000F277F"/>
    <w:rsid w:val="000F7851"/>
    <w:rsid w:val="00100C3D"/>
    <w:rsid w:val="00104E23"/>
    <w:rsid w:val="00106F82"/>
    <w:rsid w:val="00111B0C"/>
    <w:rsid w:val="001204AF"/>
    <w:rsid w:val="00120D6C"/>
    <w:rsid w:val="001257EC"/>
    <w:rsid w:val="00125B20"/>
    <w:rsid w:val="00132C6A"/>
    <w:rsid w:val="00133D33"/>
    <w:rsid w:val="00134D64"/>
    <w:rsid w:val="00135A30"/>
    <w:rsid w:val="0013612C"/>
    <w:rsid w:val="00137FF6"/>
    <w:rsid w:val="00141650"/>
    <w:rsid w:val="00150BFA"/>
    <w:rsid w:val="00162A12"/>
    <w:rsid w:val="00166530"/>
    <w:rsid w:val="00181D16"/>
    <w:rsid w:val="00182328"/>
    <w:rsid w:val="001832BD"/>
    <w:rsid w:val="00190BF4"/>
    <w:rsid w:val="001943B5"/>
    <w:rsid w:val="00195134"/>
    <w:rsid w:val="00196E5F"/>
    <w:rsid w:val="001A145B"/>
    <w:rsid w:val="001A2F05"/>
    <w:rsid w:val="001A674C"/>
    <w:rsid w:val="001B3B24"/>
    <w:rsid w:val="001C0F98"/>
    <w:rsid w:val="001C156D"/>
    <w:rsid w:val="001C2A42"/>
    <w:rsid w:val="001C47D1"/>
    <w:rsid w:val="001D4FF7"/>
    <w:rsid w:val="001D63ED"/>
    <w:rsid w:val="001D7348"/>
    <w:rsid w:val="001E035B"/>
    <w:rsid w:val="001E0961"/>
    <w:rsid w:val="001E3EAE"/>
    <w:rsid w:val="001E6F32"/>
    <w:rsid w:val="001F2145"/>
    <w:rsid w:val="001F378E"/>
    <w:rsid w:val="001F6262"/>
    <w:rsid w:val="001F67B0"/>
    <w:rsid w:val="001F7B3D"/>
    <w:rsid w:val="001F7F2B"/>
    <w:rsid w:val="002011E7"/>
    <w:rsid w:val="00204D06"/>
    <w:rsid w:val="00205F9F"/>
    <w:rsid w:val="002068D4"/>
    <w:rsid w:val="0020718E"/>
    <w:rsid w:val="00210338"/>
    <w:rsid w:val="002115FC"/>
    <w:rsid w:val="00212AE6"/>
    <w:rsid w:val="002133F8"/>
    <w:rsid w:val="0021423C"/>
    <w:rsid w:val="00215CF1"/>
    <w:rsid w:val="00226F5D"/>
    <w:rsid w:val="00230107"/>
    <w:rsid w:val="00230D00"/>
    <w:rsid w:val="00231DF7"/>
    <w:rsid w:val="00231FD1"/>
    <w:rsid w:val="002339E0"/>
    <w:rsid w:val="00233CF8"/>
    <w:rsid w:val="0023575D"/>
    <w:rsid w:val="00237148"/>
    <w:rsid w:val="0024222D"/>
    <w:rsid w:val="00244B0E"/>
    <w:rsid w:val="00244F6C"/>
    <w:rsid w:val="002452AB"/>
    <w:rsid w:val="00245608"/>
    <w:rsid w:val="00252889"/>
    <w:rsid w:val="002532C5"/>
    <w:rsid w:val="00255B6C"/>
    <w:rsid w:val="00260C03"/>
    <w:rsid w:val="0026540E"/>
    <w:rsid w:val="00275123"/>
    <w:rsid w:val="00277DA8"/>
    <w:rsid w:val="0028074C"/>
    <w:rsid w:val="00282240"/>
    <w:rsid w:val="0028572A"/>
    <w:rsid w:val="00287058"/>
    <w:rsid w:val="002921FF"/>
    <w:rsid w:val="00293D75"/>
    <w:rsid w:val="002948AD"/>
    <w:rsid w:val="00294C92"/>
    <w:rsid w:val="002A01CC"/>
    <w:rsid w:val="002A60E2"/>
    <w:rsid w:val="002A61B1"/>
    <w:rsid w:val="002A663C"/>
    <w:rsid w:val="002B444B"/>
    <w:rsid w:val="002B5887"/>
    <w:rsid w:val="002B5960"/>
    <w:rsid w:val="002C0692"/>
    <w:rsid w:val="002C0E27"/>
    <w:rsid w:val="002C3040"/>
    <w:rsid w:val="002D022D"/>
    <w:rsid w:val="002D24BB"/>
    <w:rsid w:val="002D3E90"/>
    <w:rsid w:val="002E3738"/>
    <w:rsid w:val="002E45B6"/>
    <w:rsid w:val="002F2AF7"/>
    <w:rsid w:val="002F7E1C"/>
    <w:rsid w:val="00301A75"/>
    <w:rsid w:val="00302F70"/>
    <w:rsid w:val="0030336F"/>
    <w:rsid w:val="0030375E"/>
    <w:rsid w:val="00312A30"/>
    <w:rsid w:val="00320F72"/>
    <w:rsid w:val="003216E1"/>
    <w:rsid w:val="0032357E"/>
    <w:rsid w:val="0032463E"/>
    <w:rsid w:val="00326224"/>
    <w:rsid w:val="003350CB"/>
    <w:rsid w:val="00337EE4"/>
    <w:rsid w:val="00340FFD"/>
    <w:rsid w:val="00344855"/>
    <w:rsid w:val="00345F84"/>
    <w:rsid w:val="003472F3"/>
    <w:rsid w:val="003506B1"/>
    <w:rsid w:val="00356AC7"/>
    <w:rsid w:val="003609FA"/>
    <w:rsid w:val="00360CF3"/>
    <w:rsid w:val="00363A45"/>
    <w:rsid w:val="00365FBA"/>
    <w:rsid w:val="003710C8"/>
    <w:rsid w:val="003750BE"/>
    <w:rsid w:val="0038162C"/>
    <w:rsid w:val="003834A5"/>
    <w:rsid w:val="00387B9D"/>
    <w:rsid w:val="00390B25"/>
    <w:rsid w:val="0039364F"/>
    <w:rsid w:val="00393951"/>
    <w:rsid w:val="00393D2D"/>
    <w:rsid w:val="00394974"/>
    <w:rsid w:val="00394CE9"/>
    <w:rsid w:val="00396686"/>
    <w:rsid w:val="0039778E"/>
    <w:rsid w:val="003B4941"/>
    <w:rsid w:val="003B55AE"/>
    <w:rsid w:val="003C5714"/>
    <w:rsid w:val="003C6B9F"/>
    <w:rsid w:val="003C6E2A"/>
    <w:rsid w:val="003D0299"/>
    <w:rsid w:val="003E4669"/>
    <w:rsid w:val="003E6D80"/>
    <w:rsid w:val="003F05FA"/>
    <w:rsid w:val="003F1315"/>
    <w:rsid w:val="003F244A"/>
    <w:rsid w:val="003F30B8"/>
    <w:rsid w:val="003F3282"/>
    <w:rsid w:val="003F49FE"/>
    <w:rsid w:val="003F4C45"/>
    <w:rsid w:val="003F5F7B"/>
    <w:rsid w:val="003F7D64"/>
    <w:rsid w:val="00403AE9"/>
    <w:rsid w:val="00414300"/>
    <w:rsid w:val="0042536A"/>
    <w:rsid w:val="00425C67"/>
    <w:rsid w:val="00427E7A"/>
    <w:rsid w:val="00436307"/>
    <w:rsid w:val="00436C49"/>
    <w:rsid w:val="00442A59"/>
    <w:rsid w:val="00445366"/>
    <w:rsid w:val="00447F5B"/>
    <w:rsid w:val="004511DA"/>
    <w:rsid w:val="00457571"/>
    <w:rsid w:val="00461DB0"/>
    <w:rsid w:val="00463926"/>
    <w:rsid w:val="004646E0"/>
    <w:rsid w:val="00464C9A"/>
    <w:rsid w:val="00471478"/>
    <w:rsid w:val="004717C5"/>
    <w:rsid w:val="00474F3D"/>
    <w:rsid w:val="00477E3A"/>
    <w:rsid w:val="00483E5F"/>
    <w:rsid w:val="00485FF9"/>
    <w:rsid w:val="004907F0"/>
    <w:rsid w:val="0049140B"/>
    <w:rsid w:val="004923A5"/>
    <w:rsid w:val="00496BFB"/>
    <w:rsid w:val="004A15C7"/>
    <w:rsid w:val="004A2D43"/>
    <w:rsid w:val="004B013B"/>
    <w:rsid w:val="004B112B"/>
    <w:rsid w:val="004C01E4"/>
    <w:rsid w:val="004C086C"/>
    <w:rsid w:val="004C0BE8"/>
    <w:rsid w:val="004C1F56"/>
    <w:rsid w:val="004C27BC"/>
    <w:rsid w:val="004C3161"/>
    <w:rsid w:val="004C494C"/>
    <w:rsid w:val="004D15F3"/>
    <w:rsid w:val="004D5311"/>
    <w:rsid w:val="004D5DCC"/>
    <w:rsid w:val="004F10AF"/>
    <w:rsid w:val="004F11A4"/>
    <w:rsid w:val="004F2389"/>
    <w:rsid w:val="004F304D"/>
    <w:rsid w:val="004F61BE"/>
    <w:rsid w:val="004F6252"/>
    <w:rsid w:val="004F66B1"/>
    <w:rsid w:val="00511C07"/>
    <w:rsid w:val="005127BB"/>
    <w:rsid w:val="00514509"/>
    <w:rsid w:val="005173A6"/>
    <w:rsid w:val="00520BAA"/>
    <w:rsid w:val="00523439"/>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81A87"/>
    <w:rsid w:val="005909A1"/>
    <w:rsid w:val="00592772"/>
    <w:rsid w:val="00594836"/>
    <w:rsid w:val="00594A2D"/>
    <w:rsid w:val="0059574A"/>
    <w:rsid w:val="005A1B9B"/>
    <w:rsid w:val="005A6751"/>
    <w:rsid w:val="005A70C2"/>
    <w:rsid w:val="005B092E"/>
    <w:rsid w:val="005B1252"/>
    <w:rsid w:val="005B152C"/>
    <w:rsid w:val="005B1EE0"/>
    <w:rsid w:val="005B1F09"/>
    <w:rsid w:val="005B2B24"/>
    <w:rsid w:val="005B3709"/>
    <w:rsid w:val="005B4425"/>
    <w:rsid w:val="005B4B94"/>
    <w:rsid w:val="005B608E"/>
    <w:rsid w:val="005C1CDF"/>
    <w:rsid w:val="005C23C6"/>
    <w:rsid w:val="005C3EE8"/>
    <w:rsid w:val="005C4541"/>
    <w:rsid w:val="005D34F9"/>
    <w:rsid w:val="005D4190"/>
    <w:rsid w:val="005D62A2"/>
    <w:rsid w:val="005D67A3"/>
    <w:rsid w:val="005E2988"/>
    <w:rsid w:val="005E2A43"/>
    <w:rsid w:val="005E3085"/>
    <w:rsid w:val="005E3833"/>
    <w:rsid w:val="005F1AE2"/>
    <w:rsid w:val="005F4673"/>
    <w:rsid w:val="005F51E1"/>
    <w:rsid w:val="0060147F"/>
    <w:rsid w:val="00605D17"/>
    <w:rsid w:val="00611C80"/>
    <w:rsid w:val="00620692"/>
    <w:rsid w:val="006242CA"/>
    <w:rsid w:val="00624411"/>
    <w:rsid w:val="00627507"/>
    <w:rsid w:val="00633717"/>
    <w:rsid w:val="006344E1"/>
    <w:rsid w:val="00645424"/>
    <w:rsid w:val="006545C4"/>
    <w:rsid w:val="00661124"/>
    <w:rsid w:val="00661971"/>
    <w:rsid w:val="00661CE8"/>
    <w:rsid w:val="006623D9"/>
    <w:rsid w:val="006629AA"/>
    <w:rsid w:val="006638B8"/>
    <w:rsid w:val="00665058"/>
    <w:rsid w:val="0066550C"/>
    <w:rsid w:val="006716F2"/>
    <w:rsid w:val="00682BF2"/>
    <w:rsid w:val="00684F76"/>
    <w:rsid w:val="006859CE"/>
    <w:rsid w:val="00690B03"/>
    <w:rsid w:val="00691270"/>
    <w:rsid w:val="00694BA8"/>
    <w:rsid w:val="006A037C"/>
    <w:rsid w:val="006A36F4"/>
    <w:rsid w:val="006A406F"/>
    <w:rsid w:val="006A5D3A"/>
    <w:rsid w:val="006B297F"/>
    <w:rsid w:val="006C23D4"/>
    <w:rsid w:val="006C362A"/>
    <w:rsid w:val="006C7BB0"/>
    <w:rsid w:val="006C7D17"/>
    <w:rsid w:val="006D1B6F"/>
    <w:rsid w:val="006D3237"/>
    <w:rsid w:val="006E14DD"/>
    <w:rsid w:val="006E2E37"/>
    <w:rsid w:val="006E3CF1"/>
    <w:rsid w:val="006E3D3F"/>
    <w:rsid w:val="006E7E80"/>
    <w:rsid w:val="006F1DF9"/>
    <w:rsid w:val="006F24DB"/>
    <w:rsid w:val="006F48CA"/>
    <w:rsid w:val="006F64DD"/>
    <w:rsid w:val="00703B1C"/>
    <w:rsid w:val="00704427"/>
    <w:rsid w:val="00710CC6"/>
    <w:rsid w:val="00715127"/>
    <w:rsid w:val="00715E8E"/>
    <w:rsid w:val="0072311D"/>
    <w:rsid w:val="00723580"/>
    <w:rsid w:val="007235E1"/>
    <w:rsid w:val="00723755"/>
    <w:rsid w:val="0073136C"/>
    <w:rsid w:val="00731F0F"/>
    <w:rsid w:val="00733250"/>
    <w:rsid w:val="00741404"/>
    <w:rsid w:val="007449E5"/>
    <w:rsid w:val="00746C5A"/>
    <w:rsid w:val="00747FF0"/>
    <w:rsid w:val="00764D4E"/>
    <w:rsid w:val="00765A1F"/>
    <w:rsid w:val="00767B52"/>
    <w:rsid w:val="00775B6D"/>
    <w:rsid w:val="00776D68"/>
    <w:rsid w:val="007850EE"/>
    <w:rsid w:val="00785B95"/>
    <w:rsid w:val="00790E96"/>
    <w:rsid w:val="00791C2E"/>
    <w:rsid w:val="00792E86"/>
    <w:rsid w:val="00793366"/>
    <w:rsid w:val="007A716F"/>
    <w:rsid w:val="007B1FD7"/>
    <w:rsid w:val="007B270A"/>
    <w:rsid w:val="007B73E5"/>
    <w:rsid w:val="007C0695"/>
    <w:rsid w:val="007C419A"/>
    <w:rsid w:val="007C4CC8"/>
    <w:rsid w:val="007C5426"/>
    <w:rsid w:val="007C5798"/>
    <w:rsid w:val="007D4832"/>
    <w:rsid w:val="007E21B2"/>
    <w:rsid w:val="007E2C4E"/>
    <w:rsid w:val="007E41AA"/>
    <w:rsid w:val="007F1905"/>
    <w:rsid w:val="007F1CD5"/>
    <w:rsid w:val="008010BC"/>
    <w:rsid w:val="00801300"/>
    <w:rsid w:val="00802C64"/>
    <w:rsid w:val="00805E52"/>
    <w:rsid w:val="008061D0"/>
    <w:rsid w:val="008061F6"/>
    <w:rsid w:val="00810B38"/>
    <w:rsid w:val="00817C01"/>
    <w:rsid w:val="008204C7"/>
    <w:rsid w:val="00820992"/>
    <w:rsid w:val="00823602"/>
    <w:rsid w:val="008255F5"/>
    <w:rsid w:val="0083014E"/>
    <w:rsid w:val="008310B9"/>
    <w:rsid w:val="0083214A"/>
    <w:rsid w:val="00834220"/>
    <w:rsid w:val="008374BA"/>
    <w:rsid w:val="00840187"/>
    <w:rsid w:val="008416D1"/>
    <w:rsid w:val="00843A1C"/>
    <w:rsid w:val="00844023"/>
    <w:rsid w:val="00845723"/>
    <w:rsid w:val="00851EF9"/>
    <w:rsid w:val="00854FB2"/>
    <w:rsid w:val="008551B8"/>
    <w:rsid w:val="0085537B"/>
    <w:rsid w:val="00855E89"/>
    <w:rsid w:val="008577FD"/>
    <w:rsid w:val="00860B03"/>
    <w:rsid w:val="0086497A"/>
    <w:rsid w:val="00865E73"/>
    <w:rsid w:val="008713A1"/>
    <w:rsid w:val="00874CC3"/>
    <w:rsid w:val="008754AB"/>
    <w:rsid w:val="0088060C"/>
    <w:rsid w:val="008930A9"/>
    <w:rsid w:val="00893576"/>
    <w:rsid w:val="00893E73"/>
    <w:rsid w:val="00896BE7"/>
    <w:rsid w:val="008A16DB"/>
    <w:rsid w:val="008A43C4"/>
    <w:rsid w:val="008B02DC"/>
    <w:rsid w:val="008B435A"/>
    <w:rsid w:val="008B57CE"/>
    <w:rsid w:val="008B659F"/>
    <w:rsid w:val="008C26DE"/>
    <w:rsid w:val="008C442A"/>
    <w:rsid w:val="008D0743"/>
    <w:rsid w:val="008D11D4"/>
    <w:rsid w:val="008D2225"/>
    <w:rsid w:val="008D4752"/>
    <w:rsid w:val="008D60FC"/>
    <w:rsid w:val="008E180F"/>
    <w:rsid w:val="008E271C"/>
    <w:rsid w:val="008E418E"/>
    <w:rsid w:val="008E5BC6"/>
    <w:rsid w:val="008E6A25"/>
    <w:rsid w:val="008F5193"/>
    <w:rsid w:val="00901125"/>
    <w:rsid w:val="009013A7"/>
    <w:rsid w:val="009017FB"/>
    <w:rsid w:val="009017FC"/>
    <w:rsid w:val="00903B43"/>
    <w:rsid w:val="0090506B"/>
    <w:rsid w:val="009050C9"/>
    <w:rsid w:val="009066FC"/>
    <w:rsid w:val="009140A3"/>
    <w:rsid w:val="009144A2"/>
    <w:rsid w:val="0091510C"/>
    <w:rsid w:val="009259AC"/>
    <w:rsid w:val="00926F38"/>
    <w:rsid w:val="00933E32"/>
    <w:rsid w:val="00934301"/>
    <w:rsid w:val="0093595C"/>
    <w:rsid w:val="00936CD1"/>
    <w:rsid w:val="00941747"/>
    <w:rsid w:val="00941EFB"/>
    <w:rsid w:val="00947AFB"/>
    <w:rsid w:val="00951D7D"/>
    <w:rsid w:val="00952158"/>
    <w:rsid w:val="009549A8"/>
    <w:rsid w:val="00956CEB"/>
    <w:rsid w:val="00961947"/>
    <w:rsid w:val="009630C7"/>
    <w:rsid w:val="009660CD"/>
    <w:rsid w:val="00967A79"/>
    <w:rsid w:val="00972B55"/>
    <w:rsid w:val="009743B7"/>
    <w:rsid w:val="00975534"/>
    <w:rsid w:val="0098228B"/>
    <w:rsid w:val="009828DA"/>
    <w:rsid w:val="00985BAB"/>
    <w:rsid w:val="009953B8"/>
    <w:rsid w:val="00997F03"/>
    <w:rsid w:val="009A1B70"/>
    <w:rsid w:val="009A46DF"/>
    <w:rsid w:val="009A4C43"/>
    <w:rsid w:val="009B0BAF"/>
    <w:rsid w:val="009B1B5F"/>
    <w:rsid w:val="009B2755"/>
    <w:rsid w:val="009B2EC2"/>
    <w:rsid w:val="009B6673"/>
    <w:rsid w:val="009B6AB0"/>
    <w:rsid w:val="009C191B"/>
    <w:rsid w:val="009C2BD6"/>
    <w:rsid w:val="009C3AB9"/>
    <w:rsid w:val="009C530E"/>
    <w:rsid w:val="009D3DF5"/>
    <w:rsid w:val="009E1F32"/>
    <w:rsid w:val="009E322F"/>
    <w:rsid w:val="009E420D"/>
    <w:rsid w:val="009E5829"/>
    <w:rsid w:val="009E6DF7"/>
    <w:rsid w:val="009E776C"/>
    <w:rsid w:val="009E7A97"/>
    <w:rsid w:val="00A01455"/>
    <w:rsid w:val="00A0153A"/>
    <w:rsid w:val="00A015A6"/>
    <w:rsid w:val="00A0400A"/>
    <w:rsid w:val="00A077A4"/>
    <w:rsid w:val="00A15271"/>
    <w:rsid w:val="00A1726E"/>
    <w:rsid w:val="00A204CF"/>
    <w:rsid w:val="00A23D49"/>
    <w:rsid w:val="00A27004"/>
    <w:rsid w:val="00A30C29"/>
    <w:rsid w:val="00A34DD6"/>
    <w:rsid w:val="00A34F22"/>
    <w:rsid w:val="00A36819"/>
    <w:rsid w:val="00A36989"/>
    <w:rsid w:val="00A42437"/>
    <w:rsid w:val="00A4290D"/>
    <w:rsid w:val="00A43628"/>
    <w:rsid w:val="00A45145"/>
    <w:rsid w:val="00A54192"/>
    <w:rsid w:val="00A6035E"/>
    <w:rsid w:val="00A6144C"/>
    <w:rsid w:val="00A66617"/>
    <w:rsid w:val="00A671F8"/>
    <w:rsid w:val="00A673A4"/>
    <w:rsid w:val="00A724AE"/>
    <w:rsid w:val="00A732EC"/>
    <w:rsid w:val="00A73329"/>
    <w:rsid w:val="00A74BEF"/>
    <w:rsid w:val="00A76222"/>
    <w:rsid w:val="00A82359"/>
    <w:rsid w:val="00A82523"/>
    <w:rsid w:val="00A85094"/>
    <w:rsid w:val="00A861B5"/>
    <w:rsid w:val="00A865D2"/>
    <w:rsid w:val="00A90A06"/>
    <w:rsid w:val="00A94C20"/>
    <w:rsid w:val="00A95D7A"/>
    <w:rsid w:val="00A96ED6"/>
    <w:rsid w:val="00AA1675"/>
    <w:rsid w:val="00AA227F"/>
    <w:rsid w:val="00AA3BC7"/>
    <w:rsid w:val="00AA754A"/>
    <w:rsid w:val="00AB031F"/>
    <w:rsid w:val="00AB099E"/>
    <w:rsid w:val="00AB4328"/>
    <w:rsid w:val="00AB5722"/>
    <w:rsid w:val="00AB5FA0"/>
    <w:rsid w:val="00AC4395"/>
    <w:rsid w:val="00AD03F0"/>
    <w:rsid w:val="00AE0A2E"/>
    <w:rsid w:val="00AE354C"/>
    <w:rsid w:val="00AF4B07"/>
    <w:rsid w:val="00AF6186"/>
    <w:rsid w:val="00AF79E3"/>
    <w:rsid w:val="00AF7A3A"/>
    <w:rsid w:val="00B113A7"/>
    <w:rsid w:val="00B13CC8"/>
    <w:rsid w:val="00B160DB"/>
    <w:rsid w:val="00B20836"/>
    <w:rsid w:val="00B221F7"/>
    <w:rsid w:val="00B235BB"/>
    <w:rsid w:val="00B27A44"/>
    <w:rsid w:val="00B30BBF"/>
    <w:rsid w:val="00B33C03"/>
    <w:rsid w:val="00B377AA"/>
    <w:rsid w:val="00B44437"/>
    <w:rsid w:val="00B44E56"/>
    <w:rsid w:val="00B46543"/>
    <w:rsid w:val="00B47D33"/>
    <w:rsid w:val="00B52BE0"/>
    <w:rsid w:val="00B5359F"/>
    <w:rsid w:val="00B536C2"/>
    <w:rsid w:val="00B54133"/>
    <w:rsid w:val="00B60967"/>
    <w:rsid w:val="00B65DD9"/>
    <w:rsid w:val="00B701ED"/>
    <w:rsid w:val="00B70742"/>
    <w:rsid w:val="00B8086C"/>
    <w:rsid w:val="00B861B4"/>
    <w:rsid w:val="00B86DFE"/>
    <w:rsid w:val="00B86F69"/>
    <w:rsid w:val="00B90990"/>
    <w:rsid w:val="00B922FF"/>
    <w:rsid w:val="00B9281E"/>
    <w:rsid w:val="00B93925"/>
    <w:rsid w:val="00B95187"/>
    <w:rsid w:val="00BA2D55"/>
    <w:rsid w:val="00BA71B1"/>
    <w:rsid w:val="00BB0637"/>
    <w:rsid w:val="00BB345F"/>
    <w:rsid w:val="00BB438A"/>
    <w:rsid w:val="00BB5883"/>
    <w:rsid w:val="00BB68EA"/>
    <w:rsid w:val="00BC1C27"/>
    <w:rsid w:val="00BC6BBF"/>
    <w:rsid w:val="00BD1572"/>
    <w:rsid w:val="00BD20D5"/>
    <w:rsid w:val="00BD312E"/>
    <w:rsid w:val="00BD46B4"/>
    <w:rsid w:val="00BD7663"/>
    <w:rsid w:val="00BE14E3"/>
    <w:rsid w:val="00BE3774"/>
    <w:rsid w:val="00BE41E5"/>
    <w:rsid w:val="00BE6393"/>
    <w:rsid w:val="00BF0BBB"/>
    <w:rsid w:val="00BF4109"/>
    <w:rsid w:val="00BF4CC3"/>
    <w:rsid w:val="00C054C7"/>
    <w:rsid w:val="00C057B5"/>
    <w:rsid w:val="00C12EF1"/>
    <w:rsid w:val="00C21F5B"/>
    <w:rsid w:val="00C22687"/>
    <w:rsid w:val="00C32E4D"/>
    <w:rsid w:val="00C333A0"/>
    <w:rsid w:val="00C36A81"/>
    <w:rsid w:val="00C41974"/>
    <w:rsid w:val="00C447AD"/>
    <w:rsid w:val="00C53F4A"/>
    <w:rsid w:val="00C54125"/>
    <w:rsid w:val="00C55B54"/>
    <w:rsid w:val="00C6098E"/>
    <w:rsid w:val="00C6152C"/>
    <w:rsid w:val="00C61BDD"/>
    <w:rsid w:val="00C621C2"/>
    <w:rsid w:val="00C717DD"/>
    <w:rsid w:val="00C74810"/>
    <w:rsid w:val="00C758DA"/>
    <w:rsid w:val="00C85C3B"/>
    <w:rsid w:val="00C86F47"/>
    <w:rsid w:val="00C90D68"/>
    <w:rsid w:val="00C92EE0"/>
    <w:rsid w:val="00C939FE"/>
    <w:rsid w:val="00CA1FF1"/>
    <w:rsid w:val="00CA27B7"/>
    <w:rsid w:val="00CA4BDA"/>
    <w:rsid w:val="00CA610D"/>
    <w:rsid w:val="00CB1F66"/>
    <w:rsid w:val="00CB2951"/>
    <w:rsid w:val="00CC74CD"/>
    <w:rsid w:val="00CC7EFD"/>
    <w:rsid w:val="00CD0E3D"/>
    <w:rsid w:val="00CD282B"/>
    <w:rsid w:val="00CD4C35"/>
    <w:rsid w:val="00CD68F3"/>
    <w:rsid w:val="00CD7369"/>
    <w:rsid w:val="00CE0B0E"/>
    <w:rsid w:val="00CE3831"/>
    <w:rsid w:val="00CF19FC"/>
    <w:rsid w:val="00D00ABB"/>
    <w:rsid w:val="00D02EEC"/>
    <w:rsid w:val="00D03551"/>
    <w:rsid w:val="00D06A63"/>
    <w:rsid w:val="00D07A98"/>
    <w:rsid w:val="00D07E0E"/>
    <w:rsid w:val="00D11478"/>
    <w:rsid w:val="00D15ED0"/>
    <w:rsid w:val="00D21B3E"/>
    <w:rsid w:val="00D21FED"/>
    <w:rsid w:val="00D24251"/>
    <w:rsid w:val="00D261C0"/>
    <w:rsid w:val="00D343E2"/>
    <w:rsid w:val="00D361A2"/>
    <w:rsid w:val="00D44C2E"/>
    <w:rsid w:val="00D45414"/>
    <w:rsid w:val="00D46B31"/>
    <w:rsid w:val="00D529C4"/>
    <w:rsid w:val="00D53C0F"/>
    <w:rsid w:val="00D566BD"/>
    <w:rsid w:val="00D576DF"/>
    <w:rsid w:val="00D57A4D"/>
    <w:rsid w:val="00D60AA7"/>
    <w:rsid w:val="00D60D87"/>
    <w:rsid w:val="00D6435F"/>
    <w:rsid w:val="00D66F60"/>
    <w:rsid w:val="00D71702"/>
    <w:rsid w:val="00D736A4"/>
    <w:rsid w:val="00D75E28"/>
    <w:rsid w:val="00D772C2"/>
    <w:rsid w:val="00D8002E"/>
    <w:rsid w:val="00D8008E"/>
    <w:rsid w:val="00D81022"/>
    <w:rsid w:val="00D82C45"/>
    <w:rsid w:val="00D908A8"/>
    <w:rsid w:val="00D977B6"/>
    <w:rsid w:val="00DA43BC"/>
    <w:rsid w:val="00DA4A31"/>
    <w:rsid w:val="00DA7B04"/>
    <w:rsid w:val="00DB36C2"/>
    <w:rsid w:val="00DB7196"/>
    <w:rsid w:val="00DB7FD0"/>
    <w:rsid w:val="00DC169B"/>
    <w:rsid w:val="00DC2AB9"/>
    <w:rsid w:val="00DC63F0"/>
    <w:rsid w:val="00DC6BF4"/>
    <w:rsid w:val="00DD456F"/>
    <w:rsid w:val="00DD6EE5"/>
    <w:rsid w:val="00DE386C"/>
    <w:rsid w:val="00DE4D35"/>
    <w:rsid w:val="00DF0549"/>
    <w:rsid w:val="00DF098B"/>
    <w:rsid w:val="00DF0BD4"/>
    <w:rsid w:val="00DF11C4"/>
    <w:rsid w:val="00DF210C"/>
    <w:rsid w:val="00DF44F7"/>
    <w:rsid w:val="00DF4B6A"/>
    <w:rsid w:val="00DF4BE4"/>
    <w:rsid w:val="00E02C09"/>
    <w:rsid w:val="00E04D59"/>
    <w:rsid w:val="00E07DA1"/>
    <w:rsid w:val="00E123CB"/>
    <w:rsid w:val="00E1557C"/>
    <w:rsid w:val="00E20E13"/>
    <w:rsid w:val="00E21DBC"/>
    <w:rsid w:val="00E271D0"/>
    <w:rsid w:val="00E275D7"/>
    <w:rsid w:val="00E27DBE"/>
    <w:rsid w:val="00E32AB1"/>
    <w:rsid w:val="00E36C71"/>
    <w:rsid w:val="00E4012A"/>
    <w:rsid w:val="00E40404"/>
    <w:rsid w:val="00E459C6"/>
    <w:rsid w:val="00E47589"/>
    <w:rsid w:val="00E515E5"/>
    <w:rsid w:val="00E559F6"/>
    <w:rsid w:val="00E620CB"/>
    <w:rsid w:val="00E64915"/>
    <w:rsid w:val="00E661D4"/>
    <w:rsid w:val="00E70091"/>
    <w:rsid w:val="00E720F5"/>
    <w:rsid w:val="00E7346F"/>
    <w:rsid w:val="00E76D47"/>
    <w:rsid w:val="00E849F7"/>
    <w:rsid w:val="00E867D9"/>
    <w:rsid w:val="00E86E0C"/>
    <w:rsid w:val="00E90302"/>
    <w:rsid w:val="00E9597F"/>
    <w:rsid w:val="00E95C48"/>
    <w:rsid w:val="00E97396"/>
    <w:rsid w:val="00EA185E"/>
    <w:rsid w:val="00EA592A"/>
    <w:rsid w:val="00EB14E4"/>
    <w:rsid w:val="00EB2923"/>
    <w:rsid w:val="00EB32A5"/>
    <w:rsid w:val="00EB34ED"/>
    <w:rsid w:val="00EB7BE0"/>
    <w:rsid w:val="00EC315E"/>
    <w:rsid w:val="00ED077C"/>
    <w:rsid w:val="00ED1190"/>
    <w:rsid w:val="00ED46EE"/>
    <w:rsid w:val="00ED6544"/>
    <w:rsid w:val="00ED76A7"/>
    <w:rsid w:val="00EE0277"/>
    <w:rsid w:val="00EE1DA9"/>
    <w:rsid w:val="00EE3E00"/>
    <w:rsid w:val="00EE5DD2"/>
    <w:rsid w:val="00EF41F1"/>
    <w:rsid w:val="00EF4F08"/>
    <w:rsid w:val="00EF5DF3"/>
    <w:rsid w:val="00F00A79"/>
    <w:rsid w:val="00F00E86"/>
    <w:rsid w:val="00F014A3"/>
    <w:rsid w:val="00F07C1E"/>
    <w:rsid w:val="00F105DB"/>
    <w:rsid w:val="00F132BC"/>
    <w:rsid w:val="00F13D80"/>
    <w:rsid w:val="00F1682B"/>
    <w:rsid w:val="00F16AAA"/>
    <w:rsid w:val="00F21161"/>
    <w:rsid w:val="00F218EF"/>
    <w:rsid w:val="00F21BC7"/>
    <w:rsid w:val="00F2428C"/>
    <w:rsid w:val="00F266A2"/>
    <w:rsid w:val="00F32269"/>
    <w:rsid w:val="00F54A6F"/>
    <w:rsid w:val="00F56A6F"/>
    <w:rsid w:val="00F5709C"/>
    <w:rsid w:val="00F64EF1"/>
    <w:rsid w:val="00F70BD5"/>
    <w:rsid w:val="00F761CF"/>
    <w:rsid w:val="00F82DC9"/>
    <w:rsid w:val="00F84B34"/>
    <w:rsid w:val="00F8765F"/>
    <w:rsid w:val="00F90767"/>
    <w:rsid w:val="00F907DC"/>
    <w:rsid w:val="00F915F6"/>
    <w:rsid w:val="00F93C54"/>
    <w:rsid w:val="00FA0F46"/>
    <w:rsid w:val="00FA685B"/>
    <w:rsid w:val="00FB0C01"/>
    <w:rsid w:val="00FB7430"/>
    <w:rsid w:val="00FC18F2"/>
    <w:rsid w:val="00FC39E5"/>
    <w:rsid w:val="00FC3A78"/>
    <w:rsid w:val="00FC5FFE"/>
    <w:rsid w:val="00FD1005"/>
    <w:rsid w:val="00FD3180"/>
    <w:rsid w:val="00FD6C75"/>
    <w:rsid w:val="00FE71B3"/>
    <w:rsid w:val="00FE7209"/>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sz w:val="24"/>
      <w:lang w:val="en-US" w:eastAsia="en-US"/>
    </w:rPr>
  </w:style>
  <w:style w:type="paragraph" w:styleId="Nagwek1">
    <w:name w:val="heading 1"/>
    <w:basedOn w:val="Normalny"/>
    <w:next w:val="Normalny"/>
    <w:link w:val="Nagwek1Znak"/>
    <w:uiPriority w:val="99"/>
    <w:qFormat/>
    <w:rsid w:val="00A96ED6"/>
    <w:pPr>
      <w:spacing w:before="480"/>
      <w:contextualSpacing/>
      <w:outlineLvl w:val="0"/>
    </w:pPr>
    <w:rPr>
      <w:b/>
      <w:bCs/>
      <w:color w:val="333333"/>
      <w:sz w:val="28"/>
      <w:szCs w:val="28"/>
    </w:rPr>
  </w:style>
  <w:style w:type="paragraph" w:styleId="Nagwek2">
    <w:name w:val="heading 2"/>
    <w:basedOn w:val="Normalny"/>
    <w:next w:val="Normalny"/>
    <w:link w:val="Nagwek2Znak"/>
    <w:uiPriority w:val="99"/>
    <w:qFormat/>
    <w:rsid w:val="00A96ED6"/>
    <w:pPr>
      <w:spacing w:before="200"/>
      <w:outlineLvl w:val="1"/>
    </w:pPr>
    <w:rPr>
      <w:b/>
      <w:bCs/>
      <w:color w:val="4D4D4D"/>
      <w:sz w:val="26"/>
      <w:szCs w:val="26"/>
    </w:rPr>
  </w:style>
  <w:style w:type="paragraph" w:styleId="Nagwek3">
    <w:name w:val="heading 3"/>
    <w:basedOn w:val="Normalny"/>
    <w:next w:val="Normalny"/>
    <w:link w:val="Nagwek3Znak"/>
    <w:uiPriority w:val="99"/>
    <w:qFormat/>
    <w:rsid w:val="00A96ED6"/>
    <w:pPr>
      <w:spacing w:before="200" w:line="271" w:lineRule="auto"/>
      <w:outlineLvl w:val="2"/>
    </w:pPr>
    <w:rPr>
      <w:b/>
      <w:bCs/>
      <w:color w:val="5F5F5F"/>
    </w:rPr>
  </w:style>
  <w:style w:type="paragraph" w:styleId="Nagwek4">
    <w:name w:val="heading 4"/>
    <w:basedOn w:val="Normalny"/>
    <w:next w:val="Normalny"/>
    <w:link w:val="Nagwek4Znak"/>
    <w:uiPriority w:val="99"/>
    <w:qFormat/>
    <w:rsid w:val="00A96ED6"/>
    <w:pPr>
      <w:spacing w:before="200"/>
      <w:outlineLvl w:val="3"/>
    </w:pPr>
    <w:rPr>
      <w:b/>
      <w:bCs/>
      <w:i/>
      <w:iCs/>
      <w:color w:val="777777"/>
    </w:rPr>
  </w:style>
  <w:style w:type="paragraph" w:styleId="Nagwek5">
    <w:name w:val="heading 5"/>
    <w:basedOn w:val="Normalny"/>
    <w:next w:val="Normalny"/>
    <w:link w:val="Nagwek5Znak"/>
    <w:uiPriority w:val="99"/>
    <w:qFormat/>
    <w:rsid w:val="00A96ED6"/>
    <w:pPr>
      <w:spacing w:before="200"/>
      <w:outlineLvl w:val="4"/>
    </w:pPr>
    <w:rPr>
      <w:b/>
      <w:bCs/>
      <w:color w:val="808080"/>
      <w:sz w:val="22"/>
    </w:rPr>
  </w:style>
  <w:style w:type="paragraph" w:styleId="Nagwek6">
    <w:name w:val="heading 6"/>
    <w:basedOn w:val="Normalny"/>
    <w:next w:val="Normalny"/>
    <w:link w:val="Nagwek6Znak"/>
    <w:uiPriority w:val="99"/>
    <w:qFormat/>
    <w:rsid w:val="00A96ED6"/>
    <w:pPr>
      <w:spacing w:line="271" w:lineRule="auto"/>
      <w:outlineLvl w:val="5"/>
    </w:pPr>
    <w:rPr>
      <w:b/>
      <w:bCs/>
      <w:i/>
      <w:iCs/>
      <w:color w:val="7F7F7F"/>
    </w:rPr>
  </w:style>
  <w:style w:type="paragraph" w:styleId="Nagwek7">
    <w:name w:val="heading 7"/>
    <w:basedOn w:val="Normalny"/>
    <w:next w:val="Normalny"/>
    <w:link w:val="Nagwek7Znak"/>
    <w:uiPriority w:val="99"/>
    <w:qFormat/>
    <w:rsid w:val="00A96ED6"/>
    <w:pPr>
      <w:outlineLvl w:val="6"/>
    </w:pPr>
    <w:rPr>
      <w:i/>
      <w:iCs/>
      <w:sz w:val="22"/>
    </w:rPr>
  </w:style>
  <w:style w:type="paragraph" w:styleId="Nagwek8">
    <w:name w:val="heading 8"/>
    <w:basedOn w:val="Normalny"/>
    <w:next w:val="Normalny"/>
    <w:link w:val="Nagwek8Znak"/>
    <w:uiPriority w:val="99"/>
    <w:qFormat/>
    <w:rsid w:val="00A96ED6"/>
    <w:pPr>
      <w:outlineLvl w:val="7"/>
    </w:pPr>
    <w:rPr>
      <w:sz w:val="20"/>
      <w:szCs w:val="20"/>
    </w:rPr>
  </w:style>
  <w:style w:type="paragraph" w:styleId="Nagwek9">
    <w:name w:val="heading 9"/>
    <w:basedOn w:val="Normalny"/>
    <w:next w:val="Normalny"/>
    <w:link w:val="Nagwek9Znak"/>
    <w:uiPriority w:val="99"/>
    <w:qFormat/>
    <w:rsid w:val="00A96ED6"/>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96ED6"/>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96ED6"/>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96ED6"/>
    <w:rPr>
      <w:rFonts w:ascii="Times New Roman"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A96ED6"/>
    <w:rPr>
      <w:rFonts w:ascii="Times New Roman"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A96ED6"/>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96ED6"/>
    <w:rPr>
      <w:rFonts w:ascii="Times New Roman"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A96ED6"/>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A96ED6"/>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A96ED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96ED6"/>
    <w:rPr>
      <w:rFonts w:ascii="Tahoma" w:hAnsi="Tahoma" w:cs="Tahoma"/>
      <w:sz w:val="16"/>
      <w:szCs w:val="16"/>
    </w:rPr>
  </w:style>
  <w:style w:type="character" w:styleId="Tytuksiki">
    <w:name w:val="Book Title"/>
    <w:basedOn w:val="Domylnaczcionkaakapitu"/>
    <w:uiPriority w:val="99"/>
    <w:qFormat/>
    <w:rsid w:val="00A96ED6"/>
    <w:rPr>
      <w:i/>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A96ED6"/>
    <w:pPr>
      <w:jc w:val="left"/>
    </w:pPr>
    <w:rPr>
      <w:sz w:val="8"/>
    </w:rPr>
  </w:style>
  <w:style w:type="character" w:styleId="Pogrubienie">
    <w:name w:val="Strong"/>
    <w:basedOn w:val="Domylnaczcionkaakapitu"/>
    <w:uiPriority w:val="99"/>
    <w:qFormat/>
    <w:rsid w:val="00A96ED6"/>
    <w:rPr>
      <w:rFonts w:cs="Times New Roman"/>
      <w:b/>
    </w:rPr>
  </w:style>
  <w:style w:type="paragraph" w:styleId="Bezodstpw">
    <w:name w:val="No Spacing"/>
    <w:basedOn w:val="Normalny"/>
    <w:link w:val="BezodstpwZnak"/>
    <w:uiPriority w:val="99"/>
    <w:qFormat/>
    <w:rsid w:val="00A96ED6"/>
    <w:rPr>
      <w:sz w:val="22"/>
    </w:rPr>
  </w:style>
  <w:style w:type="character" w:customStyle="1" w:styleId="BezodstpwZnak">
    <w:name w:val="Bez odstępów Znak"/>
    <w:basedOn w:val="Domylnaczcionkaakapitu"/>
    <w:link w:val="Bezodstpw"/>
    <w:uiPriority w:val="99"/>
    <w:semiHidden/>
    <w:locked/>
    <w:rsid w:val="00A96ED6"/>
    <w:rPr>
      <w:rFonts w:eastAsia="Times New Roman" w:cs="Times New Roman"/>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34"/>
      </w:numPr>
      <w:jc w:val="left"/>
    </w:pPr>
    <w:rPr>
      <w:b/>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caps/>
    </w:rPr>
  </w:style>
  <w:style w:type="paragraph" w:styleId="Tytu">
    <w:name w:val="Title"/>
    <w:basedOn w:val="Normalny"/>
    <w:next w:val="Normalny"/>
    <w:link w:val="TytuZnak"/>
    <w:uiPriority w:val="99"/>
    <w:qFormat/>
    <w:rsid w:val="00A96ED6"/>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sid w:val="00A96ED6"/>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A96ED6"/>
    <w:pPr>
      <w:keepNext/>
      <w:keepLines/>
      <w:spacing w:before="240" w:after="120"/>
      <w:ind w:left="1236"/>
    </w:pPr>
    <w:rPr>
      <w:sz w:val="20"/>
    </w:r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rPr>
  </w:style>
  <w:style w:type="paragraph" w:styleId="Nagwek">
    <w:name w:val="header"/>
    <w:basedOn w:val="Normalny"/>
    <w:link w:val="NagwekZnak"/>
    <w:uiPriority w:val="99"/>
    <w:semiHidden/>
    <w:rsid w:val="00A96ED6"/>
    <w:pPr>
      <w:tabs>
        <w:tab w:val="center" w:pos="4536"/>
        <w:tab w:val="right" w:pos="9072"/>
      </w:tabs>
    </w:pPr>
  </w:style>
  <w:style w:type="character" w:customStyle="1" w:styleId="NagwekZnak">
    <w:name w:val="Nagłówek Znak"/>
    <w:basedOn w:val="Domylnaczcionkaakapitu"/>
    <w:link w:val="Nagwek"/>
    <w:uiPriority w:val="99"/>
    <w:semiHidden/>
    <w:locked/>
    <w:rsid w:val="00A96ED6"/>
    <w:rPr>
      <w:rFonts w:cs="Times New Roman"/>
      <w:sz w:val="24"/>
    </w:rPr>
  </w:style>
  <w:style w:type="paragraph" w:customStyle="1" w:styleId="ECHRHeading1">
    <w:name w:val="ECHR_Heading_1"/>
    <w:aliases w:val="Ju_H_I_Roman"/>
    <w:basedOn w:val="Nagwek1"/>
    <w:next w:val="ECHRPara"/>
    <w:uiPriority w:val="99"/>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rPr>
  </w:style>
  <w:style w:type="character" w:styleId="Wyrnieniedelikatne">
    <w:name w:val="Subtle Emphasis"/>
    <w:basedOn w:val="Domylnaczcionkaakapitu"/>
    <w:uiPriority w:val="99"/>
    <w:qFormat/>
    <w:rsid w:val="00A96ED6"/>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rPr>
  </w:style>
  <w:style w:type="character" w:styleId="Uwydatnienie">
    <w:name w:val="Emphasis"/>
    <w:basedOn w:val="Domylnaczcionkaakapitu"/>
    <w:uiPriority w:val="99"/>
    <w:qFormat/>
    <w:rsid w:val="00A96ED6"/>
    <w:rPr>
      <w:rFonts w:cs="Times New Roman"/>
      <w:b/>
      <w:i/>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A96ED6"/>
    <w:rPr>
      <w:rFonts w:cs="Times New Roman"/>
      <w:sz w:val="24"/>
    </w:rPr>
  </w:style>
  <w:style w:type="character" w:styleId="Odwoanieprzypisudolnego">
    <w:name w:val="footnote reference"/>
    <w:basedOn w:val="Domylnaczcionkaakapitu"/>
    <w:uiPriority w:val="99"/>
    <w:semiHidden/>
    <w:rsid w:val="00A96ED6"/>
    <w:rPr>
      <w:rFonts w:cs="Times New Roman"/>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locked/>
    <w:rsid w:val="00A96ED6"/>
    <w:rPr>
      <w:rFonts w:eastAsia="Times New Roman" w:cs="Times New Roman"/>
      <w:sz w:val="20"/>
      <w:szCs w:val="20"/>
    </w:rPr>
  </w:style>
  <w:style w:type="character" w:styleId="Hipercze">
    <w:name w:val="Hyperlink"/>
    <w:basedOn w:val="Domylnaczcionkaakapitu"/>
    <w:uiPriority w:val="99"/>
    <w:semiHidden/>
    <w:rsid w:val="00A96ED6"/>
    <w:rPr>
      <w:rFonts w:cs="Times New Roman"/>
      <w:color w:val="0072BC"/>
      <w:u w:val="single"/>
    </w:rPr>
  </w:style>
  <w:style w:type="character" w:styleId="Wyrnienieintensywne">
    <w:name w:val="Intense Emphasis"/>
    <w:basedOn w:val="Domylnaczcionkaakapitu"/>
    <w:uiPriority w:val="99"/>
    <w:qFormat/>
    <w:rsid w:val="00A96ED6"/>
    <w:rPr>
      <w:b/>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A96ED6"/>
    <w:rPr>
      <w:rFonts w:eastAsia="Times New Roman" w:cs="Times New Roman"/>
      <w:b/>
      <w:bCs/>
      <w:i/>
      <w:iCs/>
    </w:rPr>
  </w:style>
  <w:style w:type="character" w:styleId="Odwoanieintensywne">
    <w:name w:val="Intense Reference"/>
    <w:basedOn w:val="Domylnaczcionkaakapitu"/>
    <w:uiPriority w:val="99"/>
    <w:qFormat/>
    <w:rsid w:val="00A96ED6"/>
    <w:rPr>
      <w:smallCaps/>
      <w:spacing w:val="5"/>
      <w:u w:val="single"/>
    </w:rPr>
  </w:style>
  <w:style w:type="paragraph" w:styleId="Akapitzlist">
    <w:name w:val="List Paragraph"/>
    <w:basedOn w:val="Normalny"/>
    <w:uiPriority w:val="99"/>
    <w:qFormat/>
    <w:rsid w:val="00A96ED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2"/>
    </w:rPr>
  </w:style>
  <w:style w:type="character" w:customStyle="1" w:styleId="CytatZnak">
    <w:name w:val="Cytat Znak"/>
    <w:basedOn w:val="Domylnaczcionkaakapitu"/>
    <w:link w:val="Cytat"/>
    <w:uiPriority w:val="99"/>
    <w:semiHidden/>
    <w:locked/>
    <w:rsid w:val="00A96ED6"/>
    <w:rPr>
      <w:rFonts w:eastAsia="Times New Roman" w:cs="Times New Roman"/>
      <w:i/>
      <w:iCs/>
    </w:rPr>
  </w:style>
  <w:style w:type="character" w:styleId="Odwoaniedelikatne">
    <w:name w:val="Subtle Reference"/>
    <w:basedOn w:val="Domylnaczcionkaakapitu"/>
    <w:uiPriority w:val="99"/>
    <w:qFormat/>
    <w:rsid w:val="00A96ED6"/>
    <w:rPr>
      <w:smallCaps/>
    </w:rPr>
  </w:style>
  <w:style w:type="table" w:styleId="Tabela-Siatka">
    <w:name w:val="Table Grid"/>
    <w:basedOn w:val="Standardowy"/>
    <w:uiPriority w:val="99"/>
    <w:semiHidden/>
    <w:rsid w:val="00A96E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sz w:val="20"/>
      <w:szCs w:val="20"/>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A96ED6"/>
    <w:pPr>
      <w:spacing w:before="120"/>
    </w:pPr>
    <w:rPr>
      <w:b/>
      <w:bCs/>
      <w:color w:val="474747"/>
      <w:szCs w:val="24"/>
    </w:rPr>
  </w:style>
  <w:style w:type="paragraph" w:customStyle="1" w:styleId="ECHRParaQuote">
    <w:name w:val="ECHR_Para_Quote"/>
    <w:aliases w:val="Ju_Quot"/>
    <w:basedOn w:val="Normalny"/>
    <w:uiPriority w:val="99"/>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99"/>
    <w:rsid w:val="00A96ED6"/>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A96ED6"/>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locked/>
    <w:rsid w:val="00014566"/>
    <w:rPr>
      <w:rFonts w:eastAsia="Times New Roman"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cs="Times New Roman"/>
      <w:b/>
      <w:bCs/>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cs="Times New Roman"/>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21"/>
      </w:numPr>
    </w:pPr>
  </w:style>
  <w:style w:type="character" w:customStyle="1" w:styleId="JuITMark">
    <w:name w:val="Ju_ITMark"/>
    <w:basedOn w:val="Domylnaczcionkaakapitu"/>
    <w:uiPriority w:val="99"/>
    <w:rsid w:val="00A96ED6"/>
    <w:rPr>
      <w:rFonts w:cs="Times New Roman"/>
      <w:color w:val="auto"/>
      <w:sz w:val="14"/>
    </w:rPr>
  </w:style>
  <w:style w:type="paragraph" w:styleId="Podtytu">
    <w:name w:val="Subtitle"/>
    <w:basedOn w:val="Normalny"/>
    <w:next w:val="Normalny"/>
    <w:link w:val="PodtytuZnak"/>
    <w:uiPriority w:val="99"/>
    <w:qFormat/>
    <w:rsid w:val="00A96ED6"/>
    <w:pPr>
      <w:spacing w:after="600"/>
    </w:pPr>
    <w:rPr>
      <w:i/>
      <w:iCs/>
      <w:spacing w:val="13"/>
      <w:szCs w:val="24"/>
    </w:rPr>
  </w:style>
  <w:style w:type="character" w:customStyle="1" w:styleId="PodtytuZnak">
    <w:name w:val="Podtytuł Znak"/>
    <w:basedOn w:val="Domylnaczcionkaakapitu"/>
    <w:link w:val="Podtytu"/>
    <w:uiPriority w:val="99"/>
    <w:semiHidden/>
    <w:locked/>
    <w:rsid w:val="00A96ED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locked/>
    <w:rsid w:val="00014566"/>
    <w:rPr>
      <w:rFonts w:eastAsia="Times New Roman"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locked/>
    <w:rsid w:val="00014566"/>
    <w:rPr>
      <w:rFonts w:eastAsia="Times New Roman"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014566"/>
    <w:rPr>
      <w:rFonts w:eastAsia="Times New Roman"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locked/>
    <w:rsid w:val="00014566"/>
    <w:rPr>
      <w:rFonts w:eastAsia="Times New Roman" w:cs="Times New Roman"/>
      <w:sz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locked/>
    <w:rsid w:val="00014566"/>
    <w:rPr>
      <w:rFonts w:eastAsia="Times New Roman"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locked/>
    <w:rsid w:val="00014566"/>
    <w:rPr>
      <w:rFonts w:eastAsia="Times New Roman"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Times New Roman" w:cs="Times New Roman"/>
      <w:i/>
      <w:iCs/>
      <w:sz w:val="24"/>
    </w:rPr>
  </w:style>
  <w:style w:type="character" w:styleId="HTML-cytat">
    <w:name w:val="HTML Cite"/>
    <w:basedOn w:val="Domylnaczcionkaakapitu"/>
    <w:uiPriority w:val="99"/>
    <w:semiHidden/>
    <w:rsid w:val="00014566"/>
    <w:rPr>
      <w:rFonts w:cs="Times New Roman"/>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rFonts w:cs="Times New Roman"/>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locked/>
    <w:rsid w:val="00014566"/>
    <w:rPr>
      <w:rFonts w:eastAsia="Times New Roman" w:cs="Times New Roman"/>
      <w:sz w:val="24"/>
    </w:rPr>
  </w:style>
  <w:style w:type="character" w:styleId="Tekstzastpczy">
    <w:name w:val="Placeholder Text"/>
    <w:basedOn w:val="Domylnaczcionkaakapitu"/>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locked/>
    <w:rsid w:val="00014566"/>
    <w:rPr>
      <w:rFonts w:eastAsia="Times New Roman"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locked/>
    <w:rsid w:val="00014566"/>
    <w:rPr>
      <w:rFonts w:eastAsia="Times New Roman" w:cs="Times New Roman"/>
      <w:sz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i w:val="0"/>
      <w:sz w:val="20"/>
    </w:rPr>
  </w:style>
  <w:style w:type="paragraph" w:customStyle="1" w:styleId="OpiHi">
    <w:name w:val="Opi_H_i"/>
    <w:basedOn w:val="ECHRHeading4"/>
    <w:uiPriority w:val="99"/>
    <w:rsid w:val="00A96ED6"/>
    <w:pPr>
      <w:ind w:left="1037" w:hanging="357"/>
      <w:outlineLvl w:val="4"/>
    </w:pPr>
    <w:rPr>
      <w:b w:val="0"/>
      <w:i/>
    </w:rPr>
  </w:style>
  <w:style w:type="paragraph" w:customStyle="1" w:styleId="DummyStyle">
    <w:name w:val="Dummy_Style"/>
    <w:basedOn w:val="Normalny"/>
    <w:uiPriority w:val="99"/>
    <w:semiHidden/>
    <w:rsid w:val="00A96ED6"/>
    <w:rPr>
      <w:color w:val="00B050"/>
    </w:rPr>
  </w:style>
  <w:style w:type="character" w:customStyle="1" w:styleId="JuParaChar">
    <w:name w:val="Ju_Para Char"/>
    <w:link w:val="ECHRPara"/>
    <w:uiPriority w:val="99"/>
    <w:locked/>
    <w:rsid w:val="00874CC3"/>
    <w:rPr>
      <w:rFonts w:eastAsia="Times New Roman"/>
      <w:sz w:val="24"/>
    </w:rPr>
  </w:style>
  <w:style w:type="character" w:customStyle="1" w:styleId="JuParaCar">
    <w:name w:val="Ju_Para Car"/>
    <w:uiPriority w:val="99"/>
    <w:rsid w:val="009E7A97"/>
    <w:rPr>
      <w:rFonts w:eastAsia="Times New Roman"/>
      <w:sz w:val="24"/>
    </w:rPr>
  </w:style>
  <w:style w:type="paragraph" w:customStyle="1" w:styleId="s8293e77f">
    <w:name w:val="s8293e77f"/>
    <w:basedOn w:val="Normalny"/>
    <w:uiPriority w:val="99"/>
    <w:rsid w:val="002B5960"/>
    <w:pPr>
      <w:spacing w:before="100" w:beforeAutospacing="1" w:after="100" w:afterAutospacing="1"/>
      <w:jc w:val="left"/>
    </w:pPr>
    <w:rPr>
      <w:szCs w:val="24"/>
    </w:rPr>
  </w:style>
  <w:style w:type="character" w:customStyle="1" w:styleId="s7d2086b4">
    <w:name w:val="s7d2086b4"/>
    <w:basedOn w:val="Domylnaczcionkaakapitu"/>
    <w:uiPriority w:val="99"/>
    <w:rsid w:val="002B5960"/>
    <w:rPr>
      <w:rFonts w:cs="Times New Roman"/>
    </w:rPr>
  </w:style>
  <w:style w:type="paragraph" w:customStyle="1" w:styleId="s70227c73">
    <w:name w:val="s70227c73"/>
    <w:basedOn w:val="Normalny"/>
    <w:uiPriority w:val="99"/>
    <w:rsid w:val="002B5960"/>
    <w:pPr>
      <w:spacing w:before="100" w:beforeAutospacing="1" w:after="100" w:afterAutospacing="1"/>
      <w:jc w:val="left"/>
    </w:pPr>
    <w:rPr>
      <w:szCs w:val="24"/>
    </w:rPr>
  </w:style>
  <w:style w:type="character" w:customStyle="1" w:styleId="s6b621b36">
    <w:name w:val="s6b621b36"/>
    <w:basedOn w:val="Domylnaczcionkaakapitu"/>
    <w:uiPriority w:val="99"/>
    <w:rsid w:val="002B5960"/>
    <w:rPr>
      <w:rFonts w:cs="Times New Roman"/>
    </w:rPr>
  </w:style>
  <w:style w:type="paragraph" w:customStyle="1" w:styleId="s30eec3f8">
    <w:name w:val="s30eec3f8"/>
    <w:basedOn w:val="Normalny"/>
    <w:uiPriority w:val="99"/>
    <w:rsid w:val="002B5960"/>
    <w:pPr>
      <w:spacing w:before="100" w:beforeAutospacing="1" w:after="100" w:afterAutospacing="1"/>
      <w:jc w:val="left"/>
    </w:pPr>
    <w:rPr>
      <w:szCs w:val="24"/>
    </w:rPr>
  </w:style>
  <w:style w:type="character" w:customStyle="1" w:styleId="sb8d990e2">
    <w:name w:val="sb8d990e2"/>
    <w:basedOn w:val="Domylnaczcionkaakapitu"/>
    <w:uiPriority w:val="99"/>
    <w:rsid w:val="002B5960"/>
    <w:rPr>
      <w:rFonts w:cs="Times New Roman"/>
    </w:rPr>
  </w:style>
  <w:style w:type="paragraph" w:customStyle="1" w:styleId="s9e9b0cd7">
    <w:name w:val="s9e9b0cd7"/>
    <w:basedOn w:val="Normalny"/>
    <w:uiPriority w:val="99"/>
    <w:rsid w:val="002B5960"/>
    <w:pPr>
      <w:spacing w:before="100" w:beforeAutospacing="1" w:after="100" w:afterAutospacing="1"/>
      <w:jc w:val="left"/>
    </w:pPr>
    <w:rPr>
      <w:szCs w:val="24"/>
    </w:rPr>
  </w:style>
  <w:style w:type="character" w:customStyle="1" w:styleId="sfbbfee58">
    <w:name w:val="sfbbfee58"/>
    <w:basedOn w:val="Domylnaczcionkaakapitu"/>
    <w:uiPriority w:val="99"/>
    <w:rsid w:val="002B5960"/>
    <w:rPr>
      <w:rFonts w:cs="Times New Roman"/>
    </w:rPr>
  </w:style>
  <w:style w:type="paragraph" w:customStyle="1" w:styleId="s8b146764">
    <w:name w:val="s8b146764"/>
    <w:basedOn w:val="Normalny"/>
    <w:uiPriority w:val="99"/>
    <w:rsid w:val="002B5960"/>
    <w:pPr>
      <w:spacing w:before="100" w:beforeAutospacing="1" w:after="100" w:afterAutospacing="1"/>
      <w:jc w:val="left"/>
    </w:pPr>
    <w:rPr>
      <w:szCs w:val="24"/>
    </w:rPr>
  </w:style>
  <w:style w:type="character" w:customStyle="1" w:styleId="s1a844bc0">
    <w:name w:val="s1a844bc0"/>
    <w:basedOn w:val="Domylnaczcionkaakapitu"/>
    <w:uiPriority w:val="99"/>
    <w:rsid w:val="002B5960"/>
    <w:rPr>
      <w:rFonts w:cs="Times New Roman"/>
    </w:rPr>
  </w:style>
  <w:style w:type="character" w:customStyle="1" w:styleId="apple-converted-space">
    <w:name w:val="apple-converted-space"/>
    <w:basedOn w:val="Domylnaczcionkaakapitu"/>
    <w:uiPriority w:val="99"/>
    <w:rsid w:val="00245608"/>
    <w:rPr>
      <w:rFonts w:cs="Times New Roman"/>
    </w:rPr>
  </w:style>
  <w:style w:type="numbering" w:styleId="1ai">
    <w:name w:val="Outline List 1"/>
    <w:basedOn w:val="Bezlisty"/>
    <w:uiPriority w:val="99"/>
    <w:semiHidden/>
    <w:unhideWhenUsed/>
    <w:rsid w:val="00EA1075"/>
    <w:pPr>
      <w:numPr>
        <w:numId w:val="23"/>
      </w:numPr>
    </w:pPr>
  </w:style>
  <w:style w:type="numbering" w:styleId="111111">
    <w:name w:val="Outline List 2"/>
    <w:basedOn w:val="Bezlisty"/>
    <w:uiPriority w:val="99"/>
    <w:semiHidden/>
    <w:unhideWhenUsed/>
    <w:rsid w:val="00EA1075"/>
    <w:pPr>
      <w:numPr>
        <w:numId w:val="22"/>
      </w:numPr>
    </w:pPr>
  </w:style>
  <w:style w:type="numbering" w:styleId="Artykusekcja">
    <w:name w:val="Outline List 3"/>
    <w:basedOn w:val="Bezlisty"/>
    <w:uiPriority w:val="99"/>
    <w:semiHidden/>
    <w:unhideWhenUsed/>
    <w:rsid w:val="00EA1075"/>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sz w:val="24"/>
      <w:lang w:val="en-US" w:eastAsia="en-US"/>
    </w:rPr>
  </w:style>
  <w:style w:type="paragraph" w:styleId="Nagwek1">
    <w:name w:val="heading 1"/>
    <w:basedOn w:val="Normalny"/>
    <w:next w:val="Normalny"/>
    <w:link w:val="Nagwek1Znak"/>
    <w:uiPriority w:val="99"/>
    <w:qFormat/>
    <w:rsid w:val="00A96ED6"/>
    <w:pPr>
      <w:spacing w:before="480"/>
      <w:contextualSpacing/>
      <w:outlineLvl w:val="0"/>
    </w:pPr>
    <w:rPr>
      <w:b/>
      <w:bCs/>
      <w:color w:val="333333"/>
      <w:sz w:val="28"/>
      <w:szCs w:val="28"/>
    </w:rPr>
  </w:style>
  <w:style w:type="paragraph" w:styleId="Nagwek2">
    <w:name w:val="heading 2"/>
    <w:basedOn w:val="Normalny"/>
    <w:next w:val="Normalny"/>
    <w:link w:val="Nagwek2Znak"/>
    <w:uiPriority w:val="99"/>
    <w:qFormat/>
    <w:rsid w:val="00A96ED6"/>
    <w:pPr>
      <w:spacing w:before="200"/>
      <w:outlineLvl w:val="1"/>
    </w:pPr>
    <w:rPr>
      <w:b/>
      <w:bCs/>
      <w:color w:val="4D4D4D"/>
      <w:sz w:val="26"/>
      <w:szCs w:val="26"/>
    </w:rPr>
  </w:style>
  <w:style w:type="paragraph" w:styleId="Nagwek3">
    <w:name w:val="heading 3"/>
    <w:basedOn w:val="Normalny"/>
    <w:next w:val="Normalny"/>
    <w:link w:val="Nagwek3Znak"/>
    <w:uiPriority w:val="99"/>
    <w:qFormat/>
    <w:rsid w:val="00A96ED6"/>
    <w:pPr>
      <w:spacing w:before="200" w:line="271" w:lineRule="auto"/>
      <w:outlineLvl w:val="2"/>
    </w:pPr>
    <w:rPr>
      <w:b/>
      <w:bCs/>
      <w:color w:val="5F5F5F"/>
    </w:rPr>
  </w:style>
  <w:style w:type="paragraph" w:styleId="Nagwek4">
    <w:name w:val="heading 4"/>
    <w:basedOn w:val="Normalny"/>
    <w:next w:val="Normalny"/>
    <w:link w:val="Nagwek4Znak"/>
    <w:uiPriority w:val="99"/>
    <w:qFormat/>
    <w:rsid w:val="00A96ED6"/>
    <w:pPr>
      <w:spacing w:before="200"/>
      <w:outlineLvl w:val="3"/>
    </w:pPr>
    <w:rPr>
      <w:b/>
      <w:bCs/>
      <w:i/>
      <w:iCs/>
      <w:color w:val="777777"/>
    </w:rPr>
  </w:style>
  <w:style w:type="paragraph" w:styleId="Nagwek5">
    <w:name w:val="heading 5"/>
    <w:basedOn w:val="Normalny"/>
    <w:next w:val="Normalny"/>
    <w:link w:val="Nagwek5Znak"/>
    <w:uiPriority w:val="99"/>
    <w:qFormat/>
    <w:rsid w:val="00A96ED6"/>
    <w:pPr>
      <w:spacing w:before="200"/>
      <w:outlineLvl w:val="4"/>
    </w:pPr>
    <w:rPr>
      <w:b/>
      <w:bCs/>
      <w:color w:val="808080"/>
      <w:sz w:val="22"/>
    </w:rPr>
  </w:style>
  <w:style w:type="paragraph" w:styleId="Nagwek6">
    <w:name w:val="heading 6"/>
    <w:basedOn w:val="Normalny"/>
    <w:next w:val="Normalny"/>
    <w:link w:val="Nagwek6Znak"/>
    <w:uiPriority w:val="99"/>
    <w:qFormat/>
    <w:rsid w:val="00A96ED6"/>
    <w:pPr>
      <w:spacing w:line="271" w:lineRule="auto"/>
      <w:outlineLvl w:val="5"/>
    </w:pPr>
    <w:rPr>
      <w:b/>
      <w:bCs/>
      <w:i/>
      <w:iCs/>
      <w:color w:val="7F7F7F"/>
    </w:rPr>
  </w:style>
  <w:style w:type="paragraph" w:styleId="Nagwek7">
    <w:name w:val="heading 7"/>
    <w:basedOn w:val="Normalny"/>
    <w:next w:val="Normalny"/>
    <w:link w:val="Nagwek7Znak"/>
    <w:uiPriority w:val="99"/>
    <w:qFormat/>
    <w:rsid w:val="00A96ED6"/>
    <w:pPr>
      <w:outlineLvl w:val="6"/>
    </w:pPr>
    <w:rPr>
      <w:i/>
      <w:iCs/>
      <w:sz w:val="22"/>
    </w:rPr>
  </w:style>
  <w:style w:type="paragraph" w:styleId="Nagwek8">
    <w:name w:val="heading 8"/>
    <w:basedOn w:val="Normalny"/>
    <w:next w:val="Normalny"/>
    <w:link w:val="Nagwek8Znak"/>
    <w:uiPriority w:val="99"/>
    <w:qFormat/>
    <w:rsid w:val="00A96ED6"/>
    <w:pPr>
      <w:outlineLvl w:val="7"/>
    </w:pPr>
    <w:rPr>
      <w:sz w:val="20"/>
      <w:szCs w:val="20"/>
    </w:rPr>
  </w:style>
  <w:style w:type="paragraph" w:styleId="Nagwek9">
    <w:name w:val="heading 9"/>
    <w:basedOn w:val="Normalny"/>
    <w:next w:val="Normalny"/>
    <w:link w:val="Nagwek9Znak"/>
    <w:uiPriority w:val="99"/>
    <w:qFormat/>
    <w:rsid w:val="00A96ED6"/>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96ED6"/>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96ED6"/>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96ED6"/>
    <w:rPr>
      <w:rFonts w:ascii="Times New Roman" w:hAnsi="Times New Roman" w:cs="Times New Roman"/>
      <w:b/>
      <w:bCs/>
      <w:color w:val="5F5F5F"/>
      <w:sz w:val="24"/>
    </w:rPr>
  </w:style>
  <w:style w:type="character" w:customStyle="1" w:styleId="Nagwek4Znak">
    <w:name w:val="Nagłówek 4 Znak"/>
    <w:basedOn w:val="Domylnaczcionkaakapitu"/>
    <w:link w:val="Nagwek4"/>
    <w:uiPriority w:val="99"/>
    <w:semiHidden/>
    <w:locked/>
    <w:rsid w:val="00A96ED6"/>
    <w:rPr>
      <w:rFonts w:ascii="Times New Roman" w:hAnsi="Times New Roman" w:cs="Times New Roman"/>
      <w:b/>
      <w:bCs/>
      <w:i/>
      <w:iCs/>
      <w:color w:val="777777"/>
      <w:sz w:val="24"/>
    </w:rPr>
  </w:style>
  <w:style w:type="character" w:customStyle="1" w:styleId="Nagwek5Znak">
    <w:name w:val="Nagłówek 5 Znak"/>
    <w:basedOn w:val="Domylnaczcionkaakapitu"/>
    <w:link w:val="Nagwek5"/>
    <w:uiPriority w:val="99"/>
    <w:semiHidden/>
    <w:locked/>
    <w:rsid w:val="00A96ED6"/>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96ED6"/>
    <w:rPr>
      <w:rFonts w:ascii="Times New Roman" w:hAnsi="Times New Roman" w:cs="Times New Roman"/>
      <w:b/>
      <w:bCs/>
      <w:i/>
      <w:iCs/>
      <w:color w:val="7F7F7F"/>
      <w:sz w:val="24"/>
    </w:rPr>
  </w:style>
  <w:style w:type="character" w:customStyle="1" w:styleId="Nagwek7Znak">
    <w:name w:val="Nagłówek 7 Znak"/>
    <w:basedOn w:val="Domylnaczcionkaakapitu"/>
    <w:link w:val="Nagwek7"/>
    <w:uiPriority w:val="99"/>
    <w:semiHidden/>
    <w:locked/>
    <w:rsid w:val="00A96ED6"/>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A96ED6"/>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A96ED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96ED6"/>
    <w:rPr>
      <w:rFonts w:ascii="Tahoma" w:hAnsi="Tahoma" w:cs="Tahoma"/>
      <w:sz w:val="16"/>
      <w:szCs w:val="16"/>
    </w:rPr>
  </w:style>
  <w:style w:type="character" w:styleId="Tytuksiki">
    <w:name w:val="Book Title"/>
    <w:basedOn w:val="Domylnaczcionkaakapitu"/>
    <w:uiPriority w:val="99"/>
    <w:qFormat/>
    <w:rsid w:val="00A96ED6"/>
    <w:rPr>
      <w:i/>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A96ED6"/>
    <w:pPr>
      <w:jc w:val="left"/>
    </w:pPr>
    <w:rPr>
      <w:sz w:val="8"/>
    </w:rPr>
  </w:style>
  <w:style w:type="character" w:styleId="Pogrubienie">
    <w:name w:val="Strong"/>
    <w:basedOn w:val="Domylnaczcionkaakapitu"/>
    <w:uiPriority w:val="99"/>
    <w:qFormat/>
    <w:rsid w:val="00A96ED6"/>
    <w:rPr>
      <w:rFonts w:cs="Times New Roman"/>
      <w:b/>
    </w:rPr>
  </w:style>
  <w:style w:type="paragraph" w:styleId="Bezodstpw">
    <w:name w:val="No Spacing"/>
    <w:basedOn w:val="Normalny"/>
    <w:link w:val="BezodstpwZnak"/>
    <w:uiPriority w:val="99"/>
    <w:qFormat/>
    <w:rsid w:val="00A96ED6"/>
    <w:rPr>
      <w:sz w:val="22"/>
    </w:rPr>
  </w:style>
  <w:style w:type="character" w:customStyle="1" w:styleId="BezodstpwZnak">
    <w:name w:val="Bez odstępów Znak"/>
    <w:basedOn w:val="Domylnaczcionkaakapitu"/>
    <w:link w:val="Bezodstpw"/>
    <w:uiPriority w:val="99"/>
    <w:semiHidden/>
    <w:locked/>
    <w:rsid w:val="00A96ED6"/>
    <w:rPr>
      <w:rFonts w:eastAsia="Times New Roman" w:cs="Times New Roman"/>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34"/>
      </w:numPr>
      <w:jc w:val="left"/>
    </w:pPr>
    <w:rPr>
      <w:b/>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caps/>
    </w:rPr>
  </w:style>
  <w:style w:type="paragraph" w:styleId="Tytu">
    <w:name w:val="Title"/>
    <w:basedOn w:val="Normalny"/>
    <w:next w:val="Normalny"/>
    <w:link w:val="TytuZnak"/>
    <w:uiPriority w:val="99"/>
    <w:qFormat/>
    <w:rsid w:val="00A96ED6"/>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sid w:val="00A96ED6"/>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A96ED6"/>
    <w:pPr>
      <w:keepNext/>
      <w:keepLines/>
      <w:spacing w:before="240" w:after="120"/>
      <w:ind w:left="1236"/>
    </w:pPr>
    <w:rPr>
      <w:sz w:val="20"/>
    </w:r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rPr>
  </w:style>
  <w:style w:type="paragraph" w:styleId="Nagwek">
    <w:name w:val="header"/>
    <w:basedOn w:val="Normalny"/>
    <w:link w:val="NagwekZnak"/>
    <w:uiPriority w:val="99"/>
    <w:semiHidden/>
    <w:rsid w:val="00A96ED6"/>
    <w:pPr>
      <w:tabs>
        <w:tab w:val="center" w:pos="4536"/>
        <w:tab w:val="right" w:pos="9072"/>
      </w:tabs>
    </w:pPr>
  </w:style>
  <w:style w:type="character" w:customStyle="1" w:styleId="NagwekZnak">
    <w:name w:val="Nagłówek Znak"/>
    <w:basedOn w:val="Domylnaczcionkaakapitu"/>
    <w:link w:val="Nagwek"/>
    <w:uiPriority w:val="99"/>
    <w:semiHidden/>
    <w:locked/>
    <w:rsid w:val="00A96ED6"/>
    <w:rPr>
      <w:rFonts w:cs="Times New Roman"/>
      <w:sz w:val="24"/>
    </w:rPr>
  </w:style>
  <w:style w:type="paragraph" w:customStyle="1" w:styleId="ECHRHeading1">
    <w:name w:val="ECHR_Heading_1"/>
    <w:aliases w:val="Ju_H_I_Roman"/>
    <w:basedOn w:val="Nagwek1"/>
    <w:next w:val="ECHRPara"/>
    <w:uiPriority w:val="99"/>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rPr>
  </w:style>
  <w:style w:type="character" w:styleId="Wyrnieniedelikatne">
    <w:name w:val="Subtle Emphasis"/>
    <w:basedOn w:val="Domylnaczcionkaakapitu"/>
    <w:uiPriority w:val="99"/>
    <w:qFormat/>
    <w:rsid w:val="00A96ED6"/>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rPr>
  </w:style>
  <w:style w:type="character" w:styleId="Uwydatnienie">
    <w:name w:val="Emphasis"/>
    <w:basedOn w:val="Domylnaczcionkaakapitu"/>
    <w:uiPriority w:val="99"/>
    <w:qFormat/>
    <w:rsid w:val="00A96ED6"/>
    <w:rPr>
      <w:rFonts w:cs="Times New Roman"/>
      <w:b/>
      <w:i/>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A96ED6"/>
    <w:rPr>
      <w:rFonts w:cs="Times New Roman"/>
      <w:sz w:val="24"/>
    </w:rPr>
  </w:style>
  <w:style w:type="character" w:styleId="Odwoanieprzypisudolnego">
    <w:name w:val="footnote reference"/>
    <w:basedOn w:val="Domylnaczcionkaakapitu"/>
    <w:uiPriority w:val="99"/>
    <w:semiHidden/>
    <w:rsid w:val="00A96ED6"/>
    <w:rPr>
      <w:rFonts w:cs="Times New Roman"/>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locked/>
    <w:rsid w:val="00A96ED6"/>
    <w:rPr>
      <w:rFonts w:eastAsia="Times New Roman" w:cs="Times New Roman"/>
      <w:sz w:val="20"/>
      <w:szCs w:val="20"/>
    </w:rPr>
  </w:style>
  <w:style w:type="character" w:styleId="Hipercze">
    <w:name w:val="Hyperlink"/>
    <w:basedOn w:val="Domylnaczcionkaakapitu"/>
    <w:uiPriority w:val="99"/>
    <w:semiHidden/>
    <w:rsid w:val="00A96ED6"/>
    <w:rPr>
      <w:rFonts w:cs="Times New Roman"/>
      <w:color w:val="0072BC"/>
      <w:u w:val="single"/>
    </w:rPr>
  </w:style>
  <w:style w:type="character" w:styleId="Wyrnienieintensywne">
    <w:name w:val="Intense Emphasis"/>
    <w:basedOn w:val="Domylnaczcionkaakapitu"/>
    <w:uiPriority w:val="99"/>
    <w:qFormat/>
    <w:rsid w:val="00A96ED6"/>
    <w:rPr>
      <w:b/>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sid w:val="00A96ED6"/>
    <w:rPr>
      <w:rFonts w:eastAsia="Times New Roman" w:cs="Times New Roman"/>
      <w:b/>
      <w:bCs/>
      <w:i/>
      <w:iCs/>
    </w:rPr>
  </w:style>
  <w:style w:type="character" w:styleId="Odwoanieintensywne">
    <w:name w:val="Intense Reference"/>
    <w:basedOn w:val="Domylnaczcionkaakapitu"/>
    <w:uiPriority w:val="99"/>
    <w:qFormat/>
    <w:rsid w:val="00A96ED6"/>
    <w:rPr>
      <w:smallCaps/>
      <w:spacing w:val="5"/>
      <w:u w:val="single"/>
    </w:rPr>
  </w:style>
  <w:style w:type="paragraph" w:styleId="Akapitzlist">
    <w:name w:val="List Paragraph"/>
    <w:basedOn w:val="Normalny"/>
    <w:uiPriority w:val="99"/>
    <w:qFormat/>
    <w:rsid w:val="00A96ED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2"/>
    </w:rPr>
  </w:style>
  <w:style w:type="character" w:customStyle="1" w:styleId="CytatZnak">
    <w:name w:val="Cytat Znak"/>
    <w:basedOn w:val="Domylnaczcionkaakapitu"/>
    <w:link w:val="Cytat"/>
    <w:uiPriority w:val="99"/>
    <w:semiHidden/>
    <w:locked/>
    <w:rsid w:val="00A96ED6"/>
    <w:rPr>
      <w:rFonts w:eastAsia="Times New Roman" w:cs="Times New Roman"/>
      <w:i/>
      <w:iCs/>
    </w:rPr>
  </w:style>
  <w:style w:type="character" w:styleId="Odwoaniedelikatne">
    <w:name w:val="Subtle Reference"/>
    <w:basedOn w:val="Domylnaczcionkaakapitu"/>
    <w:uiPriority w:val="99"/>
    <w:qFormat/>
    <w:rsid w:val="00A96ED6"/>
    <w:rPr>
      <w:smallCaps/>
    </w:rPr>
  </w:style>
  <w:style w:type="table" w:styleId="Tabela-Siatka">
    <w:name w:val="Table Grid"/>
    <w:basedOn w:val="Standardowy"/>
    <w:uiPriority w:val="99"/>
    <w:semiHidden/>
    <w:rsid w:val="00A96E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sz w:val="20"/>
      <w:szCs w:val="20"/>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A96ED6"/>
    <w:pPr>
      <w:spacing w:before="120"/>
    </w:pPr>
    <w:rPr>
      <w:b/>
      <w:bCs/>
      <w:color w:val="474747"/>
      <w:szCs w:val="24"/>
    </w:rPr>
  </w:style>
  <w:style w:type="paragraph" w:customStyle="1" w:styleId="ECHRParaQuote">
    <w:name w:val="ECHR_Para_Quote"/>
    <w:aliases w:val="Ju_Quot"/>
    <w:basedOn w:val="Normalny"/>
    <w:uiPriority w:val="99"/>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99"/>
    <w:rsid w:val="00A96ED6"/>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A96ED6"/>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locked/>
    <w:rsid w:val="00014566"/>
    <w:rPr>
      <w:rFonts w:eastAsia="Times New Roman"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cs="Times New Roman"/>
      <w:b/>
      <w:bCs/>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cs="Times New Roman"/>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21"/>
      </w:numPr>
    </w:pPr>
  </w:style>
  <w:style w:type="character" w:customStyle="1" w:styleId="JuITMark">
    <w:name w:val="Ju_ITMark"/>
    <w:basedOn w:val="Domylnaczcionkaakapitu"/>
    <w:uiPriority w:val="99"/>
    <w:rsid w:val="00A96ED6"/>
    <w:rPr>
      <w:rFonts w:cs="Times New Roman"/>
      <w:color w:val="auto"/>
      <w:sz w:val="14"/>
    </w:rPr>
  </w:style>
  <w:style w:type="paragraph" w:styleId="Podtytu">
    <w:name w:val="Subtitle"/>
    <w:basedOn w:val="Normalny"/>
    <w:next w:val="Normalny"/>
    <w:link w:val="PodtytuZnak"/>
    <w:uiPriority w:val="99"/>
    <w:qFormat/>
    <w:rsid w:val="00A96ED6"/>
    <w:pPr>
      <w:spacing w:after="600"/>
    </w:pPr>
    <w:rPr>
      <w:i/>
      <w:iCs/>
      <w:spacing w:val="13"/>
      <w:szCs w:val="24"/>
    </w:rPr>
  </w:style>
  <w:style w:type="character" w:customStyle="1" w:styleId="PodtytuZnak">
    <w:name w:val="Podtytuł Znak"/>
    <w:basedOn w:val="Domylnaczcionkaakapitu"/>
    <w:link w:val="Podtytu"/>
    <w:uiPriority w:val="99"/>
    <w:semiHidden/>
    <w:locked/>
    <w:rsid w:val="00A96ED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locked/>
    <w:rsid w:val="00014566"/>
    <w:rPr>
      <w:rFonts w:eastAsia="Times New Roman"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locked/>
    <w:rsid w:val="00014566"/>
    <w:rPr>
      <w:rFonts w:eastAsia="Times New Roman"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014566"/>
    <w:rPr>
      <w:rFonts w:eastAsia="Times New Roman"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locked/>
    <w:rsid w:val="00014566"/>
    <w:rPr>
      <w:rFonts w:eastAsia="Times New Roman" w:cs="Times New Roman"/>
      <w:sz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locked/>
    <w:rsid w:val="00014566"/>
    <w:rPr>
      <w:rFonts w:eastAsia="Times New Roman"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locked/>
    <w:rsid w:val="00014566"/>
    <w:rPr>
      <w:rFonts w:eastAsia="Times New Roman"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Times New Roman" w:cs="Times New Roman"/>
      <w:i/>
      <w:iCs/>
      <w:sz w:val="24"/>
    </w:rPr>
  </w:style>
  <w:style w:type="character" w:styleId="HTML-cytat">
    <w:name w:val="HTML Cite"/>
    <w:basedOn w:val="Domylnaczcionkaakapitu"/>
    <w:uiPriority w:val="99"/>
    <w:semiHidden/>
    <w:rsid w:val="00014566"/>
    <w:rPr>
      <w:rFonts w:cs="Times New Roman"/>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rFonts w:cs="Times New Roman"/>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locked/>
    <w:rsid w:val="00014566"/>
    <w:rPr>
      <w:rFonts w:eastAsia="Times New Roman" w:cs="Times New Roman"/>
      <w:sz w:val="24"/>
    </w:rPr>
  </w:style>
  <w:style w:type="character" w:styleId="Tekstzastpczy">
    <w:name w:val="Placeholder Text"/>
    <w:basedOn w:val="Domylnaczcionkaakapitu"/>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locked/>
    <w:rsid w:val="00014566"/>
    <w:rPr>
      <w:rFonts w:eastAsia="Times New Roman"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locked/>
    <w:rsid w:val="00014566"/>
    <w:rPr>
      <w:rFonts w:eastAsia="Times New Roman" w:cs="Times New Roman"/>
      <w:sz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i w:val="0"/>
      <w:sz w:val="20"/>
    </w:rPr>
  </w:style>
  <w:style w:type="paragraph" w:customStyle="1" w:styleId="OpiHi">
    <w:name w:val="Opi_H_i"/>
    <w:basedOn w:val="ECHRHeading4"/>
    <w:uiPriority w:val="99"/>
    <w:rsid w:val="00A96ED6"/>
    <w:pPr>
      <w:ind w:left="1037" w:hanging="357"/>
      <w:outlineLvl w:val="4"/>
    </w:pPr>
    <w:rPr>
      <w:b w:val="0"/>
      <w:i/>
    </w:rPr>
  </w:style>
  <w:style w:type="paragraph" w:customStyle="1" w:styleId="DummyStyle">
    <w:name w:val="Dummy_Style"/>
    <w:basedOn w:val="Normalny"/>
    <w:uiPriority w:val="99"/>
    <w:semiHidden/>
    <w:rsid w:val="00A96ED6"/>
    <w:rPr>
      <w:color w:val="00B050"/>
    </w:rPr>
  </w:style>
  <w:style w:type="character" w:customStyle="1" w:styleId="JuParaChar">
    <w:name w:val="Ju_Para Char"/>
    <w:link w:val="ECHRPara"/>
    <w:uiPriority w:val="99"/>
    <w:locked/>
    <w:rsid w:val="00874CC3"/>
    <w:rPr>
      <w:rFonts w:eastAsia="Times New Roman"/>
      <w:sz w:val="24"/>
    </w:rPr>
  </w:style>
  <w:style w:type="character" w:customStyle="1" w:styleId="JuParaCar">
    <w:name w:val="Ju_Para Car"/>
    <w:uiPriority w:val="99"/>
    <w:rsid w:val="009E7A97"/>
    <w:rPr>
      <w:rFonts w:eastAsia="Times New Roman"/>
      <w:sz w:val="24"/>
    </w:rPr>
  </w:style>
  <w:style w:type="paragraph" w:customStyle="1" w:styleId="s8293e77f">
    <w:name w:val="s8293e77f"/>
    <w:basedOn w:val="Normalny"/>
    <w:uiPriority w:val="99"/>
    <w:rsid w:val="002B5960"/>
    <w:pPr>
      <w:spacing w:before="100" w:beforeAutospacing="1" w:after="100" w:afterAutospacing="1"/>
      <w:jc w:val="left"/>
    </w:pPr>
    <w:rPr>
      <w:szCs w:val="24"/>
    </w:rPr>
  </w:style>
  <w:style w:type="character" w:customStyle="1" w:styleId="s7d2086b4">
    <w:name w:val="s7d2086b4"/>
    <w:basedOn w:val="Domylnaczcionkaakapitu"/>
    <w:uiPriority w:val="99"/>
    <w:rsid w:val="002B5960"/>
    <w:rPr>
      <w:rFonts w:cs="Times New Roman"/>
    </w:rPr>
  </w:style>
  <w:style w:type="paragraph" w:customStyle="1" w:styleId="s70227c73">
    <w:name w:val="s70227c73"/>
    <w:basedOn w:val="Normalny"/>
    <w:uiPriority w:val="99"/>
    <w:rsid w:val="002B5960"/>
    <w:pPr>
      <w:spacing w:before="100" w:beforeAutospacing="1" w:after="100" w:afterAutospacing="1"/>
      <w:jc w:val="left"/>
    </w:pPr>
    <w:rPr>
      <w:szCs w:val="24"/>
    </w:rPr>
  </w:style>
  <w:style w:type="character" w:customStyle="1" w:styleId="s6b621b36">
    <w:name w:val="s6b621b36"/>
    <w:basedOn w:val="Domylnaczcionkaakapitu"/>
    <w:uiPriority w:val="99"/>
    <w:rsid w:val="002B5960"/>
    <w:rPr>
      <w:rFonts w:cs="Times New Roman"/>
    </w:rPr>
  </w:style>
  <w:style w:type="paragraph" w:customStyle="1" w:styleId="s30eec3f8">
    <w:name w:val="s30eec3f8"/>
    <w:basedOn w:val="Normalny"/>
    <w:uiPriority w:val="99"/>
    <w:rsid w:val="002B5960"/>
    <w:pPr>
      <w:spacing w:before="100" w:beforeAutospacing="1" w:after="100" w:afterAutospacing="1"/>
      <w:jc w:val="left"/>
    </w:pPr>
    <w:rPr>
      <w:szCs w:val="24"/>
    </w:rPr>
  </w:style>
  <w:style w:type="character" w:customStyle="1" w:styleId="sb8d990e2">
    <w:name w:val="sb8d990e2"/>
    <w:basedOn w:val="Domylnaczcionkaakapitu"/>
    <w:uiPriority w:val="99"/>
    <w:rsid w:val="002B5960"/>
    <w:rPr>
      <w:rFonts w:cs="Times New Roman"/>
    </w:rPr>
  </w:style>
  <w:style w:type="paragraph" w:customStyle="1" w:styleId="s9e9b0cd7">
    <w:name w:val="s9e9b0cd7"/>
    <w:basedOn w:val="Normalny"/>
    <w:uiPriority w:val="99"/>
    <w:rsid w:val="002B5960"/>
    <w:pPr>
      <w:spacing w:before="100" w:beforeAutospacing="1" w:after="100" w:afterAutospacing="1"/>
      <w:jc w:val="left"/>
    </w:pPr>
    <w:rPr>
      <w:szCs w:val="24"/>
    </w:rPr>
  </w:style>
  <w:style w:type="character" w:customStyle="1" w:styleId="sfbbfee58">
    <w:name w:val="sfbbfee58"/>
    <w:basedOn w:val="Domylnaczcionkaakapitu"/>
    <w:uiPriority w:val="99"/>
    <w:rsid w:val="002B5960"/>
    <w:rPr>
      <w:rFonts w:cs="Times New Roman"/>
    </w:rPr>
  </w:style>
  <w:style w:type="paragraph" w:customStyle="1" w:styleId="s8b146764">
    <w:name w:val="s8b146764"/>
    <w:basedOn w:val="Normalny"/>
    <w:uiPriority w:val="99"/>
    <w:rsid w:val="002B5960"/>
    <w:pPr>
      <w:spacing w:before="100" w:beforeAutospacing="1" w:after="100" w:afterAutospacing="1"/>
      <w:jc w:val="left"/>
    </w:pPr>
    <w:rPr>
      <w:szCs w:val="24"/>
    </w:rPr>
  </w:style>
  <w:style w:type="character" w:customStyle="1" w:styleId="s1a844bc0">
    <w:name w:val="s1a844bc0"/>
    <w:basedOn w:val="Domylnaczcionkaakapitu"/>
    <w:uiPriority w:val="99"/>
    <w:rsid w:val="002B5960"/>
    <w:rPr>
      <w:rFonts w:cs="Times New Roman"/>
    </w:rPr>
  </w:style>
  <w:style w:type="character" w:customStyle="1" w:styleId="apple-converted-space">
    <w:name w:val="apple-converted-space"/>
    <w:basedOn w:val="Domylnaczcionkaakapitu"/>
    <w:uiPriority w:val="99"/>
    <w:rsid w:val="00245608"/>
    <w:rPr>
      <w:rFonts w:cs="Times New Roman"/>
    </w:rPr>
  </w:style>
  <w:style w:type="numbering" w:styleId="1ai">
    <w:name w:val="Outline List 1"/>
    <w:basedOn w:val="Bezlisty"/>
    <w:uiPriority w:val="99"/>
    <w:semiHidden/>
    <w:unhideWhenUsed/>
    <w:rsid w:val="00EA1075"/>
    <w:pPr>
      <w:numPr>
        <w:numId w:val="23"/>
      </w:numPr>
    </w:pPr>
  </w:style>
  <w:style w:type="numbering" w:styleId="111111">
    <w:name w:val="Outline List 2"/>
    <w:basedOn w:val="Bezlisty"/>
    <w:uiPriority w:val="99"/>
    <w:semiHidden/>
    <w:unhideWhenUsed/>
    <w:rsid w:val="00EA1075"/>
    <w:pPr>
      <w:numPr>
        <w:numId w:val="22"/>
      </w:numPr>
    </w:pPr>
  </w:style>
  <w:style w:type="numbering" w:styleId="Artykusekcja">
    <w:name w:val="Outline List 3"/>
    <w:basedOn w:val="Bezlisty"/>
    <w:uiPriority w:val="99"/>
    <w:semiHidden/>
    <w:unhideWhenUsed/>
    <w:rsid w:val="00EA1075"/>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29383">
      <w:marLeft w:val="0"/>
      <w:marRight w:val="0"/>
      <w:marTop w:val="0"/>
      <w:marBottom w:val="0"/>
      <w:divBdr>
        <w:top w:val="none" w:sz="0" w:space="0" w:color="auto"/>
        <w:left w:val="none" w:sz="0" w:space="0" w:color="auto"/>
        <w:bottom w:val="none" w:sz="0" w:space="0" w:color="auto"/>
        <w:right w:val="none" w:sz="0" w:space="0" w:color="auto"/>
      </w:divBdr>
      <w:divsChild>
        <w:div w:id="785929394">
          <w:marLeft w:val="0"/>
          <w:marRight w:val="0"/>
          <w:marTop w:val="0"/>
          <w:marBottom w:val="0"/>
          <w:divBdr>
            <w:top w:val="none" w:sz="0" w:space="0" w:color="auto"/>
            <w:left w:val="none" w:sz="0" w:space="0" w:color="auto"/>
            <w:bottom w:val="none" w:sz="0" w:space="0" w:color="auto"/>
            <w:right w:val="none" w:sz="0" w:space="0" w:color="auto"/>
          </w:divBdr>
          <w:divsChild>
            <w:div w:id="785929388">
              <w:marLeft w:val="0"/>
              <w:marRight w:val="0"/>
              <w:marTop w:val="0"/>
              <w:marBottom w:val="0"/>
              <w:divBdr>
                <w:top w:val="none" w:sz="0" w:space="0" w:color="auto"/>
                <w:left w:val="none" w:sz="0" w:space="0" w:color="auto"/>
                <w:bottom w:val="none" w:sz="0" w:space="0" w:color="auto"/>
                <w:right w:val="none" w:sz="0" w:space="0" w:color="auto"/>
              </w:divBdr>
              <w:divsChild>
                <w:div w:id="785929392">
                  <w:marLeft w:val="0"/>
                  <w:marRight w:val="0"/>
                  <w:marTop w:val="0"/>
                  <w:marBottom w:val="0"/>
                  <w:divBdr>
                    <w:top w:val="none" w:sz="0" w:space="0" w:color="auto"/>
                    <w:left w:val="none" w:sz="0" w:space="0" w:color="auto"/>
                    <w:bottom w:val="none" w:sz="0" w:space="0" w:color="auto"/>
                    <w:right w:val="none" w:sz="0" w:space="0" w:color="auto"/>
                  </w:divBdr>
                  <w:divsChild>
                    <w:div w:id="785929396">
                      <w:marLeft w:val="0"/>
                      <w:marRight w:val="0"/>
                      <w:marTop w:val="0"/>
                      <w:marBottom w:val="0"/>
                      <w:divBdr>
                        <w:top w:val="none" w:sz="0" w:space="0" w:color="auto"/>
                        <w:left w:val="none" w:sz="0" w:space="0" w:color="auto"/>
                        <w:bottom w:val="none" w:sz="0" w:space="0" w:color="auto"/>
                        <w:right w:val="none" w:sz="0" w:space="0" w:color="auto"/>
                      </w:divBdr>
                      <w:divsChild>
                        <w:div w:id="785929387">
                          <w:marLeft w:val="0"/>
                          <w:marRight w:val="0"/>
                          <w:marTop w:val="0"/>
                          <w:marBottom w:val="0"/>
                          <w:divBdr>
                            <w:top w:val="none" w:sz="0" w:space="0" w:color="auto"/>
                            <w:left w:val="none" w:sz="0" w:space="0" w:color="auto"/>
                            <w:bottom w:val="none" w:sz="0" w:space="0" w:color="auto"/>
                            <w:right w:val="none" w:sz="0" w:space="0" w:color="auto"/>
                          </w:divBdr>
                          <w:divsChild>
                            <w:div w:id="78592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929385">
      <w:marLeft w:val="0"/>
      <w:marRight w:val="0"/>
      <w:marTop w:val="0"/>
      <w:marBottom w:val="0"/>
      <w:divBdr>
        <w:top w:val="none" w:sz="0" w:space="0" w:color="auto"/>
        <w:left w:val="none" w:sz="0" w:space="0" w:color="auto"/>
        <w:bottom w:val="none" w:sz="0" w:space="0" w:color="auto"/>
        <w:right w:val="none" w:sz="0" w:space="0" w:color="auto"/>
      </w:divBdr>
    </w:div>
    <w:div w:id="785929391">
      <w:marLeft w:val="0"/>
      <w:marRight w:val="0"/>
      <w:marTop w:val="0"/>
      <w:marBottom w:val="0"/>
      <w:divBdr>
        <w:top w:val="none" w:sz="0" w:space="0" w:color="auto"/>
        <w:left w:val="none" w:sz="0" w:space="0" w:color="auto"/>
        <w:bottom w:val="none" w:sz="0" w:space="0" w:color="auto"/>
        <w:right w:val="none" w:sz="0" w:space="0" w:color="auto"/>
      </w:divBdr>
    </w:div>
    <w:div w:id="785929397">
      <w:marLeft w:val="0"/>
      <w:marRight w:val="0"/>
      <w:marTop w:val="0"/>
      <w:marBottom w:val="0"/>
      <w:divBdr>
        <w:top w:val="none" w:sz="0" w:space="0" w:color="auto"/>
        <w:left w:val="none" w:sz="0" w:space="0" w:color="auto"/>
        <w:bottom w:val="none" w:sz="0" w:space="0" w:color="auto"/>
        <w:right w:val="none" w:sz="0" w:space="0" w:color="auto"/>
      </w:divBdr>
      <w:divsChild>
        <w:div w:id="785929395">
          <w:marLeft w:val="0"/>
          <w:marRight w:val="0"/>
          <w:marTop w:val="0"/>
          <w:marBottom w:val="0"/>
          <w:divBdr>
            <w:top w:val="none" w:sz="0" w:space="0" w:color="auto"/>
            <w:left w:val="none" w:sz="0" w:space="0" w:color="auto"/>
            <w:bottom w:val="none" w:sz="0" w:space="0" w:color="auto"/>
            <w:right w:val="none" w:sz="0" w:space="0" w:color="auto"/>
          </w:divBdr>
          <w:divsChild>
            <w:div w:id="785929382">
              <w:marLeft w:val="0"/>
              <w:marRight w:val="0"/>
              <w:marTop w:val="0"/>
              <w:marBottom w:val="0"/>
              <w:divBdr>
                <w:top w:val="none" w:sz="0" w:space="0" w:color="auto"/>
                <w:left w:val="none" w:sz="0" w:space="0" w:color="auto"/>
                <w:bottom w:val="none" w:sz="0" w:space="0" w:color="auto"/>
                <w:right w:val="none" w:sz="0" w:space="0" w:color="auto"/>
              </w:divBdr>
              <w:divsChild>
                <w:div w:id="785929384">
                  <w:marLeft w:val="0"/>
                  <w:marRight w:val="0"/>
                  <w:marTop w:val="0"/>
                  <w:marBottom w:val="0"/>
                  <w:divBdr>
                    <w:top w:val="none" w:sz="0" w:space="0" w:color="auto"/>
                    <w:left w:val="none" w:sz="0" w:space="0" w:color="auto"/>
                    <w:bottom w:val="none" w:sz="0" w:space="0" w:color="auto"/>
                    <w:right w:val="none" w:sz="0" w:space="0" w:color="auto"/>
                  </w:divBdr>
                  <w:divsChild>
                    <w:div w:id="785929390">
                      <w:marLeft w:val="0"/>
                      <w:marRight w:val="0"/>
                      <w:marTop w:val="0"/>
                      <w:marBottom w:val="0"/>
                      <w:divBdr>
                        <w:top w:val="none" w:sz="0" w:space="0" w:color="auto"/>
                        <w:left w:val="none" w:sz="0" w:space="0" w:color="auto"/>
                        <w:bottom w:val="none" w:sz="0" w:space="0" w:color="auto"/>
                        <w:right w:val="none" w:sz="0" w:space="0" w:color="auto"/>
                      </w:divBdr>
                      <w:divsChild>
                        <w:div w:id="785929386">
                          <w:marLeft w:val="0"/>
                          <w:marRight w:val="0"/>
                          <w:marTop w:val="0"/>
                          <w:marBottom w:val="0"/>
                          <w:divBdr>
                            <w:top w:val="none" w:sz="0" w:space="0" w:color="auto"/>
                            <w:left w:val="none" w:sz="0" w:space="0" w:color="auto"/>
                            <w:bottom w:val="none" w:sz="0" w:space="0" w:color="auto"/>
                            <w:right w:val="none" w:sz="0" w:space="0" w:color="auto"/>
                          </w:divBdr>
                          <w:divsChild>
                            <w:div w:id="7859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3567</Words>
  <Characters>21406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24924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2015-11-25T13:35:00Z</dcterms:created>
  <dcterms:modified xsi:type="dcterms:W3CDTF">2015-11-25T13:35:00Z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