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40" w:rsidRPr="00BC4AEC" w:rsidRDefault="006D4A40" w:rsidP="00D96353">
      <w:pPr>
        <w:jc w:val="center"/>
      </w:pPr>
      <w:bookmarkStart w:id="0" w:name="_GoBack"/>
      <w:bookmarkEnd w:id="0"/>
    </w:p>
    <w:p w:rsidR="006D4A40" w:rsidRPr="00BC4AEC" w:rsidRDefault="006D4A40" w:rsidP="00D96353">
      <w:pPr>
        <w:jc w:val="center"/>
      </w:pPr>
    </w:p>
    <w:p w:rsidR="006D4A40" w:rsidRPr="00BC4AEC" w:rsidRDefault="006D4A40" w:rsidP="00D96353">
      <w:pPr>
        <w:tabs>
          <w:tab w:val="left" w:pos="5529"/>
        </w:tabs>
        <w:jc w:val="center"/>
      </w:pPr>
      <w:r w:rsidRPr="00BC4AEC">
        <w:t>SEKCJA CZWARTA</w:t>
      </w: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right"/>
      </w:pPr>
    </w:p>
    <w:p w:rsidR="006D4A40" w:rsidRPr="00BC4AEC" w:rsidRDefault="006D4A40" w:rsidP="00D96353">
      <w:pPr>
        <w:jc w:val="center"/>
      </w:pPr>
    </w:p>
    <w:p w:rsidR="006D4A40" w:rsidRPr="00BC4AEC" w:rsidRDefault="006D4A40" w:rsidP="00D96353">
      <w:pPr>
        <w:jc w:val="center"/>
        <w:outlineLvl w:val="0"/>
        <w:rPr>
          <w:b/>
        </w:rPr>
      </w:pPr>
      <w:r w:rsidRPr="00BC4AEC">
        <w:rPr>
          <w:b/>
        </w:rPr>
        <w:t>SPRAWA SZAFRAŃSKI przeciwko POLSCE</w:t>
      </w:r>
    </w:p>
    <w:p w:rsidR="006D4A40" w:rsidRPr="00BC4AEC" w:rsidRDefault="006D4A40" w:rsidP="00D96353">
      <w:pPr>
        <w:jc w:val="right"/>
      </w:pPr>
    </w:p>
    <w:p w:rsidR="006D4A40" w:rsidRPr="00BC4AEC" w:rsidRDefault="006D4A40" w:rsidP="00D96353">
      <w:pPr>
        <w:jc w:val="center"/>
        <w:rPr>
          <w:i/>
        </w:rPr>
      </w:pPr>
      <w:r w:rsidRPr="00BC4AEC">
        <w:rPr>
          <w:i/>
        </w:rPr>
        <w:t>(Skarga nr 17249/12)</w:t>
      </w: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outlineLvl w:val="0"/>
      </w:pPr>
      <w:r w:rsidRPr="00BC4AEC">
        <w:t>WYROK</w:t>
      </w:r>
    </w:p>
    <w:p w:rsidR="006D4A40" w:rsidRPr="00BC4AEC" w:rsidRDefault="006D4A40" w:rsidP="00D96353">
      <w:pPr>
        <w:jc w:val="center"/>
      </w:pPr>
    </w:p>
    <w:p w:rsidR="006D4A40" w:rsidRPr="00BC4AEC" w:rsidRDefault="006D4A40" w:rsidP="00D96353">
      <w:pPr>
        <w:jc w:val="center"/>
        <w:rPr>
          <w:i/>
        </w:rPr>
      </w:pPr>
    </w:p>
    <w:p w:rsidR="006D4A40" w:rsidRPr="00BC4AEC" w:rsidRDefault="006D4A40" w:rsidP="00D96353">
      <w:pPr>
        <w:jc w:val="center"/>
        <w:outlineLvl w:val="0"/>
      </w:pPr>
      <w:r w:rsidRPr="00BC4AEC">
        <w:t>STRASBURG</w:t>
      </w:r>
    </w:p>
    <w:p w:rsidR="006D4A40" w:rsidRPr="00BC4AEC" w:rsidRDefault="006D4A40" w:rsidP="00D96353">
      <w:pPr>
        <w:jc w:val="center"/>
      </w:pPr>
    </w:p>
    <w:p w:rsidR="006D4A40" w:rsidRPr="00BC4AEC" w:rsidRDefault="006D4A40" w:rsidP="00D96353">
      <w:pPr>
        <w:jc w:val="center"/>
      </w:pPr>
      <w:r w:rsidRPr="00BC4AEC">
        <w:t>15 grudnia 2015 r.</w:t>
      </w: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jc w:val="center"/>
      </w:pPr>
    </w:p>
    <w:p w:rsidR="006D4A40" w:rsidRPr="00BC4AEC" w:rsidRDefault="006D4A40" w:rsidP="00D96353">
      <w:pPr>
        <w:rPr>
          <w:i/>
          <w:sz w:val="22"/>
        </w:rPr>
      </w:pPr>
      <w:r w:rsidRPr="00BC4AEC">
        <w:rPr>
          <w:i/>
          <w:sz w:val="22"/>
        </w:rPr>
        <w:t>Wyrok ten stanie się ostateczny zgodnie z warunkami określonymi w art. 44 § 2 Konwencji. Może on podlegać zmianom redakcyjnym.</w:t>
      </w:r>
    </w:p>
    <w:p w:rsidR="006D4A40" w:rsidRPr="00BC4AEC" w:rsidRDefault="006D4A40" w:rsidP="00D96353"/>
    <w:p w:rsidR="006D4A40" w:rsidRPr="00BC4AEC" w:rsidRDefault="006D4A40" w:rsidP="00D96353">
      <w:pPr>
        <w:sectPr w:rsidR="006D4A40" w:rsidRPr="00BC4AEC">
          <w:headerReference w:type="default" r:id="rId8"/>
          <w:footerReference w:type="default" r:id="rId9"/>
          <w:headerReference w:type="first" r:id="rId10"/>
          <w:footnotePr>
            <w:numRestart w:val="eachSect"/>
          </w:footnotePr>
          <w:pgSz w:w="11906" w:h="16838" w:code="9"/>
          <w:pgMar w:top="2274" w:right="2274" w:bottom="2274" w:left="2274" w:header="1701" w:footer="708" w:gutter="0"/>
          <w:pgNumType w:start="1"/>
          <w:cols w:space="708"/>
          <w:noEndnote/>
        </w:sectPr>
      </w:pPr>
    </w:p>
    <w:p w:rsidR="006D4A40" w:rsidRPr="00BC4AEC" w:rsidRDefault="006D4A40" w:rsidP="00D96353">
      <w:pPr>
        <w:pStyle w:val="JuCase"/>
      </w:pPr>
      <w:r w:rsidRPr="00BC4AEC">
        <w:lastRenderedPageBreak/>
        <w:t>W sprawie Szafrański przeciwko Polsce,</w:t>
      </w:r>
    </w:p>
    <w:p w:rsidR="006D4A40" w:rsidRPr="00BC4AEC" w:rsidRDefault="006D4A40" w:rsidP="00D96353">
      <w:pPr>
        <w:ind w:firstLine="284"/>
      </w:pPr>
      <w:r w:rsidRPr="00BC4AEC">
        <w:t>Europejski Trybunał Praw Człowieka (Sekcja Czwarta), zasiadając jako Izba składająca się z:</w:t>
      </w:r>
    </w:p>
    <w:p w:rsidR="006D4A40" w:rsidRPr="00BC4AEC" w:rsidRDefault="006D4A40" w:rsidP="00D96353">
      <w:pPr>
        <w:pStyle w:val="ECHRDecisionBody"/>
      </w:pPr>
      <w:r w:rsidRPr="00BC4AEC">
        <w:tab/>
        <w:t>András Sajó,</w:t>
      </w:r>
      <w:r w:rsidRPr="00BC4AEC">
        <w:rPr>
          <w:i/>
        </w:rPr>
        <w:t xml:space="preserve"> Przewodniczący,</w:t>
      </w:r>
      <w:r w:rsidRPr="00BC4AEC">
        <w:rPr>
          <w:i/>
        </w:rPr>
        <w:br/>
      </w:r>
      <w:r w:rsidRPr="00BC4AEC">
        <w:tab/>
        <w:t>Vincent A. De Gaetano,</w:t>
      </w:r>
      <w:r w:rsidRPr="00BC4AEC">
        <w:rPr>
          <w:i/>
        </w:rPr>
        <w:br/>
      </w:r>
      <w:r w:rsidRPr="00BC4AEC">
        <w:tab/>
        <w:t>Boštjan M. Zupančič,</w:t>
      </w:r>
      <w:r w:rsidRPr="00BC4AEC">
        <w:rPr>
          <w:i/>
        </w:rPr>
        <w:br/>
      </w:r>
      <w:r w:rsidRPr="00BC4AEC">
        <w:tab/>
        <w:t>Nona Tsotsoria,</w:t>
      </w:r>
      <w:r w:rsidRPr="00BC4AEC">
        <w:rPr>
          <w:i/>
        </w:rPr>
        <w:br/>
      </w:r>
      <w:r w:rsidRPr="00BC4AEC">
        <w:tab/>
        <w:t>Paulo Pinto de Albuquerque,</w:t>
      </w:r>
      <w:r w:rsidRPr="00BC4AEC">
        <w:rPr>
          <w:i/>
        </w:rPr>
        <w:br/>
      </w:r>
      <w:r w:rsidRPr="00BC4AEC">
        <w:tab/>
        <w:t>Krzysztof Wojtyczek,</w:t>
      </w:r>
      <w:r w:rsidRPr="00BC4AEC">
        <w:rPr>
          <w:i/>
        </w:rPr>
        <w:br/>
      </w:r>
      <w:r w:rsidRPr="00BC4AEC">
        <w:tab/>
        <w:t>Gabriele Kucsko-Stadlmayer,</w:t>
      </w:r>
      <w:r w:rsidRPr="00BC4AEC">
        <w:rPr>
          <w:i/>
        </w:rPr>
        <w:t xml:space="preserve"> sędziowie,</w:t>
      </w:r>
      <w:r w:rsidRPr="00BC4AEC">
        <w:rPr>
          <w:i/>
        </w:rPr>
        <w:br/>
      </w:r>
      <w:r w:rsidRPr="00BC4AEC">
        <w:t xml:space="preserve">oraz Fatoş Aracı, </w:t>
      </w:r>
      <w:r w:rsidRPr="00BC4AEC">
        <w:rPr>
          <w:i/>
        </w:rPr>
        <w:t>Zastępca Kanclerza Sekcji,</w:t>
      </w:r>
    </w:p>
    <w:p w:rsidR="006D4A40" w:rsidRPr="00BC4AEC" w:rsidRDefault="006D4A40" w:rsidP="00D96353">
      <w:pPr>
        <w:tabs>
          <w:tab w:val="left" w:pos="567"/>
          <w:tab w:val="left" w:pos="1134"/>
        </w:tabs>
        <w:ind w:firstLine="284"/>
        <w:jc w:val="left"/>
      </w:pPr>
      <w:r w:rsidRPr="00BC4AEC">
        <w:t>obradując na posiedzeniu zamkniętym w dniu 17 listopada 2015 r.,</w:t>
      </w:r>
    </w:p>
    <w:p w:rsidR="006D4A40" w:rsidRPr="00BC4AEC" w:rsidRDefault="006D4A40" w:rsidP="00D96353">
      <w:pPr>
        <w:ind w:firstLine="284"/>
      </w:pPr>
      <w:r w:rsidRPr="00BC4AEC">
        <w:t>wydaje następujący wyrok, który został przyjęty w tym dniu:</w:t>
      </w:r>
    </w:p>
    <w:p w:rsidR="006D4A40" w:rsidRPr="00BC4AEC" w:rsidRDefault="006D4A40" w:rsidP="00D96353">
      <w:pPr>
        <w:pStyle w:val="ECHRTitle1"/>
      </w:pPr>
      <w:r w:rsidRPr="00BC4AEC">
        <w:t>POSTĘPOWANIE</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1</w:t>
      </w:r>
      <w:r>
        <w:rPr>
          <w:noProof/>
        </w:rPr>
        <w:fldChar w:fldCharType="end"/>
      </w:r>
      <w:r w:rsidR="006D4A40" w:rsidRPr="00BC4AEC">
        <w:t>.  Sprawa wywodzi się ze skargi (nr 17249/12) wniesionej dnia 1 marca 2012 r. przeciwko Rzeczpospolitej Polskiej do Trybunału na podstawie art. 34 Konwencji o Ochronie Praw Człowieka i Podstawowych Wolności („Konwencja”), przez obywatela polskiego, pana Andrzeja Szafrańskiego („skarżący”).</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2</w:t>
      </w:r>
      <w:r>
        <w:rPr>
          <w:noProof/>
        </w:rPr>
        <w:fldChar w:fldCharType="end"/>
      </w:r>
      <w:r w:rsidR="006D4A40" w:rsidRPr="00BC4AEC">
        <w:t>.  Skarżący, któremu przyznano pomoc prawną, był reprezentowany przez pana M. Jarzyńskiego, adwokata prowadzącego praktykę w Poznaniu. Rząd polski („Rząd”) był reprezentowany przez swojego pełnomocnika, panią J. Chrzanowską z Ministerstwa Spraw Zagranicznych.</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3</w:t>
      </w:r>
      <w:r>
        <w:rPr>
          <w:noProof/>
        </w:rPr>
        <w:fldChar w:fldCharType="end"/>
      </w:r>
      <w:r w:rsidR="006D4A40" w:rsidRPr="00BC4AEC">
        <w:t>.  Skarżący utrzymywał w szczególności, że w wyniku złych warunków sanitarnych, a zwłaszcza niedostatecznego oddzielenia urządzeń sanitarnych od reszty celi, jego prawa wynikające z art. 3 i art. 8 Konwencji zostały naruszone.</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4</w:t>
      </w:r>
      <w:r>
        <w:rPr>
          <w:noProof/>
        </w:rPr>
        <w:fldChar w:fldCharType="end"/>
      </w:r>
      <w:r w:rsidR="006D4A40" w:rsidRPr="00BC4AEC">
        <w:t>.  W dniu 17 listopada 2014 r. skarga została przekazana Rządowi.</w:t>
      </w:r>
    </w:p>
    <w:p w:rsidR="006D4A40" w:rsidRPr="00BC4AEC" w:rsidRDefault="006D4A40" w:rsidP="00D96353">
      <w:pPr>
        <w:pStyle w:val="ECHRTitle1"/>
      </w:pPr>
      <w:r w:rsidRPr="00BC4AEC">
        <w:t>FAKTY</w:t>
      </w:r>
    </w:p>
    <w:p w:rsidR="006D4A40" w:rsidRPr="00BC4AEC" w:rsidRDefault="006D4A40" w:rsidP="00D96353">
      <w:pPr>
        <w:pStyle w:val="ECHRHeading1"/>
      </w:pPr>
      <w:r w:rsidRPr="00BC4AEC">
        <w:t>I.  OKOLICZNOŚCI SPRAWY</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5</w:t>
      </w:r>
      <w:r>
        <w:rPr>
          <w:noProof/>
        </w:rPr>
        <w:fldChar w:fldCharType="end"/>
      </w:r>
      <w:r w:rsidR="006D4A40" w:rsidRPr="00BC4AEC">
        <w:t>.  Skarżący urodził się w 1963 r. i obecnie przebywa w Zakładzie Karnym we Wronkach.</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6</w:t>
      </w:r>
      <w:r>
        <w:rPr>
          <w:noProof/>
        </w:rPr>
        <w:fldChar w:fldCharType="end"/>
      </w:r>
      <w:r w:rsidR="006D4A40" w:rsidRPr="00BC4AEC">
        <w:t>.   Skarżący odbywa karę pozbawienia wolności w Zakładzie Karnym we Wronkach od 31 marca 2010 r.</w:t>
      </w:r>
    </w:p>
    <w:p w:rsidR="006D4A40" w:rsidRPr="00BC4AEC" w:rsidRDefault="001807EB" w:rsidP="00D96353">
      <w:pPr>
        <w:pStyle w:val="ECHRPara"/>
      </w:pPr>
      <w:r>
        <w:lastRenderedPageBreak/>
        <w:fldChar w:fldCharType="begin"/>
      </w:r>
      <w:r>
        <w:instrText xml:space="preserve"> SEQ level0 \*arabic </w:instrText>
      </w:r>
      <w:r>
        <w:fldChar w:fldCharType="separate"/>
      </w:r>
      <w:r w:rsidR="006D4A40">
        <w:rPr>
          <w:noProof/>
        </w:rPr>
        <w:t>7</w:t>
      </w:r>
      <w:r>
        <w:rPr>
          <w:noProof/>
        </w:rPr>
        <w:fldChar w:fldCharType="end"/>
      </w:r>
      <w:r w:rsidR="006D4A40" w:rsidRPr="00BC4AEC">
        <w:t>.  W dniu 19 września 2010 r. wniósł powództwo o odszkodowanie do Sądu Rejonowego w Szamotułach. Twierdził, że warunki zatrzymania w wielu celach w Zakładzie Karnym we Wronkach były tak złe, że stanowiły naruszenie art. 3 i 8 Konwencji. Odniósł się do faktu, że cele nie były odpowiednio ogrzewane w okresie jesienno-zimowym i nie miały odpowiedniej wentylacji w lecie, przez co więźniowie cierpieli z powodu intensywnego ciepła. Okna były stare i ramy przeciekały. Utrzymywał on również, że toalety były oddzielone od cel jedynie niską przegrodą z płyty pilśniowej, co sprawiało, że nawet minimalny poziom prywatności dla niego był niemożliwy.</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8</w:t>
      </w:r>
      <w:r>
        <w:rPr>
          <w:noProof/>
        </w:rPr>
        <w:fldChar w:fldCharType="end"/>
      </w:r>
      <w:r w:rsidR="006D4A40" w:rsidRPr="00BC4AEC">
        <w:t>.  W dniu 21 czerwca 2011 r. Sąd Rejonowy w Szamotułach oddalił wniosek skarżącego o dopuszczenie dowodów w postaci zdjęć i przeprowadzenie na miejscu kontroli cel, o których mowa. Zamknął rozprawę i wydał wyrok, w całości oddalając roszczenie skarżącego.</w:t>
      </w:r>
    </w:p>
    <w:p w:rsidR="006D4A40" w:rsidRPr="00BC4AEC" w:rsidRDefault="006D4A40" w:rsidP="00D96353">
      <w:pPr>
        <w:pStyle w:val="ECHRPara"/>
      </w:pPr>
      <w:r w:rsidRPr="00BC4AEC">
        <w:t>Sąd ustalił, odnosząc się do dowodów przedstawionych przez Skarb Państwa, reprezentowany przez Zakład Karny we Wronkach, że więźniowie mieli dostęp do zajęć sportowych, kulturalno-oświatowych i do opieki medycznej. Byli wyposażeni w przedmioty higieny osobistej i otrzymywali odpowiednie jedzenie. Czynniki te, postrzegane jako całość, łagodziły szkody, które były nieodłączną częścią i następstwem odbywania kary pozbawienia wolności.</w:t>
      </w:r>
    </w:p>
    <w:p w:rsidR="006D4A40" w:rsidRPr="00BC4AEC" w:rsidRDefault="006D4A40" w:rsidP="00D96353">
      <w:pPr>
        <w:pStyle w:val="ECHRPara"/>
      </w:pPr>
      <w:r w:rsidRPr="00BC4AEC">
        <w:t>Sąd stwierdził ponadto, że toalety w celach skarżącego rzeczywiście były oddzielone od celi przegrodami z płyty pilśniowej. Nie gwarantowało to pełnej prywatności, ale wystarczająco zapewniało, że więźniowie byli poza zasięgiem wzroku innych, gdy korzystali z toalety. W każdej toalecie znajdowało się WC i umywalka.</w:t>
      </w:r>
    </w:p>
    <w:p w:rsidR="006D4A40" w:rsidRPr="00BC4AEC" w:rsidRDefault="006D4A40" w:rsidP="00D96353">
      <w:pPr>
        <w:pStyle w:val="ECHRPara"/>
      </w:pPr>
      <w:r w:rsidRPr="00BC4AEC">
        <w:t>W odniesieniu do zarzutów skarżącego co do niedostatecznej wentylacji i niewystarczającego ogrzewania w celi, sąd uznał, że cela była dobrze oświetlona i odpowiednio wentylowana; okna celi zostały naprawione, a grzejniki zostały wymienione i działały prawidłowo. W odniesieniu do rzekomego braku światła, sąd stwierdził, że skarżący uzyskał specjalną zgodę na korzystanie z dodatkowej lampki do czytania.</w:t>
      </w:r>
    </w:p>
    <w:p w:rsidR="006D4A40" w:rsidRPr="00BC4AEC" w:rsidRDefault="006D4A40" w:rsidP="00D96353">
      <w:pPr>
        <w:pStyle w:val="ECHRPara"/>
      </w:pPr>
      <w:r w:rsidRPr="00BC4AEC">
        <w:t>Sąd był zdania, że Skarb Państwa nie działał niezgodnie z prawem i że nie było zamiaru działania w złej wierze lub spowodowania szkody w odniesieniu do skarżącego. Z uwagi na brak bezprawności uznano, że nie doszło do naruszenia praw osobistych. W każdym razie warunki w Zakładzie Karnym we Wronkach nie były tak surowe, aby sprowadzać się do naruszenia praw osobistych.</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9</w:t>
      </w:r>
      <w:r>
        <w:rPr>
          <w:noProof/>
        </w:rPr>
        <w:fldChar w:fldCharType="end"/>
      </w:r>
      <w:r w:rsidR="006D4A40" w:rsidRPr="00BC4AEC">
        <w:t xml:space="preserve">.  Skarżący złożył apelację, twierdząc, że sąd nie ustalił prawidłowo faktów sprawy, głównie dlatego, że odmówił przeprowadzenia dowodów w postaci zdjęć, filmów lub kontroli celi. Wyrok zatem opierał się na niewystarczających ustaleniach faktycznych. Ponadto, w zakresie w jakim sąd odniósł się do ogólnych warunków, w jakich skarżący odbywał swoją karę (jakość żywności, opieka medyczna, dostęp do działań kulturalnych i </w:t>
      </w:r>
      <w:r w:rsidR="006D4A40" w:rsidRPr="00BC4AEC">
        <w:lastRenderedPageBreak/>
        <w:t>sportowych), czynniki te nie stanowiły podstawy jego roszczenia. Nie skarżył się ani na złą jakość żywności, ani na niewystarczający dostęp do zajęć kulturalnych i sportowych. Podstawa jego roszczenia była zasadniczo związana z warunkami sanitarnymi w celach oraz, w szczególności, z brakiem prywatności podczas korzystania z toalety. Ten brak prywatności został wyraźnie potwierdzony przez sąd pierwszej instancji. Skarżący powtórzył, że brak właściwego podziału między toaletami i celami stanowi naruszenie jego osobistych praw i godności. Ponadto zaznaczył, że niektóre cele w zakładzie karnym posiadają toalety, które są odpowiednio oddzielone od reszty celi zwykłymi ścianami i drzwiami.</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10</w:t>
      </w:r>
      <w:r>
        <w:rPr>
          <w:noProof/>
        </w:rPr>
        <w:fldChar w:fldCharType="end"/>
      </w:r>
      <w:r w:rsidR="006D4A40" w:rsidRPr="00BC4AEC">
        <w:t>.  Wyrokiem z dnia 6 grudnia 2011 r. Sąd Apelacyjny w Poznaniu</w:t>
      </w:r>
      <w:r w:rsidR="006D4A40" w:rsidRPr="00BC4AEC">
        <w:rPr>
          <w:rStyle w:val="Odwoanieprzypisudolnego"/>
        </w:rPr>
        <w:footnoteReference w:id="1"/>
      </w:r>
      <w:r w:rsidR="006D4A40" w:rsidRPr="00BC4AEC">
        <w:t xml:space="preserve"> oddalił apelację, w pełni akceptując ustalenia faktyczne dokonane przez sąd pierwszej instancji i ocenę prawną tego sądu tych okoliczności. W szczególności Sąd Apelacyjny </w:t>
      </w:r>
      <w:r w:rsidR="006D4A40" w:rsidRPr="00BC4AEC">
        <w:rPr>
          <w:rStyle w:val="Odwoanieprzypisudolnego"/>
        </w:rPr>
        <w:footnoteReference w:id="2"/>
      </w:r>
      <w:r w:rsidR="006D4A40" w:rsidRPr="00BC4AEC">
        <w:t xml:space="preserve"> był zdania, że niedogodności spowodowane przez sposób, w jaki w celach umieszczono toalety, a mianowicie za przegrodami z płyty pilśniowej, nie wykraczały poza normalne trudności i szkody, które były nieodłączną częścią odbywania kary pozbawienia wolności.</w:t>
      </w:r>
    </w:p>
    <w:p w:rsidR="006D4A40" w:rsidRPr="00BC4AEC" w:rsidRDefault="006D4A40" w:rsidP="00D96353">
      <w:pPr>
        <w:pStyle w:val="ECHRHeading1"/>
      </w:pPr>
      <w:r w:rsidRPr="00BC4AEC">
        <w:t>II.  WŁAŚCIWE PRAWO KRAJOWE I PRAKTYKA</w:t>
      </w:r>
    </w:p>
    <w:p w:rsidR="006D4A40" w:rsidRPr="00BC4AEC" w:rsidRDefault="001807EB" w:rsidP="00D96353">
      <w:pPr>
        <w:pStyle w:val="ECHRPara"/>
        <w:rPr>
          <w:szCs w:val="24"/>
        </w:rPr>
      </w:pPr>
      <w:r>
        <w:fldChar w:fldCharType="begin"/>
      </w:r>
      <w:r>
        <w:instrText xml:space="preserve"> SEQ level0 \*arabic </w:instrText>
      </w:r>
      <w:r>
        <w:fldChar w:fldCharType="separate"/>
      </w:r>
      <w:r w:rsidR="006D4A40">
        <w:rPr>
          <w:noProof/>
        </w:rPr>
        <w:t>11</w:t>
      </w:r>
      <w:r>
        <w:rPr>
          <w:noProof/>
        </w:rPr>
        <w:fldChar w:fldCharType="end"/>
      </w:r>
      <w:r w:rsidR="006D4A40" w:rsidRPr="00BC4AEC">
        <w:t xml:space="preserve">.  Szczegółowy opis właściwego prawa krajowego i praktyki regulującej warunki pozbawienia wolności w Polsce oraz krajowych środków odwoławczych dostępnych dla zatrzymanych, twierdzących, że warunki te są niewystarczające, znajduje się w wyrokach pilotażowych Trybunału w sprawach </w:t>
      </w:r>
      <w:r w:rsidR="006D4A40" w:rsidRPr="00BC4AEC">
        <w:rPr>
          <w:i/>
        </w:rPr>
        <w:t>Orchowski przeciwko Polsce</w:t>
      </w:r>
      <w:r w:rsidR="006D4A40" w:rsidRPr="00BC4AEC">
        <w:t xml:space="preserve"> (nr 17885/04 , § 75</w:t>
      </w:r>
      <w:r w:rsidR="006D4A40" w:rsidRPr="00BC4AEC">
        <w:noBreakHyphen/>
        <w:t xml:space="preserve">85, 22 października 2009 r.) i </w:t>
      </w:r>
      <w:r w:rsidR="006D4A40" w:rsidRPr="00BC4AEC">
        <w:rPr>
          <w:i/>
        </w:rPr>
        <w:t>Norbert Sikorski przeciwko Polsce</w:t>
      </w:r>
      <w:r w:rsidR="006D4A40" w:rsidRPr="00BC4AEC">
        <w:t xml:space="preserve"> (nr 17599/05, § 45</w:t>
      </w:r>
      <w:r w:rsidR="006D4A40" w:rsidRPr="00BC4AEC">
        <w:noBreakHyphen/>
        <w:t xml:space="preserve">88, 22 października 2009 r.). Nowsze ustalenia opisane są w decyzji Trybunału w sprawie </w:t>
      </w:r>
      <w:r w:rsidR="006D4A40" w:rsidRPr="00BC4AEC">
        <w:rPr>
          <w:i/>
        </w:rPr>
        <w:t>Łatak przeciwko Polsce</w:t>
      </w:r>
      <w:r w:rsidR="006D4A40" w:rsidRPr="00BC4AEC">
        <w:t xml:space="preserve"> (nr 52070/08, § 25-54, 12 października 2010 r.).</w:t>
      </w:r>
    </w:p>
    <w:p w:rsidR="006D4A40" w:rsidRPr="00BC4AEC" w:rsidRDefault="006D4A40" w:rsidP="00D96353">
      <w:pPr>
        <w:keepNext/>
        <w:keepLines/>
        <w:spacing w:before="720" w:after="240"/>
        <w:outlineLvl w:val="0"/>
        <w:rPr>
          <w:sz w:val="28"/>
        </w:rPr>
      </w:pPr>
      <w:r w:rsidRPr="00BC4AEC">
        <w:rPr>
          <w:sz w:val="28"/>
        </w:rPr>
        <w:t>PRAWO</w:t>
      </w:r>
    </w:p>
    <w:p w:rsidR="006D4A40" w:rsidRPr="00BC4AEC" w:rsidRDefault="006D4A40" w:rsidP="00D96353">
      <w:pPr>
        <w:pStyle w:val="ECHRHeading1"/>
      </w:pPr>
      <w:r w:rsidRPr="00BC4AEC">
        <w:t>I.  DOMNIEMANE NARUSZENIE ARTYKUŁU 3 KONWENCJI</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12</w:t>
      </w:r>
      <w:r>
        <w:rPr>
          <w:noProof/>
        </w:rPr>
        <w:fldChar w:fldCharType="end"/>
      </w:r>
      <w:r w:rsidR="006D4A40" w:rsidRPr="00BC4AEC">
        <w:t xml:space="preserve">.  Skarżący skarżył się na złe warunki sanitarne w celach, w których był osadzony w Zakładzie Karnym we Wronkach, a w szczególności </w:t>
      </w:r>
      <w:r w:rsidR="006D4A40" w:rsidRPr="00BC4AEC">
        <w:lastRenderedPageBreak/>
        <w:t>skarżył się, że toalety nie były odpowiednio oddzielone od reszty celi. Powołał się on na art. 3 Konwencji, który brzmi następująco:</w:t>
      </w:r>
    </w:p>
    <w:p w:rsidR="006D4A40" w:rsidRPr="00BC4AEC" w:rsidRDefault="006D4A40" w:rsidP="00D96353">
      <w:pPr>
        <w:spacing w:before="120" w:after="120"/>
        <w:ind w:left="425" w:firstLine="142"/>
        <w:rPr>
          <w:sz w:val="20"/>
        </w:rPr>
      </w:pPr>
      <w:r w:rsidRPr="00BC4AEC">
        <w:rPr>
          <w:sz w:val="20"/>
        </w:rPr>
        <w:t>„Nikt nie może być poddany torturom ani nieludzkiemu lub poniżającemu traktowaniu albo karaniu.“</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13</w:t>
      </w:r>
      <w:r>
        <w:rPr>
          <w:noProof/>
        </w:rPr>
        <w:fldChar w:fldCharType="end"/>
      </w:r>
      <w:r w:rsidR="006D4A40" w:rsidRPr="00BC4AEC">
        <w:t>.  Rząd zakwestionował ten argument.</w:t>
      </w:r>
    </w:p>
    <w:p w:rsidR="006D4A40" w:rsidRPr="00BC4AEC" w:rsidRDefault="006D4A40" w:rsidP="00D96353">
      <w:pPr>
        <w:pStyle w:val="ECHRHeading2"/>
      </w:pPr>
      <w:r w:rsidRPr="00BC4AEC">
        <w:t>A.  Dopuszczalność skargi</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14</w:t>
      </w:r>
      <w:r>
        <w:rPr>
          <w:noProof/>
        </w:rPr>
        <w:fldChar w:fldCharType="end"/>
      </w:r>
      <w:r w:rsidR="006D4A40" w:rsidRPr="00BC4AEC">
        <w:t>.  Trybunał stwierdza, że niniejsza skarga nie jest oczywiście bezzasadna w znaczeniu art. 35 § 3 lit. a) Konwencji. W dalszej kolejności zauważa także, że nie można jej uznać za niedopuszczalną na jakichkolwiek innych podstawach. W związku z tym musi być uznana za dopuszczalną.</w:t>
      </w:r>
    </w:p>
    <w:p w:rsidR="006D4A40" w:rsidRPr="00BC4AEC" w:rsidRDefault="006D4A40" w:rsidP="00D96353">
      <w:pPr>
        <w:pStyle w:val="ECHRHeading2"/>
      </w:pPr>
      <w:r w:rsidRPr="00BC4AEC">
        <w:t>B.  Meritum sprawy</w:t>
      </w:r>
    </w:p>
    <w:p w:rsidR="006D4A40" w:rsidRPr="00BC4AEC" w:rsidRDefault="006D4A40" w:rsidP="00D96353">
      <w:pPr>
        <w:pStyle w:val="ECHRHeading3"/>
      </w:pPr>
      <w:r w:rsidRPr="00BC4AEC">
        <w:t>1.  Twierdzenia stron</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15</w:t>
      </w:r>
      <w:r>
        <w:rPr>
          <w:noProof/>
        </w:rPr>
        <w:fldChar w:fldCharType="end"/>
      </w:r>
      <w:r w:rsidR="006D4A40" w:rsidRPr="00BC4AEC">
        <w:t xml:space="preserve">.  Skarżący twierdził, że był ofiarą poniżającego traktowania w Zakładzie Karnym we Wronkach z powodu złych warunków sanitarnych w celach, gdzie odbywał karę pozbawienia wolności. Toalety nie były odpowiednio oddzielone od cel. Jedyne oddzielenie składało się z przegrody z płyty pilśniowej o wysokości </w:t>
      </w:r>
      <w:smartTag w:uri="urn:schemas-microsoft-com:office:smarttags" w:element="metricconverter">
        <w:smartTagPr>
          <w:attr w:name="ProductID" w:val="120 cm"/>
        </w:smartTagPr>
        <w:r w:rsidR="006D4A40" w:rsidRPr="00BC4AEC">
          <w:t>120 cm</w:t>
        </w:r>
      </w:smartTag>
      <w:r w:rsidR="006D4A40" w:rsidRPr="00BC4AEC">
        <w:t xml:space="preserve"> bez drzwi, która nie zapewniała nawet minimalnego poziomu prywatności i naruszała jego prawo do godności jego osoby.</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16</w:t>
      </w:r>
      <w:r>
        <w:rPr>
          <w:noProof/>
        </w:rPr>
        <w:fldChar w:fldCharType="end"/>
      </w:r>
      <w:r w:rsidR="006D4A40" w:rsidRPr="00BC4AEC">
        <w:t>.  Rząd twierdził, że skarżący przebywał w Zakładzie Karnym we Wronkach pomiędzy 31 marca 2010 r. i 6 grudnia 2011 r. W tym okresie był umieszczany w dziesięciu różnych celach. Żadna z cel nie była przepełniona. Wszystkie cele posiadały wentylację i okna, które można było otworzyć. Wentylacja była sprawdzana co cztery miesiące. Jeżeli chodzi o ogrzewanie, Rząd stwierdził, że system ogrzewania w Zakładzie Karnym we Wronkach był automatyczny i że temperatura w celach zależała od temperatury powietrza na zewnątrz. Cele były zatem odpowiednio wentylowane i ogrzewane. Twierdził też, że na wniosek skarżącego okna zostały uszczelnione, a grzejniki wymienione na nowe. Otrzymał on również pozwolenie na korzystanie z dodatkowej lampki do czytania, otrzymał przedmioty higieny osobistej przewidziane przez prawo krajowe i miał stały dostęp do bieżącej wody z kranu.</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17</w:t>
      </w:r>
      <w:r>
        <w:rPr>
          <w:noProof/>
        </w:rPr>
        <w:fldChar w:fldCharType="end"/>
      </w:r>
      <w:r w:rsidR="006D4A40" w:rsidRPr="00BC4AEC">
        <w:t>.  Rząd przyznał, że w siedmiu spośród dziesięciu cel, w których osadzony był skarżący toaleta była oddzielona od reszty celi przegrodą z płyty pilśniowej bez drzwi. W pozostałych trzech celach, w których skarżący został osadzony w Zakładzie Karnym, toalety były w pełni oddzielone.</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18</w:t>
      </w:r>
      <w:r>
        <w:rPr>
          <w:noProof/>
        </w:rPr>
        <w:fldChar w:fldCharType="end"/>
      </w:r>
      <w:r w:rsidR="006D4A40" w:rsidRPr="00BC4AEC">
        <w:t xml:space="preserve">.  Wreszcie Rząd stwierdzał, że skarżący mógł opuszczać swoją celę w celu uczestniczenia w różnych działaniach organizowanych w Zakładzie </w:t>
      </w:r>
      <w:r w:rsidR="006D4A40" w:rsidRPr="00BC4AEC">
        <w:lastRenderedPageBreak/>
        <w:t>Karnym, takich jak gra w siatkówkę i koszykówkę. Mógł również brać udział w zajęciach kulturalno-oświatowych i miał dostęp do biblioteki i pokoju dziennego z telewizorem.</w:t>
      </w:r>
    </w:p>
    <w:p w:rsidR="006D4A40" w:rsidRPr="00BC4AEC" w:rsidRDefault="006D4A40" w:rsidP="00D96353">
      <w:pPr>
        <w:pStyle w:val="ECHRHeading3"/>
      </w:pPr>
      <w:r w:rsidRPr="00BC4AEC">
        <w:t>2.  Ocena Trybunału</w:t>
      </w:r>
    </w:p>
    <w:p w:rsidR="006D4A40" w:rsidRPr="00BC4AEC" w:rsidRDefault="006D4A40" w:rsidP="00D96353">
      <w:pPr>
        <w:pStyle w:val="ECHRHeading4"/>
      </w:pPr>
      <w:r w:rsidRPr="00BC4AEC">
        <w:t>a)  Zasady ogólne</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19</w:t>
      </w:r>
      <w:r>
        <w:rPr>
          <w:noProof/>
        </w:rPr>
        <w:fldChar w:fldCharType="end"/>
      </w:r>
      <w:r w:rsidR="006D4A40" w:rsidRPr="00BC4AEC">
        <w:t xml:space="preserve">.  Trybunał przypomina, że art. 3 gwarantuje jedną z najbardziej podstawowych wartości społeczeństw demokratycznych. Konwencja zakazuje bezwzględnie tortur i nieludzkiego lub poniżającego traktowania lub karania, niezależnie od zachowania ofiary (zobacz </w:t>
      </w:r>
      <w:r w:rsidR="006D4A40" w:rsidRPr="00BC4AEC">
        <w:rPr>
          <w:i/>
        </w:rPr>
        <w:t>Labita przeciwko Włochom</w:t>
      </w:r>
      <w:r w:rsidR="006D4A40" w:rsidRPr="00BC4AEC">
        <w:t xml:space="preserve"> [Wielka Izba], nr 26772/95, § 119, ETPC 2000</w:t>
      </w:r>
      <w:r w:rsidR="006D4A40" w:rsidRPr="00BC4AEC">
        <w:noBreakHyphen/>
        <w:t>IV).</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20</w:t>
      </w:r>
      <w:r>
        <w:rPr>
          <w:noProof/>
        </w:rPr>
        <w:fldChar w:fldCharType="end"/>
      </w:r>
      <w:r w:rsidR="006D4A40" w:rsidRPr="00BC4AEC">
        <w:t xml:space="preserve">.  Jak Trybunał przypominał w wielu przypadkach, nieludzkie lub poniżające traktowanie musi osiągnąć minimalny poziom surowości, jeśli ma być objęte zakresem art. 3 Konwencji. Ocena tego minimalnego poziomu surowości jest względna; zależy od wszystkich okoliczności sprawy, takich jak czas trwania takiego traktowania, jego skutki fizyczne i psychiczne oraz, w niektórych przypadkach, płeć, wiek i stan zdrowia ofiary. Ponadto, rozważając, czy traktowanie jest „poniżające“ w rozumieniu art. 3, Trybunał weźmie pod uwagę, czy jego celem jest upokorzenie i upodlenie danej osoby oraz, jeśli chodzi o konsekwencje, czy wpływa niekorzystnie na jej osobowość w sposób niezgodny z art. 3. Chociaż pytanie, czy celem traktowania było upokorzenie i upodlenie ofiary jest czynnikiem, który należy wziąć pod uwagę, brak takiego celu nie może jednoznacznie wykluczyć stwierdzenia naruszenia art. 3 (zobacz </w:t>
      </w:r>
      <w:r w:rsidR="006D4A40" w:rsidRPr="00BC4AEC">
        <w:rPr>
          <w:i/>
        </w:rPr>
        <w:t>Peers przeciwko Grecji</w:t>
      </w:r>
      <w:r w:rsidR="006D4A40" w:rsidRPr="00BC4AEC">
        <w:t xml:space="preserve">, nr 28524/95, § 67-68 i 74, ETPC 2001-III oraz </w:t>
      </w:r>
      <w:r w:rsidR="006D4A40" w:rsidRPr="00BC4AEC">
        <w:rPr>
          <w:i/>
        </w:rPr>
        <w:t>Valašinas przeciwko Litwie</w:t>
      </w:r>
      <w:r w:rsidR="006D4A40" w:rsidRPr="00BC4AEC">
        <w:t>, nr 44558/98, § 101, ETPC 2001</w:t>
      </w:r>
      <w:r w:rsidR="006D4A40" w:rsidRPr="00BC4AEC">
        <w:noBreakHyphen/>
        <w:t>VIII).</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21</w:t>
      </w:r>
      <w:r>
        <w:rPr>
          <w:noProof/>
        </w:rPr>
        <w:fldChar w:fldCharType="end"/>
      </w:r>
      <w:r w:rsidR="006D4A40" w:rsidRPr="00BC4AEC">
        <w:t>.  Środki pozbawiające daną osobę wolności mogą często obejmować nieunikniony element cierpienia i poniżenia. Niemniej jednak poziom cierpienia i upokorzenia nie może wykraczać poza to, co jest nieuchronnie związane z daną formą zgodnego z prawem traktowania lub karania.</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22</w:t>
      </w:r>
      <w:r>
        <w:rPr>
          <w:noProof/>
        </w:rPr>
        <w:fldChar w:fldCharType="end"/>
      </w:r>
      <w:r w:rsidR="006D4A40" w:rsidRPr="00BC4AEC">
        <w:t xml:space="preserve">.  W kontekście więźniów Trybunał podkreślił, że osoba pozbawiona wolności nie traci, przez sam fakt swego uwięzienia, ochrony swych praw gwarantowanych przez Konwencję. Wręcz przeciwnie, osoby pozbawione wolności znajdują się w trudnej sytuacji, a władze mają obowiązek je chronić. Zgodnie z art. 3 państwo musi upewnić się, że dana osoba jest osadzona w warunkach, które są zgodne z poszanowaniem jej godności ludzkiej, że sposób wykonywania tej kary nie naraża jej na cierpienie i trudności, których intensywność nie przekracza nieuniknionego poziomu cierpienia stanowiącego nieodłączną część pozbawiania wolności oraz, biorąc pod uwagę praktyczne wymogi tej kary, że jej zdrowie i dobre samopoczucie są odpowiednio zabezpieczone (zobacz sprawę </w:t>
      </w:r>
      <w:r w:rsidR="006D4A40" w:rsidRPr="00BC4AEC">
        <w:rPr>
          <w:i/>
        </w:rPr>
        <w:t>Valašinas</w:t>
      </w:r>
      <w:r w:rsidR="006D4A40" w:rsidRPr="00BC4AEC">
        <w:t xml:space="preserve">, cytowaną powyżej, § 102, oraz </w:t>
      </w:r>
      <w:r w:rsidR="006D4A40" w:rsidRPr="00BC4AEC">
        <w:rPr>
          <w:i/>
        </w:rPr>
        <w:t>Kudła przeciwko Polsce</w:t>
      </w:r>
      <w:r w:rsidR="006D4A40" w:rsidRPr="00BC4AEC">
        <w:t xml:space="preserve"> [Wielka Izba], nr 30210/96, § 94, ETPC 2000-XI).</w:t>
      </w:r>
    </w:p>
    <w:p w:rsidR="006D4A40" w:rsidRPr="00BC4AEC" w:rsidRDefault="001807EB" w:rsidP="00D96353">
      <w:pPr>
        <w:pStyle w:val="ECHRPara"/>
      </w:pPr>
      <w:r>
        <w:lastRenderedPageBreak/>
        <w:fldChar w:fldCharType="begin"/>
      </w:r>
      <w:r>
        <w:instrText xml:space="preserve"> SEQ level0 \*arabic </w:instrText>
      </w:r>
      <w:r>
        <w:fldChar w:fldCharType="separate"/>
      </w:r>
      <w:r w:rsidR="006D4A40">
        <w:rPr>
          <w:noProof/>
        </w:rPr>
        <w:t>23</w:t>
      </w:r>
      <w:r>
        <w:rPr>
          <w:noProof/>
        </w:rPr>
        <w:fldChar w:fldCharType="end"/>
      </w:r>
      <w:r w:rsidR="006D4A40" w:rsidRPr="00BC4AEC">
        <w:t xml:space="preserve">.  Oceniając warunki izolacji więziennej należy wziąć pod uwagę łączne skutki tych warunków, a także konkretne zarzuty wysuwane przez skarżącego (zobacz </w:t>
      </w:r>
      <w:r w:rsidR="006D4A40" w:rsidRPr="00BC4AEC">
        <w:rPr>
          <w:i/>
        </w:rPr>
        <w:t>Dougoz przeciwko Grecji</w:t>
      </w:r>
      <w:r w:rsidR="006D4A40" w:rsidRPr="00BC4AEC">
        <w:t xml:space="preserve">, nr 40907/98, § 46, ETPC, 2001-II). Należy również uwzględnić długość okresu, w jakim dana osoba jest osadzona w konkretnych warunkach (zobacz, między innymi, </w:t>
      </w:r>
      <w:r w:rsidR="006D4A40" w:rsidRPr="00BC4AEC">
        <w:rPr>
          <w:i/>
        </w:rPr>
        <w:t>Alver przeciwko Estonii</w:t>
      </w:r>
      <w:r w:rsidR="006D4A40" w:rsidRPr="00BC4AEC">
        <w:t>, nr 64812/01, 8 listopada 2005 r.).</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24</w:t>
      </w:r>
      <w:r>
        <w:rPr>
          <w:noProof/>
        </w:rPr>
        <w:fldChar w:fldCharType="end"/>
      </w:r>
      <w:r w:rsidR="006D4A40" w:rsidRPr="00BC4AEC">
        <w:t xml:space="preserve">.  W kontekście warunków więziennych Trybunał wielokrotnie stwierdzał naruszenie art. 3 Konwencji w sprawach, które obejmowały przepełnienie cel więziennych (zobacz, między innymi, </w:t>
      </w:r>
      <w:r w:rsidR="006D4A40" w:rsidRPr="00BC4AEC">
        <w:rPr>
          <w:i/>
        </w:rPr>
        <w:t>Lind przeciwko Rosji</w:t>
      </w:r>
      <w:r w:rsidR="006D4A40" w:rsidRPr="00BC4AEC">
        <w:t xml:space="preserve">, nr 25664/05, § 59, 6 grudnia 2007 r., oraz sprawę </w:t>
      </w:r>
      <w:r w:rsidR="006D4A40" w:rsidRPr="00BC4AEC">
        <w:rPr>
          <w:i/>
        </w:rPr>
        <w:t>Orchowski</w:t>
      </w:r>
      <w:r w:rsidR="006D4A40" w:rsidRPr="00BC4AEC">
        <w:t>, cytowaną powyżej, § 135). Jednak w innych przypadkach, gdy przeludnienie nie było tak poważne, aby samo w sobie stanowiło problem na mocy art. 3 Konwencji, Trybunał zwrócił uwagę na inne aspekty fizycznych warunków zatrzymania, jako istotne dla oceny zgodności z tym przepisem. Elementy te obejmowały w szczególności dostępność wentylacji, dostęp do naturalnego światła i powietrza, odpowiedniość rozwiązań związanych z ogrzewaniem, przestrzeganie podstawowych wymogów sanitarnych oraz możliwość prywatnego korzystania z toalety. Tak więc nawet w przypadkach, gdy przedmiotem sporu była większa cela – o wymiarach od 3 do 4 m</w:t>
      </w:r>
      <w:r w:rsidR="006D4A40" w:rsidRPr="00BC4AEC">
        <w:rPr>
          <w:vertAlign w:val="superscript"/>
        </w:rPr>
        <w:t>2</w:t>
      </w:r>
      <w:r w:rsidR="006D4A40" w:rsidRPr="00BC4AEC">
        <w:t xml:space="preserve"> na więźnia – Trybunał stwierdził naruszenie art. 3, ponieważ czynnik przestrzeni łączył się z ustalonym brakiem wentylacji i oświetlenia (zobacz, na przykład, </w:t>
      </w:r>
      <w:r w:rsidR="006D4A40" w:rsidRPr="00BC4AEC">
        <w:rPr>
          <w:i/>
        </w:rPr>
        <w:t>Babushkin przeciwko Rosji</w:t>
      </w:r>
      <w:r w:rsidR="006D4A40" w:rsidRPr="00BC4AEC">
        <w:t xml:space="preserve">, nr 67253/01, § 44, 18 października 2007 r.; </w:t>
      </w:r>
      <w:r w:rsidR="006D4A40" w:rsidRPr="00BC4AEC">
        <w:rPr>
          <w:i/>
        </w:rPr>
        <w:t>Ostrovar przeciwko Mołdawii</w:t>
      </w:r>
      <w:r w:rsidR="006D4A40" w:rsidRPr="00BC4AEC">
        <w:t xml:space="preserve">, nr 35207/03, § 89, 13 września 2005 r.; oraz sprawę </w:t>
      </w:r>
      <w:r w:rsidR="006D4A40" w:rsidRPr="00BC4AEC">
        <w:rPr>
          <w:i/>
        </w:rPr>
        <w:t>Peers</w:t>
      </w:r>
      <w:r w:rsidR="006D4A40" w:rsidRPr="00BC4AEC">
        <w:t xml:space="preserve">, cytowaną powyżej, §§ 70-72) albo z brakiem podstawowej prywatności w codziennym życiu zatrzymanego (zobacz, mutatis mutandis, </w:t>
      </w:r>
      <w:r w:rsidR="006D4A40" w:rsidRPr="00BC4AEC">
        <w:rPr>
          <w:i/>
        </w:rPr>
        <w:t>Belevitskiy przeciwko Rosji</w:t>
      </w:r>
      <w:r w:rsidR="006D4A40" w:rsidRPr="00BC4AEC">
        <w:t xml:space="preserve">, nr 72967/01, § 73-79, 1 marca 2007 r.; sprawę </w:t>
      </w:r>
      <w:r w:rsidR="006D4A40" w:rsidRPr="00BC4AEC">
        <w:rPr>
          <w:i/>
        </w:rPr>
        <w:t>Valašinas</w:t>
      </w:r>
      <w:r w:rsidR="006D4A40" w:rsidRPr="00BC4AEC">
        <w:t xml:space="preserve">, cytowaną powyżej, § 104; </w:t>
      </w:r>
      <w:r w:rsidR="006D4A40" w:rsidRPr="00BC4AEC">
        <w:rPr>
          <w:i/>
        </w:rPr>
        <w:t>Khudoyorov</w:t>
      </w:r>
      <w:r w:rsidR="006D4A40" w:rsidRPr="00BC4AEC">
        <w:t xml:space="preserve">, nr 6847/02, § 106-107, ETPC 2005-X (fragmenty), oraz </w:t>
      </w:r>
      <w:r w:rsidR="006D4A40" w:rsidRPr="00BC4AEC">
        <w:rPr>
          <w:i/>
        </w:rPr>
        <w:t>Novoselov przeciwko Rosji</w:t>
      </w:r>
      <w:r w:rsidR="006D4A40" w:rsidRPr="00BC4AEC">
        <w:t>, nr 66460/01, § 32, 40-43, 2 czerwca 2005 r.).</w:t>
      </w:r>
    </w:p>
    <w:p w:rsidR="006D4A40" w:rsidRPr="00BC4AEC" w:rsidRDefault="006D4A40" w:rsidP="00D96353">
      <w:pPr>
        <w:pStyle w:val="ECHRHeading4"/>
      </w:pPr>
      <w:r w:rsidRPr="00BC4AEC">
        <w:t>b)  Zastosowanie powyższych zasad w przedmiotowej sprawie</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25</w:t>
      </w:r>
      <w:r>
        <w:rPr>
          <w:noProof/>
        </w:rPr>
        <w:fldChar w:fldCharType="end"/>
      </w:r>
      <w:r w:rsidR="006D4A40" w:rsidRPr="00BC4AEC">
        <w:t>.  Wracając do okoliczności niniejszej sprawy, Trybunał zauważa, że skarżący przebywał w Zakładzie Karnym we Wronkach od 31 marca 2010 r. do 6 grudnia 2011 r., czyli przez rok i osiem miesięcy. W tym czasie był umieszczany w dziesięciu różnych celach, z czego w trzech z nich urządzenia sanitarne były całkowicie oddzielone od pozostałej części celi (patrz punkt 17 powyżej).</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26</w:t>
      </w:r>
      <w:r>
        <w:rPr>
          <w:noProof/>
        </w:rPr>
        <w:fldChar w:fldCharType="end"/>
      </w:r>
      <w:r w:rsidR="006D4A40" w:rsidRPr="00BC4AEC">
        <w:t xml:space="preserve">.  Zarzuty skarżącego w kwestii niedostatecznej wentylacji i ogrzewania oraz braku światła w celach, w których był trzymany nie zostały potwierdzone w postępowaniu przed sądami krajowymi (patrz punkt 8 powyżej), które rozpatrywały jego roszczenie o naruszenie osobistych praw. Sądy potwierdziły jednak, że urządzenia sanitarne znajdujące się przy </w:t>
      </w:r>
      <w:r w:rsidR="006D4A40" w:rsidRPr="00BC4AEC">
        <w:lastRenderedPageBreak/>
        <w:t>wejściu do celi były rzeczywiście oddzielone od reszty celi jedynie przegrodą z płyty pilśniowej, bez drzwi (patrz punkty 8 i 16 powyżej).</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27</w:t>
      </w:r>
      <w:r>
        <w:rPr>
          <w:noProof/>
        </w:rPr>
        <w:fldChar w:fldCharType="end"/>
      </w:r>
      <w:r w:rsidR="006D4A40" w:rsidRPr="00BC4AEC">
        <w:t xml:space="preserve">.  Trybunał zauważa, że w poprzednich sprawach, gdy przedmiotem sporu było niewystarczające oddzielenie urządzeń sanitarnych od reszty celi, występowały inne czynniki obciążające i tylko ich łączny efekt pozwolił na stwierdzenie naruszenia art. 3 Konwencji (zobacz </w:t>
      </w:r>
      <w:r w:rsidR="006D4A40" w:rsidRPr="00BC4AEC">
        <w:rPr>
          <w:i/>
        </w:rPr>
        <w:t>Canali przeciwko Francji</w:t>
      </w:r>
      <w:r w:rsidR="006D4A40" w:rsidRPr="00BC4AEC">
        <w:t xml:space="preserve">, nr 40119/09, § 52-53, 25 kwietnia 2013 r., oraz sprawę </w:t>
      </w:r>
      <w:r w:rsidR="006D4A40" w:rsidRPr="00BC4AEC">
        <w:rPr>
          <w:i/>
        </w:rPr>
        <w:t>Peers</w:t>
      </w:r>
      <w:r w:rsidR="006D4A40" w:rsidRPr="00BC4AEC">
        <w:t>, cytowaną powyżej, § 73). Natomiast w niniejszej sprawie, jak wynika z uwag Rządu potwierdzonych ustaleniami dokonanymi przez sądy krajowe, jedynymi trudnościami, jakie skarżący musiał znosić było niewystarczające oddzielenie urządzeń sanitarnych od reszty celi. Oprócz tego cele były odpowiednio oświetlone, ogrzewane i wentylowane. Skarżący miał również dostęp do różnych zajęć poza celą (patrz punkty 8 i 16 powyżej).</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28</w:t>
      </w:r>
      <w:r>
        <w:rPr>
          <w:noProof/>
        </w:rPr>
        <w:fldChar w:fldCharType="end"/>
      </w:r>
      <w:r w:rsidR="006D4A40" w:rsidRPr="00BC4AEC">
        <w:t>.  Biorąc powyższe pod uwagę Trybunał uważa, że nie można uznać, że ogólne okoliczności zatrzymania skarżącego w Zakładzie Karnym we Wronkach spowodowały cierpienie i trudności, które wykraczały poza nieunikniony poziom cierpienia właściwego dla aresztu lub wykraczały poza próg surowości na podstawie art. 3 Konwencji.</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29</w:t>
      </w:r>
      <w:r>
        <w:rPr>
          <w:noProof/>
        </w:rPr>
        <w:fldChar w:fldCharType="end"/>
      </w:r>
      <w:r w:rsidR="006D4A40" w:rsidRPr="00BC4AEC">
        <w:t>.  W związku z tym w niniejszej sprawie nie doszło do naruszenia tego postanowienia.</w:t>
      </w:r>
    </w:p>
    <w:p w:rsidR="006D4A40" w:rsidRPr="00BC4AEC" w:rsidRDefault="006D4A40" w:rsidP="00D96353">
      <w:pPr>
        <w:pStyle w:val="ECHRHeading1"/>
      </w:pPr>
      <w:r w:rsidRPr="00BC4AEC">
        <w:t>II.  DOMNIEMANE NARUSZENIE ARTYKUŁU 8 KONWENCJI</w:t>
      </w:r>
    </w:p>
    <w:p w:rsidR="006D4A40" w:rsidRPr="00BC4AEC" w:rsidRDefault="006D4A40" w:rsidP="00D96353">
      <w:pPr>
        <w:pStyle w:val="ECHRHeading2"/>
      </w:pPr>
      <w:r w:rsidRPr="00BC4AEC">
        <w:t>A.  Dopuszczalność skargi</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30</w:t>
      </w:r>
      <w:r>
        <w:rPr>
          <w:noProof/>
        </w:rPr>
        <w:fldChar w:fldCharType="end"/>
      </w:r>
      <w:r w:rsidR="006D4A40" w:rsidRPr="00BC4AEC">
        <w:t>.  Skarżący zarzucał, że okoliczności niniejszej sprawy stanowiły naruszenie art. 8 Konwencji, który w odpowiednim zakresie brzmi następująco:</w:t>
      </w:r>
    </w:p>
    <w:p w:rsidR="006D4A40" w:rsidRPr="00BC4AEC" w:rsidRDefault="006D4A40" w:rsidP="00D96353">
      <w:pPr>
        <w:pStyle w:val="ECHRParaQuote"/>
      </w:pPr>
      <w:r w:rsidRPr="00BC4AEC">
        <w:t>„1. Każdy ma prawo do poszanowania swojego życia prywatnego (...).</w:t>
      </w:r>
    </w:p>
    <w:p w:rsidR="006D4A40" w:rsidRPr="00BC4AEC" w:rsidRDefault="006D4A40" w:rsidP="00D96353">
      <w:pPr>
        <w:pStyle w:val="ECHRParaQuote"/>
      </w:pPr>
      <w:r w:rsidRPr="00BC4AEC">
        <w:t>2. Niedopuszczalna jest ingerencja władzy publicznej w korzystanie z tego prawa z wyjątkiem przypadków przewidzianych przez ustawę i koniecznych w demokratycznym społeczeństwie z uwagi na bezpieczeństwo narodowe, bezpieczeństwo publiczne lub dobrobyt gospodarczy kraju, ochronę porządku i zapobieganie przestępstwom, ochronę zdrowia i moralności lub ochronę praw i wolności osób.“</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31</w:t>
      </w:r>
      <w:r>
        <w:rPr>
          <w:noProof/>
        </w:rPr>
        <w:fldChar w:fldCharType="end"/>
      </w:r>
      <w:r w:rsidR="006D4A40" w:rsidRPr="00BC4AEC">
        <w:t xml:space="preserve">.  Skarżący utrzymywał, że urządzenia sanitarne były oddzielone od reszty celi jedynie przegrodą z płyty pilśniowej o wysokości 1,20 m, bez drzwi. Prosił, aby władze Zakładu Karnego zapewniły przynajmniej zasłonę, aby oddzielić urządzenia sanitarne od reszty celi w sposób, który zapewniłby minimum prywatności. Jego prośby zostały jednak odrzucone ze względu na fakt, że prawo krajowe nie zawierało szczególnych </w:t>
      </w:r>
      <w:r w:rsidR="006D4A40" w:rsidRPr="00BC4AEC">
        <w:lastRenderedPageBreak/>
        <w:t>przepisów związanych ze sposobem, w jaki powinno się oddzielać urządzenia sanitarne od reszty celi.</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32</w:t>
      </w:r>
      <w:r>
        <w:rPr>
          <w:noProof/>
        </w:rPr>
        <w:fldChar w:fldCharType="end"/>
      </w:r>
      <w:r w:rsidR="006D4A40" w:rsidRPr="00BC4AEC">
        <w:t>.  Rząd nie skomentował tych twierdzeń. Uważał jednak, że nawet jeśli urządzenia sanitarne rzeczywiście nie były całkowicie oddzielone od reszty celi, zapewniono skarżącemu odpowiedni stopień prywatności.</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33</w:t>
      </w:r>
      <w:r>
        <w:rPr>
          <w:noProof/>
        </w:rPr>
        <w:fldChar w:fldCharType="end"/>
      </w:r>
      <w:r w:rsidR="006D4A40" w:rsidRPr="00BC4AEC">
        <w:t>.  Trybunał zauważa, że skarga ta jest związana ze skargą rozpatrywaną powyżej i dlatego musi również zostać uznana za dopuszczalną.</w:t>
      </w:r>
    </w:p>
    <w:p w:rsidR="006D4A40" w:rsidRPr="00BC4AEC" w:rsidRDefault="006D4A40" w:rsidP="00D96353">
      <w:pPr>
        <w:pStyle w:val="ECHRHeading2"/>
      </w:pPr>
      <w:r w:rsidRPr="00BC4AEC">
        <w:t>B.  Meritum sprawy</w:t>
      </w:r>
    </w:p>
    <w:p w:rsidR="006D4A40" w:rsidRPr="00BC4AEC" w:rsidRDefault="006D4A40" w:rsidP="00D96353">
      <w:pPr>
        <w:pStyle w:val="ECHRHeading3"/>
      </w:pPr>
      <w:r w:rsidRPr="00BC4AEC">
        <w:t>1.  Zasady ogólne</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34</w:t>
      </w:r>
      <w:r>
        <w:rPr>
          <w:noProof/>
        </w:rPr>
        <w:fldChar w:fldCharType="end"/>
      </w:r>
      <w:r w:rsidR="006D4A40" w:rsidRPr="00BC4AEC">
        <w:t xml:space="preserve">.  Trybunał przypomina, że nawet jeśli środek jest daleki od traktowania zakazanego przez art. 3, może naruszać art. 8 Konwencji (patrz, w innym kontekście faktycznym, </w:t>
      </w:r>
      <w:r w:rsidR="006D4A40" w:rsidRPr="00BC4AEC">
        <w:rPr>
          <w:i/>
        </w:rPr>
        <w:t>Wainwright przeciwko Zjednoczonemu Królestwu</w:t>
      </w:r>
      <w:r w:rsidR="006D4A40" w:rsidRPr="00BC4AEC">
        <w:t>, nr 12350/04, § 43, ETPC 2006-X).</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35</w:t>
      </w:r>
      <w:r>
        <w:rPr>
          <w:noProof/>
        </w:rPr>
        <w:fldChar w:fldCharType="end"/>
      </w:r>
      <w:r w:rsidR="006D4A40" w:rsidRPr="00BC4AEC">
        <w:t xml:space="preserve">.  Więźniowie na ogół nadal korzystają ze wszystkich podstawowych praw i wolności zagwarantowanych w Konwencji, z wyjątkiem prawa do wolności, gdy pozbawienie wolności nałożone zgodnie z prawem wyraźnie wchodzi w zakres art. 5 Konwencji (zobacz </w:t>
      </w:r>
      <w:r w:rsidR="006D4A40" w:rsidRPr="00BC4AEC">
        <w:rPr>
          <w:i/>
        </w:rPr>
        <w:t>Hirst przeciwko Zjednoczonemu Królestwu</w:t>
      </w:r>
      <w:r w:rsidR="006D4A40" w:rsidRPr="00BC4AEC">
        <w:t xml:space="preserve"> (nr 2) [Wielka Izba], nr 74025/01, § 69, ETPC 2005-IX).</w:t>
      </w:r>
    </w:p>
    <w:p w:rsidR="006D4A40" w:rsidRPr="00BC4AEC" w:rsidRDefault="001807EB" w:rsidP="00D96353">
      <w:pPr>
        <w:pStyle w:val="ECHRPara"/>
        <w:rPr>
          <w:szCs w:val="24"/>
        </w:rPr>
      </w:pPr>
      <w:r>
        <w:fldChar w:fldCharType="begin"/>
      </w:r>
      <w:r>
        <w:instrText xml:space="preserve"> SEQ level0 \*arabic </w:instrText>
      </w:r>
      <w:r>
        <w:fldChar w:fldCharType="separate"/>
      </w:r>
      <w:r w:rsidR="006D4A40">
        <w:rPr>
          <w:noProof/>
        </w:rPr>
        <w:t>36</w:t>
      </w:r>
      <w:r>
        <w:rPr>
          <w:noProof/>
        </w:rPr>
        <w:fldChar w:fldCharType="end"/>
      </w:r>
      <w:r w:rsidR="006D4A40" w:rsidRPr="00BC4AEC">
        <w:t xml:space="preserve">.  Mimo, że celem art. 8 zasadniczo jest ochrona jednostki przed arbitralną ingerencją władz publicznych, nie zmusza on państwa jedynie do powstrzymania się od takiej ingerencji. Poza tym przede wszystkim negatywnym zobowiązaniem, mogą również istnieć pozytywne obowiązki właściwe dla zapewnienia, że poszanowanie życia prywatnego i rodzinnego jest skuteczne. Obowiązki te mogą obejmować przyjmowanie środków mających na celu zapewnienie poszanowania życia prywatnego i rodzinnego, nawet w sferze relacji między poszczególnymi osobami. Granice między pozytywnymi i negatywnymi obowiązkami państwa na mocy art. 8 nie poddają się precyzyjnej definicji. Niemniej jednak stosowne zasady są podobne. W szczególności w obu przypadkach należy mieć wzgląd na zachowanie właściwej równowagi pomiędzy konkurencyjnymi interesami (zobacz </w:t>
      </w:r>
      <w:r w:rsidR="006D4A40" w:rsidRPr="00BC4AEC">
        <w:rPr>
          <w:i/>
        </w:rPr>
        <w:t>Odièvre przeciwko Francji</w:t>
      </w:r>
      <w:r w:rsidR="006D4A40" w:rsidRPr="00BC4AEC">
        <w:t xml:space="preserve"> [Wielka Izba], nr 42326/98, § 40, ETPC 2003</w:t>
      </w:r>
      <w:r w:rsidR="006D4A40" w:rsidRPr="00BC4AEC">
        <w:noBreakHyphen/>
        <w:t xml:space="preserve">III, oraz </w:t>
      </w:r>
      <w:r w:rsidR="006D4A40" w:rsidRPr="00BC4AEC">
        <w:rPr>
          <w:i/>
        </w:rPr>
        <w:t>Evans przeciwko Zjednoczonemu Królestwu</w:t>
      </w:r>
      <w:r w:rsidR="006D4A40" w:rsidRPr="00BC4AEC">
        <w:t xml:space="preserve"> [Wielka Izba], nr 6339/05, § 75, ETPC 2007</w:t>
      </w:r>
      <w:r w:rsidR="006D4A40" w:rsidRPr="00BC4AEC">
        <w:noBreakHyphen/>
        <w:t>I).</w:t>
      </w:r>
    </w:p>
    <w:p w:rsidR="006D4A40" w:rsidRPr="00BC4AEC" w:rsidRDefault="006D4A40" w:rsidP="00D96353">
      <w:pPr>
        <w:pStyle w:val="ECHRHeading3"/>
      </w:pPr>
      <w:r w:rsidRPr="00BC4AEC">
        <w:t>2.  Zastosowanie zasad do okoliczności przedmiotowej sprawy</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37</w:t>
      </w:r>
      <w:r>
        <w:rPr>
          <w:noProof/>
        </w:rPr>
        <w:fldChar w:fldCharType="end"/>
      </w:r>
      <w:r w:rsidR="006D4A40" w:rsidRPr="00BC4AEC">
        <w:t>.  Jak wspomniano powyżej, skarżący przebywał w Zakładzie Karnym we Wronkach i w siedmiu z dziesięciu cel, w których był osadzony urządzenia sanitarne były oddzielone od reszty celi jedynie przegrodą z płyty pilśniowej. Urządzenia sanitarne znajdowały się przy wejściu do celi i nie miały drzwi.</w:t>
      </w:r>
    </w:p>
    <w:p w:rsidR="006D4A40" w:rsidRPr="00BC4AEC" w:rsidRDefault="001807EB" w:rsidP="00D96353">
      <w:pPr>
        <w:pStyle w:val="ECHRPara"/>
      </w:pPr>
      <w:r>
        <w:lastRenderedPageBreak/>
        <w:fldChar w:fldCharType="begin"/>
      </w:r>
      <w:r>
        <w:instrText xml:space="preserve"> SEQ level0 \*arabic </w:instrText>
      </w:r>
      <w:r>
        <w:fldChar w:fldCharType="separate"/>
      </w:r>
      <w:r w:rsidR="006D4A40">
        <w:rPr>
          <w:noProof/>
        </w:rPr>
        <w:t>38</w:t>
      </w:r>
      <w:r>
        <w:rPr>
          <w:noProof/>
        </w:rPr>
        <w:fldChar w:fldCharType="end"/>
      </w:r>
      <w:r w:rsidR="006D4A40" w:rsidRPr="00BC4AEC">
        <w:t>.  Trybunał często stwierdzał naruszenie art. 3 Konwencji z powodu złych warunków pozbawienia wolności, w przypadku gdy brak wystarczającej przegrody między urządzeniami sanitarnymi i resztą celi był jedynie jednym z elementów tych warunków (patrz punkt 24 powyżej z dalszymi odniesieniami). Z orzecznictwa Trybunału wynika zatem, że władze krajowe mają pozytywny obowiązek zapewnienia dostępu do urządzeń sanitarnych, które są oddzielone od reszty celi w sposób, który zapewnia minimum prywatności dla więźniów. Trybunał przypomina, że według Europejskiego Komitetu do spraw Zapobiegania Torturom oraz Nieludzkiemu lub Poniżającemu Traktowaniu i Karaniu („CPT“) aneks sanitarny, który jest tylko częściowo oddzielony jest niedopuszczalny w celi zajmowanej przez więcej niż jednego zatrzymanego (CPT/Inf (2012) 13, § 78 i II Sprawozdanie Ogólne [CPT/Inf (92) 3], § 49). Toalety w celach powinny posiadać pełne przegrody, tzn. do sufitu (CPT/Inf (2015) 12, § 74). CPT zaleca, także po wizytach w polskich zakładach karnych, zamontowanie pełnych przegród we wszystkich aneksach sanitarnych w celach (patrz, na przykład, 2013 CPT/Inf (2014) 21, § 61 i CPT/Inf (2011) 20, § 105 i 106).</w:t>
      </w:r>
    </w:p>
    <w:p w:rsidR="006D4A40" w:rsidRPr="00BC4AEC" w:rsidRDefault="001807EB" w:rsidP="00D96353">
      <w:pPr>
        <w:pStyle w:val="ECHRPara"/>
      </w:pPr>
      <w:r>
        <w:fldChar w:fldCharType="begin"/>
      </w:r>
      <w:r>
        <w:instrText xml:space="preserve"> SEQ l</w:instrText>
      </w:r>
      <w:r>
        <w:instrText xml:space="preserve">evel0 \*arabic </w:instrText>
      </w:r>
      <w:r>
        <w:fldChar w:fldCharType="separate"/>
      </w:r>
      <w:r w:rsidR="006D4A40">
        <w:rPr>
          <w:noProof/>
        </w:rPr>
        <w:t>39</w:t>
      </w:r>
      <w:r>
        <w:rPr>
          <w:noProof/>
        </w:rPr>
        <w:fldChar w:fldCharType="end"/>
      </w:r>
      <w:r w:rsidR="006D4A40" w:rsidRPr="00BC4AEC">
        <w:t>.  Trybunał zauważa, że od 31 marca 2010 r. do 6 grudnia 2011 r. skarżący był umieszczany w dziesięciu celach, z czego w siedmiu urządzenia sanitarne nie były w pełni oddzielone. W celach tych musiał korzystać z toalety w obecności innych więźniów, został pozbawiony podstawowego poziomu prywatności w swoim codziennym życiu. Skarżący przedstawił sprawę władzom Zakładu Karnego i poprosił przynajmniej o zawieszenie zasłony w celu oddzielenia urządzeń sanitarnych. Władze Zakładu Karnego odpowiedziały, że prawo krajowe nie określa szczególnych przepisów w odniesieniu do wyposażania i oddzielania urządzeń sanitarnych w więziennej celi (patrz punkt 31).</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40</w:t>
      </w:r>
      <w:r>
        <w:rPr>
          <w:noProof/>
        </w:rPr>
        <w:fldChar w:fldCharType="end"/>
      </w:r>
      <w:r w:rsidR="006D4A40" w:rsidRPr="00BC4AEC">
        <w:t>.  Wynika z tego, że w niniejszej sprawie organy krajowe nie wywiązały się z ich pozytywnego obowiązku zapewnienia minimalnego poziomu prywatności skarżącego, kiedy był osadzony w Zakładzie Karnym we Wronkach.</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41</w:t>
      </w:r>
      <w:r>
        <w:rPr>
          <w:noProof/>
        </w:rPr>
        <w:fldChar w:fldCharType="end"/>
      </w:r>
      <w:r w:rsidR="006D4A40" w:rsidRPr="00BC4AEC">
        <w:t>.  Biorąc powyższe pod uwagę Trybunał stwierdza, że doszło do naruszenia art. 8 Konwencji.</w:t>
      </w:r>
    </w:p>
    <w:p w:rsidR="006D4A40" w:rsidRPr="00BC4AEC" w:rsidRDefault="006D4A40" w:rsidP="00D96353">
      <w:pPr>
        <w:pStyle w:val="ECHRHeading1"/>
      </w:pPr>
      <w:r w:rsidRPr="00BC4AEC">
        <w:t>III.  ZASTOSOWANIE ARTYKUŁU 41 KONWENCJI</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42</w:t>
      </w:r>
      <w:r>
        <w:rPr>
          <w:noProof/>
        </w:rPr>
        <w:fldChar w:fldCharType="end"/>
      </w:r>
      <w:r w:rsidR="006D4A40" w:rsidRPr="00BC4AEC">
        <w:t>.  Art. 41 Konwencji stanowi:</w:t>
      </w:r>
    </w:p>
    <w:p w:rsidR="006D4A40" w:rsidRPr="00BC4AEC" w:rsidRDefault="006D4A40" w:rsidP="00D96353">
      <w:pPr>
        <w:pStyle w:val="ECHRParaQuote"/>
      </w:pPr>
      <w:r w:rsidRPr="00BC4AEC">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6D4A40" w:rsidRPr="00BC4AEC" w:rsidRDefault="006D4A40" w:rsidP="00D96353">
      <w:pPr>
        <w:pStyle w:val="ECHRHeading2"/>
      </w:pPr>
      <w:r w:rsidRPr="00BC4AEC">
        <w:lastRenderedPageBreak/>
        <w:t>A.  Szkoda</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43</w:t>
      </w:r>
      <w:r>
        <w:rPr>
          <w:noProof/>
        </w:rPr>
        <w:fldChar w:fldCharType="end"/>
      </w:r>
      <w:r w:rsidR="006D4A40" w:rsidRPr="00BC4AEC">
        <w:t>.  Skarżący domagał się 32 000 euro (EUR) za doznaną krzywdę.</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44</w:t>
      </w:r>
      <w:r>
        <w:rPr>
          <w:noProof/>
        </w:rPr>
        <w:fldChar w:fldCharType="end"/>
      </w:r>
      <w:r w:rsidR="006D4A40" w:rsidRPr="00BC4AEC">
        <w:t>.  Rząd uznał to żądanie za nadmierne.</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45</w:t>
      </w:r>
      <w:r>
        <w:rPr>
          <w:noProof/>
        </w:rPr>
        <w:fldChar w:fldCharType="end"/>
      </w:r>
      <w:r w:rsidR="006D4A40" w:rsidRPr="00BC4AEC">
        <w:t>.  Trybunał, orzekając według zasad słuszności, przyznaje skarżącemu 1 800 EUR za doznaną krzywdę.</w:t>
      </w:r>
    </w:p>
    <w:p w:rsidR="006D4A40" w:rsidRPr="00BC4AEC" w:rsidRDefault="006D4A40" w:rsidP="00D96353">
      <w:pPr>
        <w:pStyle w:val="ECHRHeading2"/>
      </w:pPr>
      <w:r w:rsidRPr="00BC4AEC">
        <w:t>B.  Koszty i wydatki</w:t>
      </w:r>
    </w:p>
    <w:p w:rsidR="006D4A40" w:rsidRPr="00BC4AEC" w:rsidRDefault="001807EB" w:rsidP="00D96353">
      <w:pPr>
        <w:pStyle w:val="ECHRPara"/>
      </w:pPr>
      <w:r>
        <w:fldChar w:fldCharType="begin"/>
      </w:r>
      <w:r>
        <w:instrText xml:space="preserve"> SEQ level0 \</w:instrText>
      </w:r>
      <w:r>
        <w:instrText xml:space="preserve">*arabic </w:instrText>
      </w:r>
      <w:r>
        <w:fldChar w:fldCharType="separate"/>
      </w:r>
      <w:r w:rsidR="006D4A40">
        <w:rPr>
          <w:noProof/>
        </w:rPr>
        <w:t>46</w:t>
      </w:r>
      <w:r>
        <w:rPr>
          <w:noProof/>
        </w:rPr>
        <w:fldChar w:fldCharType="end"/>
      </w:r>
      <w:r w:rsidR="006D4A40" w:rsidRPr="00BC4AEC">
        <w:t>.  Skarżący nie wnosił żadnych roszczeń o zwrot kosztów i wydatków.</w:t>
      </w:r>
    </w:p>
    <w:p w:rsidR="006D4A40" w:rsidRPr="00BC4AEC" w:rsidRDefault="006D4A40" w:rsidP="00D96353">
      <w:pPr>
        <w:pStyle w:val="ECHRHeading2"/>
      </w:pPr>
      <w:r w:rsidRPr="00BC4AEC">
        <w:t>C.  Odsetki za zwłokę</w:t>
      </w:r>
    </w:p>
    <w:p w:rsidR="006D4A40" w:rsidRPr="00BC4AEC" w:rsidRDefault="001807EB" w:rsidP="00D96353">
      <w:pPr>
        <w:pStyle w:val="ECHRPara"/>
      </w:pPr>
      <w:r>
        <w:fldChar w:fldCharType="begin"/>
      </w:r>
      <w:r>
        <w:instrText xml:space="preserve"> SEQ level0 \*arabic </w:instrText>
      </w:r>
      <w:r>
        <w:fldChar w:fldCharType="separate"/>
      </w:r>
      <w:r w:rsidR="006D4A40">
        <w:rPr>
          <w:noProof/>
        </w:rPr>
        <w:t>47</w:t>
      </w:r>
      <w:r>
        <w:rPr>
          <w:noProof/>
        </w:rPr>
        <w:fldChar w:fldCharType="end"/>
      </w:r>
      <w:r w:rsidR="006D4A40" w:rsidRPr="00BC4AEC">
        <w:t>.  Trybunał uważa za stosowne, aby stopa odsetek za zwłokę oparta była na stopie kredytu Europejskiego Banku Centralnego plus trzy punkty procentowe.</w:t>
      </w:r>
    </w:p>
    <w:p w:rsidR="006D4A40" w:rsidRPr="00BC4AEC" w:rsidRDefault="006D4A40" w:rsidP="00D96353">
      <w:pPr>
        <w:keepNext/>
        <w:keepLines/>
        <w:spacing w:before="720" w:after="240"/>
        <w:outlineLvl w:val="0"/>
        <w:rPr>
          <w:sz w:val="28"/>
        </w:rPr>
      </w:pPr>
      <w:r w:rsidRPr="00BC4AEC">
        <w:rPr>
          <w:sz w:val="28"/>
        </w:rPr>
        <w:t>Z TYCH PRZYCZYN TRYBUNAŁ JEDNOGŁOŚNIE</w:t>
      </w:r>
    </w:p>
    <w:p w:rsidR="006D4A40" w:rsidRPr="00BC4AEC" w:rsidRDefault="006D4A40" w:rsidP="00D96353">
      <w:pPr>
        <w:pStyle w:val="JuList"/>
      </w:pPr>
      <w:r w:rsidRPr="00BC4AEC">
        <w:t>1.  </w:t>
      </w:r>
      <w:r w:rsidRPr="00BC4AEC">
        <w:rPr>
          <w:i/>
        </w:rPr>
        <w:t xml:space="preserve">Uznaje </w:t>
      </w:r>
      <w:r w:rsidRPr="00BC4AEC">
        <w:t>skargę za dopuszczalną;</w:t>
      </w:r>
    </w:p>
    <w:p w:rsidR="006D4A40" w:rsidRPr="00BC4AEC" w:rsidRDefault="006D4A40" w:rsidP="00D96353">
      <w:pPr>
        <w:pStyle w:val="JuList"/>
      </w:pPr>
    </w:p>
    <w:p w:rsidR="006D4A40" w:rsidRPr="00BC4AEC" w:rsidRDefault="006D4A40" w:rsidP="00D96353">
      <w:pPr>
        <w:pStyle w:val="JuList"/>
      </w:pPr>
      <w:r w:rsidRPr="00BC4AEC">
        <w:t>2.  </w:t>
      </w:r>
      <w:r w:rsidRPr="00BC4AEC">
        <w:rPr>
          <w:i/>
        </w:rPr>
        <w:t>Stwierdza</w:t>
      </w:r>
      <w:r w:rsidRPr="00BC4AEC">
        <w:t>, że nie doszło do naruszenia art. 3 Konwencji;</w:t>
      </w:r>
    </w:p>
    <w:p w:rsidR="006D4A40" w:rsidRPr="00BC4AEC" w:rsidRDefault="006D4A40" w:rsidP="00D96353">
      <w:pPr>
        <w:pStyle w:val="JuList"/>
      </w:pPr>
    </w:p>
    <w:p w:rsidR="006D4A40" w:rsidRPr="00BC4AEC" w:rsidRDefault="006D4A40" w:rsidP="00D96353">
      <w:pPr>
        <w:pStyle w:val="JuList"/>
      </w:pPr>
      <w:r w:rsidRPr="00BC4AEC">
        <w:t>3.  </w:t>
      </w:r>
      <w:r w:rsidRPr="00BC4AEC">
        <w:rPr>
          <w:i/>
        </w:rPr>
        <w:t>Stwierdza</w:t>
      </w:r>
      <w:r w:rsidRPr="00BC4AEC">
        <w:t>, że doszło do naruszenia art. 8 Konwencji;</w:t>
      </w:r>
    </w:p>
    <w:p w:rsidR="006D4A40" w:rsidRPr="00BC4AEC" w:rsidRDefault="006D4A40" w:rsidP="00D96353">
      <w:pPr>
        <w:pStyle w:val="JuList"/>
      </w:pPr>
    </w:p>
    <w:p w:rsidR="006D4A40" w:rsidRPr="00BC4AEC" w:rsidRDefault="006D4A40" w:rsidP="00D96353">
      <w:pPr>
        <w:pStyle w:val="JuList"/>
        <w:rPr>
          <w:i/>
        </w:rPr>
      </w:pPr>
      <w:r w:rsidRPr="00BC4AEC">
        <w:t>4.  </w:t>
      </w:r>
      <w:r w:rsidRPr="00BC4AEC">
        <w:rPr>
          <w:i/>
        </w:rPr>
        <w:t>Stwierdza,</w:t>
      </w:r>
    </w:p>
    <w:p w:rsidR="006D4A40" w:rsidRPr="00BC4AEC" w:rsidRDefault="006D4A40" w:rsidP="00D96353">
      <w:pPr>
        <w:pStyle w:val="JuLista"/>
      </w:pPr>
      <w:r w:rsidRPr="00BC4AEC">
        <w:t>a)  że pozwane Państwo ma wypłacić skarżącemu, w ciągu trzech miesięcy od dnia, w którym wyrok stanie się prawomocny zgodnie z art. 44 § 2 Konwencji, 1 800 EUR (tysiąc osiemset euro), przeliczone na walutę pozwanego państwa po kursie obowiązującym w dniu zapłaty, plus jakikolwiek podatek, jaki może być pobrany z tytułu szkody;</w:t>
      </w:r>
    </w:p>
    <w:p w:rsidR="006D4A40" w:rsidRPr="00BC4AEC" w:rsidRDefault="006D4A40" w:rsidP="00D96353">
      <w:pPr>
        <w:pStyle w:val="JuLista"/>
      </w:pPr>
      <w:r w:rsidRPr="00BC4AEC">
        <w:t>b)   że od upłynięcia ww. trzymiesięcznego terminu do momentu zapłaty od powyższej kwoty płatne będą zwykłe odsetki w wysokości równej stopie kredytu Europejskiego Banku Centralnego z okresu zwłoki plus trzy punkty procentowe;</w:t>
      </w:r>
    </w:p>
    <w:p w:rsidR="006D4A40" w:rsidRPr="00BC4AEC" w:rsidRDefault="006D4A40" w:rsidP="00D96353">
      <w:pPr>
        <w:pStyle w:val="JuList"/>
      </w:pPr>
    </w:p>
    <w:p w:rsidR="006D4A40" w:rsidRPr="00BC4AEC" w:rsidRDefault="006D4A40" w:rsidP="00D96353">
      <w:pPr>
        <w:pStyle w:val="JuList"/>
      </w:pPr>
      <w:r w:rsidRPr="00BC4AEC">
        <w:t>5.  </w:t>
      </w:r>
      <w:r w:rsidRPr="00BC4AEC">
        <w:rPr>
          <w:i/>
        </w:rPr>
        <w:t xml:space="preserve">Oddala </w:t>
      </w:r>
      <w:r w:rsidRPr="00BC4AEC">
        <w:t>pozostałą część roszczenia skarżącego o zadośćuczynienie.</w:t>
      </w:r>
    </w:p>
    <w:p w:rsidR="006D4A40" w:rsidRPr="00BC4AEC" w:rsidRDefault="006D4A40" w:rsidP="00D96353">
      <w:pPr>
        <w:ind w:left="340"/>
      </w:pPr>
    </w:p>
    <w:p w:rsidR="006D4A40" w:rsidRPr="00BC4AEC" w:rsidRDefault="006D4A40" w:rsidP="00D96353">
      <w:pPr>
        <w:pStyle w:val="ECHRPara"/>
      </w:pPr>
      <w:r w:rsidRPr="00BC4AEC">
        <w:t>Sporządzono w języku angielskim i obwieszczono pisemnie dnia 15 grudnia 2015 r., zgodnie z art. 77 § 2 i 3 Regulaminu Trybunału.</w:t>
      </w:r>
    </w:p>
    <w:p w:rsidR="006D4A40" w:rsidRPr="00BC4AEC" w:rsidRDefault="006D4A40" w:rsidP="00D96353">
      <w:pPr>
        <w:tabs>
          <w:tab w:val="center" w:pos="851"/>
          <w:tab w:val="center" w:pos="6946"/>
        </w:tabs>
        <w:spacing w:before="720"/>
        <w:ind w:right="412"/>
        <w:jc w:val="left"/>
      </w:pPr>
      <w:r w:rsidRPr="00BC4AEC">
        <w:lastRenderedPageBreak/>
        <w:tab/>
        <w:t>Fatoş Aracı</w:t>
      </w:r>
      <w:r w:rsidRPr="00BC4AEC">
        <w:tab/>
        <w:t>András Sajó</w:t>
      </w:r>
      <w:r w:rsidRPr="00BC4AEC">
        <w:br/>
      </w:r>
      <w:r w:rsidRPr="00BC4AEC">
        <w:tab/>
        <w:t>Zastępca Kanclerza</w:t>
      </w:r>
      <w:r w:rsidRPr="00BC4AEC">
        <w:tab/>
        <w:t>Przewodniczący</w:t>
      </w:r>
    </w:p>
    <w:p w:rsidR="006D4A40" w:rsidRPr="00BC4AEC" w:rsidRDefault="006D4A40" w:rsidP="00D96353">
      <w:pPr>
        <w:tabs>
          <w:tab w:val="center" w:pos="851"/>
          <w:tab w:val="center" w:pos="6407"/>
        </w:tabs>
        <w:spacing w:before="720"/>
        <w:jc w:val="left"/>
      </w:pPr>
    </w:p>
    <w:sectPr w:rsidR="006D4A40" w:rsidRPr="00BC4AEC"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7EB" w:rsidRDefault="001807EB" w:rsidP="0098410D">
      <w:r>
        <w:separator/>
      </w:r>
    </w:p>
  </w:endnote>
  <w:endnote w:type="continuationSeparator" w:id="0">
    <w:p w:rsidR="001807EB" w:rsidRDefault="001807EB"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40" w:rsidRPr="00150BFA" w:rsidRDefault="00D152CE" w:rsidP="0020718E">
    <w:pPr>
      <w:jc w:val="center"/>
    </w:pPr>
    <w:r>
      <w:rPr>
        <w:noProof/>
      </w:rPr>
      <w:drawing>
        <wp:inline distT="0" distB="0" distL="0" distR="0">
          <wp:extent cx="758825" cy="621030"/>
          <wp:effectExtent l="0" t="0" r="3175" b="762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825" cy="621030"/>
                  </a:xfrm>
                  <a:prstGeom prst="rect">
                    <a:avLst/>
                  </a:prstGeom>
                  <a:noFill/>
                  <a:ln>
                    <a:noFill/>
                  </a:ln>
                </pic:spPr>
              </pic:pic>
            </a:graphicData>
          </a:graphic>
        </wp:inline>
      </w:drawing>
    </w:r>
  </w:p>
  <w:p w:rsidR="006D4A40" w:rsidRPr="00881CDE" w:rsidRDefault="006D4A40" w:rsidP="00AF12C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40" w:rsidRDefault="006D4A4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40" w:rsidRPr="000B7195" w:rsidRDefault="006D4A40" w:rsidP="00AF12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7EB" w:rsidRDefault="001807EB" w:rsidP="0098410D">
      <w:r>
        <w:separator/>
      </w:r>
    </w:p>
  </w:footnote>
  <w:footnote w:type="continuationSeparator" w:id="0">
    <w:p w:rsidR="001807EB" w:rsidRDefault="001807EB" w:rsidP="0098410D">
      <w:r>
        <w:continuationSeparator/>
      </w:r>
    </w:p>
  </w:footnote>
  <w:footnote w:id="1">
    <w:p w:rsidR="006D4A40" w:rsidRDefault="006D4A40">
      <w:pPr>
        <w:pStyle w:val="Tekstprzypisudolnego"/>
      </w:pPr>
      <w:r w:rsidRPr="00BC4AEC">
        <w:rPr>
          <w:rStyle w:val="Odwoanieprzypisudolnego"/>
        </w:rPr>
        <w:footnoteRef/>
      </w:r>
      <w:r w:rsidRPr="00BC4AEC">
        <w:t xml:space="preserve"> W treści wyroku błędnie wskazano Sąd Apelacyjny. W rzeczywistości wyrok wydał Sąd Okręgowy w Poznaniu (uwaga Ministerstwa Sprawiedliwości).</w:t>
      </w:r>
    </w:p>
  </w:footnote>
  <w:footnote w:id="2">
    <w:p w:rsidR="006D4A40" w:rsidRPr="00BC4AEC" w:rsidRDefault="006D4A40" w:rsidP="0080256D">
      <w:pPr>
        <w:pStyle w:val="Tekstprzypisudolnego"/>
      </w:pPr>
      <w:r w:rsidRPr="00BC4AEC">
        <w:rPr>
          <w:rStyle w:val="Odwoanieprzypisudolnego"/>
        </w:rPr>
        <w:footnoteRef/>
      </w:r>
      <w:r w:rsidRPr="00BC4AEC">
        <w:t xml:space="preserve"> W treści wyroku błędnie wskazano Sąd Apelacyjny. W rzeczywistości wyrok wydał Sąd Okręgowy w Poznaniu (uwaga Ministerstwa Sprawiedliwości).</w:t>
      </w:r>
    </w:p>
    <w:p w:rsidR="006D4A40" w:rsidRDefault="006D4A40" w:rsidP="0080256D">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40" w:rsidRPr="00A45145" w:rsidRDefault="00D152CE" w:rsidP="00A45145">
    <w:pPr>
      <w:jc w:val="center"/>
    </w:pPr>
    <w:r>
      <w:rPr>
        <w:noProof/>
      </w:rPr>
      <w:drawing>
        <wp:inline distT="0" distB="0" distL="0" distR="0">
          <wp:extent cx="2959100" cy="1216025"/>
          <wp:effectExtent l="0" t="0" r="0" b="317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9100" cy="1216025"/>
                  </a:xfrm>
                  <a:prstGeom prst="rect">
                    <a:avLst/>
                  </a:prstGeom>
                  <a:noFill/>
                  <a:ln>
                    <a:noFill/>
                  </a:ln>
                </pic:spPr>
              </pic:pic>
            </a:graphicData>
          </a:graphic>
        </wp:inline>
      </w:drawing>
    </w:r>
  </w:p>
  <w:p w:rsidR="006D4A40" w:rsidRPr="00881CDE" w:rsidRDefault="006D4A40"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40" w:rsidRPr="00A45145" w:rsidRDefault="00D152CE" w:rsidP="00A45145">
    <w:pPr>
      <w:jc w:val="center"/>
    </w:pPr>
    <w:r>
      <w:rPr>
        <w:noProof/>
      </w:rPr>
      <w:drawing>
        <wp:inline distT="0" distB="0" distL="0" distR="0">
          <wp:extent cx="2959100" cy="1216025"/>
          <wp:effectExtent l="0" t="0" r="0" b="3175"/>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9100" cy="1216025"/>
                  </a:xfrm>
                  <a:prstGeom prst="rect">
                    <a:avLst/>
                  </a:prstGeom>
                  <a:noFill/>
                  <a:ln>
                    <a:noFill/>
                  </a:ln>
                </pic:spPr>
              </pic:pic>
            </a:graphicData>
          </a:graphic>
        </wp:inline>
      </w:drawing>
    </w:r>
  </w:p>
  <w:p w:rsidR="006D4A40" w:rsidRDefault="006D4A4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40" w:rsidRPr="004D0EC7" w:rsidRDefault="006D4A40"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D152CE">
      <w:rPr>
        <w:rStyle w:val="Numerstrony"/>
        <w:noProof/>
      </w:rPr>
      <w:t>2</w:t>
    </w:r>
    <w:r>
      <w:rPr>
        <w:rStyle w:val="Numerstrony"/>
      </w:rPr>
      <w:fldChar w:fldCharType="end"/>
    </w:r>
    <w:r>
      <w:tab/>
      <w:t>WYROK W SPRAWIE SZAFRAŃSKI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40" w:rsidRPr="00882CD5" w:rsidRDefault="006D4A40" w:rsidP="00882CD5">
    <w:pPr>
      <w:pStyle w:val="ECHRHeader"/>
    </w:pPr>
    <w:r>
      <w:tab/>
      <w:t>WYROK W SPRAWIE SZAFRAŃSKI przeciwko POLSCE</w:t>
    </w:r>
    <w:r>
      <w:tab/>
    </w:r>
    <w:r>
      <w:rPr>
        <w:rStyle w:val="Numerstrony"/>
      </w:rPr>
      <w:fldChar w:fldCharType="begin"/>
    </w:r>
    <w:r>
      <w:rPr>
        <w:rStyle w:val="Numerstrony"/>
      </w:rPr>
      <w:instrText xml:space="preserve"> PAGE </w:instrText>
    </w:r>
    <w:r>
      <w:rPr>
        <w:rStyle w:val="Numerstrony"/>
      </w:rPr>
      <w:fldChar w:fldCharType="separate"/>
    </w:r>
    <w:r w:rsidR="00D152CE">
      <w:rPr>
        <w:rStyle w:val="Numerstrony"/>
        <w:noProof/>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23283F32"/>
    <w:lvl w:ilvl="0">
      <w:start w:val="1"/>
      <w:numFmt w:val="decimal"/>
      <w:pStyle w:val="Listanumerowana5"/>
      <w:lvlText w:val="%1."/>
      <w:lvlJc w:val="left"/>
      <w:pPr>
        <w:tabs>
          <w:tab w:val="num" w:pos="1209"/>
        </w:tabs>
        <w:ind w:left="1209" w:hanging="360"/>
      </w:pPr>
      <w:rPr>
        <w:rFonts w:cs="Times New Roman"/>
      </w:rPr>
    </w:lvl>
  </w:abstractNum>
  <w:abstractNum w:abstractNumId="1">
    <w:nsid w:val="FFFFFF7E"/>
    <w:multiLevelType w:val="singleLevel"/>
    <w:tmpl w:val="2F369A7C"/>
    <w:lvl w:ilvl="0">
      <w:start w:val="1"/>
      <w:numFmt w:val="decimal"/>
      <w:pStyle w:val="Listanumerowana4"/>
      <w:lvlText w:val="%1."/>
      <w:lvlJc w:val="left"/>
      <w:pPr>
        <w:tabs>
          <w:tab w:val="num" w:pos="926"/>
        </w:tabs>
        <w:ind w:left="926" w:hanging="360"/>
      </w:pPr>
      <w:rPr>
        <w:rFonts w:cs="Times New Roman"/>
      </w:rPr>
    </w:lvl>
  </w:abstractNum>
  <w:abstractNum w:abstractNumId="2">
    <w:nsid w:val="FFFFFF7F"/>
    <w:multiLevelType w:val="singleLevel"/>
    <w:tmpl w:val="3346880A"/>
    <w:lvl w:ilvl="0">
      <w:start w:val="1"/>
      <w:numFmt w:val="decimal"/>
      <w:pStyle w:val="Listanumerowana3"/>
      <w:lvlText w:val="%1."/>
      <w:lvlJc w:val="left"/>
      <w:pPr>
        <w:tabs>
          <w:tab w:val="num" w:pos="643"/>
        </w:tabs>
        <w:ind w:left="643" w:hanging="360"/>
      </w:pPr>
      <w:rPr>
        <w:rFonts w:cs="Times New Roman"/>
      </w:rPr>
    </w:lvl>
  </w:abstractNum>
  <w:abstractNum w:abstractNumId="3">
    <w:nsid w:val="FFFFFF80"/>
    <w:multiLevelType w:val="singleLevel"/>
    <w:tmpl w:val="552A83EC"/>
    <w:lvl w:ilvl="0">
      <w:start w:val="1"/>
      <w:numFmt w:val="bullet"/>
      <w:pStyle w:val="Listanumerowana"/>
      <w:lvlText w:val=""/>
      <w:lvlJc w:val="left"/>
      <w:pPr>
        <w:tabs>
          <w:tab w:val="num" w:pos="1492"/>
        </w:tabs>
        <w:ind w:left="1492" w:hanging="360"/>
      </w:pPr>
      <w:rPr>
        <w:rFonts w:ascii="Symbol" w:hAnsi="Symbol" w:hint="default"/>
      </w:rPr>
    </w:lvl>
  </w:abstractNum>
  <w:abstractNum w:abstractNumId="4">
    <w:nsid w:val="FFFFFF81"/>
    <w:multiLevelType w:val="singleLevel"/>
    <w:tmpl w:val="085AC83C"/>
    <w:lvl w:ilvl="0">
      <w:start w:val="1"/>
      <w:numFmt w:val="bullet"/>
      <w:pStyle w:val="Listapunktowana5"/>
      <w:lvlText w:val=""/>
      <w:lvlJc w:val="left"/>
      <w:pPr>
        <w:tabs>
          <w:tab w:val="num" w:pos="1209"/>
        </w:tabs>
        <w:ind w:left="1209" w:hanging="360"/>
      </w:pPr>
      <w:rPr>
        <w:rFonts w:ascii="Symbol" w:hAnsi="Symbol" w:hint="default"/>
      </w:rPr>
    </w:lvl>
  </w:abstractNum>
  <w:abstractNum w:abstractNumId="5">
    <w:nsid w:val="FFFFFF82"/>
    <w:multiLevelType w:val="singleLevel"/>
    <w:tmpl w:val="DC6E1652"/>
    <w:lvl w:ilvl="0">
      <w:start w:val="1"/>
      <w:numFmt w:val="bullet"/>
      <w:pStyle w:val="Listapunktowana2"/>
      <w:lvlText w:val=""/>
      <w:lvlJc w:val="left"/>
      <w:pPr>
        <w:tabs>
          <w:tab w:val="num" w:pos="926"/>
        </w:tabs>
        <w:ind w:left="926" w:hanging="360"/>
      </w:pPr>
      <w:rPr>
        <w:rFonts w:ascii="Symbol" w:hAnsi="Symbol" w:hint="default"/>
      </w:rPr>
    </w:lvl>
  </w:abstractNum>
  <w:abstractNum w:abstractNumId="6">
    <w:nsid w:val="FFFFFF83"/>
    <w:multiLevelType w:val="singleLevel"/>
    <w:tmpl w:val="4A528BA6"/>
    <w:lvl w:ilvl="0">
      <w:start w:val="1"/>
      <w:numFmt w:val="bullet"/>
      <w:pStyle w:val="Listapunktowana4"/>
      <w:lvlText w:val=""/>
      <w:lvlJc w:val="left"/>
      <w:pPr>
        <w:tabs>
          <w:tab w:val="num" w:pos="643"/>
        </w:tabs>
        <w:ind w:left="643" w:hanging="360"/>
      </w:pPr>
      <w:rPr>
        <w:rFonts w:ascii="Symbol" w:hAnsi="Symbol" w:hint="default"/>
      </w:rPr>
    </w:lvl>
  </w:abstractNum>
  <w:abstractNum w:abstractNumId="7">
    <w:nsid w:val="FFFFFF88"/>
    <w:multiLevelType w:val="singleLevel"/>
    <w:tmpl w:val="366C20B0"/>
    <w:lvl w:ilvl="0">
      <w:start w:val="1"/>
      <w:numFmt w:val="decimal"/>
      <w:pStyle w:val="Listanumerowana2"/>
      <w:lvlText w:val="%1."/>
      <w:lvlJc w:val="left"/>
      <w:pPr>
        <w:tabs>
          <w:tab w:val="num" w:pos="360"/>
        </w:tabs>
        <w:ind w:left="360" w:hanging="360"/>
      </w:pPr>
      <w:rPr>
        <w:rFonts w:cs="Times New Roman"/>
      </w:rPr>
    </w:lvl>
  </w:abstractNum>
  <w:abstractNum w:abstractNumId="8">
    <w:nsid w:val="FFFFFF89"/>
    <w:multiLevelType w:val="singleLevel"/>
    <w:tmpl w:val="F40638C2"/>
    <w:lvl w:ilvl="0">
      <w:start w:val="1"/>
      <w:numFmt w:val="bullet"/>
      <w:pStyle w:val="Listapunktowana3"/>
      <w:lvlText w:val=""/>
      <w:lvlJc w:val="left"/>
      <w:pPr>
        <w:tabs>
          <w:tab w:val="num" w:pos="360"/>
        </w:tabs>
        <w:ind w:left="360" w:hanging="360"/>
      </w:pPr>
      <w:rPr>
        <w:rFonts w:ascii="Symbol" w:hAnsi="Symbol" w:hint="default"/>
      </w:rPr>
    </w:lvl>
  </w:abstractNum>
  <w:abstractNum w:abstractNumId="9">
    <w:nsid w:val="0066004F"/>
    <w:multiLevelType w:val="multilevel"/>
    <w:tmpl w:val="040C001D"/>
    <w:styleLink w:val="1ai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nsid w:val="163F153D"/>
    <w:multiLevelType w:val="multilevel"/>
    <w:tmpl w:val="040C001F"/>
    <w:styleLink w:val="1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1AA96CEA"/>
    <w:multiLevelType w:val="multilevel"/>
    <w:tmpl w:val="040C0023"/>
    <w:styleLink w:val="Artykusekcja"/>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2">
    <w:nsid w:val="1D27094A"/>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nsid w:val="40B939E1"/>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6">
    <w:nsid w:val="7737461D"/>
    <w:multiLevelType w:val="multilevel"/>
    <w:tmpl w:val="040C0023"/>
    <w:styleLink w:val="ArticleSection1"/>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8"/>
  </w:num>
  <w:num w:numId="2">
    <w:abstractNumId w:val="5"/>
  </w:num>
  <w:num w:numId="3">
    <w:abstractNumId w:val="6"/>
  </w:num>
  <w:num w:numId="4">
    <w:abstractNumId w:val="4"/>
  </w:num>
  <w:num w:numId="5">
    <w:abstractNumId w:val="3"/>
  </w:num>
  <w:num w:numId="6">
    <w:abstractNumId w:val="7"/>
  </w:num>
  <w:num w:numId="7">
    <w:abstractNumId w:val="2"/>
  </w:num>
  <w:num w:numId="8">
    <w:abstractNumId w:val="1"/>
  </w:num>
  <w:num w:numId="9">
    <w:abstractNumId w:val="0"/>
  </w:num>
  <w:num w:numId="10">
    <w:abstractNumId w:val="14"/>
  </w:num>
  <w:num w:numId="11">
    <w:abstractNumId w:val="13"/>
  </w:num>
  <w:num w:numId="12">
    <w:abstractNumId w:val="12"/>
  </w:num>
  <w:num w:numId="13">
    <w:abstractNumId w:val="11"/>
  </w:num>
  <w:num w:numId="14">
    <w:abstractNumId w:val="10"/>
  </w:num>
  <w:num w:numId="15">
    <w:abstractNumId w:val="9"/>
  </w:num>
  <w:num w:numId="16">
    <w:abstractNumId w:val="16"/>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F78AC"/>
    <w:rsid w:val="000041F8"/>
    <w:rsid w:val="000042A8"/>
    <w:rsid w:val="00004308"/>
    <w:rsid w:val="00005BF0"/>
    <w:rsid w:val="00007154"/>
    <w:rsid w:val="000103AE"/>
    <w:rsid w:val="00011D69"/>
    <w:rsid w:val="00012AD3"/>
    <w:rsid w:val="00013F83"/>
    <w:rsid w:val="00015C2D"/>
    <w:rsid w:val="00015F00"/>
    <w:rsid w:val="00022C1D"/>
    <w:rsid w:val="00034987"/>
    <w:rsid w:val="00041CC5"/>
    <w:rsid w:val="000602DF"/>
    <w:rsid w:val="00061B05"/>
    <w:rsid w:val="000632D5"/>
    <w:rsid w:val="000644EE"/>
    <w:rsid w:val="000925AD"/>
    <w:rsid w:val="000965B4"/>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0DA8"/>
    <w:rsid w:val="00111B0C"/>
    <w:rsid w:val="00120D6C"/>
    <w:rsid w:val="001257EC"/>
    <w:rsid w:val="00133D33"/>
    <w:rsid w:val="00134D64"/>
    <w:rsid w:val="00135A30"/>
    <w:rsid w:val="0013612C"/>
    <w:rsid w:val="00137FF6"/>
    <w:rsid w:val="00141650"/>
    <w:rsid w:val="00150BFA"/>
    <w:rsid w:val="00162A12"/>
    <w:rsid w:val="00166530"/>
    <w:rsid w:val="00175E4C"/>
    <w:rsid w:val="001807EB"/>
    <w:rsid w:val="001832BD"/>
    <w:rsid w:val="001943B5"/>
    <w:rsid w:val="00195134"/>
    <w:rsid w:val="001A145B"/>
    <w:rsid w:val="001A674C"/>
    <w:rsid w:val="001A6C35"/>
    <w:rsid w:val="001B3B24"/>
    <w:rsid w:val="001C0F98"/>
    <w:rsid w:val="001C2A42"/>
    <w:rsid w:val="001D63ED"/>
    <w:rsid w:val="001D7348"/>
    <w:rsid w:val="001E035B"/>
    <w:rsid w:val="001E0961"/>
    <w:rsid w:val="001E3EAE"/>
    <w:rsid w:val="001E645B"/>
    <w:rsid w:val="001E6F32"/>
    <w:rsid w:val="001F2145"/>
    <w:rsid w:val="001F6262"/>
    <w:rsid w:val="001F63FE"/>
    <w:rsid w:val="001F67B0"/>
    <w:rsid w:val="001F7B3D"/>
    <w:rsid w:val="00205DE3"/>
    <w:rsid w:val="00205F9F"/>
    <w:rsid w:val="0020718E"/>
    <w:rsid w:val="00210338"/>
    <w:rsid w:val="002115FC"/>
    <w:rsid w:val="00211B45"/>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27D3"/>
    <w:rsid w:val="00274408"/>
    <w:rsid w:val="00275123"/>
    <w:rsid w:val="00282240"/>
    <w:rsid w:val="00287AD5"/>
    <w:rsid w:val="00293BFD"/>
    <w:rsid w:val="002948AD"/>
    <w:rsid w:val="002A01CC"/>
    <w:rsid w:val="002A1D92"/>
    <w:rsid w:val="002A61B1"/>
    <w:rsid w:val="002A663C"/>
    <w:rsid w:val="002B444B"/>
    <w:rsid w:val="002B5887"/>
    <w:rsid w:val="002C0E27"/>
    <w:rsid w:val="002C1CE9"/>
    <w:rsid w:val="002C3040"/>
    <w:rsid w:val="002C4433"/>
    <w:rsid w:val="002D022D"/>
    <w:rsid w:val="002D24BB"/>
    <w:rsid w:val="002E0F4D"/>
    <w:rsid w:val="002F2AF7"/>
    <w:rsid w:val="002F7E1C"/>
    <w:rsid w:val="00301A75"/>
    <w:rsid w:val="00302F70"/>
    <w:rsid w:val="0030336F"/>
    <w:rsid w:val="0030375E"/>
    <w:rsid w:val="00312A30"/>
    <w:rsid w:val="00320F72"/>
    <w:rsid w:val="0032463E"/>
    <w:rsid w:val="00324D0D"/>
    <w:rsid w:val="00326224"/>
    <w:rsid w:val="00337EE4"/>
    <w:rsid w:val="00340FFD"/>
    <w:rsid w:val="00345C41"/>
    <w:rsid w:val="003506B1"/>
    <w:rsid w:val="00356AC7"/>
    <w:rsid w:val="003609FA"/>
    <w:rsid w:val="003710C8"/>
    <w:rsid w:val="003750BE"/>
    <w:rsid w:val="00387B9D"/>
    <w:rsid w:val="0039364F"/>
    <w:rsid w:val="00396686"/>
    <w:rsid w:val="0039778E"/>
    <w:rsid w:val="003B3DD2"/>
    <w:rsid w:val="003B4941"/>
    <w:rsid w:val="003C5714"/>
    <w:rsid w:val="003C6B9F"/>
    <w:rsid w:val="003C6E2A"/>
    <w:rsid w:val="003D0299"/>
    <w:rsid w:val="003E6D80"/>
    <w:rsid w:val="003F05FA"/>
    <w:rsid w:val="003F244A"/>
    <w:rsid w:val="003F30B8"/>
    <w:rsid w:val="003F4C45"/>
    <w:rsid w:val="003F5F7B"/>
    <w:rsid w:val="003F7D64"/>
    <w:rsid w:val="00414300"/>
    <w:rsid w:val="00420703"/>
    <w:rsid w:val="00425C67"/>
    <w:rsid w:val="00427CFC"/>
    <w:rsid w:val="00427E7A"/>
    <w:rsid w:val="00436C49"/>
    <w:rsid w:val="00445366"/>
    <w:rsid w:val="00447F5B"/>
    <w:rsid w:val="004521CE"/>
    <w:rsid w:val="00461DB0"/>
    <w:rsid w:val="00463926"/>
    <w:rsid w:val="00464C9A"/>
    <w:rsid w:val="00474F3D"/>
    <w:rsid w:val="00477E3A"/>
    <w:rsid w:val="00483E5F"/>
    <w:rsid w:val="00485FF9"/>
    <w:rsid w:val="004907F0"/>
    <w:rsid w:val="0049140B"/>
    <w:rsid w:val="004923A5"/>
    <w:rsid w:val="00496BFB"/>
    <w:rsid w:val="004A15C7"/>
    <w:rsid w:val="004A28EB"/>
    <w:rsid w:val="004A6072"/>
    <w:rsid w:val="004B013B"/>
    <w:rsid w:val="004B112B"/>
    <w:rsid w:val="004B582C"/>
    <w:rsid w:val="004C01E4"/>
    <w:rsid w:val="004C086C"/>
    <w:rsid w:val="004C199C"/>
    <w:rsid w:val="004C1F56"/>
    <w:rsid w:val="004C27BC"/>
    <w:rsid w:val="004D0EC7"/>
    <w:rsid w:val="004D15F3"/>
    <w:rsid w:val="004D5311"/>
    <w:rsid w:val="004D5DCC"/>
    <w:rsid w:val="004D614B"/>
    <w:rsid w:val="004D7E45"/>
    <w:rsid w:val="004F10AF"/>
    <w:rsid w:val="004F11A4"/>
    <w:rsid w:val="004F2389"/>
    <w:rsid w:val="004F304D"/>
    <w:rsid w:val="004F61BE"/>
    <w:rsid w:val="004F66B1"/>
    <w:rsid w:val="00507C17"/>
    <w:rsid w:val="00507DA5"/>
    <w:rsid w:val="00511C07"/>
    <w:rsid w:val="005173A6"/>
    <w:rsid w:val="00520BAA"/>
    <w:rsid w:val="005217D8"/>
    <w:rsid w:val="00525208"/>
    <w:rsid w:val="005257A5"/>
    <w:rsid w:val="005264C0"/>
    <w:rsid w:val="00526A8A"/>
    <w:rsid w:val="00531DF2"/>
    <w:rsid w:val="005442EE"/>
    <w:rsid w:val="00545DA6"/>
    <w:rsid w:val="00547353"/>
    <w:rsid w:val="005474E7"/>
    <w:rsid w:val="005512A3"/>
    <w:rsid w:val="005578CE"/>
    <w:rsid w:val="00562781"/>
    <w:rsid w:val="00562B6C"/>
    <w:rsid w:val="0057271C"/>
    <w:rsid w:val="00572845"/>
    <w:rsid w:val="005753C1"/>
    <w:rsid w:val="005846AA"/>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5F69C2"/>
    <w:rsid w:val="00611C80"/>
    <w:rsid w:val="00620692"/>
    <w:rsid w:val="006242CA"/>
    <w:rsid w:val="00627507"/>
    <w:rsid w:val="00633717"/>
    <w:rsid w:val="006344E1"/>
    <w:rsid w:val="00636BF4"/>
    <w:rsid w:val="006545C4"/>
    <w:rsid w:val="00661971"/>
    <w:rsid w:val="00661CE8"/>
    <w:rsid w:val="006623D9"/>
    <w:rsid w:val="0066550C"/>
    <w:rsid w:val="006716F2"/>
    <w:rsid w:val="00682BF2"/>
    <w:rsid w:val="006859CE"/>
    <w:rsid w:val="00691270"/>
    <w:rsid w:val="00694BA8"/>
    <w:rsid w:val="006A021F"/>
    <w:rsid w:val="006A037C"/>
    <w:rsid w:val="006A36F4"/>
    <w:rsid w:val="006A3F8E"/>
    <w:rsid w:val="006A406F"/>
    <w:rsid w:val="006A5D3A"/>
    <w:rsid w:val="006C23D4"/>
    <w:rsid w:val="006C7BB0"/>
    <w:rsid w:val="006D3237"/>
    <w:rsid w:val="006D4A40"/>
    <w:rsid w:val="006E2E37"/>
    <w:rsid w:val="006E3CF1"/>
    <w:rsid w:val="006E7E80"/>
    <w:rsid w:val="006F0DF5"/>
    <w:rsid w:val="006F48CA"/>
    <w:rsid w:val="006F64DD"/>
    <w:rsid w:val="006F7483"/>
    <w:rsid w:val="00701A96"/>
    <w:rsid w:val="00703434"/>
    <w:rsid w:val="00707886"/>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03C2"/>
    <w:rsid w:val="007A26F3"/>
    <w:rsid w:val="007A716F"/>
    <w:rsid w:val="007B270A"/>
    <w:rsid w:val="007C0695"/>
    <w:rsid w:val="007C419A"/>
    <w:rsid w:val="007C4CC8"/>
    <w:rsid w:val="007C5426"/>
    <w:rsid w:val="007C5798"/>
    <w:rsid w:val="007D1172"/>
    <w:rsid w:val="007D4832"/>
    <w:rsid w:val="007E21B2"/>
    <w:rsid w:val="007E2C4E"/>
    <w:rsid w:val="007F1905"/>
    <w:rsid w:val="007F7576"/>
    <w:rsid w:val="0080256D"/>
    <w:rsid w:val="00802C64"/>
    <w:rsid w:val="008048BA"/>
    <w:rsid w:val="00805E52"/>
    <w:rsid w:val="008061D0"/>
    <w:rsid w:val="00810B38"/>
    <w:rsid w:val="00815EFE"/>
    <w:rsid w:val="008204C7"/>
    <w:rsid w:val="00820992"/>
    <w:rsid w:val="00823602"/>
    <w:rsid w:val="008255F5"/>
    <w:rsid w:val="0083014E"/>
    <w:rsid w:val="0083214A"/>
    <w:rsid w:val="00834220"/>
    <w:rsid w:val="00845723"/>
    <w:rsid w:val="00851DD8"/>
    <w:rsid w:val="00851EF9"/>
    <w:rsid w:val="00851F97"/>
    <w:rsid w:val="008540F9"/>
    <w:rsid w:val="008577FD"/>
    <w:rsid w:val="00860B03"/>
    <w:rsid w:val="0086497A"/>
    <w:rsid w:val="008713A1"/>
    <w:rsid w:val="008754AB"/>
    <w:rsid w:val="0088060C"/>
    <w:rsid w:val="00881CDE"/>
    <w:rsid w:val="00882CD5"/>
    <w:rsid w:val="00893576"/>
    <w:rsid w:val="00893E73"/>
    <w:rsid w:val="008B02DC"/>
    <w:rsid w:val="008B57CE"/>
    <w:rsid w:val="008C26DE"/>
    <w:rsid w:val="008D2225"/>
    <w:rsid w:val="008D3F87"/>
    <w:rsid w:val="008D4752"/>
    <w:rsid w:val="008E271C"/>
    <w:rsid w:val="008E3A08"/>
    <w:rsid w:val="008E418E"/>
    <w:rsid w:val="008E5BC6"/>
    <w:rsid w:val="008E6A25"/>
    <w:rsid w:val="008F3664"/>
    <w:rsid w:val="008F5193"/>
    <w:rsid w:val="00900813"/>
    <w:rsid w:val="00900A07"/>
    <w:rsid w:val="009013A7"/>
    <w:rsid w:val="009017FB"/>
    <w:rsid w:val="009017FC"/>
    <w:rsid w:val="0090506B"/>
    <w:rsid w:val="009050C9"/>
    <w:rsid w:val="009066FC"/>
    <w:rsid w:val="009140A3"/>
    <w:rsid w:val="009144A2"/>
    <w:rsid w:val="0091510C"/>
    <w:rsid w:val="0092308B"/>
    <w:rsid w:val="009259AC"/>
    <w:rsid w:val="00926F38"/>
    <w:rsid w:val="00927BEB"/>
    <w:rsid w:val="00934301"/>
    <w:rsid w:val="00936CD1"/>
    <w:rsid w:val="00941747"/>
    <w:rsid w:val="00941EFB"/>
    <w:rsid w:val="00947AFB"/>
    <w:rsid w:val="00951D7D"/>
    <w:rsid w:val="009630C7"/>
    <w:rsid w:val="00965FD7"/>
    <w:rsid w:val="00966F67"/>
    <w:rsid w:val="00972B55"/>
    <w:rsid w:val="009743B7"/>
    <w:rsid w:val="00981288"/>
    <w:rsid w:val="0098228B"/>
    <w:rsid w:val="009828DA"/>
    <w:rsid w:val="0098410D"/>
    <w:rsid w:val="00985BAB"/>
    <w:rsid w:val="009A648D"/>
    <w:rsid w:val="009B1B5F"/>
    <w:rsid w:val="009B6673"/>
    <w:rsid w:val="009C191B"/>
    <w:rsid w:val="009C2BD6"/>
    <w:rsid w:val="009E1F32"/>
    <w:rsid w:val="009E776C"/>
    <w:rsid w:val="00A1726E"/>
    <w:rsid w:val="00A204CF"/>
    <w:rsid w:val="00A23D49"/>
    <w:rsid w:val="00A256E4"/>
    <w:rsid w:val="00A25709"/>
    <w:rsid w:val="00A27004"/>
    <w:rsid w:val="00A30C29"/>
    <w:rsid w:val="00A34DD6"/>
    <w:rsid w:val="00A36819"/>
    <w:rsid w:val="00A36989"/>
    <w:rsid w:val="00A43628"/>
    <w:rsid w:val="00A45145"/>
    <w:rsid w:val="00A54192"/>
    <w:rsid w:val="00A6035E"/>
    <w:rsid w:val="00A6144C"/>
    <w:rsid w:val="00A63749"/>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033B"/>
    <w:rsid w:val="00AF12C5"/>
    <w:rsid w:val="00AF4B07"/>
    <w:rsid w:val="00AF6186"/>
    <w:rsid w:val="00AF7A3A"/>
    <w:rsid w:val="00B0303E"/>
    <w:rsid w:val="00B0312D"/>
    <w:rsid w:val="00B05617"/>
    <w:rsid w:val="00B14793"/>
    <w:rsid w:val="00B14E8F"/>
    <w:rsid w:val="00B160DB"/>
    <w:rsid w:val="00B20836"/>
    <w:rsid w:val="00B235BB"/>
    <w:rsid w:val="00B27A44"/>
    <w:rsid w:val="00B30BBF"/>
    <w:rsid w:val="00B33C03"/>
    <w:rsid w:val="00B44E56"/>
    <w:rsid w:val="00B46543"/>
    <w:rsid w:val="00B47D33"/>
    <w:rsid w:val="00B52BE0"/>
    <w:rsid w:val="00B54133"/>
    <w:rsid w:val="00B54E19"/>
    <w:rsid w:val="00B701ED"/>
    <w:rsid w:val="00B748F7"/>
    <w:rsid w:val="00B8086C"/>
    <w:rsid w:val="00B82C95"/>
    <w:rsid w:val="00B861B4"/>
    <w:rsid w:val="00B8651E"/>
    <w:rsid w:val="00B86DFE"/>
    <w:rsid w:val="00B90990"/>
    <w:rsid w:val="00B922FF"/>
    <w:rsid w:val="00B9281E"/>
    <w:rsid w:val="00B93925"/>
    <w:rsid w:val="00B95187"/>
    <w:rsid w:val="00BA2D55"/>
    <w:rsid w:val="00BA71B1"/>
    <w:rsid w:val="00BB0637"/>
    <w:rsid w:val="00BB345F"/>
    <w:rsid w:val="00BB68EA"/>
    <w:rsid w:val="00BC1C27"/>
    <w:rsid w:val="00BC4AEC"/>
    <w:rsid w:val="00BC6BBF"/>
    <w:rsid w:val="00BD1572"/>
    <w:rsid w:val="00BE14E3"/>
    <w:rsid w:val="00BE3774"/>
    <w:rsid w:val="00BE41E5"/>
    <w:rsid w:val="00BE6716"/>
    <w:rsid w:val="00BE687E"/>
    <w:rsid w:val="00BF4109"/>
    <w:rsid w:val="00BF4CC3"/>
    <w:rsid w:val="00C054C7"/>
    <w:rsid w:val="00C057B5"/>
    <w:rsid w:val="00C22687"/>
    <w:rsid w:val="00C26D3D"/>
    <w:rsid w:val="00C32E4D"/>
    <w:rsid w:val="00C333A0"/>
    <w:rsid w:val="00C36A81"/>
    <w:rsid w:val="00C41974"/>
    <w:rsid w:val="00C53F4A"/>
    <w:rsid w:val="00C54125"/>
    <w:rsid w:val="00C55B54"/>
    <w:rsid w:val="00C6098E"/>
    <w:rsid w:val="00C6152C"/>
    <w:rsid w:val="00C74810"/>
    <w:rsid w:val="00C804C7"/>
    <w:rsid w:val="00C90D68"/>
    <w:rsid w:val="00C939FE"/>
    <w:rsid w:val="00CA4BDA"/>
    <w:rsid w:val="00CB1F66"/>
    <w:rsid w:val="00CB2951"/>
    <w:rsid w:val="00CC4820"/>
    <w:rsid w:val="00CD282B"/>
    <w:rsid w:val="00CD4C35"/>
    <w:rsid w:val="00CD7369"/>
    <w:rsid w:val="00CE0B0E"/>
    <w:rsid w:val="00CE3831"/>
    <w:rsid w:val="00CF2397"/>
    <w:rsid w:val="00CF78AC"/>
    <w:rsid w:val="00D00ABB"/>
    <w:rsid w:val="00D02EEC"/>
    <w:rsid w:val="00D03551"/>
    <w:rsid w:val="00D06A63"/>
    <w:rsid w:val="00D07E0E"/>
    <w:rsid w:val="00D11478"/>
    <w:rsid w:val="00D152CE"/>
    <w:rsid w:val="00D15ED0"/>
    <w:rsid w:val="00D21B3E"/>
    <w:rsid w:val="00D21FED"/>
    <w:rsid w:val="00D22431"/>
    <w:rsid w:val="00D24251"/>
    <w:rsid w:val="00D343E2"/>
    <w:rsid w:val="00D361A2"/>
    <w:rsid w:val="00D44C2E"/>
    <w:rsid w:val="00D45414"/>
    <w:rsid w:val="00D50A0A"/>
    <w:rsid w:val="00D566BD"/>
    <w:rsid w:val="00D57A4D"/>
    <w:rsid w:val="00D60AA7"/>
    <w:rsid w:val="00D62638"/>
    <w:rsid w:val="00D6435F"/>
    <w:rsid w:val="00D75E28"/>
    <w:rsid w:val="00D772C2"/>
    <w:rsid w:val="00D8008E"/>
    <w:rsid w:val="00D82C45"/>
    <w:rsid w:val="00D908A8"/>
    <w:rsid w:val="00D91084"/>
    <w:rsid w:val="00D96353"/>
    <w:rsid w:val="00D977B6"/>
    <w:rsid w:val="00DA4A31"/>
    <w:rsid w:val="00DA7B04"/>
    <w:rsid w:val="00DB36C2"/>
    <w:rsid w:val="00DB466E"/>
    <w:rsid w:val="00DB63CB"/>
    <w:rsid w:val="00DC169B"/>
    <w:rsid w:val="00DC2AB9"/>
    <w:rsid w:val="00DC4173"/>
    <w:rsid w:val="00DC63F0"/>
    <w:rsid w:val="00DD6EE5"/>
    <w:rsid w:val="00DE386C"/>
    <w:rsid w:val="00DE4D35"/>
    <w:rsid w:val="00DF098B"/>
    <w:rsid w:val="00DF11C4"/>
    <w:rsid w:val="00DF210C"/>
    <w:rsid w:val="00DF2CA3"/>
    <w:rsid w:val="00DF4B6A"/>
    <w:rsid w:val="00E02C09"/>
    <w:rsid w:val="00E04D59"/>
    <w:rsid w:val="00E05DBE"/>
    <w:rsid w:val="00E07DA1"/>
    <w:rsid w:val="00E1169D"/>
    <w:rsid w:val="00E123CB"/>
    <w:rsid w:val="00E20E13"/>
    <w:rsid w:val="00E21DBC"/>
    <w:rsid w:val="00E224EE"/>
    <w:rsid w:val="00E275D7"/>
    <w:rsid w:val="00E27DBE"/>
    <w:rsid w:val="00E32AB1"/>
    <w:rsid w:val="00E36C71"/>
    <w:rsid w:val="00E40404"/>
    <w:rsid w:val="00E42FB7"/>
    <w:rsid w:val="00E459C6"/>
    <w:rsid w:val="00E47589"/>
    <w:rsid w:val="00E64915"/>
    <w:rsid w:val="00E64CD9"/>
    <w:rsid w:val="00E661D4"/>
    <w:rsid w:val="00E70091"/>
    <w:rsid w:val="00E720F5"/>
    <w:rsid w:val="00E72A3F"/>
    <w:rsid w:val="00E76D47"/>
    <w:rsid w:val="00E849F7"/>
    <w:rsid w:val="00E90302"/>
    <w:rsid w:val="00E97396"/>
    <w:rsid w:val="00EA185E"/>
    <w:rsid w:val="00EA592A"/>
    <w:rsid w:val="00EB14E4"/>
    <w:rsid w:val="00EB32A5"/>
    <w:rsid w:val="00EB34ED"/>
    <w:rsid w:val="00EB4058"/>
    <w:rsid w:val="00EB447C"/>
    <w:rsid w:val="00EB7BE0"/>
    <w:rsid w:val="00EC315E"/>
    <w:rsid w:val="00ED077C"/>
    <w:rsid w:val="00ED1190"/>
    <w:rsid w:val="00ED3202"/>
    <w:rsid w:val="00ED6544"/>
    <w:rsid w:val="00EE0277"/>
    <w:rsid w:val="00EE3E00"/>
    <w:rsid w:val="00EE5DD2"/>
    <w:rsid w:val="00EF0531"/>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845CE"/>
    <w:rsid w:val="00F8765F"/>
    <w:rsid w:val="00F90767"/>
    <w:rsid w:val="00FA3A60"/>
    <w:rsid w:val="00FA685B"/>
    <w:rsid w:val="00FB0C01"/>
    <w:rsid w:val="00FC18F2"/>
    <w:rsid w:val="00FC39E5"/>
    <w:rsid w:val="00FC3A78"/>
    <w:rsid w:val="00FC5C4D"/>
    <w:rsid w:val="00FD1005"/>
    <w:rsid w:val="00FD6C75"/>
    <w:rsid w:val="00FE0718"/>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98410D"/>
    <w:pPr>
      <w:jc w:val="both"/>
    </w:pPr>
    <w:rPr>
      <w:sz w:val="24"/>
    </w:rPr>
  </w:style>
  <w:style w:type="paragraph" w:styleId="Nagwek1">
    <w:name w:val="heading 1"/>
    <w:basedOn w:val="Normalny"/>
    <w:next w:val="Normalny"/>
    <w:link w:val="Nagwek1Znak"/>
    <w:uiPriority w:val="99"/>
    <w:qFormat/>
    <w:rsid w:val="00941747"/>
    <w:pPr>
      <w:spacing w:before="480"/>
      <w:contextualSpacing/>
      <w:outlineLvl w:val="0"/>
    </w:pPr>
    <w:rPr>
      <w:b/>
      <w:bCs/>
      <w:color w:val="333333"/>
      <w:sz w:val="28"/>
      <w:szCs w:val="28"/>
    </w:rPr>
  </w:style>
  <w:style w:type="paragraph" w:styleId="Nagwek2">
    <w:name w:val="heading 2"/>
    <w:basedOn w:val="Normalny"/>
    <w:next w:val="Normalny"/>
    <w:link w:val="Nagwek2Znak"/>
    <w:uiPriority w:val="99"/>
    <w:qFormat/>
    <w:rsid w:val="00941747"/>
    <w:pPr>
      <w:spacing w:before="200"/>
      <w:outlineLvl w:val="1"/>
    </w:pPr>
    <w:rPr>
      <w:b/>
      <w:bCs/>
      <w:color w:val="4D4D4D"/>
      <w:sz w:val="26"/>
      <w:szCs w:val="26"/>
    </w:rPr>
  </w:style>
  <w:style w:type="paragraph" w:styleId="Nagwek3">
    <w:name w:val="heading 3"/>
    <w:basedOn w:val="Normalny"/>
    <w:next w:val="Normalny"/>
    <w:link w:val="Nagwek3Znak"/>
    <w:uiPriority w:val="99"/>
    <w:qFormat/>
    <w:rsid w:val="00941747"/>
    <w:pPr>
      <w:spacing w:before="200" w:line="271" w:lineRule="auto"/>
      <w:outlineLvl w:val="2"/>
    </w:pPr>
    <w:rPr>
      <w:b/>
      <w:bCs/>
      <w:color w:val="5F5F5F"/>
    </w:rPr>
  </w:style>
  <w:style w:type="paragraph" w:styleId="Nagwek4">
    <w:name w:val="heading 4"/>
    <w:basedOn w:val="Normalny"/>
    <w:next w:val="Normalny"/>
    <w:link w:val="Nagwek4Znak"/>
    <w:uiPriority w:val="99"/>
    <w:qFormat/>
    <w:rsid w:val="00941747"/>
    <w:pPr>
      <w:spacing w:before="200"/>
      <w:outlineLvl w:val="3"/>
    </w:pPr>
    <w:rPr>
      <w:b/>
      <w:bCs/>
      <w:i/>
      <w:iCs/>
      <w:color w:val="777777"/>
    </w:rPr>
  </w:style>
  <w:style w:type="paragraph" w:styleId="Nagwek5">
    <w:name w:val="heading 5"/>
    <w:basedOn w:val="Normalny"/>
    <w:next w:val="Normalny"/>
    <w:link w:val="Nagwek5Znak"/>
    <w:uiPriority w:val="99"/>
    <w:qFormat/>
    <w:rsid w:val="0098410D"/>
    <w:pPr>
      <w:spacing w:before="200"/>
      <w:outlineLvl w:val="4"/>
    </w:pPr>
    <w:rPr>
      <w:b/>
      <w:bCs/>
      <w:color w:val="808080"/>
      <w:sz w:val="22"/>
    </w:rPr>
  </w:style>
  <w:style w:type="paragraph" w:styleId="Nagwek6">
    <w:name w:val="heading 6"/>
    <w:basedOn w:val="Normalny"/>
    <w:next w:val="Normalny"/>
    <w:link w:val="Nagwek6Znak"/>
    <w:uiPriority w:val="99"/>
    <w:qFormat/>
    <w:rsid w:val="00941747"/>
    <w:pPr>
      <w:spacing w:line="271" w:lineRule="auto"/>
      <w:outlineLvl w:val="5"/>
    </w:pPr>
    <w:rPr>
      <w:b/>
      <w:bCs/>
      <w:i/>
      <w:iCs/>
      <w:color w:val="7F7F7F"/>
    </w:rPr>
  </w:style>
  <w:style w:type="paragraph" w:styleId="Nagwek7">
    <w:name w:val="heading 7"/>
    <w:basedOn w:val="Normalny"/>
    <w:next w:val="Normalny"/>
    <w:link w:val="Nagwek7Znak"/>
    <w:uiPriority w:val="99"/>
    <w:qFormat/>
    <w:rsid w:val="0098410D"/>
    <w:pPr>
      <w:outlineLvl w:val="6"/>
    </w:pPr>
    <w:rPr>
      <w:i/>
      <w:iCs/>
      <w:sz w:val="22"/>
    </w:rPr>
  </w:style>
  <w:style w:type="paragraph" w:styleId="Nagwek8">
    <w:name w:val="heading 8"/>
    <w:basedOn w:val="Normalny"/>
    <w:next w:val="Normalny"/>
    <w:link w:val="Nagwek8Znak"/>
    <w:uiPriority w:val="99"/>
    <w:qFormat/>
    <w:rsid w:val="0098410D"/>
    <w:pPr>
      <w:outlineLvl w:val="7"/>
    </w:pPr>
    <w:rPr>
      <w:sz w:val="20"/>
      <w:szCs w:val="20"/>
    </w:rPr>
  </w:style>
  <w:style w:type="paragraph" w:styleId="Nagwek9">
    <w:name w:val="heading 9"/>
    <w:basedOn w:val="Normalny"/>
    <w:next w:val="Normalny"/>
    <w:link w:val="Nagwek9Znak"/>
    <w:uiPriority w:val="99"/>
    <w:qFormat/>
    <w:rsid w:val="0098410D"/>
    <w:p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A671F8"/>
    <w:rPr>
      <w:rFonts w:ascii="Times New Roman"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A671F8"/>
    <w:rPr>
      <w:rFonts w:ascii="Times New Roman"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A671F8"/>
    <w:rPr>
      <w:rFonts w:ascii="Times New Roman" w:hAnsi="Times New Roman" w:cs="Times New Roman"/>
      <w:b/>
      <w:bCs/>
      <w:color w:val="5F5F5F"/>
    </w:rPr>
  </w:style>
  <w:style w:type="character" w:customStyle="1" w:styleId="Nagwek4Znak">
    <w:name w:val="Nagłówek 4 Znak"/>
    <w:basedOn w:val="Domylnaczcionkaakapitu"/>
    <w:link w:val="Nagwek4"/>
    <w:uiPriority w:val="99"/>
    <w:semiHidden/>
    <w:locked/>
    <w:rsid w:val="00A671F8"/>
    <w:rPr>
      <w:rFonts w:ascii="Times New Roman" w:hAnsi="Times New Roman" w:cs="Times New Roman"/>
      <w:b/>
      <w:bCs/>
      <w:i/>
      <w:iCs/>
      <w:color w:val="777777"/>
    </w:rPr>
  </w:style>
  <w:style w:type="character" w:customStyle="1" w:styleId="Nagwek5Znak">
    <w:name w:val="Nagłówek 5 Znak"/>
    <w:basedOn w:val="Domylnaczcionkaakapitu"/>
    <w:link w:val="Nagwek5"/>
    <w:uiPriority w:val="99"/>
    <w:semiHidden/>
    <w:locked/>
    <w:rsid w:val="0098410D"/>
    <w:rPr>
      <w:rFonts w:ascii="Times New Roman" w:hAnsi="Times New Roman" w:cs="Times New Roman"/>
      <w:b/>
      <w:bCs/>
      <w:color w:val="808080"/>
    </w:rPr>
  </w:style>
  <w:style w:type="character" w:customStyle="1" w:styleId="Nagwek6Znak">
    <w:name w:val="Nagłówek 6 Znak"/>
    <w:basedOn w:val="Domylnaczcionkaakapitu"/>
    <w:link w:val="Nagwek6"/>
    <w:uiPriority w:val="99"/>
    <w:semiHidden/>
    <w:locked/>
    <w:rsid w:val="00A671F8"/>
    <w:rPr>
      <w:rFonts w:ascii="Times New Roman" w:hAnsi="Times New Roman" w:cs="Times New Roman"/>
      <w:b/>
      <w:bCs/>
      <w:i/>
      <w:iCs/>
      <w:color w:val="7F7F7F"/>
    </w:rPr>
  </w:style>
  <w:style w:type="character" w:customStyle="1" w:styleId="Nagwek7Znak">
    <w:name w:val="Nagłówek 7 Znak"/>
    <w:basedOn w:val="Domylnaczcionkaakapitu"/>
    <w:link w:val="Nagwek7"/>
    <w:uiPriority w:val="99"/>
    <w:semiHidden/>
    <w:locked/>
    <w:rsid w:val="0098410D"/>
    <w:rPr>
      <w:rFonts w:ascii="Times New Roman" w:hAnsi="Times New Roman" w:cs="Times New Roman"/>
      <w:i/>
      <w:iCs/>
    </w:rPr>
  </w:style>
  <w:style w:type="character" w:customStyle="1" w:styleId="Nagwek8Znak">
    <w:name w:val="Nagłówek 8 Znak"/>
    <w:basedOn w:val="Domylnaczcionkaakapitu"/>
    <w:link w:val="Nagwek8"/>
    <w:uiPriority w:val="99"/>
    <w:semiHidden/>
    <w:locked/>
    <w:rsid w:val="0098410D"/>
    <w:rPr>
      <w:rFonts w:ascii="Times New Roman" w:hAnsi="Times New Roman" w:cs="Times New Roman"/>
      <w:sz w:val="20"/>
      <w:szCs w:val="20"/>
    </w:rPr>
  </w:style>
  <w:style w:type="character" w:customStyle="1" w:styleId="Nagwek9Znak">
    <w:name w:val="Nagłówek 9 Znak"/>
    <w:basedOn w:val="Domylnaczcionkaakapitu"/>
    <w:link w:val="Nagwek9"/>
    <w:uiPriority w:val="99"/>
    <w:semiHidden/>
    <w:locked/>
    <w:rsid w:val="0098410D"/>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671F8"/>
    <w:rPr>
      <w:rFonts w:ascii="Tahoma" w:hAnsi="Tahoma" w:cs="Tahoma"/>
      <w:sz w:val="16"/>
      <w:szCs w:val="16"/>
    </w:rPr>
  </w:style>
  <w:style w:type="character" w:styleId="Tytuksiki">
    <w:name w:val="Book Title"/>
    <w:basedOn w:val="Domylnaczcionkaakapitu"/>
    <w:uiPriority w:val="99"/>
    <w:qFormat/>
    <w:rsid w:val="0098410D"/>
    <w:rPr>
      <w:rFonts w:cs="Times New Roman"/>
      <w:i/>
      <w:smallCaps/>
      <w:spacing w:val="5"/>
    </w:rPr>
  </w:style>
  <w:style w:type="paragraph" w:customStyle="1" w:styleId="ECHRHeader">
    <w:name w:val="ECHR_Header"/>
    <w:aliases w:val="Ju_Header"/>
    <w:basedOn w:val="Nagwek"/>
    <w:uiPriority w:val="99"/>
    <w:rsid w:val="0098410D"/>
    <w:pPr>
      <w:tabs>
        <w:tab w:val="clear" w:pos="4536"/>
        <w:tab w:val="clear" w:pos="9696"/>
        <w:tab w:val="center" w:pos="3686"/>
        <w:tab w:val="right" w:pos="7371"/>
      </w:tabs>
      <w:ind w:left="0" w:right="0"/>
      <w:jc w:val="left"/>
    </w:pPr>
    <w:rPr>
      <w:sz w:val="18"/>
    </w:rPr>
  </w:style>
  <w:style w:type="paragraph" w:customStyle="1" w:styleId="OpiPara">
    <w:name w:val="Opi_Para"/>
    <w:basedOn w:val="ECHRPara"/>
    <w:uiPriority w:val="99"/>
    <w:rsid w:val="0098410D"/>
  </w:style>
  <w:style w:type="character" w:styleId="Pogrubienie">
    <w:name w:val="Strong"/>
    <w:basedOn w:val="Domylnaczcionkaakapitu"/>
    <w:uiPriority w:val="99"/>
    <w:qFormat/>
    <w:rsid w:val="0098410D"/>
    <w:rPr>
      <w:rFonts w:cs="Times New Roman"/>
      <w:b/>
    </w:rPr>
  </w:style>
  <w:style w:type="paragraph" w:styleId="Bezodstpw">
    <w:name w:val="No Spacing"/>
    <w:basedOn w:val="Normalny"/>
    <w:link w:val="BezodstpwZnak"/>
    <w:uiPriority w:val="99"/>
    <w:qFormat/>
    <w:rsid w:val="0098410D"/>
    <w:rPr>
      <w:sz w:val="22"/>
    </w:rPr>
  </w:style>
  <w:style w:type="character" w:customStyle="1" w:styleId="BezodstpwZnak">
    <w:name w:val="Bez odstępów Znak"/>
    <w:basedOn w:val="Domylnaczcionkaakapitu"/>
    <w:link w:val="Bezodstpw"/>
    <w:uiPriority w:val="99"/>
    <w:semiHidden/>
    <w:locked/>
    <w:rsid w:val="0098410D"/>
    <w:rPr>
      <w:rFonts w:eastAsia="Times New Roman" w:cs="Times New Roman"/>
    </w:rPr>
  </w:style>
  <w:style w:type="paragraph" w:customStyle="1" w:styleId="ECHRParaQuote">
    <w:name w:val="ECHR_Para_Quote"/>
    <w:aliases w:val="Ju_Quot"/>
    <w:basedOn w:val="Normalny"/>
    <w:uiPriority w:val="99"/>
    <w:rsid w:val="0098410D"/>
    <w:pPr>
      <w:spacing w:before="120" w:after="120"/>
      <w:ind w:left="425" w:firstLine="142"/>
    </w:pPr>
    <w:rPr>
      <w:sz w:val="20"/>
    </w:rPr>
  </w:style>
  <w:style w:type="paragraph" w:customStyle="1" w:styleId="JuParaSub">
    <w:name w:val="Ju_Para_Sub"/>
    <w:basedOn w:val="ECHRPara"/>
    <w:uiPriority w:val="99"/>
    <w:rsid w:val="0098410D"/>
    <w:pPr>
      <w:ind w:left="284"/>
    </w:pPr>
  </w:style>
  <w:style w:type="paragraph" w:customStyle="1" w:styleId="OpiParaSub">
    <w:name w:val="Opi_Para_Sub"/>
    <w:basedOn w:val="JuParaSub"/>
    <w:uiPriority w:val="99"/>
    <w:rsid w:val="0098410D"/>
  </w:style>
  <w:style w:type="paragraph" w:customStyle="1" w:styleId="OpiQuot">
    <w:name w:val="Opi_Quot"/>
    <w:basedOn w:val="ECHRParaQuote"/>
    <w:uiPriority w:val="99"/>
    <w:rsid w:val="0098410D"/>
  </w:style>
  <w:style w:type="paragraph" w:customStyle="1" w:styleId="OpiQuotSub">
    <w:name w:val="Opi_Quot_Sub"/>
    <w:basedOn w:val="JuQuotSub"/>
    <w:uiPriority w:val="99"/>
    <w:rsid w:val="0098410D"/>
  </w:style>
  <w:style w:type="paragraph" w:customStyle="1" w:styleId="ECHRTitleCentre3">
    <w:name w:val="ECHR_Title_Centre_3"/>
    <w:aliases w:val="Ju_H_Article"/>
    <w:basedOn w:val="Normalny"/>
    <w:next w:val="ECHRParaQuote"/>
    <w:uiPriority w:val="99"/>
    <w:rsid w:val="0098410D"/>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98410D"/>
    <w:pPr>
      <w:keepNext/>
      <w:keepLines/>
      <w:spacing w:after="240"/>
      <w:jc w:val="center"/>
      <w:outlineLvl w:val="0"/>
    </w:pPr>
    <w:rPr>
      <w:sz w:val="28"/>
    </w:rPr>
  </w:style>
  <w:style w:type="paragraph" w:customStyle="1" w:styleId="JuQuotSub">
    <w:name w:val="Ju_Quot_Sub"/>
    <w:basedOn w:val="ECHRParaQuote"/>
    <w:uiPriority w:val="99"/>
    <w:rsid w:val="0098410D"/>
    <w:pPr>
      <w:ind w:left="567"/>
    </w:pPr>
  </w:style>
  <w:style w:type="paragraph" w:customStyle="1" w:styleId="ECHRTitle1">
    <w:name w:val="ECHR_Title_1"/>
    <w:aliases w:val="Ju_H_Head"/>
    <w:basedOn w:val="Normalny"/>
    <w:next w:val="ECHRPara"/>
    <w:uiPriority w:val="99"/>
    <w:rsid w:val="0098410D"/>
    <w:pPr>
      <w:keepNext/>
      <w:keepLines/>
      <w:spacing w:before="720" w:after="240"/>
      <w:outlineLvl w:val="0"/>
    </w:pPr>
    <w:rPr>
      <w:sz w:val="28"/>
    </w:rPr>
  </w:style>
  <w:style w:type="paragraph" w:customStyle="1" w:styleId="JuInitialled">
    <w:name w:val="Ju_Initialled"/>
    <w:basedOn w:val="Normalny"/>
    <w:uiPriority w:val="99"/>
    <w:rsid w:val="0098410D"/>
    <w:pPr>
      <w:tabs>
        <w:tab w:val="center" w:pos="6407"/>
      </w:tabs>
      <w:spacing w:before="720"/>
      <w:jc w:val="right"/>
    </w:pPr>
  </w:style>
  <w:style w:type="paragraph" w:customStyle="1" w:styleId="JuSigned">
    <w:name w:val="Ju_Signed"/>
    <w:basedOn w:val="Normalny"/>
    <w:next w:val="JuParaLast"/>
    <w:uiPriority w:val="99"/>
    <w:rsid w:val="0098410D"/>
    <w:pPr>
      <w:tabs>
        <w:tab w:val="center" w:pos="851"/>
        <w:tab w:val="center" w:pos="6407"/>
      </w:tabs>
      <w:spacing w:before="720"/>
      <w:jc w:val="left"/>
    </w:pPr>
  </w:style>
  <w:style w:type="paragraph" w:styleId="Tytu">
    <w:name w:val="Title"/>
    <w:basedOn w:val="Normalny"/>
    <w:next w:val="Normalny"/>
    <w:link w:val="TytuZnak"/>
    <w:uiPriority w:val="99"/>
    <w:qFormat/>
    <w:rsid w:val="0098410D"/>
    <w:pPr>
      <w:pBdr>
        <w:bottom w:val="single" w:sz="4" w:space="1" w:color="auto"/>
      </w:pBdr>
      <w:contextualSpacing/>
    </w:pPr>
    <w:rPr>
      <w:spacing w:val="5"/>
      <w:sz w:val="52"/>
      <w:szCs w:val="52"/>
    </w:rPr>
  </w:style>
  <w:style w:type="character" w:customStyle="1" w:styleId="TytuZnak">
    <w:name w:val="Tytuł Znak"/>
    <w:basedOn w:val="Domylnaczcionkaakapitu"/>
    <w:link w:val="Tytu"/>
    <w:uiPriority w:val="99"/>
    <w:semiHidden/>
    <w:locked/>
    <w:rsid w:val="0098410D"/>
    <w:rPr>
      <w:rFonts w:ascii="Times New Roman" w:hAnsi="Times New Roman" w:cs="Times New Roman"/>
      <w:spacing w:val="5"/>
      <w:sz w:val="52"/>
      <w:szCs w:val="52"/>
    </w:rPr>
  </w:style>
  <w:style w:type="paragraph" w:customStyle="1" w:styleId="OpiHA">
    <w:name w:val="Opi_H_A"/>
    <w:basedOn w:val="ECHRHeading1"/>
    <w:next w:val="OpiPara"/>
    <w:uiPriority w:val="99"/>
    <w:rsid w:val="0098410D"/>
    <w:pPr>
      <w:tabs>
        <w:tab w:val="clear" w:pos="357"/>
      </w:tabs>
      <w:outlineLvl w:val="1"/>
    </w:pPr>
    <w:rPr>
      <w:b/>
    </w:rPr>
  </w:style>
  <w:style w:type="character" w:customStyle="1" w:styleId="JUNAMES">
    <w:name w:val="JU_NAMES"/>
    <w:uiPriority w:val="99"/>
    <w:rsid w:val="0098410D"/>
    <w:rPr>
      <w:smallCaps/>
    </w:rPr>
  </w:style>
  <w:style w:type="character" w:customStyle="1" w:styleId="JuITMark">
    <w:name w:val="Ju_ITMark"/>
    <w:basedOn w:val="Domylnaczcionkaakapitu"/>
    <w:uiPriority w:val="99"/>
    <w:rsid w:val="0098410D"/>
    <w:rPr>
      <w:rFonts w:cs="Times New Roman"/>
      <w:vanish/>
      <w:color w:val="339966"/>
      <w:sz w:val="14"/>
    </w:rPr>
  </w:style>
  <w:style w:type="paragraph" w:customStyle="1" w:styleId="OpiTranslation">
    <w:name w:val="Opi_Translation"/>
    <w:basedOn w:val="Normalny"/>
    <w:next w:val="OpiPara"/>
    <w:uiPriority w:val="99"/>
    <w:rsid w:val="0098410D"/>
    <w:pPr>
      <w:jc w:val="center"/>
      <w:outlineLvl w:val="0"/>
    </w:pPr>
    <w:rPr>
      <w:i/>
    </w:rPr>
  </w:style>
  <w:style w:type="paragraph" w:customStyle="1" w:styleId="JuCourt">
    <w:name w:val="Ju_Court"/>
    <w:basedOn w:val="Normalny"/>
    <w:next w:val="Normalny"/>
    <w:uiPriority w:val="99"/>
    <w:rsid w:val="0098410D"/>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99"/>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99"/>
    <w:semiHidden/>
    <w:locked/>
    <w:rsid w:val="008D4752"/>
    <w:rPr>
      <w:rFonts w:cs="Times New Roman"/>
    </w:rPr>
  </w:style>
  <w:style w:type="paragraph" w:customStyle="1" w:styleId="ECHRHeading4">
    <w:name w:val="ECHR_Heading_4"/>
    <w:aliases w:val="Ju_H_a"/>
    <w:basedOn w:val="Nagwek4"/>
    <w:next w:val="ECHRPara"/>
    <w:uiPriority w:val="99"/>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98410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98410D"/>
    <w:pPr>
      <w:keepNext/>
      <w:keepLines/>
      <w:spacing w:before="240" w:after="120"/>
      <w:ind w:left="1236"/>
    </w:pPr>
    <w:rPr>
      <w:sz w:val="20"/>
    </w:rPr>
  </w:style>
  <w:style w:type="paragraph" w:customStyle="1" w:styleId="JuParaLast">
    <w:name w:val="Ju_Para_Last"/>
    <w:basedOn w:val="Normalny"/>
    <w:next w:val="ECHRPara"/>
    <w:uiPriority w:val="99"/>
    <w:rsid w:val="0098410D"/>
    <w:pPr>
      <w:keepNext/>
      <w:keepLines/>
      <w:spacing w:before="240"/>
      <w:ind w:firstLine="284"/>
    </w:pPr>
  </w:style>
  <w:style w:type="paragraph" w:customStyle="1" w:styleId="ECHRDecisionBody">
    <w:name w:val="ECHR_Decision_Body"/>
    <w:aliases w:val="Ju_Judges"/>
    <w:basedOn w:val="Normalny"/>
    <w:uiPriority w:val="99"/>
    <w:rsid w:val="0098410D"/>
    <w:pPr>
      <w:tabs>
        <w:tab w:val="left" w:pos="567"/>
        <w:tab w:val="left" w:pos="1134"/>
      </w:tabs>
      <w:jc w:val="left"/>
    </w:pPr>
  </w:style>
  <w:style w:type="paragraph" w:customStyle="1" w:styleId="JuList">
    <w:name w:val="Ju_List"/>
    <w:basedOn w:val="Normalny"/>
    <w:uiPriority w:val="99"/>
    <w:rsid w:val="0098410D"/>
    <w:pPr>
      <w:ind w:left="340" w:hanging="340"/>
    </w:pPr>
  </w:style>
  <w:style w:type="paragraph" w:customStyle="1" w:styleId="JuLista">
    <w:name w:val="Ju_List_a"/>
    <w:basedOn w:val="JuList"/>
    <w:uiPriority w:val="99"/>
    <w:rsid w:val="0098410D"/>
    <w:pPr>
      <w:ind w:left="346" w:firstLine="0"/>
    </w:pPr>
  </w:style>
  <w:style w:type="paragraph" w:customStyle="1" w:styleId="JuListi">
    <w:name w:val="Ju_List_i"/>
    <w:basedOn w:val="Normalny"/>
    <w:next w:val="JuLista"/>
    <w:uiPriority w:val="99"/>
    <w:rsid w:val="0098410D"/>
    <w:pPr>
      <w:ind w:left="794"/>
    </w:pPr>
  </w:style>
  <w:style w:type="character" w:styleId="Wyrnieniedelikatne">
    <w:name w:val="Subtle Emphasis"/>
    <w:basedOn w:val="Domylnaczcionkaakapitu"/>
    <w:uiPriority w:val="99"/>
    <w:qFormat/>
    <w:rsid w:val="0098410D"/>
    <w:rPr>
      <w:rFonts w:cs="Times New Roman"/>
      <w:i/>
    </w:rPr>
  </w:style>
  <w:style w:type="paragraph" w:customStyle="1" w:styleId="OpiH1">
    <w:name w:val="Opi_H_1"/>
    <w:basedOn w:val="ECHRHeading2"/>
    <w:uiPriority w:val="99"/>
    <w:rsid w:val="0098410D"/>
    <w:pPr>
      <w:ind w:left="635" w:hanging="357"/>
      <w:outlineLvl w:val="2"/>
    </w:pPr>
  </w:style>
  <w:style w:type="table" w:customStyle="1" w:styleId="ECHRTable">
    <w:name w:val="ECHR_Table"/>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rPr>
    <w:tblPr>
      <w:tblInd w:w="0" w:type="dxa"/>
      <w:tblCellMar>
        <w:top w:w="57" w:type="dxa"/>
        <w:left w:w="57" w:type="dxa"/>
        <w:bottom w:w="57" w:type="dxa"/>
        <w:right w:w="57" w:type="dxa"/>
      </w:tblCellMar>
    </w:tblPr>
    <w:tcPr>
      <w:shd w:val="clear" w:color="auto" w:fill="F8F8F8"/>
    </w:tcPr>
  </w:style>
  <w:style w:type="paragraph" w:customStyle="1" w:styleId="OpiHa0">
    <w:name w:val="Opi_H_a"/>
    <w:basedOn w:val="ECHRHeading3"/>
    <w:uiPriority w:val="99"/>
    <w:rsid w:val="0098410D"/>
    <w:pPr>
      <w:ind w:left="833" w:hanging="357"/>
      <w:outlineLvl w:val="3"/>
    </w:pPr>
    <w:rPr>
      <w:b/>
      <w:i w:val="0"/>
      <w:sz w:val="20"/>
    </w:rPr>
  </w:style>
  <w:style w:type="paragraph" w:customStyle="1" w:styleId="OpiHi">
    <w:name w:val="Opi_H_i"/>
    <w:basedOn w:val="ECHRHeading4"/>
    <w:uiPriority w:val="99"/>
    <w:rsid w:val="0098410D"/>
    <w:pPr>
      <w:ind w:left="1037" w:hanging="357"/>
      <w:outlineLvl w:val="4"/>
    </w:pPr>
    <w:rPr>
      <w:b w:val="0"/>
      <w:i/>
    </w:rPr>
  </w:style>
  <w:style w:type="paragraph" w:customStyle="1" w:styleId="DummyStyle">
    <w:name w:val="Dummy_Style"/>
    <w:basedOn w:val="Normalny"/>
    <w:uiPriority w:val="99"/>
    <w:semiHidden/>
    <w:rsid w:val="0098410D"/>
    <w:rPr>
      <w:color w:val="00B050"/>
    </w:rPr>
  </w:style>
  <w:style w:type="character" w:styleId="Uwydatnienie">
    <w:name w:val="Emphasis"/>
    <w:basedOn w:val="Domylnaczcionkaakapitu"/>
    <w:uiPriority w:val="99"/>
    <w:qFormat/>
    <w:rsid w:val="0098410D"/>
    <w:rPr>
      <w:rFonts w:cs="Times New Roman"/>
      <w:b/>
      <w:i/>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8D4752"/>
    <w:rPr>
      <w:rFonts w:cs="Times New Roman"/>
    </w:rPr>
  </w:style>
  <w:style w:type="character" w:styleId="Odwoanieprzypisudolnego">
    <w:name w:val="footnote reference"/>
    <w:basedOn w:val="Domylnaczcionkaakapitu"/>
    <w:uiPriority w:val="99"/>
    <w:semiHidden/>
    <w:rsid w:val="00941747"/>
    <w:rPr>
      <w:rFonts w:cs="Times New Roman"/>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locked/>
    <w:rsid w:val="00A671F8"/>
    <w:rPr>
      <w:rFonts w:eastAsia="Times New Roman" w:cs="Times New Roman"/>
      <w:sz w:val="20"/>
      <w:szCs w:val="20"/>
    </w:rPr>
  </w:style>
  <w:style w:type="character" w:styleId="Hipercze">
    <w:name w:val="Hyperlink"/>
    <w:basedOn w:val="Domylnaczcionkaakapitu"/>
    <w:uiPriority w:val="99"/>
    <w:rsid w:val="00941747"/>
    <w:rPr>
      <w:rFonts w:cs="Times New Roman"/>
      <w:color w:val="0072BC"/>
      <w:u w:val="single"/>
    </w:rPr>
  </w:style>
  <w:style w:type="character" w:styleId="Wyrnienieintensywne">
    <w:name w:val="Intense Emphasis"/>
    <w:basedOn w:val="Domylnaczcionkaakapitu"/>
    <w:uiPriority w:val="99"/>
    <w:qFormat/>
    <w:rsid w:val="0098410D"/>
    <w:rPr>
      <w:rFonts w:cs="Times New Roman"/>
      <w:b/>
    </w:rPr>
  </w:style>
  <w:style w:type="paragraph" w:styleId="Cytatintensywny">
    <w:name w:val="Intense Quote"/>
    <w:basedOn w:val="Normalny"/>
    <w:next w:val="Normalny"/>
    <w:link w:val="CytatintensywnyZnak"/>
    <w:uiPriority w:val="99"/>
    <w:qFormat/>
    <w:rsid w:val="0098410D"/>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sid w:val="0098410D"/>
    <w:rPr>
      <w:rFonts w:eastAsia="Times New Roman" w:cs="Times New Roman"/>
      <w:b/>
      <w:bCs/>
      <w:i/>
      <w:iCs/>
    </w:rPr>
  </w:style>
  <w:style w:type="character" w:styleId="Odwoanieintensywne">
    <w:name w:val="Intense Reference"/>
    <w:basedOn w:val="Domylnaczcionkaakapitu"/>
    <w:uiPriority w:val="99"/>
    <w:qFormat/>
    <w:rsid w:val="0098410D"/>
    <w:rPr>
      <w:rFonts w:cs="Times New Roman"/>
      <w:smallCaps/>
      <w:spacing w:val="5"/>
      <w:u w:val="single"/>
    </w:rPr>
  </w:style>
  <w:style w:type="paragraph" w:styleId="Akapitzlist">
    <w:name w:val="List Paragraph"/>
    <w:basedOn w:val="Normalny"/>
    <w:uiPriority w:val="99"/>
    <w:qFormat/>
    <w:rsid w:val="0098410D"/>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98410D"/>
    <w:pPr>
      <w:spacing w:before="200"/>
      <w:ind w:left="360" w:right="360"/>
    </w:pPr>
    <w:rPr>
      <w:i/>
      <w:iCs/>
      <w:sz w:val="22"/>
    </w:rPr>
  </w:style>
  <w:style w:type="character" w:customStyle="1" w:styleId="CytatZnak">
    <w:name w:val="Cytat Znak"/>
    <w:basedOn w:val="Domylnaczcionkaakapitu"/>
    <w:link w:val="Cytat"/>
    <w:uiPriority w:val="99"/>
    <w:semiHidden/>
    <w:locked/>
    <w:rsid w:val="0098410D"/>
    <w:rPr>
      <w:rFonts w:eastAsia="Times New Roman" w:cs="Times New Roman"/>
      <w:i/>
      <w:iCs/>
    </w:rPr>
  </w:style>
  <w:style w:type="character" w:styleId="Odwoaniedelikatne">
    <w:name w:val="Subtle Reference"/>
    <w:basedOn w:val="Domylnaczcionkaakapitu"/>
    <w:uiPriority w:val="99"/>
    <w:qFormat/>
    <w:rsid w:val="0098410D"/>
    <w:rPr>
      <w:rFonts w:cs="Times New Roman"/>
      <w:smallCaps/>
    </w:rPr>
  </w:style>
  <w:style w:type="table" w:styleId="Tabela-Siatka">
    <w:name w:val="Table Grid"/>
    <w:basedOn w:val="Standardowy"/>
    <w:uiPriority w:val="99"/>
    <w:semiHidden/>
    <w:rsid w:val="0094174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EA185E"/>
    <w:pPr>
      <w:spacing w:before="120" w:after="60"/>
      <w:ind w:left="340" w:right="340" w:hanging="340"/>
    </w:pPr>
    <w:rPr>
      <w:color w:val="0D0D0D"/>
    </w:rPr>
  </w:style>
  <w:style w:type="paragraph" w:styleId="Spistreci2">
    <w:name w:val="toc 2"/>
    <w:basedOn w:val="Normalny"/>
    <w:next w:val="Normalny"/>
    <w:autoRedefine/>
    <w:uiPriority w:val="99"/>
    <w:rsid w:val="00EA185E"/>
    <w:pPr>
      <w:spacing w:after="60"/>
      <w:ind w:left="680" w:right="340" w:hanging="340"/>
    </w:pPr>
  </w:style>
  <w:style w:type="paragraph" w:styleId="Spistreci3">
    <w:name w:val="toc 3"/>
    <w:basedOn w:val="Normalny"/>
    <w:next w:val="Normalny"/>
    <w:autoRedefine/>
    <w:uiPriority w:val="99"/>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98410D"/>
    <w:pPr>
      <w:outlineLvl w:val="9"/>
    </w:pPr>
    <w:rPr>
      <w:color w:val="474747"/>
    </w:rPr>
  </w:style>
  <w:style w:type="table" w:customStyle="1" w:styleId="UGTable">
    <w:name w:val="UG_Table"/>
    <w:uiPriority w:val="99"/>
    <w:rsid w:val="00572845"/>
    <w:rPr>
      <w:sz w:val="20"/>
      <w:szCs w:val="20"/>
    </w:rPr>
    <w:tblPr>
      <w:tblInd w:w="-964" w:type="dxa"/>
      <w:tblCellMar>
        <w:top w:w="0" w:type="dxa"/>
        <w:left w:w="57" w:type="dxa"/>
        <w:bottom w:w="57" w:type="dxa"/>
        <w:right w:w="113" w:type="dxa"/>
      </w:tblCellMar>
    </w:tblPr>
  </w:style>
  <w:style w:type="table" w:customStyle="1" w:styleId="UGTableWhiteBox">
    <w:name w:val="UG_Table_White_Box"/>
    <w:uiPriority w:val="99"/>
    <w:rsid w:val="003609FA"/>
    <w:rPr>
      <w:sz w:val="20"/>
      <w:szCs w:val="20"/>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b/>
      <w:bCs/>
      <w:color w:val="474747"/>
      <w:szCs w:val="24"/>
    </w:rPr>
  </w:style>
  <w:style w:type="paragraph" w:styleId="Podtytu">
    <w:name w:val="Subtitle"/>
    <w:basedOn w:val="Normalny"/>
    <w:next w:val="Normalny"/>
    <w:link w:val="PodtytuZnak"/>
    <w:uiPriority w:val="99"/>
    <w:qFormat/>
    <w:rsid w:val="0098410D"/>
    <w:pPr>
      <w:spacing w:after="600"/>
    </w:pPr>
    <w:rPr>
      <w:i/>
      <w:iCs/>
      <w:spacing w:val="13"/>
      <w:szCs w:val="24"/>
    </w:rPr>
  </w:style>
  <w:style w:type="character" w:customStyle="1" w:styleId="PodtytuZnak">
    <w:name w:val="Podtytuł Znak"/>
    <w:basedOn w:val="Domylnaczcionkaakapitu"/>
    <w:link w:val="Podtytu"/>
    <w:uiPriority w:val="99"/>
    <w:semiHidden/>
    <w:locked/>
    <w:rsid w:val="0098410D"/>
    <w:rPr>
      <w:rFonts w:ascii="Times New Roman" w:hAnsi="Times New Roman" w:cs="Times New Roman"/>
      <w:i/>
      <w:iCs/>
      <w:spacing w:val="13"/>
      <w:sz w:val="24"/>
      <w:szCs w:val="24"/>
    </w:rPr>
  </w:style>
  <w:style w:type="paragraph" w:customStyle="1" w:styleId="ECHRPara">
    <w:name w:val="ECHR_Para"/>
    <w:aliases w:val="Ju_Para,Para,Left,First line:  0 cm"/>
    <w:basedOn w:val="Normalny"/>
    <w:link w:val="JuParaChar"/>
    <w:uiPriority w:val="99"/>
    <w:rsid w:val="0098410D"/>
    <w:pPr>
      <w:ind w:firstLine="284"/>
    </w:pPr>
    <w:rPr>
      <w:szCs w:val="20"/>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520BAA"/>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locked/>
    <w:rsid w:val="0098410D"/>
    <w:rPr>
      <w:rFonts w:eastAsia="Times New Roman" w:cs="Times New Roman"/>
      <w:sz w:val="24"/>
    </w:r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98410D"/>
    <w:pPr>
      <w:spacing w:after="120" w:line="480" w:lineRule="auto"/>
    </w:pPr>
  </w:style>
  <w:style w:type="character" w:customStyle="1" w:styleId="Tekstpodstawowy2Znak">
    <w:name w:val="Tekst podstawowy 2 Znak"/>
    <w:basedOn w:val="Domylnaczcionkaakapitu"/>
    <w:link w:val="Tekstpodstawowy2"/>
    <w:uiPriority w:val="99"/>
    <w:semiHidden/>
    <w:locked/>
    <w:rsid w:val="0098410D"/>
    <w:rPr>
      <w:rFonts w:eastAsia="Times New Roman" w:cs="Times New Roman"/>
      <w:sz w:val="24"/>
    </w:r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paragraph" w:customStyle="1" w:styleId="JuCase">
    <w:name w:val="Ju_Case"/>
    <w:basedOn w:val="Normalny"/>
    <w:next w:val="ECHRPara"/>
    <w:uiPriority w:val="99"/>
    <w:rsid w:val="0098410D"/>
    <w:pPr>
      <w:ind w:firstLine="284"/>
    </w:pPr>
    <w:rPr>
      <w:b/>
    </w:rPr>
  </w:style>
  <w:style w:type="character" w:styleId="Numerstrony">
    <w:name w:val="page number"/>
    <w:basedOn w:val="Domylnaczcionkaakapitu"/>
    <w:uiPriority w:val="99"/>
    <w:semiHidden/>
    <w:rsid w:val="0098410D"/>
    <w:rPr>
      <w:rFonts w:cs="Times New Roman"/>
      <w:sz w:val="18"/>
    </w:rPr>
  </w:style>
  <w:style w:type="paragraph" w:styleId="Listapunktowana">
    <w:name w:val="List Bullet"/>
    <w:basedOn w:val="Normalny"/>
    <w:uiPriority w:val="99"/>
    <w:semiHidden/>
    <w:rsid w:val="0098410D"/>
    <w:pPr>
      <w:numPr>
        <w:numId w:val="10"/>
      </w:numPr>
    </w:pPr>
  </w:style>
  <w:style w:type="paragraph" w:styleId="Listapunktowana3">
    <w:name w:val="List Bullet 3"/>
    <w:basedOn w:val="Normalny"/>
    <w:uiPriority w:val="99"/>
    <w:semiHidden/>
    <w:rsid w:val="0098410D"/>
    <w:pPr>
      <w:numPr>
        <w:numId w:val="1"/>
      </w:numPr>
      <w:tabs>
        <w:tab w:val="clear" w:pos="360"/>
        <w:tab w:val="num" w:pos="1080"/>
      </w:tabs>
      <w:ind w:left="1080"/>
      <w:contextualSpacing/>
    </w:p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98410D"/>
    <w:rPr>
      <w:rFonts w:eastAsia="Times New Roman" w:cs="Times New Roman"/>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98410D"/>
    <w:rPr>
      <w:rFonts w:eastAsia="Times New Roman" w:cs="Times New Roman"/>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locked/>
    <w:rsid w:val="0098410D"/>
    <w:rPr>
      <w:rFonts w:eastAsia="Times New Roman" w:cs="Times New Roman"/>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98410D"/>
    <w:rPr>
      <w:rFonts w:eastAsia="Times New Roman" w:cs="Times New Roman"/>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98410D"/>
    <w:rPr>
      <w:rFonts w:eastAsia="Times New Roman" w:cs="Times New Roman"/>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98410D"/>
    <w:rPr>
      <w:rFonts w:eastAsia="Times New Roman" w:cs="Times New Roman"/>
      <w:sz w:val="16"/>
      <w:szCs w:val="16"/>
    </w:rPr>
  </w:style>
  <w:style w:type="paragraph" w:styleId="Legenda">
    <w:name w:val="caption"/>
    <w:basedOn w:val="Normalny"/>
    <w:next w:val="Normalny"/>
    <w:uiPriority w:val="99"/>
    <w:qFormat/>
    <w:rsid w:val="0098410D"/>
    <w:pPr>
      <w:spacing w:after="200"/>
    </w:pPr>
    <w:rPr>
      <w:b/>
      <w:bCs/>
      <w:color w:val="0072BC"/>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locked/>
    <w:rsid w:val="0098410D"/>
    <w:rPr>
      <w:rFonts w:eastAsia="Times New Roman" w:cs="Times New Roman"/>
      <w:sz w:val="24"/>
    </w:rPr>
  </w:style>
  <w:style w:type="table" w:styleId="Kolorowasiatka">
    <w:name w:val="Colorful Grid"/>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98410D"/>
    <w:rPr>
      <w:color w:val="000000"/>
      <w:sz w:val="20"/>
      <w:szCs w:val="20"/>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98410D"/>
    <w:rPr>
      <w:color w:val="000000"/>
      <w:sz w:val="20"/>
      <w:szCs w:val="20"/>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98410D"/>
    <w:rPr>
      <w:color w:val="000000"/>
      <w:sz w:val="20"/>
      <w:szCs w:val="20"/>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98410D"/>
    <w:rPr>
      <w:color w:val="000000"/>
      <w:sz w:val="20"/>
      <w:szCs w:val="2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98410D"/>
    <w:rPr>
      <w:color w:val="000000"/>
      <w:sz w:val="20"/>
      <w:szCs w:val="20"/>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98410D"/>
    <w:rPr>
      <w:color w:val="000000"/>
      <w:sz w:val="20"/>
      <w:szCs w:val="2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98410D"/>
    <w:rPr>
      <w:color w:val="000000"/>
      <w:sz w:val="20"/>
      <w:szCs w:val="20"/>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98410D"/>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98410D"/>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98410D"/>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98410D"/>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98410D"/>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98410D"/>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98410D"/>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character" w:styleId="Odwoaniedokomentarza">
    <w:name w:val="annotation reference"/>
    <w:basedOn w:val="Domylnaczcionkaakapitu"/>
    <w:uiPriority w:val="99"/>
    <w:semiHidden/>
    <w:rsid w:val="0098410D"/>
    <w:rPr>
      <w:rFonts w:cs="Times New Roman"/>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locked/>
    <w:rsid w:val="0098410D"/>
    <w:rPr>
      <w:rFonts w:eastAsia="Times New Roman" w:cs="Times New Roman"/>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locked/>
    <w:rsid w:val="0098410D"/>
    <w:rPr>
      <w:rFonts w:eastAsia="Times New Roman" w:cs="Times New Roman"/>
      <w:b/>
      <w:bCs/>
      <w:sz w:val="20"/>
      <w:szCs w:val="20"/>
    </w:rPr>
  </w:style>
  <w:style w:type="table" w:styleId="Ciemnalista">
    <w:name w:val="Dark List"/>
    <w:basedOn w:val="Standardowy"/>
    <w:uiPriority w:val="99"/>
    <w:semiHidden/>
    <w:rsid w:val="0098410D"/>
    <w:rPr>
      <w:color w:val="0072BC"/>
      <w:sz w:val="20"/>
      <w:szCs w:val="20"/>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98410D"/>
    <w:rPr>
      <w:color w:val="0072BC"/>
      <w:sz w:val="20"/>
      <w:szCs w:val="20"/>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98410D"/>
    <w:rPr>
      <w:color w:val="0072BC"/>
      <w:sz w:val="20"/>
      <w:szCs w:val="20"/>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98410D"/>
    <w:rPr>
      <w:color w:val="0072BC"/>
      <w:sz w:val="20"/>
      <w:szCs w:val="20"/>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98410D"/>
    <w:rPr>
      <w:color w:val="0072BC"/>
      <w:sz w:val="20"/>
      <w:szCs w:val="20"/>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98410D"/>
    <w:rPr>
      <w:color w:val="0072BC"/>
      <w:sz w:val="20"/>
      <w:szCs w:val="20"/>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98410D"/>
    <w:rPr>
      <w:color w:val="0072BC"/>
      <w:sz w:val="20"/>
      <w:szCs w:val="20"/>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locked/>
    <w:rsid w:val="0098410D"/>
    <w:rPr>
      <w:rFonts w:eastAsia="Times New Roman" w:cs="Times New Roman"/>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locked/>
    <w:rsid w:val="0098410D"/>
    <w:rPr>
      <w:rFonts w:ascii="Tahom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locked/>
    <w:rsid w:val="0098410D"/>
    <w:rPr>
      <w:rFonts w:eastAsia="Times New Roman" w:cs="Times New Roman"/>
      <w:sz w:val="24"/>
    </w:rPr>
  </w:style>
  <w:style w:type="character" w:styleId="Odwoanieprzypisukocowego">
    <w:name w:val="endnote reference"/>
    <w:basedOn w:val="Domylnaczcionkaakapitu"/>
    <w:uiPriority w:val="99"/>
    <w:semiHidden/>
    <w:rsid w:val="0098410D"/>
    <w:rPr>
      <w:rFonts w:cs="Times New Roman"/>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locked/>
    <w:rsid w:val="0098410D"/>
    <w:rPr>
      <w:rFonts w:eastAsia="Times New Roman" w:cs="Times New Roman"/>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szCs w:val="24"/>
    </w:rPr>
  </w:style>
  <w:style w:type="paragraph" w:styleId="Adreszwrotnynakopercie">
    <w:name w:val="envelope return"/>
    <w:basedOn w:val="Normalny"/>
    <w:uiPriority w:val="99"/>
    <w:semiHidden/>
    <w:rsid w:val="0098410D"/>
    <w:rPr>
      <w:sz w:val="20"/>
      <w:szCs w:val="20"/>
    </w:rPr>
  </w:style>
  <w:style w:type="character" w:styleId="UyteHipercze">
    <w:name w:val="FollowedHyperlink"/>
    <w:basedOn w:val="Domylnaczcionkaakapitu"/>
    <w:uiPriority w:val="99"/>
    <w:semiHidden/>
    <w:rsid w:val="0098410D"/>
    <w:rPr>
      <w:rFonts w:cs="Times New Roman"/>
      <w:color w:val="7030A0"/>
      <w:u w:val="single"/>
    </w:rPr>
  </w:style>
  <w:style w:type="character" w:styleId="HTML-akronim">
    <w:name w:val="HTML Acronym"/>
    <w:basedOn w:val="Domylnaczcionkaakapitu"/>
    <w:uiPriority w:val="99"/>
    <w:semiHidden/>
    <w:rsid w:val="0098410D"/>
    <w:rPr>
      <w:rFonts w:cs="Times New Roman"/>
    </w:rPr>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locked/>
    <w:rsid w:val="0098410D"/>
    <w:rPr>
      <w:rFonts w:eastAsia="Times New Roman" w:cs="Times New Roman"/>
      <w:i/>
      <w:iCs/>
      <w:sz w:val="24"/>
    </w:rPr>
  </w:style>
  <w:style w:type="character" w:styleId="HTML-cytat">
    <w:name w:val="HTML Cite"/>
    <w:basedOn w:val="Domylnaczcionkaakapitu"/>
    <w:uiPriority w:val="99"/>
    <w:semiHidden/>
    <w:rsid w:val="0098410D"/>
    <w:rPr>
      <w:rFonts w:cs="Times New Roman"/>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rFonts w:cs="Times New Roman"/>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98410D"/>
    <w:rPr>
      <w:rFonts w:ascii="Consolas"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rFonts w:cs="Times New Roman"/>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b/>
      <w:bCs/>
    </w:rPr>
  </w:style>
  <w:style w:type="table" w:styleId="Jasnasiatka">
    <w:name w:val="Light Grid"/>
    <w:basedOn w:val="Standardowy"/>
    <w:uiPriority w:val="99"/>
    <w:semiHidden/>
    <w:rsid w:val="0098410D"/>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98410D"/>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98410D"/>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98410D"/>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98410D"/>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98410D"/>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98410D"/>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98410D"/>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98410D"/>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98410D"/>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98410D"/>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98410D"/>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98410D"/>
    <w:rP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98410D"/>
    <w:rPr>
      <w:color w:val="00548C"/>
      <w:sz w:val="20"/>
      <w:szCs w:val="20"/>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98410D"/>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98410D"/>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98410D"/>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98410D"/>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98410D"/>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98410D"/>
    <w:rPr>
      <w:rFonts w:cs="Times New Roman"/>
    </w:rPr>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2"/>
      </w:numPr>
      <w:tabs>
        <w:tab w:val="clear" w:pos="926"/>
        <w:tab w:val="num" w:pos="643"/>
      </w:tabs>
      <w:ind w:left="643"/>
      <w:contextualSpacing/>
    </w:pPr>
  </w:style>
  <w:style w:type="paragraph" w:styleId="Listapunktowana4">
    <w:name w:val="List Bullet 4"/>
    <w:basedOn w:val="Normalny"/>
    <w:uiPriority w:val="99"/>
    <w:semiHidden/>
    <w:rsid w:val="0098410D"/>
    <w:pPr>
      <w:numPr>
        <w:numId w:val="3"/>
      </w:numPr>
      <w:tabs>
        <w:tab w:val="clear" w:pos="643"/>
        <w:tab w:val="num" w:pos="1209"/>
      </w:tabs>
      <w:ind w:left="1209"/>
      <w:contextualSpacing/>
    </w:pPr>
  </w:style>
  <w:style w:type="paragraph" w:styleId="Listapunktowana5">
    <w:name w:val="List Bullet 5"/>
    <w:basedOn w:val="Normalny"/>
    <w:uiPriority w:val="99"/>
    <w:semiHidden/>
    <w:rsid w:val="0098410D"/>
    <w:pPr>
      <w:numPr>
        <w:numId w:val="4"/>
      </w:numPr>
      <w:tabs>
        <w:tab w:val="clear" w:pos="1209"/>
        <w:tab w:val="num" w:pos="1492"/>
      </w:tabs>
      <w:ind w:left="1492"/>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5"/>
      </w:numPr>
      <w:tabs>
        <w:tab w:val="clear" w:pos="1492"/>
        <w:tab w:val="num" w:pos="360"/>
      </w:tabs>
      <w:ind w:left="360"/>
      <w:contextualSpacing/>
    </w:pPr>
  </w:style>
  <w:style w:type="paragraph" w:styleId="Listanumerowana2">
    <w:name w:val="List Number 2"/>
    <w:basedOn w:val="Normalny"/>
    <w:uiPriority w:val="99"/>
    <w:semiHidden/>
    <w:rsid w:val="0098410D"/>
    <w:pPr>
      <w:numPr>
        <w:numId w:val="6"/>
      </w:numPr>
      <w:tabs>
        <w:tab w:val="clear" w:pos="360"/>
        <w:tab w:val="num" w:pos="643"/>
      </w:tabs>
      <w:ind w:left="643"/>
      <w:contextualSpacing/>
    </w:pPr>
  </w:style>
  <w:style w:type="paragraph" w:styleId="Listanumerowana3">
    <w:name w:val="List Number 3"/>
    <w:basedOn w:val="Normalny"/>
    <w:uiPriority w:val="99"/>
    <w:semiHidden/>
    <w:rsid w:val="0098410D"/>
    <w:pPr>
      <w:numPr>
        <w:numId w:val="7"/>
      </w:numPr>
      <w:tabs>
        <w:tab w:val="clear" w:pos="643"/>
        <w:tab w:val="num" w:pos="926"/>
      </w:tabs>
      <w:ind w:left="926"/>
      <w:contextualSpacing/>
    </w:pPr>
  </w:style>
  <w:style w:type="paragraph" w:styleId="Listanumerowana4">
    <w:name w:val="List Number 4"/>
    <w:basedOn w:val="Normalny"/>
    <w:uiPriority w:val="99"/>
    <w:semiHidden/>
    <w:rsid w:val="0098410D"/>
    <w:pPr>
      <w:numPr>
        <w:numId w:val="8"/>
      </w:numPr>
      <w:tabs>
        <w:tab w:val="clear" w:pos="926"/>
        <w:tab w:val="num" w:pos="1209"/>
      </w:tabs>
      <w:ind w:left="1209"/>
      <w:contextualSpacing/>
    </w:pPr>
  </w:style>
  <w:style w:type="paragraph" w:styleId="Listanumerowana5">
    <w:name w:val="List Number 5"/>
    <w:basedOn w:val="Normalny"/>
    <w:uiPriority w:val="99"/>
    <w:semiHidden/>
    <w:rsid w:val="0098410D"/>
    <w:pPr>
      <w:numPr>
        <w:numId w:val="9"/>
      </w:numPr>
      <w:tabs>
        <w:tab w:val="clear" w:pos="1209"/>
        <w:tab w:val="num" w:pos="1492"/>
      </w:tabs>
      <w:ind w:left="1492"/>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sz w:val="20"/>
      <w:szCs w:val="20"/>
    </w:rPr>
  </w:style>
  <w:style w:type="character" w:customStyle="1" w:styleId="TekstmakraZnak">
    <w:name w:val="Tekst makra Znak"/>
    <w:basedOn w:val="Domylnaczcionkaakapitu"/>
    <w:link w:val="Tekstmakra"/>
    <w:uiPriority w:val="99"/>
    <w:semiHidden/>
    <w:locked/>
    <w:rsid w:val="0098410D"/>
    <w:rPr>
      <w:rFonts w:ascii="Consolas" w:hAnsi="Consolas" w:cs="Consolas"/>
      <w:lang w:val="pl-PL" w:eastAsia="pl-PL" w:bidi="ar-SA"/>
    </w:rPr>
  </w:style>
  <w:style w:type="table" w:styleId="redniasiatka1">
    <w:name w:val="Medium Grid 1"/>
    <w:basedOn w:val="Standardowy"/>
    <w:uiPriority w:val="99"/>
    <w:semiHidden/>
    <w:rsid w:val="0098410D"/>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98410D"/>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98410D"/>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98410D"/>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98410D"/>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98410D"/>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98410D"/>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98410D"/>
    <w:rPr>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98410D"/>
    <w:rPr>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98410D"/>
    <w:rPr>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98410D"/>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98410D"/>
    <w:rPr>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98410D"/>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98410D"/>
    <w:rPr>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98410D"/>
    <w:rPr>
      <w:color w:val="000000"/>
      <w:sz w:val="20"/>
      <w:szCs w:val="2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98410D"/>
    <w:rPr>
      <w:color w:val="000000"/>
      <w:sz w:val="20"/>
      <w:szCs w:val="2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98410D"/>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98410D"/>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98410D"/>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98410D"/>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98410D"/>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98410D"/>
    <w:rPr>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98410D"/>
    <w:rPr>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98410D"/>
    <w:rPr>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98410D"/>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98410D"/>
    <w:rPr>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98410D"/>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98410D"/>
    <w:rPr>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98410D"/>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98410D"/>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98410D"/>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98410D"/>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98410D"/>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98410D"/>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98410D"/>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NagwekwiadomociZnak">
    <w:name w:val="Nagłówek wiadomości Znak"/>
    <w:basedOn w:val="Domylnaczcionkaakapitu"/>
    <w:link w:val="Nagwekwiadomoci"/>
    <w:uiPriority w:val="99"/>
    <w:semiHidden/>
    <w:locked/>
    <w:rsid w:val="0098410D"/>
    <w:rPr>
      <w:rFonts w:ascii="Times New Roman" w:hAnsi="Times New Roman" w:cs="Times New Roman"/>
      <w:sz w:val="24"/>
      <w:szCs w:val="24"/>
      <w:shd w:val="pct20" w:color="auto" w:fill="auto"/>
    </w:rPr>
  </w:style>
  <w:style w:type="paragraph" w:styleId="NormalnyWeb">
    <w:name w:val="Normal (Web)"/>
    <w:basedOn w:val="Normalny"/>
    <w:uiPriority w:val="99"/>
    <w:semiHidden/>
    <w:rsid w:val="0098410D"/>
    <w:rPr>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locked/>
    <w:rsid w:val="0098410D"/>
    <w:rPr>
      <w:rFonts w:eastAsia="Times New Roman" w:cs="Times New Roman"/>
      <w:sz w:val="24"/>
    </w:rPr>
  </w:style>
  <w:style w:type="character" w:styleId="Tekstzastpczy">
    <w:name w:val="Placeholder Text"/>
    <w:basedOn w:val="Domylnaczcionkaakapitu"/>
    <w:uiPriority w:val="99"/>
    <w:semiHidden/>
    <w:rsid w:val="0098410D"/>
    <w:rPr>
      <w:rFonts w:cs="Times New Roman"/>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98410D"/>
    <w:rPr>
      <w:rFonts w:ascii="Consolas"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locked/>
    <w:rsid w:val="0098410D"/>
    <w:rPr>
      <w:rFonts w:eastAsia="Times New Roman" w:cs="Times New Roman"/>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locked/>
    <w:rsid w:val="0098410D"/>
    <w:rPr>
      <w:rFonts w:eastAsia="Times New Roman" w:cs="Times New Roman"/>
      <w:sz w:val="24"/>
    </w:rPr>
  </w:style>
  <w:style w:type="table" w:styleId="Tabela-Efekty3W1">
    <w:name w:val="Table 3D effects 1"/>
    <w:basedOn w:val="Standardowy"/>
    <w:uiPriority w:val="99"/>
    <w:semiHidden/>
    <w:rsid w:val="0098410D"/>
    <w:pPr>
      <w:jc w:val="both"/>
    </w:pPr>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98410D"/>
    <w:pPr>
      <w:jc w:val="both"/>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98410D"/>
    <w:pPr>
      <w:jc w:val="both"/>
    </w:pPr>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98410D"/>
    <w:pPr>
      <w:jc w:val="both"/>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98410D"/>
    <w:pPr>
      <w:jc w:val="both"/>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98410D"/>
    <w:pPr>
      <w:jc w:val="both"/>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98410D"/>
    <w:pPr>
      <w:jc w:val="both"/>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98410D"/>
    <w:pPr>
      <w:jc w:val="both"/>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98410D"/>
    <w:pPr>
      <w:jc w:val="both"/>
    </w:pPr>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98410D"/>
    <w:pPr>
      <w:jc w:val="both"/>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98410D"/>
    <w:pPr>
      <w:jc w:val="both"/>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98410D"/>
    <w:pPr>
      <w:jc w:val="both"/>
    </w:pPr>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98410D"/>
    <w:pPr>
      <w:jc w:val="both"/>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98410D"/>
    <w:pPr>
      <w:jc w:val="both"/>
    </w:pPr>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98410D"/>
    <w:pPr>
      <w:jc w:val="both"/>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98410D"/>
    <w:pPr>
      <w:jc w:val="both"/>
    </w:pPr>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98410D"/>
    <w:pPr>
      <w:jc w:val="both"/>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98410D"/>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98410D"/>
    <w:pPr>
      <w:jc w:val="both"/>
    </w:pPr>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98410D"/>
    <w:pPr>
      <w:jc w:val="both"/>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98410D"/>
    <w:pPr>
      <w:jc w:val="both"/>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98410D"/>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98410D"/>
    <w:pPr>
      <w:jc w:val="both"/>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98410D"/>
    <w:pPr>
      <w:jc w:val="both"/>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98410D"/>
    <w:pPr>
      <w:jc w:val="both"/>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98410D"/>
    <w:pPr>
      <w:jc w:val="both"/>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98410D"/>
    <w:pPr>
      <w:jc w:val="both"/>
    </w:pPr>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98410D"/>
    <w:pPr>
      <w:jc w:val="both"/>
    </w:pPr>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98410D"/>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98410D"/>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98410D"/>
    <w:pPr>
      <w:jc w:val="both"/>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98410D"/>
    <w:pPr>
      <w:jc w:val="both"/>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98410D"/>
    <w:pPr>
      <w:jc w:val="both"/>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rsid w:val="0098410D"/>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98410D"/>
    <w:pPr>
      <w:jc w:val="both"/>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98410D"/>
    <w:pPr>
      <w:jc w:val="both"/>
    </w:pPr>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98410D"/>
    <w:pPr>
      <w:jc w:val="both"/>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98410D"/>
    <w:pPr>
      <w:jc w:val="both"/>
    </w:pPr>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98410D"/>
    <w:pPr>
      <w:jc w:val="both"/>
    </w:pPr>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98410D"/>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98410D"/>
    <w:pPr>
      <w:jc w:val="both"/>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98410D"/>
    <w:pPr>
      <w:jc w:val="both"/>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98410D"/>
    <w:pPr>
      <w:jc w:val="both"/>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ECHRFooter">
    <w:name w:val="ECHR_Footer"/>
    <w:aliases w:val="Footer_ECHR"/>
    <w:basedOn w:val="Stopka"/>
    <w:uiPriority w:val="99"/>
    <w:semiHidden/>
    <w:rsid w:val="00CF78AC"/>
    <w:pPr>
      <w:jc w:val="left"/>
    </w:pPr>
    <w:rPr>
      <w:sz w:val="8"/>
    </w:rPr>
  </w:style>
  <w:style w:type="paragraph" w:customStyle="1" w:styleId="ECHRFooterLine">
    <w:name w:val="ECHR_Footer_Line"/>
    <w:aliases w:val="Footer_Line"/>
    <w:basedOn w:val="Normalny"/>
    <w:next w:val="ECHRFooter"/>
    <w:uiPriority w:val="99"/>
    <w:semiHidden/>
    <w:rsid w:val="00CF78A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CF78AC"/>
    <w:pPr>
      <w:numPr>
        <w:numId w:val="17"/>
      </w:numPr>
      <w:jc w:val="left"/>
    </w:pPr>
    <w:rPr>
      <w:b/>
    </w:rPr>
  </w:style>
  <w:style w:type="paragraph" w:customStyle="1" w:styleId="ECHRTitleCentre2">
    <w:name w:val="ECHR_Title_Centre_2"/>
    <w:aliases w:val="Dec_H_Case"/>
    <w:basedOn w:val="Normalny"/>
    <w:next w:val="ECHRPara"/>
    <w:uiPriority w:val="99"/>
    <w:rsid w:val="00CF78AC"/>
    <w:pPr>
      <w:spacing w:after="240"/>
      <w:jc w:val="center"/>
      <w:outlineLvl w:val="0"/>
    </w:pPr>
  </w:style>
  <w:style w:type="paragraph" w:customStyle="1" w:styleId="JuTitle">
    <w:name w:val="Ju_Title"/>
    <w:basedOn w:val="Normalny"/>
    <w:next w:val="ECHRPara"/>
    <w:uiPriority w:val="99"/>
    <w:rsid w:val="00CF78AC"/>
    <w:pPr>
      <w:spacing w:before="720" w:after="240"/>
      <w:jc w:val="center"/>
      <w:outlineLvl w:val="0"/>
    </w:pPr>
    <w:rPr>
      <w:b/>
      <w:caps/>
    </w:rPr>
  </w:style>
  <w:style w:type="table" w:customStyle="1" w:styleId="UGTable1">
    <w:name w:val="UG_Table1"/>
    <w:uiPriority w:val="99"/>
    <w:rsid w:val="00CF78AC"/>
    <w:rPr>
      <w:sz w:val="20"/>
      <w:szCs w:val="20"/>
    </w:rPr>
    <w:tblPr>
      <w:tblInd w:w="-1191" w:type="dxa"/>
      <w:tblCellMar>
        <w:top w:w="57" w:type="dxa"/>
        <w:left w:w="0" w:type="dxa"/>
        <w:bottom w:w="0" w:type="dxa"/>
        <w:right w:w="0" w:type="dxa"/>
      </w:tblCellMar>
    </w:tblPr>
  </w:style>
  <w:style w:type="table" w:customStyle="1" w:styleId="UGTableWhiteBox1">
    <w:name w:val="UG_Table_White_Box1"/>
    <w:uiPriority w:val="99"/>
    <w:rsid w:val="00CF78AC"/>
    <w:rPr>
      <w:sz w:val="20"/>
      <w:szCs w:val="20"/>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character" w:customStyle="1" w:styleId="JuNames0">
    <w:name w:val="Ju_Names"/>
    <w:uiPriority w:val="99"/>
    <w:rsid w:val="00CF78AC"/>
    <w:rPr>
      <w:smallCaps/>
    </w:rPr>
  </w:style>
  <w:style w:type="table" w:customStyle="1" w:styleId="Table3Deffects11">
    <w:name w:val="Table 3D effects 11"/>
    <w:uiPriority w:val="99"/>
    <w:semiHidden/>
    <w:rsid w:val="00CF78AC"/>
    <w:pPr>
      <w:suppressAutoHyphens/>
    </w:pPr>
    <w:rPr>
      <w:sz w:val="20"/>
      <w:szCs w:val="20"/>
    </w:rPr>
    <w:tblPr>
      <w:tblInd w:w="0" w:type="dxa"/>
      <w:tblCellMar>
        <w:top w:w="0" w:type="dxa"/>
        <w:left w:w="108" w:type="dxa"/>
        <w:bottom w:w="0" w:type="dxa"/>
        <w:right w:w="108" w:type="dxa"/>
      </w:tblCellMar>
    </w:tblPr>
    <w:tcPr>
      <w:shd w:val="solid" w:color="C0C0C0" w:fill="FFFFFF"/>
    </w:tcPr>
  </w:style>
  <w:style w:type="table" w:customStyle="1" w:styleId="Table3Deffects21">
    <w:name w:val="Table 3D effects 21"/>
    <w:uiPriority w:val="99"/>
    <w:semiHidden/>
    <w:rsid w:val="00CF78AC"/>
    <w:pPr>
      <w:suppressAutoHyphens/>
    </w:pPr>
    <w:rPr>
      <w:sz w:val="20"/>
      <w:szCs w:val="20"/>
    </w:rPr>
    <w:tblPr>
      <w:tblStyleRowBandSize w:val="1"/>
      <w:tblInd w:w="0" w:type="dxa"/>
      <w:tblCellMar>
        <w:top w:w="0" w:type="dxa"/>
        <w:left w:w="108" w:type="dxa"/>
        <w:bottom w:w="0" w:type="dxa"/>
        <w:right w:w="108" w:type="dxa"/>
      </w:tblCellMar>
    </w:tblPr>
    <w:tcPr>
      <w:shd w:val="solid" w:color="C0C0C0" w:fill="FFFFFF"/>
    </w:tcPr>
  </w:style>
  <w:style w:type="table" w:customStyle="1" w:styleId="Table3Deffects31">
    <w:name w:val="Table 3D effects 31"/>
    <w:uiPriority w:val="99"/>
    <w:semiHidden/>
    <w:rsid w:val="00CF78AC"/>
    <w:pPr>
      <w:suppressAutoHyphens/>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TableClassic11">
    <w:name w:val="Table Classic 11"/>
    <w:uiPriority w:val="99"/>
    <w:semiHidden/>
    <w:rsid w:val="00CF78AC"/>
    <w:pPr>
      <w:suppressAutoHyphens/>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21">
    <w:name w:val="Table Classic 21"/>
    <w:uiPriority w:val="99"/>
    <w:semiHidden/>
    <w:rsid w:val="00CF78AC"/>
    <w:pPr>
      <w:suppressAutoHyphens/>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31">
    <w:name w:val="Table Classic 31"/>
    <w:uiPriority w:val="99"/>
    <w:semiHidden/>
    <w:rsid w:val="00CF78AC"/>
    <w:pPr>
      <w:suppressAutoHyphens/>
    </w:pPr>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eClassic41">
    <w:name w:val="Table Classic 41"/>
    <w:uiPriority w:val="99"/>
    <w:semiHidden/>
    <w:rsid w:val="00CF78AC"/>
    <w:pPr>
      <w:suppressAutoHyphens/>
    </w:pPr>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TableColorful11">
    <w:name w:val="Table Colorful 11"/>
    <w:uiPriority w:val="99"/>
    <w:semiHidden/>
    <w:rsid w:val="00CF78AC"/>
    <w:pPr>
      <w:suppressAutoHyphens/>
    </w:pPr>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TableColorful21">
    <w:name w:val="Table Colorful 21"/>
    <w:uiPriority w:val="99"/>
    <w:semiHidden/>
    <w:rsid w:val="00CF78AC"/>
    <w:pPr>
      <w:suppressAutoHyphens/>
    </w:pPr>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TableColorful31">
    <w:name w:val="Table Colorful 31"/>
    <w:uiPriority w:val="99"/>
    <w:semiHidden/>
    <w:rsid w:val="00CF78AC"/>
    <w:pPr>
      <w:suppressAutoHyphens/>
    </w:pPr>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TableColumns11">
    <w:name w:val="Table Columns 11"/>
    <w:uiPriority w:val="99"/>
    <w:semiHidden/>
    <w:rsid w:val="00CF78AC"/>
    <w:pPr>
      <w:suppressAutoHyphens/>
    </w:pPr>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Columns21">
    <w:name w:val="Table Columns 21"/>
    <w:uiPriority w:val="99"/>
    <w:semiHidden/>
    <w:rsid w:val="00CF78AC"/>
    <w:pPr>
      <w:suppressAutoHyphens/>
    </w:pPr>
    <w:rPr>
      <w:b/>
      <w:bCs/>
      <w:sz w:val="20"/>
      <w:szCs w:val="20"/>
    </w:rPr>
    <w:tblPr>
      <w:tblStyleColBandSize w:val="1"/>
      <w:tblInd w:w="0" w:type="dxa"/>
      <w:tblCellMar>
        <w:top w:w="0" w:type="dxa"/>
        <w:left w:w="108" w:type="dxa"/>
        <w:bottom w:w="0" w:type="dxa"/>
        <w:right w:w="108" w:type="dxa"/>
      </w:tblCellMar>
    </w:tblPr>
  </w:style>
  <w:style w:type="table" w:customStyle="1" w:styleId="TableColumns31">
    <w:name w:val="Table Columns 31"/>
    <w:uiPriority w:val="99"/>
    <w:semiHidden/>
    <w:rsid w:val="00CF78AC"/>
    <w:pPr>
      <w:suppressAutoHyphens/>
    </w:pPr>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TableColumns41">
    <w:name w:val="Table Columns 41"/>
    <w:uiPriority w:val="99"/>
    <w:semiHidden/>
    <w:rsid w:val="00CF78AC"/>
    <w:pPr>
      <w:suppressAutoHyphens/>
    </w:pPr>
    <w:rPr>
      <w:sz w:val="20"/>
      <w:szCs w:val="20"/>
    </w:rPr>
    <w:tblPr>
      <w:tblStyleColBandSize w:val="1"/>
      <w:tblInd w:w="0" w:type="dxa"/>
      <w:tblCellMar>
        <w:top w:w="0" w:type="dxa"/>
        <w:left w:w="108" w:type="dxa"/>
        <w:bottom w:w="0" w:type="dxa"/>
        <w:right w:w="108" w:type="dxa"/>
      </w:tblCellMar>
    </w:tblPr>
  </w:style>
  <w:style w:type="table" w:customStyle="1" w:styleId="TableColumns51">
    <w:name w:val="Table Columns 51"/>
    <w:uiPriority w:val="99"/>
    <w:semiHidden/>
    <w:rsid w:val="00CF78AC"/>
    <w:pPr>
      <w:suppressAutoHyphens/>
    </w:pPr>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TableContemporary1">
    <w:name w:val="Table Contemporary1"/>
    <w:uiPriority w:val="99"/>
    <w:semiHidden/>
    <w:rsid w:val="00CF78AC"/>
    <w:pPr>
      <w:suppressAutoHyphens/>
    </w:pPr>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style>
  <w:style w:type="table" w:customStyle="1" w:styleId="TableElegant1">
    <w:name w:val="Table Elegant1"/>
    <w:uiPriority w:val="99"/>
    <w:semiHidden/>
    <w:rsid w:val="00CF78AC"/>
    <w:pPr>
      <w:suppressAutoHyphens/>
    </w:pPr>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11">
    <w:name w:val="Table Grid 11"/>
    <w:uiPriority w:val="99"/>
    <w:semiHidden/>
    <w:rsid w:val="00CF78AC"/>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1">
    <w:name w:val="Table Grid 21"/>
    <w:uiPriority w:val="99"/>
    <w:semiHidden/>
    <w:rsid w:val="00CF78AC"/>
    <w:pPr>
      <w:suppressAutoHyphens/>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customStyle="1" w:styleId="TableGrid31">
    <w:name w:val="Table Grid 31"/>
    <w:uiPriority w:val="99"/>
    <w:semiHidden/>
    <w:rsid w:val="00CF78AC"/>
    <w:pPr>
      <w:suppressAutoHyphens/>
    </w:pPr>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41">
    <w:name w:val="Table Grid 41"/>
    <w:uiPriority w:val="99"/>
    <w:semiHidden/>
    <w:rsid w:val="00CF78AC"/>
    <w:pPr>
      <w:suppressAutoHyphens/>
    </w:pPr>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51">
    <w:name w:val="Table Grid 51"/>
    <w:uiPriority w:val="99"/>
    <w:semiHidden/>
    <w:rsid w:val="00CF78AC"/>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61">
    <w:name w:val="Table Grid 61"/>
    <w:uiPriority w:val="99"/>
    <w:semiHidden/>
    <w:rsid w:val="00CF78AC"/>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71">
    <w:name w:val="Table Grid 71"/>
    <w:uiPriority w:val="99"/>
    <w:semiHidden/>
    <w:rsid w:val="00CF78AC"/>
    <w:pPr>
      <w:suppressAutoHyphens/>
    </w:pPr>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81">
    <w:name w:val="Table Grid 81"/>
    <w:uiPriority w:val="99"/>
    <w:semiHidden/>
    <w:rsid w:val="00CF78AC"/>
    <w:pPr>
      <w:suppressAutoHyphens/>
    </w:pPr>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eList11">
    <w:name w:val="Table List 11"/>
    <w:uiPriority w:val="99"/>
    <w:semiHidden/>
    <w:rsid w:val="00CF78AC"/>
    <w:pPr>
      <w:suppressAutoHyphens/>
    </w:pPr>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TableList21">
    <w:name w:val="Table List 21"/>
    <w:uiPriority w:val="99"/>
    <w:semiHidden/>
    <w:rsid w:val="00CF78AC"/>
    <w:pPr>
      <w:suppressAutoHyphens/>
    </w:pPr>
    <w:rPr>
      <w:sz w:val="20"/>
      <w:szCs w:val="20"/>
    </w:rPr>
    <w:tblPr>
      <w:tblStyleRowBandSize w:val="2"/>
      <w:tblInd w:w="0" w:type="dxa"/>
      <w:tblBorders>
        <w:bottom w:val="single" w:sz="12" w:space="0" w:color="808080"/>
      </w:tblBorders>
      <w:tblCellMar>
        <w:top w:w="0" w:type="dxa"/>
        <w:left w:w="108" w:type="dxa"/>
        <w:bottom w:w="0" w:type="dxa"/>
        <w:right w:w="108" w:type="dxa"/>
      </w:tblCellMar>
    </w:tblPr>
  </w:style>
  <w:style w:type="table" w:customStyle="1" w:styleId="TableList31">
    <w:name w:val="Table List 31"/>
    <w:uiPriority w:val="99"/>
    <w:semiHidden/>
    <w:rsid w:val="00CF78AC"/>
    <w:pPr>
      <w:suppressAutoHyphens/>
    </w:pPr>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TableList41">
    <w:name w:val="Table List 41"/>
    <w:uiPriority w:val="99"/>
    <w:semiHidden/>
    <w:rsid w:val="00CF78AC"/>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TableList51">
    <w:name w:val="Table List 51"/>
    <w:uiPriority w:val="99"/>
    <w:semiHidden/>
    <w:rsid w:val="00CF78AC"/>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TableList61">
    <w:name w:val="Table List 61"/>
    <w:uiPriority w:val="99"/>
    <w:semiHidden/>
    <w:rsid w:val="00CF78AC"/>
    <w:pPr>
      <w:suppressAutoHyphens/>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TableList71">
    <w:name w:val="Table List 71"/>
    <w:uiPriority w:val="99"/>
    <w:semiHidden/>
    <w:rsid w:val="00CF78AC"/>
    <w:pPr>
      <w:suppressAutoHyphens/>
    </w:pPr>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TableList81">
    <w:name w:val="Table List 81"/>
    <w:uiPriority w:val="99"/>
    <w:semiHidden/>
    <w:rsid w:val="00CF78AC"/>
    <w:pPr>
      <w:suppressAutoHyphens/>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TableProfessional1">
    <w:name w:val="Table Professional1"/>
    <w:uiPriority w:val="99"/>
    <w:semiHidden/>
    <w:rsid w:val="00CF78AC"/>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Simple11">
    <w:name w:val="Table Simple 11"/>
    <w:uiPriority w:val="99"/>
    <w:semiHidden/>
    <w:rsid w:val="00CF78AC"/>
    <w:pPr>
      <w:suppressAutoHyphens/>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TableSimple21">
    <w:name w:val="Table Simple 21"/>
    <w:uiPriority w:val="99"/>
    <w:semiHidden/>
    <w:rsid w:val="00CF78AC"/>
    <w:pPr>
      <w:suppressAutoHyphens/>
    </w:pPr>
    <w:rPr>
      <w:sz w:val="20"/>
      <w:szCs w:val="20"/>
    </w:rPr>
    <w:tblPr>
      <w:tblInd w:w="0" w:type="dxa"/>
      <w:tblCellMar>
        <w:top w:w="0" w:type="dxa"/>
        <w:left w:w="108" w:type="dxa"/>
        <w:bottom w:w="0" w:type="dxa"/>
        <w:right w:w="108" w:type="dxa"/>
      </w:tblCellMar>
    </w:tblPr>
  </w:style>
  <w:style w:type="table" w:customStyle="1" w:styleId="TableSimple31">
    <w:name w:val="Table Simple 31"/>
    <w:uiPriority w:val="99"/>
    <w:semiHidden/>
    <w:rsid w:val="00CF78AC"/>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Subtle11">
    <w:name w:val="Table Subtle 11"/>
    <w:uiPriority w:val="99"/>
    <w:semiHidden/>
    <w:rsid w:val="00CF78AC"/>
    <w:pPr>
      <w:suppressAutoHyphens/>
    </w:pPr>
    <w:rPr>
      <w:sz w:val="20"/>
      <w:szCs w:val="20"/>
    </w:rPr>
    <w:tblPr>
      <w:tblStyleRowBandSize w:val="1"/>
      <w:tblInd w:w="0" w:type="dxa"/>
      <w:tblCellMar>
        <w:top w:w="0" w:type="dxa"/>
        <w:left w:w="108" w:type="dxa"/>
        <w:bottom w:w="0" w:type="dxa"/>
        <w:right w:w="108" w:type="dxa"/>
      </w:tblCellMar>
    </w:tblPr>
  </w:style>
  <w:style w:type="table" w:customStyle="1" w:styleId="TableSubtle21">
    <w:name w:val="Table Subtle 21"/>
    <w:uiPriority w:val="99"/>
    <w:semiHidden/>
    <w:rsid w:val="00CF78AC"/>
    <w:pPr>
      <w:suppressAutoHyphens/>
    </w:pPr>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customStyle="1" w:styleId="TableTheme1">
    <w:name w:val="Table Theme1"/>
    <w:uiPriority w:val="99"/>
    <w:semiHidden/>
    <w:rsid w:val="00CF78AC"/>
    <w:pPr>
      <w:suppressAutoHyphens/>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uiPriority w:val="99"/>
    <w:semiHidden/>
    <w:rsid w:val="00CF78AC"/>
    <w:pPr>
      <w:suppressAutoHyphens/>
    </w:pPr>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eWeb21">
    <w:name w:val="Table Web 21"/>
    <w:uiPriority w:val="99"/>
    <w:semiHidden/>
    <w:rsid w:val="00CF78AC"/>
    <w:pPr>
      <w:suppressAutoHyphens/>
    </w:pPr>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TableWeb31">
    <w:name w:val="Table Web 31"/>
    <w:uiPriority w:val="99"/>
    <w:semiHidden/>
    <w:rsid w:val="00CF78AC"/>
    <w:pPr>
      <w:suppressAutoHyphens/>
    </w:pPr>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customStyle="1" w:styleId="DecHTitle">
    <w:name w:val="Dec_H_Title"/>
    <w:basedOn w:val="ECHRTitleCentre1"/>
    <w:uiPriority w:val="99"/>
    <w:rsid w:val="00CF78AC"/>
  </w:style>
  <w:style w:type="paragraph" w:customStyle="1" w:styleId="DecList">
    <w:name w:val="Dec_List"/>
    <w:basedOn w:val="Normalny"/>
    <w:uiPriority w:val="99"/>
    <w:rsid w:val="00CF78AC"/>
    <w:pPr>
      <w:spacing w:before="240"/>
      <w:ind w:left="284"/>
    </w:pPr>
  </w:style>
  <w:style w:type="character" w:customStyle="1" w:styleId="JuParaChar">
    <w:name w:val="Ju_Para Char"/>
    <w:link w:val="ECHRPara"/>
    <w:uiPriority w:val="99"/>
    <w:locked/>
    <w:rsid w:val="00CF78AC"/>
    <w:rPr>
      <w:rFonts w:eastAsia="Times New Roman"/>
      <w:sz w:val="24"/>
    </w:rPr>
  </w:style>
  <w:style w:type="character" w:customStyle="1" w:styleId="JuParaCar">
    <w:name w:val="Ju_Para Car"/>
    <w:uiPriority w:val="99"/>
    <w:rsid w:val="00CF78AC"/>
    <w:rPr>
      <w:rFonts w:eastAsia="Times New Roman"/>
      <w:sz w:val="24"/>
    </w:rPr>
  </w:style>
  <w:style w:type="character" w:customStyle="1" w:styleId="sb8d990e2">
    <w:name w:val="sb8d990e2"/>
    <w:basedOn w:val="Domylnaczcionkaakapitu"/>
    <w:uiPriority w:val="99"/>
    <w:rsid w:val="00CF78AC"/>
    <w:rPr>
      <w:rFonts w:cs="Times New Roman"/>
    </w:rPr>
  </w:style>
  <w:style w:type="paragraph" w:customStyle="1" w:styleId="s30eec3f8">
    <w:name w:val="s30eec3f8"/>
    <w:basedOn w:val="Normalny"/>
    <w:uiPriority w:val="99"/>
    <w:rsid w:val="00CF78AC"/>
    <w:pPr>
      <w:spacing w:before="100" w:beforeAutospacing="1" w:after="100" w:afterAutospacing="1"/>
      <w:jc w:val="left"/>
    </w:pPr>
    <w:rPr>
      <w:szCs w:val="24"/>
    </w:rPr>
  </w:style>
  <w:style w:type="character" w:customStyle="1" w:styleId="s6b621b36">
    <w:name w:val="s6b621b36"/>
    <w:basedOn w:val="Domylnaczcionkaakapitu"/>
    <w:uiPriority w:val="99"/>
    <w:rsid w:val="00CF78AC"/>
    <w:rPr>
      <w:rFonts w:cs="Times New Roman"/>
    </w:rPr>
  </w:style>
  <w:style w:type="paragraph" w:customStyle="1" w:styleId="s9e9b0cd7">
    <w:name w:val="s9e9b0cd7"/>
    <w:basedOn w:val="Normalny"/>
    <w:uiPriority w:val="99"/>
    <w:rsid w:val="00CF78AC"/>
    <w:pPr>
      <w:spacing w:before="100" w:beforeAutospacing="1" w:after="100" w:afterAutospacing="1"/>
      <w:jc w:val="left"/>
    </w:pPr>
    <w:rPr>
      <w:szCs w:val="24"/>
    </w:rPr>
  </w:style>
  <w:style w:type="character" w:customStyle="1" w:styleId="sfbbfee58">
    <w:name w:val="sfbbfee58"/>
    <w:basedOn w:val="Domylnaczcionkaakapitu"/>
    <w:uiPriority w:val="99"/>
    <w:rsid w:val="00CF78AC"/>
    <w:rPr>
      <w:rFonts w:cs="Times New Roman"/>
    </w:rPr>
  </w:style>
  <w:style w:type="character" w:customStyle="1" w:styleId="sdfc50a6a">
    <w:name w:val="sdfc50a6a"/>
    <w:basedOn w:val="Domylnaczcionkaakapitu"/>
    <w:uiPriority w:val="99"/>
    <w:rsid w:val="00CF78AC"/>
    <w:rPr>
      <w:rFonts w:cs="Times New Roman"/>
    </w:rPr>
  </w:style>
  <w:style w:type="paragraph" w:styleId="Poprawka">
    <w:name w:val="Revision"/>
    <w:hidden/>
    <w:uiPriority w:val="99"/>
    <w:semiHidden/>
    <w:rsid w:val="00CF78AC"/>
    <w:rPr>
      <w:sz w:val="24"/>
    </w:rPr>
  </w:style>
  <w:style w:type="character" w:customStyle="1" w:styleId="s7d2086b4">
    <w:name w:val="s7d2086b4"/>
    <w:basedOn w:val="Domylnaczcionkaakapitu"/>
    <w:uiPriority w:val="99"/>
    <w:rsid w:val="00CF78AC"/>
    <w:rPr>
      <w:rFonts w:cs="Times New Roman"/>
    </w:rPr>
  </w:style>
  <w:style w:type="character" w:customStyle="1" w:styleId="wordhighlighted">
    <w:name w:val="wordhighlighted"/>
    <w:basedOn w:val="Domylnaczcionkaakapitu"/>
    <w:uiPriority w:val="99"/>
    <w:rsid w:val="00CF78AC"/>
    <w:rPr>
      <w:rFonts w:cs="Times New Roman"/>
    </w:rPr>
  </w:style>
  <w:style w:type="paragraph" w:customStyle="1" w:styleId="s6e50bd9a">
    <w:name w:val="s6e50bd9a"/>
    <w:basedOn w:val="Normalny"/>
    <w:uiPriority w:val="99"/>
    <w:rsid w:val="00CF78AC"/>
    <w:pPr>
      <w:spacing w:before="100" w:beforeAutospacing="1" w:after="100" w:afterAutospacing="1"/>
      <w:jc w:val="left"/>
    </w:pPr>
    <w:rPr>
      <w:szCs w:val="24"/>
    </w:rPr>
  </w:style>
  <w:style w:type="numbering" w:customStyle="1" w:styleId="1ai1">
    <w:name w:val="1 / a / i1"/>
    <w:rsid w:val="00973EA1"/>
    <w:pPr>
      <w:numPr>
        <w:numId w:val="15"/>
      </w:numPr>
    </w:pPr>
  </w:style>
  <w:style w:type="numbering" w:customStyle="1" w:styleId="1111111">
    <w:name w:val="1 / 1.1 / 1.1.11"/>
    <w:rsid w:val="00973EA1"/>
    <w:pPr>
      <w:numPr>
        <w:numId w:val="14"/>
      </w:numPr>
    </w:pPr>
  </w:style>
  <w:style w:type="numbering" w:styleId="Artykusekcja">
    <w:name w:val="Outline List 3"/>
    <w:basedOn w:val="Bezlisty"/>
    <w:uiPriority w:val="99"/>
    <w:semiHidden/>
    <w:unhideWhenUsed/>
    <w:locked/>
    <w:rsid w:val="00973EA1"/>
    <w:pPr>
      <w:numPr>
        <w:numId w:val="13"/>
      </w:numPr>
    </w:pPr>
  </w:style>
  <w:style w:type="numbering" w:styleId="1ai">
    <w:name w:val="Outline List 1"/>
    <w:basedOn w:val="Bezlisty"/>
    <w:uiPriority w:val="99"/>
    <w:semiHidden/>
    <w:unhideWhenUsed/>
    <w:locked/>
    <w:rsid w:val="00973EA1"/>
    <w:pPr>
      <w:numPr>
        <w:numId w:val="12"/>
      </w:numPr>
    </w:pPr>
  </w:style>
  <w:style w:type="numbering" w:styleId="111111">
    <w:name w:val="Outline List 2"/>
    <w:basedOn w:val="Bezlisty"/>
    <w:uiPriority w:val="99"/>
    <w:semiHidden/>
    <w:unhideWhenUsed/>
    <w:locked/>
    <w:rsid w:val="00973EA1"/>
    <w:pPr>
      <w:numPr>
        <w:numId w:val="11"/>
      </w:numPr>
    </w:pPr>
  </w:style>
  <w:style w:type="numbering" w:customStyle="1" w:styleId="ArticleSection1">
    <w:name w:val="Article / Section1"/>
    <w:rsid w:val="00973EA1"/>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98410D"/>
    <w:pPr>
      <w:jc w:val="both"/>
    </w:pPr>
    <w:rPr>
      <w:sz w:val="24"/>
    </w:rPr>
  </w:style>
  <w:style w:type="paragraph" w:styleId="Nagwek1">
    <w:name w:val="heading 1"/>
    <w:basedOn w:val="Normalny"/>
    <w:next w:val="Normalny"/>
    <w:link w:val="Nagwek1Znak"/>
    <w:uiPriority w:val="99"/>
    <w:qFormat/>
    <w:rsid w:val="00941747"/>
    <w:pPr>
      <w:spacing w:before="480"/>
      <w:contextualSpacing/>
      <w:outlineLvl w:val="0"/>
    </w:pPr>
    <w:rPr>
      <w:b/>
      <w:bCs/>
      <w:color w:val="333333"/>
      <w:sz w:val="28"/>
      <w:szCs w:val="28"/>
    </w:rPr>
  </w:style>
  <w:style w:type="paragraph" w:styleId="Nagwek2">
    <w:name w:val="heading 2"/>
    <w:basedOn w:val="Normalny"/>
    <w:next w:val="Normalny"/>
    <w:link w:val="Nagwek2Znak"/>
    <w:uiPriority w:val="99"/>
    <w:qFormat/>
    <w:rsid w:val="00941747"/>
    <w:pPr>
      <w:spacing w:before="200"/>
      <w:outlineLvl w:val="1"/>
    </w:pPr>
    <w:rPr>
      <w:b/>
      <w:bCs/>
      <w:color w:val="4D4D4D"/>
      <w:sz w:val="26"/>
      <w:szCs w:val="26"/>
    </w:rPr>
  </w:style>
  <w:style w:type="paragraph" w:styleId="Nagwek3">
    <w:name w:val="heading 3"/>
    <w:basedOn w:val="Normalny"/>
    <w:next w:val="Normalny"/>
    <w:link w:val="Nagwek3Znak"/>
    <w:uiPriority w:val="99"/>
    <w:qFormat/>
    <w:rsid w:val="00941747"/>
    <w:pPr>
      <w:spacing w:before="200" w:line="271" w:lineRule="auto"/>
      <w:outlineLvl w:val="2"/>
    </w:pPr>
    <w:rPr>
      <w:b/>
      <w:bCs/>
      <w:color w:val="5F5F5F"/>
    </w:rPr>
  </w:style>
  <w:style w:type="paragraph" w:styleId="Nagwek4">
    <w:name w:val="heading 4"/>
    <w:basedOn w:val="Normalny"/>
    <w:next w:val="Normalny"/>
    <w:link w:val="Nagwek4Znak"/>
    <w:uiPriority w:val="99"/>
    <w:qFormat/>
    <w:rsid w:val="00941747"/>
    <w:pPr>
      <w:spacing w:before="200"/>
      <w:outlineLvl w:val="3"/>
    </w:pPr>
    <w:rPr>
      <w:b/>
      <w:bCs/>
      <w:i/>
      <w:iCs/>
      <w:color w:val="777777"/>
    </w:rPr>
  </w:style>
  <w:style w:type="paragraph" w:styleId="Nagwek5">
    <w:name w:val="heading 5"/>
    <w:basedOn w:val="Normalny"/>
    <w:next w:val="Normalny"/>
    <w:link w:val="Nagwek5Znak"/>
    <w:uiPriority w:val="99"/>
    <w:qFormat/>
    <w:rsid w:val="0098410D"/>
    <w:pPr>
      <w:spacing w:before="200"/>
      <w:outlineLvl w:val="4"/>
    </w:pPr>
    <w:rPr>
      <w:b/>
      <w:bCs/>
      <w:color w:val="808080"/>
      <w:sz w:val="22"/>
    </w:rPr>
  </w:style>
  <w:style w:type="paragraph" w:styleId="Nagwek6">
    <w:name w:val="heading 6"/>
    <w:basedOn w:val="Normalny"/>
    <w:next w:val="Normalny"/>
    <w:link w:val="Nagwek6Znak"/>
    <w:uiPriority w:val="99"/>
    <w:qFormat/>
    <w:rsid w:val="00941747"/>
    <w:pPr>
      <w:spacing w:line="271" w:lineRule="auto"/>
      <w:outlineLvl w:val="5"/>
    </w:pPr>
    <w:rPr>
      <w:b/>
      <w:bCs/>
      <w:i/>
      <w:iCs/>
      <w:color w:val="7F7F7F"/>
    </w:rPr>
  </w:style>
  <w:style w:type="paragraph" w:styleId="Nagwek7">
    <w:name w:val="heading 7"/>
    <w:basedOn w:val="Normalny"/>
    <w:next w:val="Normalny"/>
    <w:link w:val="Nagwek7Znak"/>
    <w:uiPriority w:val="99"/>
    <w:qFormat/>
    <w:rsid w:val="0098410D"/>
    <w:pPr>
      <w:outlineLvl w:val="6"/>
    </w:pPr>
    <w:rPr>
      <w:i/>
      <w:iCs/>
      <w:sz w:val="22"/>
    </w:rPr>
  </w:style>
  <w:style w:type="paragraph" w:styleId="Nagwek8">
    <w:name w:val="heading 8"/>
    <w:basedOn w:val="Normalny"/>
    <w:next w:val="Normalny"/>
    <w:link w:val="Nagwek8Znak"/>
    <w:uiPriority w:val="99"/>
    <w:qFormat/>
    <w:rsid w:val="0098410D"/>
    <w:pPr>
      <w:outlineLvl w:val="7"/>
    </w:pPr>
    <w:rPr>
      <w:sz w:val="20"/>
      <w:szCs w:val="20"/>
    </w:rPr>
  </w:style>
  <w:style w:type="paragraph" w:styleId="Nagwek9">
    <w:name w:val="heading 9"/>
    <w:basedOn w:val="Normalny"/>
    <w:next w:val="Normalny"/>
    <w:link w:val="Nagwek9Znak"/>
    <w:uiPriority w:val="99"/>
    <w:qFormat/>
    <w:rsid w:val="0098410D"/>
    <w:p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A671F8"/>
    <w:rPr>
      <w:rFonts w:ascii="Times New Roman"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A671F8"/>
    <w:rPr>
      <w:rFonts w:ascii="Times New Roman"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A671F8"/>
    <w:rPr>
      <w:rFonts w:ascii="Times New Roman" w:hAnsi="Times New Roman" w:cs="Times New Roman"/>
      <w:b/>
      <w:bCs/>
      <w:color w:val="5F5F5F"/>
    </w:rPr>
  </w:style>
  <w:style w:type="character" w:customStyle="1" w:styleId="Nagwek4Znak">
    <w:name w:val="Nagłówek 4 Znak"/>
    <w:basedOn w:val="Domylnaczcionkaakapitu"/>
    <w:link w:val="Nagwek4"/>
    <w:uiPriority w:val="99"/>
    <w:semiHidden/>
    <w:locked/>
    <w:rsid w:val="00A671F8"/>
    <w:rPr>
      <w:rFonts w:ascii="Times New Roman" w:hAnsi="Times New Roman" w:cs="Times New Roman"/>
      <w:b/>
      <w:bCs/>
      <w:i/>
      <w:iCs/>
      <w:color w:val="777777"/>
    </w:rPr>
  </w:style>
  <w:style w:type="character" w:customStyle="1" w:styleId="Nagwek5Znak">
    <w:name w:val="Nagłówek 5 Znak"/>
    <w:basedOn w:val="Domylnaczcionkaakapitu"/>
    <w:link w:val="Nagwek5"/>
    <w:uiPriority w:val="99"/>
    <w:semiHidden/>
    <w:locked/>
    <w:rsid w:val="0098410D"/>
    <w:rPr>
      <w:rFonts w:ascii="Times New Roman" w:hAnsi="Times New Roman" w:cs="Times New Roman"/>
      <w:b/>
      <w:bCs/>
      <w:color w:val="808080"/>
    </w:rPr>
  </w:style>
  <w:style w:type="character" w:customStyle="1" w:styleId="Nagwek6Znak">
    <w:name w:val="Nagłówek 6 Znak"/>
    <w:basedOn w:val="Domylnaczcionkaakapitu"/>
    <w:link w:val="Nagwek6"/>
    <w:uiPriority w:val="99"/>
    <w:semiHidden/>
    <w:locked/>
    <w:rsid w:val="00A671F8"/>
    <w:rPr>
      <w:rFonts w:ascii="Times New Roman" w:hAnsi="Times New Roman" w:cs="Times New Roman"/>
      <w:b/>
      <w:bCs/>
      <w:i/>
      <w:iCs/>
      <w:color w:val="7F7F7F"/>
    </w:rPr>
  </w:style>
  <w:style w:type="character" w:customStyle="1" w:styleId="Nagwek7Znak">
    <w:name w:val="Nagłówek 7 Znak"/>
    <w:basedOn w:val="Domylnaczcionkaakapitu"/>
    <w:link w:val="Nagwek7"/>
    <w:uiPriority w:val="99"/>
    <w:semiHidden/>
    <w:locked/>
    <w:rsid w:val="0098410D"/>
    <w:rPr>
      <w:rFonts w:ascii="Times New Roman" w:hAnsi="Times New Roman" w:cs="Times New Roman"/>
      <w:i/>
      <w:iCs/>
    </w:rPr>
  </w:style>
  <w:style w:type="character" w:customStyle="1" w:styleId="Nagwek8Znak">
    <w:name w:val="Nagłówek 8 Znak"/>
    <w:basedOn w:val="Domylnaczcionkaakapitu"/>
    <w:link w:val="Nagwek8"/>
    <w:uiPriority w:val="99"/>
    <w:semiHidden/>
    <w:locked/>
    <w:rsid w:val="0098410D"/>
    <w:rPr>
      <w:rFonts w:ascii="Times New Roman" w:hAnsi="Times New Roman" w:cs="Times New Roman"/>
      <w:sz w:val="20"/>
      <w:szCs w:val="20"/>
    </w:rPr>
  </w:style>
  <w:style w:type="character" w:customStyle="1" w:styleId="Nagwek9Znak">
    <w:name w:val="Nagłówek 9 Znak"/>
    <w:basedOn w:val="Domylnaczcionkaakapitu"/>
    <w:link w:val="Nagwek9"/>
    <w:uiPriority w:val="99"/>
    <w:semiHidden/>
    <w:locked/>
    <w:rsid w:val="0098410D"/>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671F8"/>
    <w:rPr>
      <w:rFonts w:ascii="Tahoma" w:hAnsi="Tahoma" w:cs="Tahoma"/>
      <w:sz w:val="16"/>
      <w:szCs w:val="16"/>
    </w:rPr>
  </w:style>
  <w:style w:type="character" w:styleId="Tytuksiki">
    <w:name w:val="Book Title"/>
    <w:basedOn w:val="Domylnaczcionkaakapitu"/>
    <w:uiPriority w:val="99"/>
    <w:qFormat/>
    <w:rsid w:val="0098410D"/>
    <w:rPr>
      <w:rFonts w:cs="Times New Roman"/>
      <w:i/>
      <w:smallCaps/>
      <w:spacing w:val="5"/>
    </w:rPr>
  </w:style>
  <w:style w:type="paragraph" w:customStyle="1" w:styleId="ECHRHeader">
    <w:name w:val="ECHR_Header"/>
    <w:aliases w:val="Ju_Header"/>
    <w:basedOn w:val="Nagwek"/>
    <w:uiPriority w:val="99"/>
    <w:rsid w:val="0098410D"/>
    <w:pPr>
      <w:tabs>
        <w:tab w:val="clear" w:pos="4536"/>
        <w:tab w:val="clear" w:pos="9696"/>
        <w:tab w:val="center" w:pos="3686"/>
        <w:tab w:val="right" w:pos="7371"/>
      </w:tabs>
      <w:ind w:left="0" w:right="0"/>
      <w:jc w:val="left"/>
    </w:pPr>
    <w:rPr>
      <w:sz w:val="18"/>
    </w:rPr>
  </w:style>
  <w:style w:type="paragraph" w:customStyle="1" w:styleId="OpiPara">
    <w:name w:val="Opi_Para"/>
    <w:basedOn w:val="ECHRPara"/>
    <w:uiPriority w:val="99"/>
    <w:rsid w:val="0098410D"/>
  </w:style>
  <w:style w:type="character" w:styleId="Pogrubienie">
    <w:name w:val="Strong"/>
    <w:basedOn w:val="Domylnaczcionkaakapitu"/>
    <w:uiPriority w:val="99"/>
    <w:qFormat/>
    <w:rsid w:val="0098410D"/>
    <w:rPr>
      <w:rFonts w:cs="Times New Roman"/>
      <w:b/>
    </w:rPr>
  </w:style>
  <w:style w:type="paragraph" w:styleId="Bezodstpw">
    <w:name w:val="No Spacing"/>
    <w:basedOn w:val="Normalny"/>
    <w:link w:val="BezodstpwZnak"/>
    <w:uiPriority w:val="99"/>
    <w:qFormat/>
    <w:rsid w:val="0098410D"/>
    <w:rPr>
      <w:sz w:val="22"/>
    </w:rPr>
  </w:style>
  <w:style w:type="character" w:customStyle="1" w:styleId="BezodstpwZnak">
    <w:name w:val="Bez odstępów Znak"/>
    <w:basedOn w:val="Domylnaczcionkaakapitu"/>
    <w:link w:val="Bezodstpw"/>
    <w:uiPriority w:val="99"/>
    <w:semiHidden/>
    <w:locked/>
    <w:rsid w:val="0098410D"/>
    <w:rPr>
      <w:rFonts w:eastAsia="Times New Roman" w:cs="Times New Roman"/>
    </w:rPr>
  </w:style>
  <w:style w:type="paragraph" w:customStyle="1" w:styleId="ECHRParaQuote">
    <w:name w:val="ECHR_Para_Quote"/>
    <w:aliases w:val="Ju_Quot"/>
    <w:basedOn w:val="Normalny"/>
    <w:uiPriority w:val="99"/>
    <w:rsid w:val="0098410D"/>
    <w:pPr>
      <w:spacing w:before="120" w:after="120"/>
      <w:ind w:left="425" w:firstLine="142"/>
    </w:pPr>
    <w:rPr>
      <w:sz w:val="20"/>
    </w:rPr>
  </w:style>
  <w:style w:type="paragraph" w:customStyle="1" w:styleId="JuParaSub">
    <w:name w:val="Ju_Para_Sub"/>
    <w:basedOn w:val="ECHRPara"/>
    <w:uiPriority w:val="99"/>
    <w:rsid w:val="0098410D"/>
    <w:pPr>
      <w:ind w:left="284"/>
    </w:pPr>
  </w:style>
  <w:style w:type="paragraph" w:customStyle="1" w:styleId="OpiParaSub">
    <w:name w:val="Opi_Para_Sub"/>
    <w:basedOn w:val="JuParaSub"/>
    <w:uiPriority w:val="99"/>
    <w:rsid w:val="0098410D"/>
  </w:style>
  <w:style w:type="paragraph" w:customStyle="1" w:styleId="OpiQuot">
    <w:name w:val="Opi_Quot"/>
    <w:basedOn w:val="ECHRParaQuote"/>
    <w:uiPriority w:val="99"/>
    <w:rsid w:val="0098410D"/>
  </w:style>
  <w:style w:type="paragraph" w:customStyle="1" w:styleId="OpiQuotSub">
    <w:name w:val="Opi_Quot_Sub"/>
    <w:basedOn w:val="JuQuotSub"/>
    <w:uiPriority w:val="99"/>
    <w:rsid w:val="0098410D"/>
  </w:style>
  <w:style w:type="paragraph" w:customStyle="1" w:styleId="ECHRTitleCentre3">
    <w:name w:val="ECHR_Title_Centre_3"/>
    <w:aliases w:val="Ju_H_Article"/>
    <w:basedOn w:val="Normalny"/>
    <w:next w:val="ECHRParaQuote"/>
    <w:uiPriority w:val="99"/>
    <w:rsid w:val="0098410D"/>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98410D"/>
    <w:pPr>
      <w:keepNext/>
      <w:keepLines/>
      <w:spacing w:after="240"/>
      <w:jc w:val="center"/>
      <w:outlineLvl w:val="0"/>
    </w:pPr>
    <w:rPr>
      <w:sz w:val="28"/>
    </w:rPr>
  </w:style>
  <w:style w:type="paragraph" w:customStyle="1" w:styleId="JuQuotSub">
    <w:name w:val="Ju_Quot_Sub"/>
    <w:basedOn w:val="ECHRParaQuote"/>
    <w:uiPriority w:val="99"/>
    <w:rsid w:val="0098410D"/>
    <w:pPr>
      <w:ind w:left="567"/>
    </w:pPr>
  </w:style>
  <w:style w:type="paragraph" w:customStyle="1" w:styleId="ECHRTitle1">
    <w:name w:val="ECHR_Title_1"/>
    <w:aliases w:val="Ju_H_Head"/>
    <w:basedOn w:val="Normalny"/>
    <w:next w:val="ECHRPara"/>
    <w:uiPriority w:val="99"/>
    <w:rsid w:val="0098410D"/>
    <w:pPr>
      <w:keepNext/>
      <w:keepLines/>
      <w:spacing w:before="720" w:after="240"/>
      <w:outlineLvl w:val="0"/>
    </w:pPr>
    <w:rPr>
      <w:sz w:val="28"/>
    </w:rPr>
  </w:style>
  <w:style w:type="paragraph" w:customStyle="1" w:styleId="JuInitialled">
    <w:name w:val="Ju_Initialled"/>
    <w:basedOn w:val="Normalny"/>
    <w:uiPriority w:val="99"/>
    <w:rsid w:val="0098410D"/>
    <w:pPr>
      <w:tabs>
        <w:tab w:val="center" w:pos="6407"/>
      </w:tabs>
      <w:spacing w:before="720"/>
      <w:jc w:val="right"/>
    </w:pPr>
  </w:style>
  <w:style w:type="paragraph" w:customStyle="1" w:styleId="JuSigned">
    <w:name w:val="Ju_Signed"/>
    <w:basedOn w:val="Normalny"/>
    <w:next w:val="JuParaLast"/>
    <w:uiPriority w:val="99"/>
    <w:rsid w:val="0098410D"/>
    <w:pPr>
      <w:tabs>
        <w:tab w:val="center" w:pos="851"/>
        <w:tab w:val="center" w:pos="6407"/>
      </w:tabs>
      <w:spacing w:before="720"/>
      <w:jc w:val="left"/>
    </w:pPr>
  </w:style>
  <w:style w:type="paragraph" w:styleId="Tytu">
    <w:name w:val="Title"/>
    <w:basedOn w:val="Normalny"/>
    <w:next w:val="Normalny"/>
    <w:link w:val="TytuZnak"/>
    <w:uiPriority w:val="99"/>
    <w:qFormat/>
    <w:rsid w:val="0098410D"/>
    <w:pPr>
      <w:pBdr>
        <w:bottom w:val="single" w:sz="4" w:space="1" w:color="auto"/>
      </w:pBdr>
      <w:contextualSpacing/>
    </w:pPr>
    <w:rPr>
      <w:spacing w:val="5"/>
      <w:sz w:val="52"/>
      <w:szCs w:val="52"/>
    </w:rPr>
  </w:style>
  <w:style w:type="character" w:customStyle="1" w:styleId="TytuZnak">
    <w:name w:val="Tytuł Znak"/>
    <w:basedOn w:val="Domylnaczcionkaakapitu"/>
    <w:link w:val="Tytu"/>
    <w:uiPriority w:val="99"/>
    <w:semiHidden/>
    <w:locked/>
    <w:rsid w:val="0098410D"/>
    <w:rPr>
      <w:rFonts w:ascii="Times New Roman" w:hAnsi="Times New Roman" w:cs="Times New Roman"/>
      <w:spacing w:val="5"/>
      <w:sz w:val="52"/>
      <w:szCs w:val="52"/>
    </w:rPr>
  </w:style>
  <w:style w:type="paragraph" w:customStyle="1" w:styleId="OpiHA">
    <w:name w:val="Opi_H_A"/>
    <w:basedOn w:val="ECHRHeading1"/>
    <w:next w:val="OpiPara"/>
    <w:uiPriority w:val="99"/>
    <w:rsid w:val="0098410D"/>
    <w:pPr>
      <w:tabs>
        <w:tab w:val="clear" w:pos="357"/>
      </w:tabs>
      <w:outlineLvl w:val="1"/>
    </w:pPr>
    <w:rPr>
      <w:b/>
    </w:rPr>
  </w:style>
  <w:style w:type="character" w:customStyle="1" w:styleId="JUNAMES">
    <w:name w:val="JU_NAMES"/>
    <w:uiPriority w:val="99"/>
    <w:rsid w:val="0098410D"/>
    <w:rPr>
      <w:smallCaps/>
    </w:rPr>
  </w:style>
  <w:style w:type="character" w:customStyle="1" w:styleId="JuITMark">
    <w:name w:val="Ju_ITMark"/>
    <w:basedOn w:val="Domylnaczcionkaakapitu"/>
    <w:uiPriority w:val="99"/>
    <w:rsid w:val="0098410D"/>
    <w:rPr>
      <w:rFonts w:cs="Times New Roman"/>
      <w:vanish/>
      <w:color w:val="339966"/>
      <w:sz w:val="14"/>
    </w:rPr>
  </w:style>
  <w:style w:type="paragraph" w:customStyle="1" w:styleId="OpiTranslation">
    <w:name w:val="Opi_Translation"/>
    <w:basedOn w:val="Normalny"/>
    <w:next w:val="OpiPara"/>
    <w:uiPriority w:val="99"/>
    <w:rsid w:val="0098410D"/>
    <w:pPr>
      <w:jc w:val="center"/>
      <w:outlineLvl w:val="0"/>
    </w:pPr>
    <w:rPr>
      <w:i/>
    </w:rPr>
  </w:style>
  <w:style w:type="paragraph" w:customStyle="1" w:styleId="JuCourt">
    <w:name w:val="Ju_Court"/>
    <w:basedOn w:val="Normalny"/>
    <w:next w:val="Normalny"/>
    <w:uiPriority w:val="99"/>
    <w:rsid w:val="0098410D"/>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99"/>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99"/>
    <w:semiHidden/>
    <w:locked/>
    <w:rsid w:val="008D4752"/>
    <w:rPr>
      <w:rFonts w:cs="Times New Roman"/>
    </w:rPr>
  </w:style>
  <w:style w:type="paragraph" w:customStyle="1" w:styleId="ECHRHeading4">
    <w:name w:val="ECHR_Heading_4"/>
    <w:aliases w:val="Ju_H_a"/>
    <w:basedOn w:val="Nagwek4"/>
    <w:next w:val="ECHRPara"/>
    <w:uiPriority w:val="99"/>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98410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98410D"/>
    <w:pPr>
      <w:keepNext/>
      <w:keepLines/>
      <w:spacing w:before="240" w:after="120"/>
      <w:ind w:left="1236"/>
    </w:pPr>
    <w:rPr>
      <w:sz w:val="20"/>
    </w:rPr>
  </w:style>
  <w:style w:type="paragraph" w:customStyle="1" w:styleId="JuParaLast">
    <w:name w:val="Ju_Para_Last"/>
    <w:basedOn w:val="Normalny"/>
    <w:next w:val="ECHRPara"/>
    <w:uiPriority w:val="99"/>
    <w:rsid w:val="0098410D"/>
    <w:pPr>
      <w:keepNext/>
      <w:keepLines/>
      <w:spacing w:before="240"/>
      <w:ind w:firstLine="284"/>
    </w:pPr>
  </w:style>
  <w:style w:type="paragraph" w:customStyle="1" w:styleId="ECHRDecisionBody">
    <w:name w:val="ECHR_Decision_Body"/>
    <w:aliases w:val="Ju_Judges"/>
    <w:basedOn w:val="Normalny"/>
    <w:uiPriority w:val="99"/>
    <w:rsid w:val="0098410D"/>
    <w:pPr>
      <w:tabs>
        <w:tab w:val="left" w:pos="567"/>
        <w:tab w:val="left" w:pos="1134"/>
      </w:tabs>
      <w:jc w:val="left"/>
    </w:pPr>
  </w:style>
  <w:style w:type="paragraph" w:customStyle="1" w:styleId="JuList">
    <w:name w:val="Ju_List"/>
    <w:basedOn w:val="Normalny"/>
    <w:uiPriority w:val="99"/>
    <w:rsid w:val="0098410D"/>
    <w:pPr>
      <w:ind w:left="340" w:hanging="340"/>
    </w:pPr>
  </w:style>
  <w:style w:type="paragraph" w:customStyle="1" w:styleId="JuLista">
    <w:name w:val="Ju_List_a"/>
    <w:basedOn w:val="JuList"/>
    <w:uiPriority w:val="99"/>
    <w:rsid w:val="0098410D"/>
    <w:pPr>
      <w:ind w:left="346" w:firstLine="0"/>
    </w:pPr>
  </w:style>
  <w:style w:type="paragraph" w:customStyle="1" w:styleId="JuListi">
    <w:name w:val="Ju_List_i"/>
    <w:basedOn w:val="Normalny"/>
    <w:next w:val="JuLista"/>
    <w:uiPriority w:val="99"/>
    <w:rsid w:val="0098410D"/>
    <w:pPr>
      <w:ind w:left="794"/>
    </w:pPr>
  </w:style>
  <w:style w:type="character" w:styleId="Wyrnieniedelikatne">
    <w:name w:val="Subtle Emphasis"/>
    <w:basedOn w:val="Domylnaczcionkaakapitu"/>
    <w:uiPriority w:val="99"/>
    <w:qFormat/>
    <w:rsid w:val="0098410D"/>
    <w:rPr>
      <w:rFonts w:cs="Times New Roman"/>
      <w:i/>
    </w:rPr>
  </w:style>
  <w:style w:type="paragraph" w:customStyle="1" w:styleId="OpiH1">
    <w:name w:val="Opi_H_1"/>
    <w:basedOn w:val="ECHRHeading2"/>
    <w:uiPriority w:val="99"/>
    <w:rsid w:val="0098410D"/>
    <w:pPr>
      <w:ind w:left="635" w:hanging="357"/>
      <w:outlineLvl w:val="2"/>
    </w:pPr>
  </w:style>
  <w:style w:type="table" w:customStyle="1" w:styleId="ECHRTable">
    <w:name w:val="ECHR_Table"/>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rPr>
    <w:tblPr>
      <w:tblInd w:w="0" w:type="dxa"/>
      <w:tblCellMar>
        <w:top w:w="57" w:type="dxa"/>
        <w:left w:w="57" w:type="dxa"/>
        <w:bottom w:w="57" w:type="dxa"/>
        <w:right w:w="57" w:type="dxa"/>
      </w:tblCellMar>
    </w:tblPr>
    <w:tcPr>
      <w:shd w:val="clear" w:color="auto" w:fill="F8F8F8"/>
    </w:tcPr>
  </w:style>
  <w:style w:type="paragraph" w:customStyle="1" w:styleId="OpiHa0">
    <w:name w:val="Opi_H_a"/>
    <w:basedOn w:val="ECHRHeading3"/>
    <w:uiPriority w:val="99"/>
    <w:rsid w:val="0098410D"/>
    <w:pPr>
      <w:ind w:left="833" w:hanging="357"/>
      <w:outlineLvl w:val="3"/>
    </w:pPr>
    <w:rPr>
      <w:b/>
      <w:i w:val="0"/>
      <w:sz w:val="20"/>
    </w:rPr>
  </w:style>
  <w:style w:type="paragraph" w:customStyle="1" w:styleId="OpiHi">
    <w:name w:val="Opi_H_i"/>
    <w:basedOn w:val="ECHRHeading4"/>
    <w:uiPriority w:val="99"/>
    <w:rsid w:val="0098410D"/>
    <w:pPr>
      <w:ind w:left="1037" w:hanging="357"/>
      <w:outlineLvl w:val="4"/>
    </w:pPr>
    <w:rPr>
      <w:b w:val="0"/>
      <w:i/>
    </w:rPr>
  </w:style>
  <w:style w:type="paragraph" w:customStyle="1" w:styleId="DummyStyle">
    <w:name w:val="Dummy_Style"/>
    <w:basedOn w:val="Normalny"/>
    <w:uiPriority w:val="99"/>
    <w:semiHidden/>
    <w:rsid w:val="0098410D"/>
    <w:rPr>
      <w:color w:val="00B050"/>
    </w:rPr>
  </w:style>
  <w:style w:type="character" w:styleId="Uwydatnienie">
    <w:name w:val="Emphasis"/>
    <w:basedOn w:val="Domylnaczcionkaakapitu"/>
    <w:uiPriority w:val="99"/>
    <w:qFormat/>
    <w:rsid w:val="0098410D"/>
    <w:rPr>
      <w:rFonts w:cs="Times New Roman"/>
      <w:b/>
      <w:i/>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8D4752"/>
    <w:rPr>
      <w:rFonts w:cs="Times New Roman"/>
    </w:rPr>
  </w:style>
  <w:style w:type="character" w:styleId="Odwoanieprzypisudolnego">
    <w:name w:val="footnote reference"/>
    <w:basedOn w:val="Domylnaczcionkaakapitu"/>
    <w:uiPriority w:val="99"/>
    <w:semiHidden/>
    <w:rsid w:val="00941747"/>
    <w:rPr>
      <w:rFonts w:cs="Times New Roman"/>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locked/>
    <w:rsid w:val="00A671F8"/>
    <w:rPr>
      <w:rFonts w:eastAsia="Times New Roman" w:cs="Times New Roman"/>
      <w:sz w:val="20"/>
      <w:szCs w:val="20"/>
    </w:rPr>
  </w:style>
  <w:style w:type="character" w:styleId="Hipercze">
    <w:name w:val="Hyperlink"/>
    <w:basedOn w:val="Domylnaczcionkaakapitu"/>
    <w:uiPriority w:val="99"/>
    <w:rsid w:val="00941747"/>
    <w:rPr>
      <w:rFonts w:cs="Times New Roman"/>
      <w:color w:val="0072BC"/>
      <w:u w:val="single"/>
    </w:rPr>
  </w:style>
  <w:style w:type="character" w:styleId="Wyrnienieintensywne">
    <w:name w:val="Intense Emphasis"/>
    <w:basedOn w:val="Domylnaczcionkaakapitu"/>
    <w:uiPriority w:val="99"/>
    <w:qFormat/>
    <w:rsid w:val="0098410D"/>
    <w:rPr>
      <w:rFonts w:cs="Times New Roman"/>
      <w:b/>
    </w:rPr>
  </w:style>
  <w:style w:type="paragraph" w:styleId="Cytatintensywny">
    <w:name w:val="Intense Quote"/>
    <w:basedOn w:val="Normalny"/>
    <w:next w:val="Normalny"/>
    <w:link w:val="CytatintensywnyZnak"/>
    <w:uiPriority w:val="99"/>
    <w:qFormat/>
    <w:rsid w:val="0098410D"/>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sid w:val="0098410D"/>
    <w:rPr>
      <w:rFonts w:eastAsia="Times New Roman" w:cs="Times New Roman"/>
      <w:b/>
      <w:bCs/>
      <w:i/>
      <w:iCs/>
    </w:rPr>
  </w:style>
  <w:style w:type="character" w:styleId="Odwoanieintensywne">
    <w:name w:val="Intense Reference"/>
    <w:basedOn w:val="Domylnaczcionkaakapitu"/>
    <w:uiPriority w:val="99"/>
    <w:qFormat/>
    <w:rsid w:val="0098410D"/>
    <w:rPr>
      <w:rFonts w:cs="Times New Roman"/>
      <w:smallCaps/>
      <w:spacing w:val="5"/>
      <w:u w:val="single"/>
    </w:rPr>
  </w:style>
  <w:style w:type="paragraph" w:styleId="Akapitzlist">
    <w:name w:val="List Paragraph"/>
    <w:basedOn w:val="Normalny"/>
    <w:uiPriority w:val="99"/>
    <w:qFormat/>
    <w:rsid w:val="0098410D"/>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98410D"/>
    <w:pPr>
      <w:spacing w:before="200"/>
      <w:ind w:left="360" w:right="360"/>
    </w:pPr>
    <w:rPr>
      <w:i/>
      <w:iCs/>
      <w:sz w:val="22"/>
    </w:rPr>
  </w:style>
  <w:style w:type="character" w:customStyle="1" w:styleId="CytatZnak">
    <w:name w:val="Cytat Znak"/>
    <w:basedOn w:val="Domylnaczcionkaakapitu"/>
    <w:link w:val="Cytat"/>
    <w:uiPriority w:val="99"/>
    <w:semiHidden/>
    <w:locked/>
    <w:rsid w:val="0098410D"/>
    <w:rPr>
      <w:rFonts w:eastAsia="Times New Roman" w:cs="Times New Roman"/>
      <w:i/>
      <w:iCs/>
    </w:rPr>
  </w:style>
  <w:style w:type="character" w:styleId="Odwoaniedelikatne">
    <w:name w:val="Subtle Reference"/>
    <w:basedOn w:val="Domylnaczcionkaakapitu"/>
    <w:uiPriority w:val="99"/>
    <w:qFormat/>
    <w:rsid w:val="0098410D"/>
    <w:rPr>
      <w:rFonts w:cs="Times New Roman"/>
      <w:smallCaps/>
    </w:rPr>
  </w:style>
  <w:style w:type="table" w:styleId="Tabela-Siatka">
    <w:name w:val="Table Grid"/>
    <w:basedOn w:val="Standardowy"/>
    <w:uiPriority w:val="99"/>
    <w:semiHidden/>
    <w:rsid w:val="0094174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EA185E"/>
    <w:pPr>
      <w:spacing w:before="120" w:after="60"/>
      <w:ind w:left="340" w:right="340" w:hanging="340"/>
    </w:pPr>
    <w:rPr>
      <w:color w:val="0D0D0D"/>
    </w:rPr>
  </w:style>
  <w:style w:type="paragraph" w:styleId="Spistreci2">
    <w:name w:val="toc 2"/>
    <w:basedOn w:val="Normalny"/>
    <w:next w:val="Normalny"/>
    <w:autoRedefine/>
    <w:uiPriority w:val="99"/>
    <w:rsid w:val="00EA185E"/>
    <w:pPr>
      <w:spacing w:after="60"/>
      <w:ind w:left="680" w:right="340" w:hanging="340"/>
    </w:pPr>
  </w:style>
  <w:style w:type="paragraph" w:styleId="Spistreci3">
    <w:name w:val="toc 3"/>
    <w:basedOn w:val="Normalny"/>
    <w:next w:val="Normalny"/>
    <w:autoRedefine/>
    <w:uiPriority w:val="99"/>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98410D"/>
    <w:pPr>
      <w:outlineLvl w:val="9"/>
    </w:pPr>
    <w:rPr>
      <w:color w:val="474747"/>
    </w:rPr>
  </w:style>
  <w:style w:type="table" w:customStyle="1" w:styleId="UGTable">
    <w:name w:val="UG_Table"/>
    <w:uiPriority w:val="99"/>
    <w:rsid w:val="00572845"/>
    <w:rPr>
      <w:sz w:val="20"/>
      <w:szCs w:val="20"/>
    </w:rPr>
    <w:tblPr>
      <w:tblInd w:w="-964" w:type="dxa"/>
      <w:tblCellMar>
        <w:top w:w="0" w:type="dxa"/>
        <w:left w:w="57" w:type="dxa"/>
        <w:bottom w:w="57" w:type="dxa"/>
        <w:right w:w="113" w:type="dxa"/>
      </w:tblCellMar>
    </w:tblPr>
  </w:style>
  <w:style w:type="table" w:customStyle="1" w:styleId="UGTableWhiteBox">
    <w:name w:val="UG_Table_White_Box"/>
    <w:uiPriority w:val="99"/>
    <w:rsid w:val="003609FA"/>
    <w:rPr>
      <w:sz w:val="20"/>
      <w:szCs w:val="20"/>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b/>
      <w:bCs/>
      <w:color w:val="474747"/>
      <w:szCs w:val="24"/>
    </w:rPr>
  </w:style>
  <w:style w:type="paragraph" w:styleId="Podtytu">
    <w:name w:val="Subtitle"/>
    <w:basedOn w:val="Normalny"/>
    <w:next w:val="Normalny"/>
    <w:link w:val="PodtytuZnak"/>
    <w:uiPriority w:val="99"/>
    <w:qFormat/>
    <w:rsid w:val="0098410D"/>
    <w:pPr>
      <w:spacing w:after="600"/>
    </w:pPr>
    <w:rPr>
      <w:i/>
      <w:iCs/>
      <w:spacing w:val="13"/>
      <w:szCs w:val="24"/>
    </w:rPr>
  </w:style>
  <w:style w:type="character" w:customStyle="1" w:styleId="PodtytuZnak">
    <w:name w:val="Podtytuł Znak"/>
    <w:basedOn w:val="Domylnaczcionkaakapitu"/>
    <w:link w:val="Podtytu"/>
    <w:uiPriority w:val="99"/>
    <w:semiHidden/>
    <w:locked/>
    <w:rsid w:val="0098410D"/>
    <w:rPr>
      <w:rFonts w:ascii="Times New Roman" w:hAnsi="Times New Roman" w:cs="Times New Roman"/>
      <w:i/>
      <w:iCs/>
      <w:spacing w:val="13"/>
      <w:sz w:val="24"/>
      <w:szCs w:val="24"/>
    </w:rPr>
  </w:style>
  <w:style w:type="paragraph" w:customStyle="1" w:styleId="ECHRPara">
    <w:name w:val="ECHR_Para"/>
    <w:aliases w:val="Ju_Para,Para,Left,First line:  0 cm"/>
    <w:basedOn w:val="Normalny"/>
    <w:link w:val="JuParaChar"/>
    <w:uiPriority w:val="99"/>
    <w:rsid w:val="0098410D"/>
    <w:pPr>
      <w:ind w:firstLine="284"/>
    </w:pPr>
    <w:rPr>
      <w:szCs w:val="20"/>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520BAA"/>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locked/>
    <w:rsid w:val="0098410D"/>
    <w:rPr>
      <w:rFonts w:eastAsia="Times New Roman" w:cs="Times New Roman"/>
      <w:sz w:val="24"/>
    </w:r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98410D"/>
    <w:pPr>
      <w:spacing w:after="120" w:line="480" w:lineRule="auto"/>
    </w:pPr>
  </w:style>
  <w:style w:type="character" w:customStyle="1" w:styleId="Tekstpodstawowy2Znak">
    <w:name w:val="Tekst podstawowy 2 Znak"/>
    <w:basedOn w:val="Domylnaczcionkaakapitu"/>
    <w:link w:val="Tekstpodstawowy2"/>
    <w:uiPriority w:val="99"/>
    <w:semiHidden/>
    <w:locked/>
    <w:rsid w:val="0098410D"/>
    <w:rPr>
      <w:rFonts w:eastAsia="Times New Roman" w:cs="Times New Roman"/>
      <w:sz w:val="24"/>
    </w:r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paragraph" w:customStyle="1" w:styleId="JuCase">
    <w:name w:val="Ju_Case"/>
    <w:basedOn w:val="Normalny"/>
    <w:next w:val="ECHRPara"/>
    <w:uiPriority w:val="99"/>
    <w:rsid w:val="0098410D"/>
    <w:pPr>
      <w:ind w:firstLine="284"/>
    </w:pPr>
    <w:rPr>
      <w:b/>
    </w:rPr>
  </w:style>
  <w:style w:type="character" w:styleId="Numerstrony">
    <w:name w:val="page number"/>
    <w:basedOn w:val="Domylnaczcionkaakapitu"/>
    <w:uiPriority w:val="99"/>
    <w:semiHidden/>
    <w:rsid w:val="0098410D"/>
    <w:rPr>
      <w:rFonts w:cs="Times New Roman"/>
      <w:sz w:val="18"/>
    </w:rPr>
  </w:style>
  <w:style w:type="paragraph" w:styleId="Listapunktowana">
    <w:name w:val="List Bullet"/>
    <w:basedOn w:val="Normalny"/>
    <w:uiPriority w:val="99"/>
    <w:semiHidden/>
    <w:rsid w:val="0098410D"/>
    <w:pPr>
      <w:numPr>
        <w:numId w:val="10"/>
      </w:numPr>
    </w:pPr>
  </w:style>
  <w:style w:type="paragraph" w:styleId="Listapunktowana3">
    <w:name w:val="List Bullet 3"/>
    <w:basedOn w:val="Normalny"/>
    <w:uiPriority w:val="99"/>
    <w:semiHidden/>
    <w:rsid w:val="0098410D"/>
    <w:pPr>
      <w:numPr>
        <w:numId w:val="1"/>
      </w:numPr>
      <w:tabs>
        <w:tab w:val="clear" w:pos="360"/>
        <w:tab w:val="num" w:pos="1080"/>
      </w:tabs>
      <w:ind w:left="1080"/>
      <w:contextualSpacing/>
    </w:p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98410D"/>
    <w:rPr>
      <w:rFonts w:eastAsia="Times New Roman" w:cs="Times New Roman"/>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98410D"/>
    <w:rPr>
      <w:rFonts w:eastAsia="Times New Roman" w:cs="Times New Roman"/>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locked/>
    <w:rsid w:val="0098410D"/>
    <w:rPr>
      <w:rFonts w:eastAsia="Times New Roman" w:cs="Times New Roman"/>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98410D"/>
    <w:rPr>
      <w:rFonts w:eastAsia="Times New Roman" w:cs="Times New Roman"/>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98410D"/>
    <w:rPr>
      <w:rFonts w:eastAsia="Times New Roman" w:cs="Times New Roman"/>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98410D"/>
    <w:rPr>
      <w:rFonts w:eastAsia="Times New Roman" w:cs="Times New Roman"/>
      <w:sz w:val="16"/>
      <w:szCs w:val="16"/>
    </w:rPr>
  </w:style>
  <w:style w:type="paragraph" w:styleId="Legenda">
    <w:name w:val="caption"/>
    <w:basedOn w:val="Normalny"/>
    <w:next w:val="Normalny"/>
    <w:uiPriority w:val="99"/>
    <w:qFormat/>
    <w:rsid w:val="0098410D"/>
    <w:pPr>
      <w:spacing w:after="200"/>
    </w:pPr>
    <w:rPr>
      <w:b/>
      <w:bCs/>
      <w:color w:val="0072BC"/>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locked/>
    <w:rsid w:val="0098410D"/>
    <w:rPr>
      <w:rFonts w:eastAsia="Times New Roman" w:cs="Times New Roman"/>
      <w:sz w:val="24"/>
    </w:rPr>
  </w:style>
  <w:style w:type="table" w:styleId="Kolorowasiatka">
    <w:name w:val="Colorful Grid"/>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98410D"/>
    <w:rPr>
      <w:color w:val="000000"/>
      <w:sz w:val="20"/>
      <w:szCs w:val="20"/>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98410D"/>
    <w:rPr>
      <w:color w:val="000000"/>
      <w:sz w:val="20"/>
      <w:szCs w:val="20"/>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98410D"/>
    <w:rPr>
      <w:color w:val="000000"/>
      <w:sz w:val="20"/>
      <w:szCs w:val="20"/>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98410D"/>
    <w:rPr>
      <w:color w:val="000000"/>
      <w:sz w:val="20"/>
      <w:szCs w:val="20"/>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98410D"/>
    <w:rPr>
      <w:color w:val="000000"/>
      <w:sz w:val="20"/>
      <w:szCs w:val="2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98410D"/>
    <w:rPr>
      <w:color w:val="000000"/>
      <w:sz w:val="20"/>
      <w:szCs w:val="20"/>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98410D"/>
    <w:rPr>
      <w:color w:val="000000"/>
      <w:sz w:val="20"/>
      <w:szCs w:val="2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98410D"/>
    <w:rPr>
      <w:color w:val="000000"/>
      <w:sz w:val="20"/>
      <w:szCs w:val="20"/>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98410D"/>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98410D"/>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98410D"/>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98410D"/>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98410D"/>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98410D"/>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98410D"/>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character" w:styleId="Odwoaniedokomentarza">
    <w:name w:val="annotation reference"/>
    <w:basedOn w:val="Domylnaczcionkaakapitu"/>
    <w:uiPriority w:val="99"/>
    <w:semiHidden/>
    <w:rsid w:val="0098410D"/>
    <w:rPr>
      <w:rFonts w:cs="Times New Roman"/>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locked/>
    <w:rsid w:val="0098410D"/>
    <w:rPr>
      <w:rFonts w:eastAsia="Times New Roman" w:cs="Times New Roman"/>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locked/>
    <w:rsid w:val="0098410D"/>
    <w:rPr>
      <w:rFonts w:eastAsia="Times New Roman" w:cs="Times New Roman"/>
      <w:b/>
      <w:bCs/>
      <w:sz w:val="20"/>
      <w:szCs w:val="20"/>
    </w:rPr>
  </w:style>
  <w:style w:type="table" w:styleId="Ciemnalista">
    <w:name w:val="Dark List"/>
    <w:basedOn w:val="Standardowy"/>
    <w:uiPriority w:val="99"/>
    <w:semiHidden/>
    <w:rsid w:val="0098410D"/>
    <w:rPr>
      <w:color w:val="0072BC"/>
      <w:sz w:val="20"/>
      <w:szCs w:val="20"/>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98410D"/>
    <w:rPr>
      <w:color w:val="0072BC"/>
      <w:sz w:val="20"/>
      <w:szCs w:val="20"/>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98410D"/>
    <w:rPr>
      <w:color w:val="0072BC"/>
      <w:sz w:val="20"/>
      <w:szCs w:val="20"/>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98410D"/>
    <w:rPr>
      <w:color w:val="0072BC"/>
      <w:sz w:val="20"/>
      <w:szCs w:val="20"/>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98410D"/>
    <w:rPr>
      <w:color w:val="0072BC"/>
      <w:sz w:val="20"/>
      <w:szCs w:val="20"/>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98410D"/>
    <w:rPr>
      <w:color w:val="0072BC"/>
      <w:sz w:val="20"/>
      <w:szCs w:val="20"/>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98410D"/>
    <w:rPr>
      <w:color w:val="0072BC"/>
      <w:sz w:val="20"/>
      <w:szCs w:val="20"/>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locked/>
    <w:rsid w:val="0098410D"/>
    <w:rPr>
      <w:rFonts w:eastAsia="Times New Roman" w:cs="Times New Roman"/>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locked/>
    <w:rsid w:val="0098410D"/>
    <w:rPr>
      <w:rFonts w:ascii="Tahom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locked/>
    <w:rsid w:val="0098410D"/>
    <w:rPr>
      <w:rFonts w:eastAsia="Times New Roman" w:cs="Times New Roman"/>
      <w:sz w:val="24"/>
    </w:rPr>
  </w:style>
  <w:style w:type="character" w:styleId="Odwoanieprzypisukocowego">
    <w:name w:val="endnote reference"/>
    <w:basedOn w:val="Domylnaczcionkaakapitu"/>
    <w:uiPriority w:val="99"/>
    <w:semiHidden/>
    <w:rsid w:val="0098410D"/>
    <w:rPr>
      <w:rFonts w:cs="Times New Roman"/>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locked/>
    <w:rsid w:val="0098410D"/>
    <w:rPr>
      <w:rFonts w:eastAsia="Times New Roman" w:cs="Times New Roman"/>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szCs w:val="24"/>
    </w:rPr>
  </w:style>
  <w:style w:type="paragraph" w:styleId="Adreszwrotnynakopercie">
    <w:name w:val="envelope return"/>
    <w:basedOn w:val="Normalny"/>
    <w:uiPriority w:val="99"/>
    <w:semiHidden/>
    <w:rsid w:val="0098410D"/>
    <w:rPr>
      <w:sz w:val="20"/>
      <w:szCs w:val="20"/>
    </w:rPr>
  </w:style>
  <w:style w:type="character" w:styleId="UyteHipercze">
    <w:name w:val="FollowedHyperlink"/>
    <w:basedOn w:val="Domylnaczcionkaakapitu"/>
    <w:uiPriority w:val="99"/>
    <w:semiHidden/>
    <w:rsid w:val="0098410D"/>
    <w:rPr>
      <w:rFonts w:cs="Times New Roman"/>
      <w:color w:val="7030A0"/>
      <w:u w:val="single"/>
    </w:rPr>
  </w:style>
  <w:style w:type="character" w:styleId="HTML-akronim">
    <w:name w:val="HTML Acronym"/>
    <w:basedOn w:val="Domylnaczcionkaakapitu"/>
    <w:uiPriority w:val="99"/>
    <w:semiHidden/>
    <w:rsid w:val="0098410D"/>
    <w:rPr>
      <w:rFonts w:cs="Times New Roman"/>
    </w:rPr>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locked/>
    <w:rsid w:val="0098410D"/>
    <w:rPr>
      <w:rFonts w:eastAsia="Times New Roman" w:cs="Times New Roman"/>
      <w:i/>
      <w:iCs/>
      <w:sz w:val="24"/>
    </w:rPr>
  </w:style>
  <w:style w:type="character" w:styleId="HTML-cytat">
    <w:name w:val="HTML Cite"/>
    <w:basedOn w:val="Domylnaczcionkaakapitu"/>
    <w:uiPriority w:val="99"/>
    <w:semiHidden/>
    <w:rsid w:val="0098410D"/>
    <w:rPr>
      <w:rFonts w:cs="Times New Roman"/>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rFonts w:cs="Times New Roman"/>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98410D"/>
    <w:rPr>
      <w:rFonts w:ascii="Consolas"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rFonts w:cs="Times New Roman"/>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b/>
      <w:bCs/>
    </w:rPr>
  </w:style>
  <w:style w:type="table" w:styleId="Jasnasiatka">
    <w:name w:val="Light Grid"/>
    <w:basedOn w:val="Standardowy"/>
    <w:uiPriority w:val="99"/>
    <w:semiHidden/>
    <w:rsid w:val="0098410D"/>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98410D"/>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98410D"/>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98410D"/>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98410D"/>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98410D"/>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98410D"/>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98410D"/>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98410D"/>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98410D"/>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98410D"/>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98410D"/>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98410D"/>
    <w:rP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98410D"/>
    <w:rPr>
      <w:color w:val="00548C"/>
      <w:sz w:val="20"/>
      <w:szCs w:val="20"/>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98410D"/>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98410D"/>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98410D"/>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98410D"/>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98410D"/>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98410D"/>
    <w:rPr>
      <w:rFonts w:cs="Times New Roman"/>
    </w:rPr>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2"/>
      </w:numPr>
      <w:tabs>
        <w:tab w:val="clear" w:pos="926"/>
        <w:tab w:val="num" w:pos="643"/>
      </w:tabs>
      <w:ind w:left="643"/>
      <w:contextualSpacing/>
    </w:pPr>
  </w:style>
  <w:style w:type="paragraph" w:styleId="Listapunktowana4">
    <w:name w:val="List Bullet 4"/>
    <w:basedOn w:val="Normalny"/>
    <w:uiPriority w:val="99"/>
    <w:semiHidden/>
    <w:rsid w:val="0098410D"/>
    <w:pPr>
      <w:numPr>
        <w:numId w:val="3"/>
      </w:numPr>
      <w:tabs>
        <w:tab w:val="clear" w:pos="643"/>
        <w:tab w:val="num" w:pos="1209"/>
      </w:tabs>
      <w:ind w:left="1209"/>
      <w:contextualSpacing/>
    </w:pPr>
  </w:style>
  <w:style w:type="paragraph" w:styleId="Listapunktowana5">
    <w:name w:val="List Bullet 5"/>
    <w:basedOn w:val="Normalny"/>
    <w:uiPriority w:val="99"/>
    <w:semiHidden/>
    <w:rsid w:val="0098410D"/>
    <w:pPr>
      <w:numPr>
        <w:numId w:val="4"/>
      </w:numPr>
      <w:tabs>
        <w:tab w:val="clear" w:pos="1209"/>
        <w:tab w:val="num" w:pos="1492"/>
      </w:tabs>
      <w:ind w:left="1492"/>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5"/>
      </w:numPr>
      <w:tabs>
        <w:tab w:val="clear" w:pos="1492"/>
        <w:tab w:val="num" w:pos="360"/>
      </w:tabs>
      <w:ind w:left="360"/>
      <w:contextualSpacing/>
    </w:pPr>
  </w:style>
  <w:style w:type="paragraph" w:styleId="Listanumerowana2">
    <w:name w:val="List Number 2"/>
    <w:basedOn w:val="Normalny"/>
    <w:uiPriority w:val="99"/>
    <w:semiHidden/>
    <w:rsid w:val="0098410D"/>
    <w:pPr>
      <w:numPr>
        <w:numId w:val="6"/>
      </w:numPr>
      <w:tabs>
        <w:tab w:val="clear" w:pos="360"/>
        <w:tab w:val="num" w:pos="643"/>
      </w:tabs>
      <w:ind w:left="643"/>
      <w:contextualSpacing/>
    </w:pPr>
  </w:style>
  <w:style w:type="paragraph" w:styleId="Listanumerowana3">
    <w:name w:val="List Number 3"/>
    <w:basedOn w:val="Normalny"/>
    <w:uiPriority w:val="99"/>
    <w:semiHidden/>
    <w:rsid w:val="0098410D"/>
    <w:pPr>
      <w:numPr>
        <w:numId w:val="7"/>
      </w:numPr>
      <w:tabs>
        <w:tab w:val="clear" w:pos="643"/>
        <w:tab w:val="num" w:pos="926"/>
      </w:tabs>
      <w:ind w:left="926"/>
      <w:contextualSpacing/>
    </w:pPr>
  </w:style>
  <w:style w:type="paragraph" w:styleId="Listanumerowana4">
    <w:name w:val="List Number 4"/>
    <w:basedOn w:val="Normalny"/>
    <w:uiPriority w:val="99"/>
    <w:semiHidden/>
    <w:rsid w:val="0098410D"/>
    <w:pPr>
      <w:numPr>
        <w:numId w:val="8"/>
      </w:numPr>
      <w:tabs>
        <w:tab w:val="clear" w:pos="926"/>
        <w:tab w:val="num" w:pos="1209"/>
      </w:tabs>
      <w:ind w:left="1209"/>
      <w:contextualSpacing/>
    </w:pPr>
  </w:style>
  <w:style w:type="paragraph" w:styleId="Listanumerowana5">
    <w:name w:val="List Number 5"/>
    <w:basedOn w:val="Normalny"/>
    <w:uiPriority w:val="99"/>
    <w:semiHidden/>
    <w:rsid w:val="0098410D"/>
    <w:pPr>
      <w:numPr>
        <w:numId w:val="9"/>
      </w:numPr>
      <w:tabs>
        <w:tab w:val="clear" w:pos="1209"/>
        <w:tab w:val="num" w:pos="1492"/>
      </w:tabs>
      <w:ind w:left="1492"/>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sz w:val="20"/>
      <w:szCs w:val="20"/>
    </w:rPr>
  </w:style>
  <w:style w:type="character" w:customStyle="1" w:styleId="TekstmakraZnak">
    <w:name w:val="Tekst makra Znak"/>
    <w:basedOn w:val="Domylnaczcionkaakapitu"/>
    <w:link w:val="Tekstmakra"/>
    <w:uiPriority w:val="99"/>
    <w:semiHidden/>
    <w:locked/>
    <w:rsid w:val="0098410D"/>
    <w:rPr>
      <w:rFonts w:ascii="Consolas" w:hAnsi="Consolas" w:cs="Consolas"/>
      <w:lang w:val="pl-PL" w:eastAsia="pl-PL" w:bidi="ar-SA"/>
    </w:rPr>
  </w:style>
  <w:style w:type="table" w:styleId="redniasiatka1">
    <w:name w:val="Medium Grid 1"/>
    <w:basedOn w:val="Standardowy"/>
    <w:uiPriority w:val="99"/>
    <w:semiHidden/>
    <w:rsid w:val="0098410D"/>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98410D"/>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98410D"/>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98410D"/>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98410D"/>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98410D"/>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98410D"/>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98410D"/>
    <w:rPr>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98410D"/>
    <w:rPr>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98410D"/>
    <w:rPr>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98410D"/>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98410D"/>
    <w:rPr>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98410D"/>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98410D"/>
    <w:rPr>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98410D"/>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98410D"/>
    <w:rPr>
      <w:color w:val="000000"/>
      <w:sz w:val="20"/>
      <w:szCs w:val="2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98410D"/>
    <w:rPr>
      <w:color w:val="000000"/>
      <w:sz w:val="20"/>
      <w:szCs w:val="2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98410D"/>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98410D"/>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98410D"/>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98410D"/>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98410D"/>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98410D"/>
    <w:rPr>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98410D"/>
    <w:rPr>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98410D"/>
    <w:rPr>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98410D"/>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98410D"/>
    <w:rPr>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98410D"/>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98410D"/>
    <w:rPr>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98410D"/>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98410D"/>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98410D"/>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98410D"/>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98410D"/>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98410D"/>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98410D"/>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NagwekwiadomociZnak">
    <w:name w:val="Nagłówek wiadomości Znak"/>
    <w:basedOn w:val="Domylnaczcionkaakapitu"/>
    <w:link w:val="Nagwekwiadomoci"/>
    <w:uiPriority w:val="99"/>
    <w:semiHidden/>
    <w:locked/>
    <w:rsid w:val="0098410D"/>
    <w:rPr>
      <w:rFonts w:ascii="Times New Roman" w:hAnsi="Times New Roman" w:cs="Times New Roman"/>
      <w:sz w:val="24"/>
      <w:szCs w:val="24"/>
      <w:shd w:val="pct20" w:color="auto" w:fill="auto"/>
    </w:rPr>
  </w:style>
  <w:style w:type="paragraph" w:styleId="NormalnyWeb">
    <w:name w:val="Normal (Web)"/>
    <w:basedOn w:val="Normalny"/>
    <w:uiPriority w:val="99"/>
    <w:semiHidden/>
    <w:rsid w:val="0098410D"/>
    <w:rPr>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locked/>
    <w:rsid w:val="0098410D"/>
    <w:rPr>
      <w:rFonts w:eastAsia="Times New Roman" w:cs="Times New Roman"/>
      <w:sz w:val="24"/>
    </w:rPr>
  </w:style>
  <w:style w:type="character" w:styleId="Tekstzastpczy">
    <w:name w:val="Placeholder Text"/>
    <w:basedOn w:val="Domylnaczcionkaakapitu"/>
    <w:uiPriority w:val="99"/>
    <w:semiHidden/>
    <w:rsid w:val="0098410D"/>
    <w:rPr>
      <w:rFonts w:cs="Times New Roman"/>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98410D"/>
    <w:rPr>
      <w:rFonts w:ascii="Consolas"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locked/>
    <w:rsid w:val="0098410D"/>
    <w:rPr>
      <w:rFonts w:eastAsia="Times New Roman" w:cs="Times New Roman"/>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locked/>
    <w:rsid w:val="0098410D"/>
    <w:rPr>
      <w:rFonts w:eastAsia="Times New Roman" w:cs="Times New Roman"/>
      <w:sz w:val="24"/>
    </w:rPr>
  </w:style>
  <w:style w:type="table" w:styleId="Tabela-Efekty3W1">
    <w:name w:val="Table 3D effects 1"/>
    <w:basedOn w:val="Standardowy"/>
    <w:uiPriority w:val="99"/>
    <w:semiHidden/>
    <w:rsid w:val="0098410D"/>
    <w:pPr>
      <w:jc w:val="both"/>
    </w:pPr>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98410D"/>
    <w:pPr>
      <w:jc w:val="both"/>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98410D"/>
    <w:pPr>
      <w:jc w:val="both"/>
    </w:pPr>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98410D"/>
    <w:pPr>
      <w:jc w:val="both"/>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98410D"/>
    <w:pPr>
      <w:jc w:val="both"/>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98410D"/>
    <w:pPr>
      <w:jc w:val="both"/>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98410D"/>
    <w:pPr>
      <w:jc w:val="both"/>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98410D"/>
    <w:pPr>
      <w:jc w:val="both"/>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98410D"/>
    <w:pPr>
      <w:jc w:val="both"/>
    </w:pPr>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98410D"/>
    <w:pPr>
      <w:jc w:val="both"/>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98410D"/>
    <w:pPr>
      <w:jc w:val="both"/>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98410D"/>
    <w:pPr>
      <w:jc w:val="both"/>
    </w:pPr>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98410D"/>
    <w:pPr>
      <w:jc w:val="both"/>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98410D"/>
    <w:pPr>
      <w:jc w:val="both"/>
    </w:pPr>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98410D"/>
    <w:pPr>
      <w:jc w:val="both"/>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98410D"/>
    <w:pPr>
      <w:jc w:val="both"/>
    </w:pPr>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98410D"/>
    <w:pPr>
      <w:jc w:val="both"/>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98410D"/>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98410D"/>
    <w:pPr>
      <w:jc w:val="both"/>
    </w:pPr>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98410D"/>
    <w:pPr>
      <w:jc w:val="both"/>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98410D"/>
    <w:pPr>
      <w:jc w:val="both"/>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98410D"/>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98410D"/>
    <w:pPr>
      <w:jc w:val="both"/>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98410D"/>
    <w:pPr>
      <w:jc w:val="both"/>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98410D"/>
    <w:pPr>
      <w:jc w:val="both"/>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98410D"/>
    <w:pPr>
      <w:jc w:val="both"/>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98410D"/>
    <w:pPr>
      <w:jc w:val="both"/>
    </w:pPr>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98410D"/>
    <w:pPr>
      <w:jc w:val="both"/>
    </w:pPr>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98410D"/>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98410D"/>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98410D"/>
    <w:pPr>
      <w:jc w:val="both"/>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98410D"/>
    <w:pPr>
      <w:jc w:val="both"/>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98410D"/>
    <w:pPr>
      <w:jc w:val="both"/>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rsid w:val="0098410D"/>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98410D"/>
    <w:pPr>
      <w:jc w:val="both"/>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98410D"/>
    <w:pPr>
      <w:jc w:val="both"/>
    </w:pPr>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98410D"/>
    <w:pPr>
      <w:jc w:val="both"/>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98410D"/>
    <w:pPr>
      <w:jc w:val="both"/>
    </w:pPr>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98410D"/>
    <w:pPr>
      <w:jc w:val="both"/>
    </w:pPr>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98410D"/>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98410D"/>
    <w:pPr>
      <w:jc w:val="both"/>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98410D"/>
    <w:pPr>
      <w:jc w:val="both"/>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98410D"/>
    <w:pPr>
      <w:jc w:val="both"/>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ECHRFooter">
    <w:name w:val="ECHR_Footer"/>
    <w:aliases w:val="Footer_ECHR"/>
    <w:basedOn w:val="Stopka"/>
    <w:uiPriority w:val="99"/>
    <w:semiHidden/>
    <w:rsid w:val="00CF78AC"/>
    <w:pPr>
      <w:jc w:val="left"/>
    </w:pPr>
    <w:rPr>
      <w:sz w:val="8"/>
    </w:rPr>
  </w:style>
  <w:style w:type="paragraph" w:customStyle="1" w:styleId="ECHRFooterLine">
    <w:name w:val="ECHR_Footer_Line"/>
    <w:aliases w:val="Footer_Line"/>
    <w:basedOn w:val="Normalny"/>
    <w:next w:val="ECHRFooter"/>
    <w:uiPriority w:val="99"/>
    <w:semiHidden/>
    <w:rsid w:val="00CF78A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CF78AC"/>
    <w:pPr>
      <w:numPr>
        <w:numId w:val="17"/>
      </w:numPr>
      <w:jc w:val="left"/>
    </w:pPr>
    <w:rPr>
      <w:b/>
    </w:rPr>
  </w:style>
  <w:style w:type="paragraph" w:customStyle="1" w:styleId="ECHRTitleCentre2">
    <w:name w:val="ECHR_Title_Centre_2"/>
    <w:aliases w:val="Dec_H_Case"/>
    <w:basedOn w:val="Normalny"/>
    <w:next w:val="ECHRPara"/>
    <w:uiPriority w:val="99"/>
    <w:rsid w:val="00CF78AC"/>
    <w:pPr>
      <w:spacing w:after="240"/>
      <w:jc w:val="center"/>
      <w:outlineLvl w:val="0"/>
    </w:pPr>
  </w:style>
  <w:style w:type="paragraph" w:customStyle="1" w:styleId="JuTitle">
    <w:name w:val="Ju_Title"/>
    <w:basedOn w:val="Normalny"/>
    <w:next w:val="ECHRPara"/>
    <w:uiPriority w:val="99"/>
    <w:rsid w:val="00CF78AC"/>
    <w:pPr>
      <w:spacing w:before="720" w:after="240"/>
      <w:jc w:val="center"/>
      <w:outlineLvl w:val="0"/>
    </w:pPr>
    <w:rPr>
      <w:b/>
      <w:caps/>
    </w:rPr>
  </w:style>
  <w:style w:type="table" w:customStyle="1" w:styleId="UGTable1">
    <w:name w:val="UG_Table1"/>
    <w:uiPriority w:val="99"/>
    <w:rsid w:val="00CF78AC"/>
    <w:rPr>
      <w:sz w:val="20"/>
      <w:szCs w:val="20"/>
    </w:rPr>
    <w:tblPr>
      <w:tblInd w:w="-1191" w:type="dxa"/>
      <w:tblCellMar>
        <w:top w:w="57" w:type="dxa"/>
        <w:left w:w="0" w:type="dxa"/>
        <w:bottom w:w="0" w:type="dxa"/>
        <w:right w:w="0" w:type="dxa"/>
      </w:tblCellMar>
    </w:tblPr>
  </w:style>
  <w:style w:type="table" w:customStyle="1" w:styleId="UGTableWhiteBox1">
    <w:name w:val="UG_Table_White_Box1"/>
    <w:uiPriority w:val="99"/>
    <w:rsid w:val="00CF78AC"/>
    <w:rPr>
      <w:sz w:val="20"/>
      <w:szCs w:val="20"/>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character" w:customStyle="1" w:styleId="JuNames0">
    <w:name w:val="Ju_Names"/>
    <w:uiPriority w:val="99"/>
    <w:rsid w:val="00CF78AC"/>
    <w:rPr>
      <w:smallCaps/>
    </w:rPr>
  </w:style>
  <w:style w:type="table" w:customStyle="1" w:styleId="Table3Deffects11">
    <w:name w:val="Table 3D effects 11"/>
    <w:uiPriority w:val="99"/>
    <w:semiHidden/>
    <w:rsid w:val="00CF78AC"/>
    <w:pPr>
      <w:suppressAutoHyphens/>
    </w:pPr>
    <w:rPr>
      <w:sz w:val="20"/>
      <w:szCs w:val="20"/>
    </w:rPr>
    <w:tblPr>
      <w:tblInd w:w="0" w:type="dxa"/>
      <w:tblCellMar>
        <w:top w:w="0" w:type="dxa"/>
        <w:left w:w="108" w:type="dxa"/>
        <w:bottom w:w="0" w:type="dxa"/>
        <w:right w:w="108" w:type="dxa"/>
      </w:tblCellMar>
    </w:tblPr>
    <w:tcPr>
      <w:shd w:val="solid" w:color="C0C0C0" w:fill="FFFFFF"/>
    </w:tcPr>
  </w:style>
  <w:style w:type="table" w:customStyle="1" w:styleId="Table3Deffects21">
    <w:name w:val="Table 3D effects 21"/>
    <w:uiPriority w:val="99"/>
    <w:semiHidden/>
    <w:rsid w:val="00CF78AC"/>
    <w:pPr>
      <w:suppressAutoHyphens/>
    </w:pPr>
    <w:rPr>
      <w:sz w:val="20"/>
      <w:szCs w:val="20"/>
    </w:rPr>
    <w:tblPr>
      <w:tblStyleRowBandSize w:val="1"/>
      <w:tblInd w:w="0" w:type="dxa"/>
      <w:tblCellMar>
        <w:top w:w="0" w:type="dxa"/>
        <w:left w:w="108" w:type="dxa"/>
        <w:bottom w:w="0" w:type="dxa"/>
        <w:right w:w="108" w:type="dxa"/>
      </w:tblCellMar>
    </w:tblPr>
    <w:tcPr>
      <w:shd w:val="solid" w:color="C0C0C0" w:fill="FFFFFF"/>
    </w:tcPr>
  </w:style>
  <w:style w:type="table" w:customStyle="1" w:styleId="Table3Deffects31">
    <w:name w:val="Table 3D effects 31"/>
    <w:uiPriority w:val="99"/>
    <w:semiHidden/>
    <w:rsid w:val="00CF78AC"/>
    <w:pPr>
      <w:suppressAutoHyphens/>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TableClassic11">
    <w:name w:val="Table Classic 11"/>
    <w:uiPriority w:val="99"/>
    <w:semiHidden/>
    <w:rsid w:val="00CF78AC"/>
    <w:pPr>
      <w:suppressAutoHyphens/>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21">
    <w:name w:val="Table Classic 21"/>
    <w:uiPriority w:val="99"/>
    <w:semiHidden/>
    <w:rsid w:val="00CF78AC"/>
    <w:pPr>
      <w:suppressAutoHyphens/>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31">
    <w:name w:val="Table Classic 31"/>
    <w:uiPriority w:val="99"/>
    <w:semiHidden/>
    <w:rsid w:val="00CF78AC"/>
    <w:pPr>
      <w:suppressAutoHyphens/>
    </w:pPr>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eClassic41">
    <w:name w:val="Table Classic 41"/>
    <w:uiPriority w:val="99"/>
    <w:semiHidden/>
    <w:rsid w:val="00CF78AC"/>
    <w:pPr>
      <w:suppressAutoHyphens/>
    </w:pPr>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TableColorful11">
    <w:name w:val="Table Colorful 11"/>
    <w:uiPriority w:val="99"/>
    <w:semiHidden/>
    <w:rsid w:val="00CF78AC"/>
    <w:pPr>
      <w:suppressAutoHyphens/>
    </w:pPr>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TableColorful21">
    <w:name w:val="Table Colorful 21"/>
    <w:uiPriority w:val="99"/>
    <w:semiHidden/>
    <w:rsid w:val="00CF78AC"/>
    <w:pPr>
      <w:suppressAutoHyphens/>
    </w:pPr>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TableColorful31">
    <w:name w:val="Table Colorful 31"/>
    <w:uiPriority w:val="99"/>
    <w:semiHidden/>
    <w:rsid w:val="00CF78AC"/>
    <w:pPr>
      <w:suppressAutoHyphens/>
    </w:pPr>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TableColumns11">
    <w:name w:val="Table Columns 11"/>
    <w:uiPriority w:val="99"/>
    <w:semiHidden/>
    <w:rsid w:val="00CF78AC"/>
    <w:pPr>
      <w:suppressAutoHyphens/>
    </w:pPr>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Columns21">
    <w:name w:val="Table Columns 21"/>
    <w:uiPriority w:val="99"/>
    <w:semiHidden/>
    <w:rsid w:val="00CF78AC"/>
    <w:pPr>
      <w:suppressAutoHyphens/>
    </w:pPr>
    <w:rPr>
      <w:b/>
      <w:bCs/>
      <w:sz w:val="20"/>
      <w:szCs w:val="20"/>
    </w:rPr>
    <w:tblPr>
      <w:tblStyleColBandSize w:val="1"/>
      <w:tblInd w:w="0" w:type="dxa"/>
      <w:tblCellMar>
        <w:top w:w="0" w:type="dxa"/>
        <w:left w:w="108" w:type="dxa"/>
        <w:bottom w:w="0" w:type="dxa"/>
        <w:right w:w="108" w:type="dxa"/>
      </w:tblCellMar>
    </w:tblPr>
  </w:style>
  <w:style w:type="table" w:customStyle="1" w:styleId="TableColumns31">
    <w:name w:val="Table Columns 31"/>
    <w:uiPriority w:val="99"/>
    <w:semiHidden/>
    <w:rsid w:val="00CF78AC"/>
    <w:pPr>
      <w:suppressAutoHyphens/>
    </w:pPr>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TableColumns41">
    <w:name w:val="Table Columns 41"/>
    <w:uiPriority w:val="99"/>
    <w:semiHidden/>
    <w:rsid w:val="00CF78AC"/>
    <w:pPr>
      <w:suppressAutoHyphens/>
    </w:pPr>
    <w:rPr>
      <w:sz w:val="20"/>
      <w:szCs w:val="20"/>
    </w:rPr>
    <w:tblPr>
      <w:tblStyleColBandSize w:val="1"/>
      <w:tblInd w:w="0" w:type="dxa"/>
      <w:tblCellMar>
        <w:top w:w="0" w:type="dxa"/>
        <w:left w:w="108" w:type="dxa"/>
        <w:bottom w:w="0" w:type="dxa"/>
        <w:right w:w="108" w:type="dxa"/>
      </w:tblCellMar>
    </w:tblPr>
  </w:style>
  <w:style w:type="table" w:customStyle="1" w:styleId="TableColumns51">
    <w:name w:val="Table Columns 51"/>
    <w:uiPriority w:val="99"/>
    <w:semiHidden/>
    <w:rsid w:val="00CF78AC"/>
    <w:pPr>
      <w:suppressAutoHyphens/>
    </w:pPr>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TableContemporary1">
    <w:name w:val="Table Contemporary1"/>
    <w:uiPriority w:val="99"/>
    <w:semiHidden/>
    <w:rsid w:val="00CF78AC"/>
    <w:pPr>
      <w:suppressAutoHyphens/>
    </w:pPr>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style>
  <w:style w:type="table" w:customStyle="1" w:styleId="TableElegant1">
    <w:name w:val="Table Elegant1"/>
    <w:uiPriority w:val="99"/>
    <w:semiHidden/>
    <w:rsid w:val="00CF78AC"/>
    <w:pPr>
      <w:suppressAutoHyphens/>
    </w:pPr>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11">
    <w:name w:val="Table Grid 11"/>
    <w:uiPriority w:val="99"/>
    <w:semiHidden/>
    <w:rsid w:val="00CF78AC"/>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1">
    <w:name w:val="Table Grid 21"/>
    <w:uiPriority w:val="99"/>
    <w:semiHidden/>
    <w:rsid w:val="00CF78AC"/>
    <w:pPr>
      <w:suppressAutoHyphens/>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customStyle="1" w:styleId="TableGrid31">
    <w:name w:val="Table Grid 31"/>
    <w:uiPriority w:val="99"/>
    <w:semiHidden/>
    <w:rsid w:val="00CF78AC"/>
    <w:pPr>
      <w:suppressAutoHyphens/>
    </w:pPr>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41">
    <w:name w:val="Table Grid 41"/>
    <w:uiPriority w:val="99"/>
    <w:semiHidden/>
    <w:rsid w:val="00CF78AC"/>
    <w:pPr>
      <w:suppressAutoHyphens/>
    </w:pPr>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51">
    <w:name w:val="Table Grid 51"/>
    <w:uiPriority w:val="99"/>
    <w:semiHidden/>
    <w:rsid w:val="00CF78AC"/>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61">
    <w:name w:val="Table Grid 61"/>
    <w:uiPriority w:val="99"/>
    <w:semiHidden/>
    <w:rsid w:val="00CF78AC"/>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71">
    <w:name w:val="Table Grid 71"/>
    <w:uiPriority w:val="99"/>
    <w:semiHidden/>
    <w:rsid w:val="00CF78AC"/>
    <w:pPr>
      <w:suppressAutoHyphens/>
    </w:pPr>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81">
    <w:name w:val="Table Grid 81"/>
    <w:uiPriority w:val="99"/>
    <w:semiHidden/>
    <w:rsid w:val="00CF78AC"/>
    <w:pPr>
      <w:suppressAutoHyphens/>
    </w:pPr>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eList11">
    <w:name w:val="Table List 11"/>
    <w:uiPriority w:val="99"/>
    <w:semiHidden/>
    <w:rsid w:val="00CF78AC"/>
    <w:pPr>
      <w:suppressAutoHyphens/>
    </w:pPr>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TableList21">
    <w:name w:val="Table List 21"/>
    <w:uiPriority w:val="99"/>
    <w:semiHidden/>
    <w:rsid w:val="00CF78AC"/>
    <w:pPr>
      <w:suppressAutoHyphens/>
    </w:pPr>
    <w:rPr>
      <w:sz w:val="20"/>
      <w:szCs w:val="20"/>
    </w:rPr>
    <w:tblPr>
      <w:tblStyleRowBandSize w:val="2"/>
      <w:tblInd w:w="0" w:type="dxa"/>
      <w:tblBorders>
        <w:bottom w:val="single" w:sz="12" w:space="0" w:color="808080"/>
      </w:tblBorders>
      <w:tblCellMar>
        <w:top w:w="0" w:type="dxa"/>
        <w:left w:w="108" w:type="dxa"/>
        <w:bottom w:w="0" w:type="dxa"/>
        <w:right w:w="108" w:type="dxa"/>
      </w:tblCellMar>
    </w:tblPr>
  </w:style>
  <w:style w:type="table" w:customStyle="1" w:styleId="TableList31">
    <w:name w:val="Table List 31"/>
    <w:uiPriority w:val="99"/>
    <w:semiHidden/>
    <w:rsid w:val="00CF78AC"/>
    <w:pPr>
      <w:suppressAutoHyphens/>
    </w:pPr>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TableList41">
    <w:name w:val="Table List 41"/>
    <w:uiPriority w:val="99"/>
    <w:semiHidden/>
    <w:rsid w:val="00CF78AC"/>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TableList51">
    <w:name w:val="Table List 51"/>
    <w:uiPriority w:val="99"/>
    <w:semiHidden/>
    <w:rsid w:val="00CF78AC"/>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TableList61">
    <w:name w:val="Table List 61"/>
    <w:uiPriority w:val="99"/>
    <w:semiHidden/>
    <w:rsid w:val="00CF78AC"/>
    <w:pPr>
      <w:suppressAutoHyphens/>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TableList71">
    <w:name w:val="Table List 71"/>
    <w:uiPriority w:val="99"/>
    <w:semiHidden/>
    <w:rsid w:val="00CF78AC"/>
    <w:pPr>
      <w:suppressAutoHyphens/>
    </w:pPr>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TableList81">
    <w:name w:val="Table List 81"/>
    <w:uiPriority w:val="99"/>
    <w:semiHidden/>
    <w:rsid w:val="00CF78AC"/>
    <w:pPr>
      <w:suppressAutoHyphens/>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TableProfessional1">
    <w:name w:val="Table Professional1"/>
    <w:uiPriority w:val="99"/>
    <w:semiHidden/>
    <w:rsid w:val="00CF78AC"/>
    <w:pPr>
      <w:suppressAutoHyphens/>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Simple11">
    <w:name w:val="Table Simple 11"/>
    <w:uiPriority w:val="99"/>
    <w:semiHidden/>
    <w:rsid w:val="00CF78AC"/>
    <w:pPr>
      <w:suppressAutoHyphens/>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TableSimple21">
    <w:name w:val="Table Simple 21"/>
    <w:uiPriority w:val="99"/>
    <w:semiHidden/>
    <w:rsid w:val="00CF78AC"/>
    <w:pPr>
      <w:suppressAutoHyphens/>
    </w:pPr>
    <w:rPr>
      <w:sz w:val="20"/>
      <w:szCs w:val="20"/>
    </w:rPr>
    <w:tblPr>
      <w:tblInd w:w="0" w:type="dxa"/>
      <w:tblCellMar>
        <w:top w:w="0" w:type="dxa"/>
        <w:left w:w="108" w:type="dxa"/>
        <w:bottom w:w="0" w:type="dxa"/>
        <w:right w:w="108" w:type="dxa"/>
      </w:tblCellMar>
    </w:tblPr>
  </w:style>
  <w:style w:type="table" w:customStyle="1" w:styleId="TableSimple31">
    <w:name w:val="Table Simple 31"/>
    <w:uiPriority w:val="99"/>
    <w:semiHidden/>
    <w:rsid w:val="00CF78AC"/>
    <w:pPr>
      <w:suppressAutoHyphens/>
    </w:pPr>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Subtle11">
    <w:name w:val="Table Subtle 11"/>
    <w:uiPriority w:val="99"/>
    <w:semiHidden/>
    <w:rsid w:val="00CF78AC"/>
    <w:pPr>
      <w:suppressAutoHyphens/>
    </w:pPr>
    <w:rPr>
      <w:sz w:val="20"/>
      <w:szCs w:val="20"/>
    </w:rPr>
    <w:tblPr>
      <w:tblStyleRowBandSize w:val="1"/>
      <w:tblInd w:w="0" w:type="dxa"/>
      <w:tblCellMar>
        <w:top w:w="0" w:type="dxa"/>
        <w:left w:w="108" w:type="dxa"/>
        <w:bottom w:w="0" w:type="dxa"/>
        <w:right w:w="108" w:type="dxa"/>
      </w:tblCellMar>
    </w:tblPr>
  </w:style>
  <w:style w:type="table" w:customStyle="1" w:styleId="TableSubtle21">
    <w:name w:val="Table Subtle 21"/>
    <w:uiPriority w:val="99"/>
    <w:semiHidden/>
    <w:rsid w:val="00CF78AC"/>
    <w:pPr>
      <w:suppressAutoHyphens/>
    </w:pPr>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customStyle="1" w:styleId="TableTheme1">
    <w:name w:val="Table Theme1"/>
    <w:uiPriority w:val="99"/>
    <w:semiHidden/>
    <w:rsid w:val="00CF78AC"/>
    <w:pPr>
      <w:suppressAutoHyphens/>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uiPriority w:val="99"/>
    <w:semiHidden/>
    <w:rsid w:val="00CF78AC"/>
    <w:pPr>
      <w:suppressAutoHyphens/>
    </w:pPr>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eWeb21">
    <w:name w:val="Table Web 21"/>
    <w:uiPriority w:val="99"/>
    <w:semiHidden/>
    <w:rsid w:val="00CF78AC"/>
    <w:pPr>
      <w:suppressAutoHyphens/>
    </w:pPr>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TableWeb31">
    <w:name w:val="Table Web 31"/>
    <w:uiPriority w:val="99"/>
    <w:semiHidden/>
    <w:rsid w:val="00CF78AC"/>
    <w:pPr>
      <w:suppressAutoHyphens/>
    </w:pPr>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customStyle="1" w:styleId="DecHTitle">
    <w:name w:val="Dec_H_Title"/>
    <w:basedOn w:val="ECHRTitleCentre1"/>
    <w:uiPriority w:val="99"/>
    <w:rsid w:val="00CF78AC"/>
  </w:style>
  <w:style w:type="paragraph" w:customStyle="1" w:styleId="DecList">
    <w:name w:val="Dec_List"/>
    <w:basedOn w:val="Normalny"/>
    <w:uiPriority w:val="99"/>
    <w:rsid w:val="00CF78AC"/>
    <w:pPr>
      <w:spacing w:before="240"/>
      <w:ind w:left="284"/>
    </w:pPr>
  </w:style>
  <w:style w:type="character" w:customStyle="1" w:styleId="JuParaChar">
    <w:name w:val="Ju_Para Char"/>
    <w:link w:val="ECHRPara"/>
    <w:uiPriority w:val="99"/>
    <w:locked/>
    <w:rsid w:val="00CF78AC"/>
    <w:rPr>
      <w:rFonts w:eastAsia="Times New Roman"/>
      <w:sz w:val="24"/>
    </w:rPr>
  </w:style>
  <w:style w:type="character" w:customStyle="1" w:styleId="JuParaCar">
    <w:name w:val="Ju_Para Car"/>
    <w:uiPriority w:val="99"/>
    <w:rsid w:val="00CF78AC"/>
    <w:rPr>
      <w:rFonts w:eastAsia="Times New Roman"/>
      <w:sz w:val="24"/>
    </w:rPr>
  </w:style>
  <w:style w:type="character" w:customStyle="1" w:styleId="sb8d990e2">
    <w:name w:val="sb8d990e2"/>
    <w:basedOn w:val="Domylnaczcionkaakapitu"/>
    <w:uiPriority w:val="99"/>
    <w:rsid w:val="00CF78AC"/>
    <w:rPr>
      <w:rFonts w:cs="Times New Roman"/>
    </w:rPr>
  </w:style>
  <w:style w:type="paragraph" w:customStyle="1" w:styleId="s30eec3f8">
    <w:name w:val="s30eec3f8"/>
    <w:basedOn w:val="Normalny"/>
    <w:uiPriority w:val="99"/>
    <w:rsid w:val="00CF78AC"/>
    <w:pPr>
      <w:spacing w:before="100" w:beforeAutospacing="1" w:after="100" w:afterAutospacing="1"/>
      <w:jc w:val="left"/>
    </w:pPr>
    <w:rPr>
      <w:szCs w:val="24"/>
    </w:rPr>
  </w:style>
  <w:style w:type="character" w:customStyle="1" w:styleId="s6b621b36">
    <w:name w:val="s6b621b36"/>
    <w:basedOn w:val="Domylnaczcionkaakapitu"/>
    <w:uiPriority w:val="99"/>
    <w:rsid w:val="00CF78AC"/>
    <w:rPr>
      <w:rFonts w:cs="Times New Roman"/>
    </w:rPr>
  </w:style>
  <w:style w:type="paragraph" w:customStyle="1" w:styleId="s9e9b0cd7">
    <w:name w:val="s9e9b0cd7"/>
    <w:basedOn w:val="Normalny"/>
    <w:uiPriority w:val="99"/>
    <w:rsid w:val="00CF78AC"/>
    <w:pPr>
      <w:spacing w:before="100" w:beforeAutospacing="1" w:after="100" w:afterAutospacing="1"/>
      <w:jc w:val="left"/>
    </w:pPr>
    <w:rPr>
      <w:szCs w:val="24"/>
    </w:rPr>
  </w:style>
  <w:style w:type="character" w:customStyle="1" w:styleId="sfbbfee58">
    <w:name w:val="sfbbfee58"/>
    <w:basedOn w:val="Domylnaczcionkaakapitu"/>
    <w:uiPriority w:val="99"/>
    <w:rsid w:val="00CF78AC"/>
    <w:rPr>
      <w:rFonts w:cs="Times New Roman"/>
    </w:rPr>
  </w:style>
  <w:style w:type="character" w:customStyle="1" w:styleId="sdfc50a6a">
    <w:name w:val="sdfc50a6a"/>
    <w:basedOn w:val="Domylnaczcionkaakapitu"/>
    <w:uiPriority w:val="99"/>
    <w:rsid w:val="00CF78AC"/>
    <w:rPr>
      <w:rFonts w:cs="Times New Roman"/>
    </w:rPr>
  </w:style>
  <w:style w:type="paragraph" w:styleId="Poprawka">
    <w:name w:val="Revision"/>
    <w:hidden/>
    <w:uiPriority w:val="99"/>
    <w:semiHidden/>
    <w:rsid w:val="00CF78AC"/>
    <w:rPr>
      <w:sz w:val="24"/>
    </w:rPr>
  </w:style>
  <w:style w:type="character" w:customStyle="1" w:styleId="s7d2086b4">
    <w:name w:val="s7d2086b4"/>
    <w:basedOn w:val="Domylnaczcionkaakapitu"/>
    <w:uiPriority w:val="99"/>
    <w:rsid w:val="00CF78AC"/>
    <w:rPr>
      <w:rFonts w:cs="Times New Roman"/>
    </w:rPr>
  </w:style>
  <w:style w:type="character" w:customStyle="1" w:styleId="wordhighlighted">
    <w:name w:val="wordhighlighted"/>
    <w:basedOn w:val="Domylnaczcionkaakapitu"/>
    <w:uiPriority w:val="99"/>
    <w:rsid w:val="00CF78AC"/>
    <w:rPr>
      <w:rFonts w:cs="Times New Roman"/>
    </w:rPr>
  </w:style>
  <w:style w:type="paragraph" w:customStyle="1" w:styleId="s6e50bd9a">
    <w:name w:val="s6e50bd9a"/>
    <w:basedOn w:val="Normalny"/>
    <w:uiPriority w:val="99"/>
    <w:rsid w:val="00CF78AC"/>
    <w:pPr>
      <w:spacing w:before="100" w:beforeAutospacing="1" w:after="100" w:afterAutospacing="1"/>
      <w:jc w:val="left"/>
    </w:pPr>
    <w:rPr>
      <w:szCs w:val="24"/>
    </w:rPr>
  </w:style>
  <w:style w:type="numbering" w:customStyle="1" w:styleId="1ai1">
    <w:name w:val="1 / a / i1"/>
    <w:rsid w:val="00973EA1"/>
    <w:pPr>
      <w:numPr>
        <w:numId w:val="15"/>
      </w:numPr>
    </w:pPr>
  </w:style>
  <w:style w:type="numbering" w:customStyle="1" w:styleId="1111111">
    <w:name w:val="1 / 1.1 / 1.1.11"/>
    <w:rsid w:val="00973EA1"/>
    <w:pPr>
      <w:numPr>
        <w:numId w:val="14"/>
      </w:numPr>
    </w:pPr>
  </w:style>
  <w:style w:type="numbering" w:styleId="Artykusekcja">
    <w:name w:val="Outline List 3"/>
    <w:basedOn w:val="Bezlisty"/>
    <w:uiPriority w:val="99"/>
    <w:semiHidden/>
    <w:unhideWhenUsed/>
    <w:locked/>
    <w:rsid w:val="00973EA1"/>
    <w:pPr>
      <w:numPr>
        <w:numId w:val="13"/>
      </w:numPr>
    </w:pPr>
  </w:style>
  <w:style w:type="numbering" w:styleId="1ai">
    <w:name w:val="Outline List 1"/>
    <w:basedOn w:val="Bezlisty"/>
    <w:uiPriority w:val="99"/>
    <w:semiHidden/>
    <w:unhideWhenUsed/>
    <w:locked/>
    <w:rsid w:val="00973EA1"/>
    <w:pPr>
      <w:numPr>
        <w:numId w:val="12"/>
      </w:numPr>
    </w:pPr>
  </w:style>
  <w:style w:type="numbering" w:styleId="111111">
    <w:name w:val="Outline List 2"/>
    <w:basedOn w:val="Bezlisty"/>
    <w:uiPriority w:val="99"/>
    <w:semiHidden/>
    <w:unhideWhenUsed/>
    <w:locked/>
    <w:rsid w:val="00973EA1"/>
    <w:pPr>
      <w:numPr>
        <w:numId w:val="11"/>
      </w:numPr>
    </w:pPr>
  </w:style>
  <w:style w:type="numbering" w:customStyle="1" w:styleId="ArticleSection1">
    <w:name w:val="Article / Section1"/>
    <w:rsid w:val="00973EA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4643566">
      <w:marLeft w:val="0"/>
      <w:marRight w:val="0"/>
      <w:marTop w:val="0"/>
      <w:marBottom w:val="0"/>
      <w:divBdr>
        <w:top w:val="none" w:sz="0" w:space="0" w:color="auto"/>
        <w:left w:val="none" w:sz="0" w:space="0" w:color="auto"/>
        <w:bottom w:val="none" w:sz="0" w:space="0" w:color="auto"/>
        <w:right w:val="none" w:sz="0" w:space="0" w:color="auto"/>
      </w:divBdr>
    </w:div>
    <w:div w:id="1494643573">
      <w:marLeft w:val="0"/>
      <w:marRight w:val="0"/>
      <w:marTop w:val="0"/>
      <w:marBottom w:val="0"/>
      <w:divBdr>
        <w:top w:val="none" w:sz="0" w:space="0" w:color="auto"/>
        <w:left w:val="none" w:sz="0" w:space="0" w:color="auto"/>
        <w:bottom w:val="none" w:sz="0" w:space="0" w:color="auto"/>
        <w:right w:val="none" w:sz="0" w:space="0" w:color="auto"/>
      </w:divBdr>
      <w:divsChild>
        <w:div w:id="1494643568">
          <w:marLeft w:val="0"/>
          <w:marRight w:val="0"/>
          <w:marTop w:val="0"/>
          <w:marBottom w:val="0"/>
          <w:divBdr>
            <w:top w:val="none" w:sz="0" w:space="0" w:color="auto"/>
            <w:left w:val="none" w:sz="0" w:space="0" w:color="auto"/>
            <w:bottom w:val="none" w:sz="0" w:space="0" w:color="auto"/>
            <w:right w:val="none" w:sz="0" w:space="0" w:color="auto"/>
          </w:divBdr>
          <w:divsChild>
            <w:div w:id="1494643581">
              <w:marLeft w:val="0"/>
              <w:marRight w:val="0"/>
              <w:marTop w:val="0"/>
              <w:marBottom w:val="0"/>
              <w:divBdr>
                <w:top w:val="none" w:sz="0" w:space="0" w:color="auto"/>
                <w:left w:val="none" w:sz="0" w:space="0" w:color="auto"/>
                <w:bottom w:val="none" w:sz="0" w:space="0" w:color="auto"/>
                <w:right w:val="none" w:sz="0" w:space="0" w:color="auto"/>
              </w:divBdr>
              <w:divsChild>
                <w:div w:id="1494643577">
                  <w:marLeft w:val="0"/>
                  <w:marRight w:val="0"/>
                  <w:marTop w:val="0"/>
                  <w:marBottom w:val="0"/>
                  <w:divBdr>
                    <w:top w:val="none" w:sz="0" w:space="0" w:color="auto"/>
                    <w:left w:val="none" w:sz="0" w:space="0" w:color="auto"/>
                    <w:bottom w:val="none" w:sz="0" w:space="0" w:color="auto"/>
                    <w:right w:val="none" w:sz="0" w:space="0" w:color="auto"/>
                  </w:divBdr>
                  <w:divsChild>
                    <w:div w:id="1494643580">
                      <w:marLeft w:val="0"/>
                      <w:marRight w:val="0"/>
                      <w:marTop w:val="0"/>
                      <w:marBottom w:val="0"/>
                      <w:divBdr>
                        <w:top w:val="none" w:sz="0" w:space="0" w:color="auto"/>
                        <w:left w:val="none" w:sz="0" w:space="0" w:color="auto"/>
                        <w:bottom w:val="none" w:sz="0" w:space="0" w:color="auto"/>
                        <w:right w:val="none" w:sz="0" w:space="0" w:color="auto"/>
                      </w:divBdr>
                      <w:divsChild>
                        <w:div w:id="1494643583">
                          <w:marLeft w:val="0"/>
                          <w:marRight w:val="0"/>
                          <w:marTop w:val="0"/>
                          <w:marBottom w:val="0"/>
                          <w:divBdr>
                            <w:top w:val="none" w:sz="0" w:space="0" w:color="auto"/>
                            <w:left w:val="none" w:sz="0" w:space="0" w:color="auto"/>
                            <w:bottom w:val="none" w:sz="0" w:space="0" w:color="auto"/>
                            <w:right w:val="none" w:sz="0" w:space="0" w:color="auto"/>
                          </w:divBdr>
                          <w:divsChild>
                            <w:div w:id="1494643572">
                              <w:marLeft w:val="0"/>
                              <w:marRight w:val="0"/>
                              <w:marTop w:val="0"/>
                              <w:marBottom w:val="0"/>
                              <w:divBdr>
                                <w:top w:val="none" w:sz="0" w:space="0" w:color="auto"/>
                                <w:left w:val="none" w:sz="0" w:space="0" w:color="auto"/>
                                <w:bottom w:val="none" w:sz="0" w:space="0" w:color="auto"/>
                                <w:right w:val="none" w:sz="0" w:space="0" w:color="auto"/>
                              </w:divBdr>
                              <w:divsChild>
                                <w:div w:id="1494643582">
                                  <w:marLeft w:val="0"/>
                                  <w:marRight w:val="0"/>
                                  <w:marTop w:val="0"/>
                                  <w:marBottom w:val="0"/>
                                  <w:divBdr>
                                    <w:top w:val="none" w:sz="0" w:space="0" w:color="auto"/>
                                    <w:left w:val="none" w:sz="0" w:space="0" w:color="auto"/>
                                    <w:bottom w:val="none" w:sz="0" w:space="0" w:color="auto"/>
                                    <w:right w:val="none" w:sz="0" w:space="0" w:color="auto"/>
                                  </w:divBdr>
                                  <w:divsChild>
                                    <w:div w:id="1494643569">
                                      <w:marLeft w:val="0"/>
                                      <w:marRight w:val="0"/>
                                      <w:marTop w:val="0"/>
                                      <w:marBottom w:val="0"/>
                                      <w:divBdr>
                                        <w:top w:val="none" w:sz="0" w:space="0" w:color="auto"/>
                                        <w:left w:val="none" w:sz="0" w:space="0" w:color="auto"/>
                                        <w:bottom w:val="none" w:sz="0" w:space="0" w:color="auto"/>
                                        <w:right w:val="none" w:sz="0" w:space="0" w:color="auto"/>
                                      </w:divBdr>
                                      <w:divsChild>
                                        <w:div w:id="1494643578">
                                          <w:marLeft w:val="0"/>
                                          <w:marRight w:val="0"/>
                                          <w:marTop w:val="0"/>
                                          <w:marBottom w:val="0"/>
                                          <w:divBdr>
                                            <w:top w:val="none" w:sz="0" w:space="0" w:color="auto"/>
                                            <w:left w:val="none" w:sz="0" w:space="0" w:color="auto"/>
                                            <w:bottom w:val="none" w:sz="0" w:space="0" w:color="auto"/>
                                            <w:right w:val="none" w:sz="0" w:space="0" w:color="auto"/>
                                          </w:divBdr>
                                          <w:divsChild>
                                            <w:div w:id="1494643579">
                                              <w:marLeft w:val="0"/>
                                              <w:marRight w:val="0"/>
                                              <w:marTop w:val="0"/>
                                              <w:marBottom w:val="0"/>
                                              <w:divBdr>
                                                <w:top w:val="none" w:sz="0" w:space="0" w:color="auto"/>
                                                <w:left w:val="none" w:sz="0" w:space="0" w:color="auto"/>
                                                <w:bottom w:val="none" w:sz="0" w:space="0" w:color="auto"/>
                                                <w:right w:val="none" w:sz="0" w:space="0" w:color="auto"/>
                                              </w:divBdr>
                                              <w:divsChild>
                                                <w:div w:id="1494643570">
                                                  <w:marLeft w:val="0"/>
                                                  <w:marRight w:val="0"/>
                                                  <w:marTop w:val="0"/>
                                                  <w:marBottom w:val="0"/>
                                                  <w:divBdr>
                                                    <w:top w:val="none" w:sz="0" w:space="0" w:color="auto"/>
                                                    <w:left w:val="none" w:sz="0" w:space="0" w:color="auto"/>
                                                    <w:bottom w:val="none" w:sz="0" w:space="0" w:color="auto"/>
                                                    <w:right w:val="none" w:sz="0" w:space="0" w:color="auto"/>
                                                  </w:divBdr>
                                                  <w:divsChild>
                                                    <w:div w:id="1494643576">
                                                      <w:marLeft w:val="0"/>
                                                      <w:marRight w:val="0"/>
                                                      <w:marTop w:val="0"/>
                                                      <w:marBottom w:val="0"/>
                                                      <w:divBdr>
                                                        <w:top w:val="none" w:sz="0" w:space="0" w:color="auto"/>
                                                        <w:left w:val="none" w:sz="0" w:space="0" w:color="auto"/>
                                                        <w:bottom w:val="none" w:sz="0" w:space="0" w:color="auto"/>
                                                        <w:right w:val="none" w:sz="0" w:space="0" w:color="auto"/>
                                                      </w:divBdr>
                                                      <w:divsChild>
                                                        <w:div w:id="1494643575">
                                                          <w:marLeft w:val="0"/>
                                                          <w:marRight w:val="0"/>
                                                          <w:marTop w:val="0"/>
                                                          <w:marBottom w:val="0"/>
                                                          <w:divBdr>
                                                            <w:top w:val="single" w:sz="6" w:space="0" w:color="E3E3E3"/>
                                                            <w:left w:val="single" w:sz="6" w:space="0" w:color="E3E3E3"/>
                                                            <w:bottom w:val="single" w:sz="6" w:space="0" w:color="E3E3E3"/>
                                                            <w:right w:val="single" w:sz="6" w:space="0" w:color="E3E3E3"/>
                                                          </w:divBdr>
                                                          <w:divsChild>
                                                            <w:div w:id="1494643571">
                                                              <w:marLeft w:val="0"/>
                                                              <w:marRight w:val="0"/>
                                                              <w:marTop w:val="0"/>
                                                              <w:marBottom w:val="0"/>
                                                              <w:divBdr>
                                                                <w:top w:val="none" w:sz="0" w:space="0" w:color="auto"/>
                                                                <w:left w:val="none" w:sz="0" w:space="0" w:color="auto"/>
                                                                <w:bottom w:val="none" w:sz="0" w:space="0" w:color="auto"/>
                                                                <w:right w:val="none" w:sz="0" w:space="0" w:color="auto"/>
                                                              </w:divBdr>
                                                              <w:divsChild>
                                                                <w:div w:id="1494643574">
                                                                  <w:marLeft w:val="0"/>
                                                                  <w:marRight w:val="0"/>
                                                                  <w:marTop w:val="0"/>
                                                                  <w:marBottom w:val="0"/>
                                                                  <w:divBdr>
                                                                    <w:top w:val="none" w:sz="0" w:space="0" w:color="auto"/>
                                                                    <w:left w:val="none" w:sz="0" w:space="0" w:color="auto"/>
                                                                    <w:bottom w:val="none" w:sz="0" w:space="0" w:color="auto"/>
                                                                    <w:right w:val="none" w:sz="0" w:space="0" w:color="auto"/>
                                                                  </w:divBdr>
                                                                  <w:divsChild>
                                                                    <w:div w:id="149464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3500</Words>
  <Characters>21003</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24455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dc:description/>
  <cp:lastModifiedBy/>
  <cp:revision>1</cp:revision>
  <cp:lastPrinted>2016-02-19T11:03:00Z</cp:lastPrinted>
  <dcterms:created xsi:type="dcterms:W3CDTF">2016-03-10T13:43:00Z</dcterms:created>
  <dcterms:modified xsi:type="dcterms:W3CDTF">2016-03-10T13:43:00Z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