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Pr="00F76FFE" w:rsidRDefault="0098410D" w:rsidP="00C2299F">
      <w:pPr>
        <w:jc w:val="center"/>
        <w:rPr>
          <w:lang w:val="en-GB"/>
        </w:rPr>
      </w:pPr>
    </w:p>
    <w:p w:rsidR="0098410D" w:rsidRPr="00F76FFE" w:rsidRDefault="0098410D" w:rsidP="00C2299F">
      <w:pPr>
        <w:jc w:val="center"/>
        <w:rPr>
          <w:lang w:val="en-GB"/>
        </w:rPr>
      </w:pPr>
    </w:p>
    <w:p w:rsidR="0098410D" w:rsidRPr="00F76FFE" w:rsidRDefault="005E12EE" w:rsidP="00C2299F">
      <w:pPr>
        <w:tabs>
          <w:tab w:val="left" w:pos="5529"/>
        </w:tabs>
        <w:jc w:val="center"/>
        <w:rPr>
          <w:lang w:val="pl-PL"/>
        </w:rPr>
      </w:pPr>
      <w:r w:rsidRPr="00F76FFE">
        <w:rPr>
          <w:lang w:val="pl-PL"/>
        </w:rPr>
        <w:t>SEKCJA CZWARTA</w:t>
      </w:r>
    </w:p>
    <w:p w:rsidR="0098410D" w:rsidRPr="00F76FFE" w:rsidRDefault="0098410D" w:rsidP="00C2299F">
      <w:pPr>
        <w:jc w:val="center"/>
        <w:rPr>
          <w:lang w:val="pl-PL"/>
        </w:rPr>
      </w:pPr>
    </w:p>
    <w:p w:rsidR="0098410D" w:rsidRPr="00F76FFE" w:rsidRDefault="0098410D" w:rsidP="00C2299F">
      <w:pPr>
        <w:jc w:val="center"/>
        <w:rPr>
          <w:lang w:val="pl-PL"/>
        </w:rPr>
      </w:pPr>
    </w:p>
    <w:p w:rsidR="0098410D" w:rsidRPr="00F76FFE" w:rsidRDefault="0098410D" w:rsidP="00C2299F">
      <w:pPr>
        <w:jc w:val="center"/>
        <w:rPr>
          <w:lang w:val="pl-PL"/>
        </w:rPr>
      </w:pPr>
    </w:p>
    <w:p w:rsidR="0098410D" w:rsidRPr="00F76FFE" w:rsidRDefault="0098410D" w:rsidP="00C2299F">
      <w:pPr>
        <w:jc w:val="center"/>
        <w:rPr>
          <w:lang w:val="pl-PL"/>
        </w:rPr>
      </w:pPr>
    </w:p>
    <w:p w:rsidR="001802DE" w:rsidRPr="00F76FFE" w:rsidRDefault="001802DE" w:rsidP="00C2299F">
      <w:pPr>
        <w:jc w:val="center"/>
        <w:rPr>
          <w:lang w:val="pl-PL"/>
        </w:rPr>
      </w:pPr>
    </w:p>
    <w:p w:rsidR="001802DE" w:rsidRPr="00F76FFE" w:rsidRDefault="001802DE" w:rsidP="00C2299F">
      <w:pPr>
        <w:jc w:val="center"/>
        <w:rPr>
          <w:lang w:val="pl-PL"/>
        </w:rPr>
      </w:pPr>
    </w:p>
    <w:p w:rsidR="0098410D" w:rsidRPr="00F76FFE" w:rsidRDefault="0098410D" w:rsidP="00C2299F">
      <w:pPr>
        <w:jc w:val="center"/>
        <w:rPr>
          <w:lang w:val="pl-PL"/>
        </w:rPr>
      </w:pPr>
    </w:p>
    <w:p w:rsidR="00F473CD" w:rsidRPr="00F76FFE" w:rsidRDefault="00F473CD" w:rsidP="00C2299F">
      <w:pPr>
        <w:jc w:val="center"/>
        <w:rPr>
          <w:lang w:val="pl-PL"/>
        </w:rPr>
      </w:pPr>
    </w:p>
    <w:p w:rsidR="0098410D" w:rsidRPr="00F76FFE" w:rsidRDefault="005E12EE" w:rsidP="00C2299F">
      <w:pPr>
        <w:jc w:val="center"/>
        <w:outlineLvl w:val="0"/>
        <w:rPr>
          <w:b/>
          <w:lang w:val="pl-PL"/>
        </w:rPr>
      </w:pPr>
      <w:r w:rsidRPr="00F76FFE">
        <w:rPr>
          <w:b/>
          <w:lang w:val="pl-PL"/>
        </w:rPr>
        <w:t>SPRAWA MATCZAK p</w:t>
      </w:r>
      <w:r w:rsidR="00124CEF" w:rsidRPr="00F76FFE">
        <w:rPr>
          <w:b/>
          <w:lang w:val="pl-PL"/>
        </w:rPr>
        <w:t>rzeciwko</w:t>
      </w:r>
      <w:r w:rsidRPr="00F76FFE">
        <w:rPr>
          <w:b/>
          <w:lang w:val="pl-PL"/>
        </w:rPr>
        <w:t xml:space="preserve"> POLSCE</w:t>
      </w:r>
    </w:p>
    <w:p w:rsidR="0098410D" w:rsidRPr="00F76FFE" w:rsidRDefault="0098410D" w:rsidP="00C2299F">
      <w:pPr>
        <w:jc w:val="right"/>
        <w:rPr>
          <w:lang w:val="pl-PL"/>
        </w:rPr>
      </w:pPr>
    </w:p>
    <w:p w:rsidR="0098410D" w:rsidRPr="00F76FFE" w:rsidRDefault="005E12EE" w:rsidP="00C2299F">
      <w:pPr>
        <w:jc w:val="center"/>
        <w:rPr>
          <w:i/>
          <w:lang w:val="pl-PL"/>
        </w:rPr>
      </w:pPr>
      <w:r w:rsidRPr="00F76FFE">
        <w:rPr>
          <w:i/>
          <w:lang w:val="pl-PL"/>
        </w:rPr>
        <w:t>(Skarga nr</w:t>
      </w:r>
      <w:r w:rsidR="0098410D" w:rsidRPr="00F76FFE">
        <w:rPr>
          <w:i/>
          <w:lang w:val="pl-PL"/>
        </w:rPr>
        <w:t xml:space="preserve"> </w:t>
      </w:r>
      <w:r w:rsidR="002A2C70" w:rsidRPr="00F76FFE">
        <w:rPr>
          <w:i/>
          <w:lang w:val="pl-PL"/>
        </w:rPr>
        <w:t>26649/12</w:t>
      </w:r>
      <w:r w:rsidR="0098410D" w:rsidRPr="00F76FFE">
        <w:rPr>
          <w:i/>
          <w:lang w:val="pl-PL"/>
        </w:rPr>
        <w:t>)</w:t>
      </w:r>
    </w:p>
    <w:p w:rsidR="0098410D" w:rsidRPr="00F76FFE" w:rsidRDefault="0098410D" w:rsidP="00C2299F">
      <w:pPr>
        <w:jc w:val="center"/>
        <w:rPr>
          <w:lang w:val="pl-PL"/>
        </w:rPr>
      </w:pPr>
    </w:p>
    <w:p w:rsidR="0098410D" w:rsidRPr="00F76FFE" w:rsidRDefault="0098410D" w:rsidP="00C2299F">
      <w:pPr>
        <w:jc w:val="center"/>
        <w:rPr>
          <w:lang w:val="pl-PL"/>
        </w:rPr>
      </w:pPr>
    </w:p>
    <w:p w:rsidR="001802DE" w:rsidRPr="00F76FFE" w:rsidRDefault="001802DE" w:rsidP="00C2299F">
      <w:pPr>
        <w:jc w:val="center"/>
        <w:rPr>
          <w:lang w:val="pl-PL"/>
        </w:rPr>
      </w:pPr>
    </w:p>
    <w:p w:rsidR="0098410D" w:rsidRPr="00F76FFE" w:rsidRDefault="0098410D" w:rsidP="00C2299F">
      <w:pPr>
        <w:jc w:val="center"/>
        <w:rPr>
          <w:lang w:val="pl-PL"/>
        </w:rPr>
      </w:pPr>
    </w:p>
    <w:p w:rsidR="0098410D" w:rsidRPr="00F76FFE" w:rsidRDefault="0098410D" w:rsidP="00C2299F">
      <w:pPr>
        <w:jc w:val="center"/>
        <w:rPr>
          <w:lang w:val="pl-PL"/>
        </w:rPr>
      </w:pPr>
    </w:p>
    <w:p w:rsidR="0098410D" w:rsidRPr="00F76FFE" w:rsidRDefault="0098410D" w:rsidP="00C2299F">
      <w:pPr>
        <w:jc w:val="center"/>
        <w:rPr>
          <w:lang w:val="pl-PL"/>
        </w:rPr>
      </w:pPr>
    </w:p>
    <w:p w:rsidR="0098410D" w:rsidRPr="00F76FFE" w:rsidRDefault="0098410D" w:rsidP="00C2299F">
      <w:pPr>
        <w:jc w:val="center"/>
        <w:rPr>
          <w:lang w:val="pl-PL"/>
        </w:rPr>
      </w:pPr>
    </w:p>
    <w:p w:rsidR="0098410D" w:rsidRPr="00F76FFE" w:rsidRDefault="0098410D" w:rsidP="00C2299F">
      <w:pPr>
        <w:jc w:val="center"/>
        <w:rPr>
          <w:lang w:val="pl-PL"/>
        </w:rPr>
      </w:pPr>
    </w:p>
    <w:p w:rsidR="0098410D" w:rsidRPr="00F76FFE" w:rsidRDefault="005E12EE" w:rsidP="00C2299F">
      <w:pPr>
        <w:jc w:val="center"/>
        <w:outlineLvl w:val="0"/>
        <w:rPr>
          <w:lang w:val="pl-PL"/>
        </w:rPr>
      </w:pPr>
      <w:r w:rsidRPr="00F76FFE">
        <w:rPr>
          <w:lang w:val="pl-PL"/>
        </w:rPr>
        <w:t>WYROK</w:t>
      </w:r>
    </w:p>
    <w:p w:rsidR="0098410D" w:rsidRPr="00F76FFE" w:rsidRDefault="0098410D" w:rsidP="00C2299F">
      <w:pPr>
        <w:jc w:val="center"/>
        <w:rPr>
          <w:lang w:val="pl-PL"/>
        </w:rPr>
      </w:pPr>
    </w:p>
    <w:p w:rsidR="00EE657F" w:rsidRPr="00F76FFE" w:rsidRDefault="00EE657F" w:rsidP="00C2299F">
      <w:pPr>
        <w:jc w:val="center"/>
        <w:rPr>
          <w:lang w:val="pl-PL"/>
        </w:rPr>
      </w:pPr>
    </w:p>
    <w:p w:rsidR="00EE657F" w:rsidRPr="00F76FFE" w:rsidRDefault="00EE657F" w:rsidP="00C2299F">
      <w:pPr>
        <w:jc w:val="center"/>
        <w:rPr>
          <w:lang w:val="pl-PL"/>
        </w:rPr>
      </w:pPr>
    </w:p>
    <w:p w:rsidR="0098410D" w:rsidRPr="00F76FFE" w:rsidRDefault="005E12EE" w:rsidP="00C2299F">
      <w:pPr>
        <w:jc w:val="center"/>
        <w:outlineLvl w:val="0"/>
        <w:rPr>
          <w:lang w:val="pl-PL"/>
        </w:rPr>
      </w:pPr>
      <w:r w:rsidRPr="00F76FFE">
        <w:rPr>
          <w:lang w:val="pl-PL"/>
        </w:rPr>
        <w:t>STRASBURG</w:t>
      </w:r>
    </w:p>
    <w:p w:rsidR="0098410D" w:rsidRPr="00F76FFE" w:rsidRDefault="0098410D" w:rsidP="00C2299F">
      <w:pPr>
        <w:jc w:val="center"/>
        <w:rPr>
          <w:lang w:val="pl-PL"/>
        </w:rPr>
      </w:pPr>
    </w:p>
    <w:p w:rsidR="0098410D" w:rsidRPr="00F76FFE" w:rsidRDefault="005E12EE" w:rsidP="00C2299F">
      <w:pPr>
        <w:jc w:val="center"/>
        <w:rPr>
          <w:lang w:val="pl-PL"/>
        </w:rPr>
      </w:pPr>
      <w:r w:rsidRPr="00F76FFE">
        <w:rPr>
          <w:lang w:val="pl-PL"/>
        </w:rPr>
        <w:t>dnia 23 lutego 2016 r.</w:t>
      </w:r>
    </w:p>
    <w:p w:rsidR="0098410D" w:rsidRPr="00F76FFE" w:rsidRDefault="0098410D" w:rsidP="00C2299F">
      <w:pPr>
        <w:jc w:val="center"/>
        <w:rPr>
          <w:lang w:val="pl-PL"/>
        </w:rPr>
      </w:pPr>
    </w:p>
    <w:p w:rsidR="0098410D" w:rsidRPr="00F76FFE" w:rsidRDefault="0098410D" w:rsidP="00C2299F">
      <w:pPr>
        <w:jc w:val="center"/>
        <w:rPr>
          <w:lang w:val="pl-PL"/>
        </w:rPr>
      </w:pPr>
    </w:p>
    <w:p w:rsidR="0098410D" w:rsidRPr="00F76FFE" w:rsidRDefault="0098410D" w:rsidP="00C2299F">
      <w:pPr>
        <w:jc w:val="center"/>
        <w:rPr>
          <w:lang w:val="pl-PL"/>
        </w:rPr>
      </w:pPr>
    </w:p>
    <w:p w:rsidR="00F473CD" w:rsidRPr="00F76FFE" w:rsidRDefault="00F473CD" w:rsidP="00C2299F">
      <w:pPr>
        <w:jc w:val="center"/>
        <w:rPr>
          <w:i/>
          <w:sz w:val="22"/>
          <w:lang w:val="pl-PL"/>
        </w:rPr>
      </w:pPr>
    </w:p>
    <w:p w:rsidR="00F473CD" w:rsidRPr="00F76FFE" w:rsidRDefault="00F473CD" w:rsidP="00C2299F">
      <w:pPr>
        <w:jc w:val="center"/>
        <w:rPr>
          <w:i/>
          <w:sz w:val="22"/>
          <w:lang w:val="pl-PL"/>
        </w:rPr>
      </w:pPr>
    </w:p>
    <w:p w:rsidR="00F473CD" w:rsidRPr="00F76FFE" w:rsidRDefault="00F473CD" w:rsidP="00C2299F">
      <w:pPr>
        <w:jc w:val="center"/>
        <w:rPr>
          <w:i/>
          <w:sz w:val="22"/>
          <w:lang w:val="pl-PL"/>
        </w:rPr>
      </w:pPr>
    </w:p>
    <w:p w:rsidR="00F473CD" w:rsidRPr="00F76FFE" w:rsidRDefault="00F473CD" w:rsidP="00C2299F">
      <w:pPr>
        <w:jc w:val="center"/>
        <w:rPr>
          <w:i/>
          <w:sz w:val="22"/>
          <w:lang w:val="pl-PL"/>
        </w:rPr>
      </w:pPr>
    </w:p>
    <w:p w:rsidR="00F473CD" w:rsidRPr="00F76FFE" w:rsidRDefault="00F473CD" w:rsidP="00C2299F">
      <w:pPr>
        <w:jc w:val="center"/>
        <w:rPr>
          <w:i/>
          <w:sz w:val="22"/>
          <w:lang w:val="pl-PL"/>
        </w:rPr>
      </w:pPr>
    </w:p>
    <w:p w:rsidR="0098410D" w:rsidRPr="00F76FFE" w:rsidRDefault="005E12EE" w:rsidP="00C2299F">
      <w:pPr>
        <w:jc w:val="center"/>
        <w:rPr>
          <w:i/>
          <w:sz w:val="22"/>
          <w:lang w:val="pl-PL"/>
        </w:rPr>
      </w:pPr>
      <w:r w:rsidRPr="00F76FFE">
        <w:rPr>
          <w:i/>
          <w:sz w:val="22"/>
          <w:lang w:val="pl-PL"/>
        </w:rPr>
        <w:t>Niniejszy wyrok jest prawomocny.</w:t>
      </w:r>
      <w:r w:rsidR="0098410D" w:rsidRPr="00F76FFE">
        <w:rPr>
          <w:i/>
          <w:sz w:val="22"/>
          <w:lang w:val="pl-PL"/>
        </w:rPr>
        <w:t xml:space="preserve"> </w:t>
      </w:r>
      <w:r w:rsidRPr="00F76FFE">
        <w:rPr>
          <w:i/>
          <w:sz w:val="22"/>
          <w:lang w:val="pl-PL"/>
        </w:rPr>
        <w:t>Wyrok może zostać poddany korekcie redakcyjnej.</w:t>
      </w:r>
    </w:p>
    <w:p w:rsidR="00EE657F" w:rsidRPr="00F76FFE" w:rsidRDefault="00EE657F" w:rsidP="00C2299F">
      <w:pPr>
        <w:jc w:val="center"/>
        <w:rPr>
          <w:i/>
          <w:sz w:val="22"/>
          <w:lang w:val="pl-PL"/>
        </w:rPr>
      </w:pPr>
    </w:p>
    <w:p w:rsidR="0098410D" w:rsidRPr="00F76FFE" w:rsidRDefault="0098410D" w:rsidP="00C2299F">
      <w:pPr>
        <w:jc w:val="center"/>
        <w:rPr>
          <w:lang w:val="pl-PL"/>
        </w:rPr>
        <w:sectPr w:rsidR="0098410D" w:rsidRPr="00F76FFE">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sectPr>
      </w:pPr>
    </w:p>
    <w:p w:rsidR="0098410D" w:rsidRPr="00F76FFE" w:rsidRDefault="005E12EE" w:rsidP="00C2299F">
      <w:pPr>
        <w:pStyle w:val="JuCase"/>
        <w:rPr>
          <w:lang w:val="pl-PL"/>
        </w:rPr>
      </w:pPr>
      <w:r w:rsidRPr="00F76FFE">
        <w:rPr>
          <w:lang w:val="pl-PL"/>
        </w:rPr>
        <w:lastRenderedPageBreak/>
        <w:t xml:space="preserve">W sprawie Matczak </w:t>
      </w:r>
      <w:r w:rsidR="00124CEF" w:rsidRPr="00F76FFE">
        <w:rPr>
          <w:lang w:val="pl-PL"/>
        </w:rPr>
        <w:t>przeciwko</w:t>
      </w:r>
      <w:r w:rsidRPr="00F76FFE">
        <w:rPr>
          <w:lang w:val="pl-PL"/>
        </w:rPr>
        <w:t xml:space="preserve"> Polsce,</w:t>
      </w:r>
    </w:p>
    <w:p w:rsidR="002A2C70" w:rsidRPr="00F76FFE" w:rsidRDefault="005E12EE" w:rsidP="00C2299F">
      <w:pPr>
        <w:pStyle w:val="ECHRPara"/>
        <w:rPr>
          <w:lang w:val="pl-PL"/>
        </w:rPr>
      </w:pPr>
      <w:r w:rsidRPr="00F76FFE">
        <w:rPr>
          <w:lang w:val="pl-PL"/>
        </w:rPr>
        <w:t>Europejski Trybunał Praw Człowieka (Sekcja Czwarta) w składzie Komitetu:</w:t>
      </w:r>
    </w:p>
    <w:p w:rsidR="002A2C70" w:rsidRPr="00F76FFE" w:rsidRDefault="00FC1B94" w:rsidP="00C2299F">
      <w:pPr>
        <w:pStyle w:val="ECHRDecisionBody"/>
        <w:rPr>
          <w:lang w:val="pl-PL"/>
        </w:rPr>
      </w:pPr>
      <w:r w:rsidRPr="00F76FFE">
        <w:rPr>
          <w:lang w:val="pl-PL"/>
        </w:rPr>
        <w:tab/>
      </w:r>
      <w:r w:rsidR="005E12EE" w:rsidRPr="00F76FFE">
        <w:rPr>
          <w:lang w:val="pl-PL"/>
        </w:rPr>
        <w:t xml:space="preserve">Nona </w:t>
      </w:r>
      <w:proofErr w:type="spellStart"/>
      <w:r w:rsidR="005E12EE" w:rsidRPr="00F76FFE">
        <w:rPr>
          <w:lang w:val="pl-PL"/>
        </w:rPr>
        <w:t>Tsotsoria</w:t>
      </w:r>
      <w:proofErr w:type="spellEnd"/>
      <w:r w:rsidR="005E12EE" w:rsidRPr="00F76FFE">
        <w:rPr>
          <w:lang w:val="pl-PL"/>
        </w:rPr>
        <w:t>,</w:t>
      </w:r>
      <w:r w:rsidR="005E12EE" w:rsidRPr="00F76FFE">
        <w:rPr>
          <w:i/>
          <w:lang w:val="pl-PL"/>
        </w:rPr>
        <w:t xml:space="preserve"> Przewodnicząca,</w:t>
      </w:r>
      <w:r w:rsidRPr="00F76FFE">
        <w:rPr>
          <w:i/>
          <w:lang w:val="pl-PL"/>
        </w:rPr>
        <w:br/>
      </w:r>
      <w:r w:rsidRPr="00F76FFE">
        <w:rPr>
          <w:lang w:val="pl-PL"/>
        </w:rPr>
        <w:tab/>
      </w:r>
      <w:r w:rsidR="005E12EE" w:rsidRPr="00F76FFE">
        <w:rPr>
          <w:lang w:val="pl-PL"/>
        </w:rPr>
        <w:t>Vincent A. De Gaetano,</w:t>
      </w:r>
      <w:r w:rsidRPr="00F76FFE">
        <w:rPr>
          <w:i/>
          <w:lang w:val="pl-PL"/>
        </w:rPr>
        <w:br/>
      </w:r>
      <w:r w:rsidRPr="00F76FFE">
        <w:rPr>
          <w:lang w:val="pl-PL"/>
        </w:rPr>
        <w:tab/>
      </w:r>
      <w:r w:rsidR="005E12EE" w:rsidRPr="00F76FFE">
        <w:rPr>
          <w:lang w:val="pl-PL"/>
        </w:rPr>
        <w:t xml:space="preserve">Krzysztof </w:t>
      </w:r>
      <w:proofErr w:type="spellStart"/>
      <w:r w:rsidR="005E12EE" w:rsidRPr="00F76FFE">
        <w:rPr>
          <w:lang w:val="pl-PL"/>
        </w:rPr>
        <w:t>Wojtyczek</w:t>
      </w:r>
      <w:proofErr w:type="spellEnd"/>
      <w:r w:rsidR="005E12EE" w:rsidRPr="00F76FFE">
        <w:rPr>
          <w:lang w:val="pl-PL"/>
        </w:rPr>
        <w:t>,</w:t>
      </w:r>
      <w:r w:rsidR="005E12EE" w:rsidRPr="00F76FFE">
        <w:rPr>
          <w:i/>
          <w:lang w:val="pl-PL"/>
        </w:rPr>
        <w:t xml:space="preserve"> sędziowie,</w:t>
      </w:r>
      <w:r w:rsidR="005E12EE" w:rsidRPr="00F76FFE">
        <w:rPr>
          <w:lang w:val="pl-PL"/>
        </w:rPr>
        <w:br/>
        <w:t xml:space="preserve">oraz </w:t>
      </w:r>
      <w:proofErr w:type="spellStart"/>
      <w:r w:rsidR="005E12EE" w:rsidRPr="00F76FFE">
        <w:rPr>
          <w:lang w:val="pl-PL"/>
        </w:rPr>
        <w:t>Fatoş</w:t>
      </w:r>
      <w:proofErr w:type="spellEnd"/>
      <w:r w:rsidR="005E12EE" w:rsidRPr="00F76FFE">
        <w:rPr>
          <w:lang w:val="pl-PL"/>
        </w:rPr>
        <w:t xml:space="preserve"> </w:t>
      </w:r>
      <w:proofErr w:type="spellStart"/>
      <w:r w:rsidR="005E12EE" w:rsidRPr="00F76FFE">
        <w:rPr>
          <w:lang w:val="pl-PL"/>
        </w:rPr>
        <w:t>Aracı</w:t>
      </w:r>
      <w:proofErr w:type="spellEnd"/>
      <w:r w:rsidR="005E12EE" w:rsidRPr="00F76FFE">
        <w:rPr>
          <w:rStyle w:val="JuJudgesChar"/>
          <w:lang w:val="pl-PL"/>
        </w:rPr>
        <w:t xml:space="preserve">, </w:t>
      </w:r>
      <w:r w:rsidR="005E12EE" w:rsidRPr="00F76FFE">
        <w:rPr>
          <w:i/>
          <w:lang w:val="pl-PL"/>
        </w:rPr>
        <w:t>Zastępca Kanclerza Sekcji,</w:t>
      </w:r>
    </w:p>
    <w:p w:rsidR="002A2C70" w:rsidRPr="00F76FFE" w:rsidRDefault="005E12EE" w:rsidP="00C2299F">
      <w:pPr>
        <w:pStyle w:val="ECHRPara"/>
        <w:rPr>
          <w:lang w:val="pl-PL"/>
        </w:rPr>
      </w:pPr>
      <w:r w:rsidRPr="00F76FFE">
        <w:rPr>
          <w:lang w:val="pl-PL"/>
        </w:rPr>
        <w:t xml:space="preserve">po przeprowadzeniu obrad na posiedzeniu zamkniętym w </w:t>
      </w:r>
      <w:r w:rsidR="00124CEF" w:rsidRPr="00F76FFE">
        <w:rPr>
          <w:lang w:val="pl-PL"/>
        </w:rPr>
        <w:t>dniu</w:t>
      </w:r>
      <w:r w:rsidRPr="00F76FFE">
        <w:rPr>
          <w:lang w:val="pl-PL"/>
        </w:rPr>
        <w:t xml:space="preserve"> 2 lutego 2016 r.,</w:t>
      </w:r>
    </w:p>
    <w:p w:rsidR="002A2C70" w:rsidRPr="00F76FFE" w:rsidRDefault="005E12EE" w:rsidP="00C2299F">
      <w:pPr>
        <w:pStyle w:val="ECHRPara"/>
        <w:rPr>
          <w:lang w:val="pl-PL"/>
        </w:rPr>
      </w:pPr>
      <w:r w:rsidRPr="00F76FFE">
        <w:rPr>
          <w:lang w:val="pl-PL"/>
        </w:rPr>
        <w:t>wydał następujący wyrok, przyjęty w tym samym dniu:</w:t>
      </w:r>
    </w:p>
    <w:p w:rsidR="002A2C70" w:rsidRPr="00F76FFE" w:rsidRDefault="005E12EE" w:rsidP="005E12EE">
      <w:pPr>
        <w:pStyle w:val="ECHRTitle1"/>
        <w:rPr>
          <w:lang w:val="pl-PL"/>
        </w:rPr>
      </w:pPr>
      <w:r w:rsidRPr="00F76FFE">
        <w:rPr>
          <w:lang w:val="pl-PL"/>
        </w:rPr>
        <w:t>POSTĘPOWANIE</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1</w:t>
      </w:r>
      <w:r w:rsidRPr="00F76FFE">
        <w:rPr>
          <w:lang w:val="en-GB"/>
        </w:rPr>
        <w:fldChar w:fldCharType="end"/>
      </w:r>
      <w:r w:rsidR="002A2C70" w:rsidRPr="00F76FFE">
        <w:rPr>
          <w:lang w:val="pl-PL"/>
        </w:rPr>
        <w:t>.  </w:t>
      </w:r>
      <w:r w:rsidR="005E12EE" w:rsidRPr="00F76FFE">
        <w:rPr>
          <w:lang w:val="pl-PL"/>
        </w:rPr>
        <w:t>Sprawa rozpoczęła się wniesieniem skargi (nr 26649/12) przeciwko Rzeczpospolitej Polskiej do Trybunału, zgodnie z art. 34 Konwencj</w:t>
      </w:r>
      <w:r w:rsidR="00124CEF" w:rsidRPr="00F76FFE">
        <w:rPr>
          <w:lang w:val="pl-PL"/>
        </w:rPr>
        <w:t>i o o</w:t>
      </w:r>
      <w:r w:rsidR="005E12EE" w:rsidRPr="00F76FFE">
        <w:rPr>
          <w:lang w:val="pl-PL"/>
        </w:rPr>
        <w:t xml:space="preserve">chronie </w:t>
      </w:r>
      <w:r w:rsidR="00124CEF" w:rsidRPr="00F76FFE">
        <w:rPr>
          <w:lang w:val="pl-PL"/>
        </w:rPr>
        <w:t>p</w:t>
      </w:r>
      <w:r w:rsidR="005E12EE" w:rsidRPr="00F76FFE">
        <w:rPr>
          <w:lang w:val="pl-PL"/>
        </w:rPr>
        <w:t>raw</w:t>
      </w:r>
      <w:r w:rsidR="00124CEF" w:rsidRPr="00F76FFE">
        <w:rPr>
          <w:lang w:val="pl-PL"/>
        </w:rPr>
        <w:t xml:space="preserve"> c</w:t>
      </w:r>
      <w:r w:rsidR="005E12EE" w:rsidRPr="00F76FFE">
        <w:rPr>
          <w:lang w:val="pl-PL"/>
        </w:rPr>
        <w:t>złowieka</w:t>
      </w:r>
      <w:r w:rsidR="00124CEF" w:rsidRPr="00F76FFE">
        <w:rPr>
          <w:lang w:val="pl-PL"/>
        </w:rPr>
        <w:t xml:space="preserve"> </w:t>
      </w:r>
      <w:r w:rsidR="005E12EE" w:rsidRPr="00F76FFE">
        <w:rPr>
          <w:lang w:val="pl-PL"/>
        </w:rPr>
        <w:t xml:space="preserve">i </w:t>
      </w:r>
      <w:r w:rsidR="00124CEF" w:rsidRPr="00F76FFE">
        <w:rPr>
          <w:lang w:val="pl-PL"/>
        </w:rPr>
        <w:t>p</w:t>
      </w:r>
      <w:r w:rsidR="005E12EE" w:rsidRPr="00F76FFE">
        <w:rPr>
          <w:lang w:val="pl-PL"/>
        </w:rPr>
        <w:t xml:space="preserve">odstawowych </w:t>
      </w:r>
      <w:r w:rsidR="00124CEF" w:rsidRPr="00F76FFE">
        <w:rPr>
          <w:lang w:val="pl-PL"/>
        </w:rPr>
        <w:t>w</w:t>
      </w:r>
      <w:r w:rsidR="005E12EE" w:rsidRPr="00F76FFE">
        <w:rPr>
          <w:lang w:val="pl-PL"/>
        </w:rPr>
        <w:t>olności (</w:t>
      </w:r>
      <w:r w:rsidR="00124CEF" w:rsidRPr="00F76FFE">
        <w:rPr>
          <w:lang w:val="pl-PL"/>
        </w:rPr>
        <w:t>“</w:t>
      </w:r>
      <w:r w:rsidR="005E12EE" w:rsidRPr="00F76FFE">
        <w:rPr>
          <w:lang w:val="pl-PL"/>
        </w:rPr>
        <w:t>Konwencja") przez obywatela Polski, pana Kamila Matczaka (</w:t>
      </w:r>
      <w:r w:rsidR="00BC09F8" w:rsidRPr="00F76FFE">
        <w:rPr>
          <w:lang w:val="pl-PL"/>
        </w:rPr>
        <w:t>“</w:t>
      </w:r>
      <w:r w:rsidR="005E12EE" w:rsidRPr="00F76FFE">
        <w:rPr>
          <w:lang w:val="pl-PL"/>
        </w:rPr>
        <w:t xml:space="preserve">skarżący”), w </w:t>
      </w:r>
      <w:r w:rsidR="00124CEF" w:rsidRPr="00F76FFE">
        <w:rPr>
          <w:lang w:val="pl-PL"/>
        </w:rPr>
        <w:t>dniu</w:t>
      </w:r>
      <w:r w:rsidR="005E12EE" w:rsidRPr="00F76FFE">
        <w:rPr>
          <w:lang w:val="pl-PL"/>
        </w:rPr>
        <w:t xml:space="preserve"> 18 kwietnia 2012 r.</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2</w:t>
      </w:r>
      <w:r w:rsidRPr="00F76FFE">
        <w:rPr>
          <w:lang w:val="en-GB"/>
        </w:rPr>
        <w:fldChar w:fldCharType="end"/>
      </w:r>
      <w:r w:rsidR="002A2C70" w:rsidRPr="00F76FFE">
        <w:rPr>
          <w:lang w:val="pl-PL"/>
        </w:rPr>
        <w:t>.  </w:t>
      </w:r>
      <w:r w:rsidR="005E12EE" w:rsidRPr="00F76FFE">
        <w:rPr>
          <w:lang w:val="pl-PL"/>
        </w:rPr>
        <w:t>Rząd Rzeczpospolitej Polskiej (</w:t>
      </w:r>
      <w:r w:rsidR="00BC09F8" w:rsidRPr="00F76FFE">
        <w:rPr>
          <w:lang w:val="pl-PL"/>
        </w:rPr>
        <w:t>“</w:t>
      </w:r>
      <w:r w:rsidR="005E12EE" w:rsidRPr="00F76FFE">
        <w:rPr>
          <w:lang w:val="pl-PL"/>
        </w:rPr>
        <w:t>Rząd”) reprezentowany był przez swojego Pełnomocnika, panią J. Chrzanowską z Ministerstwa Spraw Zagranicznych.</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3</w:t>
      </w:r>
      <w:r w:rsidRPr="00F76FFE">
        <w:rPr>
          <w:lang w:val="en-GB"/>
        </w:rPr>
        <w:fldChar w:fldCharType="end"/>
      </w:r>
      <w:r w:rsidR="002A2C70" w:rsidRPr="00F76FFE">
        <w:rPr>
          <w:lang w:val="pl-PL"/>
        </w:rPr>
        <w:t>.  </w:t>
      </w:r>
      <w:r w:rsidR="005E12EE" w:rsidRPr="00F76FFE">
        <w:rPr>
          <w:lang w:val="pl-PL"/>
        </w:rPr>
        <w:t>Skarżący utrzymywał, że jego tymczaso</w:t>
      </w:r>
      <w:r w:rsidR="00124CEF" w:rsidRPr="00F76FFE">
        <w:rPr>
          <w:lang w:val="pl-PL"/>
        </w:rPr>
        <w:t>wy</w:t>
      </w:r>
      <w:r w:rsidR="005E12EE" w:rsidRPr="00F76FFE">
        <w:rPr>
          <w:lang w:val="pl-PL"/>
        </w:rPr>
        <w:t xml:space="preserve"> </w:t>
      </w:r>
      <w:r w:rsidR="00124CEF" w:rsidRPr="00F76FFE">
        <w:rPr>
          <w:lang w:val="pl-PL"/>
        </w:rPr>
        <w:t>areszt</w:t>
      </w:r>
      <w:r w:rsidR="005E12EE" w:rsidRPr="00F76FFE">
        <w:rPr>
          <w:lang w:val="pl-PL"/>
        </w:rPr>
        <w:t xml:space="preserve"> przed</w:t>
      </w:r>
      <w:r w:rsidR="00124CEF" w:rsidRPr="00F76FFE">
        <w:rPr>
          <w:lang w:val="pl-PL"/>
        </w:rPr>
        <w:t>łużył</w:t>
      </w:r>
      <w:r w:rsidR="005E12EE" w:rsidRPr="00F76FFE">
        <w:rPr>
          <w:lang w:val="pl-PL"/>
        </w:rPr>
        <w:t xml:space="preserve"> się poza “rozsądny termin” w rozumieniu art. 5 </w:t>
      </w:r>
      <w:r w:rsidR="006E0182" w:rsidRPr="00F76FFE">
        <w:rPr>
          <w:lang w:val="pl-PL"/>
        </w:rPr>
        <w:t>§</w:t>
      </w:r>
      <w:r w:rsidR="00124CEF" w:rsidRPr="00F76FFE">
        <w:rPr>
          <w:vanish/>
          <w:lang w:val="pl-PL"/>
        </w:rPr>
        <w:t>§</w:t>
      </w:r>
      <w:r w:rsidR="005E12EE" w:rsidRPr="00F76FFE">
        <w:rPr>
          <w:lang w:val="pl-PL"/>
        </w:rPr>
        <w:t xml:space="preserve"> 3 Konwencji.</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4</w:t>
      </w:r>
      <w:r w:rsidRPr="00F76FFE">
        <w:rPr>
          <w:lang w:val="en-GB"/>
        </w:rPr>
        <w:fldChar w:fldCharType="end"/>
      </w:r>
      <w:r w:rsidR="002A2C70" w:rsidRPr="00F76FFE">
        <w:rPr>
          <w:lang w:val="pl-PL"/>
        </w:rPr>
        <w:t>.  </w:t>
      </w:r>
      <w:r w:rsidR="005E12EE" w:rsidRPr="00F76FFE">
        <w:rPr>
          <w:lang w:val="pl-PL"/>
        </w:rPr>
        <w:t xml:space="preserve">Dnia 19 marca 2015 r. skarga dotycząca </w:t>
      </w:r>
      <w:r w:rsidR="00124CEF" w:rsidRPr="00F76FFE">
        <w:rPr>
          <w:lang w:val="pl-PL"/>
        </w:rPr>
        <w:t>domniemanego</w:t>
      </w:r>
      <w:r w:rsidR="005E12EE" w:rsidRPr="00F76FFE">
        <w:rPr>
          <w:lang w:val="pl-PL"/>
        </w:rPr>
        <w:t xml:space="preserve"> naruszenia art. 5 § 3 Konwencji została zakomunikowana rządowi</w:t>
      </w:r>
      <w:r w:rsidR="00124CEF" w:rsidRPr="00F76FFE">
        <w:rPr>
          <w:lang w:val="pl-PL"/>
        </w:rPr>
        <w:t>.</w:t>
      </w:r>
      <w:r w:rsidR="005E12EE" w:rsidRPr="00F76FFE">
        <w:rPr>
          <w:lang w:val="pl-PL"/>
        </w:rPr>
        <w:t xml:space="preserve"> W pozostałym zakresie skarga została uznana za niedopuszczalną zgodnie z </w:t>
      </w:r>
      <w:r w:rsidR="00124CEF" w:rsidRPr="00F76FFE">
        <w:rPr>
          <w:lang w:val="pl-PL"/>
        </w:rPr>
        <w:t>art.</w:t>
      </w:r>
      <w:r w:rsidR="005E12EE" w:rsidRPr="00F76FFE">
        <w:rPr>
          <w:lang w:val="pl-PL"/>
        </w:rPr>
        <w:t xml:space="preserve"> 54 § 3 Regulaminu Trybunału.</w:t>
      </w:r>
    </w:p>
    <w:p w:rsidR="002A2C70" w:rsidRPr="00F76FFE" w:rsidRDefault="00124CEF" w:rsidP="005E12EE">
      <w:pPr>
        <w:pStyle w:val="ECHRTitle1"/>
        <w:rPr>
          <w:lang w:val="pl-PL"/>
        </w:rPr>
      </w:pPr>
      <w:r w:rsidRPr="00F76FFE">
        <w:rPr>
          <w:lang w:val="pl-PL"/>
        </w:rPr>
        <w:t>FAKTY</w:t>
      </w:r>
    </w:p>
    <w:p w:rsidR="002A2C70" w:rsidRPr="00F76FFE" w:rsidRDefault="005E12EE" w:rsidP="005E12EE">
      <w:pPr>
        <w:pStyle w:val="ECHRHeading1"/>
        <w:rPr>
          <w:lang w:val="pl-PL"/>
        </w:rPr>
      </w:pPr>
      <w:r w:rsidRPr="00F76FFE">
        <w:rPr>
          <w:lang w:val="pl-PL"/>
        </w:rPr>
        <w:t>I..OKOLICZNOŚCI SPRAWY</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5</w:t>
      </w:r>
      <w:r w:rsidRPr="00F76FFE">
        <w:rPr>
          <w:lang w:val="en-GB"/>
        </w:rPr>
        <w:fldChar w:fldCharType="end"/>
      </w:r>
      <w:r w:rsidR="002A2C70" w:rsidRPr="00F76FFE">
        <w:rPr>
          <w:lang w:val="pl-PL"/>
        </w:rPr>
        <w:t>.  </w:t>
      </w:r>
      <w:r w:rsidR="005E12EE" w:rsidRPr="00F76FFE">
        <w:rPr>
          <w:lang w:val="pl-PL"/>
        </w:rPr>
        <w:t>Skarżący urodził się w 1987 r. i mieszka w Słomczynie.</w:t>
      </w:r>
    </w:p>
    <w:p w:rsidR="002A2C70" w:rsidRPr="00F76FFE" w:rsidRDefault="005E12EE" w:rsidP="005E12EE">
      <w:pPr>
        <w:pStyle w:val="ECHRHeading2"/>
        <w:rPr>
          <w:lang w:val="pl-PL"/>
        </w:rPr>
      </w:pPr>
      <w:r w:rsidRPr="00F76FFE">
        <w:rPr>
          <w:lang w:val="pl-PL"/>
        </w:rPr>
        <w:t>Pierwsz</w:t>
      </w:r>
      <w:r w:rsidR="00124CEF" w:rsidRPr="00F76FFE">
        <w:rPr>
          <w:lang w:val="pl-PL"/>
        </w:rPr>
        <w:t>e</w:t>
      </w:r>
      <w:r w:rsidRPr="00F76FFE">
        <w:rPr>
          <w:lang w:val="pl-PL"/>
        </w:rPr>
        <w:t xml:space="preserve"> postępowa</w:t>
      </w:r>
      <w:r w:rsidR="00124CEF" w:rsidRPr="00F76FFE">
        <w:rPr>
          <w:lang w:val="pl-PL"/>
        </w:rPr>
        <w:t>nie</w:t>
      </w:r>
      <w:r w:rsidRPr="00F76FFE">
        <w:rPr>
          <w:lang w:val="pl-PL"/>
        </w:rPr>
        <w:t xml:space="preserve"> k</w:t>
      </w:r>
      <w:r w:rsidR="00020C57" w:rsidRPr="00F76FFE">
        <w:rPr>
          <w:lang w:val="pl-PL"/>
        </w:rPr>
        <w:t>a</w:t>
      </w:r>
      <w:r w:rsidRPr="00F76FFE">
        <w:rPr>
          <w:lang w:val="pl-PL"/>
        </w:rPr>
        <w:t>r</w:t>
      </w:r>
      <w:r w:rsidR="00020C57" w:rsidRPr="00F76FFE">
        <w:rPr>
          <w:lang w:val="pl-PL"/>
        </w:rPr>
        <w:t>ne</w:t>
      </w:r>
      <w:r w:rsidRPr="00F76FFE">
        <w:rPr>
          <w:lang w:val="pl-PL"/>
        </w:rPr>
        <w:t xml:space="preserve"> przeciwko skarżącemu</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6</w:t>
      </w:r>
      <w:r w:rsidRPr="00F76FFE">
        <w:rPr>
          <w:lang w:val="en-GB"/>
        </w:rPr>
        <w:fldChar w:fldCharType="end"/>
      </w:r>
      <w:r w:rsidR="002A2C70" w:rsidRPr="00F76FFE">
        <w:rPr>
          <w:lang w:val="pl-PL"/>
        </w:rPr>
        <w:t>.  </w:t>
      </w:r>
      <w:r w:rsidR="005E12EE" w:rsidRPr="00F76FFE">
        <w:rPr>
          <w:lang w:val="pl-PL"/>
        </w:rPr>
        <w:t xml:space="preserve">W dniu 6 kwietnia 2009 r. skarżący został </w:t>
      </w:r>
      <w:r w:rsidR="000E61A4" w:rsidRPr="00F76FFE">
        <w:rPr>
          <w:lang w:val="pl-PL"/>
        </w:rPr>
        <w:t>zatrzymany</w:t>
      </w:r>
      <w:r w:rsidR="005E12EE" w:rsidRPr="00F76FFE">
        <w:rPr>
          <w:lang w:val="pl-PL"/>
        </w:rPr>
        <w:t xml:space="preserve"> pod zarzutem udziału w zorganizowanej grupie przestępczej dopuszczającej się wymuszeń, oraz popełnienia kilku brutalnych przestępstw w ramach jego działalności w tej grupie przestępczej.</w:t>
      </w:r>
    </w:p>
    <w:p w:rsidR="002A2C70" w:rsidRPr="00F76FFE" w:rsidRDefault="00D34787" w:rsidP="00C2299F">
      <w:pPr>
        <w:pStyle w:val="ECHRPara"/>
        <w:rPr>
          <w:lang w:val="pl-PL"/>
        </w:rPr>
      </w:pPr>
      <w:r w:rsidRPr="00F76FFE">
        <w:rPr>
          <w:lang w:val="en-GB"/>
        </w:rPr>
        <w:lastRenderedPageBreak/>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7</w:t>
      </w:r>
      <w:r w:rsidRPr="00F76FFE">
        <w:rPr>
          <w:lang w:val="en-GB"/>
        </w:rPr>
        <w:fldChar w:fldCharType="end"/>
      </w:r>
      <w:r w:rsidR="002A2C70" w:rsidRPr="00F76FFE">
        <w:rPr>
          <w:lang w:val="pl-PL"/>
        </w:rPr>
        <w:t>.  </w:t>
      </w:r>
      <w:r w:rsidR="005E12EE" w:rsidRPr="00F76FFE">
        <w:rPr>
          <w:lang w:val="pl-PL"/>
        </w:rPr>
        <w:t>Śledztwo przeciwko skarżącemu i kilku</w:t>
      </w:r>
      <w:r w:rsidR="00124CEF" w:rsidRPr="00F76FFE">
        <w:rPr>
          <w:lang w:val="pl-PL"/>
        </w:rPr>
        <w:t xml:space="preserve"> innych osobom</w:t>
      </w:r>
      <w:r w:rsidR="005E12EE" w:rsidRPr="00F76FFE">
        <w:rPr>
          <w:lang w:val="pl-PL"/>
        </w:rPr>
        <w:t xml:space="preserve"> zostało przeprowadzone przez Prokuraturę Apelacyjną w Warszawie.</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8</w:t>
      </w:r>
      <w:r w:rsidRPr="00F76FFE">
        <w:rPr>
          <w:lang w:val="en-GB"/>
        </w:rPr>
        <w:fldChar w:fldCharType="end"/>
      </w:r>
      <w:r w:rsidR="002A2C70" w:rsidRPr="00F76FFE">
        <w:rPr>
          <w:lang w:val="pl-PL"/>
        </w:rPr>
        <w:t>.  </w:t>
      </w:r>
      <w:r w:rsidR="005E12EE" w:rsidRPr="00F76FFE">
        <w:rPr>
          <w:lang w:val="pl-PL"/>
        </w:rPr>
        <w:t>W dniu 8 kwietnia 2009 r. Sąd Rejonowy dla Warszawy</w:t>
      </w:r>
      <w:r w:rsidR="00124CEF" w:rsidRPr="00F76FFE">
        <w:rPr>
          <w:lang w:val="pl-PL"/>
        </w:rPr>
        <w:t xml:space="preserve"> – </w:t>
      </w:r>
      <w:r w:rsidR="005E12EE" w:rsidRPr="00F76FFE">
        <w:rPr>
          <w:lang w:val="pl-PL"/>
        </w:rPr>
        <w:t>Wol</w:t>
      </w:r>
      <w:r w:rsidR="000E2A6D" w:rsidRPr="00F76FFE">
        <w:rPr>
          <w:lang w:val="pl-PL"/>
        </w:rPr>
        <w:t>i</w:t>
      </w:r>
      <w:r w:rsidR="005E12EE" w:rsidRPr="00F76FFE">
        <w:rPr>
          <w:lang w:val="pl-PL"/>
        </w:rPr>
        <w:t xml:space="preserve"> </w:t>
      </w:r>
      <w:r w:rsidR="003E2E39" w:rsidRPr="00F76FFE">
        <w:rPr>
          <w:lang w:val="pl-PL"/>
        </w:rPr>
        <w:t>wydał postanowienie</w:t>
      </w:r>
      <w:r w:rsidR="00124CEF" w:rsidRPr="00F76FFE">
        <w:rPr>
          <w:lang w:val="pl-PL"/>
        </w:rPr>
        <w:t xml:space="preserve"> o</w:t>
      </w:r>
      <w:r w:rsidR="005E12EE" w:rsidRPr="00F76FFE">
        <w:rPr>
          <w:lang w:val="pl-PL"/>
        </w:rPr>
        <w:t xml:space="preserve"> </w:t>
      </w:r>
      <w:r w:rsidR="00124CEF" w:rsidRPr="00F76FFE">
        <w:rPr>
          <w:lang w:val="pl-PL"/>
        </w:rPr>
        <w:t>tymczasowym</w:t>
      </w:r>
      <w:r w:rsidR="005E12EE" w:rsidRPr="00F76FFE">
        <w:rPr>
          <w:lang w:val="pl-PL"/>
        </w:rPr>
        <w:t xml:space="preserve"> </w:t>
      </w:r>
      <w:r w:rsidR="00124CEF" w:rsidRPr="00F76FFE">
        <w:rPr>
          <w:lang w:val="pl-PL"/>
        </w:rPr>
        <w:t>aresz</w:t>
      </w:r>
      <w:r w:rsidR="003E2E39" w:rsidRPr="00F76FFE">
        <w:rPr>
          <w:lang w:val="pl-PL"/>
        </w:rPr>
        <w:t>towaniu</w:t>
      </w:r>
      <w:r w:rsidR="005E12EE" w:rsidRPr="00F76FFE">
        <w:rPr>
          <w:lang w:val="pl-PL"/>
        </w:rPr>
        <w:t xml:space="preserve"> skarżącego, powołując się na uzasadnione podejrzenie, że popełnił on zarzucane mu przestępstwa.</w:t>
      </w:r>
      <w:r w:rsidR="002A2C70" w:rsidRPr="00F76FFE">
        <w:rPr>
          <w:lang w:val="pl-PL"/>
        </w:rPr>
        <w:t xml:space="preserve"> </w:t>
      </w:r>
      <w:r w:rsidR="005E12EE" w:rsidRPr="00F76FFE">
        <w:rPr>
          <w:lang w:val="pl-PL"/>
        </w:rPr>
        <w:t xml:space="preserve">Sąd uznał, że </w:t>
      </w:r>
      <w:r w:rsidR="00124CEF" w:rsidRPr="00F76FFE">
        <w:rPr>
          <w:lang w:val="pl-PL"/>
        </w:rPr>
        <w:t>pomimo teg</w:t>
      </w:r>
      <w:r w:rsidR="000E2A6D" w:rsidRPr="00F76FFE">
        <w:rPr>
          <w:lang w:val="pl-PL"/>
        </w:rPr>
        <w:t>o, iż</w:t>
      </w:r>
      <w:r w:rsidR="005E12EE" w:rsidRPr="00F76FFE">
        <w:rPr>
          <w:lang w:val="pl-PL"/>
        </w:rPr>
        <w:t xml:space="preserve"> kluczowym dowodem przeciwko skarżącemu były oświadczenia współoskarżonych, zostały one potwierdzone przez inne dowody zgromadzone w sprawie. Ponadto uznał, że </w:t>
      </w:r>
      <w:r w:rsidR="0079682B" w:rsidRPr="00F76FFE">
        <w:rPr>
          <w:lang w:val="pl-PL"/>
        </w:rPr>
        <w:t>zastosowanie tymczasowego aresztowania wobec</w:t>
      </w:r>
      <w:r w:rsidR="005E12EE" w:rsidRPr="00F76FFE">
        <w:rPr>
          <w:lang w:val="pl-PL"/>
        </w:rPr>
        <w:t xml:space="preserve"> skarżącego było niezbędne do zapewnienia prawidłowego toku postępowania.</w:t>
      </w:r>
      <w:r w:rsidR="002A2C70" w:rsidRPr="00F76FFE">
        <w:rPr>
          <w:lang w:val="pl-PL"/>
        </w:rPr>
        <w:t xml:space="preserve"> </w:t>
      </w:r>
      <w:r w:rsidR="005E12EE" w:rsidRPr="00F76FFE">
        <w:rPr>
          <w:lang w:val="pl-PL"/>
        </w:rPr>
        <w:t>Zdaniem sądu ryzyko, że skarżący mógłby utrudniać postępowanie wynikało z faktu, że został on oskarżony o udział w zorganizowanej grupie przestępczej. W związku z tym sąd odnotow</w:t>
      </w:r>
      <w:r w:rsidR="00124CEF" w:rsidRPr="00F76FFE">
        <w:rPr>
          <w:lang w:val="pl-PL"/>
        </w:rPr>
        <w:t>ał także</w:t>
      </w:r>
      <w:r w:rsidR="005E12EE" w:rsidRPr="00F76FFE">
        <w:rPr>
          <w:lang w:val="pl-PL"/>
        </w:rPr>
        <w:t>, że jeden z zarzutów wobec skarżącego dotyczył manipulowania świadkiem z użyciem przemocy.</w:t>
      </w:r>
      <w:r w:rsidR="002A2C70" w:rsidRPr="00F76FFE">
        <w:rPr>
          <w:lang w:val="pl-PL"/>
        </w:rPr>
        <w:t xml:space="preserve"> </w:t>
      </w:r>
      <w:r w:rsidR="005E12EE" w:rsidRPr="00F76FFE">
        <w:rPr>
          <w:lang w:val="pl-PL"/>
        </w:rPr>
        <w:t xml:space="preserve">Sąd podkreślił również </w:t>
      </w:r>
      <w:r w:rsidR="00CA183C" w:rsidRPr="00F76FFE">
        <w:rPr>
          <w:lang w:val="pl-PL"/>
        </w:rPr>
        <w:t>iż grożąca podejrzanemu surowa kara m</w:t>
      </w:r>
      <w:r w:rsidR="005E12EE" w:rsidRPr="00F76FFE">
        <w:rPr>
          <w:lang w:val="pl-PL"/>
        </w:rPr>
        <w:t>og</w:t>
      </w:r>
      <w:r w:rsidR="000E2A6D" w:rsidRPr="00F76FFE">
        <w:rPr>
          <w:lang w:val="pl-PL"/>
        </w:rPr>
        <w:t>ła</w:t>
      </w:r>
      <w:r w:rsidR="005E12EE" w:rsidRPr="00F76FFE">
        <w:rPr>
          <w:lang w:val="pl-PL"/>
        </w:rPr>
        <w:t xml:space="preserve">by </w:t>
      </w:r>
      <w:r w:rsidR="00CA183C" w:rsidRPr="00F76FFE">
        <w:rPr>
          <w:lang w:val="pl-PL"/>
        </w:rPr>
        <w:t xml:space="preserve">skłaniać go </w:t>
      </w:r>
      <w:r w:rsidR="00F04BD8" w:rsidRPr="00F76FFE">
        <w:rPr>
          <w:lang w:val="pl-PL"/>
        </w:rPr>
        <w:t xml:space="preserve">do utrudniania postępowania. </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9</w:t>
      </w:r>
      <w:r w:rsidRPr="00F76FFE">
        <w:rPr>
          <w:noProof/>
        </w:rPr>
        <w:fldChar w:fldCharType="end"/>
      </w:r>
      <w:r w:rsidR="002A2C70" w:rsidRPr="00F76FFE">
        <w:rPr>
          <w:lang w:val="pl-PL"/>
        </w:rPr>
        <w:t>.  </w:t>
      </w:r>
      <w:r w:rsidR="005E12EE" w:rsidRPr="00F76FFE">
        <w:rPr>
          <w:lang w:val="pl-PL"/>
        </w:rPr>
        <w:t xml:space="preserve">W dniu 5 czerwca 2009 r. Sąd Okręgowy w Warszawie oddalił </w:t>
      </w:r>
      <w:r w:rsidR="00D51431" w:rsidRPr="00F76FFE">
        <w:rPr>
          <w:lang w:val="pl-PL"/>
        </w:rPr>
        <w:t xml:space="preserve">nie uwzględnił zażalenia na to postanowienie. </w:t>
      </w:r>
      <w:r w:rsidR="005E12EE" w:rsidRPr="00F76FFE">
        <w:rPr>
          <w:lang w:val="pl-PL"/>
        </w:rPr>
        <w:t xml:space="preserve">Sąd podkreślił w szczególności, że wiarygodność oświadczeń współoskarżonych została potwierdzona przez zeznania kilku świadków. W związku z tym podejrzenia wobec skarżącego mogły zostać faktycznie uznane za uzasadnione. Sąd Okręgowy zgodził się również z Sądem Rejonowym co do tego, że okoliczności sprawy uzasadniały podejrzenie, że </w:t>
      </w:r>
      <w:proofErr w:type="spellStart"/>
      <w:r w:rsidR="005E12EE" w:rsidRPr="00F76FFE">
        <w:rPr>
          <w:lang w:val="pl-PL"/>
        </w:rPr>
        <w:t>skarżąc</w:t>
      </w:r>
      <w:r w:rsidR="006C6ACB" w:rsidRPr="00F76FFE">
        <w:rPr>
          <w:lang w:val="pl-PL"/>
        </w:rPr>
        <w:t>mu</w:t>
      </w:r>
      <w:proofErr w:type="spellEnd"/>
      <w:r w:rsidR="005E12EE" w:rsidRPr="00F76FFE">
        <w:rPr>
          <w:lang w:val="pl-PL"/>
        </w:rPr>
        <w:t xml:space="preserve"> może zostać </w:t>
      </w:r>
      <w:r w:rsidR="006C6ACB" w:rsidRPr="00F76FFE">
        <w:rPr>
          <w:lang w:val="pl-PL"/>
        </w:rPr>
        <w:t>wymierzona</w:t>
      </w:r>
      <w:r w:rsidR="005E12EE" w:rsidRPr="00F76FFE">
        <w:rPr>
          <w:lang w:val="pl-PL"/>
        </w:rPr>
        <w:t xml:space="preserve"> surowa kara.</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10</w:t>
      </w:r>
      <w:r w:rsidRPr="00F76FFE">
        <w:rPr>
          <w:noProof/>
        </w:rPr>
        <w:fldChar w:fldCharType="end"/>
      </w:r>
      <w:r w:rsidR="002A2C70" w:rsidRPr="00F76FFE">
        <w:rPr>
          <w:lang w:val="pl-PL"/>
        </w:rPr>
        <w:t>.  </w:t>
      </w:r>
      <w:r w:rsidR="00124CEF" w:rsidRPr="00F76FFE">
        <w:rPr>
          <w:lang w:val="pl-PL"/>
        </w:rPr>
        <w:t>Tymczasowe a</w:t>
      </w:r>
      <w:r w:rsidR="005E12EE" w:rsidRPr="00F76FFE">
        <w:rPr>
          <w:lang w:val="pl-PL"/>
        </w:rPr>
        <w:t>reszt</w:t>
      </w:r>
      <w:r w:rsidR="00124CEF" w:rsidRPr="00F76FFE">
        <w:rPr>
          <w:lang w:val="pl-PL"/>
        </w:rPr>
        <w:t xml:space="preserve">owanie </w:t>
      </w:r>
      <w:r w:rsidR="005E12EE" w:rsidRPr="00F76FFE">
        <w:rPr>
          <w:lang w:val="pl-PL"/>
        </w:rPr>
        <w:t>skarżąceg</w:t>
      </w:r>
      <w:r w:rsidR="00124CEF" w:rsidRPr="00F76FFE">
        <w:rPr>
          <w:lang w:val="pl-PL"/>
        </w:rPr>
        <w:t>o</w:t>
      </w:r>
      <w:r w:rsidR="005E12EE" w:rsidRPr="00F76FFE">
        <w:rPr>
          <w:lang w:val="pl-PL"/>
        </w:rPr>
        <w:t xml:space="preserve"> był</w:t>
      </w:r>
      <w:r w:rsidR="00124CEF" w:rsidRPr="00F76FFE">
        <w:rPr>
          <w:lang w:val="pl-PL"/>
        </w:rPr>
        <w:t>o</w:t>
      </w:r>
      <w:r w:rsidR="005E12EE" w:rsidRPr="00F76FFE">
        <w:rPr>
          <w:lang w:val="pl-PL"/>
        </w:rPr>
        <w:t xml:space="preserve"> następnie kolejno przedłużan</w:t>
      </w:r>
      <w:r w:rsidR="00124CEF" w:rsidRPr="00F76FFE">
        <w:rPr>
          <w:lang w:val="pl-PL"/>
        </w:rPr>
        <w:t>e</w:t>
      </w:r>
      <w:r w:rsidR="005E12EE" w:rsidRPr="00F76FFE">
        <w:rPr>
          <w:lang w:val="pl-PL"/>
        </w:rPr>
        <w:t xml:space="preserve"> przez Sąd Okręgowy w Warszawie w dniach 2 lipca, 28 września i 7 grudnia 2009 </w:t>
      </w:r>
      <w:r w:rsidR="00124CEF" w:rsidRPr="00F76FFE">
        <w:rPr>
          <w:lang w:val="pl-PL"/>
        </w:rPr>
        <w:t xml:space="preserve">r. </w:t>
      </w:r>
      <w:r w:rsidR="005E12EE" w:rsidRPr="00F76FFE">
        <w:rPr>
          <w:lang w:val="pl-PL"/>
        </w:rPr>
        <w:t>oraz 18 stycznia 2010</w:t>
      </w:r>
      <w:r w:rsidR="00124CEF" w:rsidRPr="00F76FFE">
        <w:rPr>
          <w:lang w:val="pl-PL"/>
        </w:rPr>
        <w:t xml:space="preserve"> r</w:t>
      </w:r>
      <w:r w:rsidR="005E12EE" w:rsidRPr="00F76FFE">
        <w:rPr>
          <w:lang w:val="pl-PL"/>
        </w:rPr>
        <w:t xml:space="preserve">. </w:t>
      </w:r>
      <w:r w:rsidR="00A06550" w:rsidRPr="00F76FFE">
        <w:rPr>
          <w:lang w:val="pl-PL"/>
        </w:rPr>
        <w:t xml:space="preserve">Sąd oparł się na tych samych przesłankach. </w:t>
      </w:r>
      <w:r w:rsidR="005E12EE" w:rsidRPr="00F76FFE">
        <w:rPr>
          <w:lang w:val="pl-PL"/>
        </w:rPr>
        <w:t xml:space="preserve">Podkreślono również, że </w:t>
      </w:r>
      <w:r w:rsidR="00CF38B9" w:rsidRPr="00F76FFE">
        <w:rPr>
          <w:lang w:val="pl-PL"/>
        </w:rPr>
        <w:t xml:space="preserve">grożąca podejrzanemu surowa kara może skłaniać go do bezprawnego </w:t>
      </w:r>
      <w:r w:rsidR="005E12EE" w:rsidRPr="00F76FFE">
        <w:rPr>
          <w:lang w:val="pl-PL"/>
        </w:rPr>
        <w:t xml:space="preserve">ingerowania w przebieg postępowania, zwłaszcza, że nie wszyscy członkowie przedmiotowej zorganizowanej grupy przestępczej </w:t>
      </w:r>
      <w:r w:rsidR="00355F1D" w:rsidRPr="00F76FFE">
        <w:rPr>
          <w:lang w:val="pl-PL"/>
        </w:rPr>
        <w:t>byli</w:t>
      </w:r>
      <w:r w:rsidR="001A189D" w:rsidRPr="00F76FFE">
        <w:rPr>
          <w:lang w:val="pl-PL"/>
        </w:rPr>
        <w:t xml:space="preserve"> wówczas</w:t>
      </w:r>
      <w:r w:rsidR="00355F1D" w:rsidRPr="00F76FFE">
        <w:rPr>
          <w:lang w:val="pl-PL"/>
        </w:rPr>
        <w:t xml:space="preserve"> tymczasowo aresztowani. </w:t>
      </w:r>
      <w:r w:rsidR="005E12EE" w:rsidRPr="00F76FFE">
        <w:rPr>
          <w:lang w:val="pl-PL"/>
        </w:rPr>
        <w:t xml:space="preserve">Sąd stwierdził również, że ze względu na skomplikowany charakter sprawy postępowanie nie mogło być zakończone wcześniej, i że </w:t>
      </w:r>
      <w:r w:rsidR="001A189D" w:rsidRPr="00F76FFE">
        <w:rPr>
          <w:lang w:val="pl-PL"/>
        </w:rPr>
        <w:t xml:space="preserve">łagodniejsze środki zapobiegawcze </w:t>
      </w:r>
      <w:r w:rsidR="008D5076" w:rsidRPr="00F76FFE">
        <w:rPr>
          <w:lang w:val="pl-PL"/>
        </w:rPr>
        <w:t xml:space="preserve">nie zapewniłyby </w:t>
      </w:r>
      <w:r w:rsidR="005E12EE" w:rsidRPr="00F76FFE">
        <w:rPr>
          <w:lang w:val="pl-PL"/>
        </w:rPr>
        <w:t>prawidłowego toku postępowania.</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11</w:t>
      </w:r>
      <w:r w:rsidRPr="00F76FFE">
        <w:rPr>
          <w:noProof/>
        </w:rPr>
        <w:fldChar w:fldCharType="end"/>
      </w:r>
      <w:r w:rsidR="002A2C70" w:rsidRPr="00F76FFE">
        <w:rPr>
          <w:lang w:val="pl-PL"/>
        </w:rPr>
        <w:t>.  </w:t>
      </w:r>
      <w:r w:rsidR="005E12EE" w:rsidRPr="00F76FFE">
        <w:rPr>
          <w:lang w:val="pl-PL"/>
        </w:rPr>
        <w:t xml:space="preserve">W dniu 19 marca 2010 r. </w:t>
      </w:r>
      <w:r w:rsidR="008D5076" w:rsidRPr="00F76FFE">
        <w:rPr>
          <w:lang w:val="pl-PL"/>
        </w:rPr>
        <w:t>do</w:t>
      </w:r>
      <w:r w:rsidR="005E12EE" w:rsidRPr="00F76FFE">
        <w:rPr>
          <w:lang w:val="pl-PL"/>
        </w:rPr>
        <w:t xml:space="preserve"> Sąd</w:t>
      </w:r>
      <w:r w:rsidR="008D5076" w:rsidRPr="00F76FFE">
        <w:rPr>
          <w:lang w:val="pl-PL"/>
        </w:rPr>
        <w:t>u</w:t>
      </w:r>
      <w:r w:rsidR="005E12EE" w:rsidRPr="00F76FFE">
        <w:rPr>
          <w:lang w:val="pl-PL"/>
        </w:rPr>
        <w:t xml:space="preserve"> Okręgow</w:t>
      </w:r>
      <w:r w:rsidR="008D5076" w:rsidRPr="00F76FFE">
        <w:rPr>
          <w:lang w:val="pl-PL"/>
        </w:rPr>
        <w:t>ego</w:t>
      </w:r>
      <w:r w:rsidR="005E12EE" w:rsidRPr="00F76FFE">
        <w:rPr>
          <w:lang w:val="pl-PL"/>
        </w:rPr>
        <w:t xml:space="preserve"> w Warszawie </w:t>
      </w:r>
      <w:r w:rsidR="008D5076" w:rsidRPr="00F76FFE">
        <w:rPr>
          <w:lang w:val="pl-PL"/>
        </w:rPr>
        <w:t>wpłynął</w:t>
      </w:r>
      <w:r w:rsidR="005E12EE" w:rsidRPr="00F76FFE">
        <w:rPr>
          <w:lang w:val="pl-PL"/>
        </w:rPr>
        <w:t xml:space="preserve"> akt oskarżenia przeciwko skarżącemu. Akt oskarżenia dotyczył w sumie dziewięciu oskarżonych, którym zarzucono popełnienie trzydzie</w:t>
      </w:r>
      <w:r w:rsidR="00124CEF" w:rsidRPr="00F76FFE">
        <w:rPr>
          <w:lang w:val="pl-PL"/>
        </w:rPr>
        <w:t>stu sześciu</w:t>
      </w:r>
      <w:r w:rsidR="005E12EE" w:rsidRPr="00F76FFE">
        <w:rPr>
          <w:lang w:val="pl-PL"/>
        </w:rPr>
        <w:t xml:space="preserve"> przestępstw, i zawierał siedemdziesiąt sześć stron. Prokurat</w:t>
      </w:r>
      <w:r w:rsidR="00596B6E" w:rsidRPr="00F76FFE">
        <w:rPr>
          <w:lang w:val="pl-PL"/>
        </w:rPr>
        <w:t xml:space="preserve">or wnioskował </w:t>
      </w:r>
      <w:r w:rsidR="005E12EE" w:rsidRPr="00F76FFE">
        <w:rPr>
          <w:lang w:val="pl-PL"/>
        </w:rPr>
        <w:t>o przesłuchanie dwudziestu sześciu świadków.</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12</w:t>
      </w:r>
      <w:r w:rsidRPr="00F76FFE">
        <w:rPr>
          <w:noProof/>
        </w:rPr>
        <w:fldChar w:fldCharType="end"/>
      </w:r>
      <w:r w:rsidR="002A2C70" w:rsidRPr="00F76FFE">
        <w:rPr>
          <w:lang w:val="pl-PL"/>
        </w:rPr>
        <w:t>.  </w:t>
      </w:r>
      <w:r w:rsidR="005E12EE" w:rsidRPr="00F76FFE">
        <w:rPr>
          <w:lang w:val="pl-PL"/>
        </w:rPr>
        <w:t xml:space="preserve">W dniu 29 marca 2010 r. Sąd Okręgowy w Warszawie przedłużył </w:t>
      </w:r>
      <w:r w:rsidR="00135B0B" w:rsidRPr="00F76FFE">
        <w:rPr>
          <w:lang w:val="pl-PL"/>
        </w:rPr>
        <w:t xml:space="preserve">stosowanie </w:t>
      </w:r>
      <w:r w:rsidR="00596B6E" w:rsidRPr="00F76FFE">
        <w:rPr>
          <w:lang w:val="pl-PL"/>
        </w:rPr>
        <w:t>tymczasowe</w:t>
      </w:r>
      <w:r w:rsidR="00135B0B" w:rsidRPr="00F76FFE">
        <w:rPr>
          <w:lang w:val="pl-PL"/>
        </w:rPr>
        <w:t>go</w:t>
      </w:r>
      <w:r w:rsidR="00596B6E" w:rsidRPr="00F76FFE">
        <w:rPr>
          <w:lang w:val="pl-PL"/>
        </w:rPr>
        <w:t xml:space="preserve"> aresztowania</w:t>
      </w:r>
      <w:r w:rsidR="00135B0B" w:rsidRPr="00F76FFE">
        <w:rPr>
          <w:lang w:val="pl-PL"/>
        </w:rPr>
        <w:t xml:space="preserve"> wobec </w:t>
      </w:r>
      <w:r w:rsidR="005E12EE" w:rsidRPr="00F76FFE">
        <w:rPr>
          <w:lang w:val="pl-PL"/>
        </w:rPr>
        <w:t xml:space="preserve">skarżącego do dnia 31 lipca 2010 r. Sąd oparł się na uzasadnionym podejrzeniu, że skarżący popełnił zarzucane mu przestępstwa, na </w:t>
      </w:r>
      <w:r w:rsidR="00135B0B" w:rsidRPr="00F76FFE">
        <w:rPr>
          <w:lang w:val="pl-PL"/>
        </w:rPr>
        <w:t>grożącej oskarżonemu surowej karze</w:t>
      </w:r>
      <w:r w:rsidR="005E12EE" w:rsidRPr="00F76FFE">
        <w:rPr>
          <w:lang w:val="pl-PL"/>
        </w:rPr>
        <w:t xml:space="preserve"> oraz </w:t>
      </w:r>
      <w:r w:rsidR="005E12EE" w:rsidRPr="00F76FFE">
        <w:rPr>
          <w:lang w:val="pl-PL"/>
        </w:rPr>
        <w:lastRenderedPageBreak/>
        <w:t>konieczności zapewnienia prawidłowego przebiegu postępowania ze względu na zorganizowany charakter działalności przestępczej.</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13</w:t>
      </w:r>
      <w:r w:rsidRPr="00F76FFE">
        <w:rPr>
          <w:noProof/>
        </w:rPr>
        <w:fldChar w:fldCharType="end"/>
      </w:r>
      <w:r w:rsidR="002A2C70" w:rsidRPr="00F76FFE">
        <w:rPr>
          <w:lang w:val="pl-PL"/>
        </w:rPr>
        <w:t>.  </w:t>
      </w:r>
      <w:r w:rsidR="00124CEF" w:rsidRPr="00F76FFE">
        <w:rPr>
          <w:lang w:val="pl-PL"/>
        </w:rPr>
        <w:t>Tymczasow</w:t>
      </w:r>
      <w:r w:rsidR="00086163" w:rsidRPr="00F76FFE">
        <w:rPr>
          <w:lang w:val="pl-PL"/>
        </w:rPr>
        <w:t>e</w:t>
      </w:r>
      <w:r w:rsidR="00124CEF" w:rsidRPr="00F76FFE">
        <w:rPr>
          <w:lang w:val="pl-PL"/>
        </w:rPr>
        <w:t xml:space="preserve"> a</w:t>
      </w:r>
      <w:r w:rsidR="005E12EE" w:rsidRPr="00F76FFE">
        <w:rPr>
          <w:lang w:val="pl-PL"/>
        </w:rPr>
        <w:t>reszt</w:t>
      </w:r>
      <w:r w:rsidR="00086163" w:rsidRPr="00F76FFE">
        <w:rPr>
          <w:lang w:val="pl-PL"/>
        </w:rPr>
        <w:t>owanie</w:t>
      </w:r>
      <w:r w:rsidR="00124CEF" w:rsidRPr="00F76FFE">
        <w:rPr>
          <w:lang w:val="pl-PL"/>
        </w:rPr>
        <w:t xml:space="preserve"> </w:t>
      </w:r>
      <w:r w:rsidR="005E12EE" w:rsidRPr="00F76FFE">
        <w:rPr>
          <w:lang w:val="pl-PL"/>
        </w:rPr>
        <w:t>skarżącego był</w:t>
      </w:r>
      <w:r w:rsidR="00086163" w:rsidRPr="00F76FFE">
        <w:rPr>
          <w:lang w:val="pl-PL"/>
        </w:rPr>
        <w:t>o</w:t>
      </w:r>
      <w:r w:rsidR="005E12EE" w:rsidRPr="00F76FFE">
        <w:rPr>
          <w:lang w:val="pl-PL"/>
        </w:rPr>
        <w:t xml:space="preserve"> następnie kolejno przedłużan</w:t>
      </w:r>
      <w:r w:rsidR="00086163" w:rsidRPr="00F76FFE">
        <w:rPr>
          <w:lang w:val="pl-PL"/>
        </w:rPr>
        <w:t>e</w:t>
      </w:r>
      <w:r w:rsidR="005E12EE" w:rsidRPr="00F76FFE">
        <w:rPr>
          <w:lang w:val="pl-PL"/>
        </w:rPr>
        <w:t xml:space="preserve"> w oparciu o decyzje Sądu Okręgowego w Warszawie.</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14</w:t>
      </w:r>
      <w:r w:rsidRPr="00F76FFE">
        <w:rPr>
          <w:noProof/>
        </w:rPr>
        <w:fldChar w:fldCharType="end"/>
      </w:r>
      <w:r w:rsidR="002A2C70" w:rsidRPr="00F76FFE">
        <w:rPr>
          <w:lang w:val="pl-PL"/>
        </w:rPr>
        <w:t>.  </w:t>
      </w:r>
      <w:r w:rsidR="00086163" w:rsidRPr="00F76FFE">
        <w:rPr>
          <w:lang w:val="pl-PL"/>
        </w:rPr>
        <w:t>Zażalenie</w:t>
      </w:r>
      <w:r w:rsidR="005E12EE" w:rsidRPr="00F76FFE">
        <w:rPr>
          <w:lang w:val="pl-PL"/>
        </w:rPr>
        <w:t xml:space="preserve"> skarżącego </w:t>
      </w:r>
      <w:r w:rsidR="00514C5F" w:rsidRPr="00F76FFE">
        <w:rPr>
          <w:lang w:val="pl-PL"/>
        </w:rPr>
        <w:t xml:space="preserve">na postanowienie </w:t>
      </w:r>
      <w:r w:rsidR="005E12EE" w:rsidRPr="00F76FFE">
        <w:rPr>
          <w:lang w:val="pl-PL"/>
        </w:rPr>
        <w:t xml:space="preserve">sądu z dnia 23 grudnia 2010 r. </w:t>
      </w:r>
      <w:r w:rsidR="00514C5F" w:rsidRPr="00F76FFE">
        <w:rPr>
          <w:lang w:val="pl-PL"/>
        </w:rPr>
        <w:t xml:space="preserve">nie </w:t>
      </w:r>
      <w:r w:rsidR="005E12EE" w:rsidRPr="00F76FFE">
        <w:rPr>
          <w:lang w:val="pl-PL"/>
        </w:rPr>
        <w:t xml:space="preserve">zostało </w:t>
      </w:r>
      <w:r w:rsidR="00514C5F" w:rsidRPr="00F76FFE">
        <w:rPr>
          <w:lang w:val="pl-PL"/>
        </w:rPr>
        <w:t xml:space="preserve">uwzględnione </w:t>
      </w:r>
      <w:r w:rsidR="005E12EE" w:rsidRPr="00F76FFE">
        <w:rPr>
          <w:lang w:val="pl-PL"/>
        </w:rPr>
        <w:t>przez Sąd Apelacyjny w Warszawie w dniu 20 stycznia 2011 r.</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15</w:t>
      </w:r>
      <w:r w:rsidRPr="00F76FFE">
        <w:rPr>
          <w:noProof/>
        </w:rPr>
        <w:fldChar w:fldCharType="end"/>
      </w:r>
      <w:r w:rsidR="002A2C70" w:rsidRPr="00F76FFE">
        <w:rPr>
          <w:lang w:val="pl-PL"/>
        </w:rPr>
        <w:t>.  </w:t>
      </w:r>
      <w:r w:rsidR="00124CEF" w:rsidRPr="00F76FFE">
        <w:rPr>
          <w:lang w:val="pl-PL"/>
        </w:rPr>
        <w:t>P</w:t>
      </w:r>
      <w:r w:rsidR="005E12EE" w:rsidRPr="00F76FFE">
        <w:rPr>
          <w:lang w:val="pl-PL"/>
        </w:rPr>
        <w:t xml:space="preserve">roces rozpoczął się w dniu 19 lipca 2010 r., a w jego toku sąd </w:t>
      </w:r>
      <w:r w:rsidR="00124CEF" w:rsidRPr="00F76FFE">
        <w:rPr>
          <w:lang w:val="pl-PL"/>
        </w:rPr>
        <w:t xml:space="preserve">pierwszej instancji </w:t>
      </w:r>
      <w:r w:rsidR="006A2924" w:rsidRPr="00F76FFE">
        <w:rPr>
          <w:lang w:val="pl-PL"/>
        </w:rPr>
        <w:t xml:space="preserve">wyznaczył </w:t>
      </w:r>
      <w:r w:rsidR="005E12EE" w:rsidRPr="00F76FFE">
        <w:rPr>
          <w:lang w:val="pl-PL"/>
        </w:rPr>
        <w:t>czternaście</w:t>
      </w:r>
      <w:r w:rsidR="006A2924" w:rsidRPr="00F76FFE">
        <w:rPr>
          <w:lang w:val="pl-PL"/>
        </w:rPr>
        <w:t xml:space="preserve"> terminów</w:t>
      </w:r>
      <w:r w:rsidR="005E12EE" w:rsidRPr="00F76FFE">
        <w:rPr>
          <w:lang w:val="pl-PL"/>
        </w:rPr>
        <w:t xml:space="preserve"> rozpraw</w:t>
      </w:r>
      <w:r w:rsidR="006A2924" w:rsidRPr="00F76FFE">
        <w:rPr>
          <w:lang w:val="pl-PL"/>
        </w:rPr>
        <w:t>y</w:t>
      </w:r>
      <w:r w:rsidR="005E12EE" w:rsidRPr="00F76FFE">
        <w:rPr>
          <w:lang w:val="pl-PL"/>
        </w:rPr>
        <w:t>.</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16</w:t>
      </w:r>
      <w:r w:rsidRPr="00F76FFE">
        <w:rPr>
          <w:noProof/>
        </w:rPr>
        <w:fldChar w:fldCharType="end"/>
      </w:r>
      <w:r w:rsidR="002A2C70" w:rsidRPr="00F76FFE">
        <w:rPr>
          <w:lang w:val="pl-PL"/>
        </w:rPr>
        <w:t>.  </w:t>
      </w:r>
      <w:r w:rsidR="005E12EE" w:rsidRPr="00F76FFE">
        <w:rPr>
          <w:lang w:val="pl-PL"/>
        </w:rPr>
        <w:t xml:space="preserve">W dniu 31 marca 2011 r. Sąd Okręgowy w Warszawie wydał wyrok. Skarżący został uznany za winnego </w:t>
      </w:r>
      <w:r w:rsidR="00612902" w:rsidRPr="00F76FFE">
        <w:rPr>
          <w:lang w:val="pl-PL"/>
        </w:rPr>
        <w:t xml:space="preserve">zarzuconych mu czynów </w:t>
      </w:r>
      <w:r w:rsidR="005E12EE" w:rsidRPr="00F76FFE">
        <w:rPr>
          <w:lang w:val="pl-PL"/>
        </w:rPr>
        <w:t>i skazany na karę łączną siedmiu lat pozbawienia wolności.</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17</w:t>
      </w:r>
      <w:r w:rsidRPr="00F76FFE">
        <w:rPr>
          <w:noProof/>
        </w:rPr>
        <w:fldChar w:fldCharType="end"/>
      </w:r>
      <w:r w:rsidR="002A2C70" w:rsidRPr="00F76FFE">
        <w:rPr>
          <w:lang w:val="pl-PL"/>
        </w:rPr>
        <w:t>.  </w:t>
      </w:r>
      <w:r w:rsidR="005E12EE" w:rsidRPr="00F76FFE">
        <w:rPr>
          <w:lang w:val="pl-PL"/>
        </w:rPr>
        <w:t>Skarżący i pozostali oskarżeni odwołali się od swoich wyroków.</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18</w:t>
      </w:r>
      <w:r w:rsidRPr="00F76FFE">
        <w:rPr>
          <w:noProof/>
        </w:rPr>
        <w:fldChar w:fldCharType="end"/>
      </w:r>
      <w:r w:rsidR="002A2C70" w:rsidRPr="00F76FFE">
        <w:rPr>
          <w:lang w:val="pl-PL"/>
        </w:rPr>
        <w:t>.  </w:t>
      </w:r>
      <w:r w:rsidR="005E12EE" w:rsidRPr="00F76FFE">
        <w:rPr>
          <w:lang w:val="pl-PL"/>
        </w:rPr>
        <w:t>W dniu 20 grudnia 2011 r. Sąd Apelacyjny w Warszawie uchylił wyrok</w:t>
      </w:r>
      <w:r w:rsidR="002C623D" w:rsidRPr="00F76FFE">
        <w:rPr>
          <w:lang w:val="pl-PL"/>
        </w:rPr>
        <w:t xml:space="preserve"> sądu</w:t>
      </w:r>
      <w:r w:rsidR="005E12EE" w:rsidRPr="00F76FFE">
        <w:rPr>
          <w:lang w:val="pl-PL"/>
        </w:rPr>
        <w:t xml:space="preserve"> pierwszej instancji i przekazał sprawę z </w:t>
      </w:r>
      <w:r w:rsidR="002C623D" w:rsidRPr="00F76FFE">
        <w:rPr>
          <w:lang w:val="pl-PL"/>
        </w:rPr>
        <w:t>do ponownego rozpoznania</w:t>
      </w:r>
      <w:r w:rsidR="005E12EE" w:rsidRPr="00F76FFE">
        <w:rPr>
          <w:lang w:val="pl-PL"/>
        </w:rPr>
        <w:t>.</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19</w:t>
      </w:r>
      <w:r w:rsidRPr="00F76FFE">
        <w:rPr>
          <w:noProof/>
        </w:rPr>
        <w:fldChar w:fldCharType="end"/>
      </w:r>
      <w:r w:rsidR="002A2C70" w:rsidRPr="00F76FFE">
        <w:rPr>
          <w:lang w:val="pl-PL"/>
        </w:rPr>
        <w:t>.  </w:t>
      </w:r>
      <w:r w:rsidR="005E12EE" w:rsidRPr="00F76FFE">
        <w:rPr>
          <w:lang w:val="pl-PL"/>
        </w:rPr>
        <w:t xml:space="preserve">Tego samego dnia Sąd Apelacyjny w Warszawie przedłużył </w:t>
      </w:r>
      <w:r w:rsidR="002C623D" w:rsidRPr="00F76FFE">
        <w:rPr>
          <w:lang w:val="pl-PL"/>
        </w:rPr>
        <w:t xml:space="preserve">okres tymczasowego </w:t>
      </w:r>
      <w:r w:rsidR="005E12EE" w:rsidRPr="00F76FFE">
        <w:rPr>
          <w:lang w:val="pl-PL"/>
        </w:rPr>
        <w:t>areszt</w:t>
      </w:r>
      <w:r w:rsidR="002C623D" w:rsidRPr="00F76FFE">
        <w:rPr>
          <w:lang w:val="pl-PL"/>
        </w:rPr>
        <w:t xml:space="preserve">owania </w:t>
      </w:r>
      <w:r w:rsidR="005E12EE" w:rsidRPr="00F76FFE">
        <w:rPr>
          <w:lang w:val="pl-PL"/>
        </w:rPr>
        <w:t>skarżącego. Sąd był zdania, że wcześniej określone powody zatrzymania były nadal aktualne. W szczególności, wciąż istniała konieczność zabezpieczenia</w:t>
      </w:r>
      <w:r w:rsidR="00124CEF" w:rsidRPr="00F76FFE">
        <w:rPr>
          <w:lang w:val="pl-PL"/>
        </w:rPr>
        <w:t xml:space="preserve"> prawidłowego toku postępowania</w:t>
      </w:r>
      <w:r w:rsidR="005E12EE" w:rsidRPr="00F76FFE">
        <w:rPr>
          <w:lang w:val="pl-PL"/>
        </w:rPr>
        <w:t xml:space="preserve"> w świetle wyroku z dnia 20 grudnia 2011 r.</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20</w:t>
      </w:r>
      <w:r w:rsidRPr="00F76FFE">
        <w:rPr>
          <w:noProof/>
        </w:rPr>
        <w:fldChar w:fldCharType="end"/>
      </w:r>
      <w:r w:rsidR="002A2C70" w:rsidRPr="00F76FFE">
        <w:rPr>
          <w:lang w:val="pl-PL"/>
        </w:rPr>
        <w:t>.  </w:t>
      </w:r>
      <w:r w:rsidR="005E12EE" w:rsidRPr="00F76FFE">
        <w:rPr>
          <w:lang w:val="pl-PL"/>
        </w:rPr>
        <w:t xml:space="preserve">W dniu 10 kwietnia 2012 r. ten sam sąd ponownie przedłużył </w:t>
      </w:r>
      <w:r w:rsidR="006F136B" w:rsidRPr="00F76FFE">
        <w:rPr>
          <w:lang w:val="pl-PL"/>
        </w:rPr>
        <w:t xml:space="preserve">czas trwania tymczasowego </w:t>
      </w:r>
      <w:r w:rsidR="005E12EE" w:rsidRPr="00F76FFE">
        <w:rPr>
          <w:lang w:val="pl-PL"/>
        </w:rPr>
        <w:t>areszt</w:t>
      </w:r>
      <w:r w:rsidR="006F136B" w:rsidRPr="00F76FFE">
        <w:rPr>
          <w:lang w:val="pl-PL"/>
        </w:rPr>
        <w:t>owania wobec</w:t>
      </w:r>
      <w:r w:rsidR="005E12EE" w:rsidRPr="00F76FFE">
        <w:rPr>
          <w:lang w:val="pl-PL"/>
        </w:rPr>
        <w:t xml:space="preserve"> skarżącego.</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21</w:t>
      </w:r>
      <w:r w:rsidRPr="00F76FFE">
        <w:rPr>
          <w:noProof/>
        </w:rPr>
        <w:fldChar w:fldCharType="end"/>
      </w:r>
      <w:r w:rsidR="002A2C70" w:rsidRPr="00F76FFE">
        <w:rPr>
          <w:lang w:val="pl-PL"/>
        </w:rPr>
        <w:t>.  </w:t>
      </w:r>
      <w:r w:rsidR="006F136B" w:rsidRPr="00F76FFE">
        <w:rPr>
          <w:lang w:val="pl-PL"/>
        </w:rPr>
        <w:t xml:space="preserve">Zażalenia skarżącego na postanowienia w przedmiocie przedłużenia tymczasowego aresztowania nie </w:t>
      </w:r>
      <w:r w:rsidR="005E12EE" w:rsidRPr="00F76FFE">
        <w:rPr>
          <w:lang w:val="pl-PL"/>
        </w:rPr>
        <w:t xml:space="preserve">zostały </w:t>
      </w:r>
      <w:r w:rsidR="006F136B" w:rsidRPr="00F76FFE">
        <w:rPr>
          <w:lang w:val="pl-PL"/>
        </w:rPr>
        <w:t>uwzględnione</w:t>
      </w:r>
      <w:r w:rsidR="005E12EE" w:rsidRPr="00F76FFE">
        <w:rPr>
          <w:lang w:val="pl-PL"/>
        </w:rPr>
        <w:t xml:space="preserve"> przez Sąd Apelacyjny w Warszawie odpowiednio w dni</w:t>
      </w:r>
      <w:r w:rsidR="00124CEF" w:rsidRPr="00F76FFE">
        <w:rPr>
          <w:lang w:val="pl-PL"/>
        </w:rPr>
        <w:t>ach</w:t>
      </w:r>
      <w:r w:rsidR="005E12EE" w:rsidRPr="00F76FFE">
        <w:rPr>
          <w:lang w:val="pl-PL"/>
        </w:rPr>
        <w:t xml:space="preserve"> 17 stycznia i 17 maja 2012 r.</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22</w:t>
      </w:r>
      <w:r w:rsidRPr="00F76FFE">
        <w:rPr>
          <w:noProof/>
        </w:rPr>
        <w:fldChar w:fldCharType="end"/>
      </w:r>
      <w:r w:rsidR="002A2C70" w:rsidRPr="00F76FFE">
        <w:rPr>
          <w:lang w:val="pl-PL"/>
        </w:rPr>
        <w:t>.  </w:t>
      </w:r>
      <w:r w:rsidR="005E12EE" w:rsidRPr="00F76FFE">
        <w:rPr>
          <w:lang w:val="pl-PL"/>
        </w:rPr>
        <w:t>W dniu 19 października 2012 r. Sąd Okręgowy w Warszawie postanowił uchylić tymczasow</w:t>
      </w:r>
      <w:r w:rsidR="00252B50" w:rsidRPr="00F76FFE">
        <w:rPr>
          <w:lang w:val="pl-PL"/>
        </w:rPr>
        <w:t>e</w:t>
      </w:r>
      <w:r w:rsidR="005E12EE" w:rsidRPr="00F76FFE">
        <w:rPr>
          <w:lang w:val="pl-PL"/>
        </w:rPr>
        <w:t xml:space="preserve"> areszt</w:t>
      </w:r>
      <w:r w:rsidR="00252B50" w:rsidRPr="00F76FFE">
        <w:rPr>
          <w:lang w:val="pl-PL"/>
        </w:rPr>
        <w:t>owanie wobec</w:t>
      </w:r>
      <w:r w:rsidR="005E12EE" w:rsidRPr="00F76FFE">
        <w:rPr>
          <w:lang w:val="pl-PL"/>
        </w:rPr>
        <w:t xml:space="preserve"> skarżącego powołując się głównie na długi czas jego trwania. Sąd uznał, że długość postępowania wynikała z przyczyn niezależnych od oskarżonych (choroba sędziego) i że nie powinni oni odczuwać „negatywnych konsekwencji” tego, że postęp</w:t>
      </w:r>
      <w:r w:rsidR="00026F63" w:rsidRPr="00F76FFE">
        <w:rPr>
          <w:lang w:val="pl-PL"/>
        </w:rPr>
        <w:t>owanie nie mogło być zakończone</w:t>
      </w:r>
      <w:r w:rsidR="005E12EE" w:rsidRPr="00F76FFE">
        <w:rPr>
          <w:lang w:val="pl-PL"/>
        </w:rPr>
        <w:t>.</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23</w:t>
      </w:r>
      <w:r w:rsidRPr="00F76FFE">
        <w:rPr>
          <w:noProof/>
        </w:rPr>
        <w:fldChar w:fldCharType="end"/>
      </w:r>
      <w:r w:rsidR="002A2C70" w:rsidRPr="00F76FFE">
        <w:rPr>
          <w:lang w:val="pl-PL"/>
        </w:rPr>
        <w:t>.  </w:t>
      </w:r>
      <w:r w:rsidR="005E12EE" w:rsidRPr="00F76FFE">
        <w:rPr>
          <w:lang w:val="pl-PL"/>
        </w:rPr>
        <w:t>Prokurat</w:t>
      </w:r>
      <w:r w:rsidR="00124CEF" w:rsidRPr="00F76FFE">
        <w:rPr>
          <w:lang w:val="pl-PL"/>
        </w:rPr>
        <w:t>ura</w:t>
      </w:r>
      <w:r w:rsidR="005E12EE" w:rsidRPr="00F76FFE">
        <w:rPr>
          <w:lang w:val="pl-PL"/>
        </w:rPr>
        <w:t xml:space="preserve"> złożył</w:t>
      </w:r>
      <w:r w:rsidR="00124CEF" w:rsidRPr="00F76FFE">
        <w:rPr>
          <w:lang w:val="pl-PL"/>
        </w:rPr>
        <w:t>a</w:t>
      </w:r>
      <w:r w:rsidR="005E12EE" w:rsidRPr="00F76FFE">
        <w:rPr>
          <w:lang w:val="pl-PL"/>
        </w:rPr>
        <w:t xml:space="preserve"> </w:t>
      </w:r>
      <w:r w:rsidR="00026F63" w:rsidRPr="00F76FFE">
        <w:rPr>
          <w:lang w:val="pl-PL"/>
        </w:rPr>
        <w:t>zażalenie na postanowienie w przedmiocie uchylenia tymczasowego aresztowania</w:t>
      </w:r>
      <w:r w:rsidR="005E12EE" w:rsidRPr="00F76FFE">
        <w:rPr>
          <w:lang w:val="pl-PL"/>
        </w:rPr>
        <w:t>.</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24</w:t>
      </w:r>
      <w:r w:rsidRPr="00F76FFE">
        <w:rPr>
          <w:noProof/>
        </w:rPr>
        <w:fldChar w:fldCharType="end"/>
      </w:r>
      <w:r w:rsidR="002A2C70" w:rsidRPr="00F76FFE">
        <w:rPr>
          <w:lang w:val="pl-PL"/>
        </w:rPr>
        <w:t>.  </w:t>
      </w:r>
      <w:r w:rsidR="005E12EE" w:rsidRPr="00F76FFE">
        <w:rPr>
          <w:lang w:val="pl-PL"/>
        </w:rPr>
        <w:t>W dniu 6 grudnia 2012 r. Sąd Apelacyjny w Warszawie uchylił zaskarżon</w:t>
      </w:r>
      <w:r w:rsidR="00717C54" w:rsidRPr="00F76FFE">
        <w:rPr>
          <w:lang w:val="pl-PL"/>
        </w:rPr>
        <w:t>e postanowienie</w:t>
      </w:r>
      <w:r w:rsidR="005E12EE" w:rsidRPr="00F76FFE">
        <w:rPr>
          <w:lang w:val="pl-PL"/>
        </w:rPr>
        <w:t xml:space="preserve"> uznając powody podane przez sąd niższej instancji za niewystarczające.</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25</w:t>
      </w:r>
      <w:r w:rsidRPr="00F76FFE">
        <w:rPr>
          <w:noProof/>
        </w:rPr>
        <w:fldChar w:fldCharType="end"/>
      </w:r>
      <w:r w:rsidR="002A2C70" w:rsidRPr="00F76FFE">
        <w:rPr>
          <w:lang w:val="pl-PL"/>
        </w:rPr>
        <w:t>.  </w:t>
      </w:r>
      <w:r w:rsidR="005E12EE" w:rsidRPr="00F76FFE">
        <w:rPr>
          <w:lang w:val="pl-PL"/>
        </w:rPr>
        <w:t xml:space="preserve">W dniu 9 stycznia 2013 r., po ponownym rozpoznaniu sprawy, Sąd Okręgowy w Warszawie </w:t>
      </w:r>
      <w:r w:rsidR="00230612" w:rsidRPr="00F76FFE">
        <w:rPr>
          <w:lang w:val="pl-PL"/>
        </w:rPr>
        <w:t>postanowił</w:t>
      </w:r>
      <w:r w:rsidR="005E12EE" w:rsidRPr="00F76FFE">
        <w:rPr>
          <w:lang w:val="pl-PL"/>
        </w:rPr>
        <w:t xml:space="preserve"> przedłuż</w:t>
      </w:r>
      <w:r w:rsidR="00230612" w:rsidRPr="00F76FFE">
        <w:rPr>
          <w:lang w:val="pl-PL"/>
        </w:rPr>
        <w:t>yć</w:t>
      </w:r>
      <w:r w:rsidR="005E12EE" w:rsidRPr="00F76FFE">
        <w:rPr>
          <w:lang w:val="pl-PL"/>
        </w:rPr>
        <w:t xml:space="preserve"> tymczasowe areszt</w:t>
      </w:r>
      <w:r w:rsidR="00230612" w:rsidRPr="00F76FFE">
        <w:rPr>
          <w:lang w:val="pl-PL"/>
        </w:rPr>
        <w:t>owanie</w:t>
      </w:r>
      <w:r w:rsidR="005E12EE" w:rsidRPr="00F76FFE">
        <w:rPr>
          <w:lang w:val="pl-PL"/>
        </w:rPr>
        <w:t xml:space="preserve"> skarżącego. Sąd oparł się na uzasadnionym podejrzeniu, że skarżący popełnił zarzucane mu przestępstwa. Uznał, że choć nie istniało ryzyko ucieczki, pobyt skarżącego w areszcie był uzasadniony ze względu na </w:t>
      </w:r>
      <w:r w:rsidR="00230612" w:rsidRPr="00F76FFE">
        <w:rPr>
          <w:lang w:val="pl-PL"/>
        </w:rPr>
        <w:t xml:space="preserve">grożącą podejrzanemu </w:t>
      </w:r>
      <w:r w:rsidR="005E12EE" w:rsidRPr="00F76FFE">
        <w:rPr>
          <w:lang w:val="pl-PL"/>
        </w:rPr>
        <w:t>surow</w:t>
      </w:r>
      <w:r w:rsidR="00230612" w:rsidRPr="00F76FFE">
        <w:rPr>
          <w:lang w:val="pl-PL"/>
        </w:rPr>
        <w:t>ą</w:t>
      </w:r>
      <w:r w:rsidR="005E12EE" w:rsidRPr="00F76FFE">
        <w:rPr>
          <w:lang w:val="pl-PL"/>
        </w:rPr>
        <w:t xml:space="preserve"> kar</w:t>
      </w:r>
      <w:r w:rsidR="00230612" w:rsidRPr="00F76FFE">
        <w:rPr>
          <w:lang w:val="pl-PL"/>
        </w:rPr>
        <w:t>ę</w:t>
      </w:r>
      <w:r w:rsidR="005E12EE" w:rsidRPr="00F76FFE">
        <w:rPr>
          <w:lang w:val="pl-PL"/>
        </w:rPr>
        <w:t xml:space="preserve"> i obawę, że może on utrudniać </w:t>
      </w:r>
      <w:r w:rsidR="005E12EE" w:rsidRPr="00F76FFE">
        <w:rPr>
          <w:lang w:val="pl-PL"/>
        </w:rPr>
        <w:lastRenderedPageBreak/>
        <w:t xml:space="preserve">postępowanie. Sąd powołał się również na </w:t>
      </w:r>
      <w:r w:rsidR="00D5005F" w:rsidRPr="00F76FFE">
        <w:rPr>
          <w:lang w:val="pl-PL"/>
        </w:rPr>
        <w:t>okolicznoś</w:t>
      </w:r>
      <w:r w:rsidR="009F3930" w:rsidRPr="00F76FFE">
        <w:rPr>
          <w:lang w:val="pl-PL"/>
        </w:rPr>
        <w:t>ć</w:t>
      </w:r>
      <w:r w:rsidR="005E12EE" w:rsidRPr="00F76FFE">
        <w:rPr>
          <w:lang w:val="pl-PL"/>
        </w:rPr>
        <w:t>, na któr</w:t>
      </w:r>
      <w:r w:rsidR="009F3930" w:rsidRPr="00F76FFE">
        <w:rPr>
          <w:lang w:val="pl-PL"/>
        </w:rPr>
        <w:t>ą</w:t>
      </w:r>
      <w:r w:rsidR="005E12EE" w:rsidRPr="00F76FFE">
        <w:rPr>
          <w:lang w:val="pl-PL"/>
        </w:rPr>
        <w:t xml:space="preserve"> powołał się sąd, który </w:t>
      </w:r>
      <w:r w:rsidR="00D5005F" w:rsidRPr="00F76FFE">
        <w:rPr>
          <w:lang w:val="pl-PL"/>
        </w:rPr>
        <w:t xml:space="preserve">zastosował tymczasowe </w:t>
      </w:r>
      <w:r w:rsidR="005E12EE" w:rsidRPr="00F76FFE">
        <w:rPr>
          <w:lang w:val="pl-PL"/>
        </w:rPr>
        <w:t>areszt</w:t>
      </w:r>
      <w:r w:rsidR="00D5005F" w:rsidRPr="00F76FFE">
        <w:rPr>
          <w:lang w:val="pl-PL"/>
        </w:rPr>
        <w:t>owanie wobec</w:t>
      </w:r>
      <w:r w:rsidR="005E12EE" w:rsidRPr="00F76FFE">
        <w:rPr>
          <w:lang w:val="pl-PL"/>
        </w:rPr>
        <w:t xml:space="preserve"> skarżącego (</w:t>
      </w:r>
      <w:r w:rsidR="00124CEF" w:rsidRPr="00F76FFE">
        <w:rPr>
          <w:lang w:val="pl-PL"/>
        </w:rPr>
        <w:t>zob.</w:t>
      </w:r>
      <w:r w:rsidR="005E12EE" w:rsidRPr="00F76FFE">
        <w:rPr>
          <w:lang w:val="pl-PL"/>
        </w:rPr>
        <w:t xml:space="preserve"> pkt 8 powyżej), że jednym z zarzutów formułowanych przeciwko niemu było manipulowanie świadkiem z użyciem przemocy.</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26</w:t>
      </w:r>
      <w:r w:rsidRPr="00F76FFE">
        <w:rPr>
          <w:noProof/>
        </w:rPr>
        <w:fldChar w:fldCharType="end"/>
      </w:r>
      <w:r w:rsidR="002A2C70" w:rsidRPr="00F76FFE">
        <w:rPr>
          <w:lang w:val="pl-PL"/>
        </w:rPr>
        <w:t>.  </w:t>
      </w:r>
      <w:r w:rsidR="005E12EE" w:rsidRPr="00F76FFE">
        <w:rPr>
          <w:lang w:val="pl-PL"/>
        </w:rPr>
        <w:t>W dniu 12 lutego 2013 r. Sąd Apelacyjny w Warszawie uchylił t</w:t>
      </w:r>
      <w:r w:rsidR="00946B7E" w:rsidRPr="00F76FFE">
        <w:rPr>
          <w:lang w:val="pl-PL"/>
        </w:rPr>
        <w:t>o</w:t>
      </w:r>
      <w:r w:rsidR="005E12EE" w:rsidRPr="00F76FFE">
        <w:rPr>
          <w:lang w:val="pl-PL"/>
        </w:rPr>
        <w:t xml:space="preserve"> </w:t>
      </w:r>
      <w:r w:rsidR="00946B7E" w:rsidRPr="00F76FFE">
        <w:rPr>
          <w:lang w:val="pl-PL"/>
        </w:rPr>
        <w:t>postanowienie</w:t>
      </w:r>
      <w:r w:rsidR="005E12EE" w:rsidRPr="00F76FFE">
        <w:rPr>
          <w:lang w:val="pl-PL"/>
        </w:rPr>
        <w:t xml:space="preserve"> ze względów proceduralnych.</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27</w:t>
      </w:r>
      <w:r w:rsidRPr="00F76FFE">
        <w:rPr>
          <w:noProof/>
        </w:rPr>
        <w:fldChar w:fldCharType="end"/>
      </w:r>
      <w:r w:rsidR="002A2C70" w:rsidRPr="00F76FFE">
        <w:rPr>
          <w:lang w:val="pl-PL"/>
        </w:rPr>
        <w:t>.  </w:t>
      </w:r>
      <w:r w:rsidR="005E12EE" w:rsidRPr="00F76FFE">
        <w:rPr>
          <w:lang w:val="pl-PL"/>
        </w:rPr>
        <w:t xml:space="preserve">W dniu 6 marca 2013 r. Sąd Okręgowy w Warszawie przedłużył </w:t>
      </w:r>
      <w:r w:rsidR="00946B7E" w:rsidRPr="00F76FFE">
        <w:rPr>
          <w:lang w:val="pl-PL"/>
        </w:rPr>
        <w:t xml:space="preserve">stosowanie tymczasowego </w:t>
      </w:r>
      <w:r w:rsidR="005E12EE" w:rsidRPr="00F76FFE">
        <w:rPr>
          <w:lang w:val="pl-PL"/>
        </w:rPr>
        <w:t>areszt</w:t>
      </w:r>
      <w:r w:rsidR="00946B7E" w:rsidRPr="00F76FFE">
        <w:rPr>
          <w:lang w:val="pl-PL"/>
        </w:rPr>
        <w:t>owania wobec</w:t>
      </w:r>
      <w:r w:rsidR="005E12EE" w:rsidRPr="00F76FFE">
        <w:rPr>
          <w:lang w:val="pl-PL"/>
        </w:rPr>
        <w:t xml:space="preserve"> skarżącego na okres trzech miesięcy. Sąd uzasadnił </w:t>
      </w:r>
      <w:r w:rsidR="00E82D12" w:rsidRPr="00F76FFE">
        <w:rPr>
          <w:lang w:val="pl-PL"/>
        </w:rPr>
        <w:t xml:space="preserve">postanowienie grożącą podejrzanemu surową karą </w:t>
      </w:r>
      <w:r w:rsidR="00124CEF" w:rsidRPr="00F76FFE">
        <w:rPr>
          <w:lang w:val="pl-PL"/>
        </w:rPr>
        <w:t>oraz koniecznością</w:t>
      </w:r>
      <w:r w:rsidR="005E12EE" w:rsidRPr="00F76FFE">
        <w:rPr>
          <w:lang w:val="pl-PL"/>
        </w:rPr>
        <w:t xml:space="preserve"> zabezpieczenia prawidłowego toku postępowania. Stwierdził również, że długość postępowania wynikała przede wszystkim ze złożoności sprawy.</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28</w:t>
      </w:r>
      <w:r w:rsidRPr="00F76FFE">
        <w:rPr>
          <w:noProof/>
        </w:rPr>
        <w:fldChar w:fldCharType="end"/>
      </w:r>
      <w:r w:rsidR="002A2C70" w:rsidRPr="00F76FFE">
        <w:rPr>
          <w:lang w:val="pl-PL"/>
        </w:rPr>
        <w:t>.  </w:t>
      </w:r>
      <w:r w:rsidR="005E12EE" w:rsidRPr="00F76FFE">
        <w:rPr>
          <w:lang w:val="pl-PL"/>
        </w:rPr>
        <w:t xml:space="preserve">W dniu 18 kwietnia 2013 r. Sąd Apelacyjny w Warszawie </w:t>
      </w:r>
      <w:r w:rsidR="003957C0" w:rsidRPr="00F76FFE">
        <w:rPr>
          <w:lang w:val="pl-PL"/>
        </w:rPr>
        <w:t>nie uwzględnił zażalenia skarżąc</w:t>
      </w:r>
      <w:r w:rsidR="005E12EE" w:rsidRPr="00F76FFE">
        <w:rPr>
          <w:lang w:val="pl-PL"/>
        </w:rPr>
        <w:t>ego od wyżej wymienione</w:t>
      </w:r>
      <w:r w:rsidR="004341A1" w:rsidRPr="00F76FFE">
        <w:rPr>
          <w:lang w:val="pl-PL"/>
        </w:rPr>
        <w:t>go postanowienia</w:t>
      </w:r>
      <w:r w:rsidR="005E12EE" w:rsidRPr="00F76FFE">
        <w:rPr>
          <w:lang w:val="pl-PL"/>
        </w:rPr>
        <w:t>.</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29</w:t>
      </w:r>
      <w:r w:rsidRPr="00F76FFE">
        <w:rPr>
          <w:noProof/>
        </w:rPr>
        <w:fldChar w:fldCharType="end"/>
      </w:r>
      <w:r w:rsidR="002A2C70" w:rsidRPr="00F76FFE">
        <w:rPr>
          <w:lang w:val="pl-PL"/>
        </w:rPr>
        <w:t>.  </w:t>
      </w:r>
      <w:r w:rsidR="005E12EE" w:rsidRPr="00F76FFE">
        <w:rPr>
          <w:lang w:val="pl-PL"/>
        </w:rPr>
        <w:t>W dniu 5 czerwca 2013 r. tymczasow</w:t>
      </w:r>
      <w:r w:rsidR="004341A1" w:rsidRPr="00F76FFE">
        <w:rPr>
          <w:lang w:val="pl-PL"/>
        </w:rPr>
        <w:t>e aresztowanie</w:t>
      </w:r>
      <w:r w:rsidR="005E12EE" w:rsidRPr="00F76FFE">
        <w:rPr>
          <w:lang w:val="pl-PL"/>
        </w:rPr>
        <w:t xml:space="preserve"> skarżącego został</w:t>
      </w:r>
      <w:r w:rsidR="004341A1" w:rsidRPr="00F76FFE">
        <w:rPr>
          <w:lang w:val="pl-PL"/>
        </w:rPr>
        <w:t>o</w:t>
      </w:r>
      <w:r w:rsidR="005E12EE" w:rsidRPr="00F76FFE">
        <w:rPr>
          <w:lang w:val="pl-PL"/>
        </w:rPr>
        <w:t xml:space="preserve"> uchylon</w:t>
      </w:r>
      <w:r w:rsidR="004341A1" w:rsidRPr="00F76FFE">
        <w:rPr>
          <w:lang w:val="pl-PL"/>
        </w:rPr>
        <w:t>e</w:t>
      </w:r>
      <w:r w:rsidR="005E12EE" w:rsidRPr="00F76FFE">
        <w:rPr>
          <w:lang w:val="pl-PL"/>
        </w:rPr>
        <w:t xml:space="preserve">. </w:t>
      </w:r>
      <w:r w:rsidR="00124CEF" w:rsidRPr="00F76FFE">
        <w:rPr>
          <w:lang w:val="pl-PL"/>
        </w:rPr>
        <w:t>Skarżący pozostał</w:t>
      </w:r>
      <w:r w:rsidR="005E12EE" w:rsidRPr="00F76FFE">
        <w:rPr>
          <w:lang w:val="pl-PL"/>
        </w:rPr>
        <w:t xml:space="preserve"> jednak w areszcie w związku ze środkiem zapobiegawczym nałożonym na niego w inn</w:t>
      </w:r>
      <w:r w:rsidR="009C4F27" w:rsidRPr="00F76FFE">
        <w:rPr>
          <w:lang w:val="pl-PL"/>
        </w:rPr>
        <w:t>ym</w:t>
      </w:r>
      <w:r w:rsidR="005E12EE" w:rsidRPr="00F76FFE">
        <w:rPr>
          <w:lang w:val="pl-PL"/>
        </w:rPr>
        <w:t xml:space="preserve"> postępowani</w:t>
      </w:r>
      <w:r w:rsidR="009C4F27" w:rsidRPr="00F76FFE">
        <w:rPr>
          <w:lang w:val="pl-PL"/>
        </w:rPr>
        <w:t>u</w:t>
      </w:r>
      <w:r w:rsidR="005E12EE" w:rsidRPr="00F76FFE">
        <w:rPr>
          <w:lang w:val="pl-PL"/>
        </w:rPr>
        <w:t xml:space="preserve"> (</w:t>
      </w:r>
      <w:r w:rsidR="00124CEF" w:rsidRPr="00F76FFE">
        <w:rPr>
          <w:lang w:val="pl-PL"/>
        </w:rPr>
        <w:t>zob.</w:t>
      </w:r>
      <w:r w:rsidR="005E12EE" w:rsidRPr="00F76FFE">
        <w:rPr>
          <w:lang w:val="pl-PL"/>
        </w:rPr>
        <w:t xml:space="preserve"> poniżej).</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30</w:t>
      </w:r>
      <w:r w:rsidRPr="00F76FFE">
        <w:rPr>
          <w:noProof/>
        </w:rPr>
        <w:fldChar w:fldCharType="end"/>
      </w:r>
      <w:r w:rsidR="002A2C70" w:rsidRPr="00F76FFE">
        <w:rPr>
          <w:lang w:val="pl-PL"/>
        </w:rPr>
        <w:t>.  </w:t>
      </w:r>
      <w:r w:rsidR="005E12EE" w:rsidRPr="00F76FFE">
        <w:rPr>
          <w:lang w:val="pl-PL"/>
        </w:rPr>
        <w:t>Postępowanie toczy się nadal przed Sądem Okręgowym w Warszawie.</w:t>
      </w:r>
    </w:p>
    <w:p w:rsidR="002A2C70" w:rsidRPr="00F76FFE" w:rsidRDefault="005E12EE" w:rsidP="005E12EE">
      <w:pPr>
        <w:pStyle w:val="ECHRHeading2"/>
        <w:rPr>
          <w:lang w:val="pl-PL"/>
        </w:rPr>
      </w:pPr>
      <w:r w:rsidRPr="00F76FFE">
        <w:rPr>
          <w:lang w:val="pl-PL"/>
        </w:rPr>
        <w:t>B.  Drugie postępowanie k</w:t>
      </w:r>
      <w:r w:rsidR="009C4F27" w:rsidRPr="00F76FFE">
        <w:rPr>
          <w:lang w:val="pl-PL"/>
        </w:rPr>
        <w:t>arne</w:t>
      </w:r>
      <w:r w:rsidRPr="00F76FFE">
        <w:rPr>
          <w:lang w:val="pl-PL"/>
        </w:rPr>
        <w:t xml:space="preserve"> przeciwko skarżącemu</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31</w:t>
      </w:r>
      <w:r w:rsidRPr="00F76FFE">
        <w:rPr>
          <w:noProof/>
        </w:rPr>
        <w:fldChar w:fldCharType="end"/>
      </w:r>
      <w:r w:rsidR="002A2C70" w:rsidRPr="00F76FFE">
        <w:rPr>
          <w:lang w:val="pl-PL"/>
        </w:rPr>
        <w:t>.  </w:t>
      </w:r>
      <w:r w:rsidR="005E12EE" w:rsidRPr="00F76FFE">
        <w:rPr>
          <w:lang w:val="pl-PL"/>
        </w:rPr>
        <w:t>W dniu 18 czerwca 2012 r. Prokuratura Apelacyjna w Warszawie przedstawiła skarżącemu zarzut udziału w zorganizowanej grupie przestępczej o charakterze zbrojnym zaangażowanej w handel narkotykami oraz zarzut popełnienia kilku przestępstw polegających na handlu narkotykami.</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32</w:t>
      </w:r>
      <w:r w:rsidRPr="00F76FFE">
        <w:rPr>
          <w:lang w:val="en-GB"/>
        </w:rPr>
        <w:fldChar w:fldCharType="end"/>
      </w:r>
      <w:r w:rsidR="002A2C70" w:rsidRPr="00F76FFE">
        <w:rPr>
          <w:lang w:val="pl-PL"/>
        </w:rPr>
        <w:t>.  </w:t>
      </w:r>
      <w:r w:rsidR="005E12EE" w:rsidRPr="00F76FFE">
        <w:rPr>
          <w:lang w:val="pl-PL"/>
        </w:rPr>
        <w:t xml:space="preserve">W dniu 20 czerwca 2012 r. Sąd Rejonowy dla Warszawy-Śródmieścia </w:t>
      </w:r>
      <w:r w:rsidR="00F2702C" w:rsidRPr="00F76FFE">
        <w:rPr>
          <w:lang w:val="pl-PL"/>
        </w:rPr>
        <w:t>zastosował wobec skarżącego tymczasowe</w:t>
      </w:r>
      <w:r w:rsidR="005E12EE" w:rsidRPr="00F76FFE">
        <w:rPr>
          <w:lang w:val="pl-PL"/>
        </w:rPr>
        <w:t xml:space="preserve"> aresz</w:t>
      </w:r>
      <w:r w:rsidR="00F2702C" w:rsidRPr="00F76FFE">
        <w:rPr>
          <w:lang w:val="pl-PL"/>
        </w:rPr>
        <w:t>towanie</w:t>
      </w:r>
      <w:r w:rsidR="005E12EE" w:rsidRPr="00F76FFE">
        <w:rPr>
          <w:lang w:val="pl-PL"/>
        </w:rPr>
        <w:t>, powołując się na uzasadnione podejrzenie, że popełnił on zarzucane mu przestępstwa.</w:t>
      </w:r>
      <w:r w:rsidR="002A2C70" w:rsidRPr="00F76FFE">
        <w:rPr>
          <w:lang w:val="pl-PL"/>
        </w:rPr>
        <w:t xml:space="preserve"> </w:t>
      </w:r>
      <w:r w:rsidR="005E12EE" w:rsidRPr="00F76FFE">
        <w:rPr>
          <w:lang w:val="pl-PL"/>
        </w:rPr>
        <w:t xml:space="preserve">Sąd powołał się także na </w:t>
      </w:r>
      <w:r w:rsidR="00F2702C" w:rsidRPr="00F76FFE">
        <w:rPr>
          <w:lang w:val="pl-PL"/>
        </w:rPr>
        <w:t xml:space="preserve">grożącą </w:t>
      </w:r>
      <w:proofErr w:type="spellStart"/>
      <w:r w:rsidR="00F2702C" w:rsidRPr="00F76FFE">
        <w:rPr>
          <w:lang w:val="pl-PL"/>
        </w:rPr>
        <w:t>podejerzanemu</w:t>
      </w:r>
      <w:proofErr w:type="spellEnd"/>
      <w:r w:rsidR="00F2702C" w:rsidRPr="00F76FFE">
        <w:rPr>
          <w:lang w:val="pl-PL"/>
        </w:rPr>
        <w:t xml:space="preserve"> surową karę </w:t>
      </w:r>
      <w:r w:rsidR="005E12EE" w:rsidRPr="00F76FFE">
        <w:rPr>
          <w:lang w:val="pl-PL"/>
        </w:rPr>
        <w:t xml:space="preserve"> oraz konieczność zabezpieczenia prawidłowego toku postępowania. Uznał także, że ryzyko, iż skarżący mógłby utrudniać postępowanie wynikało z powagi </w:t>
      </w:r>
      <w:r w:rsidR="00707C79" w:rsidRPr="00F76FFE">
        <w:rPr>
          <w:lang w:val="pl-PL"/>
        </w:rPr>
        <w:t>postawionych zarzutów</w:t>
      </w:r>
      <w:r w:rsidR="005E12EE" w:rsidRPr="00F76FFE">
        <w:rPr>
          <w:lang w:val="pl-PL"/>
        </w:rPr>
        <w:t>.</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33</w:t>
      </w:r>
      <w:r w:rsidRPr="00F76FFE">
        <w:rPr>
          <w:noProof/>
        </w:rPr>
        <w:fldChar w:fldCharType="end"/>
      </w:r>
      <w:r w:rsidR="002A2C70" w:rsidRPr="00F76FFE">
        <w:rPr>
          <w:lang w:val="pl-PL"/>
        </w:rPr>
        <w:t>.  </w:t>
      </w:r>
      <w:r w:rsidR="005E12EE" w:rsidRPr="00F76FFE">
        <w:rPr>
          <w:lang w:val="pl-PL"/>
        </w:rPr>
        <w:t xml:space="preserve">W dniu 17 czerwca 2012 r. Sąd Okręgowy w Warszawie </w:t>
      </w:r>
      <w:r w:rsidR="00707C79" w:rsidRPr="00F76FFE">
        <w:rPr>
          <w:lang w:val="pl-PL"/>
        </w:rPr>
        <w:t xml:space="preserve">nie uwzględnił zażalenia </w:t>
      </w:r>
      <w:r w:rsidR="0070741A" w:rsidRPr="00F76FFE">
        <w:rPr>
          <w:lang w:val="pl-PL"/>
        </w:rPr>
        <w:t>skarżącego na to postanowienie</w:t>
      </w:r>
      <w:r w:rsidR="005E12EE" w:rsidRPr="00F76FFE">
        <w:rPr>
          <w:lang w:val="pl-PL"/>
        </w:rPr>
        <w:t>.</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34</w:t>
      </w:r>
      <w:r w:rsidRPr="00F76FFE">
        <w:rPr>
          <w:noProof/>
        </w:rPr>
        <w:fldChar w:fldCharType="end"/>
      </w:r>
      <w:r w:rsidR="002A2C70" w:rsidRPr="00F76FFE">
        <w:rPr>
          <w:lang w:val="pl-PL"/>
        </w:rPr>
        <w:t>.  </w:t>
      </w:r>
      <w:r w:rsidR="005E12EE" w:rsidRPr="00F76FFE">
        <w:rPr>
          <w:lang w:val="pl-PL"/>
        </w:rPr>
        <w:t>Tymczasow</w:t>
      </w:r>
      <w:r w:rsidR="0070741A" w:rsidRPr="00F76FFE">
        <w:rPr>
          <w:lang w:val="pl-PL"/>
        </w:rPr>
        <w:t>e</w:t>
      </w:r>
      <w:r w:rsidR="005E12EE" w:rsidRPr="00F76FFE">
        <w:rPr>
          <w:lang w:val="pl-PL"/>
        </w:rPr>
        <w:t xml:space="preserve"> areszt</w:t>
      </w:r>
      <w:r w:rsidR="0070741A" w:rsidRPr="00F76FFE">
        <w:rPr>
          <w:lang w:val="pl-PL"/>
        </w:rPr>
        <w:t xml:space="preserve">owanie wobec </w:t>
      </w:r>
      <w:r w:rsidR="005E12EE" w:rsidRPr="00F76FFE">
        <w:rPr>
          <w:lang w:val="pl-PL"/>
        </w:rPr>
        <w:t>s</w:t>
      </w:r>
      <w:r w:rsidR="00124CEF" w:rsidRPr="00F76FFE">
        <w:rPr>
          <w:lang w:val="pl-PL"/>
        </w:rPr>
        <w:t>karżącego</w:t>
      </w:r>
      <w:r w:rsidR="005E12EE" w:rsidRPr="00F76FFE">
        <w:rPr>
          <w:lang w:val="pl-PL"/>
        </w:rPr>
        <w:t xml:space="preserve"> był</w:t>
      </w:r>
      <w:r w:rsidR="0070741A" w:rsidRPr="00F76FFE">
        <w:rPr>
          <w:lang w:val="pl-PL"/>
        </w:rPr>
        <w:t>o</w:t>
      </w:r>
      <w:r w:rsidR="005E12EE" w:rsidRPr="00F76FFE">
        <w:rPr>
          <w:lang w:val="pl-PL"/>
        </w:rPr>
        <w:t xml:space="preserve"> następnie przedłużan</w:t>
      </w:r>
      <w:r w:rsidR="0070741A" w:rsidRPr="00F76FFE">
        <w:rPr>
          <w:lang w:val="pl-PL"/>
        </w:rPr>
        <w:t>e</w:t>
      </w:r>
      <w:r w:rsidR="005E12EE" w:rsidRPr="00F76FFE">
        <w:rPr>
          <w:lang w:val="pl-PL"/>
        </w:rPr>
        <w:t xml:space="preserve"> </w:t>
      </w:r>
      <w:r w:rsidR="0070741A" w:rsidRPr="00F76FFE">
        <w:rPr>
          <w:lang w:val="pl-PL"/>
        </w:rPr>
        <w:t>postanowieniami</w:t>
      </w:r>
      <w:r w:rsidR="005E12EE" w:rsidRPr="00F76FFE">
        <w:rPr>
          <w:lang w:val="pl-PL"/>
        </w:rPr>
        <w:t xml:space="preserve"> Sądu Okręgowego w Warszawie z dnia 11 września i 11 grudnia 2012 r. oraz z dnia 21 lutego 2013 r., a także Sądu Apelacyjnego w Warszawie z dnia 18 czerwca i 22 sierpnia 2013 r. Sądy niezmiennie uzasadniały swoje decyzje istnieniem uzasadnionego podejrzenia, że skarżący popełnił zarzucane mu przestępstwa. Powoływały się także na prawdopodobieństwo </w:t>
      </w:r>
      <w:r w:rsidR="0010791E" w:rsidRPr="00F76FFE">
        <w:rPr>
          <w:lang w:val="pl-PL"/>
        </w:rPr>
        <w:t xml:space="preserve">wymierzenia podejrzanemu </w:t>
      </w:r>
      <w:r w:rsidR="005E12EE" w:rsidRPr="00F76FFE">
        <w:rPr>
          <w:lang w:val="pl-PL"/>
        </w:rPr>
        <w:t xml:space="preserve">surowej kary </w:t>
      </w:r>
      <w:r w:rsidR="005E12EE" w:rsidRPr="00F76FFE">
        <w:rPr>
          <w:lang w:val="pl-PL"/>
        </w:rPr>
        <w:lastRenderedPageBreak/>
        <w:t>pozbawienia wolności. Podkreślały konieczność zabezpieczenia procesu gromadzenia dowodów i skomplikowany charakter sprawy. Twierdziły również, że ryzyko, iż skarżący mógłby utrudniać postępowanie wynikało z faktu, że został on oskarżony w związku z przestępstwami popełnionymi w ramach zorganizowanej grupy przestępczej o charakterze zbrojnym.</w:t>
      </w:r>
    </w:p>
    <w:p w:rsidR="0010791E" w:rsidRPr="00F76FFE" w:rsidRDefault="0010791E" w:rsidP="00C2299F">
      <w:pPr>
        <w:pStyle w:val="ECHRPara"/>
        <w:rPr>
          <w:lang w:val="pl-PL"/>
        </w:rPr>
      </w:pPr>
    </w:p>
    <w:p w:rsidR="0010791E" w:rsidRPr="00F76FFE" w:rsidRDefault="0010791E" w:rsidP="00C2299F">
      <w:pPr>
        <w:pStyle w:val="ECHRPara"/>
        <w:rPr>
          <w:lang w:val="pl-PL"/>
        </w:rPr>
      </w:pPr>
    </w:p>
    <w:p w:rsidR="0010791E" w:rsidRPr="00F76FFE" w:rsidRDefault="0010791E" w:rsidP="00C2299F">
      <w:pPr>
        <w:pStyle w:val="ECHRPara"/>
        <w:rPr>
          <w:lang w:val="pl-PL"/>
        </w:rPr>
      </w:pPr>
    </w:p>
    <w:p w:rsidR="0010791E" w:rsidRPr="00F76FFE" w:rsidRDefault="0010791E" w:rsidP="00C2299F">
      <w:pPr>
        <w:pStyle w:val="ECHRPara"/>
        <w:rPr>
          <w:lang w:val="pl-PL"/>
        </w:rPr>
      </w:pP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35</w:t>
      </w:r>
      <w:r w:rsidRPr="00F76FFE">
        <w:rPr>
          <w:noProof/>
        </w:rPr>
        <w:fldChar w:fldCharType="end"/>
      </w:r>
      <w:r w:rsidR="002A2C70" w:rsidRPr="00F76FFE">
        <w:rPr>
          <w:lang w:val="pl-PL"/>
        </w:rPr>
        <w:t>.  </w:t>
      </w:r>
      <w:r w:rsidR="005E12EE" w:rsidRPr="00F76FFE">
        <w:rPr>
          <w:lang w:val="pl-PL"/>
        </w:rPr>
        <w:t>Skarżący odwołał się od wszystkich powyższych decyzji, jednak bezskutecznie.</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36</w:t>
      </w:r>
      <w:r w:rsidRPr="00F76FFE">
        <w:rPr>
          <w:noProof/>
        </w:rPr>
        <w:fldChar w:fldCharType="end"/>
      </w:r>
      <w:r w:rsidR="002A2C70" w:rsidRPr="00F76FFE">
        <w:rPr>
          <w:lang w:val="pl-PL"/>
        </w:rPr>
        <w:t>.  </w:t>
      </w:r>
      <w:r w:rsidR="005E12EE" w:rsidRPr="00F76FFE">
        <w:rPr>
          <w:lang w:val="pl-PL"/>
        </w:rPr>
        <w:t>W dniu 28 czerwca 2013 r. dochodzenie dotyczące zarzutu uczestnictwa w zorganizowanej grupie przestępczej zostało przerwane, ponieważ dotyczyło zasadniczo tej samej materii, co pierwsze postępowanie karne toczące się w tym czasie przeciwko skarżącemu przed Sądem Okręgowym w Warszawie (</w:t>
      </w:r>
      <w:r w:rsidR="00124CEF" w:rsidRPr="00F76FFE">
        <w:rPr>
          <w:lang w:val="pl-PL"/>
        </w:rPr>
        <w:t>zob.</w:t>
      </w:r>
      <w:r w:rsidR="005E12EE" w:rsidRPr="00F76FFE">
        <w:rPr>
          <w:lang w:val="pl-PL"/>
        </w:rPr>
        <w:t xml:space="preserve"> wyżej).</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37</w:t>
      </w:r>
      <w:r w:rsidRPr="00F76FFE">
        <w:rPr>
          <w:noProof/>
        </w:rPr>
        <w:fldChar w:fldCharType="end"/>
      </w:r>
      <w:r w:rsidR="002A2C70" w:rsidRPr="00F76FFE">
        <w:rPr>
          <w:lang w:val="pl-PL"/>
        </w:rPr>
        <w:t>.  </w:t>
      </w:r>
      <w:r w:rsidR="005E12EE" w:rsidRPr="00F76FFE">
        <w:rPr>
          <w:lang w:val="pl-PL"/>
        </w:rPr>
        <w:t>W bliżej nieokreślonym dniu w 2013 r. zarzuty przeciwko skarżącemu i niektór</w:t>
      </w:r>
      <w:r w:rsidR="00124CEF" w:rsidRPr="00F76FFE">
        <w:rPr>
          <w:lang w:val="pl-PL"/>
        </w:rPr>
        <w:t>ym</w:t>
      </w:r>
      <w:r w:rsidR="005E12EE" w:rsidRPr="00F76FFE">
        <w:rPr>
          <w:lang w:val="pl-PL"/>
        </w:rPr>
        <w:t xml:space="preserve"> z pozostałych oskarżonych zostały przeniesione do rozpoznania w osobnym postępowaniu.</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38</w:t>
      </w:r>
      <w:r w:rsidRPr="00F76FFE">
        <w:rPr>
          <w:noProof/>
        </w:rPr>
        <w:fldChar w:fldCharType="end"/>
      </w:r>
      <w:r w:rsidR="002A2C70" w:rsidRPr="00F76FFE">
        <w:rPr>
          <w:lang w:val="pl-PL"/>
        </w:rPr>
        <w:t>.  </w:t>
      </w:r>
      <w:r w:rsidR="005E12EE" w:rsidRPr="00F76FFE">
        <w:rPr>
          <w:lang w:val="pl-PL"/>
        </w:rPr>
        <w:t>W dniu 5 września 2013 r. w Sądzie Okręgowym w Warszawie złożony został akt oskarżenia zawierający 187 stron. Skarżący został oskarżony w związku z kilkoma przypadkami handlu narkotykami w ramach zorganizowanej grupy przestępczej. Akt oskarżenia dotyczył łącznie dwudziestu sześciu oskarżonych, którym zarzucono popełnienie 168 przestępstw. Prokuratura zwróciła się do sądu</w:t>
      </w:r>
      <w:r w:rsidR="00124CEF" w:rsidRPr="00F76FFE">
        <w:rPr>
          <w:lang w:val="pl-PL"/>
        </w:rPr>
        <w:t xml:space="preserve"> pierwszej instancji</w:t>
      </w:r>
      <w:r w:rsidR="005E12EE" w:rsidRPr="00F76FFE">
        <w:rPr>
          <w:lang w:val="pl-PL"/>
        </w:rPr>
        <w:t xml:space="preserve"> o przesłuchanie pięćdziesięciu ośmiu świadków.</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39</w:t>
      </w:r>
      <w:r w:rsidRPr="00F76FFE">
        <w:rPr>
          <w:noProof/>
        </w:rPr>
        <w:fldChar w:fldCharType="end"/>
      </w:r>
      <w:r w:rsidR="002A2C70" w:rsidRPr="00F76FFE">
        <w:rPr>
          <w:lang w:val="pl-PL"/>
        </w:rPr>
        <w:t>.  </w:t>
      </w:r>
      <w:r w:rsidR="005E12EE" w:rsidRPr="00F76FFE">
        <w:rPr>
          <w:lang w:val="pl-PL"/>
        </w:rPr>
        <w:t>Tymczasowy areszt dla skarżącego był przedłużany przez Sąd Okręgowy w Warszawie w dniach 17 września i 17 grudnia 2013 r. oraz w dniu 20 stycznia 2014 r. Sąd za każdym razem powoływał się na uzasadnione podejrzenie wobec skarżącego, surowość przewidywanej kary i ryzyko, że skarżący mógłby utrudniać postępowanie ze względu na zorganizowany charakter przedmiotowych przestępstw. Zauważył również, że pomimo złożoności sprawy sąd pierwszej instancji prowadził postępowanie w sposób terminowy i sumienny.</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40</w:t>
      </w:r>
      <w:r w:rsidRPr="00F76FFE">
        <w:rPr>
          <w:noProof/>
        </w:rPr>
        <w:fldChar w:fldCharType="end"/>
      </w:r>
      <w:r w:rsidR="002A2C70" w:rsidRPr="00F76FFE">
        <w:rPr>
          <w:lang w:val="pl-PL"/>
        </w:rPr>
        <w:t>.  </w:t>
      </w:r>
      <w:r w:rsidR="005E12EE" w:rsidRPr="00F76FFE">
        <w:rPr>
          <w:lang w:val="pl-PL"/>
        </w:rPr>
        <w:t>Odwołania skarżącego od powyższych decyzji, a tym samym jego wnioski o zwolnienie z aresztu zostały odrzucone.</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41</w:t>
      </w:r>
      <w:r w:rsidRPr="00F76FFE">
        <w:rPr>
          <w:noProof/>
        </w:rPr>
        <w:fldChar w:fldCharType="end"/>
      </w:r>
      <w:r w:rsidR="002A2C70" w:rsidRPr="00F76FFE">
        <w:rPr>
          <w:lang w:val="pl-PL"/>
        </w:rPr>
        <w:t>.  </w:t>
      </w:r>
      <w:r w:rsidR="005E12EE" w:rsidRPr="00F76FFE">
        <w:rPr>
          <w:lang w:val="pl-PL"/>
        </w:rPr>
        <w:t>W dniu 25 czerwca 2014 r. Sąd Okręgowy w Warszawie postanowił o uchyleniu tymczasowego aresztu dla skarżącego pod warunkiem wpłaty kaucji</w:t>
      </w:r>
      <w:r w:rsidR="00124CEF" w:rsidRPr="00F76FFE">
        <w:rPr>
          <w:lang w:val="pl-PL"/>
        </w:rPr>
        <w:t xml:space="preserve"> w wysokości 80 </w:t>
      </w:r>
      <w:r w:rsidR="005E12EE" w:rsidRPr="00F76FFE">
        <w:rPr>
          <w:lang w:val="pl-PL"/>
        </w:rPr>
        <w:t>000 złotych.</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42</w:t>
      </w:r>
      <w:r w:rsidRPr="00F76FFE">
        <w:rPr>
          <w:noProof/>
        </w:rPr>
        <w:fldChar w:fldCharType="end"/>
      </w:r>
      <w:r w:rsidR="002A2C70" w:rsidRPr="00F76FFE">
        <w:rPr>
          <w:lang w:val="pl-PL"/>
        </w:rPr>
        <w:t>.  </w:t>
      </w:r>
      <w:r w:rsidR="005E12EE" w:rsidRPr="00F76FFE">
        <w:rPr>
          <w:lang w:val="pl-PL"/>
        </w:rPr>
        <w:t xml:space="preserve">Kaucja została wpłacona i skarżący został zwolniony z aresztu w dniu 2 lipca 2014 r. </w:t>
      </w:r>
      <w:r w:rsidR="00124CEF" w:rsidRPr="00F76FFE">
        <w:rPr>
          <w:lang w:val="pl-PL"/>
        </w:rPr>
        <w:t>S</w:t>
      </w:r>
      <w:r w:rsidR="005E12EE" w:rsidRPr="00F76FFE">
        <w:rPr>
          <w:lang w:val="pl-PL"/>
        </w:rPr>
        <w:t>ąd objął go dozorem policyjnym i nałożył na niego zakaz opuszczania kraju.</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43</w:t>
      </w:r>
      <w:r w:rsidRPr="00F76FFE">
        <w:rPr>
          <w:noProof/>
        </w:rPr>
        <w:fldChar w:fldCharType="end"/>
      </w:r>
      <w:r w:rsidR="002A2C70" w:rsidRPr="00F76FFE">
        <w:rPr>
          <w:lang w:val="pl-PL"/>
        </w:rPr>
        <w:t>.  </w:t>
      </w:r>
      <w:r w:rsidR="005E12EE" w:rsidRPr="00F76FFE">
        <w:rPr>
          <w:lang w:val="pl-PL"/>
        </w:rPr>
        <w:t>Postępowanie toczy się nadal przed Sądem Okręgowym w Warszawie.</w:t>
      </w:r>
    </w:p>
    <w:p w:rsidR="002A2C70" w:rsidRPr="00F76FFE" w:rsidRDefault="005E12EE" w:rsidP="005E12EE">
      <w:pPr>
        <w:pStyle w:val="ECHRHeading1"/>
        <w:rPr>
          <w:lang w:val="pl-PL"/>
        </w:rPr>
      </w:pPr>
      <w:r w:rsidRPr="00F76FFE">
        <w:rPr>
          <w:lang w:val="pl-PL"/>
        </w:rPr>
        <w:lastRenderedPageBreak/>
        <w:t>II.</w:t>
      </w:r>
      <w:r w:rsidR="002A2C70" w:rsidRPr="00F76FFE">
        <w:rPr>
          <w:lang w:val="pl-PL"/>
        </w:rPr>
        <w:t>  </w:t>
      </w:r>
      <w:r w:rsidR="00BC09F8" w:rsidRPr="00F76FFE">
        <w:rPr>
          <w:lang w:val="pl-PL"/>
        </w:rPr>
        <w:t>STOSOWNE</w:t>
      </w:r>
      <w:r w:rsidRPr="00F76FFE">
        <w:rPr>
          <w:lang w:val="pl-PL"/>
        </w:rPr>
        <w:t xml:space="preserve"> PRAWO KRAJOWE I PRAKTYKA</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44</w:t>
      </w:r>
      <w:r w:rsidRPr="00F76FFE">
        <w:rPr>
          <w:lang w:val="en-GB"/>
        </w:rPr>
        <w:fldChar w:fldCharType="end"/>
      </w:r>
      <w:r w:rsidR="002A2C70" w:rsidRPr="00F76FFE">
        <w:rPr>
          <w:lang w:val="pl-PL"/>
        </w:rPr>
        <w:t>.  </w:t>
      </w:r>
      <w:r w:rsidR="00BC09F8" w:rsidRPr="00F76FFE">
        <w:rPr>
          <w:lang w:val="pl-PL"/>
        </w:rPr>
        <w:t>Stosowne</w:t>
      </w:r>
      <w:r w:rsidR="005E12EE" w:rsidRPr="00F76FFE">
        <w:rPr>
          <w:lang w:val="pl-PL"/>
        </w:rPr>
        <w:t xml:space="preserve"> prawo krajowe i praktyka dotycząca stosowania tymczasowego aresztowania, podstawy jego przedłużenia, uchylenie tymczasowego aresztowania oraz zasady odnoszące się do innych, środków zapobiegawczych są zawarte w wyrokach Trybunału w sprawach </w:t>
      </w:r>
      <w:r w:rsidR="005E12EE" w:rsidRPr="00F76FFE">
        <w:rPr>
          <w:i/>
          <w:lang w:val="pl-PL"/>
        </w:rPr>
        <w:t xml:space="preserve">Gołek </w:t>
      </w:r>
      <w:r w:rsidR="00124CEF" w:rsidRPr="00F76FFE">
        <w:rPr>
          <w:i/>
          <w:lang w:val="pl-PL"/>
        </w:rPr>
        <w:t>przeciwko</w:t>
      </w:r>
      <w:r w:rsidR="005E12EE" w:rsidRPr="00F76FFE">
        <w:rPr>
          <w:i/>
          <w:lang w:val="pl-PL"/>
        </w:rPr>
        <w:t xml:space="preserve"> Polsce, </w:t>
      </w:r>
      <w:r w:rsidR="00BC09F8" w:rsidRPr="00F76FFE">
        <w:rPr>
          <w:lang w:val="pl-PL"/>
        </w:rPr>
        <w:t>skarga nr</w:t>
      </w:r>
      <w:r w:rsidR="005E12EE" w:rsidRPr="00F76FFE">
        <w:rPr>
          <w:lang w:val="pl-PL"/>
        </w:rPr>
        <w:t xml:space="preserve"> 31330/02, §§ 27 – 33, 25 kwietnia 2006 r. oraz</w:t>
      </w:r>
      <w:r w:rsidR="005E12EE" w:rsidRPr="00F76FFE">
        <w:rPr>
          <w:i/>
          <w:lang w:val="pl-PL"/>
        </w:rPr>
        <w:t xml:space="preserve"> </w:t>
      </w:r>
      <w:proofErr w:type="spellStart"/>
      <w:r w:rsidR="005E12EE" w:rsidRPr="00F76FFE">
        <w:rPr>
          <w:i/>
          <w:lang w:val="pl-PL"/>
        </w:rPr>
        <w:t>Celejewski</w:t>
      </w:r>
      <w:proofErr w:type="spellEnd"/>
      <w:r w:rsidR="005E12EE" w:rsidRPr="00F76FFE">
        <w:rPr>
          <w:i/>
          <w:lang w:val="pl-PL"/>
        </w:rPr>
        <w:t xml:space="preserve"> </w:t>
      </w:r>
      <w:r w:rsidR="00124CEF" w:rsidRPr="00F76FFE">
        <w:rPr>
          <w:i/>
          <w:lang w:val="pl-PL"/>
        </w:rPr>
        <w:t>przeciwko</w:t>
      </w:r>
      <w:r w:rsidR="005E12EE" w:rsidRPr="00F76FFE">
        <w:rPr>
          <w:i/>
          <w:lang w:val="pl-PL"/>
        </w:rPr>
        <w:t xml:space="preserve"> Polsce, </w:t>
      </w:r>
      <w:r w:rsidR="00BC09F8" w:rsidRPr="00F76FFE">
        <w:rPr>
          <w:lang w:val="pl-PL"/>
        </w:rPr>
        <w:t>skarga nr</w:t>
      </w:r>
      <w:r w:rsidR="005E12EE" w:rsidRPr="00F76FFE">
        <w:rPr>
          <w:lang w:val="pl-PL"/>
        </w:rPr>
        <w:t xml:space="preserve"> 17584/04, §§ 22 – 23, z 4 sierpnia 2006 r.</w:t>
      </w:r>
    </w:p>
    <w:p w:rsidR="002A2C70" w:rsidRPr="00F76FFE" w:rsidRDefault="005E12EE" w:rsidP="005E12EE">
      <w:pPr>
        <w:pStyle w:val="ECHRTitle1"/>
        <w:rPr>
          <w:lang w:val="pl-PL"/>
        </w:rPr>
      </w:pPr>
      <w:r w:rsidRPr="00F76FFE">
        <w:rPr>
          <w:lang w:val="pl-PL"/>
        </w:rPr>
        <w:t>PRAWO</w:t>
      </w:r>
    </w:p>
    <w:p w:rsidR="002A2C70" w:rsidRPr="00F76FFE" w:rsidRDefault="005E12EE" w:rsidP="005E12EE">
      <w:pPr>
        <w:pStyle w:val="ECHRHeading1"/>
        <w:rPr>
          <w:lang w:val="pl-PL"/>
        </w:rPr>
      </w:pPr>
      <w:r w:rsidRPr="00F76FFE">
        <w:rPr>
          <w:lang w:val="pl-PL"/>
        </w:rPr>
        <w:t xml:space="preserve">I.  </w:t>
      </w:r>
      <w:r w:rsidR="00124CEF" w:rsidRPr="00F76FFE">
        <w:rPr>
          <w:lang w:val="pl-PL"/>
        </w:rPr>
        <w:t>DOMNIEMANE NARUSZENIE ART.</w:t>
      </w:r>
      <w:r w:rsidRPr="00F76FFE">
        <w:rPr>
          <w:lang w:val="pl-PL"/>
        </w:rPr>
        <w:t xml:space="preserve"> 5 § 3 KONWENCJI</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45</w:t>
      </w:r>
      <w:r w:rsidRPr="00F76FFE">
        <w:rPr>
          <w:lang w:val="en-GB"/>
        </w:rPr>
        <w:fldChar w:fldCharType="end"/>
      </w:r>
      <w:r w:rsidR="002A2C70" w:rsidRPr="00F76FFE">
        <w:rPr>
          <w:lang w:val="pl-PL"/>
        </w:rPr>
        <w:t>.  </w:t>
      </w:r>
      <w:r w:rsidR="00124CEF" w:rsidRPr="00F76FFE">
        <w:rPr>
          <w:lang w:val="pl-PL"/>
        </w:rPr>
        <w:t>Skarżący skarżył się, że czas</w:t>
      </w:r>
      <w:r w:rsidR="005E12EE" w:rsidRPr="00F76FFE">
        <w:rPr>
          <w:lang w:val="pl-PL"/>
        </w:rPr>
        <w:t xml:space="preserve"> jeg</w:t>
      </w:r>
      <w:r w:rsidR="00124CEF" w:rsidRPr="00F76FFE">
        <w:rPr>
          <w:lang w:val="pl-PL"/>
        </w:rPr>
        <w:t>o tymczasowego aresztowania był</w:t>
      </w:r>
      <w:r w:rsidR="005E12EE" w:rsidRPr="00F76FFE">
        <w:rPr>
          <w:lang w:val="pl-PL"/>
        </w:rPr>
        <w:t xml:space="preserve"> </w:t>
      </w:r>
      <w:r w:rsidR="00124CEF" w:rsidRPr="00F76FFE">
        <w:rPr>
          <w:lang w:val="pl-PL"/>
        </w:rPr>
        <w:t>nadmierny</w:t>
      </w:r>
      <w:r w:rsidR="005E12EE" w:rsidRPr="00F76FFE">
        <w:rPr>
          <w:lang w:val="pl-PL"/>
        </w:rPr>
        <w:t xml:space="preserve">. </w:t>
      </w:r>
      <w:r w:rsidR="00124CEF" w:rsidRPr="00F76FFE">
        <w:rPr>
          <w:lang w:val="pl-PL"/>
        </w:rPr>
        <w:t>Skarżący opierał się na art.</w:t>
      </w:r>
      <w:r w:rsidR="005E12EE" w:rsidRPr="00F76FFE">
        <w:rPr>
          <w:lang w:val="pl-PL"/>
        </w:rPr>
        <w:t xml:space="preserve"> 5 § 3 Konwencji, który stanowi:</w:t>
      </w:r>
    </w:p>
    <w:p w:rsidR="002A2C70" w:rsidRPr="00F76FFE" w:rsidRDefault="005E12EE" w:rsidP="005E12EE">
      <w:pPr>
        <w:pStyle w:val="ECHRParaQuote"/>
        <w:rPr>
          <w:lang w:val="pl-PL"/>
        </w:rPr>
      </w:pPr>
      <w:r w:rsidRPr="00F76FFE">
        <w:rPr>
          <w:szCs w:val="20"/>
          <w:lang w:val="pl-PL"/>
        </w:rPr>
        <w:t>„Każdy zatrzymany lub aresztowany zgodnie z postanowieniami ust. 1 lit. c) niniejszego artykułu … ma prawo być sądzony w rozsądnym terminie albo zwolniony na czas postępowania. Zwolnienie może zostać uzależnione od udzielenia gwarancji zapewniających stawienie się na rozprawę."</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46</w:t>
      </w:r>
      <w:r w:rsidRPr="00F76FFE">
        <w:rPr>
          <w:lang w:val="en-GB"/>
        </w:rPr>
        <w:fldChar w:fldCharType="end"/>
      </w:r>
      <w:r w:rsidR="002A2C70" w:rsidRPr="00F76FFE">
        <w:rPr>
          <w:lang w:val="pl-PL"/>
        </w:rPr>
        <w:t>.  </w:t>
      </w:r>
      <w:r w:rsidR="005E12EE" w:rsidRPr="00F76FFE">
        <w:rPr>
          <w:lang w:val="pl-PL"/>
        </w:rPr>
        <w:t>Rząd zakwestionował ten argument.</w:t>
      </w:r>
    </w:p>
    <w:p w:rsidR="002A2C70" w:rsidRPr="00F76FFE" w:rsidRDefault="005E12EE" w:rsidP="005E12EE">
      <w:pPr>
        <w:pStyle w:val="ECHRHeading2"/>
        <w:outlineLvl w:val="0"/>
        <w:rPr>
          <w:lang w:val="pl-PL"/>
        </w:rPr>
      </w:pPr>
      <w:r w:rsidRPr="00F76FFE">
        <w:rPr>
          <w:lang w:val="pl-PL"/>
        </w:rPr>
        <w:t>A.  Dopuszczalność</w:t>
      </w:r>
    </w:p>
    <w:p w:rsidR="002A2C70" w:rsidRPr="00F76FFE" w:rsidRDefault="00D34787" w:rsidP="00C2299F">
      <w:pPr>
        <w:pStyle w:val="ECHRPara"/>
        <w:keepNext/>
        <w:keepLines/>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47</w:t>
      </w:r>
      <w:r w:rsidRPr="00F76FFE">
        <w:rPr>
          <w:lang w:val="en-GB"/>
        </w:rPr>
        <w:fldChar w:fldCharType="end"/>
      </w:r>
      <w:r w:rsidR="002A2C70" w:rsidRPr="00F76FFE">
        <w:rPr>
          <w:lang w:val="pl-PL"/>
        </w:rPr>
        <w:t>.  </w:t>
      </w:r>
      <w:r w:rsidR="005E12EE" w:rsidRPr="00F76FFE">
        <w:rPr>
          <w:lang w:val="pl-PL"/>
        </w:rPr>
        <w:t>Trybunał zauważa, że skarga nie jest w sposób oczywisty nieuzasadniona w rozumieniu art. 35 § 3 Konwencji. Zauważa również, że nie jest nieuzasadniona w oparciu o jakiekolwiek inne podstawy. Wobec powyższego musi zostać uznana za dopuszczalną.</w:t>
      </w:r>
    </w:p>
    <w:p w:rsidR="002A2C70" w:rsidRPr="00F76FFE" w:rsidRDefault="005E12EE" w:rsidP="005E12EE">
      <w:pPr>
        <w:pStyle w:val="ECHRHeading2"/>
        <w:outlineLvl w:val="0"/>
        <w:rPr>
          <w:lang w:val="pl-PL"/>
        </w:rPr>
      </w:pPr>
      <w:r w:rsidRPr="00F76FFE">
        <w:rPr>
          <w:lang w:val="pl-PL"/>
        </w:rPr>
        <w:t>B.  Przedmiot sprawy</w:t>
      </w:r>
    </w:p>
    <w:p w:rsidR="002A2C70" w:rsidRPr="00F76FFE" w:rsidRDefault="00BC09F8" w:rsidP="005E12EE">
      <w:pPr>
        <w:pStyle w:val="ECHRHeading3"/>
        <w:outlineLvl w:val="0"/>
        <w:rPr>
          <w:lang w:val="pl-PL"/>
        </w:rPr>
      </w:pPr>
      <w:r w:rsidRPr="00F76FFE">
        <w:rPr>
          <w:lang w:val="pl-PL"/>
        </w:rPr>
        <w:t xml:space="preserve">1. </w:t>
      </w:r>
      <w:r w:rsidR="005E12EE" w:rsidRPr="00F76FFE">
        <w:rPr>
          <w:lang w:val="pl-PL"/>
        </w:rPr>
        <w:t xml:space="preserve"> Okres, który należy wziąć pod uwagę i zakres sprawy</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48</w:t>
      </w:r>
      <w:r w:rsidRPr="00F76FFE">
        <w:rPr>
          <w:lang w:val="en-GB"/>
        </w:rPr>
        <w:fldChar w:fldCharType="end"/>
      </w:r>
      <w:r w:rsidR="002A2C70" w:rsidRPr="00F76FFE">
        <w:rPr>
          <w:lang w:val="pl-PL"/>
        </w:rPr>
        <w:t>.  </w:t>
      </w:r>
      <w:r w:rsidR="005E12EE" w:rsidRPr="00F76FFE">
        <w:rPr>
          <w:lang w:val="pl-PL"/>
        </w:rPr>
        <w:t>Trybunał pragnie przede wszystkim zauważyć, że skarżący skarży się na nałożenie na niego tymczasowego aresztowania w dwóch postępowaniach karnych.</w:t>
      </w:r>
    </w:p>
    <w:p w:rsidR="002A2C70" w:rsidRPr="00F76FFE" w:rsidRDefault="005E12EE" w:rsidP="00C2299F">
      <w:pPr>
        <w:pStyle w:val="ECHRPara"/>
        <w:rPr>
          <w:lang w:val="pl-PL"/>
        </w:rPr>
      </w:pPr>
      <w:r w:rsidRPr="00F76FFE">
        <w:rPr>
          <w:lang w:val="pl-PL"/>
        </w:rPr>
        <w:t xml:space="preserve">W związku z pierwszym postępowaniem skarżący przebywał w areszcie od 8 kwietnia 2009 r., kiedy został aresztowany, do dnia 5 czerwca 2013 r., kiedy to jego areszt został uchylony. Jednak w dniu 31 marca 2011 r. został wydany wyrok pierwszej instancji skazujący skarżącego. Biorąc pod uwagę datę aresztowania skarżącego „po skazaniu przez właściwy sąd” w rozumieniu </w:t>
      </w:r>
      <w:proofErr w:type="spellStart"/>
      <w:r w:rsidR="00124CEF" w:rsidRPr="00F76FFE">
        <w:rPr>
          <w:lang w:val="pl-PL"/>
        </w:rPr>
        <w:t>art.</w:t>
      </w:r>
      <w:r w:rsidRPr="00F76FFE">
        <w:rPr>
          <w:lang w:val="pl-PL"/>
        </w:rPr>
        <w:t>u</w:t>
      </w:r>
      <w:proofErr w:type="spellEnd"/>
      <w:r w:rsidRPr="00F76FFE">
        <w:rPr>
          <w:lang w:val="pl-PL"/>
        </w:rPr>
        <w:t xml:space="preserve"> 5 § 1 lit. a), okres jego tymczasowego aresztowania nie </w:t>
      </w:r>
      <w:r w:rsidRPr="00F76FFE">
        <w:rPr>
          <w:lang w:val="pl-PL"/>
        </w:rPr>
        <w:lastRenderedPageBreak/>
        <w:t xml:space="preserve">wchodzi w zakres </w:t>
      </w:r>
      <w:proofErr w:type="spellStart"/>
      <w:r w:rsidR="00124CEF" w:rsidRPr="00F76FFE">
        <w:rPr>
          <w:lang w:val="pl-PL"/>
        </w:rPr>
        <w:t>art.</w:t>
      </w:r>
      <w:r w:rsidRPr="00F76FFE">
        <w:rPr>
          <w:lang w:val="pl-PL"/>
        </w:rPr>
        <w:t>u</w:t>
      </w:r>
      <w:proofErr w:type="spellEnd"/>
      <w:r w:rsidRPr="00F76FFE">
        <w:rPr>
          <w:lang w:val="pl-PL"/>
        </w:rPr>
        <w:t xml:space="preserve"> 5 § 3 (por.</w:t>
      </w:r>
      <w:r w:rsidR="00124CEF" w:rsidRPr="00F76FFE">
        <w:rPr>
          <w:lang w:val="pl-PL"/>
        </w:rPr>
        <w:t xml:space="preserve"> sprawa</w:t>
      </w:r>
      <w:r w:rsidRPr="00F76FFE">
        <w:rPr>
          <w:lang w:val="pl-PL"/>
        </w:rPr>
        <w:t xml:space="preserve"> </w:t>
      </w:r>
      <w:r w:rsidRPr="00F76FFE">
        <w:rPr>
          <w:i/>
          <w:lang w:val="pl-PL"/>
        </w:rPr>
        <w:t xml:space="preserve">Kudła </w:t>
      </w:r>
      <w:r w:rsidR="00124CEF" w:rsidRPr="00F76FFE">
        <w:rPr>
          <w:i/>
          <w:lang w:val="pl-PL"/>
        </w:rPr>
        <w:t>przeciwko</w:t>
      </w:r>
      <w:r w:rsidRPr="00F76FFE">
        <w:rPr>
          <w:i/>
          <w:lang w:val="pl-PL"/>
        </w:rPr>
        <w:t xml:space="preserve"> Polsce</w:t>
      </w:r>
      <w:r w:rsidRPr="00F76FFE">
        <w:rPr>
          <w:lang w:val="pl-PL"/>
        </w:rPr>
        <w:t xml:space="preserve"> [GC], </w:t>
      </w:r>
      <w:r w:rsidR="00BC09F8" w:rsidRPr="00F76FFE">
        <w:rPr>
          <w:lang w:val="pl-PL"/>
        </w:rPr>
        <w:t>skarga nr</w:t>
      </w:r>
      <w:r w:rsidRPr="00F76FFE">
        <w:rPr>
          <w:lang w:val="pl-PL"/>
        </w:rPr>
        <w:t xml:space="preserve"> 30210/96, § 104). Wyrok wydany przez sąd pierwszej instancji został następnie uchylony przez sąd apelacyjny w dniu 20 grudnia 2011 r. W związku z tym okresy, które należy wziąć pod uwagę na podstawie </w:t>
      </w:r>
      <w:r w:rsidR="00124CEF" w:rsidRPr="00F76FFE">
        <w:rPr>
          <w:lang w:val="pl-PL"/>
        </w:rPr>
        <w:t>art.</w:t>
      </w:r>
      <w:r w:rsidRPr="00F76FFE">
        <w:rPr>
          <w:lang w:val="pl-PL"/>
        </w:rPr>
        <w:t xml:space="preserve"> 5 § 3 trwały od 8 kwietnia 2009 r. do 31 marca 2011 r. oraz od 20 grudnia 2011 r. do 5 czerwca 2013 r., zatem łączny czas </w:t>
      </w:r>
      <w:r w:rsidR="00124CEF" w:rsidRPr="00F76FFE">
        <w:rPr>
          <w:lang w:val="pl-PL"/>
        </w:rPr>
        <w:t>przebywania w areszcie</w:t>
      </w:r>
      <w:r w:rsidRPr="00F76FFE">
        <w:rPr>
          <w:lang w:val="pl-PL"/>
        </w:rPr>
        <w:t xml:space="preserve"> to prawie trzy lat</w:t>
      </w:r>
      <w:r w:rsidR="00124CEF" w:rsidRPr="00F76FFE">
        <w:rPr>
          <w:lang w:val="pl-PL"/>
        </w:rPr>
        <w:t>a</w:t>
      </w:r>
      <w:r w:rsidRPr="00F76FFE">
        <w:rPr>
          <w:lang w:val="pl-PL"/>
        </w:rPr>
        <w:t xml:space="preserve"> i sześć miesięcy.</w:t>
      </w:r>
    </w:p>
    <w:p w:rsidR="002A2C70" w:rsidRPr="00F76FFE" w:rsidRDefault="005E12EE" w:rsidP="00C2299F">
      <w:pPr>
        <w:pStyle w:val="ECHRPara"/>
        <w:rPr>
          <w:lang w:val="pl-PL"/>
        </w:rPr>
      </w:pPr>
      <w:r w:rsidRPr="00F76FFE">
        <w:rPr>
          <w:lang w:val="pl-PL"/>
        </w:rPr>
        <w:t>W drugim postępowaniu areszt trwał od 20 czerwca 2012 r. do 2 lipca 2014 r., czyli wyniósł ponad dwa lata.</w:t>
      </w:r>
    </w:p>
    <w:p w:rsidR="002A2C70" w:rsidRPr="00F76FFE" w:rsidRDefault="00D34787" w:rsidP="00C2299F">
      <w:pPr>
        <w:pStyle w:val="ECHRPara"/>
        <w:rPr>
          <w:lang w:val="pl-PL"/>
        </w:rPr>
      </w:pPr>
      <w:r w:rsidRPr="00F76FFE">
        <w:fldChar w:fldCharType="begin"/>
      </w:r>
      <w:r w:rsidR="00C65415" w:rsidRPr="00F76FFE">
        <w:rPr>
          <w:lang w:val="pl-PL"/>
        </w:rPr>
        <w:instrText xml:space="preserve"> SEQ level0 \*arabic </w:instrText>
      </w:r>
      <w:r w:rsidRPr="00F76FFE">
        <w:fldChar w:fldCharType="separate"/>
      </w:r>
      <w:r w:rsidR="00C2299F" w:rsidRPr="00F76FFE">
        <w:rPr>
          <w:noProof/>
          <w:lang w:val="pl-PL"/>
        </w:rPr>
        <w:t>49</w:t>
      </w:r>
      <w:r w:rsidRPr="00F76FFE">
        <w:rPr>
          <w:noProof/>
        </w:rPr>
        <w:fldChar w:fldCharType="end"/>
      </w:r>
      <w:r w:rsidR="002A2C70" w:rsidRPr="00F76FFE">
        <w:rPr>
          <w:lang w:val="pl-PL"/>
        </w:rPr>
        <w:t>.  </w:t>
      </w:r>
      <w:r w:rsidR="005E12EE" w:rsidRPr="00F76FFE">
        <w:rPr>
          <w:lang w:val="pl-PL"/>
        </w:rPr>
        <w:t xml:space="preserve">Trybunał zauważa, że powyższe okresy pokrywają się. W poprzednich sprawach rozpatrywanych przez Trybunał skargi dotyczące takich nakładających się okresów </w:t>
      </w:r>
      <w:proofErr w:type="spellStart"/>
      <w:r w:rsidR="00124CEF" w:rsidRPr="00F76FFE">
        <w:rPr>
          <w:lang w:val="pl-PL"/>
        </w:rPr>
        <w:t>pobutu</w:t>
      </w:r>
      <w:proofErr w:type="spellEnd"/>
      <w:r w:rsidR="00124CEF" w:rsidRPr="00F76FFE">
        <w:rPr>
          <w:lang w:val="pl-PL"/>
        </w:rPr>
        <w:t xml:space="preserve"> w areszcie</w:t>
      </w:r>
      <w:r w:rsidR="005E12EE" w:rsidRPr="00F76FFE">
        <w:rPr>
          <w:lang w:val="pl-PL"/>
        </w:rPr>
        <w:t xml:space="preserve"> były rozpatrywane łącznie, oddzielnie rozpatrywano</w:t>
      </w:r>
      <w:r w:rsidR="00124CEF" w:rsidRPr="00F76FFE">
        <w:rPr>
          <w:lang w:val="pl-PL"/>
        </w:rPr>
        <w:t xml:space="preserve"> natomiast</w:t>
      </w:r>
      <w:r w:rsidR="005E12EE" w:rsidRPr="00F76FFE">
        <w:rPr>
          <w:lang w:val="pl-PL"/>
        </w:rPr>
        <w:t xml:space="preserve"> powody przedstawione przez władze krajowe w celu uzasadnienia</w:t>
      </w:r>
      <w:r w:rsidR="00124CEF" w:rsidRPr="00F76FFE">
        <w:rPr>
          <w:lang w:val="pl-PL"/>
        </w:rPr>
        <w:t xml:space="preserve"> aresztowania</w:t>
      </w:r>
      <w:r w:rsidR="005E12EE" w:rsidRPr="00F76FFE">
        <w:rPr>
          <w:lang w:val="pl-PL"/>
        </w:rPr>
        <w:t xml:space="preserve"> w różnych postępowaniach karnych (</w:t>
      </w:r>
      <w:r w:rsidR="00124CEF" w:rsidRPr="00F76FFE">
        <w:rPr>
          <w:lang w:val="pl-PL"/>
        </w:rPr>
        <w:t>zob. sprawa</w:t>
      </w:r>
      <w:r w:rsidR="005E12EE" w:rsidRPr="00F76FFE">
        <w:rPr>
          <w:lang w:val="pl-PL"/>
        </w:rPr>
        <w:t xml:space="preserve"> </w:t>
      </w:r>
      <w:r w:rsidR="005E12EE" w:rsidRPr="00F76FFE">
        <w:rPr>
          <w:i/>
          <w:lang w:val="pl-PL"/>
        </w:rPr>
        <w:t xml:space="preserve">Dombek </w:t>
      </w:r>
      <w:r w:rsidR="00124CEF" w:rsidRPr="00F76FFE">
        <w:rPr>
          <w:i/>
          <w:lang w:val="pl-PL"/>
        </w:rPr>
        <w:t>przeciwko</w:t>
      </w:r>
      <w:r w:rsidR="005E12EE" w:rsidRPr="00F76FFE">
        <w:rPr>
          <w:i/>
          <w:lang w:val="pl-PL"/>
        </w:rPr>
        <w:t xml:space="preserve"> Polsce</w:t>
      </w:r>
      <w:r w:rsidR="005E12EE" w:rsidRPr="00F76FFE">
        <w:rPr>
          <w:lang w:val="pl-PL"/>
        </w:rPr>
        <w:t xml:space="preserve">, </w:t>
      </w:r>
      <w:r w:rsidR="00BC09F8" w:rsidRPr="00F76FFE">
        <w:rPr>
          <w:lang w:val="pl-PL"/>
        </w:rPr>
        <w:t>skarga nr</w:t>
      </w:r>
      <w:r w:rsidR="005E12EE" w:rsidRPr="00F76FFE">
        <w:rPr>
          <w:lang w:val="pl-PL"/>
        </w:rPr>
        <w:t xml:space="preserve"> 75107/01, §§ 64 – 71, 12 grudnia 2006 r. oraz</w:t>
      </w:r>
      <w:r w:rsidR="00BC09F8" w:rsidRPr="00F76FFE">
        <w:rPr>
          <w:lang w:val="pl-PL"/>
        </w:rPr>
        <w:t xml:space="preserve"> sprawa</w:t>
      </w:r>
      <w:r w:rsidR="005E12EE" w:rsidRPr="00F76FFE">
        <w:rPr>
          <w:lang w:val="pl-PL"/>
        </w:rPr>
        <w:t xml:space="preserve"> </w:t>
      </w:r>
      <w:r w:rsidR="005E12EE" w:rsidRPr="00F76FFE">
        <w:rPr>
          <w:i/>
          <w:lang w:val="pl-PL"/>
        </w:rPr>
        <w:t xml:space="preserve">Piotr Kuc </w:t>
      </w:r>
      <w:r w:rsidR="00124CEF" w:rsidRPr="00F76FFE">
        <w:rPr>
          <w:i/>
          <w:lang w:val="pl-PL"/>
        </w:rPr>
        <w:t>przeciwko</w:t>
      </w:r>
      <w:r w:rsidR="005E12EE" w:rsidRPr="00F76FFE">
        <w:rPr>
          <w:i/>
          <w:lang w:val="pl-PL"/>
        </w:rPr>
        <w:t xml:space="preserve"> Polsce</w:t>
      </w:r>
      <w:r w:rsidR="005E12EE" w:rsidRPr="00F76FFE">
        <w:rPr>
          <w:lang w:val="pl-PL"/>
        </w:rPr>
        <w:t xml:space="preserve">, </w:t>
      </w:r>
      <w:r w:rsidR="00BC09F8" w:rsidRPr="00F76FFE">
        <w:rPr>
          <w:lang w:val="pl-PL"/>
        </w:rPr>
        <w:t>skarga nr</w:t>
      </w:r>
      <w:r w:rsidR="005E12EE" w:rsidRPr="00F76FFE">
        <w:rPr>
          <w:lang w:val="pl-PL"/>
        </w:rPr>
        <w:t xml:space="preserve"> 37766/02, §§ 33 – 38, 19 grudnia 2006 r.).</w:t>
      </w:r>
    </w:p>
    <w:p w:rsidR="002A2C70" w:rsidRPr="00F76FFE" w:rsidRDefault="005E12EE" w:rsidP="005E12EE">
      <w:pPr>
        <w:pStyle w:val="ECHRHeading3"/>
        <w:outlineLvl w:val="0"/>
        <w:rPr>
          <w:lang w:val="pl-PL"/>
        </w:rPr>
      </w:pPr>
      <w:r w:rsidRPr="00F76FFE">
        <w:rPr>
          <w:lang w:val="pl-PL"/>
        </w:rPr>
        <w:t>2.  Argumentacja stron</w:t>
      </w:r>
    </w:p>
    <w:p w:rsidR="002A2C70" w:rsidRPr="00F76FFE" w:rsidRDefault="00BC09F8" w:rsidP="005E12EE">
      <w:pPr>
        <w:pStyle w:val="ECHRHeading4"/>
        <w:outlineLvl w:val="0"/>
        <w:rPr>
          <w:lang w:val="pl-PL"/>
        </w:rPr>
      </w:pPr>
      <w:r w:rsidRPr="00F76FFE">
        <w:rPr>
          <w:lang w:val="pl-PL"/>
        </w:rPr>
        <w:t>a)</w:t>
      </w:r>
      <w:r w:rsidRPr="00F76FFE">
        <w:rPr>
          <w:lang w:val="pl-PL"/>
        </w:rPr>
        <w:tab/>
      </w:r>
      <w:r w:rsidR="005E12EE" w:rsidRPr="00F76FFE">
        <w:rPr>
          <w:lang w:val="pl-PL"/>
        </w:rPr>
        <w:t>Skarżący</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50</w:t>
      </w:r>
      <w:r w:rsidRPr="00F76FFE">
        <w:rPr>
          <w:lang w:val="en-GB"/>
        </w:rPr>
        <w:fldChar w:fldCharType="end"/>
      </w:r>
      <w:r w:rsidR="002A2C70" w:rsidRPr="00F76FFE">
        <w:rPr>
          <w:lang w:val="pl-PL"/>
        </w:rPr>
        <w:t>.  </w:t>
      </w:r>
      <w:r w:rsidR="005E12EE" w:rsidRPr="00F76FFE">
        <w:rPr>
          <w:lang w:val="pl-PL"/>
        </w:rPr>
        <w:t>Skarżący twierdził, że długość jego tymczasowego aresztowania przekroczyła „rozsądny termin”. W jego ocenie, sąd nie przedstawił „odpowiednich” i „wystarczających” powodów przetrzymywania go w areszcie przez tak długi okres.</w:t>
      </w:r>
    </w:p>
    <w:p w:rsidR="002A2C70" w:rsidRPr="00F76FFE" w:rsidRDefault="005E12EE" w:rsidP="005E12EE">
      <w:pPr>
        <w:pStyle w:val="ECHRHeading4"/>
        <w:outlineLvl w:val="0"/>
        <w:rPr>
          <w:lang w:val="pl-PL"/>
        </w:rPr>
      </w:pPr>
      <w:r w:rsidRPr="00F76FFE">
        <w:rPr>
          <w:lang w:val="pl-PL"/>
        </w:rPr>
        <w:t>b</w:t>
      </w:r>
      <w:r w:rsidR="00BC09F8" w:rsidRPr="00F76FFE">
        <w:rPr>
          <w:lang w:val="pl-PL"/>
        </w:rPr>
        <w:t>)</w:t>
      </w:r>
      <w:r w:rsidR="00BC09F8" w:rsidRPr="00F76FFE">
        <w:rPr>
          <w:lang w:val="pl-PL"/>
        </w:rPr>
        <w:tab/>
      </w:r>
      <w:r w:rsidRPr="00F76FFE">
        <w:rPr>
          <w:lang w:val="pl-PL"/>
        </w:rPr>
        <w:t>Rząd</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51</w:t>
      </w:r>
      <w:r w:rsidRPr="00F76FFE">
        <w:rPr>
          <w:lang w:val="en-GB"/>
        </w:rPr>
        <w:fldChar w:fldCharType="end"/>
      </w:r>
      <w:r w:rsidR="002A2C70" w:rsidRPr="00F76FFE">
        <w:rPr>
          <w:lang w:val="pl-PL"/>
        </w:rPr>
        <w:t>.  </w:t>
      </w:r>
      <w:r w:rsidR="005E12EE" w:rsidRPr="00F76FFE">
        <w:rPr>
          <w:lang w:val="pl-PL"/>
        </w:rPr>
        <w:t>Rząd uznał, że czas przebywania skarżącego w areszcie w ramach obu postępowań był zgodny ze standardami określonymi w art</w:t>
      </w:r>
      <w:r w:rsidR="00124CEF" w:rsidRPr="00F76FFE">
        <w:rPr>
          <w:lang w:val="pl-PL"/>
        </w:rPr>
        <w:t>.</w:t>
      </w:r>
      <w:r w:rsidR="005E12EE" w:rsidRPr="00F76FFE">
        <w:rPr>
          <w:lang w:val="pl-PL"/>
        </w:rPr>
        <w:t xml:space="preserve"> 5 § 3 Konwencji. Zdaniem rządu uzasadnienie przedstawione w decyzjach sądów krajowych było „odpowiednie” i „wystarczające”, by uzasadnić cały okres tymczasowego aresztowania skarżącego. Uzasadnienie opierało się w szczególności na powadze zarzutów wobec skarżącego, który został oskarżony o brutalne przestępstwa popełnione w </w:t>
      </w:r>
      <w:r w:rsidR="00124CEF" w:rsidRPr="00F76FFE">
        <w:rPr>
          <w:lang w:val="pl-PL"/>
        </w:rPr>
        <w:t>ramach zorganizowanej grupy</w:t>
      </w:r>
      <w:r w:rsidR="005E12EE" w:rsidRPr="00F76FFE">
        <w:rPr>
          <w:lang w:val="pl-PL"/>
        </w:rPr>
        <w:t xml:space="preserve"> przestępczej.</w:t>
      </w:r>
    </w:p>
    <w:p w:rsidR="002A2C70" w:rsidRPr="00F76FFE" w:rsidRDefault="00124CEF" w:rsidP="00C2299F">
      <w:pPr>
        <w:pStyle w:val="ECHRPara"/>
        <w:rPr>
          <w:lang w:val="pl-PL"/>
        </w:rPr>
      </w:pPr>
      <w:r w:rsidRPr="00F76FFE">
        <w:rPr>
          <w:lang w:val="pl-PL"/>
        </w:rPr>
        <w:t>Rząd t</w:t>
      </w:r>
      <w:r w:rsidR="005E12EE" w:rsidRPr="00F76FFE">
        <w:rPr>
          <w:lang w:val="pl-PL"/>
        </w:rPr>
        <w:t>wierdził również, że władze krajowe prowadziły postępowania z należytą starannością.</w:t>
      </w:r>
    </w:p>
    <w:p w:rsidR="002A2C70" w:rsidRPr="00F76FFE" w:rsidRDefault="005E12EE" w:rsidP="005E12EE">
      <w:pPr>
        <w:pStyle w:val="ECHRHeading3"/>
        <w:outlineLvl w:val="0"/>
        <w:rPr>
          <w:lang w:val="pl-PL"/>
        </w:rPr>
      </w:pPr>
      <w:r w:rsidRPr="00F76FFE">
        <w:rPr>
          <w:lang w:val="pl-PL"/>
        </w:rPr>
        <w:t>3.  Ocena Trybunału</w:t>
      </w:r>
    </w:p>
    <w:p w:rsidR="002A2C70" w:rsidRPr="00F76FFE" w:rsidRDefault="00BC09F8" w:rsidP="005E12EE">
      <w:pPr>
        <w:pStyle w:val="ECHRHeading4"/>
        <w:outlineLvl w:val="0"/>
        <w:rPr>
          <w:lang w:val="pl-PL"/>
        </w:rPr>
      </w:pPr>
      <w:r w:rsidRPr="00F76FFE">
        <w:rPr>
          <w:lang w:val="pl-PL"/>
        </w:rPr>
        <w:t xml:space="preserve">a)  </w:t>
      </w:r>
      <w:r w:rsidR="005E12EE" w:rsidRPr="00F76FFE">
        <w:rPr>
          <w:lang w:val="pl-PL"/>
        </w:rPr>
        <w:t>Zasady ogólne</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52</w:t>
      </w:r>
      <w:r w:rsidRPr="00F76FFE">
        <w:rPr>
          <w:lang w:val="en-GB"/>
        </w:rPr>
        <w:fldChar w:fldCharType="end"/>
      </w:r>
      <w:r w:rsidR="002A2C70" w:rsidRPr="00F76FFE">
        <w:rPr>
          <w:lang w:val="pl-PL"/>
        </w:rPr>
        <w:t>.  </w:t>
      </w:r>
      <w:r w:rsidR="005E12EE" w:rsidRPr="00F76FFE">
        <w:rPr>
          <w:lang w:val="pl-PL"/>
        </w:rPr>
        <w:t>Trybunał przypomina, że ogólne zasady dotyczące prawa do „bycia sądzonym w rozsądnym terminie albo zwolnienia na czas postępowania”, zagwarantowanego w</w:t>
      </w:r>
      <w:r w:rsidR="00124CEF" w:rsidRPr="00F76FFE">
        <w:rPr>
          <w:lang w:val="pl-PL"/>
        </w:rPr>
        <w:t xml:space="preserve"> art.</w:t>
      </w:r>
      <w:r w:rsidR="005E12EE" w:rsidRPr="00F76FFE">
        <w:rPr>
          <w:lang w:val="pl-PL"/>
        </w:rPr>
        <w:t xml:space="preserve"> 5 </w:t>
      </w:r>
      <w:r w:rsidR="00124CEF" w:rsidRPr="00F76FFE">
        <w:rPr>
          <w:lang w:val="pl-PL"/>
        </w:rPr>
        <w:t>§ 3 Konwencji, zostały przedstawione</w:t>
      </w:r>
      <w:r w:rsidR="005E12EE" w:rsidRPr="00F76FFE">
        <w:rPr>
          <w:lang w:val="pl-PL"/>
        </w:rPr>
        <w:t xml:space="preserve"> w wielu </w:t>
      </w:r>
      <w:r w:rsidR="005E12EE" w:rsidRPr="00F76FFE">
        <w:rPr>
          <w:lang w:val="pl-PL"/>
        </w:rPr>
        <w:lastRenderedPageBreak/>
        <w:t>poprzednich wyrokach (</w:t>
      </w:r>
      <w:r w:rsidR="00124CEF" w:rsidRPr="00F76FFE">
        <w:rPr>
          <w:lang w:val="pl-PL"/>
        </w:rPr>
        <w:t>zob.</w:t>
      </w:r>
      <w:r w:rsidR="005E12EE" w:rsidRPr="00F76FFE">
        <w:rPr>
          <w:lang w:val="pl-PL"/>
        </w:rPr>
        <w:t xml:space="preserve"> m.in. sprawa </w:t>
      </w:r>
      <w:r w:rsidR="005E12EE" w:rsidRPr="00F76FFE">
        <w:rPr>
          <w:i/>
          <w:lang w:val="pl-PL"/>
        </w:rPr>
        <w:t xml:space="preserve">Kudła </w:t>
      </w:r>
      <w:r w:rsidR="00124CEF" w:rsidRPr="00F76FFE">
        <w:rPr>
          <w:i/>
          <w:lang w:val="pl-PL"/>
        </w:rPr>
        <w:t>przeciwko</w:t>
      </w:r>
      <w:r w:rsidR="005E12EE" w:rsidRPr="00F76FFE">
        <w:rPr>
          <w:i/>
          <w:lang w:val="pl-PL"/>
        </w:rPr>
        <w:t xml:space="preserve"> Polsce</w:t>
      </w:r>
      <w:r w:rsidR="005E12EE" w:rsidRPr="00F76FFE">
        <w:rPr>
          <w:lang w:val="pl-PL"/>
        </w:rPr>
        <w:t xml:space="preserve"> [GC], cytowana powyżej, §§ 110 i nast., </w:t>
      </w:r>
      <w:proofErr w:type="spellStart"/>
      <w:r w:rsidR="005E12EE" w:rsidRPr="00F76FFE">
        <w:rPr>
          <w:lang w:val="pl-PL"/>
        </w:rPr>
        <w:t>ETPCz</w:t>
      </w:r>
      <w:proofErr w:type="spellEnd"/>
      <w:r w:rsidR="005E12EE" w:rsidRPr="00F76FFE">
        <w:rPr>
          <w:lang w:val="pl-PL"/>
        </w:rPr>
        <w:t xml:space="preserve"> 2000 – XI; i </w:t>
      </w:r>
      <w:proofErr w:type="spellStart"/>
      <w:r w:rsidR="005E12EE" w:rsidRPr="00F76FFE">
        <w:rPr>
          <w:i/>
          <w:lang w:val="pl-PL"/>
        </w:rPr>
        <w:t>McKay</w:t>
      </w:r>
      <w:proofErr w:type="spellEnd"/>
      <w:r w:rsidR="005E12EE" w:rsidRPr="00F76FFE">
        <w:rPr>
          <w:i/>
          <w:lang w:val="pl-PL"/>
        </w:rPr>
        <w:t xml:space="preserve"> </w:t>
      </w:r>
      <w:r w:rsidR="00124CEF" w:rsidRPr="00F76FFE">
        <w:rPr>
          <w:i/>
          <w:lang w:val="pl-PL"/>
        </w:rPr>
        <w:t>przeciwko</w:t>
      </w:r>
      <w:r w:rsidR="005E12EE" w:rsidRPr="00F76FFE">
        <w:rPr>
          <w:i/>
          <w:lang w:val="pl-PL"/>
        </w:rPr>
        <w:t xml:space="preserve"> Zjednoczonemu Królestwu</w:t>
      </w:r>
      <w:r w:rsidR="005E12EE" w:rsidRPr="00F76FFE">
        <w:rPr>
          <w:lang w:val="pl-PL"/>
        </w:rPr>
        <w:t xml:space="preserve"> [GC], </w:t>
      </w:r>
      <w:r w:rsidR="00BC09F8" w:rsidRPr="00F76FFE">
        <w:rPr>
          <w:lang w:val="pl-PL"/>
        </w:rPr>
        <w:t>skarga nr</w:t>
      </w:r>
      <w:r w:rsidR="005E12EE" w:rsidRPr="00F76FFE">
        <w:rPr>
          <w:lang w:val="pl-PL"/>
        </w:rPr>
        <w:t xml:space="preserve"> 543/03, §§ 41 – 44, </w:t>
      </w:r>
      <w:proofErr w:type="spellStart"/>
      <w:r w:rsidR="005E12EE" w:rsidRPr="00F76FFE">
        <w:rPr>
          <w:lang w:val="pl-PL"/>
        </w:rPr>
        <w:t>ETPCz</w:t>
      </w:r>
      <w:proofErr w:type="spellEnd"/>
      <w:r w:rsidR="005E12EE" w:rsidRPr="00F76FFE">
        <w:rPr>
          <w:lang w:val="pl-PL"/>
        </w:rPr>
        <w:t xml:space="preserve"> 2006 – X, z dalszymi odniesieniami).</w:t>
      </w:r>
    </w:p>
    <w:p w:rsidR="002A2C70" w:rsidRPr="00F76FFE" w:rsidRDefault="005E12EE" w:rsidP="005E12EE">
      <w:pPr>
        <w:pStyle w:val="ECHRHeading4"/>
        <w:outlineLvl w:val="0"/>
        <w:rPr>
          <w:lang w:val="pl-PL"/>
        </w:rPr>
      </w:pPr>
      <w:r w:rsidRPr="00F76FFE">
        <w:rPr>
          <w:lang w:val="pl-PL"/>
        </w:rPr>
        <w:t>b)  Zastosowanie powyższych zasad w niniejszej sprawie</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53</w:t>
      </w:r>
      <w:r w:rsidRPr="00F76FFE">
        <w:rPr>
          <w:lang w:val="en-GB"/>
        </w:rPr>
        <w:fldChar w:fldCharType="end"/>
      </w:r>
      <w:r w:rsidR="002A2C70" w:rsidRPr="00F76FFE">
        <w:rPr>
          <w:lang w:val="pl-PL"/>
        </w:rPr>
        <w:t>.  </w:t>
      </w:r>
      <w:r w:rsidR="005E12EE" w:rsidRPr="00F76FFE">
        <w:rPr>
          <w:lang w:val="pl-PL"/>
        </w:rPr>
        <w:t xml:space="preserve">Trybunał pragnie przede wszystkim zauważyć, że w obu postępowaniach sądy krajowe oparły się początkowo </w:t>
      </w:r>
      <w:r w:rsidR="00124CEF" w:rsidRPr="00F76FFE">
        <w:rPr>
          <w:lang w:val="pl-PL"/>
        </w:rPr>
        <w:t>na</w:t>
      </w:r>
      <w:r w:rsidR="005E12EE" w:rsidRPr="00F76FFE">
        <w:rPr>
          <w:lang w:val="pl-PL"/>
        </w:rPr>
        <w:t xml:space="preserve"> uzasadnion</w:t>
      </w:r>
      <w:r w:rsidR="00124CEF" w:rsidRPr="00F76FFE">
        <w:rPr>
          <w:lang w:val="pl-PL"/>
        </w:rPr>
        <w:t>ym</w:t>
      </w:r>
      <w:r w:rsidR="005E12EE" w:rsidRPr="00F76FFE">
        <w:rPr>
          <w:lang w:val="pl-PL"/>
        </w:rPr>
        <w:t xml:space="preserve"> podejrzeni</w:t>
      </w:r>
      <w:r w:rsidR="00124CEF" w:rsidRPr="00F76FFE">
        <w:rPr>
          <w:lang w:val="pl-PL"/>
        </w:rPr>
        <w:t>u</w:t>
      </w:r>
      <w:r w:rsidR="005E12EE" w:rsidRPr="00F76FFE">
        <w:rPr>
          <w:lang w:val="pl-PL"/>
        </w:rPr>
        <w:t xml:space="preserve">, że skarżący popełnił zarzucane mu przestępstwa oraz </w:t>
      </w:r>
      <w:r w:rsidR="00124CEF" w:rsidRPr="00F76FFE">
        <w:rPr>
          <w:lang w:val="pl-PL"/>
        </w:rPr>
        <w:t>na</w:t>
      </w:r>
      <w:r w:rsidR="005E12EE" w:rsidRPr="00F76FFE">
        <w:rPr>
          <w:lang w:val="pl-PL"/>
        </w:rPr>
        <w:t xml:space="preserve"> ich poważny</w:t>
      </w:r>
      <w:r w:rsidR="00124CEF" w:rsidRPr="00F76FFE">
        <w:rPr>
          <w:lang w:val="pl-PL"/>
        </w:rPr>
        <w:t>m</w:t>
      </w:r>
      <w:r w:rsidR="005E12EE" w:rsidRPr="00F76FFE">
        <w:rPr>
          <w:lang w:val="pl-PL"/>
        </w:rPr>
        <w:t xml:space="preserve"> charakter</w:t>
      </w:r>
      <w:r w:rsidR="00124CEF" w:rsidRPr="00F76FFE">
        <w:rPr>
          <w:lang w:val="pl-PL"/>
        </w:rPr>
        <w:t>ze, surowości</w:t>
      </w:r>
      <w:r w:rsidR="005E12EE" w:rsidRPr="00F76FFE">
        <w:rPr>
          <w:lang w:val="pl-PL"/>
        </w:rPr>
        <w:t xml:space="preserve"> kary odpowiadaj</w:t>
      </w:r>
      <w:r w:rsidR="00124CEF" w:rsidRPr="00F76FFE">
        <w:rPr>
          <w:lang w:val="pl-PL"/>
        </w:rPr>
        <w:t>ącej</w:t>
      </w:r>
      <w:r w:rsidR="005E12EE" w:rsidRPr="00F76FFE">
        <w:rPr>
          <w:lang w:val="pl-PL"/>
        </w:rPr>
        <w:t xml:space="preserve"> zarzucanym </w:t>
      </w:r>
      <w:r w:rsidR="00124CEF" w:rsidRPr="00F76FFE">
        <w:rPr>
          <w:lang w:val="pl-PL"/>
        </w:rPr>
        <w:t xml:space="preserve">mu </w:t>
      </w:r>
      <w:r w:rsidR="005E12EE" w:rsidRPr="00F76FFE">
        <w:rPr>
          <w:lang w:val="pl-PL"/>
        </w:rPr>
        <w:t>czynom oraz</w:t>
      </w:r>
      <w:r w:rsidR="00124CEF" w:rsidRPr="00F76FFE">
        <w:rPr>
          <w:lang w:val="pl-PL"/>
        </w:rPr>
        <w:t xml:space="preserve"> ryzyku</w:t>
      </w:r>
      <w:r w:rsidR="005E12EE" w:rsidRPr="00F76FFE">
        <w:rPr>
          <w:lang w:val="pl-PL"/>
        </w:rPr>
        <w:t>, że może on ingerować w tok postępowania, w szczególności w związku z tym, że został oskarżony o przynależność do zorganizowanej grupy przestępczej (</w:t>
      </w:r>
      <w:r w:rsidR="00124CEF" w:rsidRPr="00F76FFE">
        <w:rPr>
          <w:lang w:val="pl-PL"/>
        </w:rPr>
        <w:t>zob.</w:t>
      </w:r>
      <w:r w:rsidR="005E12EE" w:rsidRPr="00F76FFE">
        <w:rPr>
          <w:lang w:val="pl-PL"/>
        </w:rPr>
        <w:t xml:space="preserve"> pkt 8 i 32 powyżej).</w:t>
      </w:r>
    </w:p>
    <w:p w:rsidR="002A2C70" w:rsidRPr="00F76FFE" w:rsidRDefault="00D34787" w:rsidP="00C2299F">
      <w:pPr>
        <w:pStyle w:val="ECHRPara"/>
        <w:rPr>
          <w:rStyle w:val="sb8d990e2"/>
          <w:lang w:val="pl-PL"/>
        </w:rPr>
      </w:pPr>
      <w:r w:rsidRPr="00F76FFE">
        <w:rPr>
          <w:rStyle w:val="sb8d990e2"/>
        </w:rPr>
        <w:fldChar w:fldCharType="begin"/>
      </w:r>
      <w:r w:rsidR="002A2C70" w:rsidRPr="00F76FFE">
        <w:rPr>
          <w:rStyle w:val="sb8d990e2"/>
          <w:lang w:val="pl-PL"/>
        </w:rPr>
        <w:instrText xml:space="preserve"> SEQ level0 \*arabic </w:instrText>
      </w:r>
      <w:r w:rsidRPr="00F76FFE">
        <w:rPr>
          <w:rStyle w:val="sb8d990e2"/>
        </w:rPr>
        <w:fldChar w:fldCharType="separate"/>
      </w:r>
      <w:r w:rsidR="00C2299F" w:rsidRPr="00F76FFE">
        <w:rPr>
          <w:rStyle w:val="sb8d990e2"/>
          <w:noProof/>
          <w:lang w:val="pl-PL"/>
        </w:rPr>
        <w:t>54</w:t>
      </w:r>
      <w:r w:rsidRPr="00F76FFE">
        <w:rPr>
          <w:rStyle w:val="sb8d990e2"/>
        </w:rPr>
        <w:fldChar w:fldCharType="end"/>
      </w:r>
      <w:r w:rsidR="002A2C70" w:rsidRPr="00F76FFE">
        <w:rPr>
          <w:rStyle w:val="sb8d990e2"/>
          <w:lang w:val="pl-PL"/>
        </w:rPr>
        <w:t>.  </w:t>
      </w:r>
      <w:r w:rsidR="005E12EE" w:rsidRPr="00F76FFE">
        <w:rPr>
          <w:lang w:val="pl-PL"/>
        </w:rPr>
        <w:t>Władze sądowe uznały również, że ze względu na złożoność obu spraw, w których zaangażowanych było wielu współoskarżonych i w których padło wiele zarzutów, aresztowanie skarżącego było konieczne dla zabezpieczenia prawidłowego toku postępowania.</w:t>
      </w:r>
    </w:p>
    <w:p w:rsidR="002A2C70" w:rsidRPr="00F76FFE" w:rsidRDefault="00D34787" w:rsidP="00C2299F">
      <w:pPr>
        <w:pStyle w:val="ECHRPara"/>
        <w:rPr>
          <w:rFonts w:ascii="Times New Roman" w:eastAsia="Times New Roman" w:hAnsi="Times New Roman" w:cs="Times New Roman"/>
          <w:szCs w:val="24"/>
          <w:lang w:val="pl-PL"/>
        </w:rPr>
      </w:pPr>
      <w:r w:rsidRPr="00F76FFE">
        <w:rPr>
          <w:rFonts w:ascii="Times New Roman" w:eastAsia="Times New Roman" w:hAnsi="Times New Roman" w:cs="Times New Roman"/>
          <w:szCs w:val="24"/>
        </w:rPr>
        <w:fldChar w:fldCharType="begin"/>
      </w:r>
      <w:r w:rsidR="002A2C70" w:rsidRPr="00F76FFE">
        <w:rPr>
          <w:rFonts w:ascii="Times New Roman" w:eastAsia="Times New Roman" w:hAnsi="Times New Roman" w:cs="Times New Roman"/>
          <w:szCs w:val="24"/>
          <w:lang w:val="pl-PL"/>
        </w:rPr>
        <w:instrText xml:space="preserve"> SEQ level0 \*arabic </w:instrText>
      </w:r>
      <w:r w:rsidRPr="00F76FFE">
        <w:rPr>
          <w:rFonts w:ascii="Times New Roman" w:eastAsia="Times New Roman" w:hAnsi="Times New Roman" w:cs="Times New Roman"/>
          <w:szCs w:val="24"/>
        </w:rPr>
        <w:fldChar w:fldCharType="separate"/>
      </w:r>
      <w:r w:rsidR="00C2299F" w:rsidRPr="00F76FFE">
        <w:rPr>
          <w:rFonts w:ascii="Times New Roman" w:eastAsia="Times New Roman" w:hAnsi="Times New Roman" w:cs="Times New Roman"/>
          <w:noProof/>
          <w:szCs w:val="24"/>
          <w:lang w:val="pl-PL"/>
        </w:rPr>
        <w:t>55</w:t>
      </w:r>
      <w:r w:rsidRPr="00F76FFE">
        <w:rPr>
          <w:rFonts w:ascii="Times New Roman" w:eastAsia="Times New Roman" w:hAnsi="Times New Roman" w:cs="Times New Roman"/>
          <w:szCs w:val="24"/>
        </w:rPr>
        <w:fldChar w:fldCharType="end"/>
      </w:r>
      <w:r w:rsidR="002A2C70" w:rsidRPr="00F76FFE">
        <w:rPr>
          <w:rFonts w:ascii="Times New Roman" w:eastAsia="Times New Roman" w:hAnsi="Times New Roman" w:cs="Times New Roman"/>
          <w:szCs w:val="24"/>
          <w:lang w:val="pl-PL"/>
        </w:rPr>
        <w:t>.  </w:t>
      </w:r>
      <w:r w:rsidR="005E12EE" w:rsidRPr="00F76FFE">
        <w:rPr>
          <w:lang w:val="pl-PL"/>
        </w:rPr>
        <w:t>Trybunał przyznaje, że podejrzenie wobec skarżącego o popełnienie zarzucanych mu przestępstw mogło początkowo uzasadniać jego aresztowanie, w szczególności w związku z faktem, że w pierwszym postępowaniu skarżący został następnie skazany na karę pozbawienia wolności.</w:t>
      </w:r>
    </w:p>
    <w:p w:rsidR="002A2C70" w:rsidRPr="00F76FFE" w:rsidRDefault="00D34787" w:rsidP="00C2299F">
      <w:pPr>
        <w:pStyle w:val="ECHRPara"/>
        <w:rPr>
          <w:rFonts w:ascii="Times New Roman" w:eastAsia="Times New Roman" w:hAnsi="Times New Roman" w:cs="Times New Roman"/>
          <w:szCs w:val="24"/>
          <w:lang w:val="pl-PL"/>
        </w:rPr>
      </w:pPr>
      <w:r w:rsidRPr="00F76FFE">
        <w:rPr>
          <w:rFonts w:ascii="Times New Roman" w:eastAsia="Times New Roman" w:hAnsi="Times New Roman" w:cs="Times New Roman"/>
          <w:szCs w:val="24"/>
        </w:rPr>
        <w:fldChar w:fldCharType="begin"/>
      </w:r>
      <w:r w:rsidR="002A2C70" w:rsidRPr="00F76FFE">
        <w:rPr>
          <w:rFonts w:ascii="Times New Roman" w:eastAsia="Times New Roman" w:hAnsi="Times New Roman" w:cs="Times New Roman"/>
          <w:szCs w:val="24"/>
          <w:lang w:val="pl-PL"/>
        </w:rPr>
        <w:instrText xml:space="preserve"> SEQ level0 \*arabic </w:instrText>
      </w:r>
      <w:r w:rsidRPr="00F76FFE">
        <w:rPr>
          <w:rFonts w:ascii="Times New Roman" w:eastAsia="Times New Roman" w:hAnsi="Times New Roman" w:cs="Times New Roman"/>
          <w:szCs w:val="24"/>
        </w:rPr>
        <w:fldChar w:fldCharType="separate"/>
      </w:r>
      <w:r w:rsidR="00C2299F" w:rsidRPr="00F76FFE">
        <w:rPr>
          <w:rFonts w:ascii="Times New Roman" w:eastAsia="Times New Roman" w:hAnsi="Times New Roman" w:cs="Times New Roman"/>
          <w:noProof/>
          <w:szCs w:val="24"/>
          <w:lang w:val="pl-PL"/>
        </w:rPr>
        <w:t>56</w:t>
      </w:r>
      <w:r w:rsidRPr="00F76FFE">
        <w:rPr>
          <w:rFonts w:ascii="Times New Roman" w:eastAsia="Times New Roman" w:hAnsi="Times New Roman" w:cs="Times New Roman"/>
          <w:szCs w:val="24"/>
        </w:rPr>
        <w:fldChar w:fldCharType="end"/>
      </w:r>
      <w:r w:rsidR="002A2C70" w:rsidRPr="00F76FFE">
        <w:rPr>
          <w:rFonts w:ascii="Times New Roman" w:eastAsia="Times New Roman" w:hAnsi="Times New Roman" w:cs="Times New Roman"/>
          <w:szCs w:val="24"/>
          <w:lang w:val="pl-PL"/>
        </w:rPr>
        <w:t>.  </w:t>
      </w:r>
      <w:r w:rsidR="005E12EE" w:rsidRPr="00F76FFE">
        <w:rPr>
          <w:lang w:val="pl-PL"/>
        </w:rPr>
        <w:t xml:space="preserve">Ponadto wydaje się, że władze sądowe zakładały możliwość </w:t>
      </w:r>
      <w:r w:rsidR="00124CEF" w:rsidRPr="00F76FFE">
        <w:rPr>
          <w:lang w:val="pl-PL"/>
        </w:rPr>
        <w:t>wystąpienia</w:t>
      </w:r>
      <w:r w:rsidR="005E12EE" w:rsidRPr="00F76FFE">
        <w:rPr>
          <w:lang w:val="pl-PL"/>
        </w:rPr>
        <w:t xml:space="preserve"> ryzyka ucieczki skarżącego lub utrudniania przez niego prowadzonego postępowania w związku z surowością kary, która mogła zostać </w:t>
      </w:r>
      <w:r w:rsidR="00124CEF" w:rsidRPr="00F76FFE">
        <w:rPr>
          <w:lang w:val="pl-PL"/>
        </w:rPr>
        <w:t xml:space="preserve">na niego </w:t>
      </w:r>
      <w:r w:rsidR="005E12EE" w:rsidRPr="00F76FFE">
        <w:rPr>
          <w:lang w:val="pl-PL"/>
        </w:rPr>
        <w:t>nałożona z uwagi na poważny charakter popełnionych przestępstw. W związku z tym, Trybunał przypomina, że surowość grożącej kary jest istotnym elementem w ocenie ryzyka ucieczki lub ponownego popełnienia przestępstwa (</w:t>
      </w:r>
      <w:r w:rsidR="00124CEF" w:rsidRPr="00F76FFE">
        <w:rPr>
          <w:lang w:val="pl-PL"/>
        </w:rPr>
        <w:t>zob.</w:t>
      </w:r>
      <w:r w:rsidR="005E12EE" w:rsidRPr="00F76FFE">
        <w:rPr>
          <w:lang w:val="pl-PL"/>
        </w:rPr>
        <w:t xml:space="preserve"> sprawa </w:t>
      </w:r>
      <w:r w:rsidR="005E12EE" w:rsidRPr="00F76FFE">
        <w:rPr>
          <w:i/>
          <w:lang w:val="pl-PL"/>
        </w:rPr>
        <w:t xml:space="preserve">Górski </w:t>
      </w:r>
      <w:r w:rsidR="00124CEF" w:rsidRPr="00F76FFE">
        <w:rPr>
          <w:i/>
          <w:lang w:val="pl-PL"/>
        </w:rPr>
        <w:t>przeciwko</w:t>
      </w:r>
      <w:r w:rsidR="005E12EE" w:rsidRPr="00F76FFE">
        <w:rPr>
          <w:i/>
          <w:lang w:val="pl-PL"/>
        </w:rPr>
        <w:t xml:space="preserve"> Polsce</w:t>
      </w:r>
      <w:r w:rsidR="005E12EE" w:rsidRPr="00F76FFE">
        <w:rPr>
          <w:lang w:val="pl-PL"/>
        </w:rPr>
        <w:t xml:space="preserve">, </w:t>
      </w:r>
      <w:r w:rsidR="00BC09F8" w:rsidRPr="00F76FFE">
        <w:rPr>
          <w:lang w:val="pl-PL"/>
        </w:rPr>
        <w:t>skarga nr</w:t>
      </w:r>
      <w:r w:rsidR="005E12EE" w:rsidRPr="00F76FFE">
        <w:rPr>
          <w:lang w:val="pl-PL"/>
        </w:rPr>
        <w:t xml:space="preserve"> 28904/02, § 57, 4 października 2005 r.).</w:t>
      </w:r>
      <w:r w:rsidR="002A2C70" w:rsidRPr="00F76FFE">
        <w:rPr>
          <w:rFonts w:ascii="Times New Roman" w:eastAsia="Times New Roman" w:hAnsi="Times New Roman" w:cs="Times New Roman"/>
          <w:szCs w:val="24"/>
          <w:lang w:val="pl-PL"/>
        </w:rPr>
        <w:t xml:space="preserve"> </w:t>
      </w:r>
      <w:r w:rsidR="005E12EE" w:rsidRPr="00F76FFE">
        <w:rPr>
          <w:lang w:val="pl-PL"/>
        </w:rPr>
        <w:t>Sąd uznaje również, że z uwagi na powagę zarzutów wobec skarżącego władze mogły zasadnie uznać, że początkow</w:t>
      </w:r>
      <w:r w:rsidR="00124CEF" w:rsidRPr="00F76FFE">
        <w:rPr>
          <w:lang w:val="pl-PL"/>
        </w:rPr>
        <w:t>o</w:t>
      </w:r>
      <w:r w:rsidR="005E12EE" w:rsidRPr="00F76FFE">
        <w:rPr>
          <w:lang w:val="pl-PL"/>
        </w:rPr>
        <w:t xml:space="preserve"> takie ryzyko</w:t>
      </w:r>
      <w:r w:rsidR="00124CEF" w:rsidRPr="00F76FFE">
        <w:rPr>
          <w:lang w:val="pl-PL"/>
        </w:rPr>
        <w:t xml:space="preserve"> wystąpiło</w:t>
      </w:r>
      <w:r w:rsidR="005E12EE" w:rsidRPr="00F76FFE">
        <w:rPr>
          <w:lang w:val="pl-PL"/>
        </w:rPr>
        <w:t>. Jednakże Trybunał wielokrotnie podnosił, że powaga zarzutów nie może sama w sobie stanowić uzasadnienia długiego okresu tymczasowego aresztowania (</w:t>
      </w:r>
      <w:r w:rsidR="00124CEF" w:rsidRPr="00F76FFE">
        <w:rPr>
          <w:lang w:val="pl-PL"/>
        </w:rPr>
        <w:t>zob. sprawa</w:t>
      </w:r>
      <w:r w:rsidR="005E12EE" w:rsidRPr="00F76FFE">
        <w:rPr>
          <w:lang w:val="pl-PL"/>
        </w:rPr>
        <w:t xml:space="preserve"> </w:t>
      </w:r>
      <w:proofErr w:type="spellStart"/>
      <w:r w:rsidR="005E12EE" w:rsidRPr="00F76FFE">
        <w:rPr>
          <w:i/>
          <w:lang w:val="pl-PL"/>
        </w:rPr>
        <w:t>Ilijkov</w:t>
      </w:r>
      <w:proofErr w:type="spellEnd"/>
      <w:r w:rsidR="005E12EE" w:rsidRPr="00F76FFE">
        <w:rPr>
          <w:i/>
          <w:lang w:val="pl-PL"/>
        </w:rPr>
        <w:t xml:space="preserve"> </w:t>
      </w:r>
      <w:r w:rsidR="00124CEF" w:rsidRPr="00F76FFE">
        <w:rPr>
          <w:i/>
          <w:lang w:val="pl-PL"/>
        </w:rPr>
        <w:t>przeciwko</w:t>
      </w:r>
      <w:r w:rsidR="005E12EE" w:rsidRPr="00F76FFE">
        <w:rPr>
          <w:i/>
          <w:lang w:val="pl-PL"/>
        </w:rPr>
        <w:t xml:space="preserve"> Bułgarii</w:t>
      </w:r>
      <w:r w:rsidR="005E12EE" w:rsidRPr="00F76FFE">
        <w:rPr>
          <w:lang w:val="pl-PL"/>
        </w:rPr>
        <w:t xml:space="preserve">, </w:t>
      </w:r>
      <w:r w:rsidR="00BC09F8" w:rsidRPr="00F76FFE">
        <w:rPr>
          <w:lang w:val="pl-PL"/>
        </w:rPr>
        <w:t>skarga nr</w:t>
      </w:r>
      <w:r w:rsidR="005E12EE" w:rsidRPr="00F76FFE">
        <w:rPr>
          <w:lang w:val="pl-PL"/>
        </w:rPr>
        <w:t xml:space="preserve"> 33977/96, §§ 80-81, 26 lipca 2001 r.).</w:t>
      </w:r>
    </w:p>
    <w:p w:rsidR="002A2C70" w:rsidRPr="00F76FFE" w:rsidRDefault="00D34787" w:rsidP="00C2299F">
      <w:pPr>
        <w:pStyle w:val="ECHRPara"/>
        <w:rPr>
          <w:rFonts w:ascii="Times New Roman" w:eastAsia="Times New Roman" w:hAnsi="Times New Roman" w:cs="Times New Roman"/>
          <w:i/>
          <w:szCs w:val="24"/>
          <w:lang w:val="pl-PL"/>
        </w:rPr>
      </w:pPr>
      <w:r w:rsidRPr="00F76FFE">
        <w:rPr>
          <w:rFonts w:ascii="Times New Roman" w:eastAsia="Times New Roman" w:hAnsi="Times New Roman" w:cs="Times New Roman"/>
          <w:szCs w:val="24"/>
        </w:rPr>
        <w:fldChar w:fldCharType="begin"/>
      </w:r>
      <w:r w:rsidR="002A2C70" w:rsidRPr="00F76FFE">
        <w:rPr>
          <w:rFonts w:ascii="Times New Roman" w:eastAsia="Times New Roman" w:hAnsi="Times New Roman" w:cs="Times New Roman"/>
          <w:szCs w:val="24"/>
          <w:lang w:val="pl-PL"/>
        </w:rPr>
        <w:instrText xml:space="preserve"> SEQ level0 \*arabic </w:instrText>
      </w:r>
      <w:r w:rsidRPr="00F76FFE">
        <w:rPr>
          <w:rFonts w:ascii="Times New Roman" w:eastAsia="Times New Roman" w:hAnsi="Times New Roman" w:cs="Times New Roman"/>
          <w:szCs w:val="24"/>
        </w:rPr>
        <w:fldChar w:fldCharType="separate"/>
      </w:r>
      <w:r w:rsidR="00C2299F" w:rsidRPr="00F76FFE">
        <w:rPr>
          <w:rFonts w:ascii="Times New Roman" w:eastAsia="Times New Roman" w:hAnsi="Times New Roman" w:cs="Times New Roman"/>
          <w:noProof/>
          <w:szCs w:val="24"/>
          <w:lang w:val="pl-PL"/>
        </w:rPr>
        <w:t>57</w:t>
      </w:r>
      <w:r w:rsidRPr="00F76FFE">
        <w:rPr>
          <w:rFonts w:ascii="Times New Roman" w:eastAsia="Times New Roman" w:hAnsi="Times New Roman" w:cs="Times New Roman"/>
          <w:szCs w:val="24"/>
        </w:rPr>
        <w:fldChar w:fldCharType="end"/>
      </w:r>
      <w:r w:rsidR="002A2C70" w:rsidRPr="00F76FFE">
        <w:rPr>
          <w:rFonts w:ascii="Times New Roman" w:eastAsia="Times New Roman" w:hAnsi="Times New Roman" w:cs="Times New Roman"/>
          <w:szCs w:val="24"/>
          <w:lang w:val="pl-PL"/>
        </w:rPr>
        <w:t>.  </w:t>
      </w:r>
      <w:r w:rsidR="005E12EE" w:rsidRPr="00F76FFE">
        <w:rPr>
          <w:lang w:val="pl-PL"/>
        </w:rPr>
        <w:t xml:space="preserve">Ponadto władze sądowe powoływały się na fakt, że skarżący został oskarżony o przynależność do zorganizowanej grupy przestępczej o zbrojnym charakterze. Zdaniem Trybunału fakt, że sprawa dotyczyła członka takiej grupy przestępczej powinien zostać uwzględniony w ocenie zgodności z </w:t>
      </w:r>
      <w:r w:rsidR="00124CEF" w:rsidRPr="00F76FFE">
        <w:rPr>
          <w:lang w:val="pl-PL"/>
        </w:rPr>
        <w:t>art.</w:t>
      </w:r>
      <w:r w:rsidR="005E12EE" w:rsidRPr="00F76FFE">
        <w:rPr>
          <w:lang w:val="pl-PL"/>
        </w:rPr>
        <w:t xml:space="preserve"> 5 § 3 (zob.</w:t>
      </w:r>
      <w:r w:rsidR="00124CEF" w:rsidRPr="00F76FFE">
        <w:rPr>
          <w:lang w:val="pl-PL"/>
        </w:rPr>
        <w:t xml:space="preserve"> sprawa</w:t>
      </w:r>
      <w:r w:rsidR="005E12EE" w:rsidRPr="00F76FFE">
        <w:rPr>
          <w:lang w:val="pl-PL"/>
        </w:rPr>
        <w:t xml:space="preserve"> </w:t>
      </w:r>
      <w:r w:rsidR="005E12EE" w:rsidRPr="00F76FFE">
        <w:rPr>
          <w:i/>
          <w:lang w:val="pl-PL"/>
        </w:rPr>
        <w:t xml:space="preserve">Bąk </w:t>
      </w:r>
      <w:r w:rsidR="00124CEF" w:rsidRPr="00F76FFE">
        <w:rPr>
          <w:i/>
          <w:lang w:val="pl-PL"/>
        </w:rPr>
        <w:t>przeciwko</w:t>
      </w:r>
      <w:r w:rsidR="005E12EE" w:rsidRPr="00F76FFE">
        <w:rPr>
          <w:i/>
          <w:lang w:val="pl-PL"/>
        </w:rPr>
        <w:t xml:space="preserve"> Polsce</w:t>
      </w:r>
      <w:r w:rsidR="005E12EE" w:rsidRPr="00F76FFE">
        <w:rPr>
          <w:lang w:val="pl-PL"/>
        </w:rPr>
        <w:t xml:space="preserve">, </w:t>
      </w:r>
      <w:r w:rsidR="00BC09F8" w:rsidRPr="00F76FFE">
        <w:rPr>
          <w:lang w:val="pl-PL"/>
        </w:rPr>
        <w:t>skarga nr</w:t>
      </w:r>
      <w:r w:rsidR="005E12EE" w:rsidRPr="00F76FFE">
        <w:rPr>
          <w:lang w:val="pl-PL"/>
        </w:rPr>
        <w:t xml:space="preserve"> 7870/04, § 57, 16 stycznia 2007 r.).</w:t>
      </w:r>
      <w:r w:rsidR="002A2C70" w:rsidRPr="00F76FFE">
        <w:rPr>
          <w:rFonts w:ascii="Times New Roman" w:eastAsia="Times New Roman" w:hAnsi="Times New Roman" w:cs="Times New Roman"/>
          <w:szCs w:val="24"/>
          <w:lang w:val="pl-PL"/>
        </w:rPr>
        <w:t xml:space="preserve"> </w:t>
      </w:r>
      <w:r w:rsidR="005E12EE" w:rsidRPr="00F76FFE">
        <w:rPr>
          <w:lang w:val="pl-PL"/>
        </w:rPr>
        <w:t xml:space="preserve">W tym względzie Trybunał uważa, że istnienie ogólnego ryzyka płynącego ze zorganizowanego charakteru domniemanych działań przestępczych skarżącego może być uznawane za podstawę do jego zatrzymania na początkowych etapach postępowania, a w </w:t>
      </w:r>
      <w:r w:rsidR="005E12EE" w:rsidRPr="00F76FFE">
        <w:rPr>
          <w:lang w:val="pl-PL"/>
        </w:rPr>
        <w:lastRenderedPageBreak/>
        <w:t xml:space="preserve">pewnych okolicznościach może stanowić także podstawę do późniejszego przedłużenia aresztu (zob. sprawa </w:t>
      </w:r>
      <w:r w:rsidR="005E12EE" w:rsidRPr="00F76FFE">
        <w:rPr>
          <w:i/>
          <w:lang w:val="pl-PL"/>
        </w:rPr>
        <w:t xml:space="preserve">Drabek </w:t>
      </w:r>
      <w:r w:rsidR="00124CEF" w:rsidRPr="00F76FFE">
        <w:rPr>
          <w:i/>
          <w:lang w:val="pl-PL"/>
        </w:rPr>
        <w:t>przeciwko</w:t>
      </w:r>
      <w:r w:rsidR="005E12EE" w:rsidRPr="00F76FFE">
        <w:rPr>
          <w:i/>
          <w:lang w:val="pl-PL"/>
        </w:rPr>
        <w:t xml:space="preserve"> Polsce</w:t>
      </w:r>
      <w:r w:rsidR="005E12EE" w:rsidRPr="00F76FFE">
        <w:rPr>
          <w:lang w:val="pl-PL"/>
        </w:rPr>
        <w:t xml:space="preserve">, </w:t>
      </w:r>
      <w:r w:rsidR="00BC09F8" w:rsidRPr="00F76FFE">
        <w:rPr>
          <w:lang w:val="pl-PL"/>
        </w:rPr>
        <w:t>skarga nr</w:t>
      </w:r>
      <w:r w:rsidR="005E12EE" w:rsidRPr="00F76FFE">
        <w:rPr>
          <w:lang w:val="pl-PL"/>
        </w:rPr>
        <w:t xml:space="preserve"> 5270/04, § 49, 20 czerwca 2006 r.). Trybunał wielokrotnie przypomina swoje orzecznictwo, zgodnie z którym w sprawach dotyczących przestępczości zorganizowanej stosunkowo dłuższy okres tymczasowego aresztowania może być uzasadniony ze względu na szczególnie trudny charakter postępowania prowadzonego w takich sprawach przez sądy pierwszej instancji (zob. sprawa </w:t>
      </w:r>
      <w:proofErr w:type="spellStart"/>
      <w:r w:rsidR="005E12EE" w:rsidRPr="00F76FFE">
        <w:rPr>
          <w:i/>
          <w:lang w:val="pl-PL"/>
        </w:rPr>
        <w:t>Celejewski</w:t>
      </w:r>
      <w:proofErr w:type="spellEnd"/>
      <w:r w:rsidR="005E12EE" w:rsidRPr="00F76FFE">
        <w:rPr>
          <w:i/>
          <w:lang w:val="pl-PL"/>
        </w:rPr>
        <w:t xml:space="preserve"> </w:t>
      </w:r>
      <w:r w:rsidR="00124CEF" w:rsidRPr="00F76FFE">
        <w:rPr>
          <w:i/>
          <w:lang w:val="pl-PL"/>
        </w:rPr>
        <w:t>przeciwko</w:t>
      </w:r>
      <w:r w:rsidR="005E12EE" w:rsidRPr="00F76FFE">
        <w:rPr>
          <w:i/>
          <w:lang w:val="pl-PL"/>
        </w:rPr>
        <w:t xml:space="preserve"> Polsce</w:t>
      </w:r>
      <w:r w:rsidR="005E12EE" w:rsidRPr="00F76FFE">
        <w:rPr>
          <w:lang w:val="pl-PL"/>
        </w:rPr>
        <w:t>, cytowana powyżej, § 36).</w:t>
      </w:r>
      <w:r w:rsidR="002A2C70" w:rsidRPr="00F76FFE">
        <w:rPr>
          <w:rFonts w:ascii="Times New Roman" w:eastAsia="Times New Roman" w:hAnsi="Times New Roman" w:cs="Times New Roman"/>
          <w:szCs w:val="24"/>
          <w:lang w:val="pl-PL"/>
        </w:rPr>
        <w:t xml:space="preserve"> </w:t>
      </w:r>
      <w:r w:rsidR="005E12EE" w:rsidRPr="00F76FFE">
        <w:rPr>
          <w:lang w:val="pl-PL"/>
        </w:rPr>
        <w:t xml:space="preserve">Jednak nie daje to władzom nieograniczonych uprawnień do przedłużania okresu stosowania tego środka zapobiegawczego (zob. sprawa </w:t>
      </w:r>
      <w:proofErr w:type="spellStart"/>
      <w:r w:rsidR="005E12EE" w:rsidRPr="00F76FFE">
        <w:rPr>
          <w:i/>
          <w:lang w:val="pl-PL"/>
        </w:rPr>
        <w:t>Pasiński</w:t>
      </w:r>
      <w:proofErr w:type="spellEnd"/>
      <w:r w:rsidR="005E12EE" w:rsidRPr="00F76FFE">
        <w:rPr>
          <w:i/>
          <w:lang w:val="pl-PL"/>
        </w:rPr>
        <w:t xml:space="preserve"> </w:t>
      </w:r>
      <w:r w:rsidR="00124CEF" w:rsidRPr="00F76FFE">
        <w:rPr>
          <w:i/>
          <w:lang w:val="pl-PL"/>
        </w:rPr>
        <w:t>przeciwko</w:t>
      </w:r>
      <w:r w:rsidR="005E12EE" w:rsidRPr="00F76FFE">
        <w:rPr>
          <w:i/>
          <w:lang w:val="pl-PL"/>
        </w:rPr>
        <w:t xml:space="preserve"> Polsce</w:t>
      </w:r>
      <w:r w:rsidR="005E12EE" w:rsidRPr="00F76FFE">
        <w:rPr>
          <w:lang w:val="pl-PL"/>
        </w:rPr>
        <w:t xml:space="preserve">, </w:t>
      </w:r>
      <w:r w:rsidR="00BC09F8" w:rsidRPr="00F76FFE">
        <w:rPr>
          <w:lang w:val="pl-PL"/>
        </w:rPr>
        <w:t>skarga nr</w:t>
      </w:r>
      <w:r w:rsidR="005E12EE" w:rsidRPr="00F76FFE">
        <w:rPr>
          <w:lang w:val="pl-PL"/>
        </w:rPr>
        <w:t xml:space="preserve"> 6356/04, § 44, 20 czerwca 2006 r.). Po pierwsze, wraz z upływem czasu, początkowe podstawy do tymczasowego aresztowania stają się coraz mniej istotne, a sądy krajowe powinny opierać się na innych „odpowiednich” i „wystarczających” podstawach uzasadniających stosowanie środka zapobiegawczego w formie pozbawienia wolności (zob. m.in. sprawa </w:t>
      </w:r>
      <w:r w:rsidR="005E12EE" w:rsidRPr="00F76FFE">
        <w:rPr>
          <w:i/>
          <w:lang w:val="pl-PL"/>
        </w:rPr>
        <w:t>I.A. przeciwko Francji</w:t>
      </w:r>
      <w:r w:rsidR="005E12EE" w:rsidRPr="00F76FFE">
        <w:rPr>
          <w:lang w:val="pl-PL"/>
        </w:rPr>
        <w:t>, wyrok z dnia 23 września 1998 r.</w:t>
      </w:r>
      <w:r w:rsidR="00124CEF" w:rsidRPr="00F76FFE">
        <w:rPr>
          <w:lang w:val="pl-PL"/>
        </w:rPr>
        <w:t>, Zbiór Wyroków i D</w:t>
      </w:r>
      <w:r w:rsidR="005E12EE" w:rsidRPr="00F76FFE">
        <w:rPr>
          <w:lang w:val="pl-PL"/>
        </w:rPr>
        <w:t xml:space="preserve">ecyzji 1998-VII, str. 2979, § 102; sprawa </w:t>
      </w:r>
      <w:proofErr w:type="spellStart"/>
      <w:r w:rsidR="005E12EE" w:rsidRPr="00F76FFE">
        <w:rPr>
          <w:i/>
          <w:lang w:val="pl-PL"/>
        </w:rPr>
        <w:t>Labita</w:t>
      </w:r>
      <w:proofErr w:type="spellEnd"/>
      <w:r w:rsidR="005E12EE" w:rsidRPr="00F76FFE">
        <w:rPr>
          <w:i/>
          <w:lang w:val="pl-PL"/>
        </w:rPr>
        <w:t xml:space="preserve"> przeciwko Włochom</w:t>
      </w:r>
      <w:r w:rsidR="005E12EE" w:rsidRPr="00F76FFE">
        <w:rPr>
          <w:lang w:val="pl-PL"/>
        </w:rPr>
        <w:t xml:space="preserve"> [GC], </w:t>
      </w:r>
      <w:r w:rsidR="00BC09F8" w:rsidRPr="00F76FFE">
        <w:rPr>
          <w:lang w:val="pl-PL"/>
        </w:rPr>
        <w:t>skarga nr</w:t>
      </w:r>
      <w:r w:rsidR="005E12EE" w:rsidRPr="00F76FFE">
        <w:rPr>
          <w:lang w:val="pl-PL"/>
        </w:rPr>
        <w:t xml:space="preserve"> 26772/95, § 153, </w:t>
      </w:r>
      <w:proofErr w:type="spellStart"/>
      <w:r w:rsidR="005E12EE" w:rsidRPr="00F76FFE">
        <w:rPr>
          <w:lang w:val="pl-PL"/>
        </w:rPr>
        <w:t>ETPCz</w:t>
      </w:r>
      <w:proofErr w:type="spellEnd"/>
      <w:r w:rsidR="005E12EE" w:rsidRPr="00F76FFE">
        <w:rPr>
          <w:lang w:val="pl-PL"/>
        </w:rPr>
        <w:t xml:space="preserve"> 2000–IV).</w:t>
      </w:r>
      <w:r w:rsidR="002A2C70" w:rsidRPr="00F76FFE">
        <w:rPr>
          <w:rFonts w:ascii="Times New Roman" w:eastAsia="Times New Roman" w:hAnsi="Times New Roman" w:cs="Times New Roman"/>
          <w:szCs w:val="24"/>
          <w:lang w:val="pl-PL"/>
        </w:rPr>
        <w:t xml:space="preserve"> </w:t>
      </w:r>
      <w:r w:rsidR="00124CEF" w:rsidRPr="00F76FFE">
        <w:rPr>
          <w:lang w:val="pl-PL"/>
        </w:rPr>
        <w:t>Po drugie, nawet gdy</w:t>
      </w:r>
      <w:r w:rsidR="005E12EE" w:rsidRPr="00F76FFE">
        <w:rPr>
          <w:lang w:val="pl-PL"/>
        </w:rPr>
        <w:t xml:space="preserve"> ze względu na szczególne okoliczności sprawy, tymczasowe aresztowanie zostanie przedłużone poza dopuszczalny okres ogólnie przyjęty w orzecznictwie Trybunału, działanie takie musi opierać s</w:t>
      </w:r>
      <w:r w:rsidR="00124CEF" w:rsidRPr="00F76FFE">
        <w:rPr>
          <w:lang w:val="pl-PL"/>
        </w:rPr>
        <w:t>ię na</w:t>
      </w:r>
      <w:r w:rsidR="005E12EE" w:rsidRPr="00F76FFE">
        <w:rPr>
          <w:lang w:val="pl-PL"/>
        </w:rPr>
        <w:t xml:space="preserve"> szczególnie m</w:t>
      </w:r>
      <w:r w:rsidR="00124CEF" w:rsidRPr="00F76FFE">
        <w:rPr>
          <w:lang w:val="pl-PL"/>
        </w:rPr>
        <w:t>ocnych</w:t>
      </w:r>
      <w:r w:rsidR="005E12EE" w:rsidRPr="00F76FFE">
        <w:rPr>
          <w:lang w:val="pl-PL"/>
        </w:rPr>
        <w:t xml:space="preserve"> podstaw</w:t>
      </w:r>
      <w:r w:rsidR="00124CEF" w:rsidRPr="00F76FFE">
        <w:rPr>
          <w:lang w:val="pl-PL"/>
        </w:rPr>
        <w:t>ach</w:t>
      </w:r>
      <w:r w:rsidR="005E12EE" w:rsidRPr="00F76FFE">
        <w:rPr>
          <w:lang w:val="pl-PL"/>
        </w:rPr>
        <w:t>. Trybunał zauważa w tym względzie, że w pierwszym postępowaniu sądy krajowe powołały się dwukrotnie na fakt, że skarżący został oskarżony między innymi o manipulowanie świadkiem z użyciem przemocy (</w:t>
      </w:r>
      <w:r w:rsidR="00124CEF" w:rsidRPr="00F76FFE">
        <w:rPr>
          <w:lang w:val="pl-PL"/>
        </w:rPr>
        <w:t>zob.</w:t>
      </w:r>
      <w:r w:rsidR="005E12EE" w:rsidRPr="00F76FFE">
        <w:rPr>
          <w:lang w:val="pl-PL"/>
        </w:rPr>
        <w:t xml:space="preserve"> pkt 8 i 25 powyżej); uważa jednak, że podstawa ta powinna była zostać poddana </w:t>
      </w:r>
      <w:proofErr w:type="spellStart"/>
      <w:r w:rsidR="005E12EE" w:rsidRPr="00F76FFE">
        <w:rPr>
          <w:lang w:val="pl-PL"/>
        </w:rPr>
        <w:t>ponowszej</w:t>
      </w:r>
      <w:proofErr w:type="spellEnd"/>
      <w:r w:rsidR="005E12EE" w:rsidRPr="00F76FFE">
        <w:rPr>
          <w:lang w:val="pl-PL"/>
        </w:rPr>
        <w:t xml:space="preserve"> dokładnej ocenie w świetle okoliczności sprawy na późniejszych etapach postępowania.</w:t>
      </w:r>
    </w:p>
    <w:p w:rsidR="002A2C70" w:rsidRPr="00F76FFE" w:rsidRDefault="00D34787" w:rsidP="00C2299F">
      <w:pPr>
        <w:pStyle w:val="ECHRPara"/>
        <w:rPr>
          <w:rFonts w:ascii="Times New Roman" w:eastAsia="Times New Roman" w:hAnsi="Times New Roman" w:cs="Times New Roman"/>
          <w:szCs w:val="24"/>
          <w:lang w:val="pl-PL"/>
        </w:rPr>
      </w:pPr>
      <w:r w:rsidRPr="00F76FFE">
        <w:rPr>
          <w:rFonts w:ascii="Times New Roman" w:eastAsia="Times New Roman" w:hAnsi="Times New Roman" w:cs="Times New Roman"/>
          <w:szCs w:val="24"/>
        </w:rPr>
        <w:fldChar w:fldCharType="begin"/>
      </w:r>
      <w:r w:rsidR="002A2C70" w:rsidRPr="00F76FFE">
        <w:rPr>
          <w:rFonts w:ascii="Times New Roman" w:eastAsia="Times New Roman" w:hAnsi="Times New Roman" w:cs="Times New Roman"/>
          <w:szCs w:val="24"/>
          <w:lang w:val="pl-PL"/>
        </w:rPr>
        <w:instrText xml:space="preserve"> SEQ level0 \*arabic </w:instrText>
      </w:r>
      <w:r w:rsidRPr="00F76FFE">
        <w:rPr>
          <w:rFonts w:ascii="Times New Roman" w:eastAsia="Times New Roman" w:hAnsi="Times New Roman" w:cs="Times New Roman"/>
          <w:szCs w:val="24"/>
        </w:rPr>
        <w:fldChar w:fldCharType="separate"/>
      </w:r>
      <w:r w:rsidR="00C2299F" w:rsidRPr="00F76FFE">
        <w:rPr>
          <w:rFonts w:ascii="Times New Roman" w:eastAsia="Times New Roman" w:hAnsi="Times New Roman" w:cs="Times New Roman"/>
          <w:noProof/>
          <w:szCs w:val="24"/>
          <w:lang w:val="pl-PL"/>
        </w:rPr>
        <w:t>58</w:t>
      </w:r>
      <w:r w:rsidRPr="00F76FFE">
        <w:rPr>
          <w:rFonts w:ascii="Times New Roman" w:eastAsia="Times New Roman" w:hAnsi="Times New Roman" w:cs="Times New Roman"/>
          <w:szCs w:val="24"/>
        </w:rPr>
        <w:fldChar w:fldCharType="end"/>
      </w:r>
      <w:r w:rsidR="002A2C70" w:rsidRPr="00F76FFE">
        <w:rPr>
          <w:rFonts w:ascii="Times New Roman" w:eastAsia="Times New Roman" w:hAnsi="Times New Roman" w:cs="Times New Roman"/>
          <w:szCs w:val="24"/>
          <w:lang w:val="pl-PL"/>
        </w:rPr>
        <w:t>.  </w:t>
      </w:r>
      <w:r w:rsidR="005E12EE" w:rsidRPr="00F76FFE">
        <w:rPr>
          <w:lang w:val="pl-PL"/>
        </w:rPr>
        <w:t>W związku z okolicznościami w niniejszej sprawie, sądy krajowe powinny były rozważyć możliwość zastosowania mniej restrykcyjnych środków w celu zagwarantowania prawidłowego toku postępowania. Trybunał bierze pod uwagę szczególne trudny charakter postępowania w sprawach dotyczących zorganizowanych grup przestępczych, a także fakt, że w drugim postępowaniu władze postanowiły zmienić środek zapobiegawczy i uchylić areszt dla skarżącego po upływie dwóch lat pozbawienia wolności po wpłaceniu kaucji.</w:t>
      </w:r>
      <w:r w:rsidR="002A2C70" w:rsidRPr="00F76FFE">
        <w:rPr>
          <w:rFonts w:ascii="Times New Roman" w:eastAsia="Times New Roman" w:hAnsi="Times New Roman" w:cs="Times New Roman"/>
          <w:szCs w:val="24"/>
          <w:lang w:val="pl-PL"/>
        </w:rPr>
        <w:t xml:space="preserve"> </w:t>
      </w:r>
      <w:r w:rsidR="005E12EE" w:rsidRPr="00F76FFE">
        <w:rPr>
          <w:lang w:val="pl-PL"/>
        </w:rPr>
        <w:t>Jednak pobyt skarżącego w areszcie w związku z pierwszym postępowaniem trwał prawie trzy lata i sześć miesięcy. W związku z tym wraz z upływem czasu, podstawy, na które powoływały się władze nie mogą być uznane za „odpowiednie” i „wystarczające”, aby uzasadnić pobyt skarżącego w areszcie przez tak długi okres. W tych okolicznościach nie zachodzi konieczność rozpoznania, czy postępowanie było prowadzone ze szczególną starannością.</w:t>
      </w:r>
    </w:p>
    <w:p w:rsidR="002A2C70" w:rsidRPr="00F76FFE" w:rsidRDefault="005E12EE" w:rsidP="00C2299F">
      <w:pPr>
        <w:pStyle w:val="ECHRPara"/>
        <w:rPr>
          <w:lang w:val="pl-PL"/>
        </w:rPr>
      </w:pPr>
      <w:r w:rsidRPr="00F76FFE">
        <w:rPr>
          <w:lang w:val="pl-PL"/>
        </w:rPr>
        <w:t xml:space="preserve">Doszło zatem do naruszenia </w:t>
      </w:r>
      <w:r w:rsidR="00124CEF" w:rsidRPr="00F76FFE">
        <w:rPr>
          <w:lang w:val="pl-PL"/>
        </w:rPr>
        <w:t>art.</w:t>
      </w:r>
      <w:r w:rsidRPr="00F76FFE">
        <w:rPr>
          <w:lang w:val="pl-PL"/>
        </w:rPr>
        <w:t xml:space="preserve"> 5 § 3 Konwencji.</w:t>
      </w:r>
    </w:p>
    <w:p w:rsidR="002A2C70" w:rsidRPr="00F76FFE" w:rsidRDefault="005E12EE" w:rsidP="005E12EE">
      <w:pPr>
        <w:pStyle w:val="ECHRHeading1"/>
        <w:rPr>
          <w:lang w:val="pl-PL"/>
        </w:rPr>
      </w:pPr>
      <w:r w:rsidRPr="00F76FFE">
        <w:rPr>
          <w:lang w:val="pl-PL"/>
        </w:rPr>
        <w:lastRenderedPageBreak/>
        <w:t>II.</w:t>
      </w:r>
      <w:r w:rsidR="002A2C70" w:rsidRPr="00F76FFE">
        <w:rPr>
          <w:lang w:val="pl-PL"/>
        </w:rPr>
        <w:t>  </w:t>
      </w:r>
      <w:r w:rsidRPr="00F76FFE">
        <w:rPr>
          <w:lang w:val="pl-PL"/>
        </w:rPr>
        <w:t>ZASTOSOWANIE ART</w:t>
      </w:r>
      <w:r w:rsidR="00124CEF" w:rsidRPr="00F76FFE">
        <w:rPr>
          <w:lang w:val="pl-PL"/>
        </w:rPr>
        <w:t>.</w:t>
      </w:r>
      <w:r w:rsidRPr="00F76FFE">
        <w:rPr>
          <w:lang w:val="pl-PL"/>
        </w:rPr>
        <w:t xml:space="preserve"> 41 KONWENCJI</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59</w:t>
      </w:r>
      <w:r w:rsidRPr="00F76FFE">
        <w:rPr>
          <w:lang w:val="en-GB"/>
        </w:rPr>
        <w:fldChar w:fldCharType="end"/>
      </w:r>
      <w:r w:rsidR="002A2C70" w:rsidRPr="00F76FFE">
        <w:rPr>
          <w:lang w:val="pl-PL"/>
        </w:rPr>
        <w:t>.  </w:t>
      </w:r>
      <w:r w:rsidR="005E12EE" w:rsidRPr="00F76FFE">
        <w:rPr>
          <w:lang w:val="pl-PL"/>
        </w:rPr>
        <w:t>Artykuł 41 Konwencji stanowi:</w:t>
      </w:r>
    </w:p>
    <w:p w:rsidR="002A2C70" w:rsidRPr="00F76FFE" w:rsidRDefault="005E12EE" w:rsidP="005E12EE">
      <w:pPr>
        <w:pStyle w:val="ECHRParaQuote"/>
        <w:keepNext/>
        <w:keepLines/>
        <w:rPr>
          <w:lang w:val="pl-PL"/>
        </w:rPr>
      </w:pPr>
      <w:r w:rsidRPr="00F76FFE">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2A2C70" w:rsidRPr="00F76FFE" w:rsidRDefault="00D34787" w:rsidP="00C2299F">
      <w:pPr>
        <w:pStyle w:val="ECHRPara"/>
        <w:rPr>
          <w:lang w:val="pl-PL"/>
        </w:rPr>
      </w:pPr>
      <w:r w:rsidRPr="00F76FFE">
        <w:rPr>
          <w:lang w:val="en-GB"/>
        </w:rPr>
        <w:fldChar w:fldCharType="begin"/>
      </w:r>
      <w:r w:rsidR="002A2C70" w:rsidRPr="00F76FFE">
        <w:rPr>
          <w:lang w:val="pl-PL"/>
        </w:rPr>
        <w:instrText xml:space="preserve"> SEQ level0 \*arabic </w:instrText>
      </w:r>
      <w:r w:rsidRPr="00F76FFE">
        <w:rPr>
          <w:lang w:val="en-GB"/>
        </w:rPr>
        <w:fldChar w:fldCharType="separate"/>
      </w:r>
      <w:r w:rsidR="00C2299F" w:rsidRPr="00F76FFE">
        <w:rPr>
          <w:noProof/>
          <w:lang w:val="pl-PL"/>
        </w:rPr>
        <w:t>60</w:t>
      </w:r>
      <w:r w:rsidRPr="00F76FFE">
        <w:rPr>
          <w:lang w:val="en-GB"/>
        </w:rPr>
        <w:fldChar w:fldCharType="end"/>
      </w:r>
      <w:r w:rsidR="002A2C70" w:rsidRPr="00F76FFE">
        <w:rPr>
          <w:lang w:val="pl-PL"/>
        </w:rPr>
        <w:t>.  </w:t>
      </w:r>
      <w:r w:rsidR="005E12EE" w:rsidRPr="00F76FFE">
        <w:rPr>
          <w:lang w:val="pl-PL"/>
        </w:rPr>
        <w:t>Skarżący nie zgłosił roszczenia z tytułu zadośćuczynienia ani nie domagał się zwrotu kosztów lub wydatków. W związku z tym Trybunał stwierdza</w:t>
      </w:r>
      <w:r w:rsidR="00124CEF" w:rsidRPr="00F76FFE">
        <w:rPr>
          <w:lang w:val="pl-PL"/>
        </w:rPr>
        <w:t xml:space="preserve"> brak roszczeń</w:t>
      </w:r>
      <w:r w:rsidR="005E12EE" w:rsidRPr="00F76FFE">
        <w:rPr>
          <w:lang w:val="pl-PL"/>
        </w:rPr>
        <w:t xml:space="preserve"> do przyznania mu </w:t>
      </w:r>
      <w:r w:rsidR="00124CEF" w:rsidRPr="00F76FFE">
        <w:rPr>
          <w:lang w:val="pl-PL"/>
        </w:rPr>
        <w:t>jakiejkolwiek</w:t>
      </w:r>
      <w:r w:rsidR="005E12EE" w:rsidRPr="00F76FFE">
        <w:rPr>
          <w:lang w:val="pl-PL"/>
        </w:rPr>
        <w:t xml:space="preserve"> sumy z tego tytułu.</w:t>
      </w:r>
    </w:p>
    <w:p w:rsidR="002A2C70" w:rsidRPr="00F76FFE" w:rsidRDefault="005E12EE" w:rsidP="005E12EE">
      <w:pPr>
        <w:pStyle w:val="ECHRTitle1"/>
        <w:rPr>
          <w:lang w:val="pl-PL"/>
        </w:rPr>
      </w:pPr>
      <w:r w:rsidRPr="00F76FFE">
        <w:rPr>
          <w:lang w:val="pl-PL"/>
        </w:rPr>
        <w:t>Z TYCH POWODÓW TRYBUNAŁ JEDNOMYŚLNIE</w:t>
      </w:r>
    </w:p>
    <w:p w:rsidR="002A2C70" w:rsidRPr="00F76FFE" w:rsidRDefault="005E12EE" w:rsidP="00C2299F">
      <w:pPr>
        <w:pStyle w:val="JuList"/>
        <w:rPr>
          <w:lang w:val="pl-PL"/>
        </w:rPr>
      </w:pPr>
      <w:r w:rsidRPr="00F76FFE">
        <w:rPr>
          <w:lang w:val="pl-PL"/>
        </w:rPr>
        <w:t xml:space="preserve">1.  </w:t>
      </w:r>
      <w:r w:rsidRPr="00F76FFE">
        <w:rPr>
          <w:i/>
          <w:lang w:val="pl-PL"/>
        </w:rPr>
        <w:t xml:space="preserve">Uznaje </w:t>
      </w:r>
      <w:r w:rsidRPr="00F76FFE">
        <w:rPr>
          <w:lang w:val="pl-PL"/>
        </w:rPr>
        <w:t>skargę dotyczącą art. 5 § 3 Konwencji za dopuszczalną;</w:t>
      </w:r>
    </w:p>
    <w:p w:rsidR="002A2C70" w:rsidRPr="00F76FFE" w:rsidRDefault="002A2C70" w:rsidP="00C2299F">
      <w:pPr>
        <w:pStyle w:val="JuList"/>
        <w:rPr>
          <w:lang w:val="pl-PL"/>
        </w:rPr>
      </w:pPr>
      <w:bookmarkStart w:id="0" w:name="_GoBack"/>
      <w:bookmarkEnd w:id="0"/>
    </w:p>
    <w:p w:rsidR="002A2C70" w:rsidRPr="00F76FFE" w:rsidRDefault="005E12EE" w:rsidP="00C2299F">
      <w:pPr>
        <w:pStyle w:val="JuList"/>
        <w:rPr>
          <w:lang w:val="pl-PL"/>
        </w:rPr>
      </w:pPr>
      <w:r w:rsidRPr="00F76FFE">
        <w:rPr>
          <w:lang w:val="pl-PL"/>
        </w:rPr>
        <w:t xml:space="preserve">2.  </w:t>
      </w:r>
      <w:r w:rsidRPr="00F76FFE">
        <w:rPr>
          <w:i/>
          <w:lang w:val="pl-PL"/>
        </w:rPr>
        <w:t>Stwierdza</w:t>
      </w:r>
      <w:r w:rsidRPr="00F76FFE">
        <w:rPr>
          <w:lang w:val="pl-PL"/>
        </w:rPr>
        <w:t xml:space="preserve">, że doszło do naruszenia </w:t>
      </w:r>
      <w:r w:rsidR="00124CEF" w:rsidRPr="00F76FFE">
        <w:rPr>
          <w:lang w:val="pl-PL"/>
        </w:rPr>
        <w:t>art.</w:t>
      </w:r>
      <w:r w:rsidRPr="00F76FFE">
        <w:rPr>
          <w:lang w:val="pl-PL"/>
        </w:rPr>
        <w:t xml:space="preserve"> 5 § 3 Konwencji.</w:t>
      </w:r>
    </w:p>
    <w:p w:rsidR="002A2C70" w:rsidRPr="00F76FFE" w:rsidRDefault="005E12EE" w:rsidP="005E12EE">
      <w:pPr>
        <w:pStyle w:val="JuParaLast"/>
        <w:rPr>
          <w:lang w:val="pl-PL"/>
        </w:rPr>
      </w:pPr>
      <w:r w:rsidRPr="00F76FFE">
        <w:rPr>
          <w:lang w:val="pl-PL"/>
        </w:rPr>
        <w:t>Sporządzono w języku angielskim i złożono na piśmie w dniu 23 lutego 2016 r. zgodnie z art. 77 §§ 2 i 3 Regulaminu Trybunału.</w:t>
      </w:r>
    </w:p>
    <w:p w:rsidR="00EB447C" w:rsidRPr="00F76FFE" w:rsidRDefault="002A2C70" w:rsidP="005E12EE">
      <w:pPr>
        <w:pStyle w:val="JuSigned"/>
        <w:keepNext/>
        <w:keepLines/>
        <w:rPr>
          <w:lang w:val="pl-PL"/>
        </w:rPr>
      </w:pPr>
      <w:r w:rsidRPr="00F76FFE">
        <w:rPr>
          <w:lang w:val="pl-PL"/>
        </w:rPr>
        <w:tab/>
      </w:r>
      <w:proofErr w:type="spellStart"/>
      <w:r w:rsidR="005E12EE" w:rsidRPr="00F76FFE">
        <w:rPr>
          <w:lang w:val="pl-PL"/>
        </w:rPr>
        <w:t>Fatoş</w:t>
      </w:r>
      <w:proofErr w:type="spellEnd"/>
      <w:r w:rsidR="005E12EE" w:rsidRPr="00F76FFE">
        <w:rPr>
          <w:lang w:val="pl-PL"/>
        </w:rPr>
        <w:t xml:space="preserve"> </w:t>
      </w:r>
      <w:proofErr w:type="spellStart"/>
      <w:r w:rsidR="005E12EE" w:rsidRPr="00F76FFE">
        <w:rPr>
          <w:lang w:val="pl-PL"/>
        </w:rPr>
        <w:t>Aracı</w:t>
      </w:r>
      <w:proofErr w:type="spellEnd"/>
      <w:r w:rsidRPr="00F76FFE">
        <w:rPr>
          <w:lang w:val="pl-PL"/>
        </w:rPr>
        <w:tab/>
      </w:r>
      <w:r w:rsidR="005E12EE" w:rsidRPr="00F76FFE">
        <w:rPr>
          <w:lang w:val="pl-PL"/>
        </w:rPr>
        <w:t xml:space="preserve">Nona </w:t>
      </w:r>
      <w:proofErr w:type="spellStart"/>
      <w:r w:rsidR="005E12EE" w:rsidRPr="00F76FFE">
        <w:rPr>
          <w:lang w:val="pl-PL"/>
        </w:rPr>
        <w:t>Tsotsoria</w:t>
      </w:r>
      <w:proofErr w:type="spellEnd"/>
      <w:r w:rsidRPr="00F76FFE">
        <w:rPr>
          <w:lang w:val="pl-PL"/>
        </w:rPr>
        <w:br/>
      </w:r>
      <w:r w:rsidRPr="00F76FFE">
        <w:rPr>
          <w:lang w:val="pl-PL"/>
        </w:rPr>
        <w:tab/>
      </w:r>
      <w:r w:rsidR="005E12EE" w:rsidRPr="00F76FFE">
        <w:rPr>
          <w:lang w:val="pl-PL"/>
        </w:rPr>
        <w:t>Zastępca Kanclerza</w:t>
      </w:r>
      <w:r w:rsidRPr="00F76FFE">
        <w:rPr>
          <w:lang w:val="pl-PL"/>
        </w:rPr>
        <w:tab/>
      </w:r>
      <w:r w:rsidR="005E12EE" w:rsidRPr="00F76FFE">
        <w:rPr>
          <w:lang w:val="pl-PL"/>
        </w:rPr>
        <w:t>Przewodnicząca</w:t>
      </w:r>
    </w:p>
    <w:p w:rsidR="00C2299F" w:rsidRPr="00F76FFE" w:rsidRDefault="00C2299F" w:rsidP="00C2299F">
      <w:pPr>
        <w:pStyle w:val="JuParaLast"/>
        <w:rPr>
          <w:lang w:val="pl-PL"/>
        </w:rPr>
      </w:pPr>
    </w:p>
    <w:sectPr w:rsidR="00C2299F" w:rsidRPr="00F76FFE" w:rsidSect="000B7195">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2D6" w:rsidRDefault="00C922D6" w:rsidP="0098410D">
      <w:r>
        <w:separator/>
      </w:r>
    </w:p>
  </w:endnote>
  <w:endnote w:type="continuationSeparator" w:id="0">
    <w:p w:rsidR="00C922D6" w:rsidRDefault="00C922D6"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A00002EF" w:usb1="40002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C70" w:rsidRPr="00150BFA" w:rsidRDefault="002A2C70" w:rsidP="0020718E">
    <w:pPr>
      <w:jc w:val="center"/>
    </w:pPr>
    <w:r>
      <w:rPr>
        <w:noProof/>
        <w:lang w:val="pl-PL" w:eastAsia="pl-PL"/>
      </w:rPr>
      <w:drawing>
        <wp:inline distT="0" distB="0" distL="0" distR="0" wp14:anchorId="1BD13D61" wp14:editId="452C62A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881CDE" w:rsidRDefault="0098410D" w:rsidP="00AF12C5">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C922D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0B7195" w:rsidRDefault="00C922D6" w:rsidP="00AF12C5">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2D6" w:rsidRDefault="00C922D6" w:rsidP="0098410D">
      <w:r>
        <w:separator/>
      </w:r>
    </w:p>
  </w:footnote>
  <w:footnote w:type="continuationSeparator" w:id="0">
    <w:p w:rsidR="00C922D6" w:rsidRDefault="00C922D6" w:rsidP="00984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C70" w:rsidRPr="00A45145" w:rsidRDefault="002A2C70" w:rsidP="00A45145">
    <w:pPr>
      <w:jc w:val="center"/>
    </w:pPr>
    <w:r>
      <w:rPr>
        <w:noProof/>
        <w:lang w:val="pl-PL" w:eastAsia="pl-PL"/>
      </w:rPr>
      <w:drawing>
        <wp:inline distT="0" distB="0" distL="0" distR="0" wp14:anchorId="507A6B27" wp14:editId="036D8699">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881CDE"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C70" w:rsidRPr="00A45145" w:rsidRDefault="002A2C70" w:rsidP="00A45145">
    <w:pPr>
      <w:jc w:val="center"/>
    </w:pPr>
    <w:r>
      <w:rPr>
        <w:noProof/>
        <w:lang w:val="pl-PL" w:eastAsia="pl-PL"/>
      </w:rPr>
      <w:drawing>
        <wp:inline distT="0" distB="0" distL="0" distR="0" wp14:anchorId="52D11474" wp14:editId="3A0A8F0A">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4D0EC7" w:rsidRDefault="00D34787" w:rsidP="004D0EC7">
    <w:pPr>
      <w:pStyle w:val="ECHRHeader"/>
      <w:rPr>
        <w:lang w:val="en-GB"/>
      </w:rPr>
    </w:pPr>
    <w:r>
      <w:rPr>
        <w:rStyle w:val="Numerstrony"/>
        <w:lang w:val="en-GB"/>
      </w:rPr>
      <w:fldChar w:fldCharType="begin"/>
    </w:r>
    <w:r w:rsidR="002A2C70">
      <w:rPr>
        <w:rStyle w:val="Numerstrony"/>
        <w:lang w:val="en-GB"/>
      </w:rPr>
      <w:instrText xml:space="preserve"> PAGE </w:instrText>
    </w:r>
    <w:r>
      <w:rPr>
        <w:rStyle w:val="Numerstrony"/>
        <w:lang w:val="en-GB"/>
      </w:rPr>
      <w:fldChar w:fldCharType="separate"/>
    </w:r>
    <w:r w:rsidR="00F76FFE">
      <w:rPr>
        <w:rStyle w:val="Numerstrony"/>
        <w:noProof/>
        <w:lang w:val="en-GB"/>
      </w:rPr>
      <w:t>2</w:t>
    </w:r>
    <w:r>
      <w:rPr>
        <w:rStyle w:val="Numerstrony"/>
        <w:lang w:val="en-GB"/>
      </w:rPr>
      <w:fldChar w:fldCharType="end"/>
    </w:r>
    <w:r w:rsidR="00882CD5" w:rsidRPr="004D0EC7">
      <w:rPr>
        <w:lang w:val="en-GB"/>
      </w:rPr>
      <w:tab/>
    </w:r>
    <w:r w:rsidR="002A2C70">
      <w:rPr>
        <w:lang w:val="en-GB"/>
      </w:rPr>
      <w:t>MATCZAK v. POLAND</w:t>
    </w:r>
    <w:r w:rsidR="008E3A08">
      <w:rPr>
        <w:lang w:val="en-GB"/>
      </w:rP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882CD5" w:rsidRDefault="00882CD5" w:rsidP="00882CD5">
    <w:pPr>
      <w:pStyle w:val="ECHRHeader"/>
      <w:rPr>
        <w:lang w:val="en-GB"/>
      </w:rPr>
    </w:pPr>
    <w:r w:rsidRPr="00882CD5">
      <w:rPr>
        <w:lang w:val="en-GB"/>
      </w:rPr>
      <w:tab/>
    </w:r>
    <w:r w:rsidR="002A2C70">
      <w:rPr>
        <w:lang w:val="en-GB"/>
      </w:rPr>
      <w:t>MATCZAK v. POLAND</w:t>
    </w:r>
    <w:r w:rsidRPr="00882CD5">
      <w:rPr>
        <w:lang w:val="en-GB"/>
      </w:rPr>
      <w:t xml:space="preserve"> JUDGMENT</w:t>
    </w:r>
    <w:r w:rsidRPr="00882CD5">
      <w:rPr>
        <w:lang w:val="en-GB"/>
      </w:rPr>
      <w:tab/>
    </w:r>
    <w:r w:rsidR="00D34787">
      <w:rPr>
        <w:rStyle w:val="Numerstrony"/>
        <w:lang w:val="en-GB"/>
      </w:rPr>
      <w:fldChar w:fldCharType="begin"/>
    </w:r>
    <w:r w:rsidR="002A2C70">
      <w:rPr>
        <w:rStyle w:val="Numerstrony"/>
        <w:lang w:val="en-GB"/>
      </w:rPr>
      <w:instrText xml:space="preserve"> PAGE </w:instrText>
    </w:r>
    <w:r w:rsidR="00D34787">
      <w:rPr>
        <w:rStyle w:val="Numerstrony"/>
        <w:lang w:val="en-GB"/>
      </w:rPr>
      <w:fldChar w:fldCharType="separate"/>
    </w:r>
    <w:r w:rsidR="00F76FFE">
      <w:rPr>
        <w:rStyle w:val="Numerstrony"/>
        <w:noProof/>
        <w:lang w:val="en-GB"/>
      </w:rPr>
      <w:t>1</w:t>
    </w:r>
    <w:r w:rsidR="00D34787">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2091593"/>
    <w:multiLevelType w:val="hybridMultilevel"/>
    <w:tmpl w:val="2982D8FE"/>
    <w:lvl w:ilvl="0" w:tplc="F6FCAD12">
      <w:start w:val="1"/>
      <w:numFmt w:val="upperLetter"/>
      <w:lvlText w:val="%1."/>
      <w:lvlJc w:val="left"/>
      <w:pPr>
        <w:ind w:left="592" w:hanging="360"/>
      </w:pPr>
      <w:rPr>
        <w:rFonts w:hint="default"/>
      </w:rPr>
    </w:lvl>
    <w:lvl w:ilvl="1" w:tplc="08090019" w:tentative="1">
      <w:start w:val="1"/>
      <w:numFmt w:val="lowerLetter"/>
      <w:lvlText w:val="%2."/>
      <w:lvlJc w:val="left"/>
      <w:pPr>
        <w:ind w:left="1312" w:hanging="360"/>
      </w:pPr>
    </w:lvl>
    <w:lvl w:ilvl="2" w:tplc="0809001B" w:tentative="1">
      <w:start w:val="1"/>
      <w:numFmt w:val="lowerRoman"/>
      <w:lvlText w:val="%3."/>
      <w:lvlJc w:val="right"/>
      <w:pPr>
        <w:ind w:left="2032" w:hanging="180"/>
      </w:pPr>
    </w:lvl>
    <w:lvl w:ilvl="3" w:tplc="0809000F" w:tentative="1">
      <w:start w:val="1"/>
      <w:numFmt w:val="decimal"/>
      <w:lvlText w:val="%4."/>
      <w:lvlJc w:val="left"/>
      <w:pPr>
        <w:ind w:left="2752" w:hanging="360"/>
      </w:pPr>
    </w:lvl>
    <w:lvl w:ilvl="4" w:tplc="08090019" w:tentative="1">
      <w:start w:val="1"/>
      <w:numFmt w:val="lowerLetter"/>
      <w:lvlText w:val="%5."/>
      <w:lvlJc w:val="left"/>
      <w:pPr>
        <w:ind w:left="3472" w:hanging="360"/>
      </w:pPr>
    </w:lvl>
    <w:lvl w:ilvl="5" w:tplc="0809001B" w:tentative="1">
      <w:start w:val="1"/>
      <w:numFmt w:val="lowerRoman"/>
      <w:lvlText w:val="%6."/>
      <w:lvlJc w:val="right"/>
      <w:pPr>
        <w:ind w:left="4192" w:hanging="180"/>
      </w:pPr>
    </w:lvl>
    <w:lvl w:ilvl="6" w:tplc="0809000F" w:tentative="1">
      <w:start w:val="1"/>
      <w:numFmt w:val="decimal"/>
      <w:lvlText w:val="%7."/>
      <w:lvlJc w:val="left"/>
      <w:pPr>
        <w:ind w:left="4912" w:hanging="360"/>
      </w:pPr>
    </w:lvl>
    <w:lvl w:ilvl="7" w:tplc="08090019" w:tentative="1">
      <w:start w:val="1"/>
      <w:numFmt w:val="lowerLetter"/>
      <w:lvlText w:val="%8."/>
      <w:lvlJc w:val="left"/>
      <w:pPr>
        <w:ind w:left="5632" w:hanging="360"/>
      </w:pPr>
    </w:lvl>
    <w:lvl w:ilvl="8" w:tplc="0809001B" w:tentative="1">
      <w:start w:val="1"/>
      <w:numFmt w:val="lowerRoman"/>
      <w:lvlText w:val="%9."/>
      <w:lvlJc w:val="right"/>
      <w:pPr>
        <w:ind w:left="6352" w:hanging="180"/>
      </w:pPr>
    </w:lvl>
  </w:abstractNum>
  <w:abstractNum w:abstractNumId="11">
    <w:nsid w:val="1791539C"/>
    <w:multiLevelType w:val="hybridMultilevel"/>
    <w:tmpl w:val="A91ACA5C"/>
    <w:lvl w:ilvl="0" w:tplc="D542CF92">
      <w:start w:val="1"/>
      <w:numFmt w:val="decimal"/>
      <w:lvlText w:val="%1."/>
      <w:lvlJc w:val="left"/>
      <w:pPr>
        <w:ind w:left="791" w:hanging="360"/>
      </w:pPr>
      <w:rPr>
        <w:rFonts w:hint="default"/>
      </w:rPr>
    </w:lvl>
    <w:lvl w:ilvl="1" w:tplc="08090019" w:tentative="1">
      <w:start w:val="1"/>
      <w:numFmt w:val="lowerLetter"/>
      <w:lvlText w:val="%2."/>
      <w:lvlJc w:val="left"/>
      <w:pPr>
        <w:ind w:left="1511" w:hanging="360"/>
      </w:pPr>
    </w:lvl>
    <w:lvl w:ilvl="2" w:tplc="0809001B" w:tentative="1">
      <w:start w:val="1"/>
      <w:numFmt w:val="lowerRoman"/>
      <w:lvlText w:val="%3."/>
      <w:lvlJc w:val="right"/>
      <w:pPr>
        <w:ind w:left="2231" w:hanging="180"/>
      </w:pPr>
    </w:lvl>
    <w:lvl w:ilvl="3" w:tplc="0809000F" w:tentative="1">
      <w:start w:val="1"/>
      <w:numFmt w:val="decimal"/>
      <w:lvlText w:val="%4."/>
      <w:lvlJc w:val="left"/>
      <w:pPr>
        <w:ind w:left="2951" w:hanging="360"/>
      </w:pPr>
    </w:lvl>
    <w:lvl w:ilvl="4" w:tplc="08090019" w:tentative="1">
      <w:start w:val="1"/>
      <w:numFmt w:val="lowerLetter"/>
      <w:lvlText w:val="%5."/>
      <w:lvlJc w:val="left"/>
      <w:pPr>
        <w:ind w:left="3671" w:hanging="360"/>
      </w:pPr>
    </w:lvl>
    <w:lvl w:ilvl="5" w:tplc="0809001B" w:tentative="1">
      <w:start w:val="1"/>
      <w:numFmt w:val="lowerRoman"/>
      <w:lvlText w:val="%6."/>
      <w:lvlJc w:val="right"/>
      <w:pPr>
        <w:ind w:left="4391" w:hanging="180"/>
      </w:pPr>
    </w:lvl>
    <w:lvl w:ilvl="6" w:tplc="0809000F" w:tentative="1">
      <w:start w:val="1"/>
      <w:numFmt w:val="decimal"/>
      <w:lvlText w:val="%7."/>
      <w:lvlJc w:val="left"/>
      <w:pPr>
        <w:ind w:left="5111" w:hanging="360"/>
      </w:pPr>
    </w:lvl>
    <w:lvl w:ilvl="7" w:tplc="08090019" w:tentative="1">
      <w:start w:val="1"/>
      <w:numFmt w:val="lowerLetter"/>
      <w:lvlText w:val="%8."/>
      <w:lvlJc w:val="left"/>
      <w:pPr>
        <w:ind w:left="5831" w:hanging="360"/>
      </w:pPr>
    </w:lvl>
    <w:lvl w:ilvl="8" w:tplc="0809001B" w:tentative="1">
      <w:start w:val="1"/>
      <w:numFmt w:val="lowerRoman"/>
      <w:lvlText w:val="%9."/>
      <w:lvlJc w:val="right"/>
      <w:pPr>
        <w:ind w:left="6551" w:hanging="180"/>
      </w:pPr>
    </w:lvl>
  </w:abstractNum>
  <w:abstractNum w:abstractNumId="12">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6C25351"/>
    <w:multiLevelType w:val="hybridMultilevel"/>
    <w:tmpl w:val="D792B8C0"/>
    <w:lvl w:ilvl="0" w:tplc="E50EF814">
      <w:start w:val="1"/>
      <w:numFmt w:val="lowerLetter"/>
      <w:lvlText w:val="%1)"/>
      <w:lvlJc w:val="left"/>
      <w:pPr>
        <w:ind w:left="995" w:hanging="360"/>
      </w:pPr>
      <w:rPr>
        <w:rFonts w:hint="default"/>
      </w:rPr>
    </w:lvl>
    <w:lvl w:ilvl="1" w:tplc="08090019" w:tentative="1">
      <w:start w:val="1"/>
      <w:numFmt w:val="lowerLetter"/>
      <w:lvlText w:val="%2."/>
      <w:lvlJc w:val="left"/>
      <w:pPr>
        <w:ind w:left="1715" w:hanging="360"/>
      </w:pPr>
    </w:lvl>
    <w:lvl w:ilvl="2" w:tplc="0809001B" w:tentative="1">
      <w:start w:val="1"/>
      <w:numFmt w:val="lowerRoman"/>
      <w:lvlText w:val="%3."/>
      <w:lvlJc w:val="right"/>
      <w:pPr>
        <w:ind w:left="2435" w:hanging="180"/>
      </w:pPr>
    </w:lvl>
    <w:lvl w:ilvl="3" w:tplc="0809000F" w:tentative="1">
      <w:start w:val="1"/>
      <w:numFmt w:val="decimal"/>
      <w:lvlText w:val="%4."/>
      <w:lvlJc w:val="left"/>
      <w:pPr>
        <w:ind w:left="3155" w:hanging="360"/>
      </w:pPr>
    </w:lvl>
    <w:lvl w:ilvl="4" w:tplc="08090019" w:tentative="1">
      <w:start w:val="1"/>
      <w:numFmt w:val="lowerLetter"/>
      <w:lvlText w:val="%5."/>
      <w:lvlJc w:val="left"/>
      <w:pPr>
        <w:ind w:left="3875" w:hanging="360"/>
      </w:pPr>
    </w:lvl>
    <w:lvl w:ilvl="5" w:tplc="0809001B" w:tentative="1">
      <w:start w:val="1"/>
      <w:numFmt w:val="lowerRoman"/>
      <w:lvlText w:val="%6."/>
      <w:lvlJc w:val="right"/>
      <w:pPr>
        <w:ind w:left="4595" w:hanging="180"/>
      </w:pPr>
    </w:lvl>
    <w:lvl w:ilvl="6" w:tplc="0809000F" w:tentative="1">
      <w:start w:val="1"/>
      <w:numFmt w:val="decimal"/>
      <w:lvlText w:val="%7."/>
      <w:lvlJc w:val="left"/>
      <w:pPr>
        <w:ind w:left="5315" w:hanging="360"/>
      </w:pPr>
    </w:lvl>
    <w:lvl w:ilvl="7" w:tplc="08090019" w:tentative="1">
      <w:start w:val="1"/>
      <w:numFmt w:val="lowerLetter"/>
      <w:lvlText w:val="%8."/>
      <w:lvlJc w:val="left"/>
      <w:pPr>
        <w:ind w:left="6035" w:hanging="360"/>
      </w:pPr>
    </w:lvl>
    <w:lvl w:ilvl="8" w:tplc="0809001B" w:tentative="1">
      <w:start w:val="1"/>
      <w:numFmt w:val="lowerRoman"/>
      <w:lvlText w:val="%9."/>
      <w:lvlJc w:val="right"/>
      <w:pPr>
        <w:ind w:left="6755" w:hanging="180"/>
      </w:pPr>
    </w:lvl>
  </w:abstractNum>
  <w:abstractNum w:abstractNumId="17">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nsid w:val="73170644"/>
    <w:multiLevelType w:val="hybridMultilevel"/>
    <w:tmpl w:val="3062666E"/>
    <w:lvl w:ilvl="0" w:tplc="FCFE656A">
      <w:start w:val="1"/>
      <w:numFmt w:val="lowerLetter"/>
      <w:lvlText w:val="%1)"/>
      <w:lvlJc w:val="left"/>
      <w:pPr>
        <w:ind w:left="995" w:hanging="360"/>
      </w:pPr>
      <w:rPr>
        <w:rFonts w:hint="default"/>
      </w:rPr>
    </w:lvl>
    <w:lvl w:ilvl="1" w:tplc="08090019" w:tentative="1">
      <w:start w:val="1"/>
      <w:numFmt w:val="lowerLetter"/>
      <w:lvlText w:val="%2."/>
      <w:lvlJc w:val="left"/>
      <w:pPr>
        <w:ind w:left="1715" w:hanging="360"/>
      </w:pPr>
    </w:lvl>
    <w:lvl w:ilvl="2" w:tplc="0809001B" w:tentative="1">
      <w:start w:val="1"/>
      <w:numFmt w:val="lowerRoman"/>
      <w:lvlText w:val="%3."/>
      <w:lvlJc w:val="right"/>
      <w:pPr>
        <w:ind w:left="2435" w:hanging="180"/>
      </w:pPr>
    </w:lvl>
    <w:lvl w:ilvl="3" w:tplc="0809000F" w:tentative="1">
      <w:start w:val="1"/>
      <w:numFmt w:val="decimal"/>
      <w:lvlText w:val="%4."/>
      <w:lvlJc w:val="left"/>
      <w:pPr>
        <w:ind w:left="3155" w:hanging="360"/>
      </w:pPr>
    </w:lvl>
    <w:lvl w:ilvl="4" w:tplc="08090019" w:tentative="1">
      <w:start w:val="1"/>
      <w:numFmt w:val="lowerLetter"/>
      <w:lvlText w:val="%5."/>
      <w:lvlJc w:val="left"/>
      <w:pPr>
        <w:ind w:left="3875" w:hanging="360"/>
      </w:pPr>
    </w:lvl>
    <w:lvl w:ilvl="5" w:tplc="0809001B" w:tentative="1">
      <w:start w:val="1"/>
      <w:numFmt w:val="lowerRoman"/>
      <w:lvlText w:val="%6."/>
      <w:lvlJc w:val="right"/>
      <w:pPr>
        <w:ind w:left="4595" w:hanging="180"/>
      </w:pPr>
    </w:lvl>
    <w:lvl w:ilvl="6" w:tplc="0809000F" w:tentative="1">
      <w:start w:val="1"/>
      <w:numFmt w:val="decimal"/>
      <w:lvlText w:val="%7."/>
      <w:lvlJc w:val="left"/>
      <w:pPr>
        <w:ind w:left="5315" w:hanging="360"/>
      </w:pPr>
    </w:lvl>
    <w:lvl w:ilvl="7" w:tplc="08090019" w:tentative="1">
      <w:start w:val="1"/>
      <w:numFmt w:val="lowerLetter"/>
      <w:lvlText w:val="%8."/>
      <w:lvlJc w:val="left"/>
      <w:pPr>
        <w:ind w:left="6035" w:hanging="360"/>
      </w:pPr>
    </w:lvl>
    <w:lvl w:ilvl="8" w:tplc="0809001B" w:tentative="1">
      <w:start w:val="1"/>
      <w:numFmt w:val="lowerRoman"/>
      <w:lvlText w:val="%9."/>
      <w:lvlJc w:val="right"/>
      <w:pPr>
        <w:ind w:left="6755" w:hanging="180"/>
      </w:pPr>
    </w:lvl>
  </w:abstractNum>
  <w:abstractNum w:abstractNumId="19">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4"/>
  </w:num>
  <w:num w:numId="2">
    <w:abstractNumId w:val="19"/>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9"/>
  </w:num>
  <w:num w:numId="6">
    <w:abstractNumId w:val="19"/>
  </w:num>
  <w:num w:numId="7">
    <w:abstractNumId w:val="9"/>
  </w:num>
  <w:num w:numId="8">
    <w:abstractNumId w:val="6"/>
  </w:num>
  <w:num w:numId="9">
    <w:abstractNumId w:val="17"/>
  </w:num>
  <w:num w:numId="10">
    <w:abstractNumId w:val="15"/>
  </w:num>
  <w:num w:numId="11">
    <w:abstractNumId w:val="13"/>
  </w:num>
  <w:num w:numId="12">
    <w:abstractNumId w:val="12"/>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0"/>
  </w:num>
  <w:num w:numId="22">
    <w:abstractNumId w:val="11"/>
  </w:num>
  <w:num w:numId="23">
    <w:abstractNumId w:val="18"/>
  </w:num>
  <w:num w:numId="24">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doNotDisplayPageBoundaries/>
  <w:hideSpellingErrors/>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09"/>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A2C70"/>
    <w:rsid w:val="000041F8"/>
    <w:rsid w:val="000042A8"/>
    <w:rsid w:val="00004308"/>
    <w:rsid w:val="00005BF0"/>
    <w:rsid w:val="00007154"/>
    <w:rsid w:val="000103AE"/>
    <w:rsid w:val="00011D69"/>
    <w:rsid w:val="00012AD3"/>
    <w:rsid w:val="00015C2D"/>
    <w:rsid w:val="00015F00"/>
    <w:rsid w:val="00020C57"/>
    <w:rsid w:val="00022C1D"/>
    <w:rsid w:val="00026F63"/>
    <w:rsid w:val="00034987"/>
    <w:rsid w:val="000602DF"/>
    <w:rsid w:val="00061B05"/>
    <w:rsid w:val="000632D5"/>
    <w:rsid w:val="000644EE"/>
    <w:rsid w:val="00065CBD"/>
    <w:rsid w:val="000760B7"/>
    <w:rsid w:val="00086163"/>
    <w:rsid w:val="00090B4E"/>
    <w:rsid w:val="000925AD"/>
    <w:rsid w:val="000A24EB"/>
    <w:rsid w:val="000B6923"/>
    <w:rsid w:val="000B7195"/>
    <w:rsid w:val="000C56D0"/>
    <w:rsid w:val="000C5F3C"/>
    <w:rsid w:val="000C6DCC"/>
    <w:rsid w:val="000D47AA"/>
    <w:rsid w:val="000D721F"/>
    <w:rsid w:val="000E069B"/>
    <w:rsid w:val="000E0E82"/>
    <w:rsid w:val="000E1DC5"/>
    <w:rsid w:val="000E223F"/>
    <w:rsid w:val="000E2A6D"/>
    <w:rsid w:val="000E61A4"/>
    <w:rsid w:val="000E7D45"/>
    <w:rsid w:val="000F7851"/>
    <w:rsid w:val="00101505"/>
    <w:rsid w:val="00104E23"/>
    <w:rsid w:val="0010791E"/>
    <w:rsid w:val="00110DA8"/>
    <w:rsid w:val="00111B0C"/>
    <w:rsid w:val="00120D6C"/>
    <w:rsid w:val="00124CEF"/>
    <w:rsid w:val="001257EC"/>
    <w:rsid w:val="00133D33"/>
    <w:rsid w:val="00134D64"/>
    <w:rsid w:val="00135A30"/>
    <w:rsid w:val="00135B0B"/>
    <w:rsid w:val="0013612C"/>
    <w:rsid w:val="00137FF6"/>
    <w:rsid w:val="0014071B"/>
    <w:rsid w:val="00141650"/>
    <w:rsid w:val="00162889"/>
    <w:rsid w:val="00162A12"/>
    <w:rsid w:val="00166530"/>
    <w:rsid w:val="001802DE"/>
    <w:rsid w:val="001832BD"/>
    <w:rsid w:val="001943B5"/>
    <w:rsid w:val="00195134"/>
    <w:rsid w:val="001A145B"/>
    <w:rsid w:val="001A189D"/>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612"/>
    <w:rsid w:val="00230D00"/>
    <w:rsid w:val="00231DF7"/>
    <w:rsid w:val="00231FD1"/>
    <w:rsid w:val="002339E0"/>
    <w:rsid w:val="00233CF8"/>
    <w:rsid w:val="0023575D"/>
    <w:rsid w:val="00237148"/>
    <w:rsid w:val="0024222D"/>
    <w:rsid w:val="00244B0E"/>
    <w:rsid w:val="00244F6C"/>
    <w:rsid w:val="00252B50"/>
    <w:rsid w:val="002532C5"/>
    <w:rsid w:val="00260C03"/>
    <w:rsid w:val="0026540E"/>
    <w:rsid w:val="00275123"/>
    <w:rsid w:val="00282240"/>
    <w:rsid w:val="00287AD5"/>
    <w:rsid w:val="002948AD"/>
    <w:rsid w:val="002A01CC"/>
    <w:rsid w:val="002A2C70"/>
    <w:rsid w:val="002A5AB1"/>
    <w:rsid w:val="002A61B1"/>
    <w:rsid w:val="002A663C"/>
    <w:rsid w:val="002B444B"/>
    <w:rsid w:val="002B5887"/>
    <w:rsid w:val="002C0E27"/>
    <w:rsid w:val="002C3040"/>
    <w:rsid w:val="002C4433"/>
    <w:rsid w:val="002C623D"/>
    <w:rsid w:val="002D022D"/>
    <w:rsid w:val="002D24BB"/>
    <w:rsid w:val="002F2AF7"/>
    <w:rsid w:val="002F7E1C"/>
    <w:rsid w:val="00301A75"/>
    <w:rsid w:val="00302F70"/>
    <w:rsid w:val="0030336F"/>
    <w:rsid w:val="0030375E"/>
    <w:rsid w:val="00312A30"/>
    <w:rsid w:val="00320F72"/>
    <w:rsid w:val="0032463E"/>
    <w:rsid w:val="00326224"/>
    <w:rsid w:val="0033210C"/>
    <w:rsid w:val="0033433A"/>
    <w:rsid w:val="00337EE4"/>
    <w:rsid w:val="00340FFD"/>
    <w:rsid w:val="00345C41"/>
    <w:rsid w:val="003506B1"/>
    <w:rsid w:val="00355F1D"/>
    <w:rsid w:val="00356AC7"/>
    <w:rsid w:val="003609FA"/>
    <w:rsid w:val="0036387C"/>
    <w:rsid w:val="003710C8"/>
    <w:rsid w:val="003750BE"/>
    <w:rsid w:val="00387B9D"/>
    <w:rsid w:val="0039364F"/>
    <w:rsid w:val="003957C0"/>
    <w:rsid w:val="00396686"/>
    <w:rsid w:val="0039778E"/>
    <w:rsid w:val="003B4941"/>
    <w:rsid w:val="003C5714"/>
    <w:rsid w:val="003C6B9F"/>
    <w:rsid w:val="003C6E2A"/>
    <w:rsid w:val="003D0299"/>
    <w:rsid w:val="003E2E39"/>
    <w:rsid w:val="003E6D80"/>
    <w:rsid w:val="003F05FA"/>
    <w:rsid w:val="003F244A"/>
    <w:rsid w:val="003F30B8"/>
    <w:rsid w:val="003F4C45"/>
    <w:rsid w:val="003F5F7B"/>
    <w:rsid w:val="003F7D64"/>
    <w:rsid w:val="00414300"/>
    <w:rsid w:val="00420703"/>
    <w:rsid w:val="00425C67"/>
    <w:rsid w:val="00427E7A"/>
    <w:rsid w:val="004341A1"/>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B4BD7"/>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4C5F"/>
    <w:rsid w:val="005173A6"/>
    <w:rsid w:val="00520BAA"/>
    <w:rsid w:val="005217D8"/>
    <w:rsid w:val="00525208"/>
    <w:rsid w:val="005257A5"/>
    <w:rsid w:val="005264C0"/>
    <w:rsid w:val="00526A8A"/>
    <w:rsid w:val="00531DF2"/>
    <w:rsid w:val="005322DC"/>
    <w:rsid w:val="005442EE"/>
    <w:rsid w:val="00545DA6"/>
    <w:rsid w:val="00547353"/>
    <w:rsid w:val="005474E7"/>
    <w:rsid w:val="005512A3"/>
    <w:rsid w:val="005578CE"/>
    <w:rsid w:val="00562781"/>
    <w:rsid w:val="00562B6C"/>
    <w:rsid w:val="0057271C"/>
    <w:rsid w:val="00572845"/>
    <w:rsid w:val="00592772"/>
    <w:rsid w:val="0059574A"/>
    <w:rsid w:val="00596B6E"/>
    <w:rsid w:val="005A1B9B"/>
    <w:rsid w:val="005A6751"/>
    <w:rsid w:val="005B092E"/>
    <w:rsid w:val="005B152C"/>
    <w:rsid w:val="005B1EE0"/>
    <w:rsid w:val="005B2B24"/>
    <w:rsid w:val="005B4425"/>
    <w:rsid w:val="005B4B94"/>
    <w:rsid w:val="005C3EE8"/>
    <w:rsid w:val="005D34F9"/>
    <w:rsid w:val="005D4190"/>
    <w:rsid w:val="005D67A3"/>
    <w:rsid w:val="005E12EE"/>
    <w:rsid w:val="005E2988"/>
    <w:rsid w:val="005E3085"/>
    <w:rsid w:val="005F51E1"/>
    <w:rsid w:val="00611C80"/>
    <w:rsid w:val="00612902"/>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2924"/>
    <w:rsid w:val="006A36F4"/>
    <w:rsid w:val="006A406F"/>
    <w:rsid w:val="006A5D3A"/>
    <w:rsid w:val="006C23D4"/>
    <w:rsid w:val="006C6ACB"/>
    <w:rsid w:val="006C7BB0"/>
    <w:rsid w:val="006D3237"/>
    <w:rsid w:val="006E0182"/>
    <w:rsid w:val="006E2E37"/>
    <w:rsid w:val="006E3CF1"/>
    <w:rsid w:val="006E7E80"/>
    <w:rsid w:val="006F136B"/>
    <w:rsid w:val="006F48CA"/>
    <w:rsid w:val="006F64DD"/>
    <w:rsid w:val="0070741A"/>
    <w:rsid w:val="00707C79"/>
    <w:rsid w:val="00715127"/>
    <w:rsid w:val="00715E8E"/>
    <w:rsid w:val="00717C54"/>
    <w:rsid w:val="00723580"/>
    <w:rsid w:val="00723755"/>
    <w:rsid w:val="00725E44"/>
    <w:rsid w:val="007272F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9682B"/>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D5076"/>
    <w:rsid w:val="008E271C"/>
    <w:rsid w:val="008E3A08"/>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6B7E"/>
    <w:rsid w:val="00947AFB"/>
    <w:rsid w:val="00951D7D"/>
    <w:rsid w:val="009630C7"/>
    <w:rsid w:val="00972B55"/>
    <w:rsid w:val="009743B7"/>
    <w:rsid w:val="0098228B"/>
    <w:rsid w:val="009828DA"/>
    <w:rsid w:val="0098410D"/>
    <w:rsid w:val="00985BAB"/>
    <w:rsid w:val="009B1B5F"/>
    <w:rsid w:val="009B6673"/>
    <w:rsid w:val="009C191B"/>
    <w:rsid w:val="009C2BD6"/>
    <w:rsid w:val="009C4F27"/>
    <w:rsid w:val="009E1F32"/>
    <w:rsid w:val="009E776C"/>
    <w:rsid w:val="009F3930"/>
    <w:rsid w:val="00A05F1F"/>
    <w:rsid w:val="00A06550"/>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624D7"/>
    <w:rsid w:val="00B701ED"/>
    <w:rsid w:val="00B748F7"/>
    <w:rsid w:val="00B8086C"/>
    <w:rsid w:val="00B861B4"/>
    <w:rsid w:val="00B86DFE"/>
    <w:rsid w:val="00B90990"/>
    <w:rsid w:val="00B922FF"/>
    <w:rsid w:val="00B9281E"/>
    <w:rsid w:val="00B93925"/>
    <w:rsid w:val="00B95187"/>
    <w:rsid w:val="00BA2D55"/>
    <w:rsid w:val="00BA71B1"/>
    <w:rsid w:val="00BB0637"/>
    <w:rsid w:val="00BB345F"/>
    <w:rsid w:val="00BB68EA"/>
    <w:rsid w:val="00BC09F8"/>
    <w:rsid w:val="00BC1C27"/>
    <w:rsid w:val="00BC6BBF"/>
    <w:rsid w:val="00BD1572"/>
    <w:rsid w:val="00BE14E3"/>
    <w:rsid w:val="00BE3774"/>
    <w:rsid w:val="00BE41E5"/>
    <w:rsid w:val="00BF4109"/>
    <w:rsid w:val="00BF4CC3"/>
    <w:rsid w:val="00C054C7"/>
    <w:rsid w:val="00C057B5"/>
    <w:rsid w:val="00C22687"/>
    <w:rsid w:val="00C2299F"/>
    <w:rsid w:val="00C319E6"/>
    <w:rsid w:val="00C32E4D"/>
    <w:rsid w:val="00C333A0"/>
    <w:rsid w:val="00C36A81"/>
    <w:rsid w:val="00C41974"/>
    <w:rsid w:val="00C53F4A"/>
    <w:rsid w:val="00C54125"/>
    <w:rsid w:val="00C55B54"/>
    <w:rsid w:val="00C6098E"/>
    <w:rsid w:val="00C6152C"/>
    <w:rsid w:val="00C65415"/>
    <w:rsid w:val="00C74810"/>
    <w:rsid w:val="00C83770"/>
    <w:rsid w:val="00C90B94"/>
    <w:rsid w:val="00C90D68"/>
    <w:rsid w:val="00C922D6"/>
    <w:rsid w:val="00C939FE"/>
    <w:rsid w:val="00CA183C"/>
    <w:rsid w:val="00CA4BDA"/>
    <w:rsid w:val="00CB1F66"/>
    <w:rsid w:val="00CB2951"/>
    <w:rsid w:val="00CD282B"/>
    <w:rsid w:val="00CD4C35"/>
    <w:rsid w:val="00CD7369"/>
    <w:rsid w:val="00CE0B0E"/>
    <w:rsid w:val="00CE3831"/>
    <w:rsid w:val="00CF2397"/>
    <w:rsid w:val="00CF38B9"/>
    <w:rsid w:val="00D00ABB"/>
    <w:rsid w:val="00D02EEC"/>
    <w:rsid w:val="00D03551"/>
    <w:rsid w:val="00D06A63"/>
    <w:rsid w:val="00D07E0E"/>
    <w:rsid w:val="00D11478"/>
    <w:rsid w:val="00D15ED0"/>
    <w:rsid w:val="00D21B3E"/>
    <w:rsid w:val="00D21FED"/>
    <w:rsid w:val="00D24251"/>
    <w:rsid w:val="00D343E2"/>
    <w:rsid w:val="00D34787"/>
    <w:rsid w:val="00D361A2"/>
    <w:rsid w:val="00D44C2E"/>
    <w:rsid w:val="00D45414"/>
    <w:rsid w:val="00D5005F"/>
    <w:rsid w:val="00D50A0A"/>
    <w:rsid w:val="00D51431"/>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2D12"/>
    <w:rsid w:val="00E849F7"/>
    <w:rsid w:val="00E90302"/>
    <w:rsid w:val="00E97396"/>
    <w:rsid w:val="00EA185E"/>
    <w:rsid w:val="00EA592A"/>
    <w:rsid w:val="00EB14E4"/>
    <w:rsid w:val="00EB32A5"/>
    <w:rsid w:val="00EB34ED"/>
    <w:rsid w:val="00EB447C"/>
    <w:rsid w:val="00EB7BE0"/>
    <w:rsid w:val="00EC163C"/>
    <w:rsid w:val="00EC315E"/>
    <w:rsid w:val="00ED077C"/>
    <w:rsid w:val="00ED1190"/>
    <w:rsid w:val="00ED6544"/>
    <w:rsid w:val="00EE0277"/>
    <w:rsid w:val="00EE3E00"/>
    <w:rsid w:val="00EE5DD2"/>
    <w:rsid w:val="00EE657F"/>
    <w:rsid w:val="00EF3DB4"/>
    <w:rsid w:val="00F00A79"/>
    <w:rsid w:val="00F00E86"/>
    <w:rsid w:val="00F04BD8"/>
    <w:rsid w:val="00F07C1E"/>
    <w:rsid w:val="00F105DB"/>
    <w:rsid w:val="00F132BC"/>
    <w:rsid w:val="00F13D80"/>
    <w:rsid w:val="00F16AAA"/>
    <w:rsid w:val="00F1709C"/>
    <w:rsid w:val="00F21161"/>
    <w:rsid w:val="00F218EF"/>
    <w:rsid w:val="00F21BC7"/>
    <w:rsid w:val="00F266A2"/>
    <w:rsid w:val="00F2702C"/>
    <w:rsid w:val="00F32269"/>
    <w:rsid w:val="00F473CD"/>
    <w:rsid w:val="00F56A6F"/>
    <w:rsid w:val="00F5709C"/>
    <w:rsid w:val="00F64EF1"/>
    <w:rsid w:val="00F76FFE"/>
    <w:rsid w:val="00F8765F"/>
    <w:rsid w:val="00F90767"/>
    <w:rsid w:val="00FA685B"/>
    <w:rsid w:val="00FB0C01"/>
    <w:rsid w:val="00FB5F69"/>
    <w:rsid w:val="00FC18F2"/>
    <w:rsid w:val="00FC1B94"/>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8" w:unhideWhenUsed="0" w:qFormat="1"/>
    <w:lsdException w:name="heading 2" w:uiPriority="98" w:qFormat="1"/>
    <w:lsdException w:name="heading 3" w:uiPriority="98" w:qFormat="1"/>
    <w:lsdException w:name="heading 4" w:uiPriority="98" w:qFormat="1"/>
    <w:lsdException w:name="heading 5" w:qFormat="1"/>
    <w:lsdException w:name="heading 6" w:uiPriority="98"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8410D"/>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1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841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8410D"/>
    <w:rPr>
      <w:i/>
      <w:iCs/>
      <w:smallCaps/>
      <w:spacing w:val="5"/>
    </w:rPr>
  </w:style>
  <w:style w:type="paragraph" w:customStyle="1" w:styleId="ECHRHeader">
    <w:name w:val="ECHR_Header"/>
    <w:aliases w:val="Ju_Header"/>
    <w:basedOn w:val="Nagwek"/>
    <w:uiPriority w:val="4"/>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Pogrubienie">
    <w:name w:val="Strong"/>
    <w:uiPriority w:val="99"/>
    <w:semiHidden/>
    <w:qFormat/>
    <w:rsid w:val="0098410D"/>
    <w:rPr>
      <w:b/>
      <w:bCs/>
    </w:rPr>
  </w:style>
  <w:style w:type="paragraph" w:styleId="Bezodstpw">
    <w:name w:val="No Spacing"/>
    <w:basedOn w:val="Normalny"/>
    <w:link w:val="BezodstpwZnak"/>
    <w:semiHidden/>
    <w:qFormat/>
    <w:rsid w:val="0098410D"/>
    <w:rPr>
      <w:sz w:val="22"/>
    </w:rPr>
  </w:style>
  <w:style w:type="character" w:customStyle="1" w:styleId="BezodstpwZnak">
    <w:name w:val="Bez odstępów Znak"/>
    <w:basedOn w:val="Domylnaczcionkaakapitu"/>
    <w:link w:val="Bezodstpw"/>
    <w:semiHidden/>
    <w:rsid w:val="0098410D"/>
    <w:rPr>
      <w:rFonts w:eastAsiaTheme="minorEastAsia"/>
    </w:rPr>
  </w:style>
  <w:style w:type="paragraph" w:customStyle="1" w:styleId="ECHRParaQuote">
    <w:name w:val="ECHR_Para_Quote"/>
    <w:aliases w:val="Ju_Quot"/>
    <w:basedOn w:val="Normalny"/>
    <w:uiPriority w:val="14"/>
    <w:qFormat/>
    <w:rsid w:val="0098410D"/>
    <w:pPr>
      <w:spacing w:before="120" w:after="120"/>
      <w:ind w:left="425" w:firstLine="142"/>
    </w:pPr>
    <w:rPr>
      <w:sz w:val="20"/>
    </w:rPr>
  </w:style>
  <w:style w:type="paragraph" w:customStyle="1" w:styleId="JuParaSub">
    <w:name w:val="Ju_Para_Sub"/>
    <w:basedOn w:val="ECHRPara"/>
    <w:uiPriority w:val="13"/>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
    <w:basedOn w:val="Normalny"/>
    <w:next w:val="ECHRParaQuote"/>
    <w:uiPriority w:val="27"/>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410D"/>
    <w:pPr>
      <w:ind w:left="567"/>
    </w:pPr>
  </w:style>
  <w:style w:type="paragraph" w:customStyle="1" w:styleId="ECHRTitle1">
    <w:name w:val="ECHR_Title_1"/>
    <w:aliases w:val="Ju_H_Head"/>
    <w:basedOn w:val="Normalny"/>
    <w:next w:val="ECHRPara"/>
    <w:uiPriority w:val="18"/>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410D"/>
    <w:pPr>
      <w:tabs>
        <w:tab w:val="center" w:pos="6407"/>
      </w:tabs>
      <w:spacing w:before="720"/>
      <w:jc w:val="right"/>
    </w:pPr>
  </w:style>
  <w:style w:type="paragraph" w:customStyle="1" w:styleId="JuSigned">
    <w:name w:val="Ju_Signed"/>
    <w:basedOn w:val="Normalny"/>
    <w:next w:val="JuParaLast"/>
    <w:link w:val="JuSignedChar"/>
    <w:uiPriority w:val="32"/>
    <w:qFormat/>
    <w:rsid w:val="0098410D"/>
    <w:pPr>
      <w:tabs>
        <w:tab w:val="center" w:pos="851"/>
        <w:tab w:val="center" w:pos="6407"/>
      </w:tabs>
      <w:spacing w:before="720"/>
      <w:jc w:val="left"/>
    </w:pPr>
  </w:style>
  <w:style w:type="paragraph" w:styleId="Tytu">
    <w:name w:val="Title"/>
    <w:basedOn w:val="Normalny"/>
    <w:next w:val="Normalny"/>
    <w:link w:val="TytuZnak"/>
    <w:uiPriority w:val="99"/>
    <w:semiHidden/>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omylnaczcionkaakapitu"/>
    <w:uiPriority w:val="38"/>
    <w:qFormat/>
    <w:rsid w:val="0098410D"/>
    <w:rPr>
      <w:vanish/>
      <w:color w:val="339966"/>
      <w:sz w:val="14"/>
    </w:rPr>
  </w:style>
  <w:style w:type="paragraph" w:customStyle="1" w:styleId="OpiTranslation">
    <w:name w:val="Opi_Translation"/>
    <w:basedOn w:val="Normalny"/>
    <w:next w:val="OpiPara"/>
    <w:uiPriority w:val="40"/>
    <w:qFormat/>
    <w:rsid w:val="0098410D"/>
    <w:pPr>
      <w:jc w:val="center"/>
      <w:outlineLvl w:val="0"/>
    </w:pPr>
    <w:rPr>
      <w:i/>
    </w:rPr>
  </w:style>
  <w:style w:type="paragraph" w:customStyle="1" w:styleId="JuCourt">
    <w:name w:val="Ju_Court"/>
    <w:basedOn w:val="Normalny"/>
    <w:next w:val="Normalny"/>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uiPriority w:val="19"/>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841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841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30"/>
    <w:qFormat/>
    <w:rsid w:val="0098410D"/>
    <w:pPr>
      <w:keepNext/>
      <w:keepLines/>
      <w:spacing w:before="240"/>
      <w:ind w:firstLine="284"/>
    </w:pPr>
  </w:style>
  <w:style w:type="paragraph" w:customStyle="1" w:styleId="ECHRDecisionBody">
    <w:name w:val="ECHR_Decision_Body"/>
    <w:aliases w:val="Ju_Judges"/>
    <w:basedOn w:val="Normalny"/>
    <w:link w:val="JuJudgesChar"/>
    <w:uiPriority w:val="11"/>
    <w:qFormat/>
    <w:rsid w:val="0098410D"/>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uiPriority w:val="28"/>
    <w:qFormat/>
    <w:rsid w:val="0098410D"/>
    <w:pPr>
      <w:ind w:left="340" w:hanging="340"/>
    </w:pPr>
  </w:style>
  <w:style w:type="character" w:customStyle="1" w:styleId="Nagwek5Znak">
    <w:name w:val="Nagłówek 5 Znak"/>
    <w:basedOn w:val="Domylnaczcionkaakapitu"/>
    <w:link w:val="Nagwek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ny"/>
    <w:next w:val="JuLista"/>
    <w:uiPriority w:val="28"/>
    <w:qFormat/>
    <w:rsid w:val="0098410D"/>
    <w:pPr>
      <w:ind w:left="794"/>
    </w:pPr>
  </w:style>
  <w:style w:type="character" w:styleId="Wyrnieniedelikatne">
    <w:name w:val="Subtle Emphasis"/>
    <w:uiPriority w:val="99"/>
    <w:semiHidden/>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ny"/>
    <w:semiHidden/>
    <w:qFormat/>
    <w:rsid w:val="0098410D"/>
    <w:rPr>
      <w:color w:val="00B050"/>
    </w:rPr>
  </w:style>
  <w:style w:type="character" w:styleId="Uwydatnienie">
    <w:name w:val="Emphasis"/>
    <w:uiPriority w:val="99"/>
    <w:semiHidden/>
    <w:qFormat/>
    <w:rsid w:val="0098410D"/>
    <w:rPr>
      <w:b/>
      <w:bCs/>
      <w:i/>
      <w:iCs/>
      <w:spacing w:val="10"/>
      <w:bdr w:val="none" w:sz="0" w:space="0" w:color="auto"/>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841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841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41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41747"/>
    <w:rPr>
      <w:color w:val="0072BC" w:themeColor="hyperlink"/>
      <w:u w:val="single"/>
    </w:rPr>
  </w:style>
  <w:style w:type="character" w:styleId="Wyrnienieintensywne">
    <w:name w:val="Intense Emphasis"/>
    <w:uiPriority w:val="99"/>
    <w:semiHidden/>
    <w:qFormat/>
    <w:rsid w:val="0098410D"/>
    <w:rPr>
      <w:b/>
      <w:bCs/>
    </w:rPr>
  </w:style>
  <w:style w:type="paragraph" w:styleId="Cytatintensywny">
    <w:name w:val="Intense Quote"/>
    <w:basedOn w:val="Normalny"/>
    <w:next w:val="Normalny"/>
    <w:link w:val="CytatintensywnyZnak"/>
    <w:uiPriority w:val="99"/>
    <w:semiHidden/>
    <w:qFormat/>
    <w:rsid w:val="009841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8410D"/>
    <w:rPr>
      <w:rFonts w:eastAsiaTheme="minorEastAsia"/>
      <w:b/>
      <w:bCs/>
      <w:i/>
      <w:iCs/>
      <w:lang w:bidi="en-US"/>
    </w:rPr>
  </w:style>
  <w:style w:type="character" w:styleId="Odwoanieintensywne">
    <w:name w:val="Intense Reference"/>
    <w:uiPriority w:val="99"/>
    <w:semiHidden/>
    <w:qFormat/>
    <w:rsid w:val="0098410D"/>
    <w:rPr>
      <w:smallCaps/>
      <w:spacing w:val="5"/>
      <w:u w:val="single"/>
    </w:rPr>
  </w:style>
  <w:style w:type="paragraph" w:styleId="Akapitzlist">
    <w:name w:val="List Paragraph"/>
    <w:basedOn w:val="Normalny"/>
    <w:uiPriority w:val="99"/>
    <w:semiHidden/>
    <w:qFormat/>
    <w:rsid w:val="009841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8410D"/>
    <w:pPr>
      <w:spacing w:before="200"/>
      <w:ind w:left="360" w:right="360"/>
    </w:pPr>
    <w:rPr>
      <w:i/>
      <w:iCs/>
      <w:sz w:val="22"/>
      <w:lang w:bidi="en-US"/>
    </w:rPr>
  </w:style>
  <w:style w:type="character" w:customStyle="1" w:styleId="CytatZnak">
    <w:name w:val="Cytat Znak"/>
    <w:basedOn w:val="Domylnaczcionkaakapitu"/>
    <w:link w:val="Cytat"/>
    <w:uiPriority w:val="99"/>
    <w:semiHidden/>
    <w:rsid w:val="0098410D"/>
    <w:rPr>
      <w:rFonts w:eastAsiaTheme="minorEastAsia"/>
      <w:i/>
      <w:iCs/>
      <w:lang w:bidi="en-US"/>
    </w:rPr>
  </w:style>
  <w:style w:type="character" w:styleId="Odwoaniedelikatne">
    <w:name w:val="Subtle Reference"/>
    <w:uiPriority w:val="99"/>
    <w:semiHidden/>
    <w:qFormat/>
    <w:rsid w:val="0098410D"/>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8410D"/>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98410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410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Left,First line:  0 cm"/>
    <w:basedOn w:val="Normalny"/>
    <w:link w:val="JuParaCar"/>
    <w:uiPriority w:val="12"/>
    <w:qFormat/>
    <w:rsid w:val="0098410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JuParaCar">
    <w:name w:val="Ju_Para Car"/>
    <w:link w:val="ECHRPara"/>
    <w:uiPriority w:val="12"/>
    <w:rsid w:val="002A2C70"/>
    <w:rPr>
      <w:rFonts w:eastAsiaTheme="minorEastAsia"/>
      <w:sz w:val="24"/>
    </w:rPr>
  </w:style>
  <w:style w:type="character" w:customStyle="1" w:styleId="JuHIRomanChar">
    <w:name w:val="Ju_H_I_Roman Char"/>
    <w:link w:val="ECHRHeading1"/>
    <w:uiPriority w:val="19"/>
    <w:rsid w:val="002A2C70"/>
    <w:rPr>
      <w:rFonts w:asciiTheme="majorHAnsi" w:eastAsiaTheme="majorEastAsia" w:hAnsiTheme="majorHAnsi" w:cstheme="majorBidi"/>
      <w:bCs/>
      <w:sz w:val="24"/>
      <w:szCs w:val="28"/>
    </w:rPr>
  </w:style>
  <w:style w:type="character" w:customStyle="1" w:styleId="JuJudgesChar">
    <w:name w:val="Ju_Judges Char"/>
    <w:link w:val="ECHRDecisionBody"/>
    <w:uiPriority w:val="11"/>
    <w:locked/>
    <w:rsid w:val="002A2C70"/>
    <w:rPr>
      <w:rFonts w:eastAsiaTheme="minorEastAsia"/>
      <w:sz w:val="24"/>
    </w:rPr>
  </w:style>
  <w:style w:type="character" w:customStyle="1" w:styleId="JuHAChar">
    <w:name w:val="Ju_H_A Char"/>
    <w:link w:val="ECHRHeading2"/>
    <w:uiPriority w:val="20"/>
    <w:rsid w:val="002A2C70"/>
    <w:rPr>
      <w:rFonts w:asciiTheme="majorHAnsi" w:eastAsiaTheme="majorEastAsia" w:hAnsiTheme="majorHAnsi" w:cstheme="majorBidi"/>
      <w:b/>
      <w:bCs/>
      <w:sz w:val="24"/>
      <w:szCs w:val="26"/>
    </w:rPr>
  </w:style>
  <w:style w:type="character" w:customStyle="1" w:styleId="JuSignedChar">
    <w:name w:val="Ju_Signed Char"/>
    <w:link w:val="JuSigned"/>
    <w:uiPriority w:val="32"/>
    <w:rsid w:val="002A2C70"/>
    <w:rPr>
      <w:rFonts w:eastAsiaTheme="minorEastAsia"/>
      <w:sz w:val="24"/>
    </w:rPr>
  </w:style>
  <w:style w:type="character" w:customStyle="1" w:styleId="JuH1Char">
    <w:name w:val="Ju_H_1. Char"/>
    <w:link w:val="ECHRHeading3"/>
    <w:uiPriority w:val="21"/>
    <w:rsid w:val="002A2C70"/>
    <w:rPr>
      <w:rFonts w:asciiTheme="majorHAnsi" w:eastAsiaTheme="majorEastAsia" w:hAnsiTheme="majorHAnsi" w:cstheme="majorBidi"/>
      <w:bCs/>
      <w:i/>
      <w:sz w:val="24"/>
    </w:rPr>
  </w:style>
  <w:style w:type="character" w:customStyle="1" w:styleId="sb8d990e2">
    <w:name w:val="sb8d990e2"/>
    <w:basedOn w:val="Domylnaczcionkaakapitu"/>
    <w:rsid w:val="002A2C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8" w:unhideWhenUsed="0" w:qFormat="1"/>
    <w:lsdException w:name="heading 2" w:uiPriority="98" w:qFormat="1"/>
    <w:lsdException w:name="heading 3" w:uiPriority="98" w:qFormat="1"/>
    <w:lsdException w:name="heading 4" w:uiPriority="98" w:qFormat="1"/>
    <w:lsdException w:name="heading 5" w:qFormat="1"/>
    <w:lsdException w:name="heading 6" w:uiPriority="98"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8410D"/>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1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841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8410D"/>
    <w:rPr>
      <w:i/>
      <w:iCs/>
      <w:smallCaps/>
      <w:spacing w:val="5"/>
    </w:rPr>
  </w:style>
  <w:style w:type="paragraph" w:customStyle="1" w:styleId="ECHRHeader">
    <w:name w:val="ECHR_Header"/>
    <w:aliases w:val="Ju_Header"/>
    <w:basedOn w:val="Nagwek"/>
    <w:uiPriority w:val="4"/>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Pogrubienie">
    <w:name w:val="Strong"/>
    <w:uiPriority w:val="99"/>
    <w:semiHidden/>
    <w:qFormat/>
    <w:rsid w:val="0098410D"/>
    <w:rPr>
      <w:b/>
      <w:bCs/>
    </w:rPr>
  </w:style>
  <w:style w:type="paragraph" w:styleId="Bezodstpw">
    <w:name w:val="No Spacing"/>
    <w:basedOn w:val="Normalny"/>
    <w:link w:val="BezodstpwZnak"/>
    <w:semiHidden/>
    <w:qFormat/>
    <w:rsid w:val="0098410D"/>
    <w:rPr>
      <w:sz w:val="22"/>
    </w:rPr>
  </w:style>
  <w:style w:type="character" w:customStyle="1" w:styleId="BezodstpwZnak">
    <w:name w:val="Bez odstępów Znak"/>
    <w:basedOn w:val="Domylnaczcionkaakapitu"/>
    <w:link w:val="Bezodstpw"/>
    <w:semiHidden/>
    <w:rsid w:val="0098410D"/>
    <w:rPr>
      <w:rFonts w:eastAsiaTheme="minorEastAsia"/>
    </w:rPr>
  </w:style>
  <w:style w:type="paragraph" w:customStyle="1" w:styleId="ECHRParaQuote">
    <w:name w:val="ECHR_Para_Quote"/>
    <w:aliases w:val="Ju_Quot"/>
    <w:basedOn w:val="Normalny"/>
    <w:uiPriority w:val="14"/>
    <w:qFormat/>
    <w:rsid w:val="0098410D"/>
    <w:pPr>
      <w:spacing w:before="120" w:after="120"/>
      <w:ind w:left="425" w:firstLine="142"/>
    </w:pPr>
    <w:rPr>
      <w:sz w:val="20"/>
    </w:rPr>
  </w:style>
  <w:style w:type="paragraph" w:customStyle="1" w:styleId="JuParaSub">
    <w:name w:val="Ju_Para_Sub"/>
    <w:basedOn w:val="ECHRPara"/>
    <w:uiPriority w:val="13"/>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
    <w:basedOn w:val="Normalny"/>
    <w:next w:val="ECHRParaQuote"/>
    <w:uiPriority w:val="27"/>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410D"/>
    <w:pPr>
      <w:ind w:left="567"/>
    </w:pPr>
  </w:style>
  <w:style w:type="paragraph" w:customStyle="1" w:styleId="ECHRTitle1">
    <w:name w:val="ECHR_Title_1"/>
    <w:aliases w:val="Ju_H_Head"/>
    <w:basedOn w:val="Normalny"/>
    <w:next w:val="ECHRPara"/>
    <w:uiPriority w:val="18"/>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410D"/>
    <w:pPr>
      <w:tabs>
        <w:tab w:val="center" w:pos="6407"/>
      </w:tabs>
      <w:spacing w:before="720"/>
      <w:jc w:val="right"/>
    </w:pPr>
  </w:style>
  <w:style w:type="paragraph" w:customStyle="1" w:styleId="JuSigned">
    <w:name w:val="Ju_Signed"/>
    <w:basedOn w:val="Normalny"/>
    <w:next w:val="JuParaLast"/>
    <w:link w:val="JuSignedChar"/>
    <w:uiPriority w:val="32"/>
    <w:qFormat/>
    <w:rsid w:val="0098410D"/>
    <w:pPr>
      <w:tabs>
        <w:tab w:val="center" w:pos="851"/>
        <w:tab w:val="center" w:pos="6407"/>
      </w:tabs>
      <w:spacing w:before="720"/>
      <w:jc w:val="left"/>
    </w:pPr>
  </w:style>
  <w:style w:type="paragraph" w:styleId="Tytu">
    <w:name w:val="Title"/>
    <w:basedOn w:val="Normalny"/>
    <w:next w:val="Normalny"/>
    <w:link w:val="TytuZnak"/>
    <w:uiPriority w:val="99"/>
    <w:semiHidden/>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omylnaczcionkaakapitu"/>
    <w:uiPriority w:val="38"/>
    <w:qFormat/>
    <w:rsid w:val="0098410D"/>
    <w:rPr>
      <w:vanish/>
      <w:color w:val="339966"/>
      <w:sz w:val="14"/>
    </w:rPr>
  </w:style>
  <w:style w:type="paragraph" w:customStyle="1" w:styleId="OpiTranslation">
    <w:name w:val="Opi_Translation"/>
    <w:basedOn w:val="Normalny"/>
    <w:next w:val="OpiPara"/>
    <w:uiPriority w:val="40"/>
    <w:qFormat/>
    <w:rsid w:val="0098410D"/>
    <w:pPr>
      <w:jc w:val="center"/>
      <w:outlineLvl w:val="0"/>
    </w:pPr>
    <w:rPr>
      <w:i/>
    </w:rPr>
  </w:style>
  <w:style w:type="paragraph" w:customStyle="1" w:styleId="JuCourt">
    <w:name w:val="Ju_Court"/>
    <w:basedOn w:val="Normalny"/>
    <w:next w:val="Normalny"/>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uiPriority w:val="19"/>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841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841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30"/>
    <w:qFormat/>
    <w:rsid w:val="0098410D"/>
    <w:pPr>
      <w:keepNext/>
      <w:keepLines/>
      <w:spacing w:before="240"/>
      <w:ind w:firstLine="284"/>
    </w:pPr>
  </w:style>
  <w:style w:type="paragraph" w:customStyle="1" w:styleId="ECHRDecisionBody">
    <w:name w:val="ECHR_Decision_Body"/>
    <w:aliases w:val="Ju_Judges"/>
    <w:basedOn w:val="Normalny"/>
    <w:link w:val="JuJudgesChar"/>
    <w:uiPriority w:val="11"/>
    <w:qFormat/>
    <w:rsid w:val="0098410D"/>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uiPriority w:val="28"/>
    <w:qFormat/>
    <w:rsid w:val="0098410D"/>
    <w:pPr>
      <w:ind w:left="340" w:hanging="340"/>
    </w:pPr>
  </w:style>
  <w:style w:type="character" w:customStyle="1" w:styleId="Nagwek5Znak">
    <w:name w:val="Nagłówek 5 Znak"/>
    <w:basedOn w:val="Domylnaczcionkaakapitu"/>
    <w:link w:val="Nagwek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ny"/>
    <w:next w:val="JuLista"/>
    <w:uiPriority w:val="28"/>
    <w:qFormat/>
    <w:rsid w:val="0098410D"/>
    <w:pPr>
      <w:ind w:left="794"/>
    </w:pPr>
  </w:style>
  <w:style w:type="character" w:styleId="Wyrnieniedelikatne">
    <w:name w:val="Subtle Emphasis"/>
    <w:uiPriority w:val="99"/>
    <w:semiHidden/>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ny"/>
    <w:semiHidden/>
    <w:qFormat/>
    <w:rsid w:val="0098410D"/>
    <w:rPr>
      <w:color w:val="00B050"/>
    </w:rPr>
  </w:style>
  <w:style w:type="character" w:styleId="Uwydatnienie">
    <w:name w:val="Emphasis"/>
    <w:uiPriority w:val="99"/>
    <w:semiHidden/>
    <w:qFormat/>
    <w:rsid w:val="0098410D"/>
    <w:rPr>
      <w:b/>
      <w:bCs/>
      <w:i/>
      <w:iCs/>
      <w:spacing w:val="10"/>
      <w:bdr w:val="none" w:sz="0" w:space="0" w:color="auto"/>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841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841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41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41747"/>
    <w:rPr>
      <w:color w:val="0072BC" w:themeColor="hyperlink"/>
      <w:u w:val="single"/>
    </w:rPr>
  </w:style>
  <w:style w:type="character" w:styleId="Wyrnienieintensywne">
    <w:name w:val="Intense Emphasis"/>
    <w:uiPriority w:val="99"/>
    <w:semiHidden/>
    <w:qFormat/>
    <w:rsid w:val="0098410D"/>
    <w:rPr>
      <w:b/>
      <w:bCs/>
    </w:rPr>
  </w:style>
  <w:style w:type="paragraph" w:styleId="Cytatintensywny">
    <w:name w:val="Intense Quote"/>
    <w:basedOn w:val="Normalny"/>
    <w:next w:val="Normalny"/>
    <w:link w:val="CytatintensywnyZnak"/>
    <w:uiPriority w:val="99"/>
    <w:semiHidden/>
    <w:qFormat/>
    <w:rsid w:val="009841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8410D"/>
    <w:rPr>
      <w:rFonts w:eastAsiaTheme="minorEastAsia"/>
      <w:b/>
      <w:bCs/>
      <w:i/>
      <w:iCs/>
      <w:lang w:bidi="en-US"/>
    </w:rPr>
  </w:style>
  <w:style w:type="character" w:styleId="Odwoanieintensywne">
    <w:name w:val="Intense Reference"/>
    <w:uiPriority w:val="99"/>
    <w:semiHidden/>
    <w:qFormat/>
    <w:rsid w:val="0098410D"/>
    <w:rPr>
      <w:smallCaps/>
      <w:spacing w:val="5"/>
      <w:u w:val="single"/>
    </w:rPr>
  </w:style>
  <w:style w:type="paragraph" w:styleId="Akapitzlist">
    <w:name w:val="List Paragraph"/>
    <w:basedOn w:val="Normalny"/>
    <w:uiPriority w:val="99"/>
    <w:semiHidden/>
    <w:qFormat/>
    <w:rsid w:val="009841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8410D"/>
    <w:pPr>
      <w:spacing w:before="200"/>
      <w:ind w:left="360" w:right="360"/>
    </w:pPr>
    <w:rPr>
      <w:i/>
      <w:iCs/>
      <w:sz w:val="22"/>
      <w:lang w:bidi="en-US"/>
    </w:rPr>
  </w:style>
  <w:style w:type="character" w:customStyle="1" w:styleId="CytatZnak">
    <w:name w:val="Cytat Znak"/>
    <w:basedOn w:val="Domylnaczcionkaakapitu"/>
    <w:link w:val="Cytat"/>
    <w:uiPriority w:val="99"/>
    <w:semiHidden/>
    <w:rsid w:val="0098410D"/>
    <w:rPr>
      <w:rFonts w:eastAsiaTheme="minorEastAsia"/>
      <w:i/>
      <w:iCs/>
      <w:lang w:bidi="en-US"/>
    </w:rPr>
  </w:style>
  <w:style w:type="character" w:styleId="Odwoaniedelikatne">
    <w:name w:val="Subtle Reference"/>
    <w:uiPriority w:val="99"/>
    <w:semiHidden/>
    <w:qFormat/>
    <w:rsid w:val="0098410D"/>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8410D"/>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98410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410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Left,First line:  0 cm"/>
    <w:basedOn w:val="Normalny"/>
    <w:link w:val="JuParaCar"/>
    <w:uiPriority w:val="12"/>
    <w:qFormat/>
    <w:rsid w:val="0098410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JuParaCar">
    <w:name w:val="Ju_Para Car"/>
    <w:link w:val="ECHRPara"/>
    <w:uiPriority w:val="12"/>
    <w:rsid w:val="002A2C70"/>
    <w:rPr>
      <w:rFonts w:eastAsiaTheme="minorEastAsia"/>
      <w:sz w:val="24"/>
    </w:rPr>
  </w:style>
  <w:style w:type="character" w:customStyle="1" w:styleId="JuHIRomanChar">
    <w:name w:val="Ju_H_I_Roman Char"/>
    <w:link w:val="ECHRHeading1"/>
    <w:uiPriority w:val="19"/>
    <w:rsid w:val="002A2C70"/>
    <w:rPr>
      <w:rFonts w:asciiTheme="majorHAnsi" w:eastAsiaTheme="majorEastAsia" w:hAnsiTheme="majorHAnsi" w:cstheme="majorBidi"/>
      <w:bCs/>
      <w:sz w:val="24"/>
      <w:szCs w:val="28"/>
    </w:rPr>
  </w:style>
  <w:style w:type="character" w:customStyle="1" w:styleId="JuJudgesChar">
    <w:name w:val="Ju_Judges Char"/>
    <w:link w:val="ECHRDecisionBody"/>
    <w:uiPriority w:val="11"/>
    <w:locked/>
    <w:rsid w:val="002A2C70"/>
    <w:rPr>
      <w:rFonts w:eastAsiaTheme="minorEastAsia"/>
      <w:sz w:val="24"/>
    </w:rPr>
  </w:style>
  <w:style w:type="character" w:customStyle="1" w:styleId="JuHAChar">
    <w:name w:val="Ju_H_A Char"/>
    <w:link w:val="ECHRHeading2"/>
    <w:uiPriority w:val="20"/>
    <w:rsid w:val="002A2C70"/>
    <w:rPr>
      <w:rFonts w:asciiTheme="majorHAnsi" w:eastAsiaTheme="majorEastAsia" w:hAnsiTheme="majorHAnsi" w:cstheme="majorBidi"/>
      <w:b/>
      <w:bCs/>
      <w:sz w:val="24"/>
      <w:szCs w:val="26"/>
    </w:rPr>
  </w:style>
  <w:style w:type="character" w:customStyle="1" w:styleId="JuSignedChar">
    <w:name w:val="Ju_Signed Char"/>
    <w:link w:val="JuSigned"/>
    <w:uiPriority w:val="32"/>
    <w:rsid w:val="002A2C70"/>
    <w:rPr>
      <w:rFonts w:eastAsiaTheme="minorEastAsia"/>
      <w:sz w:val="24"/>
    </w:rPr>
  </w:style>
  <w:style w:type="character" w:customStyle="1" w:styleId="JuH1Char">
    <w:name w:val="Ju_H_1. Char"/>
    <w:link w:val="ECHRHeading3"/>
    <w:uiPriority w:val="21"/>
    <w:rsid w:val="002A2C70"/>
    <w:rPr>
      <w:rFonts w:asciiTheme="majorHAnsi" w:eastAsiaTheme="majorEastAsia" w:hAnsiTheme="majorHAnsi" w:cstheme="majorBidi"/>
      <w:bCs/>
      <w:i/>
      <w:sz w:val="24"/>
    </w:rPr>
  </w:style>
  <w:style w:type="character" w:customStyle="1" w:styleId="sb8d990e2">
    <w:name w:val="sb8d990e2"/>
    <w:basedOn w:val="Domylnaczcionkaakapitu"/>
    <w:rsid w:val="002A2C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0FB97-178C-46B5-9C0F-13D45E70D4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6381216-13C9-4132-8931-3550AEA0A25A}">
  <ds:schemaRefs>
    <ds:schemaRef ds:uri="http://schemas.microsoft.com/sharepoint/v3/contenttype/forms"/>
  </ds:schemaRefs>
</ds:datastoreItem>
</file>

<file path=customXml/itemProps3.xml><?xml version="1.0" encoding="utf-8"?>
<ds:datastoreItem xmlns:ds="http://schemas.openxmlformats.org/officeDocument/2006/customXml" ds:itemID="{61423454-2E26-4E77-88DC-7CF14801B2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C9FD89-0E8E-49C1-9EDD-914CBC4B9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3458</Words>
  <Characters>20751</Characters>
  <Application>Microsoft Office Word</Application>
  <DocSecurity>0</DocSecurity>
  <Lines>172</Lines>
  <Paragraphs>48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24161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2016-03-07T15:03:00Z</dcterms:created>
  <dcterms:modified xsi:type="dcterms:W3CDTF">2016-03-10T13:28:00Z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