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C4" w:rsidRPr="0016678F" w:rsidRDefault="006544C4" w:rsidP="00907825">
      <w:pPr>
        <w:jc w:val="center"/>
        <w:rPr>
          <w:lang w:val="fr-FR"/>
        </w:rPr>
      </w:pPr>
      <w:bookmarkStart w:id="0" w:name="_GoBack"/>
    </w:p>
    <w:p w:rsidR="006544C4" w:rsidRPr="0016678F" w:rsidRDefault="006544C4" w:rsidP="00907825">
      <w:pPr>
        <w:jc w:val="center"/>
        <w:rPr>
          <w:lang w:val="fr-FR"/>
        </w:rPr>
      </w:pPr>
    </w:p>
    <w:p w:rsidR="006544C4" w:rsidRPr="0016678F" w:rsidRDefault="004C0798" w:rsidP="00907825">
      <w:pPr>
        <w:pStyle w:val="DecHTitle"/>
        <w:rPr>
          <w:lang w:val="fr-FR"/>
        </w:rPr>
      </w:pPr>
      <w:r>
        <w:rPr>
          <w:szCs w:val="24"/>
          <w:lang w:val="fr-FR"/>
        </w:rPr>
        <w:t>QUATRIÈME SECTION</w:t>
      </w:r>
    </w:p>
    <w:p w:rsidR="006544C4" w:rsidRPr="0016678F" w:rsidRDefault="006544C4" w:rsidP="00907825">
      <w:pPr>
        <w:pStyle w:val="DecHTitle"/>
        <w:rPr>
          <w:caps/>
          <w:sz w:val="32"/>
          <w:lang w:val="fr-FR"/>
        </w:rPr>
      </w:pPr>
      <w:r w:rsidRPr="0016678F">
        <w:rPr>
          <w:lang w:val="fr-FR"/>
        </w:rPr>
        <w:t>DÉCISION</w:t>
      </w:r>
    </w:p>
    <w:p w:rsidR="006544C4" w:rsidRPr="0016678F" w:rsidRDefault="004C0798" w:rsidP="00907825">
      <w:pPr>
        <w:pStyle w:val="ECHRTitleCentre2"/>
        <w:rPr>
          <w:lang w:val="fr-FR"/>
        </w:rPr>
      </w:pPr>
      <w:r w:rsidRPr="0016678F">
        <w:rPr>
          <w:lang w:val="fr-FR"/>
        </w:rPr>
        <w:t>Requête n</w:t>
      </w:r>
      <w:r w:rsidRPr="0016678F">
        <w:rPr>
          <w:vertAlign w:val="superscript"/>
          <w:lang w:val="fr-FR"/>
        </w:rPr>
        <w:t>o</w:t>
      </w:r>
      <w:r w:rsidR="006544C4" w:rsidRPr="0016678F">
        <w:rPr>
          <w:lang w:val="fr-FR"/>
        </w:rPr>
        <w:t xml:space="preserve"> </w:t>
      </w:r>
      <w:r>
        <w:rPr>
          <w:lang w:val="fr-FR"/>
        </w:rPr>
        <w:t>23534/12</w:t>
      </w:r>
      <w:r w:rsidR="006544C4" w:rsidRPr="0016678F">
        <w:rPr>
          <w:lang w:val="fr-FR"/>
        </w:rPr>
        <w:br/>
      </w:r>
      <w:r>
        <w:rPr>
          <w:lang w:val="fr-FR"/>
        </w:rPr>
        <w:t>Grzegorz</w:t>
      </w:r>
      <w:r w:rsidRPr="0016678F">
        <w:rPr>
          <w:lang w:val="fr-FR"/>
        </w:rPr>
        <w:t xml:space="preserve"> </w:t>
      </w:r>
      <w:r>
        <w:rPr>
          <w:lang w:val="fr-FR"/>
        </w:rPr>
        <w:t>KOSIŃSKI</w:t>
      </w:r>
      <w:r w:rsidRPr="0016678F">
        <w:rPr>
          <w:lang w:val="fr-FR"/>
        </w:rPr>
        <w:br/>
      </w:r>
      <w:r w:rsidR="006544C4" w:rsidRPr="0016678F">
        <w:rPr>
          <w:lang w:val="fr-FR"/>
        </w:rPr>
        <w:t xml:space="preserve">contre </w:t>
      </w:r>
      <w:r>
        <w:rPr>
          <w:lang w:val="fr-FR"/>
        </w:rPr>
        <w:t>la</w:t>
      </w:r>
      <w:r w:rsidRPr="0016678F">
        <w:rPr>
          <w:lang w:val="fr-FR"/>
        </w:rPr>
        <w:t xml:space="preserve"> </w:t>
      </w:r>
      <w:r>
        <w:rPr>
          <w:lang w:val="fr-FR"/>
        </w:rPr>
        <w:t>Pologne</w:t>
      </w:r>
    </w:p>
    <w:p w:rsidR="004C0798" w:rsidRPr="0072720E" w:rsidRDefault="004C0798" w:rsidP="0030061A">
      <w:pPr>
        <w:pStyle w:val="ECHRPara"/>
        <w:rPr>
          <w:lang w:val="fr-FR"/>
        </w:rPr>
      </w:pPr>
      <w:r w:rsidRPr="0072720E">
        <w:rPr>
          <w:lang w:val="fr-FR"/>
        </w:rPr>
        <w:t>La Cour européenne des droits de l</w:t>
      </w:r>
      <w:r w:rsidR="004E3646">
        <w:rPr>
          <w:lang w:val="fr-FR"/>
        </w:rPr>
        <w:t>’</w:t>
      </w:r>
      <w:r w:rsidRPr="0072720E">
        <w:rPr>
          <w:lang w:val="fr-FR"/>
        </w:rPr>
        <w:t>homme (</w:t>
      </w:r>
      <w:r>
        <w:rPr>
          <w:lang w:val="fr-FR"/>
        </w:rPr>
        <w:t>quatrième section</w:t>
      </w:r>
      <w:r w:rsidRPr="0072720E">
        <w:rPr>
          <w:lang w:val="fr-FR"/>
        </w:rPr>
        <w:t xml:space="preserve">), siégeant le </w:t>
      </w:r>
      <w:r>
        <w:rPr>
          <w:lang w:val="fr-FR"/>
        </w:rPr>
        <w:t>10 mars 2015</w:t>
      </w:r>
      <w:r w:rsidRPr="0072720E">
        <w:rPr>
          <w:lang w:val="fr-FR"/>
        </w:rPr>
        <w:t xml:space="preserve"> en un comité composé de :</w:t>
      </w:r>
    </w:p>
    <w:p w:rsidR="004C0798" w:rsidRPr="00936218" w:rsidRDefault="004C0798" w:rsidP="0030061A">
      <w:pPr>
        <w:pStyle w:val="ECHRDecisionBody"/>
        <w:rPr>
          <w:lang w:val="en-GB"/>
        </w:rPr>
      </w:pPr>
      <w:r w:rsidRPr="001F6E3A">
        <w:rPr>
          <w:lang w:val="fr-FR"/>
        </w:rPr>
        <w:tab/>
      </w:r>
      <w:r w:rsidRPr="004C0798">
        <w:rPr>
          <w:lang w:val="en-GB"/>
        </w:rPr>
        <w:t>George</w:t>
      </w:r>
      <w:r>
        <w:rPr>
          <w:lang w:val="en-GB"/>
        </w:rPr>
        <w:t xml:space="preserve"> </w:t>
      </w:r>
      <w:r w:rsidRPr="004C0798">
        <w:rPr>
          <w:lang w:val="en-GB"/>
        </w:rPr>
        <w:t>Nicolaou</w:t>
      </w:r>
      <w:r>
        <w:rPr>
          <w:lang w:val="en-GB"/>
        </w:rPr>
        <w:t>,</w:t>
      </w:r>
      <w:r w:rsidRPr="004C0798">
        <w:rPr>
          <w:i/>
          <w:lang w:val="en-GB"/>
        </w:rPr>
        <w:t xml:space="preserve"> président,</w:t>
      </w:r>
      <w:r>
        <w:rPr>
          <w:i/>
          <w:lang w:val="en-GB"/>
        </w:rPr>
        <w:br/>
      </w:r>
      <w:r w:rsidRPr="004C0798">
        <w:rPr>
          <w:lang w:val="en-GB"/>
        </w:rPr>
        <w:tab/>
        <w:t>Nona</w:t>
      </w:r>
      <w:r>
        <w:rPr>
          <w:lang w:val="en-GB"/>
        </w:rPr>
        <w:t xml:space="preserve"> </w:t>
      </w:r>
      <w:r w:rsidRPr="004C0798">
        <w:rPr>
          <w:lang w:val="en-GB"/>
        </w:rPr>
        <w:t>Tsotsoria</w:t>
      </w:r>
      <w:r>
        <w:rPr>
          <w:lang w:val="en-GB"/>
        </w:rPr>
        <w:t>,</w:t>
      </w:r>
      <w:r>
        <w:rPr>
          <w:i/>
          <w:lang w:val="en-GB"/>
        </w:rPr>
        <w:br/>
      </w:r>
      <w:r w:rsidRPr="004C0798">
        <w:rPr>
          <w:lang w:val="en-GB"/>
        </w:rPr>
        <w:tab/>
        <w:t>Krzysztof</w:t>
      </w:r>
      <w:r>
        <w:rPr>
          <w:lang w:val="en-GB"/>
        </w:rPr>
        <w:t xml:space="preserve"> </w:t>
      </w:r>
      <w:r w:rsidRPr="004C0798">
        <w:rPr>
          <w:lang w:val="en-GB"/>
        </w:rPr>
        <w:t>Wojtyczek</w:t>
      </w:r>
      <w:r>
        <w:rPr>
          <w:lang w:val="en-GB"/>
        </w:rPr>
        <w:t>,</w:t>
      </w:r>
      <w:r w:rsidRPr="004C0798">
        <w:rPr>
          <w:i/>
          <w:lang w:val="en-GB"/>
        </w:rPr>
        <w:t xml:space="preserve"> juges,</w:t>
      </w:r>
    </w:p>
    <w:p w:rsidR="004C0798" w:rsidRPr="0072720E" w:rsidRDefault="004C0798" w:rsidP="004E3646">
      <w:pPr>
        <w:pStyle w:val="ECHRDecisionBody"/>
        <w:rPr>
          <w:lang w:val="fr-FR"/>
        </w:rPr>
      </w:pPr>
      <w:r w:rsidRPr="0072720E">
        <w:rPr>
          <w:lang w:val="fr-FR"/>
        </w:rPr>
        <w:t xml:space="preserve">et de </w:t>
      </w:r>
      <w:r>
        <w:rPr>
          <w:lang w:val="fr-FR"/>
        </w:rPr>
        <w:t>Fatoş</w:t>
      </w:r>
      <w:r w:rsidRPr="0072720E">
        <w:rPr>
          <w:lang w:val="fr-FR"/>
        </w:rPr>
        <w:t xml:space="preserve"> </w:t>
      </w:r>
      <w:r>
        <w:rPr>
          <w:lang w:val="fr-FR"/>
        </w:rPr>
        <w:t>Aracı</w:t>
      </w:r>
      <w:r w:rsidRPr="0072720E">
        <w:rPr>
          <w:lang w:val="fr-FR"/>
        </w:rPr>
        <w:t xml:space="preserve">, </w:t>
      </w:r>
      <w:r w:rsidRPr="004E3646">
        <w:rPr>
          <w:i/>
          <w:lang w:val="fr-FR"/>
        </w:rPr>
        <w:t>greffière adjointe</w:t>
      </w:r>
      <w:r w:rsidRPr="004E3646">
        <w:rPr>
          <w:i/>
          <w:iCs/>
          <w:lang w:val="fr-FR"/>
        </w:rPr>
        <w:t xml:space="preserve"> d</w:t>
      </w:r>
      <w:r w:rsidRPr="004E3646">
        <w:rPr>
          <w:i/>
          <w:lang w:val="fr-FR"/>
        </w:rPr>
        <w:t>e section</w:t>
      </w:r>
      <w:r w:rsidRPr="0072720E">
        <w:rPr>
          <w:lang w:val="fr-FR"/>
        </w:rPr>
        <w:t>,</w:t>
      </w:r>
    </w:p>
    <w:p w:rsidR="004C0798" w:rsidRPr="0072720E" w:rsidRDefault="004C0798" w:rsidP="0030061A">
      <w:pPr>
        <w:pStyle w:val="ECHRPara"/>
        <w:rPr>
          <w:lang w:val="fr-FR"/>
        </w:rPr>
      </w:pPr>
      <w:r w:rsidRPr="0072720E">
        <w:rPr>
          <w:lang w:val="fr-FR"/>
        </w:rPr>
        <w:t xml:space="preserve">Vu la requête susmentionnée introduite le </w:t>
      </w:r>
      <w:r>
        <w:rPr>
          <w:lang w:val="fr-FR"/>
        </w:rPr>
        <w:t>6 avril 2012</w:t>
      </w:r>
      <w:r w:rsidRPr="0072720E">
        <w:rPr>
          <w:lang w:val="fr-FR"/>
        </w:rPr>
        <w:t>,</w:t>
      </w:r>
    </w:p>
    <w:p w:rsidR="001F6E3A" w:rsidRDefault="004C0798" w:rsidP="0030061A">
      <w:pPr>
        <w:pStyle w:val="ECHRPara"/>
        <w:rPr>
          <w:lang w:val="fr-FR"/>
        </w:rPr>
      </w:pPr>
      <w:r w:rsidRPr="0072720E">
        <w:rPr>
          <w:lang w:val="fr-FR"/>
        </w:rPr>
        <w:t>Après en avoir délibéré, rend la décision suivante :</w:t>
      </w:r>
    </w:p>
    <w:p w:rsidR="004C0798" w:rsidRPr="0072720E" w:rsidRDefault="004C0798" w:rsidP="0030061A">
      <w:pPr>
        <w:pStyle w:val="ECHRTitle1"/>
        <w:rPr>
          <w:lang w:val="fr-FR"/>
        </w:rPr>
      </w:pPr>
      <w:r w:rsidRPr="0072720E">
        <w:rPr>
          <w:lang w:val="fr-FR"/>
        </w:rPr>
        <w:t>EN FAIT</w:t>
      </w:r>
    </w:p>
    <w:p w:rsidR="004C0798" w:rsidRPr="0072720E" w:rsidRDefault="004C0798" w:rsidP="0030061A">
      <w:pPr>
        <w:pStyle w:val="ECHRPara"/>
        <w:rPr>
          <w:lang w:val="fr-FR"/>
        </w:rPr>
      </w:pPr>
      <w:r>
        <w:rPr>
          <w:lang w:val="fr-FR"/>
        </w:rPr>
        <w:t>1.  </w:t>
      </w:r>
      <w:r w:rsidRPr="0072720E">
        <w:rPr>
          <w:lang w:val="fr-FR"/>
        </w:rPr>
        <w:t xml:space="preserve">Le requérant, </w:t>
      </w:r>
      <w:r>
        <w:rPr>
          <w:lang w:val="fr-FR"/>
        </w:rPr>
        <w:t>M.</w:t>
      </w:r>
      <w:r w:rsidRPr="0072720E">
        <w:rPr>
          <w:lang w:val="fr-FR"/>
        </w:rPr>
        <w:t xml:space="preserve"> </w:t>
      </w:r>
      <w:r>
        <w:rPr>
          <w:lang w:val="fr-FR"/>
        </w:rPr>
        <w:t>Grzegorz</w:t>
      </w:r>
      <w:r w:rsidRPr="0072720E">
        <w:rPr>
          <w:lang w:val="fr-FR"/>
        </w:rPr>
        <w:t xml:space="preserve"> </w:t>
      </w:r>
      <w:r>
        <w:rPr>
          <w:lang w:val="fr-FR"/>
        </w:rPr>
        <w:t>Kosiński</w:t>
      </w:r>
      <w:r w:rsidRPr="0072720E">
        <w:rPr>
          <w:lang w:val="fr-FR"/>
        </w:rPr>
        <w:t xml:space="preserve">, est un ressortissant </w:t>
      </w:r>
      <w:r>
        <w:rPr>
          <w:lang w:val="fr-FR"/>
        </w:rPr>
        <w:t>polonais,</w:t>
      </w:r>
      <w:r w:rsidRPr="0072720E">
        <w:rPr>
          <w:lang w:val="fr-FR"/>
        </w:rPr>
        <w:t xml:space="preserve"> né en </w:t>
      </w:r>
      <w:r>
        <w:rPr>
          <w:lang w:val="fr-FR"/>
        </w:rPr>
        <w:t>1981</w:t>
      </w:r>
      <w:r w:rsidRPr="0072720E">
        <w:rPr>
          <w:lang w:val="fr-FR"/>
        </w:rPr>
        <w:t xml:space="preserve"> et </w:t>
      </w:r>
      <w:r w:rsidRPr="00936218">
        <w:rPr>
          <w:lang w:val="fr-FR"/>
        </w:rPr>
        <w:t>résidant</w:t>
      </w:r>
      <w:r w:rsidRPr="0072720E">
        <w:rPr>
          <w:lang w:val="fr-FR"/>
        </w:rPr>
        <w:t xml:space="preserve"> à </w:t>
      </w:r>
      <w:r>
        <w:rPr>
          <w:lang w:val="fr-FR"/>
        </w:rPr>
        <w:t>Jastrzębie-Zdrój</w:t>
      </w:r>
      <w:r w:rsidRPr="0072720E">
        <w:rPr>
          <w:lang w:val="fr-FR"/>
        </w:rPr>
        <w:t>.</w:t>
      </w:r>
    </w:p>
    <w:p w:rsidR="004C0798" w:rsidRDefault="004C0798" w:rsidP="0030061A">
      <w:pPr>
        <w:pStyle w:val="ECHRHeading2"/>
        <w:rPr>
          <w:lang w:val="fr-FR"/>
        </w:rPr>
      </w:pPr>
      <w:r w:rsidRPr="0072720E">
        <w:rPr>
          <w:lang w:val="fr-FR"/>
        </w:rPr>
        <w:t>A.  Les circonstances de l</w:t>
      </w:r>
      <w:r w:rsidR="004E3646">
        <w:rPr>
          <w:lang w:val="fr-FR"/>
        </w:rPr>
        <w:t>’</w:t>
      </w:r>
      <w:r w:rsidRPr="0072720E">
        <w:rPr>
          <w:lang w:val="fr-FR"/>
        </w:rPr>
        <w:t>espèce</w:t>
      </w:r>
    </w:p>
    <w:p w:rsidR="004C0798" w:rsidRPr="002E3483" w:rsidRDefault="004C0798" w:rsidP="0030061A">
      <w:pPr>
        <w:pStyle w:val="ECHRPara"/>
        <w:rPr>
          <w:lang w:val="fr-FR"/>
        </w:rPr>
      </w:pPr>
      <w:r>
        <w:rPr>
          <w:lang w:val="fr-FR"/>
        </w:rPr>
        <w:t>2.  </w:t>
      </w:r>
      <w:r w:rsidRPr="0072720E">
        <w:rPr>
          <w:lang w:val="fr-FR"/>
        </w:rPr>
        <w:t>Les faits de la cause, tels qu</w:t>
      </w:r>
      <w:r w:rsidR="004E3646">
        <w:rPr>
          <w:lang w:val="fr-FR"/>
        </w:rPr>
        <w:t>’</w:t>
      </w:r>
      <w:r w:rsidRPr="0072720E">
        <w:rPr>
          <w:lang w:val="fr-FR"/>
        </w:rPr>
        <w:t>ils ont été exposés par le requérant, peuvent se résumer comme suit.</w:t>
      </w:r>
    </w:p>
    <w:p w:rsidR="001F6E3A" w:rsidRDefault="004C0798" w:rsidP="0030061A">
      <w:pPr>
        <w:pStyle w:val="ECHRPara"/>
        <w:rPr>
          <w:szCs w:val="24"/>
          <w:lang w:val="fr-FR"/>
        </w:rPr>
      </w:pPr>
      <w:r>
        <w:rPr>
          <w:szCs w:val="24"/>
          <w:lang w:val="fr-FR"/>
        </w:rPr>
        <w:t>3.  En octobre 2010, l</w:t>
      </w:r>
      <w:r w:rsidRPr="002751DA">
        <w:rPr>
          <w:szCs w:val="24"/>
          <w:lang w:val="fr-FR"/>
        </w:rPr>
        <w:t>e requérant,</w:t>
      </w:r>
      <w:r>
        <w:rPr>
          <w:szCs w:val="24"/>
          <w:lang w:val="fr-FR"/>
        </w:rPr>
        <w:t xml:space="preserve"> rédacteur en chef et éditeur </w:t>
      </w:r>
      <w:r w:rsidRPr="002751DA">
        <w:rPr>
          <w:szCs w:val="24"/>
          <w:lang w:val="fr-FR"/>
        </w:rPr>
        <w:t>d</w:t>
      </w:r>
      <w:r w:rsidR="004E3646">
        <w:rPr>
          <w:szCs w:val="24"/>
          <w:lang w:val="fr-FR"/>
        </w:rPr>
        <w:t>’</w:t>
      </w:r>
      <w:r w:rsidRPr="002751DA">
        <w:rPr>
          <w:szCs w:val="24"/>
          <w:lang w:val="fr-FR"/>
        </w:rPr>
        <w:t>un</w:t>
      </w:r>
      <w:r>
        <w:rPr>
          <w:szCs w:val="24"/>
          <w:lang w:val="fr-FR"/>
        </w:rPr>
        <w:t xml:space="preserve">e gazette </w:t>
      </w:r>
      <w:r w:rsidRPr="002751DA">
        <w:rPr>
          <w:szCs w:val="24"/>
          <w:lang w:val="fr-FR"/>
        </w:rPr>
        <w:t>local</w:t>
      </w:r>
      <w:r>
        <w:rPr>
          <w:szCs w:val="24"/>
          <w:lang w:val="fr-FR"/>
        </w:rPr>
        <w:t>e « </w:t>
      </w:r>
      <w:r w:rsidRPr="006510D9">
        <w:rPr>
          <w:i/>
          <w:szCs w:val="24"/>
          <w:lang w:val="fr-FR"/>
        </w:rPr>
        <w:t>The New Jas Time</w:t>
      </w:r>
      <w:r>
        <w:rPr>
          <w:szCs w:val="24"/>
          <w:lang w:val="fr-FR"/>
        </w:rPr>
        <w:t> »</w:t>
      </w:r>
      <w:r w:rsidRPr="002751DA">
        <w:rPr>
          <w:szCs w:val="24"/>
          <w:lang w:val="fr-FR"/>
        </w:rPr>
        <w:t>, publia un article intitulé « </w:t>
      </w:r>
      <w:r w:rsidRPr="006510D9">
        <w:rPr>
          <w:i/>
          <w:szCs w:val="24"/>
          <w:lang w:val="fr-FR"/>
        </w:rPr>
        <w:t>Le non</w:t>
      </w:r>
      <w:r>
        <w:rPr>
          <w:i/>
          <w:szCs w:val="24"/>
          <w:lang w:val="fr-FR"/>
        </w:rPr>
        <w:noBreakHyphen/>
      </w:r>
      <w:r w:rsidRPr="006510D9">
        <w:rPr>
          <w:i/>
          <w:szCs w:val="24"/>
          <w:lang w:val="fr-FR"/>
        </w:rPr>
        <w:t>droit et l</w:t>
      </w:r>
      <w:r w:rsidR="004E3646">
        <w:rPr>
          <w:i/>
          <w:szCs w:val="24"/>
          <w:lang w:val="fr-FR"/>
        </w:rPr>
        <w:t>’</w:t>
      </w:r>
      <w:r w:rsidRPr="006510D9">
        <w:rPr>
          <w:i/>
          <w:szCs w:val="24"/>
          <w:lang w:val="fr-FR"/>
        </w:rPr>
        <w:t>injustice</w:t>
      </w:r>
      <w:r w:rsidRPr="002751DA">
        <w:rPr>
          <w:szCs w:val="24"/>
          <w:lang w:val="fr-FR"/>
        </w:rPr>
        <w:t> »</w:t>
      </w:r>
      <w:r>
        <w:rPr>
          <w:szCs w:val="24"/>
          <w:lang w:val="fr-FR"/>
        </w:rPr>
        <w:t xml:space="preserve"> (« </w:t>
      </w:r>
      <w:r>
        <w:rPr>
          <w:i/>
          <w:szCs w:val="24"/>
          <w:lang w:val="fr-FR"/>
        </w:rPr>
        <w:t>Bezprawie i Niesprawiedliwość</w:t>
      </w:r>
      <w:r>
        <w:rPr>
          <w:szCs w:val="24"/>
          <w:lang w:val="fr-FR"/>
        </w:rPr>
        <w:t> »)</w:t>
      </w:r>
      <w:r w:rsidRPr="002751DA">
        <w:rPr>
          <w:szCs w:val="24"/>
          <w:lang w:val="fr-FR"/>
        </w:rPr>
        <w:t xml:space="preserve">. Dans </w:t>
      </w:r>
      <w:r>
        <w:rPr>
          <w:szCs w:val="24"/>
          <w:lang w:val="fr-FR"/>
        </w:rPr>
        <w:t>s</w:t>
      </w:r>
      <w:r w:rsidRPr="002751DA">
        <w:rPr>
          <w:szCs w:val="24"/>
          <w:lang w:val="fr-FR"/>
        </w:rPr>
        <w:t xml:space="preserve">a publication, </w:t>
      </w:r>
      <w:r>
        <w:rPr>
          <w:szCs w:val="24"/>
          <w:lang w:val="fr-FR"/>
        </w:rPr>
        <w:t xml:space="preserve">parue pendant </w:t>
      </w:r>
      <w:r w:rsidRPr="002751DA">
        <w:rPr>
          <w:szCs w:val="24"/>
          <w:lang w:val="fr-FR"/>
        </w:rPr>
        <w:t>la campagne</w:t>
      </w:r>
      <w:r>
        <w:rPr>
          <w:szCs w:val="24"/>
          <w:lang w:val="fr-FR"/>
        </w:rPr>
        <w:t xml:space="preserve"> pour les élections p</w:t>
      </w:r>
      <w:r w:rsidRPr="002751DA">
        <w:rPr>
          <w:szCs w:val="24"/>
          <w:lang w:val="fr-FR"/>
        </w:rPr>
        <w:t>arlement</w:t>
      </w:r>
      <w:r>
        <w:rPr>
          <w:szCs w:val="24"/>
          <w:lang w:val="fr-FR"/>
        </w:rPr>
        <w:t>aires</w:t>
      </w:r>
      <w:r w:rsidRPr="002751DA">
        <w:rPr>
          <w:szCs w:val="24"/>
          <w:lang w:val="fr-FR"/>
        </w:rPr>
        <w:t xml:space="preserve">, </w:t>
      </w:r>
      <w:r>
        <w:rPr>
          <w:szCs w:val="24"/>
          <w:lang w:val="fr-FR"/>
        </w:rPr>
        <w:t>le requérant</w:t>
      </w:r>
      <w:r w:rsidRPr="002751DA">
        <w:rPr>
          <w:szCs w:val="24"/>
          <w:lang w:val="fr-FR"/>
        </w:rPr>
        <w:t xml:space="preserve"> imputa au G.M., </w:t>
      </w:r>
      <w:r>
        <w:rPr>
          <w:szCs w:val="24"/>
          <w:lang w:val="fr-FR"/>
        </w:rPr>
        <w:t xml:space="preserve">à la fois président du conseil municipal et </w:t>
      </w:r>
      <w:r w:rsidRPr="002751DA">
        <w:rPr>
          <w:szCs w:val="24"/>
          <w:lang w:val="fr-FR"/>
        </w:rPr>
        <w:t>candidat au poste de député</w:t>
      </w:r>
      <w:r>
        <w:rPr>
          <w:szCs w:val="24"/>
          <w:lang w:val="fr-FR"/>
        </w:rPr>
        <w:t>, l</w:t>
      </w:r>
      <w:r w:rsidR="004E3646">
        <w:rPr>
          <w:szCs w:val="24"/>
          <w:lang w:val="fr-FR"/>
        </w:rPr>
        <w:t>’</w:t>
      </w:r>
      <w:r>
        <w:rPr>
          <w:szCs w:val="24"/>
          <w:lang w:val="fr-FR"/>
        </w:rPr>
        <w:t>escroquerie et le financement irrégulier de sa ca</w:t>
      </w:r>
      <w:r w:rsidRPr="002751DA">
        <w:rPr>
          <w:szCs w:val="24"/>
          <w:lang w:val="fr-FR"/>
        </w:rPr>
        <w:t xml:space="preserve">mpagne </w:t>
      </w:r>
      <w:r>
        <w:rPr>
          <w:szCs w:val="24"/>
          <w:lang w:val="fr-FR"/>
        </w:rPr>
        <w:t>électorale ayant eu lieu dans le passé</w:t>
      </w:r>
      <w:r w:rsidRPr="002751DA">
        <w:rPr>
          <w:szCs w:val="24"/>
          <w:lang w:val="fr-FR"/>
        </w:rPr>
        <w:t xml:space="preserve">. </w:t>
      </w:r>
      <w:r>
        <w:rPr>
          <w:szCs w:val="24"/>
          <w:lang w:val="fr-FR"/>
        </w:rPr>
        <w:t>S</w:t>
      </w:r>
      <w:r w:rsidR="004E3646">
        <w:rPr>
          <w:szCs w:val="24"/>
          <w:lang w:val="fr-FR"/>
        </w:rPr>
        <w:t>’</w:t>
      </w:r>
      <w:r>
        <w:rPr>
          <w:szCs w:val="24"/>
          <w:lang w:val="fr-FR"/>
        </w:rPr>
        <w:t>appuyant sur l</w:t>
      </w:r>
      <w:r w:rsidR="004E3646">
        <w:rPr>
          <w:szCs w:val="24"/>
          <w:lang w:val="fr-FR"/>
        </w:rPr>
        <w:t>’</w:t>
      </w:r>
      <w:r>
        <w:rPr>
          <w:szCs w:val="24"/>
          <w:lang w:val="fr-FR"/>
        </w:rPr>
        <w:t>information qu</w:t>
      </w:r>
      <w:r w:rsidR="004E3646">
        <w:rPr>
          <w:szCs w:val="24"/>
          <w:lang w:val="fr-FR"/>
        </w:rPr>
        <w:t>’</w:t>
      </w:r>
      <w:r>
        <w:rPr>
          <w:szCs w:val="24"/>
          <w:lang w:val="fr-FR"/>
        </w:rPr>
        <w:t>il aurait obtenue auprès d</w:t>
      </w:r>
      <w:r w:rsidR="004E3646">
        <w:rPr>
          <w:szCs w:val="24"/>
          <w:lang w:val="fr-FR"/>
        </w:rPr>
        <w:t>’</w:t>
      </w:r>
      <w:r>
        <w:rPr>
          <w:szCs w:val="24"/>
          <w:lang w:val="fr-FR"/>
        </w:rPr>
        <w:t xml:space="preserve">un entrepreneur anonyme, le </w:t>
      </w:r>
      <w:r>
        <w:rPr>
          <w:szCs w:val="24"/>
          <w:lang w:val="fr-FR"/>
        </w:rPr>
        <w:lastRenderedPageBreak/>
        <w:t xml:space="preserve">requérant écrivit que </w:t>
      </w:r>
      <w:r w:rsidRPr="002751DA">
        <w:rPr>
          <w:szCs w:val="24"/>
          <w:lang w:val="fr-FR"/>
        </w:rPr>
        <w:t xml:space="preserve">G.M. </w:t>
      </w:r>
      <w:r>
        <w:rPr>
          <w:szCs w:val="24"/>
          <w:lang w:val="fr-FR"/>
        </w:rPr>
        <w:t>av</w:t>
      </w:r>
      <w:r w:rsidRPr="002751DA">
        <w:rPr>
          <w:szCs w:val="24"/>
          <w:lang w:val="fr-FR"/>
        </w:rPr>
        <w:t xml:space="preserve">ait </w:t>
      </w:r>
      <w:r>
        <w:rPr>
          <w:szCs w:val="24"/>
          <w:lang w:val="fr-FR"/>
        </w:rPr>
        <w:t>exigé que certaines prestations contractées en rapport avec sa campagne soient réalisées sans établissement de facture</w:t>
      </w:r>
      <w:r w:rsidRPr="002751DA">
        <w:rPr>
          <w:szCs w:val="24"/>
          <w:lang w:val="fr-FR"/>
        </w:rPr>
        <w:t xml:space="preserve">. </w:t>
      </w:r>
      <w:r>
        <w:rPr>
          <w:szCs w:val="24"/>
          <w:lang w:val="fr-FR"/>
        </w:rPr>
        <w:t>Le requérant écrivit en outre que, selon le bureau électoral national auquel la rédaction de « </w:t>
      </w:r>
      <w:r w:rsidRPr="006510D9">
        <w:rPr>
          <w:i/>
          <w:szCs w:val="24"/>
          <w:lang w:val="fr-FR"/>
        </w:rPr>
        <w:t>The New Jas Time</w:t>
      </w:r>
      <w:r>
        <w:rPr>
          <w:szCs w:val="24"/>
          <w:lang w:val="fr-FR"/>
        </w:rPr>
        <w:t> » s</w:t>
      </w:r>
      <w:r w:rsidR="004E3646">
        <w:rPr>
          <w:szCs w:val="24"/>
          <w:lang w:val="fr-FR"/>
        </w:rPr>
        <w:t>’</w:t>
      </w:r>
      <w:r>
        <w:rPr>
          <w:szCs w:val="24"/>
          <w:lang w:val="fr-FR"/>
        </w:rPr>
        <w:t>était adressée afin d</w:t>
      </w:r>
      <w:r w:rsidR="004E3646">
        <w:rPr>
          <w:szCs w:val="24"/>
          <w:lang w:val="fr-FR"/>
        </w:rPr>
        <w:t>’</w:t>
      </w:r>
      <w:r>
        <w:rPr>
          <w:szCs w:val="24"/>
          <w:lang w:val="fr-FR"/>
        </w:rPr>
        <w:t>obtenir de plus amples informations à propos des dépenses électorales de G.M., la documentation y relative ne contenait aucune facture établie par l</w:t>
      </w:r>
      <w:r w:rsidR="004E3646">
        <w:rPr>
          <w:szCs w:val="24"/>
          <w:lang w:val="fr-FR"/>
        </w:rPr>
        <w:t>’</w:t>
      </w:r>
      <w:r>
        <w:rPr>
          <w:szCs w:val="24"/>
          <w:lang w:val="fr-FR"/>
        </w:rPr>
        <w:t>entrepreneur en cause.</w:t>
      </w:r>
    </w:p>
    <w:p w:rsidR="001F6E3A" w:rsidRDefault="004C0798" w:rsidP="0030061A">
      <w:pPr>
        <w:pStyle w:val="ECHRPara"/>
        <w:rPr>
          <w:szCs w:val="24"/>
          <w:lang w:val="fr-FR"/>
        </w:rPr>
      </w:pPr>
      <w:r>
        <w:rPr>
          <w:szCs w:val="24"/>
          <w:lang w:val="fr-FR"/>
        </w:rPr>
        <w:t xml:space="preserve">4.  À la suite de la publication, </w:t>
      </w:r>
      <w:r w:rsidRPr="002751DA">
        <w:rPr>
          <w:szCs w:val="24"/>
          <w:lang w:val="fr-FR"/>
        </w:rPr>
        <w:t xml:space="preserve">G.M. engagea </w:t>
      </w:r>
      <w:r>
        <w:rPr>
          <w:szCs w:val="24"/>
          <w:lang w:val="fr-FR"/>
        </w:rPr>
        <w:t>à l</w:t>
      </w:r>
      <w:r w:rsidR="004E3646">
        <w:rPr>
          <w:szCs w:val="24"/>
          <w:lang w:val="fr-FR"/>
        </w:rPr>
        <w:t>’</w:t>
      </w:r>
      <w:r>
        <w:rPr>
          <w:szCs w:val="24"/>
          <w:lang w:val="fr-FR"/>
        </w:rPr>
        <w:t>encontre du requérant une action fondée sur l</w:t>
      </w:r>
      <w:r w:rsidR="004E3646">
        <w:rPr>
          <w:szCs w:val="24"/>
          <w:lang w:val="fr-FR"/>
        </w:rPr>
        <w:t>’</w:t>
      </w:r>
      <w:r>
        <w:rPr>
          <w:szCs w:val="24"/>
          <w:lang w:val="fr-FR"/>
        </w:rPr>
        <w:t xml:space="preserve">article 111 § 1 de </w:t>
      </w:r>
      <w:r w:rsidRPr="002751DA">
        <w:rPr>
          <w:szCs w:val="24"/>
          <w:lang w:val="fr-FR"/>
        </w:rPr>
        <w:t xml:space="preserve">la loi électorale </w:t>
      </w:r>
      <w:r>
        <w:rPr>
          <w:szCs w:val="24"/>
          <w:lang w:val="fr-FR"/>
        </w:rPr>
        <w:t>(paragraphe 8 ci</w:t>
      </w:r>
      <w:r>
        <w:rPr>
          <w:szCs w:val="24"/>
          <w:lang w:val="fr-FR"/>
        </w:rPr>
        <w:noBreakHyphen/>
        <w:t>dessous) en exigeant que sa publication soit confisquée, que le requérant soit obligé de ne plus diffuser de propos le concernant, qu</w:t>
      </w:r>
      <w:r w:rsidR="004E3646">
        <w:rPr>
          <w:szCs w:val="24"/>
          <w:lang w:val="fr-FR"/>
        </w:rPr>
        <w:t>’</w:t>
      </w:r>
      <w:r>
        <w:rPr>
          <w:szCs w:val="24"/>
          <w:lang w:val="fr-FR"/>
        </w:rPr>
        <w:t>il les rectifie et s</w:t>
      </w:r>
      <w:r w:rsidR="004E3646">
        <w:rPr>
          <w:szCs w:val="24"/>
          <w:lang w:val="fr-FR"/>
        </w:rPr>
        <w:t>’</w:t>
      </w:r>
      <w:r>
        <w:rPr>
          <w:szCs w:val="24"/>
          <w:lang w:val="fr-FR"/>
        </w:rPr>
        <w:t xml:space="preserve">en excuse </w:t>
      </w:r>
      <w:r w:rsidRPr="002751DA">
        <w:rPr>
          <w:szCs w:val="24"/>
          <w:lang w:val="fr-FR"/>
        </w:rPr>
        <w:t>publi</w:t>
      </w:r>
      <w:r>
        <w:rPr>
          <w:szCs w:val="24"/>
          <w:lang w:val="fr-FR"/>
        </w:rPr>
        <w:t>quement, et qu</w:t>
      </w:r>
      <w:r w:rsidR="004E3646">
        <w:rPr>
          <w:szCs w:val="24"/>
          <w:lang w:val="fr-FR"/>
        </w:rPr>
        <w:t>’</w:t>
      </w:r>
      <w:r>
        <w:rPr>
          <w:szCs w:val="24"/>
          <w:lang w:val="fr-FR"/>
        </w:rPr>
        <w:t>il</w:t>
      </w:r>
      <w:r w:rsidRPr="002751DA">
        <w:rPr>
          <w:szCs w:val="24"/>
          <w:lang w:val="fr-FR"/>
        </w:rPr>
        <w:t xml:space="preserve"> </w:t>
      </w:r>
      <w:r>
        <w:rPr>
          <w:szCs w:val="24"/>
          <w:lang w:val="fr-FR"/>
        </w:rPr>
        <w:t xml:space="preserve">soit condamné à verser </w:t>
      </w:r>
      <w:r w:rsidRPr="002751DA">
        <w:rPr>
          <w:szCs w:val="24"/>
          <w:lang w:val="fr-FR"/>
        </w:rPr>
        <w:t xml:space="preserve">8 000 </w:t>
      </w:r>
      <w:r w:rsidR="00D64395">
        <w:rPr>
          <w:szCs w:val="24"/>
          <w:lang w:val="fr-FR"/>
        </w:rPr>
        <w:t>zlotys polonais (</w:t>
      </w:r>
      <w:r w:rsidRPr="002751DA">
        <w:rPr>
          <w:szCs w:val="24"/>
          <w:lang w:val="fr-FR"/>
        </w:rPr>
        <w:t>PLN</w:t>
      </w:r>
      <w:r w:rsidR="00D64395">
        <w:rPr>
          <w:szCs w:val="24"/>
          <w:lang w:val="fr-FR"/>
        </w:rPr>
        <w:t>)</w:t>
      </w:r>
      <w:r w:rsidRPr="002751DA">
        <w:rPr>
          <w:szCs w:val="24"/>
          <w:lang w:val="fr-FR"/>
        </w:rPr>
        <w:t xml:space="preserve"> </w:t>
      </w:r>
      <w:r>
        <w:rPr>
          <w:szCs w:val="24"/>
          <w:lang w:val="fr-FR"/>
        </w:rPr>
        <w:t>au profit d</w:t>
      </w:r>
      <w:r w:rsidR="004E3646">
        <w:rPr>
          <w:szCs w:val="24"/>
          <w:lang w:val="fr-FR"/>
        </w:rPr>
        <w:t>’</w:t>
      </w:r>
      <w:r>
        <w:rPr>
          <w:szCs w:val="24"/>
          <w:lang w:val="fr-FR"/>
        </w:rPr>
        <w:t>une institution caritative</w:t>
      </w:r>
      <w:r w:rsidRPr="002751DA">
        <w:rPr>
          <w:szCs w:val="24"/>
          <w:lang w:val="fr-FR"/>
        </w:rPr>
        <w:t xml:space="preserve">. </w:t>
      </w:r>
      <w:r>
        <w:rPr>
          <w:szCs w:val="24"/>
          <w:lang w:val="fr-FR"/>
        </w:rPr>
        <w:t>G.M. fit valoir que les propos du requérant lui imputant les irrégularités à l</w:t>
      </w:r>
      <w:r w:rsidR="004E3646">
        <w:rPr>
          <w:szCs w:val="24"/>
          <w:lang w:val="fr-FR"/>
        </w:rPr>
        <w:t>’</w:t>
      </w:r>
      <w:r>
        <w:rPr>
          <w:szCs w:val="24"/>
          <w:lang w:val="fr-FR"/>
        </w:rPr>
        <w:t>occasion de sa campagne électorale étaient non-avérés et portaient atteinte à sa réputation en tant que candidat au poste de député.</w:t>
      </w:r>
    </w:p>
    <w:p w:rsidR="001F6E3A" w:rsidRDefault="004C0798" w:rsidP="0030061A">
      <w:pPr>
        <w:pStyle w:val="ECHRPara"/>
        <w:rPr>
          <w:szCs w:val="24"/>
          <w:lang w:val="fr-FR"/>
        </w:rPr>
      </w:pPr>
      <w:r>
        <w:rPr>
          <w:szCs w:val="24"/>
          <w:lang w:val="fr-FR"/>
        </w:rPr>
        <w:t>5.  </w:t>
      </w:r>
      <w:r w:rsidRPr="002751DA">
        <w:rPr>
          <w:szCs w:val="24"/>
          <w:lang w:val="fr-FR"/>
        </w:rPr>
        <w:t>Par une décision du 7 octobre 2011, le tribunal régional de Gliwice accueillit l</w:t>
      </w:r>
      <w:r w:rsidR="004E3646">
        <w:rPr>
          <w:szCs w:val="24"/>
          <w:lang w:val="fr-FR"/>
        </w:rPr>
        <w:t>’</w:t>
      </w:r>
      <w:r w:rsidRPr="002751DA">
        <w:rPr>
          <w:szCs w:val="24"/>
          <w:lang w:val="fr-FR"/>
        </w:rPr>
        <w:t>action</w:t>
      </w:r>
      <w:r>
        <w:rPr>
          <w:szCs w:val="24"/>
          <w:lang w:val="fr-FR"/>
        </w:rPr>
        <w:t xml:space="preserve"> en partie</w:t>
      </w:r>
      <w:r w:rsidRPr="002751DA">
        <w:rPr>
          <w:szCs w:val="24"/>
          <w:lang w:val="fr-FR"/>
        </w:rPr>
        <w:t xml:space="preserve">, </w:t>
      </w:r>
      <w:r>
        <w:rPr>
          <w:szCs w:val="24"/>
          <w:lang w:val="fr-FR"/>
        </w:rPr>
        <w:t>en obligeant le requérant de s</w:t>
      </w:r>
      <w:r w:rsidR="004E3646">
        <w:rPr>
          <w:szCs w:val="24"/>
          <w:lang w:val="fr-FR"/>
        </w:rPr>
        <w:t>’</w:t>
      </w:r>
      <w:r>
        <w:rPr>
          <w:szCs w:val="24"/>
          <w:lang w:val="fr-FR"/>
        </w:rPr>
        <w:t>abstenir de diffuser l</w:t>
      </w:r>
      <w:r w:rsidR="004E3646">
        <w:rPr>
          <w:szCs w:val="24"/>
          <w:lang w:val="fr-FR"/>
        </w:rPr>
        <w:t>’</w:t>
      </w:r>
      <w:r>
        <w:rPr>
          <w:szCs w:val="24"/>
          <w:lang w:val="fr-FR"/>
        </w:rPr>
        <w:t>information litigeuse, de la rectifier et de s</w:t>
      </w:r>
      <w:r w:rsidR="004E3646">
        <w:rPr>
          <w:szCs w:val="24"/>
          <w:lang w:val="fr-FR"/>
        </w:rPr>
        <w:t>’</w:t>
      </w:r>
      <w:r>
        <w:rPr>
          <w:szCs w:val="24"/>
          <w:lang w:val="fr-FR"/>
        </w:rPr>
        <w:t xml:space="preserve">en excuser sur internet. Le tribunal ordonna en outre la confiscation de la publication. Il rejeta </w:t>
      </w:r>
      <w:r w:rsidRPr="002751DA">
        <w:rPr>
          <w:szCs w:val="24"/>
          <w:lang w:val="fr-FR"/>
        </w:rPr>
        <w:t xml:space="preserve">la </w:t>
      </w:r>
      <w:r>
        <w:rPr>
          <w:szCs w:val="24"/>
          <w:lang w:val="fr-FR"/>
        </w:rPr>
        <w:t>demande dans la mesure où elle portait sur le versement d</w:t>
      </w:r>
      <w:r w:rsidR="004E3646">
        <w:rPr>
          <w:szCs w:val="24"/>
          <w:lang w:val="fr-FR"/>
        </w:rPr>
        <w:t>’</w:t>
      </w:r>
      <w:r w:rsidRPr="002751DA">
        <w:rPr>
          <w:szCs w:val="24"/>
          <w:lang w:val="fr-FR"/>
        </w:rPr>
        <w:t xml:space="preserve">une somme </w:t>
      </w:r>
      <w:r>
        <w:rPr>
          <w:szCs w:val="24"/>
          <w:lang w:val="fr-FR"/>
        </w:rPr>
        <w:t>au profit d</w:t>
      </w:r>
      <w:r w:rsidR="004E3646">
        <w:rPr>
          <w:szCs w:val="24"/>
          <w:lang w:val="fr-FR"/>
        </w:rPr>
        <w:t>’</w:t>
      </w:r>
      <w:r>
        <w:rPr>
          <w:szCs w:val="24"/>
          <w:lang w:val="fr-FR"/>
        </w:rPr>
        <w:t>une institution caritative, au motif qu</w:t>
      </w:r>
      <w:r w:rsidR="004E3646">
        <w:rPr>
          <w:szCs w:val="24"/>
          <w:lang w:val="fr-FR"/>
        </w:rPr>
        <w:t>’</w:t>
      </w:r>
      <w:r>
        <w:rPr>
          <w:szCs w:val="24"/>
          <w:lang w:val="fr-FR"/>
        </w:rPr>
        <w:t>elle n</w:t>
      </w:r>
      <w:r w:rsidR="004E3646">
        <w:rPr>
          <w:szCs w:val="24"/>
          <w:lang w:val="fr-FR"/>
        </w:rPr>
        <w:t>’</w:t>
      </w:r>
      <w:r>
        <w:rPr>
          <w:szCs w:val="24"/>
          <w:lang w:val="fr-FR"/>
        </w:rPr>
        <w:t>était pas justifiée au vu de la situation financière du requérant. Le tribunal estima en outre qu</w:t>
      </w:r>
      <w:r w:rsidR="004E3646">
        <w:rPr>
          <w:szCs w:val="24"/>
          <w:lang w:val="fr-FR"/>
        </w:rPr>
        <w:t>’</w:t>
      </w:r>
      <w:r>
        <w:rPr>
          <w:szCs w:val="24"/>
          <w:lang w:val="fr-FR"/>
        </w:rPr>
        <w:t>en l</w:t>
      </w:r>
      <w:r w:rsidR="004E3646">
        <w:rPr>
          <w:szCs w:val="24"/>
          <w:lang w:val="fr-FR"/>
        </w:rPr>
        <w:t>’</w:t>
      </w:r>
      <w:r>
        <w:rPr>
          <w:szCs w:val="24"/>
          <w:lang w:val="fr-FR"/>
        </w:rPr>
        <w:t>espèce, la rectification des propos litigieux dans la télévision locale ne s</w:t>
      </w:r>
      <w:r w:rsidR="004E3646">
        <w:rPr>
          <w:szCs w:val="24"/>
          <w:lang w:val="fr-FR"/>
        </w:rPr>
        <w:t>’</w:t>
      </w:r>
      <w:r>
        <w:rPr>
          <w:szCs w:val="24"/>
          <w:lang w:val="fr-FR"/>
        </w:rPr>
        <w:t>imposait pas.</w:t>
      </w:r>
    </w:p>
    <w:p w:rsidR="001F6E3A" w:rsidRDefault="004C0798" w:rsidP="0030061A">
      <w:pPr>
        <w:pStyle w:val="ECHRPara"/>
        <w:rPr>
          <w:szCs w:val="24"/>
          <w:lang w:val="fr-FR"/>
        </w:rPr>
      </w:pPr>
      <w:r>
        <w:rPr>
          <w:szCs w:val="24"/>
          <w:lang w:val="fr-FR"/>
        </w:rPr>
        <w:t>D</w:t>
      </w:r>
      <w:r w:rsidRPr="00A720B4">
        <w:rPr>
          <w:szCs w:val="24"/>
          <w:lang w:val="fr-FR"/>
        </w:rPr>
        <w:t>ans ses motifs</w:t>
      </w:r>
      <w:r>
        <w:rPr>
          <w:szCs w:val="24"/>
          <w:lang w:val="fr-FR"/>
        </w:rPr>
        <w:t>, le tribunal observa</w:t>
      </w:r>
      <w:r w:rsidRPr="00A720B4">
        <w:rPr>
          <w:szCs w:val="24"/>
          <w:lang w:val="fr-FR"/>
        </w:rPr>
        <w:t xml:space="preserve"> que</w:t>
      </w:r>
      <w:r>
        <w:rPr>
          <w:szCs w:val="24"/>
          <w:lang w:val="fr-FR"/>
        </w:rPr>
        <w:t>, selon la publication du requérant, G.K. aur</w:t>
      </w:r>
      <w:r w:rsidRPr="00A720B4">
        <w:rPr>
          <w:szCs w:val="24"/>
          <w:lang w:val="fr-FR"/>
        </w:rPr>
        <w:t xml:space="preserve">ait encouragé et </w:t>
      </w:r>
      <w:r>
        <w:rPr>
          <w:szCs w:val="24"/>
          <w:lang w:val="fr-FR"/>
        </w:rPr>
        <w:t>participé à l</w:t>
      </w:r>
      <w:r w:rsidR="004E3646">
        <w:rPr>
          <w:szCs w:val="24"/>
          <w:lang w:val="fr-FR"/>
        </w:rPr>
        <w:t>’</w:t>
      </w:r>
      <w:r w:rsidRPr="00A720B4">
        <w:rPr>
          <w:szCs w:val="24"/>
          <w:lang w:val="fr-FR"/>
        </w:rPr>
        <w:t xml:space="preserve">escroquerie. Or, </w:t>
      </w:r>
      <w:r>
        <w:rPr>
          <w:szCs w:val="24"/>
          <w:lang w:val="fr-FR"/>
        </w:rPr>
        <w:t>vu que le requérant n</w:t>
      </w:r>
      <w:r w:rsidR="004E3646">
        <w:rPr>
          <w:szCs w:val="24"/>
          <w:lang w:val="fr-FR"/>
        </w:rPr>
        <w:t>’</w:t>
      </w:r>
      <w:r>
        <w:rPr>
          <w:szCs w:val="24"/>
          <w:lang w:val="fr-FR"/>
        </w:rPr>
        <w:t>avait produit aucun élément à l</w:t>
      </w:r>
      <w:r w:rsidR="004E3646">
        <w:rPr>
          <w:szCs w:val="24"/>
          <w:lang w:val="fr-FR"/>
        </w:rPr>
        <w:t>’</w:t>
      </w:r>
      <w:r>
        <w:rPr>
          <w:szCs w:val="24"/>
          <w:lang w:val="fr-FR"/>
        </w:rPr>
        <w:t>appui de son affirmation, celle</w:t>
      </w:r>
      <w:r>
        <w:rPr>
          <w:szCs w:val="24"/>
          <w:lang w:val="fr-FR"/>
        </w:rPr>
        <w:noBreakHyphen/>
        <w:t>ci était non-avérée</w:t>
      </w:r>
      <w:r w:rsidRPr="00A720B4">
        <w:rPr>
          <w:szCs w:val="24"/>
          <w:lang w:val="fr-FR"/>
        </w:rPr>
        <w:t xml:space="preserve">. </w:t>
      </w:r>
      <w:r>
        <w:rPr>
          <w:szCs w:val="24"/>
          <w:lang w:val="fr-FR"/>
        </w:rPr>
        <w:t>L</w:t>
      </w:r>
      <w:r w:rsidRPr="00A720B4">
        <w:rPr>
          <w:szCs w:val="24"/>
          <w:lang w:val="fr-FR"/>
        </w:rPr>
        <w:t xml:space="preserve">a publication ne </w:t>
      </w:r>
      <w:r>
        <w:rPr>
          <w:szCs w:val="24"/>
          <w:lang w:val="fr-FR"/>
        </w:rPr>
        <w:t xml:space="preserve">contenait aucune information quant à </w:t>
      </w:r>
      <w:r w:rsidRPr="00A720B4">
        <w:rPr>
          <w:szCs w:val="24"/>
          <w:lang w:val="fr-FR"/>
        </w:rPr>
        <w:t>l</w:t>
      </w:r>
      <w:r w:rsidR="004E3646">
        <w:rPr>
          <w:szCs w:val="24"/>
          <w:lang w:val="fr-FR"/>
        </w:rPr>
        <w:t>’</w:t>
      </w:r>
      <w:r w:rsidRPr="00A720B4">
        <w:rPr>
          <w:szCs w:val="24"/>
          <w:lang w:val="fr-FR"/>
        </w:rPr>
        <w:t xml:space="preserve">identité de </w:t>
      </w:r>
      <w:r>
        <w:rPr>
          <w:szCs w:val="24"/>
          <w:lang w:val="fr-FR"/>
        </w:rPr>
        <w:t>l</w:t>
      </w:r>
      <w:r w:rsidR="004E3646">
        <w:rPr>
          <w:szCs w:val="24"/>
          <w:lang w:val="fr-FR"/>
        </w:rPr>
        <w:t>’</w:t>
      </w:r>
      <w:r>
        <w:rPr>
          <w:szCs w:val="24"/>
          <w:lang w:val="fr-FR"/>
        </w:rPr>
        <w:t>entrepreneur - informateur</w:t>
      </w:r>
      <w:r w:rsidRPr="00604405">
        <w:rPr>
          <w:szCs w:val="24"/>
          <w:lang w:val="fr-FR"/>
        </w:rPr>
        <w:t xml:space="preserve"> </w:t>
      </w:r>
      <w:r>
        <w:rPr>
          <w:szCs w:val="24"/>
          <w:lang w:val="fr-FR"/>
        </w:rPr>
        <w:t>anonyme du requérant ou à celle d</w:t>
      </w:r>
      <w:r w:rsidR="004E3646">
        <w:rPr>
          <w:szCs w:val="24"/>
          <w:lang w:val="fr-FR"/>
        </w:rPr>
        <w:t>’</w:t>
      </w:r>
      <w:r>
        <w:rPr>
          <w:szCs w:val="24"/>
          <w:lang w:val="fr-FR"/>
        </w:rPr>
        <w:t>éventuelles</w:t>
      </w:r>
      <w:r w:rsidRPr="00A720B4">
        <w:rPr>
          <w:szCs w:val="24"/>
          <w:lang w:val="fr-FR"/>
        </w:rPr>
        <w:t xml:space="preserve"> </w:t>
      </w:r>
      <w:r>
        <w:rPr>
          <w:szCs w:val="24"/>
          <w:lang w:val="fr-FR"/>
        </w:rPr>
        <w:t>victimes de la prétendue escroquerie</w:t>
      </w:r>
      <w:r w:rsidRPr="00A720B4">
        <w:rPr>
          <w:szCs w:val="24"/>
          <w:lang w:val="fr-FR"/>
        </w:rPr>
        <w:t>.</w:t>
      </w:r>
      <w:r w:rsidR="001F6E3A">
        <w:rPr>
          <w:i/>
          <w:szCs w:val="24"/>
          <w:lang w:val="fr-FR"/>
        </w:rPr>
        <w:t xml:space="preserve"> </w:t>
      </w:r>
      <w:r>
        <w:rPr>
          <w:szCs w:val="24"/>
          <w:lang w:val="fr-FR"/>
        </w:rPr>
        <w:t>Il observa d</w:t>
      </w:r>
      <w:r w:rsidR="004E3646">
        <w:rPr>
          <w:szCs w:val="24"/>
          <w:lang w:val="fr-FR"/>
        </w:rPr>
        <w:t>’</w:t>
      </w:r>
      <w:r>
        <w:rPr>
          <w:szCs w:val="24"/>
          <w:lang w:val="fr-FR"/>
        </w:rPr>
        <w:t>une part, que G.M. avait nié avoir eu recours aux prestations d</w:t>
      </w:r>
      <w:r w:rsidR="004E3646">
        <w:rPr>
          <w:szCs w:val="24"/>
          <w:lang w:val="fr-FR"/>
        </w:rPr>
        <w:t>’</w:t>
      </w:r>
      <w:r>
        <w:rPr>
          <w:szCs w:val="24"/>
          <w:lang w:val="fr-FR"/>
        </w:rPr>
        <w:t>un entrepreneur en rapport avec sa campagne électorale et, d</w:t>
      </w:r>
      <w:r w:rsidR="004E3646">
        <w:rPr>
          <w:szCs w:val="24"/>
          <w:lang w:val="fr-FR"/>
        </w:rPr>
        <w:t>’</w:t>
      </w:r>
      <w:r>
        <w:rPr>
          <w:szCs w:val="24"/>
          <w:lang w:val="fr-FR"/>
        </w:rPr>
        <w:t>autre part, le requérant avait refusé de faire la moindre déclaration à propos des allégations formulées à son encontre dans la publication.</w:t>
      </w:r>
    </w:p>
    <w:p w:rsidR="001F6E3A" w:rsidRDefault="004C0798" w:rsidP="0030061A">
      <w:pPr>
        <w:pStyle w:val="ECHRPara"/>
        <w:rPr>
          <w:szCs w:val="24"/>
          <w:lang w:val="fr-FR"/>
        </w:rPr>
      </w:pPr>
      <w:r>
        <w:rPr>
          <w:szCs w:val="24"/>
          <w:lang w:val="fr-FR"/>
        </w:rPr>
        <w:t>6.  </w:t>
      </w:r>
      <w:r w:rsidRPr="002751DA">
        <w:rPr>
          <w:szCs w:val="24"/>
          <w:lang w:val="fr-FR"/>
        </w:rPr>
        <w:t>Dans son recours contre la décision du 7 octobre 2</w:t>
      </w:r>
      <w:r>
        <w:rPr>
          <w:szCs w:val="24"/>
          <w:lang w:val="fr-FR"/>
        </w:rPr>
        <w:t>011, le requérant soutint que</w:t>
      </w:r>
      <w:r w:rsidRPr="003D548F">
        <w:rPr>
          <w:szCs w:val="24"/>
          <w:lang w:val="fr-FR"/>
        </w:rPr>
        <w:t xml:space="preserve"> </w:t>
      </w:r>
      <w:r w:rsidRPr="002751DA">
        <w:rPr>
          <w:szCs w:val="24"/>
          <w:lang w:val="fr-FR"/>
        </w:rPr>
        <w:t>la procédure prévue par</w:t>
      </w:r>
      <w:r>
        <w:rPr>
          <w:szCs w:val="24"/>
          <w:lang w:val="fr-FR"/>
        </w:rPr>
        <w:t xml:space="preserve"> l</w:t>
      </w:r>
      <w:r w:rsidR="004E3646">
        <w:rPr>
          <w:szCs w:val="24"/>
          <w:lang w:val="fr-FR"/>
        </w:rPr>
        <w:t>’</w:t>
      </w:r>
      <w:r>
        <w:rPr>
          <w:szCs w:val="24"/>
          <w:lang w:val="fr-FR"/>
        </w:rPr>
        <w:t>article 111 de la loi électorale</w:t>
      </w:r>
      <w:r w:rsidRPr="002751DA">
        <w:rPr>
          <w:szCs w:val="24"/>
          <w:lang w:val="fr-FR"/>
        </w:rPr>
        <w:t xml:space="preserve"> </w:t>
      </w:r>
      <w:r>
        <w:rPr>
          <w:szCs w:val="24"/>
          <w:lang w:val="fr-FR"/>
        </w:rPr>
        <w:t>ne s</w:t>
      </w:r>
      <w:r w:rsidR="004E3646">
        <w:rPr>
          <w:szCs w:val="24"/>
          <w:lang w:val="fr-FR"/>
        </w:rPr>
        <w:t>’</w:t>
      </w:r>
      <w:r>
        <w:rPr>
          <w:szCs w:val="24"/>
          <w:lang w:val="fr-FR"/>
        </w:rPr>
        <w:t>appliquait pas en l</w:t>
      </w:r>
      <w:r w:rsidR="004E3646">
        <w:rPr>
          <w:szCs w:val="24"/>
          <w:lang w:val="fr-FR"/>
        </w:rPr>
        <w:t>’</w:t>
      </w:r>
      <w:r>
        <w:rPr>
          <w:szCs w:val="24"/>
          <w:lang w:val="fr-FR"/>
        </w:rPr>
        <w:t>espèce, étant donné que sa publication ne constituait pas de matériel de propagande électorale</w:t>
      </w:r>
      <w:r w:rsidRPr="002751DA">
        <w:rPr>
          <w:szCs w:val="24"/>
          <w:lang w:val="fr-FR"/>
        </w:rPr>
        <w:t xml:space="preserve">, au sens de </w:t>
      </w:r>
      <w:r>
        <w:rPr>
          <w:szCs w:val="24"/>
          <w:lang w:val="fr-FR"/>
        </w:rPr>
        <w:t xml:space="preserve">la </w:t>
      </w:r>
      <w:r w:rsidRPr="002751DA">
        <w:rPr>
          <w:szCs w:val="24"/>
          <w:lang w:val="fr-FR"/>
        </w:rPr>
        <w:t xml:space="preserve">loi </w:t>
      </w:r>
      <w:r>
        <w:rPr>
          <w:szCs w:val="24"/>
          <w:lang w:val="fr-FR"/>
        </w:rPr>
        <w:t>en question. Il fit observer en outre que son article n</w:t>
      </w:r>
      <w:r w:rsidR="004E3646">
        <w:rPr>
          <w:szCs w:val="24"/>
          <w:lang w:val="fr-FR"/>
        </w:rPr>
        <w:t>’</w:t>
      </w:r>
      <w:r>
        <w:rPr>
          <w:szCs w:val="24"/>
          <w:lang w:val="fr-FR"/>
        </w:rPr>
        <w:t>avait aucun lien avec la campagne électorale et qu</w:t>
      </w:r>
      <w:r w:rsidR="004E3646">
        <w:rPr>
          <w:szCs w:val="24"/>
          <w:lang w:val="fr-FR"/>
        </w:rPr>
        <w:t>’</w:t>
      </w:r>
      <w:r>
        <w:rPr>
          <w:szCs w:val="24"/>
          <w:lang w:val="fr-FR"/>
        </w:rPr>
        <w:t xml:space="preserve">il </w:t>
      </w:r>
      <w:r w:rsidRPr="002751DA">
        <w:rPr>
          <w:szCs w:val="24"/>
          <w:lang w:val="fr-FR"/>
        </w:rPr>
        <w:t xml:space="preserve">reflétait son avis en tant que journaliste </w:t>
      </w:r>
      <w:r>
        <w:rPr>
          <w:szCs w:val="24"/>
          <w:lang w:val="fr-FR"/>
        </w:rPr>
        <w:t>n</w:t>
      </w:r>
      <w:r w:rsidR="004E3646">
        <w:rPr>
          <w:szCs w:val="24"/>
          <w:lang w:val="fr-FR"/>
        </w:rPr>
        <w:t>’</w:t>
      </w:r>
      <w:r>
        <w:rPr>
          <w:szCs w:val="24"/>
          <w:lang w:val="fr-FR"/>
        </w:rPr>
        <w:t>ayant aucune implication en la matière.</w:t>
      </w:r>
    </w:p>
    <w:p w:rsidR="001F6E3A" w:rsidRDefault="004C0798" w:rsidP="0030061A">
      <w:pPr>
        <w:pStyle w:val="ECHRPara"/>
        <w:rPr>
          <w:szCs w:val="24"/>
          <w:lang w:val="fr-FR"/>
        </w:rPr>
      </w:pPr>
      <w:r>
        <w:rPr>
          <w:szCs w:val="24"/>
          <w:lang w:val="fr-FR"/>
        </w:rPr>
        <w:t>7.  </w:t>
      </w:r>
      <w:r w:rsidRPr="002751DA">
        <w:rPr>
          <w:szCs w:val="24"/>
          <w:lang w:val="fr-FR"/>
        </w:rPr>
        <w:t>Le 8 octobre 2011, la cour d</w:t>
      </w:r>
      <w:r w:rsidR="004E3646">
        <w:rPr>
          <w:szCs w:val="24"/>
          <w:lang w:val="fr-FR"/>
        </w:rPr>
        <w:t>’</w:t>
      </w:r>
      <w:r w:rsidRPr="002751DA">
        <w:rPr>
          <w:szCs w:val="24"/>
          <w:lang w:val="fr-FR"/>
        </w:rPr>
        <w:t>appel de Katowice rejeta le recours du requérant</w:t>
      </w:r>
      <w:r>
        <w:rPr>
          <w:szCs w:val="24"/>
          <w:lang w:val="fr-FR"/>
        </w:rPr>
        <w:t xml:space="preserve"> en souscrivant aux motifs du tribunal régional. La cour d</w:t>
      </w:r>
      <w:r w:rsidR="004E3646">
        <w:rPr>
          <w:szCs w:val="24"/>
          <w:lang w:val="fr-FR"/>
        </w:rPr>
        <w:t>’</w:t>
      </w:r>
      <w:r>
        <w:rPr>
          <w:szCs w:val="24"/>
          <w:lang w:val="fr-FR"/>
        </w:rPr>
        <w:t xml:space="preserve">appel </w:t>
      </w:r>
      <w:r>
        <w:rPr>
          <w:szCs w:val="24"/>
          <w:lang w:val="fr-FR"/>
        </w:rPr>
        <w:lastRenderedPageBreak/>
        <w:t xml:space="preserve">souligna </w:t>
      </w:r>
      <w:r w:rsidRPr="002751DA">
        <w:rPr>
          <w:szCs w:val="24"/>
          <w:lang w:val="fr-FR"/>
        </w:rPr>
        <w:t xml:space="preserve">que </w:t>
      </w:r>
      <w:r>
        <w:rPr>
          <w:szCs w:val="24"/>
          <w:lang w:val="fr-FR"/>
        </w:rPr>
        <w:t xml:space="preserve">la procédure prévue par </w:t>
      </w:r>
      <w:r w:rsidRPr="002751DA">
        <w:rPr>
          <w:szCs w:val="24"/>
          <w:lang w:val="fr-FR"/>
        </w:rPr>
        <w:t>l</w:t>
      </w:r>
      <w:r w:rsidR="004E3646">
        <w:rPr>
          <w:szCs w:val="24"/>
          <w:lang w:val="fr-FR"/>
        </w:rPr>
        <w:t>’</w:t>
      </w:r>
      <w:r w:rsidRPr="002751DA">
        <w:rPr>
          <w:szCs w:val="24"/>
          <w:lang w:val="fr-FR"/>
        </w:rPr>
        <w:t xml:space="preserve">article 111 </w:t>
      </w:r>
      <w:r>
        <w:rPr>
          <w:szCs w:val="24"/>
          <w:lang w:val="fr-FR"/>
        </w:rPr>
        <w:t xml:space="preserve">de la loi </w:t>
      </w:r>
      <w:r w:rsidRPr="002751DA">
        <w:rPr>
          <w:szCs w:val="24"/>
          <w:lang w:val="fr-FR"/>
        </w:rPr>
        <w:t>électoral</w:t>
      </w:r>
      <w:r>
        <w:rPr>
          <w:szCs w:val="24"/>
          <w:lang w:val="fr-FR"/>
        </w:rPr>
        <w:t>e</w:t>
      </w:r>
      <w:r w:rsidRPr="002751DA">
        <w:rPr>
          <w:szCs w:val="24"/>
          <w:lang w:val="fr-FR"/>
        </w:rPr>
        <w:t xml:space="preserve"> </w:t>
      </w:r>
      <w:r>
        <w:rPr>
          <w:szCs w:val="24"/>
          <w:lang w:val="fr-FR"/>
        </w:rPr>
        <w:t>était une mesure de protection contre des violations des règles de campagne électorale imputables à la diffusion, dans le matériel de propagande électorale, des informations non-avérées susceptibles d</w:t>
      </w:r>
      <w:r w:rsidR="004E3646">
        <w:rPr>
          <w:szCs w:val="24"/>
          <w:lang w:val="fr-FR"/>
        </w:rPr>
        <w:t>’</w:t>
      </w:r>
      <w:r>
        <w:rPr>
          <w:szCs w:val="24"/>
          <w:lang w:val="fr-FR"/>
        </w:rPr>
        <w:t>avoir une incidence sur le résultat du vote. L</w:t>
      </w:r>
      <w:r w:rsidRPr="002751DA">
        <w:rPr>
          <w:szCs w:val="24"/>
          <w:lang w:val="fr-FR"/>
        </w:rPr>
        <w:t xml:space="preserve">a procédure </w:t>
      </w:r>
      <w:r>
        <w:rPr>
          <w:szCs w:val="24"/>
          <w:lang w:val="fr-FR"/>
        </w:rPr>
        <w:t>en cause s</w:t>
      </w:r>
      <w:r w:rsidR="004E3646">
        <w:rPr>
          <w:szCs w:val="24"/>
          <w:lang w:val="fr-FR"/>
        </w:rPr>
        <w:t>’</w:t>
      </w:r>
      <w:r>
        <w:rPr>
          <w:szCs w:val="24"/>
          <w:lang w:val="fr-FR"/>
        </w:rPr>
        <w:t>appliquait non seulement aux déclarations d</w:t>
      </w:r>
      <w:r w:rsidRPr="002751DA">
        <w:rPr>
          <w:szCs w:val="24"/>
          <w:lang w:val="fr-FR"/>
        </w:rPr>
        <w:t xml:space="preserve">es comités électoraux </w:t>
      </w:r>
      <w:r>
        <w:rPr>
          <w:szCs w:val="24"/>
          <w:lang w:val="fr-FR"/>
        </w:rPr>
        <w:t xml:space="preserve">ou à celles des candidats </w:t>
      </w:r>
      <w:r w:rsidRPr="002751DA">
        <w:rPr>
          <w:szCs w:val="24"/>
          <w:lang w:val="fr-FR"/>
        </w:rPr>
        <w:t xml:space="preserve">mais </w:t>
      </w:r>
      <w:r>
        <w:rPr>
          <w:szCs w:val="24"/>
          <w:lang w:val="fr-FR"/>
        </w:rPr>
        <w:t>à l</w:t>
      </w:r>
      <w:r w:rsidR="004E3646">
        <w:rPr>
          <w:szCs w:val="24"/>
          <w:lang w:val="fr-FR"/>
        </w:rPr>
        <w:t>’</w:t>
      </w:r>
      <w:r>
        <w:rPr>
          <w:szCs w:val="24"/>
          <w:lang w:val="fr-FR"/>
        </w:rPr>
        <w:t>ensemble d</w:t>
      </w:r>
      <w:r w:rsidR="004E3646">
        <w:rPr>
          <w:szCs w:val="24"/>
          <w:lang w:val="fr-FR"/>
        </w:rPr>
        <w:t>’</w:t>
      </w:r>
      <w:r>
        <w:rPr>
          <w:szCs w:val="24"/>
          <w:lang w:val="fr-FR"/>
        </w:rPr>
        <w:t>informations susceptibles d</w:t>
      </w:r>
      <w:r w:rsidR="004E3646">
        <w:rPr>
          <w:szCs w:val="24"/>
          <w:lang w:val="fr-FR"/>
        </w:rPr>
        <w:t>’</w:t>
      </w:r>
      <w:r>
        <w:rPr>
          <w:szCs w:val="24"/>
          <w:lang w:val="fr-FR"/>
        </w:rPr>
        <w:t>influencer le résultat du</w:t>
      </w:r>
      <w:r w:rsidRPr="002751DA">
        <w:rPr>
          <w:szCs w:val="24"/>
          <w:lang w:val="fr-FR"/>
        </w:rPr>
        <w:t xml:space="preserve"> vote, y compris </w:t>
      </w:r>
      <w:r>
        <w:rPr>
          <w:szCs w:val="24"/>
          <w:lang w:val="fr-FR"/>
        </w:rPr>
        <w:t xml:space="preserve">à celles diffusées par voie de </w:t>
      </w:r>
      <w:r w:rsidRPr="002751DA">
        <w:rPr>
          <w:szCs w:val="24"/>
          <w:lang w:val="fr-FR"/>
        </w:rPr>
        <w:t xml:space="preserve">presse par </w:t>
      </w:r>
      <w:r>
        <w:rPr>
          <w:szCs w:val="24"/>
          <w:lang w:val="fr-FR"/>
        </w:rPr>
        <w:t xml:space="preserve">les </w:t>
      </w:r>
      <w:r w:rsidRPr="002751DA">
        <w:rPr>
          <w:szCs w:val="24"/>
          <w:lang w:val="fr-FR"/>
        </w:rPr>
        <w:t>personne</w:t>
      </w:r>
      <w:r>
        <w:rPr>
          <w:szCs w:val="24"/>
          <w:lang w:val="fr-FR"/>
        </w:rPr>
        <w:t>s qui ne sont pas directement</w:t>
      </w:r>
      <w:r w:rsidRPr="002751DA">
        <w:rPr>
          <w:szCs w:val="24"/>
          <w:lang w:val="fr-FR"/>
        </w:rPr>
        <w:t xml:space="preserve"> impliquée</w:t>
      </w:r>
      <w:r>
        <w:rPr>
          <w:szCs w:val="24"/>
          <w:lang w:val="fr-FR"/>
        </w:rPr>
        <w:t>s</w:t>
      </w:r>
      <w:r w:rsidRPr="002751DA">
        <w:rPr>
          <w:szCs w:val="24"/>
          <w:lang w:val="fr-FR"/>
        </w:rPr>
        <w:t xml:space="preserve"> </w:t>
      </w:r>
      <w:r>
        <w:rPr>
          <w:szCs w:val="24"/>
          <w:lang w:val="fr-FR"/>
        </w:rPr>
        <w:t>dans la ca</w:t>
      </w:r>
      <w:r w:rsidRPr="002751DA">
        <w:rPr>
          <w:szCs w:val="24"/>
          <w:lang w:val="fr-FR"/>
        </w:rPr>
        <w:t>mpagne. La cour d</w:t>
      </w:r>
      <w:r w:rsidR="004E3646">
        <w:rPr>
          <w:szCs w:val="24"/>
          <w:lang w:val="fr-FR"/>
        </w:rPr>
        <w:t>’</w:t>
      </w:r>
      <w:r w:rsidRPr="002751DA">
        <w:rPr>
          <w:szCs w:val="24"/>
          <w:lang w:val="fr-FR"/>
        </w:rPr>
        <w:t xml:space="preserve">appel rappela </w:t>
      </w:r>
      <w:r>
        <w:rPr>
          <w:szCs w:val="24"/>
          <w:lang w:val="fr-FR"/>
        </w:rPr>
        <w:t>que la procédure prévue par l</w:t>
      </w:r>
      <w:r w:rsidR="004E3646">
        <w:rPr>
          <w:szCs w:val="24"/>
          <w:lang w:val="fr-FR"/>
        </w:rPr>
        <w:t>’</w:t>
      </w:r>
      <w:r w:rsidRPr="002751DA">
        <w:rPr>
          <w:szCs w:val="24"/>
          <w:lang w:val="fr-FR"/>
        </w:rPr>
        <w:t xml:space="preserve">article 111 </w:t>
      </w:r>
      <w:r>
        <w:rPr>
          <w:szCs w:val="24"/>
          <w:lang w:val="fr-FR"/>
        </w:rPr>
        <w:t xml:space="preserve">de la loi </w:t>
      </w:r>
      <w:r w:rsidRPr="002751DA">
        <w:rPr>
          <w:szCs w:val="24"/>
          <w:lang w:val="fr-FR"/>
        </w:rPr>
        <w:t>électoral</w:t>
      </w:r>
      <w:r>
        <w:rPr>
          <w:szCs w:val="24"/>
          <w:lang w:val="fr-FR"/>
        </w:rPr>
        <w:t>e</w:t>
      </w:r>
      <w:r w:rsidRPr="002751DA">
        <w:rPr>
          <w:szCs w:val="24"/>
          <w:lang w:val="fr-FR"/>
        </w:rPr>
        <w:t xml:space="preserve"> </w:t>
      </w:r>
      <w:r>
        <w:rPr>
          <w:szCs w:val="24"/>
          <w:lang w:val="fr-FR"/>
        </w:rPr>
        <w:t>concernait uniquement les informations factuelles et non pas les opinions formulées à propos des</w:t>
      </w:r>
      <w:r w:rsidRPr="002751DA">
        <w:rPr>
          <w:szCs w:val="24"/>
          <w:lang w:val="fr-FR"/>
        </w:rPr>
        <w:t xml:space="preserve"> candida</w:t>
      </w:r>
      <w:r>
        <w:rPr>
          <w:szCs w:val="24"/>
          <w:lang w:val="fr-FR"/>
        </w:rPr>
        <w:t>ts</w:t>
      </w:r>
      <w:r w:rsidRPr="002751DA">
        <w:rPr>
          <w:szCs w:val="24"/>
          <w:lang w:val="fr-FR"/>
        </w:rPr>
        <w:t>.</w:t>
      </w:r>
    </w:p>
    <w:p w:rsidR="001F6E3A" w:rsidRDefault="004C0798" w:rsidP="0030061A">
      <w:pPr>
        <w:pStyle w:val="ECHRPara"/>
        <w:rPr>
          <w:szCs w:val="24"/>
          <w:lang w:val="fr-FR"/>
        </w:rPr>
      </w:pPr>
      <w:r w:rsidRPr="002751DA">
        <w:rPr>
          <w:szCs w:val="24"/>
          <w:lang w:val="fr-FR"/>
        </w:rPr>
        <w:t>La cour d</w:t>
      </w:r>
      <w:r w:rsidR="004E3646">
        <w:rPr>
          <w:szCs w:val="24"/>
          <w:lang w:val="fr-FR"/>
        </w:rPr>
        <w:t>’</w:t>
      </w:r>
      <w:r w:rsidRPr="002751DA">
        <w:rPr>
          <w:szCs w:val="24"/>
          <w:lang w:val="fr-FR"/>
        </w:rPr>
        <w:t xml:space="preserve">appel </w:t>
      </w:r>
      <w:r>
        <w:rPr>
          <w:szCs w:val="24"/>
          <w:lang w:val="fr-FR"/>
        </w:rPr>
        <w:t xml:space="preserve">observa que, </w:t>
      </w:r>
      <w:r w:rsidRPr="002751DA">
        <w:rPr>
          <w:szCs w:val="24"/>
          <w:lang w:val="fr-FR"/>
        </w:rPr>
        <w:t xml:space="preserve">hormis </w:t>
      </w:r>
      <w:r>
        <w:rPr>
          <w:szCs w:val="24"/>
          <w:lang w:val="fr-FR"/>
        </w:rPr>
        <w:t>le grief du requérant portant sur l</w:t>
      </w:r>
      <w:r w:rsidR="004E3646">
        <w:rPr>
          <w:szCs w:val="24"/>
          <w:lang w:val="fr-FR"/>
        </w:rPr>
        <w:t>’</w:t>
      </w:r>
      <w:r>
        <w:rPr>
          <w:szCs w:val="24"/>
          <w:lang w:val="fr-FR"/>
        </w:rPr>
        <w:t>inapplicabilité en l</w:t>
      </w:r>
      <w:r w:rsidR="004E3646">
        <w:rPr>
          <w:szCs w:val="24"/>
          <w:lang w:val="fr-FR"/>
        </w:rPr>
        <w:t>’</w:t>
      </w:r>
      <w:r>
        <w:rPr>
          <w:szCs w:val="24"/>
          <w:lang w:val="fr-FR"/>
        </w:rPr>
        <w:t>espèce de la procédure prévue par l</w:t>
      </w:r>
      <w:r w:rsidR="004E3646">
        <w:rPr>
          <w:szCs w:val="24"/>
          <w:lang w:val="fr-FR"/>
        </w:rPr>
        <w:t>’</w:t>
      </w:r>
      <w:r>
        <w:rPr>
          <w:szCs w:val="24"/>
          <w:lang w:val="fr-FR"/>
        </w:rPr>
        <w:t>article 111 de la loi électorale, son recours ne contenait aucun élément susceptible d</w:t>
      </w:r>
      <w:r w:rsidR="004E3646">
        <w:rPr>
          <w:szCs w:val="24"/>
          <w:lang w:val="fr-FR"/>
        </w:rPr>
        <w:t>’</w:t>
      </w:r>
      <w:r>
        <w:rPr>
          <w:szCs w:val="24"/>
          <w:lang w:val="fr-FR"/>
        </w:rPr>
        <w:t>étayer</w:t>
      </w:r>
      <w:r w:rsidRPr="002751DA">
        <w:rPr>
          <w:szCs w:val="24"/>
          <w:lang w:val="fr-FR"/>
        </w:rPr>
        <w:t xml:space="preserve"> </w:t>
      </w:r>
      <w:r>
        <w:rPr>
          <w:szCs w:val="24"/>
          <w:lang w:val="fr-FR"/>
        </w:rPr>
        <w:t>ses déclarations</w:t>
      </w:r>
      <w:r w:rsidRPr="002751DA">
        <w:rPr>
          <w:szCs w:val="24"/>
          <w:lang w:val="fr-FR"/>
        </w:rPr>
        <w:t xml:space="preserve"> </w:t>
      </w:r>
      <w:r>
        <w:rPr>
          <w:szCs w:val="24"/>
          <w:lang w:val="fr-FR"/>
        </w:rPr>
        <w:t xml:space="preserve">à propos </w:t>
      </w:r>
      <w:r w:rsidRPr="002751DA">
        <w:rPr>
          <w:szCs w:val="24"/>
          <w:lang w:val="fr-FR"/>
        </w:rPr>
        <w:t>de M.G.</w:t>
      </w:r>
    </w:p>
    <w:p w:rsidR="004C0798" w:rsidRDefault="004C0798" w:rsidP="0030061A">
      <w:pPr>
        <w:pStyle w:val="ECHRHeading2"/>
        <w:rPr>
          <w:lang w:val="fr-FR"/>
        </w:rPr>
      </w:pPr>
      <w:r w:rsidRPr="0072720E">
        <w:rPr>
          <w:lang w:val="fr-FR"/>
        </w:rPr>
        <w:t>B.  Le droit interne pertinent</w:t>
      </w:r>
    </w:p>
    <w:p w:rsidR="001F6E3A" w:rsidRDefault="004C0798" w:rsidP="0030061A">
      <w:pPr>
        <w:pStyle w:val="ECHRPara"/>
        <w:rPr>
          <w:lang w:val="fr-FR"/>
        </w:rPr>
      </w:pPr>
      <w:r>
        <w:rPr>
          <w:lang w:val="fr-FR"/>
        </w:rPr>
        <w:t>8</w:t>
      </w:r>
      <w:r w:rsidRPr="003F33FE">
        <w:rPr>
          <w:lang w:val="fr-FR"/>
        </w:rPr>
        <w:t>.  </w:t>
      </w:r>
      <w:r w:rsidRPr="00B41F0F">
        <w:rPr>
          <w:lang w:val="fr-FR"/>
        </w:rPr>
        <w:t>Selon l</w:t>
      </w:r>
      <w:r w:rsidR="004E3646">
        <w:rPr>
          <w:lang w:val="fr-FR"/>
        </w:rPr>
        <w:t>’</w:t>
      </w:r>
      <w:r w:rsidRPr="00B41F0F">
        <w:rPr>
          <w:lang w:val="fr-FR"/>
        </w:rPr>
        <w:t>article 111 § 1 de la loi électorale, en cas de diffusion, y compris dans la presse, au sens de la loi sur la presse du 26 janvier 1984, du matériel de propagande électorale, tel que les affiches, les tracts, les slogans, les déclarations ou autres, contenant les informations non-</w:t>
      </w:r>
      <w:r>
        <w:rPr>
          <w:lang w:val="fr-FR"/>
        </w:rPr>
        <w:t>avérée</w:t>
      </w:r>
      <w:r w:rsidRPr="00B41F0F">
        <w:rPr>
          <w:lang w:val="fr-FR"/>
        </w:rPr>
        <w:t>s, le candidat [aux élections] ou son représentant électoral peuvent exiger que le tribunal interdise leur diffusion, qu</w:t>
      </w:r>
      <w:r w:rsidR="004E3646">
        <w:rPr>
          <w:lang w:val="fr-FR"/>
        </w:rPr>
        <w:t>’</w:t>
      </w:r>
      <w:r w:rsidRPr="00B41F0F">
        <w:rPr>
          <w:lang w:val="fr-FR"/>
        </w:rPr>
        <w:t>il ordonne la confiscation [du matériel en cause], qu</w:t>
      </w:r>
      <w:r w:rsidR="004E3646">
        <w:rPr>
          <w:lang w:val="fr-FR"/>
        </w:rPr>
        <w:t>’</w:t>
      </w:r>
      <w:r w:rsidRPr="00B41F0F">
        <w:rPr>
          <w:lang w:val="fr-FR"/>
        </w:rPr>
        <w:t>il oblige [la personne ayant diffusé les informations non-</w:t>
      </w:r>
      <w:r>
        <w:rPr>
          <w:lang w:val="fr-FR"/>
        </w:rPr>
        <w:t>avérée</w:t>
      </w:r>
      <w:r w:rsidRPr="00B41F0F">
        <w:rPr>
          <w:lang w:val="fr-FR"/>
        </w:rPr>
        <w:t>s] de les rectifier, qu</w:t>
      </w:r>
      <w:r w:rsidR="004E3646">
        <w:rPr>
          <w:lang w:val="fr-FR"/>
        </w:rPr>
        <w:t>’</w:t>
      </w:r>
      <w:r w:rsidRPr="00B41F0F">
        <w:rPr>
          <w:lang w:val="fr-FR"/>
        </w:rPr>
        <w:t>il ordonne la réplique aux déclarations portant atteinte à la réputation et exige que soient prononcés les excuses publiques à la personne dont la réputation a été atteinte et prononce la condamnation à verser une somme d</w:t>
      </w:r>
      <w:r w:rsidR="004E3646">
        <w:rPr>
          <w:lang w:val="fr-FR"/>
        </w:rPr>
        <w:t>’</w:t>
      </w:r>
      <w:r w:rsidRPr="00B41F0F">
        <w:rPr>
          <w:lang w:val="fr-FR"/>
        </w:rPr>
        <w:t>argent d</w:t>
      </w:r>
      <w:r w:rsidR="004E3646">
        <w:rPr>
          <w:lang w:val="fr-FR"/>
        </w:rPr>
        <w:t>’</w:t>
      </w:r>
      <w:r w:rsidRPr="00B41F0F">
        <w:rPr>
          <w:lang w:val="fr-FR"/>
        </w:rPr>
        <w:t>un montant maximal de 100 000 PLN au profit d</w:t>
      </w:r>
      <w:r w:rsidR="004E3646">
        <w:rPr>
          <w:lang w:val="fr-FR"/>
        </w:rPr>
        <w:t>’</w:t>
      </w:r>
      <w:r w:rsidRPr="00B41F0F">
        <w:rPr>
          <w:lang w:val="fr-FR"/>
        </w:rPr>
        <w:t>une institution d</w:t>
      </w:r>
      <w:r w:rsidR="004E3646">
        <w:rPr>
          <w:lang w:val="fr-FR"/>
        </w:rPr>
        <w:t>’</w:t>
      </w:r>
      <w:r w:rsidRPr="00B41F0F">
        <w:rPr>
          <w:lang w:val="fr-FR"/>
        </w:rPr>
        <w:t>utilité publique.</w:t>
      </w:r>
    </w:p>
    <w:p w:rsidR="004C0798" w:rsidRPr="0072720E" w:rsidRDefault="004C0798" w:rsidP="0030061A">
      <w:pPr>
        <w:pStyle w:val="ECHRTitle1"/>
        <w:rPr>
          <w:lang w:val="fr-FR"/>
        </w:rPr>
      </w:pPr>
      <w:r w:rsidRPr="0072720E">
        <w:rPr>
          <w:lang w:val="fr-FR"/>
        </w:rPr>
        <w:t>GRIEFS</w:t>
      </w:r>
    </w:p>
    <w:p w:rsidR="001F6E3A" w:rsidRDefault="004C0798" w:rsidP="0030061A">
      <w:pPr>
        <w:pStyle w:val="ECHRPara"/>
        <w:rPr>
          <w:szCs w:val="24"/>
          <w:lang w:val="fr-FR"/>
        </w:rPr>
      </w:pPr>
      <w:r>
        <w:rPr>
          <w:lang w:val="fr-FR"/>
        </w:rPr>
        <w:t>9.  </w:t>
      </w:r>
      <w:r w:rsidRPr="0072720E">
        <w:rPr>
          <w:lang w:val="fr-FR"/>
        </w:rPr>
        <w:t>Invoquant l</w:t>
      </w:r>
      <w:r w:rsidR="004E3646">
        <w:rPr>
          <w:lang w:val="fr-FR"/>
        </w:rPr>
        <w:t>’</w:t>
      </w:r>
      <w:r>
        <w:rPr>
          <w:lang w:val="fr-FR"/>
        </w:rPr>
        <w:t xml:space="preserve">article 10 de la Convention, </w:t>
      </w:r>
      <w:r w:rsidRPr="003D50FB">
        <w:rPr>
          <w:szCs w:val="24"/>
          <w:lang w:val="fr-FR"/>
        </w:rPr>
        <w:t>le requérant se plaint d</w:t>
      </w:r>
      <w:r w:rsidR="004E3646">
        <w:rPr>
          <w:szCs w:val="24"/>
          <w:lang w:val="fr-FR"/>
        </w:rPr>
        <w:t>’</w:t>
      </w:r>
      <w:r w:rsidRPr="003D50FB">
        <w:rPr>
          <w:szCs w:val="24"/>
          <w:lang w:val="fr-FR"/>
        </w:rPr>
        <w:t>une atteinte à sa liberté d</w:t>
      </w:r>
      <w:r w:rsidR="004E3646">
        <w:rPr>
          <w:szCs w:val="24"/>
          <w:lang w:val="fr-FR"/>
        </w:rPr>
        <w:t>’</w:t>
      </w:r>
      <w:r w:rsidRPr="003D50FB">
        <w:rPr>
          <w:szCs w:val="24"/>
          <w:lang w:val="fr-FR"/>
        </w:rPr>
        <w:t>expression.</w:t>
      </w:r>
    </w:p>
    <w:p w:rsidR="004C0798" w:rsidRDefault="004C0798" w:rsidP="0030061A">
      <w:pPr>
        <w:pStyle w:val="ECHRTitle1"/>
        <w:rPr>
          <w:lang w:val="fr-FR"/>
        </w:rPr>
      </w:pPr>
      <w:r w:rsidRPr="0072720E">
        <w:rPr>
          <w:lang w:val="fr-FR"/>
        </w:rPr>
        <w:t>EN DROIT</w:t>
      </w:r>
    </w:p>
    <w:p w:rsidR="004C0798" w:rsidRPr="00A17774" w:rsidRDefault="004C0798" w:rsidP="0030061A">
      <w:pPr>
        <w:pStyle w:val="ECHRPara"/>
        <w:rPr>
          <w:lang w:val="fr-FR"/>
        </w:rPr>
      </w:pPr>
      <w:r>
        <w:rPr>
          <w:lang w:val="fr-FR"/>
        </w:rPr>
        <w:t>10.  </w:t>
      </w:r>
      <w:r w:rsidRPr="00A17774">
        <w:rPr>
          <w:lang w:val="fr-FR"/>
        </w:rPr>
        <w:t>Le requérant se plaint d</w:t>
      </w:r>
      <w:r w:rsidR="004E3646">
        <w:rPr>
          <w:lang w:val="fr-FR"/>
        </w:rPr>
        <w:t>’</w:t>
      </w:r>
      <w:r w:rsidRPr="00A17774">
        <w:rPr>
          <w:lang w:val="fr-FR"/>
        </w:rPr>
        <w:t>une atteinte à son droit à la liberté d</w:t>
      </w:r>
      <w:r w:rsidR="004E3646">
        <w:rPr>
          <w:lang w:val="fr-FR"/>
        </w:rPr>
        <w:t>’</w:t>
      </w:r>
      <w:r w:rsidRPr="00A17774">
        <w:rPr>
          <w:lang w:val="fr-FR"/>
        </w:rPr>
        <w:t xml:space="preserve">expression et </w:t>
      </w:r>
      <w:r>
        <w:rPr>
          <w:lang w:val="fr-FR"/>
        </w:rPr>
        <w:t xml:space="preserve">cite </w:t>
      </w:r>
      <w:r w:rsidRPr="00A17774">
        <w:rPr>
          <w:lang w:val="fr-FR"/>
        </w:rPr>
        <w:t>l</w:t>
      </w:r>
      <w:r w:rsidR="004E3646">
        <w:rPr>
          <w:lang w:val="fr-FR"/>
        </w:rPr>
        <w:t>’</w:t>
      </w:r>
      <w:r w:rsidRPr="00A17774">
        <w:rPr>
          <w:lang w:val="fr-FR"/>
        </w:rPr>
        <w:t>article 10, ainsi libellé :</w:t>
      </w:r>
    </w:p>
    <w:p w:rsidR="004C0798" w:rsidRPr="00A17774" w:rsidRDefault="004C0798" w:rsidP="0030061A">
      <w:pPr>
        <w:pStyle w:val="ECHRParaQuote"/>
        <w:rPr>
          <w:lang w:val="fr-FR"/>
        </w:rPr>
      </w:pPr>
      <w:r w:rsidRPr="00A17774">
        <w:rPr>
          <w:lang w:val="fr-FR"/>
        </w:rPr>
        <w:lastRenderedPageBreak/>
        <w:t>« 1.  Toute personne a droit à la liberté d</w:t>
      </w:r>
      <w:r w:rsidR="004E3646">
        <w:rPr>
          <w:lang w:val="fr-FR"/>
        </w:rPr>
        <w:t>’</w:t>
      </w:r>
      <w:r w:rsidRPr="00A17774">
        <w:rPr>
          <w:lang w:val="fr-FR"/>
        </w:rPr>
        <w:t>expression (...)</w:t>
      </w:r>
    </w:p>
    <w:p w:rsidR="004C0798" w:rsidRPr="00A17774" w:rsidRDefault="004C0798" w:rsidP="0030061A">
      <w:pPr>
        <w:pStyle w:val="ECHRParaQuote"/>
        <w:rPr>
          <w:lang w:val="fr-FR"/>
        </w:rPr>
      </w:pPr>
      <w:r w:rsidRPr="00A17774">
        <w:rPr>
          <w:lang w:val="fr-FR"/>
        </w:rPr>
        <w:t>2.  L</w:t>
      </w:r>
      <w:r w:rsidR="004E3646">
        <w:rPr>
          <w:lang w:val="fr-FR"/>
        </w:rPr>
        <w:t>’</w:t>
      </w:r>
      <w:r w:rsidRPr="00A17774">
        <w:rPr>
          <w:lang w:val="fr-FR"/>
        </w:rPr>
        <w:t>exercice de ces libertés comportant des devoirs et des responsabilités peut être soumis à certaines formalités, conditions, restrictions ou sanctions prévues par la loi, qui constituent des mesures nécessaires, dans une société démocratique (...) à la protection de la réputation ou des droits d</w:t>
      </w:r>
      <w:r w:rsidR="004E3646">
        <w:rPr>
          <w:lang w:val="fr-FR"/>
        </w:rPr>
        <w:t>’</w:t>
      </w:r>
      <w:r w:rsidRPr="00A17774">
        <w:rPr>
          <w:lang w:val="fr-FR"/>
        </w:rPr>
        <w:t>autrui (...).  »</w:t>
      </w:r>
    </w:p>
    <w:p w:rsidR="004C0798" w:rsidRPr="00A17774" w:rsidRDefault="004C0798" w:rsidP="0030061A">
      <w:pPr>
        <w:pStyle w:val="ECHRPara"/>
        <w:rPr>
          <w:lang w:val="fr-FR"/>
        </w:rPr>
      </w:pPr>
      <w:r>
        <w:rPr>
          <w:lang w:val="fr-FR"/>
        </w:rPr>
        <w:t>11.  La Cour observe que les décisions prononcées à l</w:t>
      </w:r>
      <w:r w:rsidR="004E3646">
        <w:rPr>
          <w:lang w:val="fr-FR"/>
        </w:rPr>
        <w:t>’</w:t>
      </w:r>
      <w:r>
        <w:rPr>
          <w:lang w:val="fr-FR"/>
        </w:rPr>
        <w:t>encontre</w:t>
      </w:r>
      <w:r w:rsidRPr="00A17774">
        <w:rPr>
          <w:lang w:val="fr-FR"/>
        </w:rPr>
        <w:t xml:space="preserve"> du requérant s</w:t>
      </w:r>
      <w:r w:rsidR="004E3646">
        <w:rPr>
          <w:lang w:val="fr-FR"/>
        </w:rPr>
        <w:t>’</w:t>
      </w:r>
      <w:r w:rsidRPr="00A17774">
        <w:rPr>
          <w:lang w:val="fr-FR"/>
        </w:rPr>
        <w:t>analyse</w:t>
      </w:r>
      <w:r>
        <w:rPr>
          <w:lang w:val="fr-FR"/>
        </w:rPr>
        <w:t>nt</w:t>
      </w:r>
      <w:r w:rsidRPr="00A17774">
        <w:rPr>
          <w:lang w:val="fr-FR"/>
        </w:rPr>
        <w:t xml:space="preserve"> en une « ingérence » dans son droit à la liberté d</w:t>
      </w:r>
      <w:r w:rsidR="004E3646">
        <w:rPr>
          <w:lang w:val="fr-FR"/>
        </w:rPr>
        <w:t>’</w:t>
      </w:r>
      <w:r w:rsidRPr="00A17774">
        <w:rPr>
          <w:lang w:val="fr-FR"/>
        </w:rPr>
        <w:t>expression, au sens du premier paragraphe de l</w:t>
      </w:r>
      <w:r w:rsidR="004E3646">
        <w:rPr>
          <w:lang w:val="fr-FR"/>
        </w:rPr>
        <w:t>’</w:t>
      </w:r>
      <w:r w:rsidRPr="00A17774">
        <w:rPr>
          <w:lang w:val="fr-FR"/>
        </w:rPr>
        <w:t xml:space="preserve">article 10 de la Convention. </w:t>
      </w:r>
      <w:r>
        <w:rPr>
          <w:lang w:val="fr-FR"/>
        </w:rPr>
        <w:t>Elle note que l</w:t>
      </w:r>
      <w:r w:rsidR="004E3646">
        <w:rPr>
          <w:lang w:val="fr-FR"/>
        </w:rPr>
        <w:t>’</w:t>
      </w:r>
      <w:r w:rsidRPr="00A17774">
        <w:rPr>
          <w:lang w:val="fr-FR"/>
        </w:rPr>
        <w:t xml:space="preserve">ingérence </w:t>
      </w:r>
      <w:r>
        <w:rPr>
          <w:lang w:val="fr-FR"/>
        </w:rPr>
        <w:t xml:space="preserve">incriminée </w:t>
      </w:r>
      <w:r w:rsidRPr="00A17774">
        <w:rPr>
          <w:lang w:val="fr-FR"/>
        </w:rPr>
        <w:t>était « prévue par la loi », à savoir l</w:t>
      </w:r>
      <w:r w:rsidR="004E3646">
        <w:rPr>
          <w:lang w:val="fr-FR"/>
        </w:rPr>
        <w:t>’</w:t>
      </w:r>
      <w:r>
        <w:rPr>
          <w:lang w:val="fr-FR"/>
        </w:rPr>
        <w:t>article 111 § 1</w:t>
      </w:r>
      <w:r w:rsidRPr="00A17774">
        <w:rPr>
          <w:lang w:val="fr-FR"/>
        </w:rPr>
        <w:t xml:space="preserve"> </w:t>
      </w:r>
      <w:r>
        <w:rPr>
          <w:lang w:val="fr-FR"/>
        </w:rPr>
        <w:t xml:space="preserve">de la loi électorale, </w:t>
      </w:r>
      <w:r w:rsidRPr="00A17774">
        <w:rPr>
          <w:lang w:val="fr-FR"/>
        </w:rPr>
        <w:t>et poursuivait un but légitime, à savoir « la protection de la réputation d</w:t>
      </w:r>
      <w:r w:rsidR="004E3646">
        <w:rPr>
          <w:lang w:val="fr-FR"/>
        </w:rPr>
        <w:t>’</w:t>
      </w:r>
      <w:r w:rsidRPr="00A17774">
        <w:rPr>
          <w:lang w:val="fr-FR"/>
        </w:rPr>
        <w:t>autrui », plus particulièrement celle de</w:t>
      </w:r>
      <w:r>
        <w:rPr>
          <w:lang w:val="fr-FR"/>
        </w:rPr>
        <w:t xml:space="preserve"> G</w:t>
      </w:r>
      <w:r w:rsidRPr="00A17774">
        <w:rPr>
          <w:lang w:val="fr-FR"/>
        </w:rPr>
        <w:t>.</w:t>
      </w:r>
      <w:r>
        <w:rPr>
          <w:lang w:val="fr-FR"/>
        </w:rPr>
        <w:t>K</w:t>
      </w:r>
      <w:r w:rsidRPr="00A17774">
        <w:rPr>
          <w:lang w:val="fr-FR"/>
        </w:rPr>
        <w:t xml:space="preserve">. Reste à déterminer si </w:t>
      </w:r>
      <w:r>
        <w:rPr>
          <w:lang w:val="fr-FR"/>
        </w:rPr>
        <w:t>elle</w:t>
      </w:r>
      <w:r w:rsidRPr="00A17774">
        <w:rPr>
          <w:lang w:val="fr-FR"/>
        </w:rPr>
        <w:t xml:space="preserve"> était « nécessaire dans une société démocratique ».</w:t>
      </w:r>
    </w:p>
    <w:p w:rsidR="004C0798" w:rsidRPr="00A17774" w:rsidRDefault="004C0798" w:rsidP="0030061A">
      <w:pPr>
        <w:pStyle w:val="ECHRPara"/>
        <w:rPr>
          <w:szCs w:val="24"/>
          <w:lang w:val="fr-FR"/>
        </w:rPr>
      </w:pPr>
      <w:r>
        <w:rPr>
          <w:szCs w:val="24"/>
          <w:lang w:val="fr-FR"/>
        </w:rPr>
        <w:t>12.  </w:t>
      </w:r>
      <w:r w:rsidRPr="00A17774">
        <w:rPr>
          <w:szCs w:val="24"/>
          <w:lang w:val="fr-FR"/>
        </w:rPr>
        <w:t xml:space="preserve">La Cour renvoie à cet égard aux principes fondamentaux qui se dégagent de sa jurisprudence en la matière (voir, parmi de nombreux autres, </w:t>
      </w:r>
      <w:r w:rsidRPr="00A17774">
        <w:rPr>
          <w:i/>
          <w:szCs w:val="24"/>
          <w:lang w:val="fr-FR"/>
        </w:rPr>
        <w:t xml:space="preserve">Lindon Otchakovsky-Laurens et July c. France </w:t>
      </w:r>
      <w:r w:rsidRPr="00A17774">
        <w:rPr>
          <w:szCs w:val="24"/>
          <w:lang w:val="fr-FR"/>
        </w:rPr>
        <w:t xml:space="preserve">[GC], </w:t>
      </w:r>
      <w:r w:rsidRPr="00E04FB0">
        <w:rPr>
          <w:szCs w:val="24"/>
          <w:lang w:val="x-none"/>
        </w:rPr>
        <w:t>n</w:t>
      </w:r>
      <w:r w:rsidRPr="00E04FB0">
        <w:rPr>
          <w:szCs w:val="24"/>
          <w:vertAlign w:val="superscript"/>
          <w:lang w:val="x-none"/>
        </w:rPr>
        <w:t>os </w:t>
      </w:r>
      <w:r w:rsidRPr="00E04FB0">
        <w:rPr>
          <w:szCs w:val="24"/>
          <w:lang w:val="x-none"/>
        </w:rPr>
        <w:t>21279/02 et 36448/02, §§ 45 et 46, CEDH 2007</w:t>
      </w:r>
      <w:r w:rsidRPr="00E04FB0">
        <w:rPr>
          <w:szCs w:val="24"/>
          <w:lang w:val="x-none"/>
        </w:rPr>
        <w:noBreakHyphen/>
        <w:t>XI</w:t>
      </w:r>
      <w:r w:rsidRPr="00A17774">
        <w:rPr>
          <w:szCs w:val="24"/>
          <w:lang w:val="fr-FR"/>
        </w:rPr>
        <w:t xml:space="preserve">, et </w:t>
      </w:r>
      <w:r w:rsidRPr="00A17774">
        <w:rPr>
          <w:i/>
          <w:szCs w:val="24"/>
          <w:lang w:val="fr-FR"/>
        </w:rPr>
        <w:t>July et Sarl Libération c. France</w:t>
      </w:r>
      <w:r w:rsidRPr="00A17774">
        <w:rPr>
          <w:szCs w:val="24"/>
          <w:lang w:val="fr-FR"/>
        </w:rPr>
        <w:t>, n</w:t>
      </w:r>
      <w:r w:rsidRPr="00A17774">
        <w:rPr>
          <w:szCs w:val="24"/>
          <w:vertAlign w:val="superscript"/>
          <w:lang w:val="fr-FR"/>
        </w:rPr>
        <w:t>o</w:t>
      </w:r>
      <w:r w:rsidRPr="00A17774">
        <w:rPr>
          <w:szCs w:val="24"/>
          <w:lang w:val="fr-FR"/>
        </w:rPr>
        <w:t> 20893/03, §§ 60 à 64, CEDH 2008-...).</w:t>
      </w:r>
    </w:p>
    <w:p w:rsidR="004C0798" w:rsidRPr="00A17774" w:rsidRDefault="004C0798" w:rsidP="0030061A">
      <w:pPr>
        <w:pStyle w:val="ECHRPara"/>
        <w:rPr>
          <w:szCs w:val="24"/>
          <w:lang w:val="fr-FR"/>
        </w:rPr>
      </w:pPr>
      <w:r>
        <w:rPr>
          <w:szCs w:val="24"/>
          <w:lang w:val="fr-FR"/>
        </w:rPr>
        <w:t>13</w:t>
      </w:r>
      <w:r w:rsidRPr="003F33FE">
        <w:rPr>
          <w:lang w:val="fr-FR"/>
        </w:rPr>
        <w:t>.  Elle rappelle que, dans l</w:t>
      </w:r>
      <w:r w:rsidR="004E3646">
        <w:rPr>
          <w:lang w:val="fr-FR"/>
        </w:rPr>
        <w:t>’</w:t>
      </w:r>
      <w:r w:rsidRPr="003F33FE">
        <w:rPr>
          <w:lang w:val="fr-FR"/>
        </w:rPr>
        <w:t>exercice de son pouvoir de contrôle, elle n</w:t>
      </w:r>
      <w:r w:rsidR="004E3646">
        <w:rPr>
          <w:lang w:val="fr-FR"/>
        </w:rPr>
        <w:t>’</w:t>
      </w:r>
      <w:r w:rsidRPr="003F33FE">
        <w:rPr>
          <w:lang w:val="fr-FR"/>
        </w:rPr>
        <w:t>a point pour tâche de se substituer aux juridictions internes compétentes, mais de vérifier sous l</w:t>
      </w:r>
      <w:r w:rsidR="004E3646">
        <w:rPr>
          <w:lang w:val="fr-FR"/>
        </w:rPr>
        <w:t>’</w:t>
      </w:r>
      <w:r w:rsidRPr="003F33FE">
        <w:rPr>
          <w:lang w:val="fr-FR"/>
        </w:rPr>
        <w:t>angle de l</w:t>
      </w:r>
      <w:r w:rsidR="004E3646">
        <w:rPr>
          <w:lang w:val="fr-FR"/>
        </w:rPr>
        <w:t>’</w:t>
      </w:r>
      <w:r w:rsidRPr="003F33FE">
        <w:rPr>
          <w:lang w:val="fr-FR"/>
        </w:rPr>
        <w:t>article de la Convention concerné, les décisions qu</w:t>
      </w:r>
      <w:r w:rsidR="004E3646">
        <w:rPr>
          <w:lang w:val="fr-FR"/>
        </w:rPr>
        <w:t>’</w:t>
      </w:r>
      <w:r w:rsidRPr="003F33FE">
        <w:rPr>
          <w:lang w:val="fr-FR"/>
        </w:rPr>
        <w:t>elles ont rendues en vertu de leur pouvoir d</w:t>
      </w:r>
      <w:r w:rsidR="004E3646">
        <w:rPr>
          <w:lang w:val="fr-FR"/>
        </w:rPr>
        <w:t>’</w:t>
      </w:r>
      <w:r w:rsidRPr="003F33FE">
        <w:rPr>
          <w:lang w:val="fr-FR"/>
        </w:rPr>
        <w:t>appréciation (</w:t>
      </w:r>
      <w:r w:rsidRPr="003F33FE">
        <w:rPr>
          <w:i/>
          <w:lang w:val="fr-FR"/>
        </w:rPr>
        <w:t>News Verlags GmbH &amp; Co. KG c. Autriche</w:t>
      </w:r>
      <w:r w:rsidRPr="003F33FE">
        <w:rPr>
          <w:lang w:val="fr-FR"/>
        </w:rPr>
        <w:t>, no 31457/96, § 52, CEDH 2000-I).</w:t>
      </w:r>
    </w:p>
    <w:p w:rsidR="001F6E3A" w:rsidRDefault="004C0798" w:rsidP="0030061A">
      <w:pPr>
        <w:pStyle w:val="ECHRPara"/>
        <w:rPr>
          <w:lang w:val="fr-FR"/>
        </w:rPr>
      </w:pPr>
      <w:r w:rsidRPr="0092281E">
        <w:rPr>
          <w:lang w:val="fr-FR"/>
        </w:rPr>
        <w:t>14</w:t>
      </w:r>
      <w:r w:rsidR="005A5347">
        <w:rPr>
          <w:lang w:val="fr-FR"/>
        </w:rPr>
        <w:t>.</w:t>
      </w:r>
      <w:r w:rsidRPr="0092281E">
        <w:rPr>
          <w:lang w:val="fr-FR"/>
        </w:rPr>
        <w:t>  </w:t>
      </w:r>
      <w:r w:rsidRPr="0092281E">
        <w:rPr>
          <w:rStyle w:val="JuParaCar"/>
          <w:sz w:val="24"/>
          <w:lang w:val="fr-FR"/>
        </w:rPr>
        <w:t>En particulier, il lui incombe de déterminer si les motifs invoqués par les juridictions nationales pour justifier l</w:t>
      </w:r>
      <w:r w:rsidR="004E3646">
        <w:rPr>
          <w:rStyle w:val="JuParaCar"/>
          <w:sz w:val="24"/>
          <w:lang w:val="fr-FR"/>
        </w:rPr>
        <w:t>’</w:t>
      </w:r>
      <w:r w:rsidRPr="0092281E">
        <w:rPr>
          <w:rStyle w:val="JuParaCar"/>
          <w:sz w:val="24"/>
          <w:lang w:val="fr-FR"/>
        </w:rPr>
        <w:t>ingérence apparaissent « pertinents et suffisants » et si la mesure incriminée était « proportionnée aux buts légitimes poursuivis »</w:t>
      </w:r>
      <w:r w:rsidRPr="0092281E">
        <w:rPr>
          <w:lang w:val="fr-FR"/>
        </w:rPr>
        <w:t xml:space="preserve"> (</w:t>
      </w:r>
      <w:r w:rsidRPr="0092281E">
        <w:rPr>
          <w:i/>
          <w:lang w:val="fr-FR"/>
        </w:rPr>
        <w:t>Chauvy et autres c. France,</w:t>
      </w:r>
      <w:r w:rsidRPr="0092281E">
        <w:rPr>
          <w:lang w:val="fr-FR"/>
        </w:rPr>
        <w:t xml:space="preserve"> no 64915/01, § 70, CEDH 2004</w:t>
      </w:r>
      <w:r w:rsidRPr="0092281E">
        <w:rPr>
          <w:lang w:val="fr-FR"/>
        </w:rPr>
        <w:noBreakHyphen/>
        <w:t xml:space="preserve">VI, </w:t>
      </w:r>
      <w:r w:rsidRPr="0092281E">
        <w:rPr>
          <w:i/>
          <w:lang w:val="fr-FR"/>
        </w:rPr>
        <w:t>Alves da Silva c. Portugal</w:t>
      </w:r>
      <w:r w:rsidRPr="0092281E">
        <w:rPr>
          <w:lang w:val="fr-FR"/>
        </w:rPr>
        <w:t>, no 41665/07, § 23, 20 octobre 2009).</w:t>
      </w:r>
    </w:p>
    <w:p w:rsidR="001F6E3A" w:rsidRDefault="004C0798" w:rsidP="0030061A">
      <w:pPr>
        <w:pStyle w:val="ECHRPara"/>
        <w:rPr>
          <w:lang w:val="fr-FR"/>
        </w:rPr>
      </w:pPr>
      <w:r w:rsidRPr="0092281E">
        <w:rPr>
          <w:rStyle w:val="JuParaCar"/>
          <w:sz w:val="24"/>
          <w:lang w:val="fr-FR"/>
        </w:rPr>
        <w:t>15.  </w:t>
      </w:r>
      <w:r w:rsidRPr="0092281E">
        <w:rPr>
          <w:lang w:val="fr-FR"/>
        </w:rPr>
        <w:t>En l</w:t>
      </w:r>
      <w:r w:rsidR="004E3646">
        <w:rPr>
          <w:lang w:val="fr-FR"/>
        </w:rPr>
        <w:t>’</w:t>
      </w:r>
      <w:r w:rsidRPr="0092281E">
        <w:rPr>
          <w:lang w:val="fr-FR"/>
        </w:rPr>
        <w:t>espèce, la Cour relève que les déclarations litigeuses ont été prononcées dans un article paru dans une gazette locale en période préélectorale. Dans sa publication, le requérant a imputé à G.K., président du conseil municipal et candidat au poste de député, les irrégularités commises à l</w:t>
      </w:r>
      <w:r w:rsidR="004E3646">
        <w:rPr>
          <w:lang w:val="fr-FR"/>
        </w:rPr>
        <w:t>’</w:t>
      </w:r>
      <w:r w:rsidRPr="0092281E">
        <w:rPr>
          <w:lang w:val="fr-FR"/>
        </w:rPr>
        <w:t xml:space="preserve">occasion de la campagne </w:t>
      </w:r>
      <w:r>
        <w:rPr>
          <w:lang w:val="fr-FR"/>
        </w:rPr>
        <w:t>électorale</w:t>
      </w:r>
      <w:r w:rsidRPr="0092281E">
        <w:rPr>
          <w:lang w:val="fr-FR"/>
        </w:rPr>
        <w:t>. Le requérant s</w:t>
      </w:r>
      <w:r w:rsidR="004E3646">
        <w:rPr>
          <w:lang w:val="fr-FR"/>
        </w:rPr>
        <w:t>’</w:t>
      </w:r>
      <w:r w:rsidRPr="0092281E">
        <w:rPr>
          <w:lang w:val="fr-FR"/>
        </w:rPr>
        <w:t>interrogeait, notamment, sur la question de savoir si G.K. présentait de qualités morales requises pour occuper le poste de député. La Cour note que la publication incriminée, intervenue une semaine avant le</w:t>
      </w:r>
      <w:r>
        <w:rPr>
          <w:lang w:val="fr-FR"/>
        </w:rPr>
        <w:t>s élections</w:t>
      </w:r>
      <w:r w:rsidRPr="0092281E">
        <w:rPr>
          <w:lang w:val="fr-FR"/>
        </w:rPr>
        <w:t xml:space="preserve"> et visant le plaignant en tant que candidat au poste de député, avai</w:t>
      </w:r>
      <w:r>
        <w:rPr>
          <w:lang w:val="fr-FR"/>
        </w:rPr>
        <w:t>t un</w:t>
      </w:r>
      <w:r w:rsidRPr="0092281E">
        <w:rPr>
          <w:lang w:val="fr-FR"/>
        </w:rPr>
        <w:t xml:space="preserve"> lien évident avec la campagne électorale en cours.</w:t>
      </w:r>
    </w:p>
    <w:p w:rsidR="001F6E3A" w:rsidRDefault="004C0798" w:rsidP="0030061A">
      <w:pPr>
        <w:pStyle w:val="ECHRPara"/>
        <w:rPr>
          <w:lang w:val="fr-FR"/>
        </w:rPr>
      </w:pPr>
      <w:r w:rsidRPr="0092281E">
        <w:rPr>
          <w:lang w:val="fr-FR"/>
        </w:rPr>
        <w:t>16.  La Cour rappelle que la liberté d</w:t>
      </w:r>
      <w:r w:rsidR="004E3646">
        <w:rPr>
          <w:lang w:val="fr-FR"/>
        </w:rPr>
        <w:t>’</w:t>
      </w:r>
      <w:r w:rsidRPr="0092281E">
        <w:rPr>
          <w:lang w:val="fr-FR"/>
        </w:rPr>
        <w:t>expression est</w:t>
      </w:r>
      <w:r>
        <w:rPr>
          <w:lang w:val="fr-FR"/>
        </w:rPr>
        <w:t xml:space="preserve"> l</w:t>
      </w:r>
      <w:r w:rsidR="004E3646">
        <w:rPr>
          <w:lang w:val="fr-FR"/>
        </w:rPr>
        <w:t>’</w:t>
      </w:r>
      <w:r>
        <w:rPr>
          <w:lang w:val="fr-FR"/>
        </w:rPr>
        <w:t>une des « conditions qui assurent la libre expression de l</w:t>
      </w:r>
      <w:r w:rsidR="004E3646">
        <w:rPr>
          <w:lang w:val="fr-FR"/>
        </w:rPr>
        <w:t>’</w:t>
      </w:r>
      <w:r>
        <w:rPr>
          <w:lang w:val="fr-FR"/>
        </w:rPr>
        <w:t>opinion du peuple sur le choix du corps législatif » (</w:t>
      </w:r>
      <w:r w:rsidRPr="00213E85">
        <w:rPr>
          <w:i/>
          <w:lang w:val="fr-FR"/>
        </w:rPr>
        <w:t>Mathieu-Mohin et Clerfayt c. Belgique</w:t>
      </w:r>
      <w:r>
        <w:rPr>
          <w:lang w:val="fr-FR"/>
        </w:rPr>
        <w:t>, 2 mars 1987, § 54, série A n</w:t>
      </w:r>
      <w:r w:rsidR="001F6E3A" w:rsidRPr="001F6E3A">
        <w:rPr>
          <w:vertAlign w:val="superscript"/>
          <w:lang w:val="fr-FR"/>
        </w:rPr>
        <w:t>o</w:t>
      </w:r>
      <w:r>
        <w:rPr>
          <w:lang w:val="fr-FR"/>
        </w:rPr>
        <w:t xml:space="preserve"> 113). C</w:t>
      </w:r>
      <w:r w:rsidR="004E3646">
        <w:rPr>
          <w:lang w:val="fr-FR"/>
        </w:rPr>
        <w:t>’</w:t>
      </w:r>
      <w:r>
        <w:rPr>
          <w:lang w:val="fr-FR"/>
        </w:rPr>
        <w:t xml:space="preserve">est pourquoi il est particulièrement important, en période préélectorale, de permettre aux opinions et aux informations de </w:t>
      </w:r>
      <w:r>
        <w:rPr>
          <w:lang w:val="fr-FR"/>
        </w:rPr>
        <w:lastRenderedPageBreak/>
        <w:t>tous ordres de circuler librement (</w:t>
      </w:r>
      <w:r>
        <w:rPr>
          <w:i/>
          <w:lang w:val="fr-FR"/>
        </w:rPr>
        <w:t>Kwiecień</w:t>
      </w:r>
      <w:r w:rsidRPr="00E010D9">
        <w:rPr>
          <w:i/>
          <w:lang w:val="fr-FR"/>
        </w:rPr>
        <w:t xml:space="preserve"> c. Pologne</w:t>
      </w:r>
      <w:r>
        <w:rPr>
          <w:lang w:val="fr-FR"/>
        </w:rPr>
        <w:t>, n</w:t>
      </w:r>
      <w:r w:rsidR="001F6E3A" w:rsidRPr="001F6E3A">
        <w:rPr>
          <w:vertAlign w:val="superscript"/>
          <w:lang w:val="fr-FR"/>
        </w:rPr>
        <w:t>o</w:t>
      </w:r>
      <w:r w:rsidR="00AC73C9">
        <w:rPr>
          <w:lang w:val="fr-FR"/>
        </w:rPr>
        <w:t> 51744/99, § 48, 9 </w:t>
      </w:r>
      <w:r>
        <w:rPr>
          <w:lang w:val="fr-FR"/>
        </w:rPr>
        <w:t>avril 2007).</w:t>
      </w:r>
    </w:p>
    <w:p w:rsidR="004C0798" w:rsidRPr="00D62F61" w:rsidRDefault="004C0798" w:rsidP="0030061A">
      <w:pPr>
        <w:pStyle w:val="ECHRPara"/>
        <w:rPr>
          <w:lang w:val="fr-FR"/>
        </w:rPr>
      </w:pPr>
      <w:r w:rsidRPr="00D62F61">
        <w:rPr>
          <w:lang w:val="fr-FR"/>
        </w:rPr>
        <w:t>La Cour rappelle de plus que l</w:t>
      </w:r>
      <w:r w:rsidR="004E3646">
        <w:rPr>
          <w:lang w:val="fr-FR"/>
        </w:rPr>
        <w:t>’</w:t>
      </w:r>
      <w:r w:rsidRPr="00D62F61">
        <w:rPr>
          <w:lang w:val="fr-FR"/>
        </w:rPr>
        <w:t>article 10 § 2 de la Convention ne laisse guère de place pour des restrictions à la liberté d</w:t>
      </w:r>
      <w:r w:rsidR="004E3646">
        <w:rPr>
          <w:lang w:val="fr-FR"/>
        </w:rPr>
        <w:t>’</w:t>
      </w:r>
      <w:r w:rsidRPr="00D62F61">
        <w:rPr>
          <w:lang w:val="fr-FR"/>
        </w:rPr>
        <w:t>expression dans le domaine du discours politique ou des questions d</w:t>
      </w:r>
      <w:r w:rsidR="004E3646">
        <w:rPr>
          <w:lang w:val="fr-FR"/>
        </w:rPr>
        <w:t>’</w:t>
      </w:r>
      <w:r w:rsidRPr="00D62F61">
        <w:rPr>
          <w:lang w:val="fr-FR"/>
        </w:rPr>
        <w:t xml:space="preserve">intérêt général. </w:t>
      </w:r>
      <w:r>
        <w:rPr>
          <w:lang w:val="fr-FR"/>
        </w:rPr>
        <w:t>L</w:t>
      </w:r>
      <w:r w:rsidRPr="00D62F61">
        <w:rPr>
          <w:lang w:val="fr-FR"/>
        </w:rPr>
        <w:t>es limites de la critique admissible sont plus larges à l</w:t>
      </w:r>
      <w:r w:rsidR="004E3646">
        <w:rPr>
          <w:lang w:val="fr-FR"/>
        </w:rPr>
        <w:t>’</w:t>
      </w:r>
      <w:r w:rsidRPr="00D62F61">
        <w:rPr>
          <w:lang w:val="fr-FR"/>
        </w:rPr>
        <w:t>égard d</w:t>
      </w:r>
      <w:r w:rsidR="004E3646">
        <w:rPr>
          <w:lang w:val="fr-FR"/>
        </w:rPr>
        <w:t>’</w:t>
      </w:r>
      <w:r w:rsidRPr="00D62F61">
        <w:rPr>
          <w:lang w:val="fr-FR"/>
        </w:rPr>
        <w:t>un homme politique, visé en cette qualité, que d</w:t>
      </w:r>
      <w:r w:rsidR="004E3646">
        <w:rPr>
          <w:lang w:val="fr-FR"/>
        </w:rPr>
        <w:t>’</w:t>
      </w:r>
      <w:r w:rsidRPr="00D62F61">
        <w:rPr>
          <w:lang w:val="fr-FR"/>
        </w:rPr>
        <w:t>un simple particulier : à la différence du second, le premier s</w:t>
      </w:r>
      <w:r w:rsidR="004E3646">
        <w:rPr>
          <w:lang w:val="fr-FR"/>
        </w:rPr>
        <w:t>’</w:t>
      </w:r>
      <w:r w:rsidRPr="00D62F61">
        <w:rPr>
          <w:lang w:val="fr-FR"/>
        </w:rPr>
        <w:t xml:space="preserve">expose inévitablement et consciemment à un contrôle attentif de ses faits et gestes tant par les journalistes que par la masse des citoyens ; il doit, par conséquent, montrer une plus grande tolérance (voir </w:t>
      </w:r>
      <w:r>
        <w:rPr>
          <w:i/>
          <w:lang w:val="fr-FR"/>
        </w:rPr>
        <w:t>Feldek c. Slovaqu</w:t>
      </w:r>
      <w:r w:rsidRPr="00D62F61">
        <w:rPr>
          <w:i/>
          <w:lang w:val="fr-FR"/>
        </w:rPr>
        <w:t>ie</w:t>
      </w:r>
      <w:r w:rsidRPr="00D62F61">
        <w:rPr>
          <w:lang w:val="fr-FR"/>
        </w:rPr>
        <w:t>, n</w:t>
      </w:r>
      <w:r w:rsidRPr="00D62F61">
        <w:rPr>
          <w:vertAlign w:val="superscript"/>
          <w:lang w:val="fr-FR"/>
        </w:rPr>
        <w:t>o</w:t>
      </w:r>
      <w:r w:rsidRPr="00D62F61">
        <w:rPr>
          <w:lang w:val="fr-FR"/>
        </w:rPr>
        <w:t xml:space="preserve"> 20032/95, § 74, CEDH 2001-VIII).</w:t>
      </w:r>
    </w:p>
    <w:p w:rsidR="001F6E3A" w:rsidRDefault="004C0798" w:rsidP="0030061A">
      <w:pPr>
        <w:pStyle w:val="ECHRPara"/>
        <w:rPr>
          <w:lang w:val="fr-FR"/>
        </w:rPr>
      </w:pPr>
      <w:r>
        <w:rPr>
          <w:lang w:val="fr-FR"/>
        </w:rPr>
        <w:t>17.  La Cour rappelle en même temps, qu</w:t>
      </w:r>
      <w:r w:rsidR="004E3646">
        <w:rPr>
          <w:lang w:val="fr-FR"/>
        </w:rPr>
        <w:t>’</w:t>
      </w:r>
      <w:r>
        <w:rPr>
          <w:lang w:val="fr-FR"/>
        </w:rPr>
        <w:t>en raison des « devoirs et responsabilités » inhérents à l</w:t>
      </w:r>
      <w:r w:rsidR="004E3646">
        <w:rPr>
          <w:lang w:val="fr-FR"/>
        </w:rPr>
        <w:t>’</w:t>
      </w:r>
      <w:r>
        <w:rPr>
          <w:lang w:val="fr-FR"/>
        </w:rPr>
        <w:t>exercice de la liberté d</w:t>
      </w:r>
      <w:r w:rsidR="004E3646">
        <w:rPr>
          <w:lang w:val="fr-FR"/>
        </w:rPr>
        <w:t>’</w:t>
      </w:r>
      <w:r>
        <w:rPr>
          <w:lang w:val="fr-FR"/>
        </w:rPr>
        <w:t>expression, tout individu qui s</w:t>
      </w:r>
      <w:r w:rsidR="004E3646">
        <w:rPr>
          <w:lang w:val="fr-FR"/>
        </w:rPr>
        <w:t>’</w:t>
      </w:r>
      <w:r>
        <w:rPr>
          <w:lang w:val="fr-FR"/>
        </w:rPr>
        <w:t>engage dans un débat d</w:t>
      </w:r>
      <w:r w:rsidR="004E3646">
        <w:rPr>
          <w:lang w:val="fr-FR"/>
        </w:rPr>
        <w:t>’</w:t>
      </w:r>
      <w:r>
        <w:rPr>
          <w:lang w:val="fr-FR"/>
        </w:rPr>
        <w:t>intérêt général – y compris au niveau local – est tenu de ne pas dépasser certaines limites quant au respect – notamment – de la réputation et des droits d</w:t>
      </w:r>
      <w:r w:rsidR="004E3646">
        <w:rPr>
          <w:lang w:val="fr-FR"/>
        </w:rPr>
        <w:t>’</w:t>
      </w:r>
      <w:r>
        <w:rPr>
          <w:lang w:val="fr-FR"/>
        </w:rPr>
        <w:t>autrui (</w:t>
      </w:r>
      <w:r w:rsidRPr="00A17774">
        <w:rPr>
          <w:i/>
          <w:szCs w:val="24"/>
          <w:lang w:val="fr-FR"/>
        </w:rPr>
        <w:t>Fleury c. France</w:t>
      </w:r>
      <w:r w:rsidRPr="00A17774">
        <w:rPr>
          <w:szCs w:val="24"/>
          <w:lang w:val="fr-FR"/>
        </w:rPr>
        <w:t>, n</w:t>
      </w:r>
      <w:r w:rsidRPr="00A17774">
        <w:rPr>
          <w:szCs w:val="24"/>
          <w:vertAlign w:val="superscript"/>
          <w:lang w:val="fr-FR"/>
        </w:rPr>
        <w:t>o</w:t>
      </w:r>
      <w:r>
        <w:rPr>
          <w:szCs w:val="24"/>
          <w:lang w:val="fr-FR"/>
        </w:rPr>
        <w:t> 29784/06, § 45</w:t>
      </w:r>
      <w:r w:rsidRPr="00A17774">
        <w:rPr>
          <w:szCs w:val="24"/>
          <w:lang w:val="fr-FR"/>
        </w:rPr>
        <w:t>, 4 octobre 2010</w:t>
      </w:r>
      <w:r>
        <w:rPr>
          <w:lang w:val="fr-FR"/>
        </w:rPr>
        <w:t>).</w:t>
      </w:r>
    </w:p>
    <w:p w:rsidR="004C0798" w:rsidRDefault="004C0798" w:rsidP="0030061A">
      <w:pPr>
        <w:pStyle w:val="ECHRPara"/>
        <w:rPr>
          <w:lang w:val="fr-FR"/>
        </w:rPr>
      </w:pPr>
      <w:r w:rsidRPr="00D62F61">
        <w:rPr>
          <w:lang w:val="fr-FR"/>
        </w:rPr>
        <w:t>En l</w:t>
      </w:r>
      <w:r w:rsidR="004E3646">
        <w:rPr>
          <w:lang w:val="fr-FR"/>
        </w:rPr>
        <w:t>’</w:t>
      </w:r>
      <w:r w:rsidRPr="00D62F61">
        <w:rPr>
          <w:lang w:val="fr-FR"/>
        </w:rPr>
        <w:t xml:space="preserve">espèce, si le requérant avait </w:t>
      </w:r>
      <w:r>
        <w:rPr>
          <w:lang w:val="fr-FR"/>
        </w:rPr>
        <w:t xml:space="preserve">droit </w:t>
      </w:r>
      <w:r w:rsidRPr="00D62F61">
        <w:rPr>
          <w:lang w:val="fr-FR"/>
        </w:rPr>
        <w:t>d</w:t>
      </w:r>
      <w:r w:rsidR="004E3646">
        <w:rPr>
          <w:lang w:val="fr-FR"/>
        </w:rPr>
        <w:t>’</w:t>
      </w:r>
      <w:r w:rsidRPr="00D62F61">
        <w:rPr>
          <w:lang w:val="fr-FR"/>
        </w:rPr>
        <w:t>alerter le public sur d</w:t>
      </w:r>
      <w:r w:rsidR="004E3646">
        <w:rPr>
          <w:lang w:val="fr-FR"/>
        </w:rPr>
        <w:t>’</w:t>
      </w:r>
      <w:r w:rsidRPr="00D62F61">
        <w:rPr>
          <w:lang w:val="fr-FR"/>
        </w:rPr>
        <w:t>éventue</w:t>
      </w:r>
      <w:r>
        <w:rPr>
          <w:lang w:val="fr-FR"/>
        </w:rPr>
        <w:t>lles irrégularités s</w:t>
      </w:r>
      <w:r w:rsidR="004E3646">
        <w:rPr>
          <w:lang w:val="fr-FR"/>
        </w:rPr>
        <w:t>’</w:t>
      </w:r>
      <w:r>
        <w:rPr>
          <w:lang w:val="fr-FR"/>
        </w:rPr>
        <w:t>étant produites à l</w:t>
      </w:r>
      <w:r w:rsidR="004E3646">
        <w:rPr>
          <w:lang w:val="fr-FR"/>
        </w:rPr>
        <w:t>’</w:t>
      </w:r>
      <w:r>
        <w:rPr>
          <w:lang w:val="fr-FR"/>
        </w:rPr>
        <w:t>occasion de la compagne électorale</w:t>
      </w:r>
      <w:r w:rsidRPr="00D62F61">
        <w:rPr>
          <w:lang w:val="fr-FR"/>
        </w:rPr>
        <w:t>, le fait de</w:t>
      </w:r>
      <w:r>
        <w:rPr>
          <w:lang w:val="fr-FR"/>
        </w:rPr>
        <w:t xml:space="preserve"> mettre directement en cause G.K</w:t>
      </w:r>
      <w:r w:rsidRPr="00D62F61">
        <w:rPr>
          <w:lang w:val="fr-FR"/>
        </w:rPr>
        <w:t>. impliquait pour lui l</w:t>
      </w:r>
      <w:r w:rsidR="004E3646">
        <w:rPr>
          <w:lang w:val="fr-FR"/>
        </w:rPr>
        <w:t>’</w:t>
      </w:r>
      <w:r w:rsidRPr="00D62F61">
        <w:rPr>
          <w:lang w:val="fr-FR"/>
        </w:rPr>
        <w:t>obligation de fournir une base fa</w:t>
      </w:r>
      <w:r>
        <w:rPr>
          <w:lang w:val="fr-FR"/>
        </w:rPr>
        <w:t>ctuelle suffisante corroborant l</w:t>
      </w:r>
      <w:r w:rsidRPr="00D62F61">
        <w:rPr>
          <w:lang w:val="fr-FR"/>
        </w:rPr>
        <w:t xml:space="preserve">es </w:t>
      </w:r>
      <w:r>
        <w:rPr>
          <w:lang w:val="fr-FR"/>
        </w:rPr>
        <w:t>allégations formulé</w:t>
      </w:r>
      <w:r w:rsidRPr="00D62F61">
        <w:rPr>
          <w:lang w:val="fr-FR"/>
        </w:rPr>
        <w:t>s à son encontre (</w:t>
      </w:r>
      <w:r w:rsidRPr="00213E85">
        <w:rPr>
          <w:i/>
          <w:lang w:val="fr-FR"/>
        </w:rPr>
        <w:t>Cuc Pascu</w:t>
      </w:r>
      <w:r>
        <w:rPr>
          <w:lang w:val="fr-FR"/>
        </w:rPr>
        <w:t xml:space="preserve"> </w:t>
      </w:r>
      <w:r w:rsidRPr="00D62F61">
        <w:rPr>
          <w:rStyle w:val="ju-005fpara--char"/>
          <w:i/>
          <w:iCs/>
          <w:lang w:val="fr-FR"/>
        </w:rPr>
        <w:t>c. Roumanie</w:t>
      </w:r>
      <w:r w:rsidRPr="00D62F61">
        <w:rPr>
          <w:lang w:val="fr-FR"/>
        </w:rPr>
        <w:t>, n</w:t>
      </w:r>
      <w:r w:rsidRPr="00D62F61">
        <w:rPr>
          <w:vertAlign w:val="superscript"/>
          <w:lang w:val="fr-FR"/>
        </w:rPr>
        <w:t>o</w:t>
      </w:r>
      <w:r w:rsidRPr="00D62F61">
        <w:rPr>
          <w:lang w:val="fr-FR"/>
        </w:rPr>
        <w:t xml:space="preserve"> 53899/00</w:t>
      </w:r>
      <w:r>
        <w:rPr>
          <w:lang w:val="fr-FR"/>
        </w:rPr>
        <w:t>, § </w:t>
      </w:r>
      <w:r w:rsidRPr="00D62F61">
        <w:rPr>
          <w:lang w:val="fr-FR"/>
        </w:rPr>
        <w:t>48</w:t>
      </w:r>
      <w:r>
        <w:rPr>
          <w:lang w:val="fr-FR"/>
        </w:rPr>
        <w:t>,</w:t>
      </w:r>
      <w:r w:rsidRPr="00213E85">
        <w:rPr>
          <w:lang w:val="fr-FR"/>
        </w:rPr>
        <w:t xml:space="preserve"> </w:t>
      </w:r>
      <w:r>
        <w:rPr>
          <w:lang w:val="fr-FR"/>
        </w:rPr>
        <w:t>31 janvier 2006</w:t>
      </w:r>
      <w:r w:rsidRPr="00D62F61">
        <w:rPr>
          <w:lang w:val="fr-FR"/>
        </w:rPr>
        <w:t>).</w:t>
      </w:r>
    </w:p>
    <w:p w:rsidR="001F6E3A" w:rsidRDefault="004C0798" w:rsidP="0030061A">
      <w:pPr>
        <w:pStyle w:val="ECHRPara"/>
        <w:rPr>
          <w:lang w:val="fr-FR"/>
        </w:rPr>
      </w:pPr>
      <w:r>
        <w:rPr>
          <w:lang w:val="fr-FR"/>
        </w:rPr>
        <w:t>18.  En l</w:t>
      </w:r>
      <w:r w:rsidR="004E3646">
        <w:rPr>
          <w:lang w:val="fr-FR"/>
        </w:rPr>
        <w:t>’</w:t>
      </w:r>
      <w:r>
        <w:rPr>
          <w:lang w:val="fr-FR"/>
        </w:rPr>
        <w:t>espèce, la Cour relève que les juridictions nationales ont statué dans le cadre de la procédure prévue par la loi électorale qui est axée sur l</w:t>
      </w:r>
      <w:r w:rsidR="004E3646">
        <w:rPr>
          <w:lang w:val="fr-FR"/>
        </w:rPr>
        <w:t>’</w:t>
      </w:r>
      <w:r>
        <w:rPr>
          <w:lang w:val="fr-FR"/>
        </w:rPr>
        <w:t>examen de la seule question de savoir si les informations diffusées en rapport avec la campagne électorale, susceptibles d</w:t>
      </w:r>
      <w:r w:rsidR="004E3646">
        <w:rPr>
          <w:lang w:val="fr-FR"/>
        </w:rPr>
        <w:t>’</w:t>
      </w:r>
      <w:r>
        <w:rPr>
          <w:lang w:val="fr-FR"/>
        </w:rPr>
        <w:t>avoir une incidence sur le résultat du vote, ont été véridiques (</w:t>
      </w:r>
      <w:r w:rsidRPr="0071446D">
        <w:rPr>
          <w:i/>
          <w:lang w:val="fr-FR"/>
        </w:rPr>
        <w:t xml:space="preserve">Barbara </w:t>
      </w:r>
      <w:r w:rsidRPr="00E010D9">
        <w:rPr>
          <w:i/>
          <w:lang w:val="fr-FR"/>
        </w:rPr>
        <w:t>Wieszczek</w:t>
      </w:r>
      <w:r>
        <w:rPr>
          <w:i/>
          <w:lang w:val="fr-FR"/>
        </w:rPr>
        <w:t xml:space="preserve"> c. </w:t>
      </w:r>
      <w:r w:rsidRPr="00E010D9">
        <w:rPr>
          <w:i/>
          <w:lang w:val="fr-FR"/>
        </w:rPr>
        <w:t>Pologne</w:t>
      </w:r>
      <w:r>
        <w:rPr>
          <w:lang w:val="fr-FR"/>
        </w:rPr>
        <w:t xml:space="preserve"> (déc.)</w:t>
      </w:r>
      <w:r w:rsidRPr="00383A9B">
        <w:rPr>
          <w:lang w:val="fr-FR"/>
        </w:rPr>
        <w:t>,</w:t>
      </w:r>
      <w:r>
        <w:rPr>
          <w:lang w:val="fr-FR"/>
        </w:rPr>
        <w:t xml:space="preserve"> n</w:t>
      </w:r>
      <w:r w:rsidR="001F6E3A" w:rsidRPr="001F6E3A">
        <w:rPr>
          <w:vertAlign w:val="superscript"/>
          <w:lang w:val="fr-FR"/>
        </w:rPr>
        <w:t>o</w:t>
      </w:r>
      <w:r>
        <w:rPr>
          <w:lang w:val="fr-FR"/>
        </w:rPr>
        <w:t xml:space="preserve"> 44320/02, 11 octobre 2005).</w:t>
      </w:r>
    </w:p>
    <w:p w:rsidR="001F6E3A" w:rsidRDefault="004C0798" w:rsidP="0030061A">
      <w:pPr>
        <w:pStyle w:val="ECHRPara"/>
        <w:rPr>
          <w:szCs w:val="24"/>
          <w:lang w:val="fr-FR"/>
        </w:rPr>
      </w:pPr>
      <w:r>
        <w:rPr>
          <w:szCs w:val="24"/>
          <w:lang w:val="fr-FR"/>
        </w:rPr>
        <w:t>La Cour observe dans ce contexte que les tribunaux internes ont jugé que les propos par lesquels le requérant avait imputé à G.K. les irrégularités, dont le financement irrégulier de sa campagne électorale et l</w:t>
      </w:r>
      <w:r w:rsidR="004E3646">
        <w:rPr>
          <w:szCs w:val="24"/>
          <w:lang w:val="fr-FR"/>
        </w:rPr>
        <w:t>’</w:t>
      </w:r>
      <w:r>
        <w:rPr>
          <w:szCs w:val="24"/>
          <w:lang w:val="fr-FR"/>
        </w:rPr>
        <w:t>escroquerie, n</w:t>
      </w:r>
      <w:r w:rsidR="004E3646">
        <w:rPr>
          <w:szCs w:val="24"/>
          <w:lang w:val="fr-FR"/>
        </w:rPr>
        <w:t>’</w:t>
      </w:r>
      <w:r>
        <w:rPr>
          <w:szCs w:val="24"/>
          <w:lang w:val="fr-FR"/>
        </w:rPr>
        <w:t>étaient pas avérés et portaient atteinte à l</w:t>
      </w:r>
      <w:r w:rsidR="004E3646">
        <w:rPr>
          <w:szCs w:val="24"/>
          <w:lang w:val="fr-FR"/>
        </w:rPr>
        <w:t>’</w:t>
      </w:r>
      <w:r>
        <w:rPr>
          <w:szCs w:val="24"/>
          <w:lang w:val="fr-FR"/>
        </w:rPr>
        <w:t>image et à la réputation de ce dernier en tant que candidat au poste de député. Elles ont relevé que le requérant n</w:t>
      </w:r>
      <w:r w:rsidR="004E3646">
        <w:rPr>
          <w:szCs w:val="24"/>
          <w:lang w:val="fr-FR"/>
        </w:rPr>
        <w:t>’</w:t>
      </w:r>
      <w:r>
        <w:rPr>
          <w:szCs w:val="24"/>
          <w:lang w:val="fr-FR"/>
        </w:rPr>
        <w:t>avait produit aucun moyen de preuve à l</w:t>
      </w:r>
      <w:r w:rsidR="004E3646">
        <w:rPr>
          <w:szCs w:val="24"/>
          <w:lang w:val="fr-FR"/>
        </w:rPr>
        <w:t>’</w:t>
      </w:r>
      <w:r>
        <w:rPr>
          <w:szCs w:val="24"/>
          <w:lang w:val="fr-FR"/>
        </w:rPr>
        <w:t>appui de ses affirmations. En outre, le requérant avait refusé de faire une déclaration à propos des allégations formulées à l</w:t>
      </w:r>
      <w:r w:rsidR="004E3646">
        <w:rPr>
          <w:szCs w:val="24"/>
          <w:lang w:val="fr-FR"/>
        </w:rPr>
        <w:t>’</w:t>
      </w:r>
      <w:r>
        <w:rPr>
          <w:szCs w:val="24"/>
          <w:lang w:val="fr-FR"/>
        </w:rPr>
        <w:t>encontre de G.K. et il n</w:t>
      </w:r>
      <w:r w:rsidR="004E3646">
        <w:rPr>
          <w:szCs w:val="24"/>
          <w:lang w:val="fr-FR"/>
        </w:rPr>
        <w:t>’</w:t>
      </w:r>
      <w:r>
        <w:rPr>
          <w:szCs w:val="24"/>
          <w:lang w:val="fr-FR"/>
        </w:rPr>
        <w:t>avait pas contesté devant la cour d</w:t>
      </w:r>
      <w:r w:rsidR="004E3646">
        <w:rPr>
          <w:szCs w:val="24"/>
          <w:lang w:val="fr-FR"/>
        </w:rPr>
        <w:t>’</w:t>
      </w:r>
      <w:r>
        <w:rPr>
          <w:szCs w:val="24"/>
          <w:lang w:val="fr-FR"/>
        </w:rPr>
        <w:t xml:space="preserve">appel les conclusions du tribunal régional selon lesquelles ses propos étaient non-avérés. </w:t>
      </w:r>
      <w:r w:rsidRPr="00A54C4F">
        <w:rPr>
          <w:szCs w:val="24"/>
          <w:lang w:val="fr-FR"/>
        </w:rPr>
        <w:t xml:space="preserve">Les juridictions internes ont estimé que les prétendues </w:t>
      </w:r>
      <w:r>
        <w:rPr>
          <w:szCs w:val="24"/>
          <w:lang w:val="fr-FR"/>
        </w:rPr>
        <w:t xml:space="preserve">irrégularités </w:t>
      </w:r>
      <w:r w:rsidRPr="00A54C4F">
        <w:rPr>
          <w:szCs w:val="24"/>
          <w:lang w:val="fr-FR"/>
        </w:rPr>
        <w:t xml:space="preserve">commises par G.K. </w:t>
      </w:r>
      <w:r>
        <w:rPr>
          <w:szCs w:val="24"/>
          <w:lang w:val="fr-FR"/>
        </w:rPr>
        <w:t>à l</w:t>
      </w:r>
      <w:r w:rsidR="004E3646">
        <w:rPr>
          <w:szCs w:val="24"/>
          <w:lang w:val="fr-FR"/>
        </w:rPr>
        <w:t>’</w:t>
      </w:r>
      <w:r>
        <w:rPr>
          <w:szCs w:val="24"/>
          <w:lang w:val="fr-FR"/>
        </w:rPr>
        <w:t xml:space="preserve">occasion de la campagne électorale </w:t>
      </w:r>
      <w:r w:rsidRPr="00A54C4F">
        <w:rPr>
          <w:szCs w:val="24"/>
          <w:lang w:val="fr-FR"/>
        </w:rPr>
        <w:t>n</w:t>
      </w:r>
      <w:r w:rsidR="004E3646">
        <w:rPr>
          <w:szCs w:val="24"/>
          <w:lang w:val="fr-FR"/>
        </w:rPr>
        <w:t>’</w:t>
      </w:r>
      <w:r w:rsidRPr="00A54C4F">
        <w:rPr>
          <w:szCs w:val="24"/>
          <w:lang w:val="fr-FR"/>
        </w:rPr>
        <w:t>avaient été étayées par aucun élément de preuve.</w:t>
      </w:r>
    </w:p>
    <w:p w:rsidR="004C0798" w:rsidRPr="00D13980" w:rsidRDefault="004C0798" w:rsidP="0030061A">
      <w:pPr>
        <w:pStyle w:val="ECHRPara"/>
        <w:rPr>
          <w:lang w:val="fr-FR"/>
        </w:rPr>
      </w:pPr>
      <w:r>
        <w:rPr>
          <w:lang w:val="fr-FR"/>
        </w:rPr>
        <w:t>19.  </w:t>
      </w:r>
      <w:r w:rsidRPr="00D13980">
        <w:rPr>
          <w:lang w:val="fr-FR"/>
        </w:rPr>
        <w:t>La Cour rappelle sa jurisprudence bien établie selon laquelle il y a lieu, pour apprécier l</w:t>
      </w:r>
      <w:r w:rsidR="004E3646">
        <w:rPr>
          <w:lang w:val="fr-FR"/>
        </w:rPr>
        <w:t>’</w:t>
      </w:r>
      <w:r w:rsidRPr="00D13980">
        <w:rPr>
          <w:lang w:val="fr-FR"/>
        </w:rPr>
        <w:t>existence d</w:t>
      </w:r>
      <w:r w:rsidR="004E3646">
        <w:rPr>
          <w:lang w:val="fr-FR"/>
        </w:rPr>
        <w:t>’</w:t>
      </w:r>
      <w:r w:rsidRPr="00D13980">
        <w:rPr>
          <w:lang w:val="fr-FR"/>
        </w:rPr>
        <w:t>un « besoin social impérieux » propre à justifier une ingérence dans l</w:t>
      </w:r>
      <w:r w:rsidR="004E3646">
        <w:rPr>
          <w:lang w:val="fr-FR"/>
        </w:rPr>
        <w:t>’</w:t>
      </w:r>
      <w:r w:rsidRPr="00D13980">
        <w:rPr>
          <w:lang w:val="fr-FR"/>
        </w:rPr>
        <w:t>exercice de la liberté d</w:t>
      </w:r>
      <w:r w:rsidR="004E3646">
        <w:rPr>
          <w:lang w:val="fr-FR"/>
        </w:rPr>
        <w:t>’</w:t>
      </w:r>
      <w:r w:rsidRPr="00D13980">
        <w:rPr>
          <w:lang w:val="fr-FR"/>
        </w:rPr>
        <w:t xml:space="preserve">expression, de </w:t>
      </w:r>
      <w:r w:rsidRPr="00D13980">
        <w:rPr>
          <w:lang w:val="fr-FR"/>
        </w:rPr>
        <w:lastRenderedPageBreak/>
        <w:t>distinguer entre faits et jugements de valeur. Si la matérialité des premiers peut se prouver, les seconds ne se prêtent pas à une démonstration de leur exactitude (voir, parmi d</w:t>
      </w:r>
      <w:r w:rsidR="004E3646">
        <w:rPr>
          <w:lang w:val="fr-FR"/>
        </w:rPr>
        <w:t>’</w:t>
      </w:r>
      <w:r w:rsidRPr="00D13980">
        <w:rPr>
          <w:lang w:val="fr-FR"/>
        </w:rPr>
        <w:t>autres, l</w:t>
      </w:r>
      <w:r w:rsidR="004E3646">
        <w:rPr>
          <w:lang w:val="fr-FR"/>
        </w:rPr>
        <w:t>’</w:t>
      </w:r>
      <w:r w:rsidRPr="00D13980">
        <w:rPr>
          <w:lang w:val="fr-FR"/>
        </w:rPr>
        <w:t xml:space="preserve">arrêt </w:t>
      </w:r>
      <w:r w:rsidRPr="00D13980">
        <w:rPr>
          <w:i/>
          <w:lang w:val="fr-FR"/>
        </w:rPr>
        <w:t>De Haes et Gijsels</w:t>
      </w:r>
      <w:r w:rsidRPr="00D13980">
        <w:rPr>
          <w:lang w:val="fr-FR"/>
        </w:rPr>
        <w:t xml:space="preserve"> </w:t>
      </w:r>
      <w:r w:rsidRPr="00D13980">
        <w:rPr>
          <w:i/>
          <w:lang w:val="fr-FR"/>
        </w:rPr>
        <w:t>c. Belgique</w:t>
      </w:r>
      <w:r w:rsidRPr="00D13980">
        <w:rPr>
          <w:lang w:val="fr-FR"/>
        </w:rPr>
        <w:t>, 24</w:t>
      </w:r>
      <w:r>
        <w:rPr>
          <w:lang w:val="fr-FR"/>
        </w:rPr>
        <w:t> </w:t>
      </w:r>
      <w:r w:rsidRPr="00D13980">
        <w:rPr>
          <w:lang w:val="fr-FR"/>
        </w:rPr>
        <w:t xml:space="preserve">février 1997, § 42, </w:t>
      </w:r>
      <w:r w:rsidRPr="00D13980">
        <w:rPr>
          <w:i/>
          <w:lang w:val="fr-FR"/>
        </w:rPr>
        <w:t>Recueil des arrêts et décisions</w:t>
      </w:r>
      <w:r w:rsidRPr="00D13980">
        <w:rPr>
          <w:lang w:val="fr-FR"/>
        </w:rPr>
        <w:t xml:space="preserve"> 1997</w:t>
      </w:r>
      <w:r w:rsidRPr="00D13980">
        <w:rPr>
          <w:lang w:val="fr-FR"/>
        </w:rPr>
        <w:noBreakHyphen/>
        <w:t xml:space="preserve">I, et </w:t>
      </w:r>
      <w:r>
        <w:rPr>
          <w:i/>
          <w:lang w:val="fr-FR"/>
        </w:rPr>
        <w:t>Harlanova c. </w:t>
      </w:r>
      <w:r w:rsidRPr="00D13980">
        <w:rPr>
          <w:i/>
          <w:lang w:val="fr-FR"/>
        </w:rPr>
        <w:t xml:space="preserve">Lettonie </w:t>
      </w:r>
      <w:r w:rsidRPr="00D13980">
        <w:rPr>
          <w:lang w:val="fr-FR"/>
        </w:rPr>
        <w:t>(déc.), n</w:t>
      </w:r>
      <w:r w:rsidRPr="00D13980">
        <w:rPr>
          <w:vertAlign w:val="superscript"/>
          <w:lang w:val="fr-FR"/>
        </w:rPr>
        <w:t>o</w:t>
      </w:r>
      <w:r w:rsidRPr="00D13980">
        <w:rPr>
          <w:lang w:val="fr-FR"/>
        </w:rPr>
        <w:t xml:space="preserve"> 57313/00, 3 avril 2003).</w:t>
      </w:r>
    </w:p>
    <w:p w:rsidR="004C0798" w:rsidRPr="00D13980" w:rsidRDefault="004C0798" w:rsidP="0030061A">
      <w:pPr>
        <w:pStyle w:val="ECHRPara"/>
        <w:rPr>
          <w:lang w:val="fr-FR"/>
        </w:rPr>
      </w:pPr>
      <w:r w:rsidRPr="00D13980">
        <w:rPr>
          <w:lang w:val="fr-FR"/>
        </w:rPr>
        <w:t>Certes, lorsqu</w:t>
      </w:r>
      <w:r w:rsidR="004E3646">
        <w:rPr>
          <w:lang w:val="fr-FR"/>
        </w:rPr>
        <w:t>’</w:t>
      </w:r>
      <w:r w:rsidRPr="00D13980">
        <w:rPr>
          <w:lang w:val="fr-FR"/>
        </w:rPr>
        <w:t>il s</w:t>
      </w:r>
      <w:r w:rsidR="004E3646">
        <w:rPr>
          <w:lang w:val="fr-FR"/>
        </w:rPr>
        <w:t>’</w:t>
      </w:r>
      <w:r w:rsidRPr="00D13980">
        <w:rPr>
          <w:lang w:val="fr-FR"/>
        </w:rPr>
        <w:t>agit d</w:t>
      </w:r>
      <w:r w:rsidR="004E3646">
        <w:rPr>
          <w:lang w:val="fr-FR"/>
        </w:rPr>
        <w:t>’</w:t>
      </w:r>
      <w:r w:rsidRPr="00D13980">
        <w:rPr>
          <w:lang w:val="fr-FR"/>
        </w:rPr>
        <w:t>allégations sur la conduite d</w:t>
      </w:r>
      <w:r w:rsidR="004E3646">
        <w:rPr>
          <w:lang w:val="fr-FR"/>
        </w:rPr>
        <w:t>’</w:t>
      </w:r>
      <w:r w:rsidRPr="00D13980">
        <w:rPr>
          <w:lang w:val="fr-FR"/>
        </w:rPr>
        <w:t>un tiers, il peut parfois s</w:t>
      </w:r>
      <w:r w:rsidR="004E3646">
        <w:rPr>
          <w:lang w:val="fr-FR"/>
        </w:rPr>
        <w:t>’</w:t>
      </w:r>
      <w:r w:rsidRPr="00D13980">
        <w:rPr>
          <w:lang w:val="fr-FR"/>
        </w:rPr>
        <w:t>avérer difficile, comme en l</w:t>
      </w:r>
      <w:r w:rsidR="004E3646">
        <w:rPr>
          <w:lang w:val="fr-FR"/>
        </w:rPr>
        <w:t>’</w:t>
      </w:r>
      <w:r w:rsidRPr="00D13980">
        <w:rPr>
          <w:lang w:val="fr-FR"/>
        </w:rPr>
        <w:t>espèce, de distinguer entre imputations de fait et jugements de valeur. Il n</w:t>
      </w:r>
      <w:r w:rsidR="004E3646">
        <w:rPr>
          <w:lang w:val="fr-FR"/>
        </w:rPr>
        <w:t>’</w:t>
      </w:r>
      <w:r w:rsidRPr="00D13980">
        <w:rPr>
          <w:lang w:val="fr-FR"/>
        </w:rPr>
        <w:t>en reste pas moins que le fait de mettre directement en cause les personnes déterminées implique l</w:t>
      </w:r>
      <w:r w:rsidR="004E3646">
        <w:rPr>
          <w:lang w:val="fr-FR"/>
        </w:rPr>
        <w:t>’</w:t>
      </w:r>
      <w:r w:rsidRPr="00D13980">
        <w:rPr>
          <w:lang w:val="fr-FR"/>
        </w:rPr>
        <w:t>obligation de fournir une base factuelle suffisante (</w:t>
      </w:r>
      <w:r w:rsidRPr="00D13980">
        <w:rPr>
          <w:i/>
          <w:lang w:val="fr-FR"/>
        </w:rPr>
        <w:t xml:space="preserve">Cumpănă et Mazăre c. Roumanie </w:t>
      </w:r>
      <w:r w:rsidRPr="00D13980">
        <w:rPr>
          <w:lang w:val="fr-FR"/>
        </w:rPr>
        <w:t>[GC], n</w:t>
      </w:r>
      <w:r w:rsidRPr="00D13980">
        <w:rPr>
          <w:vertAlign w:val="superscript"/>
          <w:lang w:val="fr-FR"/>
        </w:rPr>
        <w:t>o</w:t>
      </w:r>
      <w:r w:rsidRPr="00D13980">
        <w:rPr>
          <w:lang w:val="fr-FR"/>
        </w:rPr>
        <w:t xml:space="preserve"> 33348/96, §§ 98</w:t>
      </w:r>
      <w:r w:rsidRPr="00D13980">
        <w:rPr>
          <w:lang w:val="fr-FR"/>
        </w:rPr>
        <w:noBreakHyphen/>
        <w:t>99, CEDH 2004</w:t>
      </w:r>
      <w:r w:rsidRPr="00D13980">
        <w:rPr>
          <w:lang w:val="fr-FR"/>
        </w:rPr>
        <w:noBreakHyphen/>
        <w:t xml:space="preserve">XI, </w:t>
      </w:r>
      <w:r w:rsidRPr="00D13980">
        <w:rPr>
          <w:i/>
          <w:lang w:val="fr-FR"/>
        </w:rPr>
        <w:t>Lombardo et autres c. Malte</w:t>
      </w:r>
      <w:r w:rsidRPr="00D13980">
        <w:rPr>
          <w:lang w:val="fr-FR"/>
        </w:rPr>
        <w:t>, n</w:t>
      </w:r>
      <w:r w:rsidRPr="00D13980">
        <w:rPr>
          <w:vertAlign w:val="superscript"/>
          <w:lang w:val="fr-FR"/>
        </w:rPr>
        <w:t>o</w:t>
      </w:r>
      <w:r w:rsidRPr="00D13980">
        <w:rPr>
          <w:lang w:val="fr-FR"/>
        </w:rPr>
        <w:t>7333/06, § 60, 24 avril 2007).</w:t>
      </w:r>
    </w:p>
    <w:p w:rsidR="001F6E3A" w:rsidRDefault="004C0798" w:rsidP="0030061A">
      <w:pPr>
        <w:pStyle w:val="ECHRPara"/>
        <w:rPr>
          <w:szCs w:val="24"/>
          <w:lang w:val="fr-FR"/>
        </w:rPr>
      </w:pPr>
      <w:r>
        <w:rPr>
          <w:szCs w:val="24"/>
          <w:lang w:val="fr-FR"/>
        </w:rPr>
        <w:t>20.  En l</w:t>
      </w:r>
      <w:r w:rsidR="004E3646">
        <w:rPr>
          <w:szCs w:val="24"/>
          <w:lang w:val="fr-FR"/>
        </w:rPr>
        <w:t>’</w:t>
      </w:r>
      <w:r>
        <w:rPr>
          <w:szCs w:val="24"/>
          <w:lang w:val="fr-FR"/>
        </w:rPr>
        <w:t>espèce, la Cour considère que les propos litigieux renfermaient des imputations de fait. Elle constate que les tribunaux internes ont donné la possibilité au requérant de prouver l</w:t>
      </w:r>
      <w:r w:rsidR="004E3646">
        <w:rPr>
          <w:szCs w:val="24"/>
          <w:lang w:val="fr-FR"/>
        </w:rPr>
        <w:t>’</w:t>
      </w:r>
      <w:r>
        <w:rPr>
          <w:szCs w:val="24"/>
          <w:lang w:val="fr-FR"/>
        </w:rPr>
        <w:t>existence d</w:t>
      </w:r>
      <w:r w:rsidR="004E3646">
        <w:rPr>
          <w:szCs w:val="24"/>
          <w:lang w:val="fr-FR"/>
        </w:rPr>
        <w:t>’</w:t>
      </w:r>
      <w:r>
        <w:rPr>
          <w:szCs w:val="24"/>
          <w:lang w:val="fr-FR"/>
        </w:rPr>
        <w:t>une base factuelle de ses affirmations. Or, celui-ci n</w:t>
      </w:r>
      <w:r w:rsidR="004E3646">
        <w:rPr>
          <w:szCs w:val="24"/>
          <w:lang w:val="fr-FR"/>
        </w:rPr>
        <w:t>’</w:t>
      </w:r>
      <w:r>
        <w:rPr>
          <w:szCs w:val="24"/>
          <w:lang w:val="fr-FR"/>
        </w:rPr>
        <w:t>a présenté aucun élément susceptible d</w:t>
      </w:r>
      <w:r w:rsidR="004E3646">
        <w:rPr>
          <w:szCs w:val="24"/>
          <w:lang w:val="fr-FR"/>
        </w:rPr>
        <w:t>’</w:t>
      </w:r>
      <w:r>
        <w:rPr>
          <w:szCs w:val="24"/>
          <w:lang w:val="fr-FR"/>
        </w:rPr>
        <w:t>étayer ses affirmations. Dès lors, comme les juridictions internes, la Cour estime que les affirmations litigeuses ne reposaient sur aucune base factuelle.</w:t>
      </w:r>
    </w:p>
    <w:p w:rsidR="001F6E3A" w:rsidRDefault="004C0798" w:rsidP="0030061A">
      <w:pPr>
        <w:pStyle w:val="ECHRPara"/>
        <w:rPr>
          <w:szCs w:val="24"/>
          <w:lang w:val="fr-FR"/>
        </w:rPr>
      </w:pPr>
      <w:r>
        <w:rPr>
          <w:szCs w:val="24"/>
          <w:lang w:val="fr-FR"/>
        </w:rPr>
        <w:t xml:space="preserve">21.  Quant à leur teneur, la Cour estime que, compte tenu du contexte dans lequel elles ont été prononcées, </w:t>
      </w:r>
      <w:r w:rsidRPr="005314B3">
        <w:rPr>
          <w:szCs w:val="24"/>
          <w:lang w:val="fr-FR"/>
        </w:rPr>
        <w:t xml:space="preserve">les déclarations </w:t>
      </w:r>
      <w:r>
        <w:rPr>
          <w:szCs w:val="24"/>
          <w:lang w:val="fr-FR"/>
        </w:rPr>
        <w:t xml:space="preserve">litigeuses étaient susceptibles de porter atteinte à la </w:t>
      </w:r>
      <w:r w:rsidRPr="005314B3">
        <w:rPr>
          <w:szCs w:val="24"/>
          <w:lang w:val="fr-FR"/>
        </w:rPr>
        <w:t xml:space="preserve">réputation </w:t>
      </w:r>
      <w:r>
        <w:rPr>
          <w:szCs w:val="24"/>
          <w:lang w:val="fr-FR"/>
        </w:rPr>
        <w:t xml:space="preserve">de G.K. </w:t>
      </w:r>
      <w:r w:rsidRPr="005314B3">
        <w:rPr>
          <w:szCs w:val="24"/>
          <w:lang w:val="fr-FR"/>
        </w:rPr>
        <w:t xml:space="preserve">en tant </w:t>
      </w:r>
      <w:r>
        <w:rPr>
          <w:szCs w:val="24"/>
          <w:lang w:val="fr-FR"/>
        </w:rPr>
        <w:t>que candidat au poste de député.</w:t>
      </w:r>
    </w:p>
    <w:p w:rsidR="004C0798" w:rsidRPr="00C71B2C" w:rsidRDefault="004C0798" w:rsidP="0030061A">
      <w:pPr>
        <w:ind w:firstLine="284"/>
        <w:rPr>
          <w:lang w:val="fr-FR" w:eastAsia="fr-FR"/>
        </w:rPr>
      </w:pPr>
      <w:r>
        <w:rPr>
          <w:lang w:val="fr-FR" w:eastAsia="fr-FR"/>
        </w:rPr>
        <w:t>22.  </w:t>
      </w:r>
      <w:r w:rsidRPr="003F33FE">
        <w:rPr>
          <w:rStyle w:val="JuParaChar"/>
          <w:lang w:val="fr-FR"/>
        </w:rPr>
        <w:t>La Cour rappelle que la nature et la lourdeur des peines infligées sont des éléments à prendre en considération lorsqu</w:t>
      </w:r>
      <w:r w:rsidR="004E3646">
        <w:rPr>
          <w:rStyle w:val="JuParaChar"/>
          <w:lang w:val="fr-FR"/>
        </w:rPr>
        <w:t>’</w:t>
      </w:r>
      <w:r w:rsidRPr="003F33FE">
        <w:rPr>
          <w:rStyle w:val="JuParaChar"/>
          <w:lang w:val="fr-FR"/>
        </w:rPr>
        <w:t>il s</w:t>
      </w:r>
      <w:r w:rsidR="004E3646">
        <w:rPr>
          <w:rStyle w:val="JuParaChar"/>
          <w:lang w:val="fr-FR"/>
        </w:rPr>
        <w:t>’</w:t>
      </w:r>
      <w:r w:rsidRPr="003F33FE">
        <w:rPr>
          <w:rStyle w:val="JuParaChar"/>
          <w:lang w:val="fr-FR"/>
        </w:rPr>
        <w:t>agit de mesurer la proportionnalité d</w:t>
      </w:r>
      <w:r w:rsidR="004E3646">
        <w:rPr>
          <w:rStyle w:val="JuParaChar"/>
          <w:lang w:val="fr-FR"/>
        </w:rPr>
        <w:t>’</w:t>
      </w:r>
      <w:r w:rsidRPr="003F33FE">
        <w:rPr>
          <w:rStyle w:val="JuParaChar"/>
          <w:lang w:val="fr-FR"/>
        </w:rPr>
        <w:t>une atteinte au droit à la liberté d</w:t>
      </w:r>
      <w:r w:rsidR="004E3646">
        <w:rPr>
          <w:rStyle w:val="JuParaChar"/>
          <w:lang w:val="fr-FR"/>
        </w:rPr>
        <w:t>’</w:t>
      </w:r>
      <w:r w:rsidRPr="003F33FE">
        <w:rPr>
          <w:rStyle w:val="JuParaChar"/>
          <w:lang w:val="fr-FR"/>
        </w:rPr>
        <w:t>expression garanti par l</w:t>
      </w:r>
      <w:r w:rsidR="004E3646">
        <w:rPr>
          <w:rStyle w:val="JuParaChar"/>
          <w:lang w:val="fr-FR"/>
        </w:rPr>
        <w:t>’</w:t>
      </w:r>
      <w:r w:rsidRPr="003F33FE">
        <w:rPr>
          <w:rStyle w:val="JuParaChar"/>
          <w:lang w:val="fr-FR"/>
        </w:rPr>
        <w:t>article 10 </w:t>
      </w:r>
      <w:r>
        <w:rPr>
          <w:rStyle w:val="JuParaChar"/>
          <w:lang w:val="fr-FR"/>
        </w:rPr>
        <w:t xml:space="preserve"> de la Convention</w:t>
      </w:r>
      <w:r w:rsidRPr="003F33FE">
        <w:rPr>
          <w:rStyle w:val="JuParaChar"/>
          <w:lang w:val="fr-FR"/>
        </w:rPr>
        <w:t xml:space="preserve"> (</w:t>
      </w:r>
      <w:r w:rsidRPr="003F33FE">
        <w:rPr>
          <w:rStyle w:val="JuParaChar"/>
          <w:i/>
          <w:lang w:val="fr-FR"/>
        </w:rPr>
        <w:t>Skałka c. Pologne</w:t>
      </w:r>
      <w:r w:rsidRPr="003F33FE">
        <w:rPr>
          <w:rStyle w:val="JuParaChar"/>
          <w:lang w:val="fr-FR"/>
        </w:rPr>
        <w:t>, no 43425/98, §§ 41-42, arrêt du 27 mai 2003).</w:t>
      </w:r>
    </w:p>
    <w:p w:rsidR="001F6E3A" w:rsidRDefault="004C0798" w:rsidP="0030061A">
      <w:pPr>
        <w:pStyle w:val="ECHRPara"/>
        <w:rPr>
          <w:lang w:val="fr-FR"/>
        </w:rPr>
      </w:pPr>
      <w:r>
        <w:rPr>
          <w:lang w:val="fr-FR"/>
        </w:rPr>
        <w:t>S</w:t>
      </w:r>
      <w:r w:rsidRPr="00C71B2C">
        <w:rPr>
          <w:lang w:val="fr-FR"/>
        </w:rPr>
        <w:t>ur ce point</w:t>
      </w:r>
      <w:r>
        <w:rPr>
          <w:lang w:val="fr-FR"/>
        </w:rPr>
        <w:t>, elle relève</w:t>
      </w:r>
      <w:r w:rsidRPr="00C71B2C">
        <w:rPr>
          <w:lang w:val="fr-FR"/>
        </w:rPr>
        <w:t xml:space="preserve"> que </w:t>
      </w:r>
      <w:r>
        <w:rPr>
          <w:lang w:val="fr-FR"/>
        </w:rPr>
        <w:t>les mesures prises par les juridictions nationales visaient à l</w:t>
      </w:r>
      <w:r w:rsidR="004E3646">
        <w:rPr>
          <w:lang w:val="fr-FR"/>
        </w:rPr>
        <w:t>’</w:t>
      </w:r>
      <w:r>
        <w:rPr>
          <w:lang w:val="fr-FR"/>
        </w:rPr>
        <w:t>atténuation de l</w:t>
      </w:r>
      <w:r w:rsidR="004E3646">
        <w:rPr>
          <w:lang w:val="fr-FR"/>
        </w:rPr>
        <w:t>’</w:t>
      </w:r>
      <w:r>
        <w:rPr>
          <w:lang w:val="fr-FR"/>
        </w:rPr>
        <w:t>ombre porté par la publication litigeuse à la réputation de G.K. en tant que candidat au poste du député. Elle estime que la sanction retenue à l</w:t>
      </w:r>
      <w:r w:rsidR="004E3646">
        <w:rPr>
          <w:lang w:val="fr-FR"/>
        </w:rPr>
        <w:t>’</w:t>
      </w:r>
      <w:r>
        <w:rPr>
          <w:lang w:val="fr-FR"/>
        </w:rPr>
        <w:t>encontre du requérant a été pondérée, les juridictions internes ayant, notamment, refusé de le condamner au versement d</w:t>
      </w:r>
      <w:r w:rsidR="004E3646">
        <w:rPr>
          <w:lang w:val="fr-FR"/>
        </w:rPr>
        <w:t>’</w:t>
      </w:r>
      <w:r>
        <w:rPr>
          <w:lang w:val="fr-FR"/>
        </w:rPr>
        <w:t>une somme au profit d</w:t>
      </w:r>
      <w:r w:rsidR="004E3646">
        <w:rPr>
          <w:lang w:val="fr-FR"/>
        </w:rPr>
        <w:t>’</w:t>
      </w:r>
      <w:r>
        <w:rPr>
          <w:lang w:val="fr-FR"/>
        </w:rPr>
        <w:t>une institution caritative pour des raisons tenant à sa situation financière. Elles ont en outre jugé que la rectification des propos litigieux dans la télévision locale ne s</w:t>
      </w:r>
      <w:r w:rsidR="004E3646">
        <w:rPr>
          <w:lang w:val="fr-FR"/>
        </w:rPr>
        <w:t>’</w:t>
      </w:r>
      <w:r>
        <w:rPr>
          <w:lang w:val="fr-FR"/>
        </w:rPr>
        <w:t>imposait pas en l</w:t>
      </w:r>
      <w:r w:rsidR="004E3646">
        <w:rPr>
          <w:lang w:val="fr-FR"/>
        </w:rPr>
        <w:t>’</w:t>
      </w:r>
      <w:r>
        <w:rPr>
          <w:lang w:val="fr-FR"/>
        </w:rPr>
        <w:t>espèce.</w:t>
      </w:r>
    </w:p>
    <w:p w:rsidR="001F6E3A" w:rsidRDefault="004C0798" w:rsidP="0030061A">
      <w:pPr>
        <w:pStyle w:val="ECHRPara"/>
        <w:rPr>
          <w:lang w:val="fr-FR"/>
        </w:rPr>
      </w:pPr>
      <w:r w:rsidRPr="003F33FE">
        <w:rPr>
          <w:lang w:val="fr-FR"/>
        </w:rPr>
        <w:t>23.  Compte tenu de ce qui précède, la Cour considère que l</w:t>
      </w:r>
      <w:r w:rsidR="004E3646">
        <w:rPr>
          <w:lang w:val="fr-FR"/>
        </w:rPr>
        <w:t>’</w:t>
      </w:r>
      <w:r w:rsidRPr="003F33FE">
        <w:rPr>
          <w:lang w:val="fr-FR"/>
        </w:rPr>
        <w:t>ingérence litigeuse n</w:t>
      </w:r>
      <w:r w:rsidR="004E3646">
        <w:rPr>
          <w:lang w:val="fr-FR"/>
        </w:rPr>
        <w:t>’</w:t>
      </w:r>
      <w:r w:rsidRPr="003F33FE">
        <w:rPr>
          <w:lang w:val="fr-FR"/>
        </w:rPr>
        <w:t>était pas disproportionnée au but légitime poursuivi et que les motifs invoqués par les juridictions internes pour justifier les mesures prises à l</w:t>
      </w:r>
      <w:r w:rsidR="004E3646">
        <w:rPr>
          <w:lang w:val="fr-FR"/>
        </w:rPr>
        <w:t>’</w:t>
      </w:r>
      <w:r w:rsidRPr="003F33FE">
        <w:rPr>
          <w:lang w:val="fr-FR"/>
        </w:rPr>
        <w:t>encontre du requérant étaient pertinents et suffisants.</w:t>
      </w:r>
    </w:p>
    <w:p w:rsidR="004C0798" w:rsidRPr="0092281E" w:rsidRDefault="004C0798" w:rsidP="0030061A">
      <w:pPr>
        <w:pStyle w:val="ECHRPara"/>
        <w:rPr>
          <w:lang w:val="fr-FR"/>
        </w:rPr>
      </w:pPr>
      <w:r>
        <w:rPr>
          <w:lang w:val="fr-FR"/>
        </w:rPr>
        <w:t>24.  </w:t>
      </w:r>
      <w:r w:rsidRPr="0092281E">
        <w:rPr>
          <w:lang w:val="fr-FR"/>
        </w:rPr>
        <w:t>Il s</w:t>
      </w:r>
      <w:r w:rsidR="004E3646">
        <w:rPr>
          <w:lang w:val="fr-FR"/>
        </w:rPr>
        <w:t>’</w:t>
      </w:r>
      <w:r w:rsidRPr="0092281E">
        <w:rPr>
          <w:lang w:val="fr-FR"/>
        </w:rPr>
        <w:t>ensuit que la requête est manifestement mal fondée et doit être rejetée, conformément à l</w:t>
      </w:r>
      <w:r w:rsidR="004E3646">
        <w:rPr>
          <w:lang w:val="fr-FR"/>
        </w:rPr>
        <w:t>’</w:t>
      </w:r>
      <w:r w:rsidRPr="0092281E">
        <w:rPr>
          <w:lang w:val="fr-FR"/>
        </w:rPr>
        <w:t>article de l</w:t>
      </w:r>
      <w:r w:rsidR="004E3646">
        <w:rPr>
          <w:lang w:val="fr-FR"/>
        </w:rPr>
        <w:t>’</w:t>
      </w:r>
      <w:r w:rsidRPr="0092281E">
        <w:rPr>
          <w:lang w:val="fr-FR"/>
        </w:rPr>
        <w:t>article 35 §§ 3 a) et 4 de la Convention.</w:t>
      </w:r>
    </w:p>
    <w:p w:rsidR="001F6E3A" w:rsidRDefault="004C0798" w:rsidP="0030061A">
      <w:pPr>
        <w:pStyle w:val="JuParaLast"/>
        <w:rPr>
          <w:lang w:val="fr-FR"/>
        </w:rPr>
      </w:pPr>
      <w:r w:rsidRPr="0072720E">
        <w:rPr>
          <w:lang w:val="fr-FR"/>
        </w:rPr>
        <w:lastRenderedPageBreak/>
        <w:t>Par ces motifs, la Cour, à l</w:t>
      </w:r>
      <w:r w:rsidR="004E3646">
        <w:rPr>
          <w:lang w:val="fr-FR"/>
        </w:rPr>
        <w:t>’</w:t>
      </w:r>
      <w:r w:rsidRPr="0072720E">
        <w:rPr>
          <w:lang w:val="fr-FR"/>
        </w:rPr>
        <w:t>unanimité,</w:t>
      </w:r>
    </w:p>
    <w:p w:rsidR="004C0798" w:rsidRPr="00193D02" w:rsidRDefault="004C0798" w:rsidP="0030061A">
      <w:pPr>
        <w:pStyle w:val="DecList"/>
        <w:rPr>
          <w:lang w:val="fr-FR"/>
        </w:rPr>
      </w:pPr>
      <w:r w:rsidRPr="0072720E">
        <w:rPr>
          <w:i/>
          <w:lang w:val="fr-FR"/>
        </w:rPr>
        <w:t xml:space="preserve">Déclare </w:t>
      </w:r>
      <w:r w:rsidRPr="0072720E">
        <w:rPr>
          <w:lang w:val="fr-FR"/>
        </w:rPr>
        <w:t>la requête irrecevable.</w:t>
      </w:r>
    </w:p>
    <w:p w:rsidR="006544C4" w:rsidRPr="0016678F" w:rsidRDefault="006544C4" w:rsidP="004047FE">
      <w:pPr>
        <w:pStyle w:val="ECHRPara"/>
        <w:rPr>
          <w:sz w:val="2"/>
          <w:szCs w:val="2"/>
          <w:lang w:val="fr-FR" w:eastAsia="en-GB"/>
        </w:rPr>
      </w:pPr>
    </w:p>
    <w:p w:rsidR="006F19B0" w:rsidRPr="0016678F" w:rsidRDefault="00F40988" w:rsidP="006F19B0">
      <w:pPr>
        <w:pStyle w:val="JuParaLast"/>
        <w:rPr>
          <w:lang w:val="fr-FR"/>
        </w:rPr>
      </w:pPr>
      <w:r w:rsidRPr="0016678F">
        <w:rPr>
          <w:szCs w:val="24"/>
          <w:lang w:val="fr-FR"/>
        </w:rPr>
        <w:t xml:space="preserve">Fait en français puis communiqué par écrit le </w:t>
      </w:r>
      <w:r w:rsidR="004C0798">
        <w:rPr>
          <w:szCs w:val="24"/>
          <w:lang w:val="fr-FR"/>
        </w:rPr>
        <w:t>2 avril 2015</w:t>
      </w:r>
      <w:r w:rsidRPr="0016678F">
        <w:rPr>
          <w:lang w:val="fr-FR"/>
        </w:rPr>
        <w:t>.</w:t>
      </w:r>
    </w:p>
    <w:p w:rsidR="00234E8A" w:rsidRPr="0016678F" w:rsidRDefault="004C0798" w:rsidP="004E3646">
      <w:pPr>
        <w:pStyle w:val="JuSigned"/>
        <w:rPr>
          <w:lang w:val="fr-FR"/>
        </w:rPr>
      </w:pPr>
      <w:r w:rsidRPr="0016678F">
        <w:rPr>
          <w:lang w:val="fr-FR"/>
        </w:rPr>
        <w:tab/>
      </w:r>
      <w:r>
        <w:rPr>
          <w:lang w:val="fr-FR"/>
        </w:rPr>
        <w:t>Fatoş</w:t>
      </w:r>
      <w:r w:rsidRPr="0016678F">
        <w:rPr>
          <w:lang w:val="fr-FR"/>
        </w:rPr>
        <w:t xml:space="preserve"> </w:t>
      </w:r>
      <w:r>
        <w:rPr>
          <w:lang w:val="fr-FR"/>
        </w:rPr>
        <w:t>Aracı</w:t>
      </w:r>
      <w:r w:rsidR="006544C4" w:rsidRPr="0016678F">
        <w:rPr>
          <w:lang w:val="fr-FR"/>
        </w:rPr>
        <w:tab/>
      </w:r>
      <w:r>
        <w:rPr>
          <w:lang w:val="fr-FR"/>
        </w:rPr>
        <w:t>George</w:t>
      </w:r>
      <w:r w:rsidRPr="0016678F">
        <w:rPr>
          <w:lang w:val="fr-FR"/>
        </w:rPr>
        <w:t xml:space="preserve"> </w:t>
      </w:r>
      <w:r>
        <w:rPr>
          <w:lang w:val="fr-FR"/>
        </w:rPr>
        <w:t>Nicolaou</w:t>
      </w:r>
      <w:r w:rsidR="006544C4" w:rsidRPr="0016678F">
        <w:rPr>
          <w:lang w:val="fr-FR"/>
        </w:rPr>
        <w:br/>
      </w:r>
      <w:r w:rsidR="006544C4" w:rsidRPr="0016678F">
        <w:rPr>
          <w:lang w:val="fr-FR"/>
        </w:rPr>
        <w:tab/>
      </w:r>
      <w:r>
        <w:rPr>
          <w:lang w:val="fr-FR"/>
        </w:rPr>
        <w:t>Greffière adjointe</w:t>
      </w:r>
      <w:r w:rsidR="006544C4" w:rsidRPr="0016678F">
        <w:rPr>
          <w:lang w:val="fr-FR"/>
        </w:rPr>
        <w:tab/>
      </w:r>
      <w:r w:rsidRPr="0016678F">
        <w:rPr>
          <w:lang w:val="fr-FR"/>
        </w:rPr>
        <w:t>Président</w:t>
      </w:r>
      <w:bookmarkEnd w:id="0"/>
    </w:p>
    <w:sectPr w:rsidR="00234E8A" w:rsidRPr="0016678F" w:rsidSect="00AF7102">
      <w:headerReference w:type="even" r:id="rId12"/>
      <w:headerReference w:type="default" r:id="rId13"/>
      <w:headerReference w:type="first" r:id="rId14"/>
      <w:footerReference w:type="first" r:id="rId15"/>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1A99" w:rsidRDefault="00DF1A99" w:rsidP="006544C4">
      <w:r>
        <w:separator/>
      </w:r>
    </w:p>
  </w:endnote>
  <w:endnote w:type="continuationSeparator" w:id="0">
    <w:p w:rsidR="00DF1A99" w:rsidRDefault="00DF1A99" w:rsidP="0065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798" w:rsidRPr="00150BFA" w:rsidRDefault="004C0798" w:rsidP="0020718E">
    <w:pPr>
      <w:jc w:val="center"/>
    </w:pPr>
    <w:r>
      <w:rPr>
        <w:noProof/>
        <w:lang w:val="pl-PL" w:eastAsia="pl-PL"/>
      </w:rPr>
      <w:drawing>
        <wp:inline distT="0" distB="0" distL="0" distR="0" wp14:anchorId="21D4028A" wp14:editId="5D72291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D62" w:rsidRPr="00633A19" w:rsidRDefault="00DF1A99" w:rsidP="003146E4">
    <w:pPr>
      <w:jc w:val="cen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1A99" w:rsidRDefault="00DF1A99" w:rsidP="006544C4">
      <w:r>
        <w:separator/>
      </w:r>
    </w:p>
  </w:footnote>
  <w:footnote w:type="continuationSeparator" w:id="0">
    <w:p w:rsidR="00DF1A99" w:rsidRDefault="00DF1A99" w:rsidP="00654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0D527F" w:rsidRDefault="004C0798" w:rsidP="003312A3">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2E1661">
      <w:rPr>
        <w:rStyle w:val="Numerstrony"/>
        <w:noProof/>
        <w:lang w:val="en-GB"/>
      </w:rPr>
      <w:t>2</w:t>
    </w:r>
    <w:r>
      <w:rPr>
        <w:rStyle w:val="Numerstrony"/>
        <w:lang w:val="en-GB"/>
      </w:rPr>
      <w:fldChar w:fldCharType="end"/>
    </w:r>
    <w:r w:rsidR="00334EC5" w:rsidRPr="000D527F">
      <w:rPr>
        <w:lang w:val="en-GB"/>
      </w:rPr>
      <w:tab/>
      <w:t xml:space="preserve">DÉCISION </w:t>
    </w:r>
    <w:r>
      <w:rPr>
        <w:lang w:val="en-GB"/>
      </w:rPr>
      <w:t>KOSIŃSKI c. POLOGNE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0D527F" w:rsidRDefault="00334EC5" w:rsidP="006544C4">
    <w:pPr>
      <w:pStyle w:val="ECHRHeader"/>
      <w:rPr>
        <w:lang w:val="en-GB"/>
      </w:rPr>
    </w:pPr>
    <w:r>
      <w:tab/>
    </w:r>
    <w:r w:rsidRPr="000D527F">
      <w:rPr>
        <w:lang w:val="en-GB"/>
      </w:rPr>
      <w:t xml:space="preserve">DÉCISION </w:t>
    </w:r>
    <w:r w:rsidR="004C0798">
      <w:rPr>
        <w:lang w:val="en-GB"/>
      </w:rPr>
      <w:t>KOSIŃSKI c. POLOGNE</w:t>
    </w:r>
    <w:r w:rsidRPr="000D527F">
      <w:rPr>
        <w:lang w:val="en-GB"/>
      </w:rPr>
      <w:tab/>
    </w:r>
    <w:r w:rsidR="004C0798">
      <w:rPr>
        <w:rStyle w:val="Numerstrony"/>
        <w:lang w:val="en-GB"/>
      </w:rPr>
      <w:fldChar w:fldCharType="begin"/>
    </w:r>
    <w:r w:rsidR="004C0798">
      <w:rPr>
        <w:rStyle w:val="Numerstrony"/>
        <w:lang w:val="en-GB"/>
      </w:rPr>
      <w:instrText xml:space="preserve"> PAGE </w:instrText>
    </w:r>
    <w:r w:rsidR="004C0798">
      <w:rPr>
        <w:rStyle w:val="Numerstrony"/>
        <w:lang w:val="en-GB"/>
      </w:rPr>
      <w:fldChar w:fldCharType="separate"/>
    </w:r>
    <w:r w:rsidR="002E1661">
      <w:rPr>
        <w:rStyle w:val="Numerstrony"/>
        <w:noProof/>
        <w:lang w:val="en-GB"/>
      </w:rPr>
      <w:t>7</w:t>
    </w:r>
    <w:r w:rsidR="004C0798">
      <w:rPr>
        <w:rStyle w:val="Numerstrony"/>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798" w:rsidRPr="00A45145" w:rsidRDefault="004C0798" w:rsidP="00A45145">
    <w:pPr>
      <w:jc w:val="center"/>
    </w:pPr>
    <w:r>
      <w:rPr>
        <w:noProof/>
        <w:lang w:val="pl-PL" w:eastAsia="pl-PL"/>
      </w:rPr>
      <w:drawing>
        <wp:inline distT="0" distB="0" distL="0" distR="0" wp14:anchorId="0FC06CA3" wp14:editId="641453F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D62" w:rsidRDefault="00DF1A99" w:rsidP="003146E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6C560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784B494"/>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52BEA742"/>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50CE4694"/>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0CDAA"/>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3FAB61E"/>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97A584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215E9F46"/>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CCD2930"/>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5"/>
  </w:num>
  <w:num w:numId="11">
    <w:abstractNumId w:val="15"/>
  </w:num>
  <w:num w:numId="12">
    <w:abstractNumId w:val="13"/>
  </w:num>
  <w:num w:numId="13">
    <w:abstractNumId w:val="14"/>
  </w:num>
  <w:num w:numId="14">
    <w:abstractNumId w:val="16"/>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PAR VOIE ÉLECTRONIQUE UNIQUEMENT"/>
    <w:docVar w:name="L4_1Annex" w:val="0"/>
    <w:docVar w:name="L4_1Anonymity" w:val="0"/>
    <w:docVar w:name="NBEMMDOC" w:val="0"/>
    <w:docVar w:name="Plural" w:val="0"/>
    <w:docVar w:name="SignForeName" w:val="0"/>
  </w:docVars>
  <w:rsids>
    <w:rsidRoot w:val="004C0798"/>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6678F"/>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6E3A"/>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E1661"/>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AC7"/>
    <w:rsid w:val="003609FA"/>
    <w:rsid w:val="003710C8"/>
    <w:rsid w:val="003750BE"/>
    <w:rsid w:val="00381AF0"/>
    <w:rsid w:val="00387B9D"/>
    <w:rsid w:val="0039055E"/>
    <w:rsid w:val="0039364F"/>
    <w:rsid w:val="00396686"/>
    <w:rsid w:val="0039778E"/>
    <w:rsid w:val="003B4941"/>
    <w:rsid w:val="003C5714"/>
    <w:rsid w:val="003C6B9F"/>
    <w:rsid w:val="003C6E2A"/>
    <w:rsid w:val="003D0299"/>
    <w:rsid w:val="003E6D80"/>
    <w:rsid w:val="003E747B"/>
    <w:rsid w:val="003F05FA"/>
    <w:rsid w:val="003F244A"/>
    <w:rsid w:val="003F30B8"/>
    <w:rsid w:val="003F4C45"/>
    <w:rsid w:val="003F5F7B"/>
    <w:rsid w:val="003F7D64"/>
    <w:rsid w:val="004047FE"/>
    <w:rsid w:val="00414300"/>
    <w:rsid w:val="00425C67"/>
    <w:rsid w:val="00427E7A"/>
    <w:rsid w:val="00434794"/>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798"/>
    <w:rsid w:val="004C086C"/>
    <w:rsid w:val="004C1F56"/>
    <w:rsid w:val="004C27BC"/>
    <w:rsid w:val="004D15F3"/>
    <w:rsid w:val="004D5311"/>
    <w:rsid w:val="004D5DCC"/>
    <w:rsid w:val="004E3646"/>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5347"/>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19B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B02DC"/>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4301"/>
    <w:rsid w:val="00934A97"/>
    <w:rsid w:val="00936CD1"/>
    <w:rsid w:val="00941747"/>
    <w:rsid w:val="00941EFB"/>
    <w:rsid w:val="00947AFB"/>
    <w:rsid w:val="00951D7D"/>
    <w:rsid w:val="009630C7"/>
    <w:rsid w:val="00972B55"/>
    <w:rsid w:val="009743B7"/>
    <w:rsid w:val="00977DA8"/>
    <w:rsid w:val="0098228B"/>
    <w:rsid w:val="009828DA"/>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C73C9"/>
    <w:rsid w:val="00AE0A2E"/>
    <w:rsid w:val="00AE354C"/>
    <w:rsid w:val="00AF4B07"/>
    <w:rsid w:val="00AF6186"/>
    <w:rsid w:val="00AF7102"/>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64395"/>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1A99"/>
    <w:rsid w:val="00DF210C"/>
    <w:rsid w:val="00DF4B6A"/>
    <w:rsid w:val="00E02897"/>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8668A"/>
    <w:rsid w:val="00E90302"/>
    <w:rsid w:val="00E97396"/>
    <w:rsid w:val="00EA185E"/>
    <w:rsid w:val="00EA592A"/>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40988"/>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note text" w:uiPriority="95"/>
    <w:lsdException w:name="annotation text" w:uiPriority="0"/>
    <w:lsdException w:name="header" w:uiPriority="82"/>
    <w:lsdException w:name="footer" w:uiPriority="83"/>
    <w:lsdException w:name="caption" w:qFormat="1"/>
    <w:lsdException w:name="footnote reference" w:uiPriority="95"/>
    <w:lsdException w:name="List Number" w:unhideWhenUsed="0"/>
    <w:lsdException w:name="List 4" w:unhideWhenUsed="0"/>
    <w:lsdException w:name="List 5" w:unhideWhenUsed="0"/>
    <w:lsdException w:name="List Bullet 3" w:uiPriority="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544C4"/>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544C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544C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544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544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6544C4"/>
    <w:rPr>
      <w:i/>
      <w:iCs/>
      <w:smallCaps/>
      <w:spacing w:val="5"/>
    </w:rPr>
  </w:style>
  <w:style w:type="paragraph" w:customStyle="1" w:styleId="ECHRHeader">
    <w:name w:val="ECHR_Header"/>
    <w:aliases w:val="Ju_Header"/>
    <w:basedOn w:val="Nagwek"/>
    <w:uiPriority w:val="4"/>
    <w:qFormat/>
    <w:rsid w:val="006544C4"/>
    <w:pPr>
      <w:tabs>
        <w:tab w:val="clear" w:pos="4536"/>
        <w:tab w:val="clear" w:pos="9696"/>
        <w:tab w:val="center" w:pos="3686"/>
        <w:tab w:val="right" w:pos="7371"/>
      </w:tabs>
      <w:ind w:left="0" w:right="0"/>
      <w:jc w:val="left"/>
    </w:pPr>
    <w:rPr>
      <w:rFonts w:eastAsiaTheme="minorHAnsi"/>
      <w:sz w:val="18"/>
    </w:rPr>
  </w:style>
  <w:style w:type="paragraph" w:customStyle="1" w:styleId="JuAppQuestion">
    <w:name w:val="Ju_App_Question"/>
    <w:basedOn w:val="Normalny"/>
    <w:uiPriority w:val="5"/>
    <w:qFormat/>
    <w:rsid w:val="006544C4"/>
    <w:pPr>
      <w:numPr>
        <w:numId w:val="11"/>
      </w:numPr>
      <w:jc w:val="left"/>
    </w:pPr>
    <w:rPr>
      <w:b/>
    </w:rPr>
  </w:style>
  <w:style w:type="character" w:styleId="Pogrubienie">
    <w:name w:val="Strong"/>
    <w:uiPriority w:val="99"/>
    <w:semiHidden/>
    <w:qFormat/>
    <w:rsid w:val="006544C4"/>
    <w:rPr>
      <w:b/>
      <w:bCs/>
    </w:rPr>
  </w:style>
  <w:style w:type="paragraph" w:styleId="Bezodstpw">
    <w:name w:val="No Spacing"/>
    <w:basedOn w:val="Normalny"/>
    <w:link w:val="BezodstpwZnak"/>
    <w:semiHidden/>
    <w:qFormat/>
    <w:rsid w:val="006544C4"/>
    <w:rPr>
      <w:sz w:val="22"/>
    </w:rPr>
  </w:style>
  <w:style w:type="character" w:customStyle="1" w:styleId="BezodstpwZnak">
    <w:name w:val="Bez odstępów Znak"/>
    <w:basedOn w:val="Domylnaczcionkaakapitu"/>
    <w:link w:val="Bezodstpw"/>
    <w:semiHidden/>
    <w:rsid w:val="006544C4"/>
    <w:rPr>
      <w:rFonts w:eastAsiaTheme="minorEastAsia"/>
    </w:rPr>
  </w:style>
  <w:style w:type="paragraph" w:customStyle="1" w:styleId="OpiPara">
    <w:name w:val="Opi_Para"/>
    <w:basedOn w:val="Normalny"/>
    <w:uiPriority w:val="46"/>
    <w:semiHidden/>
    <w:qFormat/>
    <w:rsid w:val="004047FE"/>
    <w:pPr>
      <w:ind w:firstLine="284"/>
    </w:pPr>
  </w:style>
  <w:style w:type="paragraph" w:customStyle="1" w:styleId="ECHRParaQuote">
    <w:name w:val="ECHR_Para_Quote"/>
    <w:aliases w:val="Ju_Quot"/>
    <w:basedOn w:val="Normalny"/>
    <w:link w:val="JuQuotChar1"/>
    <w:uiPriority w:val="14"/>
    <w:qFormat/>
    <w:rsid w:val="006544C4"/>
    <w:pPr>
      <w:spacing w:before="120" w:after="120"/>
      <w:ind w:left="425" w:firstLine="142"/>
    </w:pPr>
    <w:rPr>
      <w:sz w:val="20"/>
    </w:rPr>
  </w:style>
  <w:style w:type="paragraph" w:customStyle="1" w:styleId="JuParaSub">
    <w:name w:val="Ju_Para_Sub"/>
    <w:basedOn w:val="Normalny"/>
    <w:uiPriority w:val="13"/>
    <w:qFormat/>
    <w:rsid w:val="004047FE"/>
    <w:pPr>
      <w:ind w:left="284" w:firstLine="284"/>
    </w:pPr>
  </w:style>
  <w:style w:type="paragraph" w:customStyle="1" w:styleId="OpiParaSub">
    <w:name w:val="Opi_Para_Sub"/>
    <w:basedOn w:val="JuParaSub"/>
    <w:uiPriority w:val="47"/>
    <w:semiHidden/>
    <w:qFormat/>
    <w:rsid w:val="006544C4"/>
  </w:style>
  <w:style w:type="paragraph" w:customStyle="1" w:styleId="OpiQuot">
    <w:name w:val="Opi_Quot"/>
    <w:basedOn w:val="ECHRParaQuote"/>
    <w:uiPriority w:val="48"/>
    <w:semiHidden/>
    <w:qFormat/>
    <w:rsid w:val="006544C4"/>
  </w:style>
  <w:style w:type="paragraph" w:customStyle="1" w:styleId="OpiQuotSub">
    <w:name w:val="Opi_Quot_Sub"/>
    <w:basedOn w:val="JuQuotSub"/>
    <w:uiPriority w:val="49"/>
    <w:semiHidden/>
    <w:qFormat/>
    <w:rsid w:val="006544C4"/>
  </w:style>
  <w:style w:type="paragraph" w:customStyle="1" w:styleId="ECHRTitleCentre3">
    <w:name w:val="ECHR_Title_Centre_3"/>
    <w:aliases w:val="Ju_H_Article"/>
    <w:basedOn w:val="Normalny"/>
    <w:next w:val="ECHRParaQuote"/>
    <w:uiPriority w:val="27"/>
    <w:qFormat/>
    <w:rsid w:val="006544C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6544C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544C4"/>
    <w:pPr>
      <w:ind w:left="567"/>
    </w:pPr>
  </w:style>
  <w:style w:type="paragraph" w:customStyle="1" w:styleId="ECHRTitle1">
    <w:name w:val="ECHR_Title_1"/>
    <w:aliases w:val="Ju_H_Head"/>
    <w:basedOn w:val="Normalny"/>
    <w:next w:val="Normalny"/>
    <w:uiPriority w:val="18"/>
    <w:qFormat/>
    <w:rsid w:val="006544C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544C4"/>
    <w:pPr>
      <w:tabs>
        <w:tab w:val="center" w:pos="6407"/>
      </w:tabs>
      <w:spacing w:before="720"/>
      <w:jc w:val="right"/>
    </w:pPr>
  </w:style>
  <w:style w:type="paragraph" w:styleId="Tytu">
    <w:name w:val="Title"/>
    <w:basedOn w:val="Normalny"/>
    <w:next w:val="Normalny"/>
    <w:link w:val="TytuZnak"/>
    <w:uiPriority w:val="99"/>
    <w:semiHidden/>
    <w:qFormat/>
    <w:rsid w:val="0065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544C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semiHidden/>
    <w:qFormat/>
    <w:rsid w:val="006544C4"/>
    <w:pPr>
      <w:tabs>
        <w:tab w:val="clear" w:pos="357"/>
      </w:tabs>
      <w:outlineLvl w:val="1"/>
    </w:pPr>
    <w:rPr>
      <w:b/>
    </w:rPr>
  </w:style>
  <w:style w:type="character" w:customStyle="1" w:styleId="JUNAMES">
    <w:name w:val="JU_NAMES"/>
    <w:uiPriority w:val="17"/>
    <w:qFormat/>
    <w:rsid w:val="006544C4"/>
    <w:rPr>
      <w:caps w:val="0"/>
      <w:smallCaps/>
    </w:rPr>
  </w:style>
  <w:style w:type="character" w:customStyle="1" w:styleId="JuITMark">
    <w:name w:val="Ju_ITMark"/>
    <w:basedOn w:val="Domylnaczcionkaakapitu"/>
    <w:uiPriority w:val="38"/>
    <w:qFormat/>
    <w:rsid w:val="006544C4"/>
    <w:rPr>
      <w:vanish/>
      <w:color w:val="339966"/>
      <w:sz w:val="14"/>
    </w:rPr>
  </w:style>
  <w:style w:type="paragraph" w:customStyle="1" w:styleId="OpiTranslation">
    <w:name w:val="Opi_Translation"/>
    <w:basedOn w:val="Normalny"/>
    <w:next w:val="OpiPara"/>
    <w:uiPriority w:val="40"/>
    <w:semiHidden/>
    <w:qFormat/>
    <w:rsid w:val="006544C4"/>
    <w:pPr>
      <w:jc w:val="center"/>
      <w:outlineLvl w:val="0"/>
    </w:pPr>
    <w:rPr>
      <w:i/>
    </w:rPr>
  </w:style>
  <w:style w:type="paragraph" w:customStyle="1" w:styleId="JuCourt">
    <w:name w:val="Ju_Court"/>
    <w:basedOn w:val="Normalny"/>
    <w:next w:val="Normalny"/>
    <w:uiPriority w:val="16"/>
    <w:qFormat/>
    <w:rsid w:val="006544C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uiPriority w:val="19"/>
    <w:qFormat/>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Normalny"/>
    <w:uiPriority w:val="20"/>
    <w:qFormat/>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Normalny"/>
    <w:uiPriority w:val="21"/>
    <w:qFormat/>
    <w:rsid w:val="006544C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48"/>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Normalny"/>
    <w:uiPriority w:val="22"/>
    <w:qFormat/>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Normalny"/>
    <w:uiPriority w:val="23"/>
    <w:qFormat/>
    <w:rsid w:val="006544C4"/>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Normalny"/>
    <w:uiPriority w:val="24"/>
    <w:qFormat/>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Normalny"/>
    <w:uiPriority w:val="25"/>
    <w:qFormat/>
    <w:rsid w:val="006544C4"/>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Normalny"/>
    <w:uiPriority w:val="30"/>
    <w:qFormat/>
    <w:rsid w:val="006544C4"/>
    <w:pPr>
      <w:keepNext/>
      <w:keepLines/>
      <w:spacing w:before="240"/>
      <w:ind w:firstLine="284"/>
    </w:pPr>
  </w:style>
  <w:style w:type="paragraph" w:customStyle="1" w:styleId="DecList">
    <w:name w:val="Dec_List"/>
    <w:basedOn w:val="Normalny"/>
    <w:uiPriority w:val="9"/>
    <w:qFormat/>
    <w:rsid w:val="006544C4"/>
    <w:pPr>
      <w:spacing w:before="240"/>
      <w:ind w:left="284"/>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DecisionBody">
    <w:name w:val="ECHR_Decision_Body"/>
    <w:aliases w:val="Ju_Judges"/>
    <w:basedOn w:val="Normalny"/>
    <w:uiPriority w:val="11"/>
    <w:qFormat/>
    <w:rsid w:val="006544C4"/>
    <w:pPr>
      <w:tabs>
        <w:tab w:val="left" w:pos="567"/>
        <w:tab w:val="left" w:pos="1134"/>
      </w:tabs>
      <w:jc w:val="left"/>
    </w:pPr>
  </w:style>
  <w:style w:type="character" w:customStyle="1" w:styleId="Nagwek5Znak">
    <w:name w:val="Nagłówek 5 Znak"/>
    <w:basedOn w:val="Domylnaczcionkaakapitu"/>
    <w:link w:val="Nagwek5"/>
    <w:uiPriority w:val="99"/>
    <w:semiHidden/>
    <w:rsid w:val="006544C4"/>
    <w:rPr>
      <w:rFonts w:asciiTheme="majorHAnsi" w:eastAsiaTheme="majorEastAsia" w:hAnsiTheme="majorHAnsi" w:cstheme="majorBidi"/>
      <w:b/>
      <w:bCs/>
      <w:color w:val="808080"/>
    </w:rPr>
  </w:style>
  <w:style w:type="paragraph" w:customStyle="1" w:styleId="JuList">
    <w:name w:val="Ju_List"/>
    <w:basedOn w:val="Normalny"/>
    <w:uiPriority w:val="28"/>
    <w:qFormat/>
    <w:rsid w:val="006544C4"/>
    <w:pPr>
      <w:ind w:left="340" w:hanging="340"/>
    </w:pPr>
  </w:style>
  <w:style w:type="paragraph" w:customStyle="1" w:styleId="JuLista">
    <w:name w:val="Ju_List_a"/>
    <w:basedOn w:val="JuList"/>
    <w:uiPriority w:val="28"/>
    <w:qFormat/>
    <w:rsid w:val="006544C4"/>
    <w:pPr>
      <w:ind w:left="346" w:firstLine="0"/>
    </w:pPr>
  </w:style>
  <w:style w:type="character" w:styleId="Wyrnieniedelikatne">
    <w:name w:val="Subtle Emphasis"/>
    <w:uiPriority w:val="99"/>
    <w:semiHidden/>
    <w:qFormat/>
    <w:rsid w:val="006544C4"/>
    <w:rPr>
      <w:i/>
      <w:iCs/>
    </w:rPr>
  </w:style>
  <w:style w:type="paragraph" w:customStyle="1" w:styleId="JuListi">
    <w:name w:val="Ju_List_i"/>
    <w:basedOn w:val="Normalny"/>
    <w:next w:val="JuLista"/>
    <w:uiPriority w:val="28"/>
    <w:qFormat/>
    <w:rsid w:val="006544C4"/>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semiHidden/>
    <w:qFormat/>
    <w:rsid w:val="006544C4"/>
    <w:pPr>
      <w:ind w:left="635" w:hanging="357"/>
      <w:outlineLvl w:val="2"/>
    </w:pPr>
  </w:style>
  <w:style w:type="paragraph" w:customStyle="1" w:styleId="OpiHa0">
    <w:name w:val="Opi_H_a"/>
    <w:basedOn w:val="ECHRHeading3"/>
    <w:uiPriority w:val="43"/>
    <w:semiHidden/>
    <w:qFormat/>
    <w:rsid w:val="006544C4"/>
    <w:pPr>
      <w:ind w:left="833" w:hanging="357"/>
      <w:outlineLvl w:val="3"/>
    </w:pPr>
    <w:rPr>
      <w:b/>
      <w:i w:val="0"/>
      <w:sz w:val="20"/>
    </w:rPr>
  </w:style>
  <w:style w:type="paragraph" w:customStyle="1" w:styleId="ECHRTitleCentre2">
    <w:name w:val="ECHR_Title_Centre_2"/>
    <w:aliases w:val="Dec_H_Case"/>
    <w:basedOn w:val="Normalny"/>
    <w:next w:val="Normalny"/>
    <w:uiPriority w:val="8"/>
    <w:qFormat/>
    <w:rsid w:val="006544C4"/>
    <w:pPr>
      <w:spacing w:after="240"/>
      <w:jc w:val="center"/>
      <w:outlineLvl w:val="0"/>
    </w:pPr>
    <w:rPr>
      <w:rFonts w:asciiTheme="majorHAnsi" w:hAnsiTheme="majorHAnsi"/>
    </w:rPr>
  </w:style>
  <w:style w:type="character" w:styleId="Uwydatnienie">
    <w:name w:val="Emphasis"/>
    <w:uiPriority w:val="99"/>
    <w:semiHidden/>
    <w:qFormat/>
    <w:rsid w:val="006544C4"/>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6544C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544C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544C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6544C4"/>
    <w:rPr>
      <w:b/>
      <w:bCs/>
    </w:rPr>
  </w:style>
  <w:style w:type="paragraph" w:styleId="Cytatintensywny">
    <w:name w:val="Intense Quote"/>
    <w:basedOn w:val="Normalny"/>
    <w:next w:val="Normalny"/>
    <w:link w:val="CytatintensywnyZnak"/>
    <w:uiPriority w:val="99"/>
    <w:semiHidden/>
    <w:qFormat/>
    <w:rsid w:val="006544C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544C4"/>
    <w:rPr>
      <w:rFonts w:eastAsiaTheme="minorEastAsia"/>
      <w:b/>
      <w:bCs/>
      <w:i/>
      <w:iCs/>
      <w:lang w:bidi="en-US"/>
    </w:rPr>
  </w:style>
  <w:style w:type="character" w:styleId="Odwoanieintensywne">
    <w:name w:val="Intense Reference"/>
    <w:uiPriority w:val="99"/>
    <w:semiHidden/>
    <w:qFormat/>
    <w:rsid w:val="006544C4"/>
    <w:rPr>
      <w:smallCaps/>
      <w:spacing w:val="5"/>
      <w:u w:val="single"/>
    </w:rPr>
  </w:style>
  <w:style w:type="paragraph" w:styleId="Akapitzlist">
    <w:name w:val="List Paragraph"/>
    <w:basedOn w:val="Normalny"/>
    <w:uiPriority w:val="99"/>
    <w:semiHidden/>
    <w:qFormat/>
    <w:rsid w:val="006544C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544C4"/>
    <w:pPr>
      <w:spacing w:before="200"/>
      <w:ind w:left="360" w:right="360"/>
    </w:pPr>
    <w:rPr>
      <w:i/>
      <w:iCs/>
      <w:sz w:val="22"/>
      <w:lang w:bidi="en-US"/>
    </w:rPr>
  </w:style>
  <w:style w:type="character" w:customStyle="1" w:styleId="CytatZnak">
    <w:name w:val="Cytat Znak"/>
    <w:basedOn w:val="Domylnaczcionkaakapitu"/>
    <w:link w:val="Cytat"/>
    <w:uiPriority w:val="99"/>
    <w:semiHidden/>
    <w:rsid w:val="006544C4"/>
    <w:rPr>
      <w:rFonts w:eastAsiaTheme="minorEastAsia"/>
      <w:i/>
      <w:iCs/>
      <w:lang w:bidi="en-US"/>
    </w:rPr>
  </w:style>
  <w:style w:type="character" w:styleId="Odwoaniedelikatne">
    <w:name w:val="Subtle Reference"/>
    <w:uiPriority w:val="99"/>
    <w:semiHidden/>
    <w:qFormat/>
    <w:rsid w:val="006544C4"/>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6544C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OpiHi">
    <w:name w:val="Opi_H_i"/>
    <w:basedOn w:val="ECHRHeading4"/>
    <w:uiPriority w:val="44"/>
    <w:semiHidden/>
    <w:qFormat/>
    <w:rsid w:val="006544C4"/>
    <w:pPr>
      <w:ind w:left="1037" w:hanging="357"/>
      <w:outlineLvl w:val="4"/>
    </w:pPr>
    <w:rPr>
      <w:b w:val="0"/>
      <w:i/>
    </w:rPr>
  </w:style>
  <w:style w:type="paragraph" w:customStyle="1" w:styleId="DummyStyle">
    <w:name w:val="Dummy_Style"/>
    <w:basedOn w:val="Normalny"/>
    <w:semiHidden/>
    <w:qFormat/>
    <w:rsid w:val="006544C4"/>
    <w:rPr>
      <w:color w:val="00B050"/>
      <w:lang w:bidi="en-US"/>
    </w:rPr>
  </w:style>
  <w:style w:type="paragraph" w:styleId="Podtytu">
    <w:name w:val="Subtitle"/>
    <w:basedOn w:val="Normalny"/>
    <w:next w:val="Normalny"/>
    <w:link w:val="PodtytuZnak"/>
    <w:uiPriority w:val="99"/>
    <w:semiHidden/>
    <w:qFormat/>
    <w:rsid w:val="006544C4"/>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Para,Left,First line:  0 cm"/>
    <w:basedOn w:val="Normalny"/>
    <w:link w:val="JuParaChar"/>
    <w:uiPriority w:val="12"/>
    <w:qFormat/>
    <w:rsid w:val="004047FE"/>
    <w:pPr>
      <w:ind w:firstLine="284"/>
    </w:pPr>
  </w:style>
  <w:style w:type="character" w:customStyle="1" w:styleId="PodtytuZnak">
    <w:name w:val="Podtytuł Znak"/>
    <w:basedOn w:val="Domylnaczcionkaakapitu"/>
    <w:link w:val="Podtytu"/>
    <w:uiPriority w:val="99"/>
    <w:semiHidden/>
    <w:rsid w:val="006544C4"/>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6544C4"/>
    <w:pPr>
      <w:tabs>
        <w:tab w:val="center" w:pos="851"/>
        <w:tab w:val="center" w:pos="6407"/>
      </w:tabs>
      <w:spacing w:before="720"/>
      <w:jc w:val="left"/>
    </w:pPr>
  </w:style>
  <w:style w:type="paragraph" w:customStyle="1" w:styleId="JuTitle">
    <w:name w:val="Ju_Title"/>
    <w:basedOn w:val="Normalny"/>
    <w:next w:val="Normalny"/>
    <w:uiPriority w:val="3"/>
    <w:qFormat/>
    <w:rsid w:val="006544C4"/>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6544C4"/>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6544C4"/>
    <w:rPr>
      <w:color w:val="808080"/>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544C4"/>
    <w:pPr>
      <w:spacing w:after="100"/>
      <w:ind w:left="1200"/>
    </w:pPr>
  </w:style>
  <w:style w:type="paragraph" w:styleId="Spistreci7">
    <w:name w:val="toc 7"/>
    <w:basedOn w:val="Normalny"/>
    <w:next w:val="Normalny"/>
    <w:autoRedefine/>
    <w:uiPriority w:val="99"/>
    <w:semiHidden/>
    <w:rsid w:val="006544C4"/>
    <w:pPr>
      <w:spacing w:after="100"/>
      <w:ind w:left="1440"/>
    </w:p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rsid w:val="00934A97"/>
  </w:style>
  <w:style w:type="character" w:customStyle="1" w:styleId="JuParaChar">
    <w:name w:val="Ju_Para Char"/>
    <w:basedOn w:val="Domylnaczcionkaakapitu"/>
    <w:link w:val="ECHRPara"/>
    <w:uiPriority w:val="12"/>
    <w:rsid w:val="004C0798"/>
    <w:rPr>
      <w:rFonts w:eastAsiaTheme="minorEastAsia"/>
      <w:sz w:val="24"/>
    </w:rPr>
  </w:style>
  <w:style w:type="character" w:customStyle="1" w:styleId="JuQuotChar1">
    <w:name w:val="Ju_Quot Char1"/>
    <w:link w:val="ECHRParaQuote"/>
    <w:uiPriority w:val="14"/>
    <w:locked/>
    <w:rsid w:val="004C0798"/>
    <w:rPr>
      <w:rFonts w:eastAsiaTheme="minorEastAsia"/>
      <w:sz w:val="20"/>
    </w:rPr>
  </w:style>
  <w:style w:type="character" w:customStyle="1" w:styleId="JuParaCar">
    <w:name w:val="Ju_Para Car"/>
    <w:locked/>
    <w:rsid w:val="004C0798"/>
    <w:rPr>
      <w:rFonts w:ascii="Times New Roman" w:hAnsi="Times New Roman"/>
      <w:sz w:val="20"/>
      <w:lang w:val="x-none" w:eastAsia="fr-FR"/>
    </w:rPr>
  </w:style>
  <w:style w:type="character" w:customStyle="1" w:styleId="ju-005fpara--char">
    <w:name w:val="ju-005fpara--char"/>
    <w:basedOn w:val="Domylnaczcionkaakapitu"/>
    <w:rsid w:val="004C07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8" w:unhideWhenUsed="0" w:qFormat="1"/>
    <w:lsdException w:name="heading 2" w:uiPriority="98" w:qFormat="1"/>
    <w:lsdException w:name="heading 3" w:uiPriority="98" w:qFormat="1"/>
    <w:lsdException w:name="heading 4" w:uiPriority="98" w:qFormat="1"/>
    <w:lsdException w:name="heading 5" w:qFormat="1"/>
    <w:lsdException w:name="heading 6" w:uiPriority="98"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footnote text" w:uiPriority="95"/>
    <w:lsdException w:name="annotation text" w:uiPriority="0"/>
    <w:lsdException w:name="header" w:uiPriority="82"/>
    <w:lsdException w:name="footer" w:uiPriority="83"/>
    <w:lsdException w:name="caption" w:qFormat="1"/>
    <w:lsdException w:name="footnote reference" w:uiPriority="95"/>
    <w:lsdException w:name="List Number" w:unhideWhenUsed="0"/>
    <w:lsdException w:name="List 4" w:unhideWhenUsed="0"/>
    <w:lsdException w:name="List 5" w:unhideWhenUsed="0"/>
    <w:lsdException w:name="List Bullet 3" w:uiPriority="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6544C4"/>
    <w:pPr>
      <w:jc w:val="both"/>
    </w:pPr>
    <w:rPr>
      <w:rFonts w:eastAsiaTheme="minorEastAsia"/>
      <w:sz w:val="24"/>
    </w:rPr>
  </w:style>
  <w:style w:type="paragraph" w:styleId="Nagwek1">
    <w:name w:val="heading 1"/>
    <w:basedOn w:val="Normalny"/>
    <w:next w:val="Normalny"/>
    <w:link w:val="Nagwek1Znak"/>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544C4"/>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544C4"/>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544C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544C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6544C4"/>
    <w:rPr>
      <w:i/>
      <w:iCs/>
      <w:smallCaps/>
      <w:spacing w:val="5"/>
    </w:rPr>
  </w:style>
  <w:style w:type="paragraph" w:customStyle="1" w:styleId="ECHRHeader">
    <w:name w:val="ECHR_Header"/>
    <w:aliases w:val="Ju_Header"/>
    <w:basedOn w:val="Nagwek"/>
    <w:uiPriority w:val="4"/>
    <w:qFormat/>
    <w:rsid w:val="006544C4"/>
    <w:pPr>
      <w:tabs>
        <w:tab w:val="clear" w:pos="4536"/>
        <w:tab w:val="clear" w:pos="9696"/>
        <w:tab w:val="center" w:pos="3686"/>
        <w:tab w:val="right" w:pos="7371"/>
      </w:tabs>
      <w:ind w:left="0" w:right="0"/>
      <w:jc w:val="left"/>
    </w:pPr>
    <w:rPr>
      <w:rFonts w:eastAsiaTheme="minorHAnsi"/>
      <w:sz w:val="18"/>
    </w:rPr>
  </w:style>
  <w:style w:type="paragraph" w:customStyle="1" w:styleId="JuAppQuestion">
    <w:name w:val="Ju_App_Question"/>
    <w:basedOn w:val="Normalny"/>
    <w:uiPriority w:val="5"/>
    <w:qFormat/>
    <w:rsid w:val="006544C4"/>
    <w:pPr>
      <w:numPr>
        <w:numId w:val="11"/>
      </w:numPr>
      <w:jc w:val="left"/>
    </w:pPr>
    <w:rPr>
      <w:b/>
    </w:rPr>
  </w:style>
  <w:style w:type="character" w:styleId="Pogrubienie">
    <w:name w:val="Strong"/>
    <w:uiPriority w:val="99"/>
    <w:semiHidden/>
    <w:qFormat/>
    <w:rsid w:val="006544C4"/>
    <w:rPr>
      <w:b/>
      <w:bCs/>
    </w:rPr>
  </w:style>
  <w:style w:type="paragraph" w:styleId="Bezodstpw">
    <w:name w:val="No Spacing"/>
    <w:basedOn w:val="Normalny"/>
    <w:link w:val="BezodstpwZnak"/>
    <w:semiHidden/>
    <w:qFormat/>
    <w:rsid w:val="006544C4"/>
    <w:rPr>
      <w:sz w:val="22"/>
    </w:rPr>
  </w:style>
  <w:style w:type="character" w:customStyle="1" w:styleId="BezodstpwZnak">
    <w:name w:val="Bez odstępów Znak"/>
    <w:basedOn w:val="Domylnaczcionkaakapitu"/>
    <w:link w:val="Bezodstpw"/>
    <w:semiHidden/>
    <w:rsid w:val="006544C4"/>
    <w:rPr>
      <w:rFonts w:eastAsiaTheme="minorEastAsia"/>
    </w:rPr>
  </w:style>
  <w:style w:type="paragraph" w:customStyle="1" w:styleId="OpiPara">
    <w:name w:val="Opi_Para"/>
    <w:basedOn w:val="Normalny"/>
    <w:uiPriority w:val="46"/>
    <w:semiHidden/>
    <w:qFormat/>
    <w:rsid w:val="004047FE"/>
    <w:pPr>
      <w:ind w:firstLine="284"/>
    </w:pPr>
  </w:style>
  <w:style w:type="paragraph" w:customStyle="1" w:styleId="ECHRParaQuote">
    <w:name w:val="ECHR_Para_Quote"/>
    <w:aliases w:val="Ju_Quot"/>
    <w:basedOn w:val="Normalny"/>
    <w:link w:val="JuQuotChar1"/>
    <w:uiPriority w:val="14"/>
    <w:qFormat/>
    <w:rsid w:val="006544C4"/>
    <w:pPr>
      <w:spacing w:before="120" w:after="120"/>
      <w:ind w:left="425" w:firstLine="142"/>
    </w:pPr>
    <w:rPr>
      <w:sz w:val="20"/>
    </w:rPr>
  </w:style>
  <w:style w:type="paragraph" w:customStyle="1" w:styleId="JuParaSub">
    <w:name w:val="Ju_Para_Sub"/>
    <w:basedOn w:val="Normalny"/>
    <w:uiPriority w:val="13"/>
    <w:qFormat/>
    <w:rsid w:val="004047FE"/>
    <w:pPr>
      <w:ind w:left="284" w:firstLine="284"/>
    </w:pPr>
  </w:style>
  <w:style w:type="paragraph" w:customStyle="1" w:styleId="OpiParaSub">
    <w:name w:val="Opi_Para_Sub"/>
    <w:basedOn w:val="JuParaSub"/>
    <w:uiPriority w:val="47"/>
    <w:semiHidden/>
    <w:qFormat/>
    <w:rsid w:val="006544C4"/>
  </w:style>
  <w:style w:type="paragraph" w:customStyle="1" w:styleId="OpiQuot">
    <w:name w:val="Opi_Quot"/>
    <w:basedOn w:val="ECHRParaQuote"/>
    <w:uiPriority w:val="48"/>
    <w:semiHidden/>
    <w:qFormat/>
    <w:rsid w:val="006544C4"/>
  </w:style>
  <w:style w:type="paragraph" w:customStyle="1" w:styleId="OpiQuotSub">
    <w:name w:val="Opi_Quot_Sub"/>
    <w:basedOn w:val="JuQuotSub"/>
    <w:uiPriority w:val="49"/>
    <w:semiHidden/>
    <w:qFormat/>
    <w:rsid w:val="006544C4"/>
  </w:style>
  <w:style w:type="paragraph" w:customStyle="1" w:styleId="ECHRTitleCentre3">
    <w:name w:val="ECHR_Title_Centre_3"/>
    <w:aliases w:val="Ju_H_Article"/>
    <w:basedOn w:val="Normalny"/>
    <w:next w:val="ECHRParaQuote"/>
    <w:uiPriority w:val="27"/>
    <w:qFormat/>
    <w:rsid w:val="006544C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6544C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544C4"/>
    <w:pPr>
      <w:ind w:left="567"/>
    </w:pPr>
  </w:style>
  <w:style w:type="paragraph" w:customStyle="1" w:styleId="ECHRTitle1">
    <w:name w:val="ECHR_Title_1"/>
    <w:aliases w:val="Ju_H_Head"/>
    <w:basedOn w:val="Normalny"/>
    <w:next w:val="Normalny"/>
    <w:uiPriority w:val="18"/>
    <w:qFormat/>
    <w:rsid w:val="006544C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6544C4"/>
    <w:pPr>
      <w:tabs>
        <w:tab w:val="center" w:pos="6407"/>
      </w:tabs>
      <w:spacing w:before="720"/>
      <w:jc w:val="right"/>
    </w:pPr>
  </w:style>
  <w:style w:type="paragraph" w:styleId="Tytu">
    <w:name w:val="Title"/>
    <w:basedOn w:val="Normalny"/>
    <w:next w:val="Normalny"/>
    <w:link w:val="TytuZnak"/>
    <w:uiPriority w:val="99"/>
    <w:semiHidden/>
    <w:qFormat/>
    <w:rsid w:val="0065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544C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semiHidden/>
    <w:qFormat/>
    <w:rsid w:val="006544C4"/>
    <w:pPr>
      <w:tabs>
        <w:tab w:val="clear" w:pos="357"/>
      </w:tabs>
      <w:outlineLvl w:val="1"/>
    </w:pPr>
    <w:rPr>
      <w:b/>
    </w:rPr>
  </w:style>
  <w:style w:type="character" w:customStyle="1" w:styleId="JUNAMES">
    <w:name w:val="JU_NAMES"/>
    <w:uiPriority w:val="17"/>
    <w:qFormat/>
    <w:rsid w:val="006544C4"/>
    <w:rPr>
      <w:caps w:val="0"/>
      <w:smallCaps/>
    </w:rPr>
  </w:style>
  <w:style w:type="character" w:customStyle="1" w:styleId="JuITMark">
    <w:name w:val="Ju_ITMark"/>
    <w:basedOn w:val="Domylnaczcionkaakapitu"/>
    <w:uiPriority w:val="38"/>
    <w:qFormat/>
    <w:rsid w:val="006544C4"/>
    <w:rPr>
      <w:vanish/>
      <w:color w:val="339966"/>
      <w:sz w:val="14"/>
    </w:rPr>
  </w:style>
  <w:style w:type="paragraph" w:customStyle="1" w:styleId="OpiTranslation">
    <w:name w:val="Opi_Translation"/>
    <w:basedOn w:val="Normalny"/>
    <w:next w:val="OpiPara"/>
    <w:uiPriority w:val="40"/>
    <w:semiHidden/>
    <w:qFormat/>
    <w:rsid w:val="006544C4"/>
    <w:pPr>
      <w:jc w:val="center"/>
      <w:outlineLvl w:val="0"/>
    </w:pPr>
    <w:rPr>
      <w:i/>
    </w:rPr>
  </w:style>
  <w:style w:type="paragraph" w:customStyle="1" w:styleId="JuCourt">
    <w:name w:val="Ju_Court"/>
    <w:basedOn w:val="Normalny"/>
    <w:next w:val="Normalny"/>
    <w:uiPriority w:val="16"/>
    <w:qFormat/>
    <w:rsid w:val="006544C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uiPriority w:val="19"/>
    <w:qFormat/>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Normalny"/>
    <w:uiPriority w:val="20"/>
    <w:qFormat/>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Normalny"/>
    <w:uiPriority w:val="21"/>
    <w:qFormat/>
    <w:rsid w:val="006544C4"/>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48"/>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48"/>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Normalny"/>
    <w:uiPriority w:val="22"/>
    <w:qFormat/>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Normalny"/>
    <w:uiPriority w:val="23"/>
    <w:qFormat/>
    <w:rsid w:val="006544C4"/>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Normalny"/>
    <w:uiPriority w:val="24"/>
    <w:qFormat/>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Normalny"/>
    <w:uiPriority w:val="25"/>
    <w:qFormat/>
    <w:rsid w:val="006544C4"/>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ny"/>
    <w:next w:val="Normalny"/>
    <w:uiPriority w:val="30"/>
    <w:qFormat/>
    <w:rsid w:val="006544C4"/>
    <w:pPr>
      <w:keepNext/>
      <w:keepLines/>
      <w:spacing w:before="240"/>
      <w:ind w:firstLine="284"/>
    </w:pPr>
  </w:style>
  <w:style w:type="paragraph" w:customStyle="1" w:styleId="DecList">
    <w:name w:val="Dec_List"/>
    <w:basedOn w:val="Normalny"/>
    <w:uiPriority w:val="9"/>
    <w:qFormat/>
    <w:rsid w:val="006544C4"/>
    <w:pPr>
      <w:spacing w:before="240"/>
      <w:ind w:left="284"/>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rPr>
  </w:style>
  <w:style w:type="paragraph" w:customStyle="1" w:styleId="ECHRDecisionBody">
    <w:name w:val="ECHR_Decision_Body"/>
    <w:aliases w:val="Ju_Judges"/>
    <w:basedOn w:val="Normalny"/>
    <w:uiPriority w:val="11"/>
    <w:qFormat/>
    <w:rsid w:val="006544C4"/>
    <w:pPr>
      <w:tabs>
        <w:tab w:val="left" w:pos="567"/>
        <w:tab w:val="left" w:pos="1134"/>
      </w:tabs>
      <w:jc w:val="left"/>
    </w:pPr>
  </w:style>
  <w:style w:type="character" w:customStyle="1" w:styleId="Nagwek5Znak">
    <w:name w:val="Nagłówek 5 Znak"/>
    <w:basedOn w:val="Domylnaczcionkaakapitu"/>
    <w:link w:val="Nagwek5"/>
    <w:uiPriority w:val="99"/>
    <w:semiHidden/>
    <w:rsid w:val="006544C4"/>
    <w:rPr>
      <w:rFonts w:asciiTheme="majorHAnsi" w:eastAsiaTheme="majorEastAsia" w:hAnsiTheme="majorHAnsi" w:cstheme="majorBidi"/>
      <w:b/>
      <w:bCs/>
      <w:color w:val="808080"/>
    </w:rPr>
  </w:style>
  <w:style w:type="paragraph" w:customStyle="1" w:styleId="JuList">
    <w:name w:val="Ju_List"/>
    <w:basedOn w:val="Normalny"/>
    <w:uiPriority w:val="28"/>
    <w:qFormat/>
    <w:rsid w:val="006544C4"/>
    <w:pPr>
      <w:ind w:left="340" w:hanging="340"/>
    </w:pPr>
  </w:style>
  <w:style w:type="paragraph" w:customStyle="1" w:styleId="JuLista">
    <w:name w:val="Ju_List_a"/>
    <w:basedOn w:val="JuList"/>
    <w:uiPriority w:val="28"/>
    <w:qFormat/>
    <w:rsid w:val="006544C4"/>
    <w:pPr>
      <w:ind w:left="346" w:firstLine="0"/>
    </w:pPr>
  </w:style>
  <w:style w:type="character" w:styleId="Wyrnieniedelikatne">
    <w:name w:val="Subtle Emphasis"/>
    <w:uiPriority w:val="99"/>
    <w:semiHidden/>
    <w:qFormat/>
    <w:rsid w:val="006544C4"/>
    <w:rPr>
      <w:i/>
      <w:iCs/>
    </w:rPr>
  </w:style>
  <w:style w:type="paragraph" w:customStyle="1" w:styleId="JuListi">
    <w:name w:val="Ju_List_i"/>
    <w:basedOn w:val="Normalny"/>
    <w:next w:val="JuLista"/>
    <w:uiPriority w:val="28"/>
    <w:qFormat/>
    <w:rsid w:val="006544C4"/>
    <w:pPr>
      <w:ind w:left="794"/>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semiHidden/>
    <w:qFormat/>
    <w:rsid w:val="006544C4"/>
    <w:pPr>
      <w:ind w:left="635" w:hanging="357"/>
      <w:outlineLvl w:val="2"/>
    </w:pPr>
  </w:style>
  <w:style w:type="paragraph" w:customStyle="1" w:styleId="OpiHa0">
    <w:name w:val="Opi_H_a"/>
    <w:basedOn w:val="ECHRHeading3"/>
    <w:uiPriority w:val="43"/>
    <w:semiHidden/>
    <w:qFormat/>
    <w:rsid w:val="006544C4"/>
    <w:pPr>
      <w:ind w:left="833" w:hanging="357"/>
      <w:outlineLvl w:val="3"/>
    </w:pPr>
    <w:rPr>
      <w:b/>
      <w:i w:val="0"/>
      <w:sz w:val="20"/>
    </w:rPr>
  </w:style>
  <w:style w:type="paragraph" w:customStyle="1" w:styleId="ECHRTitleCentre2">
    <w:name w:val="ECHR_Title_Centre_2"/>
    <w:aliases w:val="Dec_H_Case"/>
    <w:basedOn w:val="Normalny"/>
    <w:next w:val="Normalny"/>
    <w:uiPriority w:val="8"/>
    <w:qFormat/>
    <w:rsid w:val="006544C4"/>
    <w:pPr>
      <w:spacing w:after="240"/>
      <w:jc w:val="center"/>
      <w:outlineLvl w:val="0"/>
    </w:pPr>
    <w:rPr>
      <w:rFonts w:asciiTheme="majorHAnsi" w:hAnsiTheme="majorHAnsi"/>
    </w:rPr>
  </w:style>
  <w:style w:type="character" w:styleId="Uwydatnienie">
    <w:name w:val="Emphasis"/>
    <w:uiPriority w:val="99"/>
    <w:semiHidden/>
    <w:qFormat/>
    <w:rsid w:val="006544C4"/>
    <w:rPr>
      <w:b/>
      <w:bCs/>
      <w:i/>
      <w:iCs/>
      <w:spacing w:val="10"/>
      <w:bdr w:val="none" w:sz="0" w:space="0" w:color="auto"/>
      <w:shd w:val="clear" w:color="auto" w:fill="auto"/>
    </w:rPr>
  </w:style>
  <w:style w:type="paragraph" w:styleId="Stopka">
    <w:name w:val="footer"/>
    <w:basedOn w:val="Normalny"/>
    <w:link w:val="StopkaZnak"/>
    <w:uiPriority w:val="4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49"/>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Nagwek7Znak">
    <w:name w:val="Nagłówek 7 Znak"/>
    <w:basedOn w:val="Domylnaczcionkaakapitu"/>
    <w:link w:val="Nagwek7"/>
    <w:uiPriority w:val="99"/>
    <w:semiHidden/>
    <w:rsid w:val="006544C4"/>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544C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544C4"/>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6544C4"/>
    <w:rPr>
      <w:b/>
      <w:bCs/>
    </w:rPr>
  </w:style>
  <w:style w:type="paragraph" w:styleId="Cytatintensywny">
    <w:name w:val="Intense Quote"/>
    <w:basedOn w:val="Normalny"/>
    <w:next w:val="Normalny"/>
    <w:link w:val="CytatintensywnyZnak"/>
    <w:uiPriority w:val="99"/>
    <w:semiHidden/>
    <w:qFormat/>
    <w:rsid w:val="006544C4"/>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544C4"/>
    <w:rPr>
      <w:rFonts w:eastAsiaTheme="minorEastAsia"/>
      <w:b/>
      <w:bCs/>
      <w:i/>
      <w:iCs/>
      <w:lang w:bidi="en-US"/>
    </w:rPr>
  </w:style>
  <w:style w:type="character" w:styleId="Odwoanieintensywne">
    <w:name w:val="Intense Reference"/>
    <w:uiPriority w:val="99"/>
    <w:semiHidden/>
    <w:qFormat/>
    <w:rsid w:val="006544C4"/>
    <w:rPr>
      <w:smallCaps/>
      <w:spacing w:val="5"/>
      <w:u w:val="single"/>
    </w:rPr>
  </w:style>
  <w:style w:type="paragraph" w:styleId="Akapitzlist">
    <w:name w:val="List Paragraph"/>
    <w:basedOn w:val="Normalny"/>
    <w:uiPriority w:val="99"/>
    <w:semiHidden/>
    <w:qFormat/>
    <w:rsid w:val="006544C4"/>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544C4"/>
    <w:pPr>
      <w:spacing w:before="200"/>
      <w:ind w:left="360" w:right="360"/>
    </w:pPr>
    <w:rPr>
      <w:i/>
      <w:iCs/>
      <w:sz w:val="22"/>
      <w:lang w:bidi="en-US"/>
    </w:rPr>
  </w:style>
  <w:style w:type="character" w:customStyle="1" w:styleId="CytatZnak">
    <w:name w:val="Cytat Znak"/>
    <w:basedOn w:val="Domylnaczcionkaakapitu"/>
    <w:link w:val="Cytat"/>
    <w:uiPriority w:val="99"/>
    <w:semiHidden/>
    <w:rsid w:val="006544C4"/>
    <w:rPr>
      <w:rFonts w:eastAsiaTheme="minorEastAsia"/>
      <w:i/>
      <w:iCs/>
      <w:lang w:bidi="en-US"/>
    </w:rPr>
  </w:style>
  <w:style w:type="character" w:styleId="Odwoaniedelikatne">
    <w:name w:val="Subtle Reference"/>
    <w:uiPriority w:val="99"/>
    <w:semiHidden/>
    <w:qFormat/>
    <w:rsid w:val="006544C4"/>
    <w:rPr>
      <w:smallCaps/>
    </w:rPr>
  </w:style>
  <w:style w:type="table" w:styleId="Tabela-Siatka">
    <w:name w:val="Table Grid"/>
    <w:basedOn w:val="Standardowy"/>
    <w:uiPriority w:val="59"/>
    <w:semiHidden/>
    <w:rsid w:val="00941747"/>
    <w:rPr>
      <w:rFonts w:eastAsiaTheme="minorEastAsia"/>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6544C4"/>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OpiHi">
    <w:name w:val="Opi_H_i"/>
    <w:basedOn w:val="ECHRHeading4"/>
    <w:uiPriority w:val="44"/>
    <w:semiHidden/>
    <w:qFormat/>
    <w:rsid w:val="006544C4"/>
    <w:pPr>
      <w:ind w:left="1037" w:hanging="357"/>
      <w:outlineLvl w:val="4"/>
    </w:pPr>
    <w:rPr>
      <w:b w:val="0"/>
      <w:i/>
    </w:rPr>
  </w:style>
  <w:style w:type="paragraph" w:customStyle="1" w:styleId="DummyStyle">
    <w:name w:val="Dummy_Style"/>
    <w:basedOn w:val="Normalny"/>
    <w:semiHidden/>
    <w:qFormat/>
    <w:rsid w:val="006544C4"/>
    <w:rPr>
      <w:color w:val="00B050"/>
      <w:lang w:bidi="en-US"/>
    </w:rPr>
  </w:style>
  <w:style w:type="paragraph" w:styleId="Podtytu">
    <w:name w:val="Subtitle"/>
    <w:basedOn w:val="Normalny"/>
    <w:next w:val="Normalny"/>
    <w:link w:val="PodtytuZnak"/>
    <w:uiPriority w:val="99"/>
    <w:semiHidden/>
    <w:qFormat/>
    <w:rsid w:val="006544C4"/>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Para,Left,First line:  0 cm"/>
    <w:basedOn w:val="Normalny"/>
    <w:link w:val="JuParaChar"/>
    <w:uiPriority w:val="12"/>
    <w:qFormat/>
    <w:rsid w:val="004047FE"/>
    <w:pPr>
      <w:ind w:firstLine="284"/>
    </w:pPr>
  </w:style>
  <w:style w:type="character" w:customStyle="1" w:styleId="PodtytuZnak">
    <w:name w:val="Podtytuł Znak"/>
    <w:basedOn w:val="Domylnaczcionkaakapitu"/>
    <w:link w:val="Podtytu"/>
    <w:uiPriority w:val="99"/>
    <w:semiHidden/>
    <w:rsid w:val="006544C4"/>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Bezlisty"/>
    <w:uiPriority w:val="99"/>
    <w:semiHidden/>
    <w:unhideWhenUsed/>
    <w:rsid w:val="006544C4"/>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Bezlisty"/>
    <w:uiPriority w:val="99"/>
    <w:semiHidden/>
    <w:unhideWhenUsed/>
    <w:rsid w:val="006544C4"/>
    <w:pPr>
      <w:numPr>
        <w:numId w:val="13"/>
      </w:numPr>
    </w:pPr>
  </w:style>
  <w:style w:type="numbering" w:styleId="Artykusekcja">
    <w:name w:val="Outline List 3"/>
    <w:basedOn w:val="Bezlisty"/>
    <w:uiPriority w:val="99"/>
    <w:semiHidden/>
    <w:unhideWhenUsed/>
    <w:rsid w:val="006544C4"/>
    <w:pPr>
      <w:numPr>
        <w:numId w:val="14"/>
      </w:numPr>
    </w:p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ibliografia">
    <w:name w:val="Bibliography"/>
    <w:basedOn w:val="Normalny"/>
    <w:next w:val="Normalny"/>
    <w:uiPriority w:val="99"/>
    <w:semiHidden/>
    <w:rsid w:val="006544C4"/>
  </w:style>
  <w:style w:type="paragraph" w:styleId="Tekstblokowy">
    <w:name w:val="Block Text"/>
    <w:basedOn w:val="Normalny"/>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
    <w:name w:val="Body Text"/>
    <w:basedOn w:val="Normalny"/>
    <w:link w:val="TekstpodstawowyZnak"/>
    <w:uiPriority w:val="99"/>
    <w:semiHidden/>
    <w:rsid w:val="006544C4"/>
    <w:pPr>
      <w:spacing w:after="120"/>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Numerstrony">
    <w:name w:val="page number"/>
    <w:basedOn w:val="Domylnaczcionkaakapitu"/>
    <w:uiPriority w:val="99"/>
    <w:semiHidden/>
    <w:rsid w:val="006544C4"/>
    <w:rPr>
      <w:rFonts w:ascii="Times New Roman" w:hAnsi="Times New Roman" w:cs="Times New Roman"/>
      <w:sz w:val="18"/>
    </w:rPr>
  </w:style>
  <w:style w:type="character" w:styleId="Odwoaniedokomentarza">
    <w:name w:val="annotation reference"/>
    <w:basedOn w:val="Domylnaczcionkaakapitu"/>
    <w:uiPriority w:val="99"/>
    <w:semiHidden/>
    <w:rsid w:val="006544C4"/>
    <w:rPr>
      <w:sz w:val="16"/>
    </w:rPr>
  </w:style>
  <w:style w:type="paragraph" w:styleId="Tekstkomentarza">
    <w:name w:val="annotation text"/>
    <w:basedOn w:val="Normalny"/>
    <w:link w:val="TekstkomentarzaZnak"/>
    <w:semiHidden/>
    <w:rsid w:val="006544C4"/>
    <w:rPr>
      <w:sz w:val="20"/>
    </w:rPr>
  </w:style>
  <w:style w:type="character" w:customStyle="1" w:styleId="TekstkomentarzaZnak">
    <w:name w:val="Tekst komentarza Znak"/>
    <w:basedOn w:val="Domylnaczcionkaakapitu"/>
    <w:link w:val="Tekstkomentarza"/>
    <w:semiHidden/>
    <w:rsid w:val="006544C4"/>
    <w:rPr>
      <w:rFonts w:eastAsiaTheme="minorEastAsia"/>
      <w:sz w:val="20"/>
    </w:rPr>
  </w:style>
  <w:style w:type="paragraph" w:customStyle="1" w:styleId="JuSigned">
    <w:name w:val="Ju_Signed"/>
    <w:basedOn w:val="Normalny"/>
    <w:next w:val="JuParaLast"/>
    <w:uiPriority w:val="32"/>
    <w:qFormat/>
    <w:rsid w:val="006544C4"/>
    <w:pPr>
      <w:tabs>
        <w:tab w:val="center" w:pos="851"/>
        <w:tab w:val="center" w:pos="6407"/>
      </w:tabs>
      <w:spacing w:before="720"/>
      <w:jc w:val="left"/>
    </w:pPr>
  </w:style>
  <w:style w:type="paragraph" w:customStyle="1" w:styleId="JuTitle">
    <w:name w:val="Ju_Title"/>
    <w:basedOn w:val="Normalny"/>
    <w:next w:val="Normalny"/>
    <w:uiPriority w:val="3"/>
    <w:qFormat/>
    <w:rsid w:val="006544C4"/>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6544C4"/>
  </w:style>
  <w:style w:type="paragraph" w:styleId="Listapunktowana2">
    <w:name w:val="List Bullet 2"/>
    <w:basedOn w:val="Normalny"/>
    <w:uiPriority w:val="99"/>
    <w:semiHidden/>
    <w:rsid w:val="006544C4"/>
    <w:pPr>
      <w:numPr>
        <w:numId w:val="8"/>
      </w:numPr>
      <w:contextualSpacing/>
    </w:pPr>
  </w:style>
  <w:style w:type="paragraph" w:styleId="Listapunktowana3">
    <w:name w:val="List Bullet 3"/>
    <w:basedOn w:val="Normalny"/>
    <w:semiHidden/>
    <w:rsid w:val="006544C4"/>
    <w:pPr>
      <w:numPr>
        <w:numId w:val="9"/>
      </w:numPr>
      <w:contextualSpacing/>
    </w:pPr>
  </w:style>
  <w:style w:type="character" w:customStyle="1" w:styleId="TekstpodstawowyZnak">
    <w:name w:val="Tekst podstawowy Znak"/>
    <w:basedOn w:val="Domylnaczcionkaakapitu"/>
    <w:link w:val="Tekstpodstawowy"/>
    <w:uiPriority w:val="99"/>
    <w:semiHidden/>
    <w:rsid w:val="006544C4"/>
    <w:rPr>
      <w:rFonts w:eastAsiaTheme="minorEastAsia"/>
      <w:sz w:val="24"/>
    </w:rPr>
  </w:style>
  <w:style w:type="paragraph" w:styleId="Tekstpodstawowy2">
    <w:name w:val="Body Text 2"/>
    <w:basedOn w:val="Normalny"/>
    <w:link w:val="Tekstpodstawowy2Znak"/>
    <w:uiPriority w:val="99"/>
    <w:semiHidden/>
    <w:rsid w:val="006544C4"/>
    <w:pPr>
      <w:spacing w:after="120" w:line="480" w:lineRule="auto"/>
    </w:pPr>
  </w:style>
  <w:style w:type="character" w:customStyle="1" w:styleId="Tekstpodstawowy2Znak">
    <w:name w:val="Tekst podstawowy 2 Znak"/>
    <w:basedOn w:val="Domylnaczcionkaakapitu"/>
    <w:link w:val="Tekstpodstawowy2"/>
    <w:uiPriority w:val="99"/>
    <w:semiHidden/>
    <w:rsid w:val="006544C4"/>
    <w:rPr>
      <w:rFonts w:eastAsiaTheme="minorEastAsia"/>
      <w:sz w:val="24"/>
    </w:rPr>
  </w:style>
  <w:style w:type="paragraph" w:styleId="Tekstpodstawowy3">
    <w:name w:val="Body Text 3"/>
    <w:basedOn w:val="Normalny"/>
    <w:link w:val="Tekstpodstawowy3Znak"/>
    <w:uiPriority w:val="99"/>
    <w:semiHidden/>
    <w:rsid w:val="006544C4"/>
    <w:pPr>
      <w:spacing w:after="120"/>
    </w:pPr>
    <w:rPr>
      <w:sz w:val="16"/>
      <w:szCs w:val="16"/>
    </w:rPr>
  </w:style>
  <w:style w:type="character" w:customStyle="1" w:styleId="Tekstpodstawowy3Znak">
    <w:name w:val="Tekst podstawowy 3 Znak"/>
    <w:basedOn w:val="Domylnaczcionkaakapitu"/>
    <w:link w:val="Tekstpodstawowy3"/>
    <w:uiPriority w:val="99"/>
    <w:semiHidden/>
    <w:rsid w:val="006544C4"/>
    <w:rPr>
      <w:rFonts w:eastAsiaTheme="minorEastAsia"/>
      <w:sz w:val="16"/>
      <w:szCs w:val="16"/>
    </w:rPr>
  </w:style>
  <w:style w:type="paragraph" w:styleId="Tekstpodstawowyzwciciem">
    <w:name w:val="Body Text First Indent"/>
    <w:basedOn w:val="Tekstpodstawowy"/>
    <w:link w:val="TekstpodstawowyzwciciemZnak"/>
    <w:uiPriority w:val="99"/>
    <w:semiHidden/>
    <w:rsid w:val="006544C4"/>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6544C4"/>
    <w:rPr>
      <w:rFonts w:eastAsiaTheme="minorEastAsia"/>
      <w:sz w:val="24"/>
    </w:rPr>
  </w:style>
  <w:style w:type="paragraph" w:styleId="Tekstpodstawowywcity">
    <w:name w:val="Body Text Indent"/>
    <w:basedOn w:val="Normalny"/>
    <w:link w:val="TekstpodstawowywcityZnak"/>
    <w:uiPriority w:val="99"/>
    <w:semiHidden/>
    <w:rsid w:val="006544C4"/>
    <w:pPr>
      <w:spacing w:after="120"/>
      <w:ind w:left="283"/>
    </w:pPr>
  </w:style>
  <w:style w:type="character" w:customStyle="1" w:styleId="TekstpodstawowywcityZnak">
    <w:name w:val="Tekst podstawowy wcięty Znak"/>
    <w:basedOn w:val="Domylnaczcionkaakapitu"/>
    <w:link w:val="Tekstpodstawowywcity"/>
    <w:uiPriority w:val="99"/>
    <w:semiHidden/>
    <w:rsid w:val="006544C4"/>
    <w:rPr>
      <w:rFonts w:eastAsiaTheme="minorEastAsia"/>
      <w:sz w:val="24"/>
    </w:rPr>
  </w:style>
  <w:style w:type="paragraph" w:styleId="Tekstpodstawowyzwciciem2">
    <w:name w:val="Body Text First Indent 2"/>
    <w:basedOn w:val="Tekstpodstawowywcity"/>
    <w:link w:val="Tekstpodstawowyzwciciem2Znak"/>
    <w:uiPriority w:val="99"/>
    <w:semiHidden/>
    <w:rsid w:val="006544C4"/>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6544C4"/>
    <w:rPr>
      <w:rFonts w:eastAsiaTheme="minorEastAsia"/>
      <w:sz w:val="24"/>
    </w:rPr>
  </w:style>
  <w:style w:type="paragraph" w:styleId="Tekstpodstawowywcity2">
    <w:name w:val="Body Text Indent 2"/>
    <w:basedOn w:val="Normalny"/>
    <w:link w:val="Tekstpodstawowywcity2Znak"/>
    <w:uiPriority w:val="99"/>
    <w:semiHidden/>
    <w:rsid w:val="006544C4"/>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544C4"/>
    <w:rPr>
      <w:rFonts w:eastAsiaTheme="minorEastAsia"/>
      <w:sz w:val="24"/>
    </w:rPr>
  </w:style>
  <w:style w:type="paragraph" w:styleId="Tekstpodstawowywcity3">
    <w:name w:val="Body Text Indent 3"/>
    <w:basedOn w:val="Normalny"/>
    <w:link w:val="Tekstpodstawowywcity3Znak"/>
    <w:uiPriority w:val="99"/>
    <w:semiHidden/>
    <w:rsid w:val="006544C4"/>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544C4"/>
    <w:rPr>
      <w:rFonts w:eastAsiaTheme="minorEastAsia"/>
      <w:sz w:val="16"/>
      <w:szCs w:val="16"/>
    </w:rPr>
  </w:style>
  <w:style w:type="paragraph" w:styleId="Legenda">
    <w:name w:val="caption"/>
    <w:basedOn w:val="Normalny"/>
    <w:next w:val="Normalny"/>
    <w:uiPriority w:val="99"/>
    <w:semiHidden/>
    <w:qFormat/>
    <w:rsid w:val="006544C4"/>
    <w:pPr>
      <w:spacing w:after="200"/>
    </w:pPr>
    <w:rPr>
      <w:b/>
      <w:bCs/>
      <w:color w:val="0072BC" w:themeColor="accent1"/>
      <w:sz w:val="18"/>
      <w:szCs w:val="18"/>
    </w:rPr>
  </w:style>
  <w:style w:type="paragraph" w:styleId="Zwrotpoegnalny">
    <w:name w:val="Closing"/>
    <w:basedOn w:val="Normalny"/>
    <w:link w:val="ZwrotpoegnalnyZnak"/>
    <w:uiPriority w:val="99"/>
    <w:semiHidden/>
    <w:rsid w:val="006544C4"/>
    <w:pPr>
      <w:ind w:left="4252"/>
    </w:pPr>
  </w:style>
  <w:style w:type="character" w:customStyle="1" w:styleId="ZwrotpoegnalnyZnak">
    <w:name w:val="Zwrot pożegnalny Znak"/>
    <w:basedOn w:val="Domylnaczcionkaakapitu"/>
    <w:link w:val="Zwrotpoegnalny"/>
    <w:uiPriority w:val="99"/>
    <w:semiHidden/>
    <w:rsid w:val="006544C4"/>
    <w:rPr>
      <w:rFonts w:eastAsiaTheme="minorEastAsia"/>
      <w:sz w:val="24"/>
    </w:rPr>
  </w:style>
  <w:style w:type="table" w:styleId="Kolorowasiatka">
    <w:name w:val="Colorful Grid"/>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544C4"/>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544C4"/>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544C4"/>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544C4"/>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544C4"/>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544C4"/>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544C4"/>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544C4"/>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544C4"/>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544C4"/>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544C4"/>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544C4"/>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544C4"/>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rsid w:val="006544C4"/>
    <w:rPr>
      <w:b/>
      <w:bCs/>
      <w:szCs w:val="20"/>
    </w:rPr>
  </w:style>
  <w:style w:type="character" w:customStyle="1" w:styleId="TematkomentarzaZnak">
    <w:name w:val="Temat komentarza Znak"/>
    <w:basedOn w:val="TekstkomentarzaZnak"/>
    <w:link w:val="Tematkomentarza"/>
    <w:uiPriority w:val="99"/>
    <w:semiHidden/>
    <w:rsid w:val="006544C4"/>
    <w:rPr>
      <w:rFonts w:eastAsiaTheme="minorEastAsia"/>
      <w:b/>
      <w:bCs/>
      <w:sz w:val="20"/>
      <w:szCs w:val="20"/>
    </w:rPr>
  </w:style>
  <w:style w:type="table" w:styleId="Ciemnalista">
    <w:name w:val="Dark List"/>
    <w:basedOn w:val="Standardowy"/>
    <w:uiPriority w:val="70"/>
    <w:semiHidden/>
    <w:rsid w:val="006544C4"/>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544C4"/>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544C4"/>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544C4"/>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544C4"/>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544C4"/>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544C4"/>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6544C4"/>
  </w:style>
  <w:style w:type="character" w:customStyle="1" w:styleId="DataZnak">
    <w:name w:val="Data Znak"/>
    <w:basedOn w:val="Domylnaczcionkaakapitu"/>
    <w:link w:val="Data"/>
    <w:uiPriority w:val="99"/>
    <w:semiHidden/>
    <w:rsid w:val="006544C4"/>
    <w:rPr>
      <w:rFonts w:eastAsiaTheme="minorEastAsia"/>
      <w:sz w:val="24"/>
    </w:rPr>
  </w:style>
  <w:style w:type="paragraph" w:styleId="Mapadokumentu">
    <w:name w:val="Document Map"/>
    <w:basedOn w:val="Normalny"/>
    <w:link w:val="MapadokumentuZnak"/>
    <w:uiPriority w:val="99"/>
    <w:semiHidden/>
    <w:rsid w:val="006544C4"/>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544C4"/>
    <w:rPr>
      <w:rFonts w:ascii="Tahoma" w:eastAsiaTheme="minorEastAsia" w:hAnsi="Tahoma" w:cs="Tahoma"/>
      <w:sz w:val="16"/>
      <w:szCs w:val="16"/>
    </w:rPr>
  </w:style>
  <w:style w:type="paragraph" w:styleId="Podpise-mail">
    <w:name w:val="E-mail Signature"/>
    <w:basedOn w:val="Normalny"/>
    <w:link w:val="Podpise-mailZnak"/>
    <w:uiPriority w:val="99"/>
    <w:semiHidden/>
    <w:rsid w:val="006544C4"/>
  </w:style>
  <w:style w:type="character" w:customStyle="1" w:styleId="Podpise-mailZnak">
    <w:name w:val="Podpis e-mail Znak"/>
    <w:basedOn w:val="Domylnaczcionkaakapitu"/>
    <w:link w:val="Podpise-mail"/>
    <w:uiPriority w:val="99"/>
    <w:semiHidden/>
    <w:rsid w:val="006544C4"/>
    <w:rPr>
      <w:rFonts w:eastAsiaTheme="minorEastAsia"/>
      <w:sz w:val="24"/>
    </w:rPr>
  </w:style>
  <w:style w:type="character" w:styleId="Odwoanieprzypisukocowego">
    <w:name w:val="endnote reference"/>
    <w:basedOn w:val="Domylnaczcionkaakapitu"/>
    <w:uiPriority w:val="99"/>
    <w:semiHidden/>
    <w:rsid w:val="006544C4"/>
    <w:rPr>
      <w:vertAlign w:val="superscript"/>
    </w:rPr>
  </w:style>
  <w:style w:type="paragraph" w:styleId="Tekstprzypisukocowego">
    <w:name w:val="endnote text"/>
    <w:basedOn w:val="Normalny"/>
    <w:link w:val="TekstprzypisukocowegoZnak"/>
    <w:uiPriority w:val="99"/>
    <w:semiHidden/>
    <w:rsid w:val="006544C4"/>
    <w:rPr>
      <w:sz w:val="20"/>
      <w:szCs w:val="20"/>
    </w:rPr>
  </w:style>
  <w:style w:type="character" w:customStyle="1" w:styleId="TekstprzypisukocowegoZnak">
    <w:name w:val="Tekst przypisu końcowego Znak"/>
    <w:basedOn w:val="Domylnaczcionkaakapitu"/>
    <w:link w:val="Tekstprzypisukocowego"/>
    <w:uiPriority w:val="99"/>
    <w:semiHidden/>
    <w:rsid w:val="006544C4"/>
    <w:rPr>
      <w:rFonts w:eastAsiaTheme="minorEastAsia"/>
      <w:sz w:val="20"/>
      <w:szCs w:val="20"/>
    </w:rPr>
  </w:style>
  <w:style w:type="paragraph" w:styleId="Adresnakopercie">
    <w:name w:val="envelope address"/>
    <w:basedOn w:val="Normalny"/>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rsid w:val="006544C4"/>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6544C4"/>
    <w:rPr>
      <w:color w:val="7030A0" w:themeColor="followedHyperlink"/>
      <w:u w:val="single"/>
    </w:rPr>
  </w:style>
  <w:style w:type="character" w:styleId="HTML-akronim">
    <w:name w:val="HTML Acronym"/>
    <w:basedOn w:val="Domylnaczcionkaakapitu"/>
    <w:uiPriority w:val="99"/>
    <w:semiHidden/>
    <w:rsid w:val="006544C4"/>
  </w:style>
  <w:style w:type="paragraph" w:styleId="HTML-adres">
    <w:name w:val="HTML Address"/>
    <w:basedOn w:val="Normalny"/>
    <w:link w:val="HTML-adresZnak"/>
    <w:uiPriority w:val="99"/>
    <w:semiHidden/>
    <w:rsid w:val="006544C4"/>
    <w:rPr>
      <w:i/>
      <w:iCs/>
    </w:rPr>
  </w:style>
  <w:style w:type="character" w:customStyle="1" w:styleId="HTML-adresZnak">
    <w:name w:val="HTML - adres Znak"/>
    <w:basedOn w:val="Domylnaczcionkaakapitu"/>
    <w:link w:val="HTML-adres"/>
    <w:uiPriority w:val="99"/>
    <w:semiHidden/>
    <w:rsid w:val="006544C4"/>
    <w:rPr>
      <w:rFonts w:eastAsiaTheme="minorEastAsia"/>
      <w:i/>
      <w:iCs/>
      <w:sz w:val="24"/>
    </w:rPr>
  </w:style>
  <w:style w:type="character" w:styleId="HTML-cytat">
    <w:name w:val="HTML Cite"/>
    <w:basedOn w:val="Domylnaczcionkaakapitu"/>
    <w:uiPriority w:val="99"/>
    <w:semiHidden/>
    <w:rsid w:val="006544C4"/>
    <w:rPr>
      <w:i/>
      <w:iCs/>
    </w:rPr>
  </w:style>
  <w:style w:type="character" w:styleId="HTML-kod">
    <w:name w:val="HTML Code"/>
    <w:basedOn w:val="Domylnaczcionkaakapitu"/>
    <w:uiPriority w:val="99"/>
    <w:semiHidden/>
    <w:rsid w:val="006544C4"/>
    <w:rPr>
      <w:rFonts w:ascii="Consolas" w:hAnsi="Consolas" w:cs="Consolas"/>
      <w:sz w:val="20"/>
      <w:szCs w:val="20"/>
    </w:rPr>
  </w:style>
  <w:style w:type="character" w:styleId="HTML-definicja">
    <w:name w:val="HTML Definition"/>
    <w:basedOn w:val="Domylnaczcionkaakapitu"/>
    <w:uiPriority w:val="99"/>
    <w:semiHidden/>
    <w:rsid w:val="006544C4"/>
    <w:rPr>
      <w:i/>
      <w:iCs/>
    </w:rPr>
  </w:style>
  <w:style w:type="character" w:styleId="HTML-klawiatura">
    <w:name w:val="HTML Keyboard"/>
    <w:basedOn w:val="Domylnaczcionkaakapitu"/>
    <w:uiPriority w:val="99"/>
    <w:semiHidden/>
    <w:rsid w:val="006544C4"/>
    <w:rPr>
      <w:rFonts w:ascii="Consolas" w:hAnsi="Consolas" w:cs="Consolas"/>
      <w:sz w:val="20"/>
      <w:szCs w:val="20"/>
    </w:rPr>
  </w:style>
  <w:style w:type="paragraph" w:styleId="HTML-wstpniesformatowany">
    <w:name w:val="HTML Preformatted"/>
    <w:basedOn w:val="Normalny"/>
    <w:link w:val="HTML-wstpniesformatowanyZnak"/>
    <w:uiPriority w:val="99"/>
    <w:semiHidden/>
    <w:rsid w:val="006544C4"/>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6544C4"/>
    <w:rPr>
      <w:rFonts w:ascii="Consolas" w:eastAsiaTheme="minorEastAsia" w:hAnsi="Consolas" w:cs="Consolas"/>
      <w:sz w:val="20"/>
      <w:szCs w:val="20"/>
    </w:rPr>
  </w:style>
  <w:style w:type="character" w:styleId="HTML-przykad">
    <w:name w:val="HTML Sample"/>
    <w:basedOn w:val="Domylnaczcionkaakapitu"/>
    <w:uiPriority w:val="99"/>
    <w:semiHidden/>
    <w:rsid w:val="006544C4"/>
    <w:rPr>
      <w:rFonts w:ascii="Consolas" w:hAnsi="Consolas" w:cs="Consolas"/>
      <w:sz w:val="24"/>
      <w:szCs w:val="24"/>
    </w:rPr>
  </w:style>
  <w:style w:type="character" w:styleId="HTML-staaszeroko">
    <w:name w:val="HTML Typewriter"/>
    <w:basedOn w:val="Domylnaczcionkaakapitu"/>
    <w:uiPriority w:val="99"/>
    <w:semiHidden/>
    <w:rsid w:val="006544C4"/>
    <w:rPr>
      <w:rFonts w:ascii="Consolas" w:hAnsi="Consolas" w:cs="Consolas"/>
      <w:sz w:val="20"/>
      <w:szCs w:val="20"/>
    </w:rPr>
  </w:style>
  <w:style w:type="character" w:styleId="HTML-zmienna">
    <w:name w:val="HTML Variable"/>
    <w:basedOn w:val="Domylnaczcionkaakapitu"/>
    <w:uiPriority w:val="99"/>
    <w:semiHidden/>
    <w:rsid w:val="006544C4"/>
    <w:rPr>
      <w:i/>
      <w:iCs/>
    </w:rPr>
  </w:style>
  <w:style w:type="paragraph" w:styleId="Indeks1">
    <w:name w:val="index 1"/>
    <w:basedOn w:val="Normalny"/>
    <w:next w:val="Normalny"/>
    <w:autoRedefine/>
    <w:uiPriority w:val="99"/>
    <w:semiHidden/>
    <w:rsid w:val="006544C4"/>
    <w:pPr>
      <w:ind w:left="240" w:hanging="240"/>
    </w:pPr>
  </w:style>
  <w:style w:type="paragraph" w:styleId="Indeks2">
    <w:name w:val="index 2"/>
    <w:basedOn w:val="Normalny"/>
    <w:next w:val="Normalny"/>
    <w:autoRedefine/>
    <w:uiPriority w:val="99"/>
    <w:semiHidden/>
    <w:rsid w:val="006544C4"/>
    <w:pPr>
      <w:ind w:left="480" w:hanging="240"/>
    </w:pPr>
  </w:style>
  <w:style w:type="paragraph" w:styleId="Indeks3">
    <w:name w:val="index 3"/>
    <w:basedOn w:val="Normalny"/>
    <w:next w:val="Normalny"/>
    <w:autoRedefine/>
    <w:uiPriority w:val="99"/>
    <w:semiHidden/>
    <w:rsid w:val="006544C4"/>
    <w:pPr>
      <w:ind w:left="720" w:hanging="240"/>
    </w:pPr>
  </w:style>
  <w:style w:type="paragraph" w:styleId="Indeks4">
    <w:name w:val="index 4"/>
    <w:basedOn w:val="Normalny"/>
    <w:next w:val="Normalny"/>
    <w:autoRedefine/>
    <w:uiPriority w:val="99"/>
    <w:semiHidden/>
    <w:rsid w:val="006544C4"/>
    <w:pPr>
      <w:ind w:left="960" w:hanging="240"/>
    </w:pPr>
  </w:style>
  <w:style w:type="paragraph" w:styleId="Indeks5">
    <w:name w:val="index 5"/>
    <w:basedOn w:val="Normalny"/>
    <w:next w:val="Normalny"/>
    <w:autoRedefine/>
    <w:uiPriority w:val="99"/>
    <w:semiHidden/>
    <w:rsid w:val="006544C4"/>
    <w:pPr>
      <w:ind w:left="1200" w:hanging="240"/>
    </w:pPr>
  </w:style>
  <w:style w:type="paragraph" w:styleId="Indeks6">
    <w:name w:val="index 6"/>
    <w:basedOn w:val="Normalny"/>
    <w:next w:val="Normalny"/>
    <w:autoRedefine/>
    <w:uiPriority w:val="99"/>
    <w:semiHidden/>
    <w:rsid w:val="006544C4"/>
    <w:pPr>
      <w:ind w:left="1440" w:hanging="240"/>
    </w:pPr>
  </w:style>
  <w:style w:type="paragraph" w:styleId="Indeks7">
    <w:name w:val="index 7"/>
    <w:basedOn w:val="Normalny"/>
    <w:next w:val="Normalny"/>
    <w:autoRedefine/>
    <w:uiPriority w:val="99"/>
    <w:semiHidden/>
    <w:rsid w:val="006544C4"/>
    <w:pPr>
      <w:ind w:left="1680" w:hanging="240"/>
    </w:pPr>
  </w:style>
  <w:style w:type="paragraph" w:styleId="Indeks8">
    <w:name w:val="index 8"/>
    <w:basedOn w:val="Normalny"/>
    <w:next w:val="Normalny"/>
    <w:autoRedefine/>
    <w:uiPriority w:val="99"/>
    <w:semiHidden/>
    <w:rsid w:val="006544C4"/>
    <w:pPr>
      <w:ind w:left="1920" w:hanging="240"/>
    </w:pPr>
  </w:style>
  <w:style w:type="paragraph" w:styleId="Indeks9">
    <w:name w:val="index 9"/>
    <w:basedOn w:val="Normalny"/>
    <w:next w:val="Normalny"/>
    <w:autoRedefine/>
    <w:uiPriority w:val="99"/>
    <w:semiHidden/>
    <w:rsid w:val="006544C4"/>
    <w:pPr>
      <w:ind w:left="2160" w:hanging="240"/>
    </w:pPr>
  </w:style>
  <w:style w:type="paragraph" w:styleId="Nagwekindeksu">
    <w:name w:val="index heading"/>
    <w:basedOn w:val="Normalny"/>
    <w:next w:val="Indeks1"/>
    <w:uiPriority w:val="99"/>
    <w:semiHidden/>
    <w:rsid w:val="006544C4"/>
    <w:rPr>
      <w:rFonts w:asciiTheme="majorHAnsi" w:eastAsiaTheme="majorEastAsia" w:hAnsiTheme="majorHAnsi" w:cstheme="majorBidi"/>
      <w:b/>
      <w:bCs/>
    </w:rPr>
  </w:style>
  <w:style w:type="table" w:styleId="Jasnasiatka">
    <w:name w:val="Light Grid"/>
    <w:basedOn w:val="Standardowy"/>
    <w:uiPriority w:val="62"/>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544C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544C4"/>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544C4"/>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544C4"/>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544C4"/>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544C4"/>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544C4"/>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544C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544C4"/>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544C4"/>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544C4"/>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544C4"/>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544C4"/>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544C4"/>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6544C4"/>
  </w:style>
  <w:style w:type="paragraph" w:styleId="Lista">
    <w:name w:val="List"/>
    <w:basedOn w:val="Normalny"/>
    <w:uiPriority w:val="99"/>
    <w:semiHidden/>
    <w:rsid w:val="006544C4"/>
    <w:pPr>
      <w:ind w:left="283" w:hanging="283"/>
      <w:contextualSpacing/>
    </w:pPr>
  </w:style>
  <w:style w:type="paragraph" w:styleId="Lista2">
    <w:name w:val="List 2"/>
    <w:basedOn w:val="Normalny"/>
    <w:uiPriority w:val="99"/>
    <w:semiHidden/>
    <w:rsid w:val="006544C4"/>
    <w:pPr>
      <w:ind w:left="566" w:hanging="283"/>
      <w:contextualSpacing/>
    </w:pPr>
  </w:style>
  <w:style w:type="paragraph" w:styleId="Lista3">
    <w:name w:val="List 3"/>
    <w:basedOn w:val="Normalny"/>
    <w:uiPriority w:val="99"/>
    <w:semiHidden/>
    <w:rsid w:val="006544C4"/>
    <w:pPr>
      <w:ind w:left="849" w:hanging="283"/>
      <w:contextualSpacing/>
    </w:pPr>
  </w:style>
  <w:style w:type="paragraph" w:styleId="Lista4">
    <w:name w:val="List 4"/>
    <w:basedOn w:val="Normalny"/>
    <w:uiPriority w:val="99"/>
    <w:semiHidden/>
    <w:rsid w:val="006544C4"/>
    <w:pPr>
      <w:ind w:left="1132" w:hanging="283"/>
      <w:contextualSpacing/>
    </w:pPr>
  </w:style>
  <w:style w:type="paragraph" w:styleId="Lista5">
    <w:name w:val="List 5"/>
    <w:basedOn w:val="Normalny"/>
    <w:uiPriority w:val="99"/>
    <w:semiHidden/>
    <w:rsid w:val="006544C4"/>
    <w:pPr>
      <w:ind w:left="1415" w:hanging="283"/>
      <w:contextualSpacing/>
    </w:pPr>
  </w:style>
  <w:style w:type="paragraph" w:styleId="Listapunktowana">
    <w:name w:val="List Bullet"/>
    <w:basedOn w:val="Normalny"/>
    <w:uiPriority w:val="99"/>
    <w:semiHidden/>
    <w:rsid w:val="006544C4"/>
    <w:pPr>
      <w:numPr>
        <w:numId w:val="15"/>
      </w:numPr>
      <w:contextualSpacing/>
    </w:pPr>
  </w:style>
  <w:style w:type="paragraph" w:styleId="Listapunktowana4">
    <w:name w:val="List Bullet 4"/>
    <w:basedOn w:val="Normalny"/>
    <w:uiPriority w:val="99"/>
    <w:semiHidden/>
    <w:rsid w:val="006544C4"/>
    <w:pPr>
      <w:numPr>
        <w:numId w:val="16"/>
      </w:numPr>
      <w:contextualSpacing/>
    </w:pPr>
  </w:style>
  <w:style w:type="paragraph" w:styleId="Listapunktowana5">
    <w:name w:val="List Bullet 5"/>
    <w:basedOn w:val="Normalny"/>
    <w:uiPriority w:val="99"/>
    <w:semiHidden/>
    <w:rsid w:val="006544C4"/>
    <w:pPr>
      <w:numPr>
        <w:numId w:val="17"/>
      </w:numPr>
      <w:contextualSpacing/>
    </w:pPr>
  </w:style>
  <w:style w:type="paragraph" w:styleId="Lista-kontynuacja">
    <w:name w:val="List Continue"/>
    <w:basedOn w:val="Normalny"/>
    <w:uiPriority w:val="99"/>
    <w:semiHidden/>
    <w:rsid w:val="006544C4"/>
    <w:pPr>
      <w:spacing w:after="120"/>
      <w:ind w:left="283"/>
      <w:contextualSpacing/>
    </w:pPr>
  </w:style>
  <w:style w:type="paragraph" w:styleId="Lista-kontynuacja2">
    <w:name w:val="List Continue 2"/>
    <w:basedOn w:val="Normalny"/>
    <w:uiPriority w:val="99"/>
    <w:semiHidden/>
    <w:rsid w:val="006544C4"/>
    <w:pPr>
      <w:spacing w:after="120"/>
      <w:ind w:left="566"/>
      <w:contextualSpacing/>
    </w:pPr>
  </w:style>
  <w:style w:type="paragraph" w:styleId="Lista-kontynuacja3">
    <w:name w:val="List Continue 3"/>
    <w:basedOn w:val="Normalny"/>
    <w:uiPriority w:val="99"/>
    <w:semiHidden/>
    <w:rsid w:val="006544C4"/>
    <w:pPr>
      <w:spacing w:after="120"/>
      <w:ind w:left="849"/>
      <w:contextualSpacing/>
    </w:pPr>
  </w:style>
  <w:style w:type="paragraph" w:styleId="Lista-kontynuacja4">
    <w:name w:val="List Continue 4"/>
    <w:basedOn w:val="Normalny"/>
    <w:uiPriority w:val="99"/>
    <w:semiHidden/>
    <w:rsid w:val="006544C4"/>
    <w:pPr>
      <w:spacing w:after="120"/>
      <w:ind w:left="1132"/>
      <w:contextualSpacing/>
    </w:pPr>
  </w:style>
  <w:style w:type="paragraph" w:styleId="Lista-kontynuacja5">
    <w:name w:val="List Continue 5"/>
    <w:basedOn w:val="Normalny"/>
    <w:uiPriority w:val="99"/>
    <w:semiHidden/>
    <w:rsid w:val="006544C4"/>
    <w:pPr>
      <w:spacing w:after="120"/>
      <w:ind w:left="1415"/>
      <w:contextualSpacing/>
    </w:pPr>
  </w:style>
  <w:style w:type="paragraph" w:styleId="Listanumerowana">
    <w:name w:val="List Number"/>
    <w:basedOn w:val="Normalny"/>
    <w:uiPriority w:val="99"/>
    <w:semiHidden/>
    <w:rsid w:val="006544C4"/>
    <w:pPr>
      <w:numPr>
        <w:numId w:val="18"/>
      </w:numPr>
      <w:contextualSpacing/>
    </w:pPr>
  </w:style>
  <w:style w:type="paragraph" w:styleId="Listanumerowana2">
    <w:name w:val="List Number 2"/>
    <w:basedOn w:val="Normalny"/>
    <w:uiPriority w:val="99"/>
    <w:semiHidden/>
    <w:rsid w:val="006544C4"/>
    <w:pPr>
      <w:numPr>
        <w:numId w:val="19"/>
      </w:numPr>
      <w:contextualSpacing/>
    </w:pPr>
  </w:style>
  <w:style w:type="paragraph" w:styleId="Listanumerowana3">
    <w:name w:val="List Number 3"/>
    <w:basedOn w:val="Normalny"/>
    <w:uiPriority w:val="99"/>
    <w:semiHidden/>
    <w:rsid w:val="006544C4"/>
    <w:pPr>
      <w:numPr>
        <w:numId w:val="20"/>
      </w:numPr>
      <w:contextualSpacing/>
    </w:pPr>
  </w:style>
  <w:style w:type="paragraph" w:styleId="Listanumerowana4">
    <w:name w:val="List Number 4"/>
    <w:basedOn w:val="Normalny"/>
    <w:uiPriority w:val="99"/>
    <w:semiHidden/>
    <w:rsid w:val="006544C4"/>
    <w:pPr>
      <w:numPr>
        <w:numId w:val="21"/>
      </w:numPr>
      <w:contextualSpacing/>
    </w:pPr>
  </w:style>
  <w:style w:type="paragraph" w:styleId="Listanumerowana5">
    <w:name w:val="List Number 5"/>
    <w:basedOn w:val="Normalny"/>
    <w:uiPriority w:val="99"/>
    <w:semiHidden/>
    <w:rsid w:val="006544C4"/>
    <w:pPr>
      <w:numPr>
        <w:numId w:val="22"/>
      </w:numPr>
      <w:contextualSpacing/>
    </w:pPr>
  </w:style>
  <w:style w:type="paragraph" w:styleId="Tekstmakra">
    <w:name w:val="macro"/>
    <w:link w:val="TekstmakraZnak"/>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6544C4"/>
    <w:rPr>
      <w:rFonts w:ascii="Consolas" w:eastAsiaTheme="minorEastAsia" w:hAnsi="Consolas" w:cs="Consolas"/>
      <w:sz w:val="20"/>
      <w:szCs w:val="20"/>
    </w:rPr>
  </w:style>
  <w:style w:type="table" w:styleId="redniasiatka1">
    <w:name w:val="Medium Grid 1"/>
    <w:basedOn w:val="Standardowy"/>
    <w:uiPriority w:val="67"/>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544C4"/>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544C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544C4"/>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544C4"/>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544C4"/>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544C4"/>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544C4"/>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544C4"/>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544C4"/>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544C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544C4"/>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544C4"/>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544C4"/>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544C4"/>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544C4"/>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544C4"/>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544C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6544C4"/>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6544C4"/>
    <w:rPr>
      <w:rFonts w:ascii="Times New Roman" w:hAnsi="Times New Roman" w:cs="Times New Roman"/>
      <w:szCs w:val="24"/>
    </w:rPr>
  </w:style>
  <w:style w:type="paragraph" w:styleId="Wcicienormalne">
    <w:name w:val="Normal Indent"/>
    <w:basedOn w:val="Normalny"/>
    <w:uiPriority w:val="99"/>
    <w:semiHidden/>
    <w:rsid w:val="006544C4"/>
    <w:pPr>
      <w:ind w:left="720"/>
    </w:pPr>
  </w:style>
  <w:style w:type="paragraph" w:styleId="Nagweknotatki">
    <w:name w:val="Note Heading"/>
    <w:basedOn w:val="Normalny"/>
    <w:next w:val="Normalny"/>
    <w:link w:val="NagweknotatkiZnak"/>
    <w:uiPriority w:val="99"/>
    <w:semiHidden/>
    <w:rsid w:val="006544C4"/>
  </w:style>
  <w:style w:type="character" w:customStyle="1" w:styleId="NagweknotatkiZnak">
    <w:name w:val="Nagłówek notatki Znak"/>
    <w:basedOn w:val="Domylnaczcionkaakapitu"/>
    <w:link w:val="Nagweknotatki"/>
    <w:uiPriority w:val="99"/>
    <w:semiHidden/>
    <w:rsid w:val="006544C4"/>
    <w:rPr>
      <w:rFonts w:eastAsiaTheme="minorEastAsia"/>
      <w:sz w:val="24"/>
    </w:rPr>
  </w:style>
  <w:style w:type="character" w:styleId="Tekstzastpczy">
    <w:name w:val="Placeholder Text"/>
    <w:basedOn w:val="Domylnaczcionkaakapitu"/>
    <w:uiPriority w:val="99"/>
    <w:semiHidden/>
    <w:rsid w:val="006544C4"/>
    <w:rPr>
      <w:color w:val="808080"/>
    </w:rPr>
  </w:style>
  <w:style w:type="paragraph" w:styleId="Zwykytekst">
    <w:name w:val="Plain Text"/>
    <w:basedOn w:val="Normalny"/>
    <w:link w:val="ZwykytekstZnak"/>
    <w:uiPriority w:val="99"/>
    <w:semiHidden/>
    <w:rsid w:val="006544C4"/>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6544C4"/>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6544C4"/>
  </w:style>
  <w:style w:type="character" w:customStyle="1" w:styleId="ZwrotgrzecznociowyZnak">
    <w:name w:val="Zwrot grzecznościowy Znak"/>
    <w:basedOn w:val="Domylnaczcionkaakapitu"/>
    <w:link w:val="Zwrotgrzecznociowy"/>
    <w:uiPriority w:val="99"/>
    <w:semiHidden/>
    <w:rsid w:val="006544C4"/>
    <w:rPr>
      <w:rFonts w:eastAsiaTheme="minorEastAsia"/>
      <w:sz w:val="24"/>
    </w:rPr>
  </w:style>
  <w:style w:type="paragraph" w:styleId="Podpis">
    <w:name w:val="Signature"/>
    <w:basedOn w:val="Normalny"/>
    <w:link w:val="PodpisZnak"/>
    <w:uiPriority w:val="99"/>
    <w:semiHidden/>
    <w:rsid w:val="006544C4"/>
    <w:pPr>
      <w:ind w:left="4252"/>
    </w:pPr>
  </w:style>
  <w:style w:type="character" w:customStyle="1" w:styleId="PodpisZnak">
    <w:name w:val="Podpis Znak"/>
    <w:basedOn w:val="Domylnaczcionkaakapitu"/>
    <w:link w:val="Podpis"/>
    <w:uiPriority w:val="99"/>
    <w:semiHidden/>
    <w:rsid w:val="006544C4"/>
    <w:rPr>
      <w:rFonts w:eastAsiaTheme="minorEastAsia"/>
      <w:sz w:val="24"/>
    </w:rPr>
  </w:style>
  <w:style w:type="table" w:styleId="Tabela-Efekty3W1">
    <w:name w:val="Table 3D effects 1"/>
    <w:basedOn w:val="Standardowy"/>
    <w:uiPriority w:val="99"/>
    <w:semiHidden/>
    <w:unhideWhenUsed/>
    <w:rsid w:val="006544C4"/>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6544C4"/>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6544C4"/>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544C4"/>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544C4"/>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544C4"/>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544C4"/>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544C4"/>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544C4"/>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544C4"/>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544C4"/>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544C4"/>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544C4"/>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544C4"/>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544C4"/>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544C4"/>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544C4"/>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544C4"/>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544C4"/>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544C4"/>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544C4"/>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544C4"/>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544C4"/>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544C4"/>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544C4"/>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544C4"/>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6544C4"/>
    <w:pPr>
      <w:ind w:left="240" w:hanging="240"/>
    </w:pPr>
  </w:style>
  <w:style w:type="paragraph" w:styleId="Spisilustracji">
    <w:name w:val="table of figures"/>
    <w:basedOn w:val="Normalny"/>
    <w:next w:val="Normalny"/>
    <w:uiPriority w:val="99"/>
    <w:semiHidden/>
    <w:rsid w:val="006544C4"/>
  </w:style>
  <w:style w:type="table" w:styleId="Tabela-Profesjonalny">
    <w:name w:val="Table Professional"/>
    <w:basedOn w:val="Standardowy"/>
    <w:uiPriority w:val="99"/>
    <w:semiHidden/>
    <w:unhideWhenUsed/>
    <w:rsid w:val="006544C4"/>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544C4"/>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544C4"/>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544C4"/>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544C4"/>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544C4"/>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544C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544C4"/>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544C4"/>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544C4"/>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544C4"/>
    <w:pPr>
      <w:spacing w:after="100"/>
      <w:ind w:left="1200"/>
    </w:pPr>
  </w:style>
  <w:style w:type="paragraph" w:styleId="Spistreci7">
    <w:name w:val="toc 7"/>
    <w:basedOn w:val="Normalny"/>
    <w:next w:val="Normalny"/>
    <w:autoRedefine/>
    <w:uiPriority w:val="99"/>
    <w:semiHidden/>
    <w:rsid w:val="006544C4"/>
    <w:pPr>
      <w:spacing w:after="100"/>
      <w:ind w:left="1440"/>
    </w:pPr>
  </w:style>
  <w:style w:type="paragraph" w:styleId="Spistreci8">
    <w:name w:val="toc 8"/>
    <w:basedOn w:val="Normalny"/>
    <w:next w:val="Normalny"/>
    <w:autoRedefine/>
    <w:uiPriority w:val="99"/>
    <w:semiHidden/>
    <w:rsid w:val="006544C4"/>
    <w:pPr>
      <w:spacing w:after="100"/>
      <w:ind w:left="1680"/>
    </w:pPr>
  </w:style>
  <w:style w:type="paragraph" w:styleId="Spistreci9">
    <w:name w:val="toc 9"/>
    <w:basedOn w:val="Normalny"/>
    <w:next w:val="Normalny"/>
    <w:autoRedefine/>
    <w:uiPriority w:val="99"/>
    <w:semiHidden/>
    <w:rsid w:val="006544C4"/>
    <w:pPr>
      <w:spacing w:after="100"/>
      <w:ind w:left="1920"/>
    </w:pPr>
  </w:style>
  <w:style w:type="character" w:customStyle="1" w:styleId="sb8d990e2">
    <w:name w:val="sb8d990e2"/>
    <w:basedOn w:val="Domylnaczcionkaakapitu"/>
    <w:rsid w:val="00934A97"/>
  </w:style>
  <w:style w:type="character" w:customStyle="1" w:styleId="JuParaChar">
    <w:name w:val="Ju_Para Char"/>
    <w:basedOn w:val="Domylnaczcionkaakapitu"/>
    <w:link w:val="ECHRPara"/>
    <w:uiPriority w:val="12"/>
    <w:rsid w:val="004C0798"/>
    <w:rPr>
      <w:rFonts w:eastAsiaTheme="minorEastAsia"/>
      <w:sz w:val="24"/>
    </w:rPr>
  </w:style>
  <w:style w:type="character" w:customStyle="1" w:styleId="JuQuotChar1">
    <w:name w:val="Ju_Quot Char1"/>
    <w:link w:val="ECHRParaQuote"/>
    <w:uiPriority w:val="14"/>
    <w:locked/>
    <w:rsid w:val="004C0798"/>
    <w:rPr>
      <w:rFonts w:eastAsiaTheme="minorEastAsia"/>
      <w:sz w:val="20"/>
    </w:rPr>
  </w:style>
  <w:style w:type="character" w:customStyle="1" w:styleId="JuParaCar">
    <w:name w:val="Ju_Para Car"/>
    <w:locked/>
    <w:rsid w:val="004C0798"/>
    <w:rPr>
      <w:rFonts w:ascii="Times New Roman" w:hAnsi="Times New Roman"/>
      <w:sz w:val="20"/>
      <w:lang w:val="x-none" w:eastAsia="fr-FR"/>
    </w:rPr>
  </w:style>
  <w:style w:type="character" w:customStyle="1" w:styleId="ju-005fpara--char">
    <w:name w:val="ju-005fpara--char"/>
    <w:basedOn w:val="Domylnaczcionkaakapitu"/>
    <w:rsid w:val="004C07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F68C0C-A3B1-4C7F-9928-71E7925F26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2EE79F-4591-4301-9F30-C4614BF956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3AAB3CE-259F-4B0A-B52F-AC0B6E812059}">
  <ds:schemaRefs>
    <ds:schemaRef ds:uri="http://schemas.microsoft.com/sharepoint/v3/contenttype/forms"/>
  </ds:schemaRefs>
</ds:datastoreItem>
</file>

<file path=customXml/itemProps4.xml><?xml version="1.0" encoding="utf-8"?>
<ds:datastoreItem xmlns:ds="http://schemas.openxmlformats.org/officeDocument/2006/customXml" ds:itemID="{4436644A-700B-4BD2-9376-0566A428C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2246</Words>
  <Characters>13481</Characters>
  <Application>Microsoft Office Word</Application>
  <DocSecurity>0</DocSecurity>
  <Lines>112</Lines>
  <Paragraphs>31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Décision</vt:lpstr>
    </vt:vector>
  </TitlesOfParts>
  <Manager/>
  <Company/>
  <LinksUpToDate>false</LinksUpToDate>
  <CharactersWithSpaces>15696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2016-02-12T10:31:00Z</dcterms:created>
  <dcterms:modified xsi:type="dcterms:W3CDTF">2016-02-12T10:31:00Z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23534/12</vt:lpwstr>
  </property>
  <property fmtid="{D5CDD505-2E9C-101B-9397-08002B2CF9AE}" pid="4" name="CASEID">
    <vt:lpwstr>792179</vt:lpwstr>
  </property>
  <property fmtid="{D5CDD505-2E9C-101B-9397-08002B2CF9AE}" pid="5" name="OrigTemp">
    <vt:lpwstr>French\Documents\DF01 Decisions et Rapports\Reports automation IT ONLY\Décision.dotx</vt:lpwstr>
  </property>
  <property fmtid="{D5CDD505-2E9C-101B-9397-08002B2CF9AE}" pid="6" name="ContentTypeId">
    <vt:lpwstr>0x010100558EB02BDB9E204AB350EDD385B68E10</vt:lpwstr>
  </property>
</Properties>
</file>