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129" w:rsidRPr="00ED61C2" w:rsidRDefault="004F6129" w:rsidP="00907825">
      <w:pPr>
        <w:jc w:val="center"/>
        <w:rPr>
          <w:lang w:val="pl-PL"/>
        </w:rPr>
      </w:pPr>
    </w:p>
    <w:p w:rsidR="004F6129" w:rsidRPr="00ED61C2" w:rsidRDefault="004F6129" w:rsidP="00907825">
      <w:pPr>
        <w:jc w:val="center"/>
        <w:rPr>
          <w:lang w:val="pl-PL"/>
        </w:rPr>
      </w:pPr>
    </w:p>
    <w:p w:rsidR="004F6129" w:rsidRPr="00ED61C2" w:rsidRDefault="004F6129" w:rsidP="00907825">
      <w:pPr>
        <w:pStyle w:val="DecHTitle"/>
        <w:rPr>
          <w:lang w:val="pl-PL"/>
        </w:rPr>
      </w:pPr>
      <w:r w:rsidRPr="00ED61C2">
        <w:rPr>
          <w:szCs w:val="24"/>
          <w:lang w:val="pl-PL"/>
        </w:rPr>
        <w:t>SEKCJA CZWARTA</w:t>
      </w:r>
    </w:p>
    <w:p w:rsidR="004F6129" w:rsidRPr="00ED61C2" w:rsidRDefault="004F6129" w:rsidP="00907825">
      <w:pPr>
        <w:pStyle w:val="DecHTitle"/>
        <w:rPr>
          <w:caps/>
          <w:sz w:val="32"/>
          <w:lang w:val="pl-PL"/>
        </w:rPr>
      </w:pPr>
      <w:r w:rsidRPr="00ED61C2">
        <w:rPr>
          <w:lang w:val="pl-PL"/>
        </w:rPr>
        <w:t>DECYZJA</w:t>
      </w:r>
    </w:p>
    <w:p w:rsidR="004F6129" w:rsidRPr="00ED61C2" w:rsidRDefault="004F6129" w:rsidP="00907825">
      <w:pPr>
        <w:pStyle w:val="ECHRTitleCentre2"/>
        <w:rPr>
          <w:lang w:val="pl-PL"/>
        </w:rPr>
      </w:pPr>
      <w:r w:rsidRPr="00ED61C2">
        <w:rPr>
          <w:lang w:val="pl-PL"/>
        </w:rPr>
        <w:t>Skarga nr 23534/12</w:t>
      </w:r>
      <w:r w:rsidRPr="00ED61C2">
        <w:rPr>
          <w:lang w:val="pl-PL"/>
        </w:rPr>
        <w:br/>
        <w:t>Grzegorz KOSIŃSKI</w:t>
      </w:r>
      <w:r w:rsidRPr="00ED61C2">
        <w:rPr>
          <w:lang w:val="pl-PL"/>
        </w:rPr>
        <w:br/>
        <w:t>przeciwko Polsce</w:t>
      </w:r>
    </w:p>
    <w:p w:rsidR="004F6129" w:rsidRPr="00ED61C2" w:rsidRDefault="004F6129" w:rsidP="005E1C73">
      <w:pPr>
        <w:pStyle w:val="ECHRPara"/>
        <w:rPr>
          <w:szCs w:val="24"/>
          <w:lang w:val="pl-PL"/>
        </w:rPr>
      </w:pPr>
      <w:r w:rsidRPr="00ED61C2">
        <w:rPr>
          <w:szCs w:val="24"/>
          <w:lang w:val="pl-PL"/>
        </w:rPr>
        <w:t>Europejski Trybunał Praw Człowieka (Sekcja Czwarta), zasiadając w dniu 10 marca 2015 roku jako Izba w składzie:</w:t>
      </w:r>
    </w:p>
    <w:p w:rsidR="004F6129" w:rsidRPr="00ED61C2" w:rsidRDefault="004F6129" w:rsidP="0030061A">
      <w:pPr>
        <w:pStyle w:val="ECHRDecisionBody"/>
        <w:rPr>
          <w:lang w:val="pl-PL"/>
        </w:rPr>
      </w:pPr>
      <w:r w:rsidRPr="00ED61C2">
        <w:rPr>
          <w:lang w:val="pl-PL"/>
        </w:rPr>
        <w:tab/>
        <w:t xml:space="preserve">George </w:t>
      </w:r>
      <w:proofErr w:type="spellStart"/>
      <w:r w:rsidRPr="00ED61C2">
        <w:rPr>
          <w:lang w:val="pl-PL"/>
        </w:rPr>
        <w:t>Nicolaou</w:t>
      </w:r>
      <w:proofErr w:type="spellEnd"/>
      <w:r w:rsidRPr="00ED61C2">
        <w:rPr>
          <w:lang w:val="pl-PL"/>
        </w:rPr>
        <w:t>,</w:t>
      </w:r>
      <w:r w:rsidRPr="00ED61C2">
        <w:rPr>
          <w:i/>
          <w:lang w:val="pl-PL"/>
        </w:rPr>
        <w:t xml:space="preserve"> Przewodniczący,</w:t>
      </w:r>
      <w:r w:rsidRPr="00ED61C2">
        <w:rPr>
          <w:i/>
          <w:lang w:val="pl-PL"/>
        </w:rPr>
        <w:br/>
      </w:r>
      <w:r w:rsidRPr="00ED61C2">
        <w:rPr>
          <w:lang w:val="pl-PL"/>
        </w:rPr>
        <w:tab/>
        <w:t xml:space="preserve">Nona </w:t>
      </w:r>
      <w:proofErr w:type="spellStart"/>
      <w:r w:rsidRPr="00ED61C2">
        <w:rPr>
          <w:lang w:val="pl-PL"/>
        </w:rPr>
        <w:t>Tsotsoria</w:t>
      </w:r>
      <w:proofErr w:type="spellEnd"/>
      <w:r w:rsidRPr="00ED61C2">
        <w:rPr>
          <w:lang w:val="pl-PL"/>
        </w:rPr>
        <w:t>,</w:t>
      </w:r>
      <w:r w:rsidRPr="00ED61C2">
        <w:rPr>
          <w:i/>
          <w:lang w:val="pl-PL"/>
        </w:rPr>
        <w:br/>
      </w:r>
      <w:r w:rsidRPr="00ED61C2">
        <w:rPr>
          <w:lang w:val="pl-PL"/>
        </w:rPr>
        <w:tab/>
        <w:t xml:space="preserve">Krzysztof </w:t>
      </w:r>
      <w:proofErr w:type="spellStart"/>
      <w:r w:rsidRPr="00ED61C2">
        <w:rPr>
          <w:lang w:val="pl-PL"/>
        </w:rPr>
        <w:t>Wojtyczek</w:t>
      </w:r>
      <w:proofErr w:type="spellEnd"/>
      <w:r w:rsidRPr="00ED61C2">
        <w:rPr>
          <w:lang w:val="pl-PL"/>
        </w:rPr>
        <w:t>,</w:t>
      </w:r>
      <w:r w:rsidRPr="00ED61C2">
        <w:rPr>
          <w:i/>
          <w:lang w:val="pl-PL"/>
        </w:rPr>
        <w:t xml:space="preserve"> sędziowie</w:t>
      </w:r>
    </w:p>
    <w:p w:rsidR="004F6129" w:rsidRPr="00ED61C2" w:rsidRDefault="004F6129" w:rsidP="004E3646">
      <w:pPr>
        <w:pStyle w:val="ECHRDecisionBody"/>
        <w:rPr>
          <w:lang w:val="pl-PL"/>
        </w:rPr>
      </w:pPr>
      <w:r w:rsidRPr="00ED61C2">
        <w:rPr>
          <w:lang w:val="pl-PL"/>
        </w:rPr>
        <w:t xml:space="preserve">oraz </w:t>
      </w:r>
      <w:proofErr w:type="spellStart"/>
      <w:r w:rsidRPr="00ED61C2">
        <w:rPr>
          <w:lang w:val="pl-PL"/>
        </w:rPr>
        <w:t>Fatoş</w:t>
      </w:r>
      <w:proofErr w:type="spellEnd"/>
      <w:r w:rsidRPr="00ED61C2">
        <w:rPr>
          <w:lang w:val="pl-PL"/>
        </w:rPr>
        <w:t xml:space="preserve"> </w:t>
      </w:r>
      <w:proofErr w:type="spellStart"/>
      <w:r w:rsidRPr="00ED61C2">
        <w:rPr>
          <w:lang w:val="pl-PL"/>
        </w:rPr>
        <w:t>Aracı</w:t>
      </w:r>
      <w:proofErr w:type="spellEnd"/>
      <w:r w:rsidRPr="00ED61C2">
        <w:rPr>
          <w:lang w:val="pl-PL"/>
        </w:rPr>
        <w:t xml:space="preserve">, </w:t>
      </w:r>
      <w:r w:rsidRPr="00ED61C2">
        <w:rPr>
          <w:i/>
          <w:lang w:val="pl-PL"/>
        </w:rPr>
        <w:t>Zastępca Kanclerza Sekcji</w:t>
      </w:r>
      <w:r w:rsidRPr="00ED61C2">
        <w:rPr>
          <w:lang w:val="pl-PL"/>
        </w:rPr>
        <w:t>,</w:t>
      </w:r>
    </w:p>
    <w:p w:rsidR="004F6129" w:rsidRPr="00ED61C2" w:rsidRDefault="004F6129" w:rsidP="0030061A">
      <w:pPr>
        <w:pStyle w:val="ECHRPara"/>
        <w:rPr>
          <w:lang w:val="pl-PL"/>
        </w:rPr>
      </w:pPr>
      <w:r w:rsidRPr="00ED61C2">
        <w:rPr>
          <w:lang w:val="pl-PL"/>
        </w:rPr>
        <w:t>Po rozpatrzeniu wyżej wymienionej skargi złożonej w dniu 6 kwietnia 2012 roku,</w:t>
      </w:r>
    </w:p>
    <w:p w:rsidR="004F6129" w:rsidRPr="00ED61C2" w:rsidRDefault="004F6129" w:rsidP="0030061A">
      <w:pPr>
        <w:pStyle w:val="ECHRPara"/>
        <w:rPr>
          <w:lang w:val="pl-PL"/>
        </w:rPr>
      </w:pPr>
      <w:r w:rsidRPr="00ED61C2">
        <w:rPr>
          <w:lang w:val="pl-PL"/>
        </w:rPr>
        <w:t>Po naradzie, Trybunał wydaje następującą decyzję:</w:t>
      </w:r>
    </w:p>
    <w:p w:rsidR="004F6129" w:rsidRPr="00ED61C2" w:rsidRDefault="004F6129" w:rsidP="0030061A">
      <w:pPr>
        <w:pStyle w:val="ECHRTitle1"/>
        <w:rPr>
          <w:lang w:val="pl-PL"/>
        </w:rPr>
      </w:pPr>
      <w:r w:rsidRPr="00ED61C2">
        <w:rPr>
          <w:lang w:val="pl-PL"/>
        </w:rPr>
        <w:t>FAKTY</w:t>
      </w:r>
    </w:p>
    <w:p w:rsidR="004F6129" w:rsidRPr="00ED61C2" w:rsidRDefault="004F6129" w:rsidP="0030061A">
      <w:pPr>
        <w:pStyle w:val="ECHRPara"/>
        <w:rPr>
          <w:lang w:val="pl-PL"/>
        </w:rPr>
      </w:pPr>
      <w:r w:rsidRPr="00ED61C2">
        <w:rPr>
          <w:lang w:val="pl-PL"/>
        </w:rPr>
        <w:t>1.  Skarżący, Grzegorz Kosiński, jest obywatelem polskim urodzonym w 1981 roku i mieszka w Jastrzębiu-Zdroju.</w:t>
      </w:r>
    </w:p>
    <w:p w:rsidR="004F6129" w:rsidRPr="00ED61C2" w:rsidRDefault="004F6129" w:rsidP="0030061A">
      <w:pPr>
        <w:pStyle w:val="ECHRHeading2"/>
        <w:rPr>
          <w:lang w:val="pl-PL"/>
        </w:rPr>
      </w:pPr>
      <w:r w:rsidRPr="00ED61C2">
        <w:rPr>
          <w:lang w:val="pl-PL"/>
        </w:rPr>
        <w:t>A.  Okoliczności sprawy</w:t>
      </w:r>
    </w:p>
    <w:p w:rsidR="004F6129" w:rsidRPr="00ED61C2" w:rsidRDefault="004F6129" w:rsidP="0030061A">
      <w:pPr>
        <w:pStyle w:val="ECHRPara"/>
        <w:rPr>
          <w:lang w:val="pl-PL"/>
        </w:rPr>
      </w:pPr>
      <w:r w:rsidRPr="00ED61C2">
        <w:rPr>
          <w:lang w:val="pl-PL"/>
        </w:rPr>
        <w:t>2.  Stan faktyczny sprawy, tak jak został on przedstawiony przez skarżącego, można streścić w następujący sposób.</w:t>
      </w:r>
    </w:p>
    <w:p w:rsidR="004F6129" w:rsidRPr="00ED61C2" w:rsidRDefault="004F6129" w:rsidP="000D7374">
      <w:pPr>
        <w:pStyle w:val="ECHRPara"/>
        <w:rPr>
          <w:szCs w:val="24"/>
          <w:lang w:val="pl-PL"/>
        </w:rPr>
      </w:pPr>
      <w:r w:rsidRPr="00ED61C2">
        <w:rPr>
          <w:szCs w:val="24"/>
          <w:lang w:val="pl-PL"/>
        </w:rPr>
        <w:t xml:space="preserve">3.  W październiku 2010 roku skarżący, redaktor naczelny i dziennikarz lokalnej gazety „The New Jas Time”, opublikował artykuł pod tytułem „Bezprawie i Niesprawiedliwość”. W publikacji tej, która ukazała się podczas kampanii do wyborów parlamentarnych, skarżący zarzucił G.M., przewodniczącemu Rady Miasta i zarazem kandydatowi na posła, oszustwo i nielegalne finansowanie wcześniejszej kampanii wyborczej. Opierając się na informacjach, które miał mu przekazać anonimowy </w:t>
      </w:r>
      <w:r w:rsidRPr="00ED61C2">
        <w:rPr>
          <w:szCs w:val="24"/>
          <w:lang w:val="pl-PL"/>
        </w:rPr>
        <w:lastRenderedPageBreak/>
        <w:t>przedsiębiorca, skarżący napisał, że G.M. zażądał, by niektóre z usług zamówionych w związku z kampanią wykonano bez wystawienia faktury. Skarżący napisał również, że według krajowego biura wyborczego, do którego zwróciła się redakcja „The New Jas Time” w celu uzyskania dalszych informacji na temat wydatków na kampanię wyborczą G.M., dokumentacja na ten temat nie zawierała żadnej faktury wystawionej przez wspomnianego przedsiębiorcę.</w:t>
      </w:r>
    </w:p>
    <w:p w:rsidR="004F6129" w:rsidRPr="00ED61C2" w:rsidRDefault="004F6129" w:rsidP="0030061A">
      <w:pPr>
        <w:pStyle w:val="ECHRPara"/>
        <w:rPr>
          <w:szCs w:val="24"/>
          <w:lang w:val="pl-PL"/>
        </w:rPr>
      </w:pPr>
      <w:r w:rsidRPr="00ED61C2">
        <w:rPr>
          <w:szCs w:val="24"/>
          <w:lang w:val="pl-PL"/>
        </w:rPr>
        <w:t xml:space="preserve">4.  Po publikacji artykułu G.M. złożył przeciwko skarżącemu pozew na podstawie art. 111 § 1 kodeksu wyborczego (zob. § 8 poniżej), wnosząc o wycofanie artykułu i wydanie wobec skarżącego zakazu rozpowszechniania dotyczących go informacji, a także nakazu sprostowania i publicznych przeprosin oraz przekazania 8 000 złotych polskich (PLN) na rzecz organizacji dobroczynnej. G.M. podkreślił, że twierdzenia skarżącego zarzucające mu naruszenie prawa podczas kampanii wyborczej były nieprawdziwe i godziły w jego dobre imię jako kandydata na posła. </w:t>
      </w:r>
    </w:p>
    <w:p w:rsidR="004F6129" w:rsidRPr="00ED61C2" w:rsidRDefault="004F6129" w:rsidP="0030061A">
      <w:pPr>
        <w:pStyle w:val="ECHRPara"/>
        <w:rPr>
          <w:szCs w:val="24"/>
          <w:lang w:val="pl-PL"/>
        </w:rPr>
      </w:pPr>
      <w:r w:rsidRPr="00ED61C2">
        <w:rPr>
          <w:szCs w:val="24"/>
          <w:lang w:val="pl-PL"/>
        </w:rPr>
        <w:t xml:space="preserve">5.  Postanowieniem z dnia 7 października 2011 roku Sąd Okręgowy w Gliwicach częściowo uznał skargę, zobowiązując skarżącego, by zaprzestał rozprzestrzeniania zaskarżonej informacji, sprostował ją oraz zamieścił przeprosiny w </w:t>
      </w:r>
      <w:proofErr w:type="spellStart"/>
      <w:r w:rsidR="00257E95" w:rsidRPr="00ED61C2">
        <w:rPr>
          <w:szCs w:val="24"/>
          <w:lang w:val="pl-PL"/>
        </w:rPr>
        <w:t>i</w:t>
      </w:r>
      <w:r w:rsidRPr="00ED61C2">
        <w:rPr>
          <w:szCs w:val="24"/>
          <w:lang w:val="pl-PL"/>
        </w:rPr>
        <w:t>nternecie</w:t>
      </w:r>
      <w:proofErr w:type="spellEnd"/>
      <w:r w:rsidRPr="00ED61C2">
        <w:rPr>
          <w:szCs w:val="24"/>
          <w:lang w:val="pl-PL"/>
        </w:rPr>
        <w:t>. Sąd nakazał również wycofanie publikacji. Oddalił wniosek dotyczący przekazania sumy na rzecz organizacji dobroczynnej, ponieważ uznał go za bezzasadny ze względu na sytuację finansową skarżącego. Sąd uznał również, że w tym przypadku nie jest konieczne sprostowanie zaskarżonej informacji w telewizji lokalnej.</w:t>
      </w:r>
    </w:p>
    <w:p w:rsidR="004F6129" w:rsidRPr="00ED61C2" w:rsidRDefault="004F6129" w:rsidP="00265C50">
      <w:pPr>
        <w:pStyle w:val="ECHRPara"/>
        <w:rPr>
          <w:szCs w:val="24"/>
          <w:lang w:val="pl-PL"/>
        </w:rPr>
      </w:pPr>
      <w:r w:rsidRPr="00ED61C2">
        <w:rPr>
          <w:szCs w:val="24"/>
          <w:lang w:val="pl-PL"/>
        </w:rPr>
        <w:t>W uzasadnieniu sąd zauważył, że według artykułu opublikowanego przez skarżącego G.K.</w:t>
      </w:r>
      <w:r w:rsidRPr="00ED61C2">
        <w:rPr>
          <w:rStyle w:val="Odwoanieprzypisudolnego"/>
          <w:szCs w:val="24"/>
          <w:lang w:val="pl-PL"/>
        </w:rPr>
        <w:footnoteReference w:id="1"/>
      </w:r>
      <w:r w:rsidRPr="00ED61C2">
        <w:rPr>
          <w:szCs w:val="24"/>
          <w:lang w:val="pl-PL"/>
        </w:rPr>
        <w:t xml:space="preserve"> miał nakłaniać do oszustwa i w nim uczestniczyć. Zważywszy na to, że skarżący nie przedstawił żadnych dowodów na poparcie swojego stwierdzenia, było ono bezpodstawne. Artykuł nie zawierał żadnych informacji dotyczących tożsamości przedsiębiorcy, który był anonimowym informatorem skarżącego, ani ewentualnych ofiar rzekomego oszustwa. Zaznaczył, że po pierwsze G.M. zaprzeczył, jakoby korzystał z usług jakiegokolwiek przedsiębiorcy w związku ze swoją kampanią wyborczą, po drugie zaś skarżący w żaden sposób nie skomentował zarzutów postawionych w artykule.</w:t>
      </w:r>
    </w:p>
    <w:p w:rsidR="004F6129" w:rsidRPr="00ED61C2" w:rsidRDefault="004F6129" w:rsidP="0030061A">
      <w:pPr>
        <w:pStyle w:val="ECHRPara"/>
        <w:rPr>
          <w:szCs w:val="24"/>
          <w:lang w:val="pl-PL"/>
        </w:rPr>
      </w:pPr>
      <w:r w:rsidRPr="00ED61C2">
        <w:rPr>
          <w:szCs w:val="24"/>
          <w:lang w:val="pl-PL"/>
        </w:rPr>
        <w:t>6.  W odwołaniu od decyzji sądu z dnia 7 października 2011 roku skarżący utrzymywał, że procedura przewidziana w art. 111 kodeksu wyborczego nie ma zastosowania do tego konkretnego przypadku, ponieważ publikacja nie była materiałem wyborczym w rozumieniu przepisów tego kodeksu. Zaznaczył również, że jego artykuł nie miał żadnego związku z kampanią wyborczą i odzwierciedlał jego opinię jako dziennikarza w żaden sposób niezaangażowanego w sprawę.</w:t>
      </w:r>
    </w:p>
    <w:p w:rsidR="004F6129" w:rsidRPr="00ED61C2" w:rsidRDefault="004F6129" w:rsidP="0030061A">
      <w:pPr>
        <w:pStyle w:val="ECHRPara"/>
        <w:rPr>
          <w:szCs w:val="24"/>
          <w:lang w:val="pl-PL"/>
        </w:rPr>
      </w:pPr>
      <w:r w:rsidRPr="00ED61C2">
        <w:rPr>
          <w:szCs w:val="24"/>
          <w:lang w:val="pl-PL"/>
        </w:rPr>
        <w:lastRenderedPageBreak/>
        <w:t>7.  8 października 2011 roku Sąd Apelacyjny w Katowicach oddalił odwołanie skarżącego, podtrzymując uzasadnienie Sądu Okręgowego. Sąd Apelacyjny podkreślił, że procedura przewidziana w art. 111 kodeksu wyborczego stanowi środek ochrony przed naruszeniem zasad kampanii wyborczej regulujących rozpowszechnianie za pośrednictwem materiałów wyborczych nieprawdziwych informacji, które mogą wywrzeć wpływ na wynik głosowania. Procedura ta ma zastosowanie nie tylko do oświadczeń komitetów wyborczych lub kandydatów, ale do wszelkich informacji mogących wywrzeć wpływ na wynik głosowania, w tym również tych rozpowszechnianych za pośrednictwem prasy przez osoby, które nie są bezpośrednio zaangażowane w kampanię. Sąd Apelacyjny przypomniał, że procedura przewidziana w art. 111 kodeksu wyborczego dotyczy wyłącznie informacji faktycznych, a nie opinii wyrażanych na temat kandydatów.</w:t>
      </w:r>
    </w:p>
    <w:p w:rsidR="004F6129" w:rsidRPr="00ED61C2" w:rsidRDefault="004F6129" w:rsidP="0030061A">
      <w:pPr>
        <w:pStyle w:val="ECHRPara"/>
        <w:rPr>
          <w:szCs w:val="24"/>
          <w:lang w:val="pl-PL"/>
        </w:rPr>
      </w:pPr>
      <w:r w:rsidRPr="00ED61C2">
        <w:rPr>
          <w:szCs w:val="24"/>
          <w:lang w:val="pl-PL"/>
        </w:rPr>
        <w:t>Sąd Apelacyjny zauważył, że choć zarzut skarżącego polegał na niemożności zastosowania do niniejszego przypadku procedury przewidzianej w art. 111 kodeksu wyborczego, skarżący nie zawarł w swoim odwołaniu żadnego argumentu na poparcie swoich twierdzeń na temat M.</w:t>
      </w:r>
      <w:r w:rsidR="00A67510" w:rsidRPr="00ED61C2">
        <w:rPr>
          <w:lang w:val="pl-PL"/>
        </w:rPr>
        <w:t xml:space="preserve"> </w:t>
      </w:r>
      <w:r w:rsidR="00A67510" w:rsidRPr="00ED61C2">
        <w:rPr>
          <w:szCs w:val="24"/>
          <w:lang w:val="pl-PL"/>
        </w:rPr>
        <w:t>G.</w:t>
      </w:r>
    </w:p>
    <w:p w:rsidR="004F6129" w:rsidRPr="00ED61C2" w:rsidRDefault="004F6129" w:rsidP="0030061A">
      <w:pPr>
        <w:pStyle w:val="ECHRHeading2"/>
        <w:rPr>
          <w:lang w:val="pl-PL"/>
        </w:rPr>
      </w:pPr>
      <w:r w:rsidRPr="00ED61C2">
        <w:rPr>
          <w:lang w:val="pl-PL"/>
        </w:rPr>
        <w:t>B.  Właściwe prawo krajowe</w:t>
      </w:r>
    </w:p>
    <w:p w:rsidR="004F6129" w:rsidRPr="00ED61C2" w:rsidRDefault="004F6129" w:rsidP="0030061A">
      <w:pPr>
        <w:pStyle w:val="ECHRPara"/>
        <w:rPr>
          <w:lang w:val="pl-PL"/>
        </w:rPr>
      </w:pPr>
      <w:r w:rsidRPr="00ED61C2">
        <w:rPr>
          <w:lang w:val="pl-PL"/>
        </w:rPr>
        <w:t>8.  Zgodnie z art. 111 § 1 kodeksu wyborczego, jeżeli rozpowszechniane, w tym również w prasie w rozumieniu ustawy z dnia 26 stycznia 1984 r. – Prawo prasowe, materiały wyborcze, w szczególności plakaty, ulotki i hasła, a także wypowiedzi lub inne formy prowadzonej agitacji wyborczej zawierają informacje nieprawdziwe, kandydat [do wyborów] lub jego pełnomocnik wyborczy ma prawo wnieść do sądu wniosek o wydanie orzeczenia zakazu rozpowszechniania takich informacji, przepadku [wspomnianych materiałów], nakazania [osobie, która rozpowszechniała nieprawdziwe informacje] sprostowania ich,  nakazania publikacji odpowiedzi na stwierdzenia naruszające dobra osobiste, nakazania przeproszenia osoby, której dobra osobiste zostały naruszone i nakazania wpłacenia kwoty do 100 000 złotych na rzecz organizacji pożytku publicznego.</w:t>
      </w:r>
    </w:p>
    <w:p w:rsidR="004F6129" w:rsidRPr="00ED61C2" w:rsidRDefault="004F6129" w:rsidP="0030061A">
      <w:pPr>
        <w:pStyle w:val="ECHRTitle1"/>
        <w:rPr>
          <w:lang w:val="pl-PL"/>
        </w:rPr>
      </w:pPr>
      <w:r w:rsidRPr="00ED61C2">
        <w:rPr>
          <w:lang w:val="pl-PL"/>
        </w:rPr>
        <w:t>ZARZUTY</w:t>
      </w:r>
    </w:p>
    <w:p w:rsidR="004F6129" w:rsidRPr="00ED61C2" w:rsidRDefault="004F6129" w:rsidP="0030061A">
      <w:pPr>
        <w:pStyle w:val="ECHRPara"/>
        <w:rPr>
          <w:szCs w:val="24"/>
          <w:lang w:val="pl-PL"/>
        </w:rPr>
      </w:pPr>
      <w:r w:rsidRPr="00ED61C2">
        <w:rPr>
          <w:lang w:val="pl-PL"/>
        </w:rPr>
        <w:t>9.  Powołując się na art. 10 Konwencji, skarżący zarzuca naruszenie prawa wolności wyrażania opinii.</w:t>
      </w:r>
    </w:p>
    <w:p w:rsidR="004F6129" w:rsidRPr="00ED61C2" w:rsidRDefault="004F6129" w:rsidP="0030061A">
      <w:pPr>
        <w:pStyle w:val="ECHRTitle1"/>
        <w:rPr>
          <w:lang w:val="pl-PL"/>
        </w:rPr>
      </w:pPr>
      <w:r w:rsidRPr="00ED61C2">
        <w:rPr>
          <w:lang w:val="pl-PL"/>
        </w:rPr>
        <w:lastRenderedPageBreak/>
        <w:t>PRAWO</w:t>
      </w:r>
    </w:p>
    <w:p w:rsidR="004F6129" w:rsidRPr="00ED61C2" w:rsidRDefault="004F6129" w:rsidP="0030061A">
      <w:pPr>
        <w:pStyle w:val="ECHRPara"/>
        <w:rPr>
          <w:lang w:val="pl-PL"/>
        </w:rPr>
      </w:pPr>
      <w:r w:rsidRPr="00ED61C2">
        <w:rPr>
          <w:lang w:val="pl-PL"/>
        </w:rPr>
        <w:t>10.  Skarżący zarzuca naruszenie prawa wolności wyrażania opinii, przywołując art. 10, który ma następujące brzmienie:</w:t>
      </w:r>
    </w:p>
    <w:p w:rsidR="004F6129" w:rsidRPr="00ED61C2" w:rsidRDefault="004F6129" w:rsidP="0030061A">
      <w:pPr>
        <w:pStyle w:val="ECHRParaQuote"/>
      </w:pPr>
      <w:r w:rsidRPr="00ED61C2">
        <w:t>„1. Każdy ma prawo do wolności wyrażania opinii (...)</w:t>
      </w:r>
    </w:p>
    <w:p w:rsidR="004F6129" w:rsidRPr="00ED61C2" w:rsidRDefault="004F6129" w:rsidP="0030061A">
      <w:pPr>
        <w:pStyle w:val="ECHRParaQuote"/>
      </w:pPr>
      <w:r w:rsidRPr="00ED61C2">
        <w:t>2.  Korzystanie z tych wolności pociągających za sobą obowiązki i odpowiedzialność może podlegać takim wymogom formalny</w:t>
      </w:r>
      <w:r w:rsidR="003B7E6C" w:rsidRPr="00ED61C2">
        <w:t>m</w:t>
      </w:r>
      <w:r w:rsidRPr="00ED61C2">
        <w:t>, warunkom, ograniczeniom i sankcjom, jakie są przewidziane przez ustawę i niezbędne w społeczeństwie demokratycznym (...) z uwagi na (...) ochronę dobrego imienia i praw innych osób (...)”.</w:t>
      </w:r>
    </w:p>
    <w:p w:rsidR="004F6129" w:rsidRPr="00ED61C2" w:rsidRDefault="004F6129" w:rsidP="0030061A">
      <w:pPr>
        <w:pStyle w:val="ECHRPara"/>
        <w:rPr>
          <w:lang w:val="pl-PL"/>
        </w:rPr>
      </w:pPr>
      <w:r w:rsidRPr="00ED61C2">
        <w:rPr>
          <w:lang w:val="pl-PL"/>
        </w:rPr>
        <w:t>11.  Trybunał zaznacza, że orzeczenia wydane wobec skarżącego stanowią „ingerencję” w jego prawo do wolności wyrażania opinii w rozumieniu pierwszego ustępu artykułu 10 Konwencji. Zauważa, że zaskarżona ingerencja była „przewidziana przez ustawę”, tj. przez art. 111 § 1 kodeksu wyborczego, i miała uzasadniony cel, tj. „ ochronę dobrego imienia innej osoby”, a konkretnie G.K. Należy zatem jedynie ustalić, czy była „niezbędna w społeczeństwie demokratycznym”.</w:t>
      </w:r>
    </w:p>
    <w:p w:rsidR="004F6129" w:rsidRPr="00ED61C2" w:rsidRDefault="004F6129" w:rsidP="0030061A">
      <w:pPr>
        <w:pStyle w:val="ECHRPara"/>
        <w:rPr>
          <w:szCs w:val="24"/>
          <w:lang w:val="pl-PL"/>
        </w:rPr>
      </w:pPr>
      <w:r w:rsidRPr="00ED61C2">
        <w:rPr>
          <w:szCs w:val="24"/>
          <w:lang w:val="pl-PL"/>
        </w:rPr>
        <w:t xml:space="preserve">12.  W tym względzie Trybunał odsyła do podstawowych zasad wynikających z orzecznictwa w tej kwestii (zob. m.in. </w:t>
      </w:r>
      <w:proofErr w:type="spellStart"/>
      <w:r w:rsidRPr="00ED61C2">
        <w:rPr>
          <w:i/>
          <w:szCs w:val="24"/>
          <w:lang w:val="pl-PL"/>
        </w:rPr>
        <w:t>Lindon</w:t>
      </w:r>
      <w:proofErr w:type="spellEnd"/>
      <w:r w:rsidRPr="00ED61C2">
        <w:rPr>
          <w:i/>
          <w:szCs w:val="24"/>
          <w:lang w:val="pl-PL"/>
        </w:rPr>
        <w:t xml:space="preserve"> </w:t>
      </w:r>
      <w:proofErr w:type="spellStart"/>
      <w:r w:rsidRPr="00ED61C2">
        <w:rPr>
          <w:i/>
          <w:szCs w:val="24"/>
          <w:lang w:val="pl-PL"/>
        </w:rPr>
        <w:t>Otchakovsky-Laurens</w:t>
      </w:r>
      <w:proofErr w:type="spellEnd"/>
      <w:r w:rsidRPr="00ED61C2">
        <w:rPr>
          <w:i/>
          <w:szCs w:val="24"/>
          <w:lang w:val="pl-PL"/>
        </w:rPr>
        <w:t xml:space="preserve"> i </w:t>
      </w:r>
      <w:proofErr w:type="spellStart"/>
      <w:r w:rsidRPr="00ED61C2">
        <w:rPr>
          <w:i/>
          <w:szCs w:val="24"/>
          <w:lang w:val="pl-PL"/>
        </w:rPr>
        <w:t>July</w:t>
      </w:r>
      <w:proofErr w:type="spellEnd"/>
      <w:r w:rsidRPr="00ED61C2">
        <w:rPr>
          <w:i/>
          <w:szCs w:val="24"/>
          <w:lang w:val="pl-PL"/>
        </w:rPr>
        <w:t xml:space="preserve"> przeciwko Francji </w:t>
      </w:r>
      <w:r w:rsidRPr="00ED61C2">
        <w:rPr>
          <w:szCs w:val="24"/>
          <w:lang w:val="pl-PL"/>
        </w:rPr>
        <w:t>[Wielka Izba], nr</w:t>
      </w:r>
      <w:r w:rsidRPr="00ED61C2">
        <w:rPr>
          <w:szCs w:val="24"/>
          <w:vertAlign w:val="superscript"/>
          <w:lang w:val="pl-PL"/>
        </w:rPr>
        <w:t> </w:t>
      </w:r>
      <w:r w:rsidRPr="00ED61C2">
        <w:rPr>
          <w:szCs w:val="24"/>
          <w:lang w:val="pl-PL"/>
        </w:rPr>
        <w:t>21279/02 i 36448/02, §§ 45 i 46, ETPC 2007</w:t>
      </w:r>
      <w:r w:rsidRPr="00ED61C2">
        <w:rPr>
          <w:szCs w:val="24"/>
          <w:lang w:val="pl-PL"/>
        </w:rPr>
        <w:noBreakHyphen/>
        <w:t xml:space="preserve">XI, oraz </w:t>
      </w:r>
      <w:proofErr w:type="spellStart"/>
      <w:r w:rsidRPr="00ED61C2">
        <w:rPr>
          <w:i/>
          <w:szCs w:val="24"/>
          <w:lang w:val="pl-PL"/>
        </w:rPr>
        <w:t>July</w:t>
      </w:r>
      <w:proofErr w:type="spellEnd"/>
      <w:r w:rsidRPr="00ED61C2">
        <w:rPr>
          <w:i/>
          <w:szCs w:val="24"/>
          <w:lang w:val="pl-PL"/>
        </w:rPr>
        <w:t xml:space="preserve"> i </w:t>
      </w:r>
      <w:proofErr w:type="spellStart"/>
      <w:r w:rsidRPr="00ED61C2">
        <w:rPr>
          <w:i/>
          <w:szCs w:val="24"/>
          <w:lang w:val="pl-PL"/>
        </w:rPr>
        <w:t>Sarl</w:t>
      </w:r>
      <w:proofErr w:type="spellEnd"/>
      <w:r w:rsidRPr="00ED61C2">
        <w:rPr>
          <w:i/>
          <w:szCs w:val="24"/>
          <w:lang w:val="pl-PL"/>
        </w:rPr>
        <w:t xml:space="preserve"> </w:t>
      </w:r>
      <w:proofErr w:type="spellStart"/>
      <w:r w:rsidRPr="00ED61C2">
        <w:rPr>
          <w:i/>
          <w:szCs w:val="24"/>
          <w:lang w:val="pl-PL"/>
        </w:rPr>
        <w:t>Libération</w:t>
      </w:r>
      <w:proofErr w:type="spellEnd"/>
      <w:r w:rsidRPr="00ED61C2">
        <w:rPr>
          <w:i/>
          <w:szCs w:val="24"/>
          <w:lang w:val="pl-PL"/>
        </w:rPr>
        <w:t xml:space="preserve"> przeciwko Francji</w:t>
      </w:r>
      <w:r w:rsidRPr="00ED61C2">
        <w:rPr>
          <w:szCs w:val="24"/>
          <w:lang w:val="pl-PL"/>
        </w:rPr>
        <w:t>, nr 20893/03, §§ 60</w:t>
      </w:r>
      <w:r w:rsidR="00817961" w:rsidRPr="00ED61C2">
        <w:rPr>
          <w:szCs w:val="24"/>
          <w:lang w:val="pl-PL"/>
        </w:rPr>
        <w:t xml:space="preserve"> do </w:t>
      </w:r>
      <w:r w:rsidRPr="00ED61C2">
        <w:rPr>
          <w:szCs w:val="24"/>
          <w:lang w:val="pl-PL"/>
        </w:rPr>
        <w:t>64, ETPC 2008-...).</w:t>
      </w:r>
    </w:p>
    <w:p w:rsidR="004F6129" w:rsidRPr="00ED61C2" w:rsidRDefault="004F6129" w:rsidP="0030061A">
      <w:pPr>
        <w:pStyle w:val="ECHRPara"/>
        <w:rPr>
          <w:szCs w:val="24"/>
          <w:lang w:val="pl-PL"/>
        </w:rPr>
      </w:pPr>
      <w:r w:rsidRPr="00ED61C2">
        <w:rPr>
          <w:szCs w:val="24"/>
          <w:lang w:val="pl-PL"/>
        </w:rPr>
        <w:t>13</w:t>
      </w:r>
      <w:r w:rsidRPr="00ED61C2">
        <w:rPr>
          <w:lang w:val="pl-PL"/>
        </w:rPr>
        <w:t>.  Trybunał przypomina, że w ramach jego uprawnień kontrolnych jego zadaniem jest nie zastąpić właściwe krajowe organy sądownictwa, ale zweryfikować pod kątem odnośnego artykułu Konwencji decyzje wydane przez te organy zgodnie z ich kompetencjami (</w:t>
      </w:r>
      <w:r w:rsidRPr="00ED61C2">
        <w:rPr>
          <w:i/>
          <w:lang w:val="pl-PL"/>
        </w:rPr>
        <w:t xml:space="preserve">News </w:t>
      </w:r>
      <w:proofErr w:type="spellStart"/>
      <w:r w:rsidRPr="00ED61C2">
        <w:rPr>
          <w:i/>
          <w:lang w:val="pl-PL"/>
        </w:rPr>
        <w:t>Verlags</w:t>
      </w:r>
      <w:proofErr w:type="spellEnd"/>
      <w:r w:rsidRPr="00ED61C2">
        <w:rPr>
          <w:i/>
          <w:lang w:val="pl-PL"/>
        </w:rPr>
        <w:t xml:space="preserve"> GmbH &amp; Co. KG przeciwko Austrii</w:t>
      </w:r>
      <w:r w:rsidRPr="00ED61C2">
        <w:rPr>
          <w:lang w:val="pl-PL"/>
        </w:rPr>
        <w:t>, nr 31457/96, § 52, ETPC 2000-I).</w:t>
      </w:r>
    </w:p>
    <w:p w:rsidR="004F6129" w:rsidRPr="00ED61C2" w:rsidRDefault="004F6129" w:rsidP="0030061A">
      <w:pPr>
        <w:pStyle w:val="ECHRPara"/>
        <w:rPr>
          <w:lang w:val="pl-PL"/>
        </w:rPr>
      </w:pPr>
      <w:r w:rsidRPr="00ED61C2">
        <w:rPr>
          <w:lang w:val="pl-PL"/>
        </w:rPr>
        <w:t>14.  Jego obowiązkiem jest w szczególności ustalenie, czy uzasadnienie ingerencji podane przez organy sądownictwa krajowego wydaje się „stosowne i wystarczające” oraz czy zaskarżona decyzja była „proporcjonalna do wyznaczonych uprawnionych celów” (</w:t>
      </w:r>
      <w:proofErr w:type="spellStart"/>
      <w:r w:rsidRPr="00ED61C2">
        <w:rPr>
          <w:i/>
          <w:lang w:val="pl-PL"/>
        </w:rPr>
        <w:t>Chauvy</w:t>
      </w:r>
      <w:proofErr w:type="spellEnd"/>
      <w:r w:rsidRPr="00ED61C2">
        <w:rPr>
          <w:i/>
          <w:lang w:val="pl-PL"/>
        </w:rPr>
        <w:t xml:space="preserve"> i inni przeciwko Francji,</w:t>
      </w:r>
      <w:r w:rsidRPr="00ED61C2">
        <w:rPr>
          <w:lang w:val="pl-PL"/>
        </w:rPr>
        <w:t xml:space="preserve"> nr 64915/01, § 70, ETPC 2004</w:t>
      </w:r>
      <w:r w:rsidRPr="00ED61C2">
        <w:rPr>
          <w:lang w:val="pl-PL"/>
        </w:rPr>
        <w:noBreakHyphen/>
        <w:t xml:space="preserve">VI, </w:t>
      </w:r>
      <w:proofErr w:type="spellStart"/>
      <w:r w:rsidRPr="00ED61C2">
        <w:rPr>
          <w:i/>
          <w:lang w:val="pl-PL"/>
        </w:rPr>
        <w:t>Alves</w:t>
      </w:r>
      <w:proofErr w:type="spellEnd"/>
      <w:r w:rsidRPr="00ED61C2">
        <w:rPr>
          <w:i/>
          <w:lang w:val="pl-PL"/>
        </w:rPr>
        <w:t xml:space="preserve"> da Silva przeciwko Portugalii</w:t>
      </w:r>
      <w:r w:rsidRPr="00ED61C2">
        <w:rPr>
          <w:lang w:val="pl-PL"/>
        </w:rPr>
        <w:t>, nr 41665/07, § 23, 20 października 2009 r.).</w:t>
      </w:r>
    </w:p>
    <w:p w:rsidR="004F6129" w:rsidRPr="00ED61C2" w:rsidRDefault="004F6129" w:rsidP="0030061A">
      <w:pPr>
        <w:pStyle w:val="ECHRPara"/>
        <w:rPr>
          <w:rStyle w:val="JuParaCar"/>
          <w:sz w:val="24"/>
          <w:lang w:val="pl-PL"/>
        </w:rPr>
      </w:pPr>
      <w:r w:rsidRPr="00ED61C2">
        <w:rPr>
          <w:rStyle w:val="JuParaCar"/>
          <w:sz w:val="24"/>
          <w:lang w:val="pl-PL"/>
        </w:rPr>
        <w:t>15.  W niniejszym przypadku Trybunał zaznacza, że sporne wypowiedzi ukazały się w artykule opublikowanym w lokalnej gazecie w okresie przedwyborczym. W swojej publikacji skarżący zarzucił G.K., przewodniczącemu Rady Miasta i kandydatowi na posła, że dopuścił się naruszenia prawa w związku z kampanią wyborczą. Skarżący podawał między innymi w wątpliwość, czy G.K. posiada kwalifikacje moralne wymagane do pełnienia funkcji posła. Trybunał zauważa, że zaskarżony artykuł, opublikowany tydzień przed wyborami i atakujący powoda jako kandydata na posła, miał oczywisty związek z trwającą kampanią wyborczą.</w:t>
      </w:r>
    </w:p>
    <w:p w:rsidR="004F6129" w:rsidRPr="00ED61C2" w:rsidRDefault="004F6129" w:rsidP="0030061A">
      <w:pPr>
        <w:pStyle w:val="ECHRPara"/>
        <w:rPr>
          <w:lang w:val="pl-PL"/>
        </w:rPr>
      </w:pPr>
      <w:r w:rsidRPr="00ED61C2">
        <w:rPr>
          <w:lang w:val="pl-PL"/>
        </w:rPr>
        <w:t xml:space="preserve">16.  Trybunał przypomina, że wolność wyrażania opinii jest jednym z „warunków zapewniających wolność wyrażania opinii ludu na temat </w:t>
      </w:r>
      <w:r w:rsidRPr="00ED61C2">
        <w:rPr>
          <w:lang w:val="pl-PL"/>
        </w:rPr>
        <w:lastRenderedPageBreak/>
        <w:t>wyboru ciała ustawodawczego” (</w:t>
      </w:r>
      <w:proofErr w:type="spellStart"/>
      <w:r w:rsidRPr="00ED61C2">
        <w:rPr>
          <w:i/>
          <w:lang w:val="pl-PL"/>
        </w:rPr>
        <w:t>Mathieu-Mohin</w:t>
      </w:r>
      <w:proofErr w:type="spellEnd"/>
      <w:r w:rsidRPr="00ED61C2">
        <w:rPr>
          <w:i/>
          <w:lang w:val="pl-PL"/>
        </w:rPr>
        <w:t xml:space="preserve"> i </w:t>
      </w:r>
      <w:proofErr w:type="spellStart"/>
      <w:r w:rsidRPr="00ED61C2">
        <w:rPr>
          <w:i/>
          <w:lang w:val="pl-PL"/>
        </w:rPr>
        <w:t>Clerfayt</w:t>
      </w:r>
      <w:proofErr w:type="spellEnd"/>
      <w:r w:rsidRPr="00ED61C2">
        <w:rPr>
          <w:i/>
          <w:lang w:val="pl-PL"/>
        </w:rPr>
        <w:t xml:space="preserve"> przeciwko Belgii</w:t>
      </w:r>
      <w:r w:rsidRPr="00ED61C2">
        <w:rPr>
          <w:lang w:val="pl-PL"/>
        </w:rPr>
        <w:t xml:space="preserve">, 2 marca 1987 r., § 54, Seria A nr 113). </w:t>
      </w:r>
      <w:r w:rsidRPr="00ED61C2">
        <w:rPr>
          <w:snapToGrid w:val="0"/>
          <w:lang w:val="pl-PL"/>
        </w:rPr>
        <w:t>Z tych względów szczególnie istotne jest, by w okresie poprzedzającym wybory informacje i opinie wszelkiego rodzaju mogły być swobodnie rozpowszechniane</w:t>
      </w:r>
      <w:r w:rsidRPr="00ED61C2">
        <w:rPr>
          <w:lang w:val="pl-PL"/>
        </w:rPr>
        <w:t xml:space="preserve"> (</w:t>
      </w:r>
      <w:r w:rsidRPr="00ED61C2">
        <w:rPr>
          <w:i/>
          <w:lang w:val="pl-PL"/>
        </w:rPr>
        <w:t>Kwiecień przeciwko Polsce</w:t>
      </w:r>
      <w:r w:rsidRPr="00ED61C2">
        <w:rPr>
          <w:lang w:val="pl-PL"/>
        </w:rPr>
        <w:t>, nr 51744/99, § 48, 9 kwietnia 2007 r.).</w:t>
      </w:r>
    </w:p>
    <w:p w:rsidR="004F6129" w:rsidRPr="00ED61C2" w:rsidRDefault="004F6129" w:rsidP="0030061A">
      <w:pPr>
        <w:pStyle w:val="ECHRPara"/>
        <w:rPr>
          <w:lang w:val="pl-PL"/>
        </w:rPr>
      </w:pPr>
      <w:r w:rsidRPr="00ED61C2">
        <w:rPr>
          <w:lang w:val="pl-PL"/>
        </w:rPr>
        <w:t xml:space="preserve">Trybunał przypomina również, że art. 10 § 2 Konwencji nie pozostawia bynajmniej możliwości ograniczania wolności wyrażania opinii w dziedzinie dyskursu politycznego lub kwestiach interesu publicznego. Granice dopuszczalnej krytyki wobec polityka, ocenianego w kontekście swojej funkcji, są szersze niż w przypadku zwykłej osoby prywatnej: w odróżnieniu od tej drugiej, polityk w sposób nieunikniony i świadomy poddaje swoje czyny i zachowania uważnej kontroli zarówno ze strony dziennikarzy, jak i ogółu obywateli; musi zatem wykazać się większą tolerancją (zob. </w:t>
      </w:r>
      <w:proofErr w:type="spellStart"/>
      <w:r w:rsidRPr="00ED61C2">
        <w:rPr>
          <w:i/>
          <w:lang w:val="pl-PL"/>
        </w:rPr>
        <w:t>Feldek</w:t>
      </w:r>
      <w:proofErr w:type="spellEnd"/>
      <w:r w:rsidRPr="00ED61C2">
        <w:rPr>
          <w:i/>
          <w:lang w:val="pl-PL"/>
        </w:rPr>
        <w:t xml:space="preserve"> przeciwko Słowacji</w:t>
      </w:r>
      <w:r w:rsidRPr="00ED61C2">
        <w:rPr>
          <w:lang w:val="pl-PL"/>
        </w:rPr>
        <w:t>, nr 20032/95, § 74, ETPC 2001-VIII).</w:t>
      </w:r>
    </w:p>
    <w:p w:rsidR="004F6129" w:rsidRPr="00ED61C2" w:rsidRDefault="004F6129" w:rsidP="0030061A">
      <w:pPr>
        <w:pStyle w:val="ECHRPara"/>
        <w:rPr>
          <w:lang w:val="pl-PL"/>
        </w:rPr>
      </w:pPr>
      <w:r w:rsidRPr="00ED61C2">
        <w:rPr>
          <w:lang w:val="pl-PL"/>
        </w:rPr>
        <w:t>17.  Trybunał przypomina równocześnie, że z powodu „obowiązków i odpowiedzialności” związanych z korzystaniem z wolności wyrażania opinii każdy, kto angażuje się w debatę publiczną, również na poziomie lokalnym, jest zobowiązany do przestrzegania pewnych granic dotyczących poszanowania m.in. dobrego imienia i praw innej osoby (</w:t>
      </w:r>
      <w:proofErr w:type="spellStart"/>
      <w:r w:rsidRPr="00ED61C2">
        <w:rPr>
          <w:i/>
          <w:szCs w:val="24"/>
          <w:lang w:val="pl-PL"/>
        </w:rPr>
        <w:t>Fleury</w:t>
      </w:r>
      <w:proofErr w:type="spellEnd"/>
      <w:r w:rsidRPr="00ED61C2">
        <w:rPr>
          <w:i/>
          <w:szCs w:val="24"/>
          <w:lang w:val="pl-PL"/>
        </w:rPr>
        <w:t xml:space="preserve"> przeciwko Francji</w:t>
      </w:r>
      <w:r w:rsidRPr="00ED61C2">
        <w:rPr>
          <w:szCs w:val="24"/>
          <w:lang w:val="pl-PL"/>
        </w:rPr>
        <w:t>, nr 29784/06, § 45, 4 października 2010 r.</w:t>
      </w:r>
      <w:r w:rsidRPr="00ED61C2">
        <w:rPr>
          <w:lang w:val="pl-PL"/>
        </w:rPr>
        <w:t>).</w:t>
      </w:r>
    </w:p>
    <w:p w:rsidR="004F6129" w:rsidRPr="00ED61C2" w:rsidRDefault="004F6129" w:rsidP="0030061A">
      <w:pPr>
        <w:pStyle w:val="ECHRPara"/>
        <w:rPr>
          <w:lang w:val="pl-PL"/>
        </w:rPr>
      </w:pPr>
      <w:r w:rsidRPr="00ED61C2">
        <w:rPr>
          <w:lang w:val="pl-PL"/>
        </w:rPr>
        <w:t>W niniejszym przypadku, choć skarżący miał prawo powiadomić opinię publiczną o ewentualnym naruszeniu prawa, do jakiego doszło w związku z kampanią wyborczą, postawienie zarzutów bezpośrednio G.K. wiązało się dla niego z obowiązkiem przedstawienia wystarczających podstaw merytorycznych na poparcie poczynionych na temat polityka stwierdzeń (</w:t>
      </w:r>
      <w:proofErr w:type="spellStart"/>
      <w:r w:rsidRPr="00ED61C2">
        <w:rPr>
          <w:i/>
          <w:lang w:val="pl-PL"/>
        </w:rPr>
        <w:t>Cuc</w:t>
      </w:r>
      <w:proofErr w:type="spellEnd"/>
      <w:r w:rsidRPr="00ED61C2">
        <w:rPr>
          <w:i/>
          <w:lang w:val="pl-PL"/>
        </w:rPr>
        <w:t xml:space="preserve"> </w:t>
      </w:r>
      <w:proofErr w:type="spellStart"/>
      <w:r w:rsidRPr="00ED61C2">
        <w:rPr>
          <w:i/>
          <w:lang w:val="pl-PL"/>
        </w:rPr>
        <w:t>Pascu</w:t>
      </w:r>
      <w:proofErr w:type="spellEnd"/>
      <w:r w:rsidRPr="00ED61C2">
        <w:rPr>
          <w:lang w:val="pl-PL"/>
        </w:rPr>
        <w:t xml:space="preserve"> </w:t>
      </w:r>
      <w:r w:rsidRPr="00ED61C2">
        <w:rPr>
          <w:i/>
          <w:lang w:val="pl-PL"/>
        </w:rPr>
        <w:t>przeciwko Rumunii</w:t>
      </w:r>
      <w:r w:rsidRPr="00ED61C2">
        <w:rPr>
          <w:lang w:val="pl-PL"/>
        </w:rPr>
        <w:t>, nr 53899/00, § 48, 31 stycznia 2006 r.).</w:t>
      </w:r>
    </w:p>
    <w:p w:rsidR="004F6129" w:rsidRPr="00ED61C2" w:rsidRDefault="004F6129" w:rsidP="0030061A">
      <w:pPr>
        <w:pStyle w:val="ECHRPara"/>
        <w:rPr>
          <w:lang w:val="pl-PL"/>
        </w:rPr>
      </w:pPr>
      <w:r w:rsidRPr="00ED61C2">
        <w:rPr>
          <w:lang w:val="pl-PL"/>
        </w:rPr>
        <w:t>18.  W niniejszym przypadku Trybunał zaznacza, że krajowe organy sądownictwa orzekały w ramach procedury przewidzianej w kodeksie wyborczym, która dotyczy wyłącznie zbadania, czy informacje rozpowszechniane w związku z kampanią wyborczą i mogące mieć wpływ na wynik głosowania są zgodne z prawdą (</w:t>
      </w:r>
      <w:r w:rsidRPr="00ED61C2">
        <w:rPr>
          <w:i/>
          <w:lang w:val="pl-PL"/>
        </w:rPr>
        <w:t xml:space="preserve">Barbara Wieszczek przeciwko Polsce </w:t>
      </w:r>
      <w:r w:rsidRPr="00ED61C2">
        <w:rPr>
          <w:lang w:val="pl-PL"/>
        </w:rPr>
        <w:t>(</w:t>
      </w:r>
      <w:proofErr w:type="spellStart"/>
      <w:r w:rsidRPr="00ED61C2">
        <w:rPr>
          <w:lang w:val="pl-PL"/>
        </w:rPr>
        <w:t>dec</w:t>
      </w:r>
      <w:proofErr w:type="spellEnd"/>
      <w:r w:rsidRPr="00ED61C2">
        <w:rPr>
          <w:lang w:val="pl-PL"/>
        </w:rPr>
        <w:t>.), nr 44320/02, 11 października 2005 r.).</w:t>
      </w:r>
    </w:p>
    <w:p w:rsidR="004F6129" w:rsidRPr="00ED61C2" w:rsidRDefault="004F6129" w:rsidP="00EB7045">
      <w:pPr>
        <w:pStyle w:val="ECHRPara"/>
        <w:rPr>
          <w:szCs w:val="24"/>
          <w:lang w:val="pl-PL"/>
        </w:rPr>
      </w:pPr>
      <w:r w:rsidRPr="00ED61C2">
        <w:rPr>
          <w:szCs w:val="24"/>
          <w:lang w:val="pl-PL"/>
        </w:rPr>
        <w:t xml:space="preserve">W tym kontekście Trybunał zauważa, że sądy krajowe orzekły, iż informacje, za pośrednictwem których skarżący zarzucił G.K. naruszenie prawa, w tym nielegalne finansowanie kampanii wyborczej i oszustwo, nie były prawdziwe i godziły w wizerunek i dobre imię G.K. jako kandydata na posła. Zaznaczyły, że skarżący nie przedstawił żadnego materiału dowodowego na poparcie swoich twierdzeń. Ponadto skarżący nie wypowiedział się na temat zarzutów wysuniętych przeciwko G.K. i nie zakwestionował przed sądem apelacyjnym konkluzji sądu okręgowego, według której podane przez niego informacje były nieprawdziwe. Krajowe organy sądownictwa uznały, że nie zostały przedstawione żadne dowody </w:t>
      </w:r>
      <w:r w:rsidRPr="00ED61C2">
        <w:rPr>
          <w:szCs w:val="24"/>
          <w:lang w:val="pl-PL"/>
        </w:rPr>
        <w:lastRenderedPageBreak/>
        <w:t>świadczące o zarzucanym naruszeniu prawa, jakiego miał dopuścić się G.K. w związku z kampanią wyborczą.</w:t>
      </w:r>
    </w:p>
    <w:p w:rsidR="004F6129" w:rsidRPr="00ED61C2" w:rsidRDefault="004F6129" w:rsidP="0030061A">
      <w:pPr>
        <w:pStyle w:val="ECHRPara"/>
        <w:rPr>
          <w:lang w:val="pl-PL"/>
        </w:rPr>
      </w:pPr>
      <w:r w:rsidRPr="00ED61C2">
        <w:rPr>
          <w:lang w:val="pl-PL"/>
        </w:rPr>
        <w:t xml:space="preserve">19.  Trybunał przypomina swoje utrwalone orzecznictwo, zgodnie z którym aby stwierdzić istnienie „nadrzędnej potrzeby społecznej”, która może uzasadnić ingerencję w korzystanie z wolności wyrażania opinii, należy odróżnić fakty od sądów o charakterze oceniającym. Podczas gdy istnienie faktów może zostać dowiedzione, prawdziwość ocen nie podlega udowodnieniu (zob. m.in. wyrok w sprawie </w:t>
      </w:r>
      <w:r w:rsidRPr="00ED61C2">
        <w:rPr>
          <w:i/>
          <w:lang w:val="pl-PL"/>
        </w:rPr>
        <w:t xml:space="preserve">De </w:t>
      </w:r>
      <w:proofErr w:type="spellStart"/>
      <w:r w:rsidRPr="00ED61C2">
        <w:rPr>
          <w:i/>
          <w:lang w:val="pl-PL"/>
        </w:rPr>
        <w:t>Haes</w:t>
      </w:r>
      <w:proofErr w:type="spellEnd"/>
      <w:r w:rsidRPr="00ED61C2">
        <w:rPr>
          <w:i/>
          <w:lang w:val="pl-PL"/>
        </w:rPr>
        <w:t xml:space="preserve"> i </w:t>
      </w:r>
      <w:proofErr w:type="spellStart"/>
      <w:r w:rsidRPr="00ED61C2">
        <w:rPr>
          <w:i/>
          <w:lang w:val="pl-PL"/>
        </w:rPr>
        <w:t>Gijsels</w:t>
      </w:r>
      <w:proofErr w:type="spellEnd"/>
      <w:r w:rsidRPr="00ED61C2">
        <w:rPr>
          <w:lang w:val="pl-PL"/>
        </w:rPr>
        <w:t xml:space="preserve"> </w:t>
      </w:r>
      <w:r w:rsidRPr="00ED61C2">
        <w:rPr>
          <w:i/>
          <w:lang w:val="pl-PL"/>
        </w:rPr>
        <w:t>przeciwko Belgii</w:t>
      </w:r>
      <w:r w:rsidRPr="00ED61C2">
        <w:rPr>
          <w:lang w:val="pl-PL"/>
        </w:rPr>
        <w:t>, 24 lutego 1997 r., § 42, Raporty 1997</w:t>
      </w:r>
      <w:r w:rsidRPr="00ED61C2">
        <w:rPr>
          <w:lang w:val="pl-PL"/>
        </w:rPr>
        <w:noBreakHyphen/>
        <w:t xml:space="preserve">I, oraz </w:t>
      </w:r>
      <w:proofErr w:type="spellStart"/>
      <w:r w:rsidRPr="00ED61C2">
        <w:rPr>
          <w:i/>
          <w:lang w:val="pl-PL"/>
        </w:rPr>
        <w:t>Harlanova</w:t>
      </w:r>
      <w:proofErr w:type="spellEnd"/>
      <w:r w:rsidRPr="00ED61C2">
        <w:rPr>
          <w:i/>
          <w:lang w:val="pl-PL"/>
        </w:rPr>
        <w:t xml:space="preserve"> przeciwko Łotwie </w:t>
      </w:r>
      <w:r w:rsidRPr="00ED61C2">
        <w:rPr>
          <w:lang w:val="pl-PL"/>
        </w:rPr>
        <w:t>(</w:t>
      </w:r>
      <w:proofErr w:type="spellStart"/>
      <w:r w:rsidRPr="00ED61C2">
        <w:rPr>
          <w:lang w:val="pl-PL"/>
        </w:rPr>
        <w:t>dec</w:t>
      </w:r>
      <w:proofErr w:type="spellEnd"/>
      <w:r w:rsidRPr="00ED61C2">
        <w:rPr>
          <w:lang w:val="pl-PL"/>
        </w:rPr>
        <w:t>.), nr 57313/00, 3 kwietnia 2003 r.).</w:t>
      </w:r>
    </w:p>
    <w:p w:rsidR="004F6129" w:rsidRPr="00ED61C2" w:rsidRDefault="004F6129" w:rsidP="0030061A">
      <w:pPr>
        <w:pStyle w:val="ECHRPara"/>
        <w:rPr>
          <w:lang w:val="pl-PL"/>
        </w:rPr>
      </w:pPr>
      <w:r w:rsidRPr="00ED61C2">
        <w:rPr>
          <w:lang w:val="pl-PL"/>
        </w:rPr>
        <w:t>Prawdą jest, że w odniesieniu do stwierdzeń na temat postępowania osoby trzeciej mogą, tak jak w tym przypadku, wystąpić trudności w odróżnieniu zarzutów odnoszących się do faktów od sądów o charakterze oceniającym. Pozostaje jednak faktem, że wysunięcie zarzutów bezpośrednio przeciwko określonym osobom pociąga za sobą obowiązek przedstawienia wystarczających podstaw merytorycznych (</w:t>
      </w:r>
      <w:proofErr w:type="spellStart"/>
      <w:r w:rsidRPr="00ED61C2">
        <w:rPr>
          <w:i/>
          <w:lang w:val="pl-PL"/>
        </w:rPr>
        <w:t>Cumpănă</w:t>
      </w:r>
      <w:proofErr w:type="spellEnd"/>
      <w:r w:rsidRPr="00ED61C2">
        <w:rPr>
          <w:i/>
          <w:lang w:val="pl-PL"/>
        </w:rPr>
        <w:t xml:space="preserve"> i </w:t>
      </w:r>
      <w:proofErr w:type="spellStart"/>
      <w:r w:rsidRPr="00ED61C2">
        <w:rPr>
          <w:i/>
          <w:lang w:val="pl-PL"/>
        </w:rPr>
        <w:t>Mazăre</w:t>
      </w:r>
      <w:proofErr w:type="spellEnd"/>
      <w:r w:rsidRPr="00ED61C2">
        <w:rPr>
          <w:i/>
          <w:lang w:val="pl-PL"/>
        </w:rPr>
        <w:t xml:space="preserve"> przeciwko Rumunii </w:t>
      </w:r>
      <w:r w:rsidRPr="00ED61C2">
        <w:rPr>
          <w:lang w:val="pl-PL"/>
        </w:rPr>
        <w:t>[Wielka Izba], nr 33348/96, §§ 98–99, ETPC 2004</w:t>
      </w:r>
      <w:r w:rsidRPr="00ED61C2">
        <w:rPr>
          <w:lang w:val="pl-PL"/>
        </w:rPr>
        <w:noBreakHyphen/>
        <w:t xml:space="preserve">XI, </w:t>
      </w:r>
      <w:proofErr w:type="spellStart"/>
      <w:r w:rsidRPr="00ED61C2">
        <w:rPr>
          <w:i/>
          <w:lang w:val="pl-PL"/>
        </w:rPr>
        <w:t>Lombardo</w:t>
      </w:r>
      <w:proofErr w:type="spellEnd"/>
      <w:r w:rsidRPr="00ED61C2">
        <w:rPr>
          <w:i/>
          <w:lang w:val="pl-PL"/>
        </w:rPr>
        <w:t xml:space="preserve"> i inni przeciwko Malcie</w:t>
      </w:r>
      <w:r w:rsidRPr="00ED61C2">
        <w:rPr>
          <w:lang w:val="pl-PL"/>
        </w:rPr>
        <w:t>, nr 7333/06, § 60, 24 kwietnia 2007 r.).</w:t>
      </w:r>
    </w:p>
    <w:p w:rsidR="004F6129" w:rsidRPr="00ED61C2" w:rsidRDefault="004F6129" w:rsidP="0030061A">
      <w:pPr>
        <w:pStyle w:val="ECHRPara"/>
        <w:rPr>
          <w:szCs w:val="24"/>
          <w:lang w:val="pl-PL"/>
        </w:rPr>
      </w:pPr>
      <w:r w:rsidRPr="00ED61C2">
        <w:rPr>
          <w:szCs w:val="24"/>
          <w:lang w:val="pl-PL"/>
        </w:rPr>
        <w:t>20.  W niniejszym przypadku Trybunał jest zdania, że sporna publikacja zawierała zarzuty odnoszące się do faktów. Stwierdza, że krajowe sądy dały skarżącemu możliwość udowodnienia, że istnieje podstawa merytoryczna dla jego twierdzeń. Skarżący nie przedstawił jednak żadnego dowodu, który mógłby je uzasadnić. W związku z tym, tak jak sądy krajowe, Trybunał jest zdania, że sporne twierdzenia nie były oparte na żadnej podstawie merytorycznej.</w:t>
      </w:r>
    </w:p>
    <w:p w:rsidR="004F6129" w:rsidRPr="00ED61C2" w:rsidRDefault="004F6129" w:rsidP="0030061A">
      <w:pPr>
        <w:pStyle w:val="ECHRPara"/>
        <w:rPr>
          <w:szCs w:val="24"/>
          <w:lang w:val="pl-PL"/>
        </w:rPr>
      </w:pPr>
      <w:r w:rsidRPr="00ED61C2">
        <w:rPr>
          <w:szCs w:val="24"/>
          <w:lang w:val="pl-PL"/>
        </w:rPr>
        <w:t>21.  Jeśli chodzi o ich treść, Trybunał jest zdania, że zważywszy na kontekst, w jakim zostały opublikowane, sporne oświadczenia mogły godzić w dobre imię G.K. jako kandydata na posła.</w:t>
      </w:r>
    </w:p>
    <w:p w:rsidR="004F6129" w:rsidRPr="00ED61C2" w:rsidRDefault="004F6129" w:rsidP="0030061A">
      <w:pPr>
        <w:ind w:firstLine="284"/>
        <w:rPr>
          <w:lang w:val="pl-PL" w:eastAsia="fr-FR"/>
        </w:rPr>
      </w:pPr>
      <w:r w:rsidRPr="00ED61C2">
        <w:rPr>
          <w:lang w:val="pl-PL" w:eastAsia="fr-FR"/>
        </w:rPr>
        <w:t xml:space="preserve">22.  Trybunał przypomina, że przy ocenie proporcjonalności ograniczenia wolności wyrażania opinii zapewnionej w art. 10 Konwencji należy wziąć pod uwagę rodzaj i ciężar zasądzonej kary </w:t>
      </w:r>
      <w:r w:rsidRPr="00ED61C2">
        <w:rPr>
          <w:rStyle w:val="JuParaChar"/>
          <w:lang w:val="pl-PL"/>
        </w:rPr>
        <w:t>(</w:t>
      </w:r>
      <w:r w:rsidRPr="00ED61C2">
        <w:rPr>
          <w:rStyle w:val="JuParaChar"/>
          <w:i/>
          <w:lang w:val="pl-PL"/>
        </w:rPr>
        <w:t xml:space="preserve">Skałka przeciwko Polsce, </w:t>
      </w:r>
      <w:r w:rsidRPr="00ED61C2">
        <w:rPr>
          <w:rStyle w:val="JuParaChar"/>
          <w:lang w:val="pl-PL"/>
        </w:rPr>
        <w:t>nr 43425/98, §§ 41-42, wyrok z dnia 27 maja 2003 r.).</w:t>
      </w:r>
    </w:p>
    <w:p w:rsidR="004F6129" w:rsidRPr="00ED61C2" w:rsidRDefault="004F6129" w:rsidP="0030061A">
      <w:pPr>
        <w:pStyle w:val="ECHRPara"/>
        <w:rPr>
          <w:lang w:val="pl-PL"/>
        </w:rPr>
      </w:pPr>
      <w:r w:rsidRPr="00ED61C2">
        <w:rPr>
          <w:lang w:val="pl-PL"/>
        </w:rPr>
        <w:t>W tym względzie Trybunał zauważa, że środki podjęte przez krajowe organy sądownictwa miały na celu zmniejszenie negatywnego wpływu spornej publikacji na dobre imię G.K. jako kandydata na posła. Trybunał jest zdania, że sankcje zasądzone wobec skarżącego były wyważone, jako że krajowe organy sądownictwa oddaliły m.in. wniosek o nakazanie wpłacenia sumy pieniężnej na rzecz organizacji dobroczynnej ze względu na sytuację finansową skarżącego. Osądziły również, że sprostowanie spornej publikacji w telewizji lokalnej nie jest w tym przypadku konieczne.</w:t>
      </w:r>
    </w:p>
    <w:p w:rsidR="004F6129" w:rsidRPr="00ED61C2" w:rsidRDefault="004F6129" w:rsidP="0030061A">
      <w:pPr>
        <w:pStyle w:val="ECHRPara"/>
        <w:rPr>
          <w:lang w:val="pl-PL"/>
        </w:rPr>
      </w:pPr>
      <w:r w:rsidRPr="00ED61C2">
        <w:rPr>
          <w:lang w:val="pl-PL"/>
        </w:rPr>
        <w:t xml:space="preserve">23.  W związku z powyższym Trybunał jest zdania, że zaskarżona ingerencja nie była nieproporcjonalna wobec wyznaczonego uprawnionego </w:t>
      </w:r>
      <w:r w:rsidRPr="00ED61C2">
        <w:rPr>
          <w:lang w:val="pl-PL"/>
        </w:rPr>
        <w:lastRenderedPageBreak/>
        <w:t xml:space="preserve">celu oraz że uzasadnienie podjętych wobec skarżącego środków podane przez krajowe organy sądownictwa było stosowne i wystarczające. </w:t>
      </w:r>
    </w:p>
    <w:p w:rsidR="004F6129" w:rsidRPr="00ED61C2" w:rsidRDefault="004F6129" w:rsidP="0030061A">
      <w:pPr>
        <w:pStyle w:val="ECHRPara"/>
        <w:rPr>
          <w:lang w:val="pl-PL"/>
        </w:rPr>
      </w:pPr>
      <w:r w:rsidRPr="00ED61C2">
        <w:rPr>
          <w:lang w:val="pl-PL"/>
        </w:rPr>
        <w:t>24.  Z tego wynika, że skarga jest w sposób oczywisty nieuzasadniona i musi zostać odrzucona, zgodnie z art. 35 §§ 3 a) i 4 Konwencji.</w:t>
      </w:r>
    </w:p>
    <w:p w:rsidR="004F6129" w:rsidRPr="00ED61C2" w:rsidRDefault="004F6129" w:rsidP="0030061A">
      <w:pPr>
        <w:pStyle w:val="JuParaLast"/>
        <w:rPr>
          <w:lang w:val="pl-PL"/>
        </w:rPr>
      </w:pPr>
      <w:r w:rsidRPr="00ED61C2">
        <w:rPr>
          <w:lang w:val="pl-PL"/>
        </w:rPr>
        <w:t>Z tych przyczyn Trybunał jednogłośnie</w:t>
      </w:r>
    </w:p>
    <w:p w:rsidR="004F6129" w:rsidRPr="00ED61C2" w:rsidRDefault="004F6129" w:rsidP="0030061A">
      <w:pPr>
        <w:pStyle w:val="DecList"/>
        <w:rPr>
          <w:lang w:val="pl-PL"/>
        </w:rPr>
      </w:pPr>
      <w:r w:rsidRPr="00ED61C2">
        <w:rPr>
          <w:i/>
          <w:lang w:val="pl-PL"/>
        </w:rPr>
        <w:t xml:space="preserve">Uznaje </w:t>
      </w:r>
      <w:r w:rsidRPr="00ED61C2">
        <w:rPr>
          <w:lang w:val="pl-PL"/>
        </w:rPr>
        <w:t>skargę za niedopuszczalną.</w:t>
      </w:r>
    </w:p>
    <w:p w:rsidR="004F6129" w:rsidRPr="00ED61C2" w:rsidRDefault="004F6129" w:rsidP="004047FE">
      <w:pPr>
        <w:pStyle w:val="ECHRPara"/>
        <w:rPr>
          <w:sz w:val="2"/>
          <w:szCs w:val="2"/>
          <w:lang w:val="pl-PL" w:eastAsia="en-GB"/>
        </w:rPr>
      </w:pPr>
    </w:p>
    <w:p w:rsidR="004F6129" w:rsidRPr="00ED61C2" w:rsidRDefault="004F6129" w:rsidP="006F19B0">
      <w:pPr>
        <w:pStyle w:val="JuParaLast"/>
        <w:rPr>
          <w:lang w:val="pl-PL"/>
        </w:rPr>
      </w:pPr>
      <w:r w:rsidRPr="00ED61C2">
        <w:rPr>
          <w:szCs w:val="24"/>
          <w:lang w:val="pl-PL"/>
        </w:rPr>
        <w:t>Sporządzono w języku francuskim i obwieszczono pisemnie dnia 2 kwietnia 2015 r.</w:t>
      </w:r>
    </w:p>
    <w:p w:rsidR="004F6129" w:rsidRPr="00ED61C2" w:rsidRDefault="004F6129" w:rsidP="004E3646">
      <w:pPr>
        <w:pStyle w:val="JuSigned"/>
        <w:rPr>
          <w:lang w:val="pl-PL"/>
        </w:rPr>
      </w:pPr>
      <w:r w:rsidRPr="00ED61C2">
        <w:rPr>
          <w:lang w:val="pl-PL"/>
        </w:rPr>
        <w:tab/>
      </w:r>
      <w:proofErr w:type="spellStart"/>
      <w:r w:rsidRPr="00ED61C2">
        <w:rPr>
          <w:lang w:val="pl-PL"/>
        </w:rPr>
        <w:t>Fatoş</w:t>
      </w:r>
      <w:proofErr w:type="spellEnd"/>
      <w:r w:rsidRPr="00ED61C2">
        <w:rPr>
          <w:lang w:val="pl-PL"/>
        </w:rPr>
        <w:t xml:space="preserve"> </w:t>
      </w:r>
      <w:proofErr w:type="spellStart"/>
      <w:r w:rsidRPr="00ED61C2">
        <w:rPr>
          <w:lang w:val="pl-PL"/>
        </w:rPr>
        <w:t>Aracı</w:t>
      </w:r>
      <w:proofErr w:type="spellEnd"/>
      <w:r w:rsidRPr="00ED61C2">
        <w:rPr>
          <w:lang w:val="pl-PL"/>
        </w:rPr>
        <w:tab/>
        <w:t xml:space="preserve">George </w:t>
      </w:r>
      <w:proofErr w:type="spellStart"/>
      <w:r w:rsidRPr="00ED61C2">
        <w:rPr>
          <w:lang w:val="pl-PL"/>
        </w:rPr>
        <w:t>Nicolaou</w:t>
      </w:r>
      <w:proofErr w:type="spellEnd"/>
      <w:r w:rsidRPr="00ED61C2">
        <w:rPr>
          <w:lang w:val="pl-PL"/>
        </w:rPr>
        <w:br/>
      </w:r>
      <w:r w:rsidRPr="00ED61C2">
        <w:rPr>
          <w:lang w:val="pl-PL"/>
        </w:rPr>
        <w:tab/>
        <w:t>Zastępca Kanclerza</w:t>
      </w:r>
      <w:bookmarkStart w:id="0" w:name="_GoBack"/>
      <w:bookmarkEnd w:id="0"/>
      <w:r w:rsidRPr="00ED61C2">
        <w:rPr>
          <w:lang w:val="pl-PL"/>
        </w:rPr>
        <w:tab/>
        <w:t>Przewodniczący</w:t>
      </w:r>
    </w:p>
    <w:sectPr w:rsidR="004F6129" w:rsidRPr="00ED61C2" w:rsidSect="00AF7102">
      <w:headerReference w:type="even" r:id="rId8"/>
      <w:headerReference w:type="default" r:id="rId9"/>
      <w:headerReference w:type="first" r:id="rId10"/>
      <w:footerReference w:type="first" r:id="rId11"/>
      <w:footnotePr>
        <w:numRestart w:val="eachPage"/>
      </w:footnotePr>
      <w:pgSz w:w="11906" w:h="16838" w:code="9"/>
      <w:pgMar w:top="2274" w:right="2274" w:bottom="2274" w:left="2274" w:header="1701"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908" w:rsidRDefault="00056908" w:rsidP="006544C4">
      <w:r>
        <w:separator/>
      </w:r>
    </w:p>
  </w:endnote>
  <w:endnote w:type="continuationSeparator" w:id="0">
    <w:p w:rsidR="00056908" w:rsidRDefault="00056908"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29" w:rsidRPr="00150BFA" w:rsidRDefault="008A5158" w:rsidP="0020718E">
    <w:pPr>
      <w:jc w:val="center"/>
    </w:pPr>
    <w:r>
      <w:rPr>
        <w:noProof/>
        <w:lang w:val="pl-PL" w:eastAsia="pl-PL"/>
      </w:rPr>
      <w:drawing>
        <wp:inline distT="0" distB="0" distL="0" distR="0">
          <wp:extent cx="766445" cy="61849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445" cy="618490"/>
                  </a:xfrm>
                  <a:prstGeom prst="rect">
                    <a:avLst/>
                  </a:prstGeom>
                  <a:noFill/>
                  <a:ln>
                    <a:noFill/>
                  </a:ln>
                </pic:spPr>
              </pic:pic>
            </a:graphicData>
          </a:graphic>
        </wp:inline>
      </w:drawing>
    </w:r>
  </w:p>
  <w:p w:rsidR="004F6129" w:rsidRPr="00633A19" w:rsidRDefault="004F6129" w:rsidP="003146E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908" w:rsidRDefault="00056908" w:rsidP="006544C4">
      <w:r>
        <w:separator/>
      </w:r>
    </w:p>
  </w:footnote>
  <w:footnote w:type="continuationSeparator" w:id="0">
    <w:p w:rsidR="00056908" w:rsidRDefault="00056908" w:rsidP="006544C4">
      <w:r>
        <w:continuationSeparator/>
      </w:r>
    </w:p>
  </w:footnote>
  <w:footnote w:id="1">
    <w:p w:rsidR="004F6129" w:rsidRPr="00257E95" w:rsidRDefault="004F6129">
      <w:pPr>
        <w:pStyle w:val="Tekstprzypisudolnego"/>
        <w:rPr>
          <w:lang w:val="pl-PL"/>
        </w:rPr>
      </w:pPr>
      <w:r>
        <w:rPr>
          <w:rStyle w:val="Odwoanieprzypisudolnego"/>
        </w:rPr>
        <w:footnoteRef/>
      </w:r>
      <w:r w:rsidRPr="00257E95">
        <w:rPr>
          <w:lang w:val="pl-PL"/>
        </w:rPr>
        <w:t xml:space="preserve"> </w:t>
      </w:r>
      <w:r>
        <w:rPr>
          <w:lang w:val="pl-PL"/>
        </w:rPr>
        <w:t>Tak w oryginale; tu i niżej, gdy pojawiają się inicjały „G.K.”, chodzi o G.M. (przyp. tłum.)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29" w:rsidRPr="000D527F" w:rsidRDefault="004F6129" w:rsidP="003312A3">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60FFE">
      <w:rPr>
        <w:rStyle w:val="Numerstrony"/>
        <w:noProof/>
        <w:lang w:val="en-GB"/>
      </w:rPr>
      <w:t>2</w:t>
    </w:r>
    <w:r>
      <w:rPr>
        <w:rStyle w:val="Numerstrony"/>
        <w:lang w:val="en-GB"/>
      </w:rPr>
      <w:fldChar w:fldCharType="end"/>
    </w:r>
    <w:r w:rsidRPr="000D527F">
      <w:rPr>
        <w:lang w:val="en-GB"/>
      </w:rPr>
      <w:tab/>
    </w:r>
    <w:r>
      <w:rPr>
        <w:lang w:val="en-GB"/>
      </w:rPr>
      <w:t xml:space="preserve">KOSIŃSKI </w:t>
    </w:r>
    <w:r w:rsidR="00D60FFE">
      <w:rPr>
        <w:lang w:val="en-GB"/>
      </w:rPr>
      <w:t xml:space="preserve">p. </w:t>
    </w:r>
    <w:proofErr w:type="spellStart"/>
    <w:r w:rsidR="00D60FFE">
      <w:rPr>
        <w:lang w:val="en-GB"/>
      </w:rPr>
      <w:t>Polsce</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29" w:rsidRPr="000D527F" w:rsidRDefault="004F6129" w:rsidP="006544C4">
    <w:pPr>
      <w:pStyle w:val="ECHRHeader"/>
      <w:rPr>
        <w:lang w:val="en-GB"/>
      </w:rPr>
    </w:pPr>
    <w:r>
      <w:tab/>
    </w:r>
    <w:r>
      <w:rPr>
        <w:lang w:val="en-GB"/>
      </w:rPr>
      <w:t>KOSIŃSKI</w:t>
    </w:r>
    <w:r w:rsidR="00D60FFE">
      <w:rPr>
        <w:lang w:val="en-GB"/>
      </w:rPr>
      <w:t xml:space="preserve"> p. </w:t>
    </w:r>
    <w:proofErr w:type="spellStart"/>
    <w:r w:rsidR="00D60FFE">
      <w:rPr>
        <w:lang w:val="en-GB"/>
      </w:rPr>
      <w:t>Polsce</w:t>
    </w:r>
    <w:proofErr w:type="spellEnd"/>
    <w:r w:rsidRPr="000D527F">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60FFE">
      <w:rPr>
        <w:rStyle w:val="Numerstrony"/>
        <w:noProof/>
        <w:lang w:val="en-GB"/>
      </w:rPr>
      <w:t>3</w:t>
    </w:r>
    <w:r>
      <w:rPr>
        <w:rStyle w:val="Numerstrony"/>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29" w:rsidRPr="00A45145" w:rsidRDefault="008A5158" w:rsidP="00A45145">
    <w:pPr>
      <w:jc w:val="center"/>
    </w:pPr>
    <w:r>
      <w:rPr>
        <w:noProof/>
        <w:lang w:val="pl-PL" w:eastAsia="pl-PL"/>
      </w:rPr>
      <w:drawing>
        <wp:inline distT="0" distB="0" distL="0" distR="0">
          <wp:extent cx="2962275" cy="1217295"/>
          <wp:effectExtent l="0" t="0" r="952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7295"/>
                  </a:xfrm>
                  <a:prstGeom prst="rect">
                    <a:avLst/>
                  </a:prstGeom>
                  <a:noFill/>
                  <a:ln>
                    <a:noFill/>
                  </a:ln>
                </pic:spPr>
              </pic:pic>
            </a:graphicData>
          </a:graphic>
        </wp:inline>
      </w:drawing>
    </w:r>
  </w:p>
  <w:p w:rsidR="004F6129" w:rsidRDefault="004F6129" w:rsidP="003146E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anumerowana4"/>
      <w:lvlText w:val="%1."/>
      <w:lvlJc w:val="left"/>
      <w:pPr>
        <w:tabs>
          <w:tab w:val="num" w:pos="1492"/>
        </w:tabs>
        <w:ind w:left="1492" w:hanging="360"/>
      </w:pPr>
      <w:rPr>
        <w:rFonts w:cs="Times New Roman"/>
      </w:rPr>
    </w:lvl>
  </w:abstractNum>
  <w:abstractNum w:abstractNumId="1">
    <w:nsid w:val="FFFFFF7D"/>
    <w:multiLevelType w:val="singleLevel"/>
    <w:tmpl w:val="B784B494"/>
    <w:lvl w:ilvl="0">
      <w:start w:val="1"/>
      <w:numFmt w:val="decimal"/>
      <w:pStyle w:val="Listanumerowana3"/>
      <w:lvlText w:val="%1."/>
      <w:lvlJc w:val="left"/>
      <w:pPr>
        <w:tabs>
          <w:tab w:val="num" w:pos="1209"/>
        </w:tabs>
        <w:ind w:left="1209" w:hanging="360"/>
      </w:pPr>
      <w:rPr>
        <w:rFonts w:cs="Times New Roman"/>
      </w:rPr>
    </w:lvl>
  </w:abstractNum>
  <w:abstractNum w:abstractNumId="2">
    <w:nsid w:val="FFFFFF7E"/>
    <w:multiLevelType w:val="singleLevel"/>
    <w:tmpl w:val="52BEA742"/>
    <w:lvl w:ilvl="0">
      <w:start w:val="1"/>
      <w:numFmt w:val="decimal"/>
      <w:pStyle w:val="Listanumerowana2"/>
      <w:lvlText w:val="%1."/>
      <w:lvlJc w:val="left"/>
      <w:pPr>
        <w:tabs>
          <w:tab w:val="num" w:pos="926"/>
        </w:tabs>
        <w:ind w:left="926" w:hanging="360"/>
      </w:pPr>
      <w:rPr>
        <w:rFonts w:cs="Times New Roman"/>
      </w:rPr>
    </w:lvl>
  </w:abstractNum>
  <w:abstractNum w:abstractNumId="3">
    <w:nsid w:val="FFFFFF7F"/>
    <w:multiLevelType w:val="singleLevel"/>
    <w:tmpl w:val="50CE4694"/>
    <w:lvl w:ilvl="0">
      <w:start w:val="1"/>
      <w:numFmt w:val="decimal"/>
      <w:pStyle w:val="Listanumerowana"/>
      <w:lvlText w:val="%1."/>
      <w:lvlJc w:val="left"/>
      <w:pPr>
        <w:tabs>
          <w:tab w:val="num" w:pos="643"/>
        </w:tabs>
        <w:ind w:left="643" w:hanging="360"/>
      </w:pPr>
      <w:rPr>
        <w:rFonts w:cs="Times New Roman"/>
      </w:rPr>
    </w:lvl>
  </w:abstractNum>
  <w:abstractNum w:abstractNumId="4">
    <w:nsid w:val="FFFFFF80"/>
    <w:multiLevelType w:val="singleLevel"/>
    <w:tmpl w:val="BBB0CDAA"/>
    <w:lvl w:ilvl="0">
      <w:start w:val="1"/>
      <w:numFmt w:val="bullet"/>
      <w:pStyle w:val="Listapunktowana4"/>
      <w:lvlText w:val=""/>
      <w:lvlJc w:val="left"/>
      <w:pPr>
        <w:tabs>
          <w:tab w:val="num" w:pos="1492"/>
        </w:tabs>
        <w:ind w:left="1492" w:hanging="360"/>
      </w:pPr>
      <w:rPr>
        <w:rFonts w:ascii="Symbol" w:hAnsi="Symbol" w:hint="default"/>
      </w:rPr>
    </w:lvl>
  </w:abstractNum>
  <w:abstractNum w:abstractNumId="5">
    <w:nsid w:val="FFFFFF81"/>
    <w:multiLevelType w:val="singleLevel"/>
    <w:tmpl w:val="71D8D446"/>
    <w:lvl w:ilvl="0">
      <w:start w:val="1"/>
      <w:numFmt w:val="bullet"/>
      <w:pStyle w:val="Listapunktowana"/>
      <w:lvlText w:val=""/>
      <w:lvlJc w:val="left"/>
      <w:pPr>
        <w:tabs>
          <w:tab w:val="num" w:pos="1209"/>
        </w:tabs>
        <w:ind w:left="1209" w:hanging="360"/>
      </w:pPr>
      <w:rPr>
        <w:rFonts w:ascii="Symbol" w:hAnsi="Symbol" w:hint="default"/>
      </w:rPr>
    </w:lvl>
  </w:abstractNum>
  <w:abstractNum w:abstractNumId="6">
    <w:nsid w:val="FFFFFF82"/>
    <w:multiLevelType w:val="singleLevel"/>
    <w:tmpl w:val="34AC1244"/>
    <w:lvl w:ilvl="0">
      <w:start w:val="1"/>
      <w:numFmt w:val="bullet"/>
      <w:pStyle w:val="Listapunktowana2"/>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JuAppQuestion"/>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apunktowana5"/>
      <w:lvlText w:val="%1."/>
      <w:lvlJc w:val="left"/>
      <w:pPr>
        <w:tabs>
          <w:tab w:val="num" w:pos="360"/>
        </w:tabs>
        <w:ind w:left="360" w:hanging="360"/>
      </w:pPr>
      <w:rPr>
        <w:rFonts w:cs="Times New Roman"/>
      </w:rPr>
    </w:lvl>
  </w:abstractNum>
  <w:abstractNum w:abstractNumId="9">
    <w:nsid w:val="FFFFFF89"/>
    <w:multiLevelType w:val="singleLevel"/>
    <w:tmpl w:val="0BF4E442"/>
    <w:lvl w:ilvl="0">
      <w:start w:val="1"/>
      <w:numFmt w:val="bullet"/>
      <w:pStyle w:val="Listapunktowana3"/>
      <w:lvlText w:val=""/>
      <w:lvlJc w:val="left"/>
      <w:pPr>
        <w:tabs>
          <w:tab w:val="num" w:pos="360"/>
        </w:tabs>
        <w:ind w:left="360" w:hanging="360"/>
      </w:pPr>
      <w:rPr>
        <w:rFonts w:ascii="Symbol" w:hAnsi="Symbol" w:hint="default"/>
      </w:rPr>
    </w:lvl>
  </w:abstractNum>
  <w:abstractNum w:abstractNumId="10">
    <w:nsid w:val="42FC7AF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56D091C"/>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590D1DC3"/>
    <w:multiLevelType w:val="multilevel"/>
    <w:tmpl w:val="0409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71AA6538"/>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26306C2"/>
    <w:multiLevelType w:val="multilevel"/>
    <w:tmpl w:val="04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7CCD2930"/>
    <w:multiLevelType w:val="multilevel"/>
    <w:tmpl w:val="0409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7"/>
  </w:num>
  <w:num w:numId="2">
    <w:abstractNumId w:val="6"/>
  </w:num>
  <w:num w:numId="3">
    <w:abstractNumId w:val="9"/>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9"/>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7"/>
  </w:num>
  <w:num w:numId="22">
    <w:abstractNumId w:val="12"/>
  </w:num>
  <w:num w:numId="23">
    <w:abstractNumId w:val="14"/>
  </w:num>
  <w:num w:numId="24">
    <w:abstractNumId w:val="15"/>
  </w:num>
  <w:num w:numId="25">
    <w:abstractNumId w:val="10"/>
  </w:num>
  <w:num w:numId="26">
    <w:abstractNumId w:val="13"/>
  </w:num>
  <w:num w:numId="2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PAR VOIE ÉLECTRONIQUE UNIQUEMENT"/>
    <w:docVar w:name="L4_1Annex" w:val="0"/>
    <w:docVar w:name="L4_1Anonymity" w:val="0"/>
    <w:docVar w:name="NBEMMDOC" w:val="0"/>
    <w:docVar w:name="Plural" w:val="0"/>
    <w:docVar w:name="SignForeName" w:val="0"/>
  </w:docVars>
  <w:rsids>
    <w:rsidRoot w:val="004C0798"/>
    <w:rsid w:val="000041F8"/>
    <w:rsid w:val="000042A8"/>
    <w:rsid w:val="00004308"/>
    <w:rsid w:val="00005BF0"/>
    <w:rsid w:val="00007154"/>
    <w:rsid w:val="000103AE"/>
    <w:rsid w:val="00011D69"/>
    <w:rsid w:val="00012AD3"/>
    <w:rsid w:val="00015C2D"/>
    <w:rsid w:val="00015F00"/>
    <w:rsid w:val="00022C1D"/>
    <w:rsid w:val="00032370"/>
    <w:rsid w:val="00034987"/>
    <w:rsid w:val="00056908"/>
    <w:rsid w:val="000602DF"/>
    <w:rsid w:val="00061B05"/>
    <w:rsid w:val="000632D5"/>
    <w:rsid w:val="000644EE"/>
    <w:rsid w:val="000804B0"/>
    <w:rsid w:val="000925AD"/>
    <w:rsid w:val="000A24EB"/>
    <w:rsid w:val="000B6923"/>
    <w:rsid w:val="000C5F3C"/>
    <w:rsid w:val="000C6DCC"/>
    <w:rsid w:val="000D47AA"/>
    <w:rsid w:val="000D527F"/>
    <w:rsid w:val="000D721F"/>
    <w:rsid w:val="000D7374"/>
    <w:rsid w:val="000E069B"/>
    <w:rsid w:val="000E0E82"/>
    <w:rsid w:val="000E1DC5"/>
    <w:rsid w:val="000E223F"/>
    <w:rsid w:val="000E7D45"/>
    <w:rsid w:val="000F7851"/>
    <w:rsid w:val="00104E23"/>
    <w:rsid w:val="00111B0C"/>
    <w:rsid w:val="00112D62"/>
    <w:rsid w:val="00120D6C"/>
    <w:rsid w:val="001257EC"/>
    <w:rsid w:val="00133D33"/>
    <w:rsid w:val="00134D64"/>
    <w:rsid w:val="00135A30"/>
    <w:rsid w:val="0013612C"/>
    <w:rsid w:val="00137FF6"/>
    <w:rsid w:val="00141650"/>
    <w:rsid w:val="00150BFA"/>
    <w:rsid w:val="00162A12"/>
    <w:rsid w:val="00166530"/>
    <w:rsid w:val="0016678F"/>
    <w:rsid w:val="00170EBF"/>
    <w:rsid w:val="00172DBD"/>
    <w:rsid w:val="001832BD"/>
    <w:rsid w:val="00193D02"/>
    <w:rsid w:val="001943B5"/>
    <w:rsid w:val="00195134"/>
    <w:rsid w:val="001A145B"/>
    <w:rsid w:val="001A674C"/>
    <w:rsid w:val="001B3B24"/>
    <w:rsid w:val="001C0F98"/>
    <w:rsid w:val="001C2A42"/>
    <w:rsid w:val="001D63ED"/>
    <w:rsid w:val="001D7348"/>
    <w:rsid w:val="001E035B"/>
    <w:rsid w:val="001E0961"/>
    <w:rsid w:val="001E3EAE"/>
    <w:rsid w:val="001E6F32"/>
    <w:rsid w:val="001F1C2D"/>
    <w:rsid w:val="001F2145"/>
    <w:rsid w:val="001F6262"/>
    <w:rsid w:val="001F67B0"/>
    <w:rsid w:val="001F6E3A"/>
    <w:rsid w:val="001F72DC"/>
    <w:rsid w:val="001F7B3D"/>
    <w:rsid w:val="00205F9F"/>
    <w:rsid w:val="0020718E"/>
    <w:rsid w:val="00210338"/>
    <w:rsid w:val="002115FC"/>
    <w:rsid w:val="00213E85"/>
    <w:rsid w:val="0021423C"/>
    <w:rsid w:val="00230D00"/>
    <w:rsid w:val="00231DF7"/>
    <w:rsid w:val="00231FD1"/>
    <w:rsid w:val="002339E0"/>
    <w:rsid w:val="00233CF8"/>
    <w:rsid w:val="00234E8A"/>
    <w:rsid w:val="0023575D"/>
    <w:rsid w:val="00237148"/>
    <w:rsid w:val="0024222D"/>
    <w:rsid w:val="00244B0E"/>
    <w:rsid w:val="00244F6C"/>
    <w:rsid w:val="002532C5"/>
    <w:rsid w:val="00257E95"/>
    <w:rsid w:val="00260C03"/>
    <w:rsid w:val="0026540E"/>
    <w:rsid w:val="00265C50"/>
    <w:rsid w:val="00275123"/>
    <w:rsid w:val="002751DA"/>
    <w:rsid w:val="00280CCA"/>
    <w:rsid w:val="00282240"/>
    <w:rsid w:val="002948AD"/>
    <w:rsid w:val="002A01CC"/>
    <w:rsid w:val="002A61B1"/>
    <w:rsid w:val="002A663C"/>
    <w:rsid w:val="002B444B"/>
    <w:rsid w:val="002B5887"/>
    <w:rsid w:val="002C0E27"/>
    <w:rsid w:val="002C3040"/>
    <w:rsid w:val="002D022D"/>
    <w:rsid w:val="002D24BB"/>
    <w:rsid w:val="002E1661"/>
    <w:rsid w:val="002E3483"/>
    <w:rsid w:val="002F2AF7"/>
    <w:rsid w:val="002F7E1C"/>
    <w:rsid w:val="0030061A"/>
    <w:rsid w:val="00301A75"/>
    <w:rsid w:val="00302F70"/>
    <w:rsid w:val="0030336F"/>
    <w:rsid w:val="0030375E"/>
    <w:rsid w:val="00312A30"/>
    <w:rsid w:val="003146E4"/>
    <w:rsid w:val="00320F72"/>
    <w:rsid w:val="0032463E"/>
    <w:rsid w:val="00326224"/>
    <w:rsid w:val="003312A3"/>
    <w:rsid w:val="00334EC5"/>
    <w:rsid w:val="00337EE4"/>
    <w:rsid w:val="00340FFD"/>
    <w:rsid w:val="003506B1"/>
    <w:rsid w:val="00356AC7"/>
    <w:rsid w:val="003609FA"/>
    <w:rsid w:val="003710C8"/>
    <w:rsid w:val="003750BE"/>
    <w:rsid w:val="00377ED8"/>
    <w:rsid w:val="00381AF0"/>
    <w:rsid w:val="00383A9B"/>
    <w:rsid w:val="00387B9D"/>
    <w:rsid w:val="0039055E"/>
    <w:rsid w:val="0039364F"/>
    <w:rsid w:val="00396686"/>
    <w:rsid w:val="0039778E"/>
    <w:rsid w:val="003B4941"/>
    <w:rsid w:val="003B7E6C"/>
    <w:rsid w:val="003C07A3"/>
    <w:rsid w:val="003C5714"/>
    <w:rsid w:val="003C6B9F"/>
    <w:rsid w:val="003C6E2A"/>
    <w:rsid w:val="003D0299"/>
    <w:rsid w:val="003D50FB"/>
    <w:rsid w:val="003D548F"/>
    <w:rsid w:val="003E6D80"/>
    <w:rsid w:val="003E747B"/>
    <w:rsid w:val="003F05FA"/>
    <w:rsid w:val="003F244A"/>
    <w:rsid w:val="003F30B8"/>
    <w:rsid w:val="003F33FE"/>
    <w:rsid w:val="003F4C45"/>
    <w:rsid w:val="003F5F7B"/>
    <w:rsid w:val="003F7D64"/>
    <w:rsid w:val="004047FE"/>
    <w:rsid w:val="00414300"/>
    <w:rsid w:val="00425C67"/>
    <w:rsid w:val="00427E7A"/>
    <w:rsid w:val="00434794"/>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798"/>
    <w:rsid w:val="004C086C"/>
    <w:rsid w:val="004C1F56"/>
    <w:rsid w:val="004C27BC"/>
    <w:rsid w:val="004D15F3"/>
    <w:rsid w:val="004D5311"/>
    <w:rsid w:val="004D5DCC"/>
    <w:rsid w:val="004D5FEA"/>
    <w:rsid w:val="004E3646"/>
    <w:rsid w:val="004F10AF"/>
    <w:rsid w:val="004F11A4"/>
    <w:rsid w:val="004F2389"/>
    <w:rsid w:val="004F304D"/>
    <w:rsid w:val="004F6129"/>
    <w:rsid w:val="004F61BE"/>
    <w:rsid w:val="004F66B1"/>
    <w:rsid w:val="00511C07"/>
    <w:rsid w:val="005173A6"/>
    <w:rsid w:val="00517D2F"/>
    <w:rsid w:val="00520BAA"/>
    <w:rsid w:val="0052221E"/>
    <w:rsid w:val="00525208"/>
    <w:rsid w:val="005257A5"/>
    <w:rsid w:val="005264C0"/>
    <w:rsid w:val="00526A8A"/>
    <w:rsid w:val="005314B3"/>
    <w:rsid w:val="00531DF2"/>
    <w:rsid w:val="005442EE"/>
    <w:rsid w:val="00547353"/>
    <w:rsid w:val="005474E7"/>
    <w:rsid w:val="005512A3"/>
    <w:rsid w:val="005578CE"/>
    <w:rsid w:val="00562781"/>
    <w:rsid w:val="0057271C"/>
    <w:rsid w:val="00572845"/>
    <w:rsid w:val="00591CCE"/>
    <w:rsid w:val="00592772"/>
    <w:rsid w:val="0059574A"/>
    <w:rsid w:val="005A1B9B"/>
    <w:rsid w:val="005A5347"/>
    <w:rsid w:val="005A6751"/>
    <w:rsid w:val="005B092E"/>
    <w:rsid w:val="005B152C"/>
    <w:rsid w:val="005B1EE0"/>
    <w:rsid w:val="005B2B24"/>
    <w:rsid w:val="005B4425"/>
    <w:rsid w:val="005B4B94"/>
    <w:rsid w:val="005B7382"/>
    <w:rsid w:val="005C3EE8"/>
    <w:rsid w:val="005D34F9"/>
    <w:rsid w:val="005D4190"/>
    <w:rsid w:val="005D67A3"/>
    <w:rsid w:val="005E1C73"/>
    <w:rsid w:val="005E2988"/>
    <w:rsid w:val="005E3085"/>
    <w:rsid w:val="005F51E1"/>
    <w:rsid w:val="00604405"/>
    <w:rsid w:val="00611C80"/>
    <w:rsid w:val="00620692"/>
    <w:rsid w:val="006242CA"/>
    <w:rsid w:val="00627507"/>
    <w:rsid w:val="00633717"/>
    <w:rsid w:val="00633A19"/>
    <w:rsid w:val="006344E1"/>
    <w:rsid w:val="006345FE"/>
    <w:rsid w:val="006510D9"/>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AAA"/>
    <w:rsid w:val="006A5D3A"/>
    <w:rsid w:val="006C23D4"/>
    <w:rsid w:val="006C7BB0"/>
    <w:rsid w:val="006D3237"/>
    <w:rsid w:val="006E2E37"/>
    <w:rsid w:val="006E3CF1"/>
    <w:rsid w:val="006E7E80"/>
    <w:rsid w:val="006F19B0"/>
    <w:rsid w:val="006F4544"/>
    <w:rsid w:val="006F48CA"/>
    <w:rsid w:val="006F5B11"/>
    <w:rsid w:val="006F64DD"/>
    <w:rsid w:val="00710D7A"/>
    <w:rsid w:val="0071446D"/>
    <w:rsid w:val="00715127"/>
    <w:rsid w:val="00715E8E"/>
    <w:rsid w:val="00723580"/>
    <w:rsid w:val="00723755"/>
    <w:rsid w:val="0072720E"/>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054A"/>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17961"/>
    <w:rsid w:val="008204C7"/>
    <w:rsid w:val="00820992"/>
    <w:rsid w:val="00823602"/>
    <w:rsid w:val="008255F5"/>
    <w:rsid w:val="0083014E"/>
    <w:rsid w:val="0083214A"/>
    <w:rsid w:val="00834220"/>
    <w:rsid w:val="00845723"/>
    <w:rsid w:val="00846EB8"/>
    <w:rsid w:val="00851EF9"/>
    <w:rsid w:val="008577FD"/>
    <w:rsid w:val="00860B03"/>
    <w:rsid w:val="0086497A"/>
    <w:rsid w:val="008713A1"/>
    <w:rsid w:val="008754AB"/>
    <w:rsid w:val="0088060C"/>
    <w:rsid w:val="00893576"/>
    <w:rsid w:val="00893E73"/>
    <w:rsid w:val="008A5158"/>
    <w:rsid w:val="008B02DC"/>
    <w:rsid w:val="008B57CE"/>
    <w:rsid w:val="008C26DE"/>
    <w:rsid w:val="008C4AA6"/>
    <w:rsid w:val="008D2225"/>
    <w:rsid w:val="008D4752"/>
    <w:rsid w:val="008E25ED"/>
    <w:rsid w:val="008E271C"/>
    <w:rsid w:val="008E418E"/>
    <w:rsid w:val="008E5BC6"/>
    <w:rsid w:val="008E6A25"/>
    <w:rsid w:val="008F5193"/>
    <w:rsid w:val="009013A7"/>
    <w:rsid w:val="009017FB"/>
    <w:rsid w:val="009017FC"/>
    <w:rsid w:val="0090506B"/>
    <w:rsid w:val="009050C9"/>
    <w:rsid w:val="009066FC"/>
    <w:rsid w:val="00907825"/>
    <w:rsid w:val="009140A3"/>
    <w:rsid w:val="009144A2"/>
    <w:rsid w:val="0091510C"/>
    <w:rsid w:val="0091703F"/>
    <w:rsid w:val="0092281E"/>
    <w:rsid w:val="009259AC"/>
    <w:rsid w:val="00926F38"/>
    <w:rsid w:val="00927656"/>
    <w:rsid w:val="00934301"/>
    <w:rsid w:val="00934A97"/>
    <w:rsid w:val="00936218"/>
    <w:rsid w:val="00936CD1"/>
    <w:rsid w:val="00941747"/>
    <w:rsid w:val="00941EFB"/>
    <w:rsid w:val="00947AFB"/>
    <w:rsid w:val="00951D7D"/>
    <w:rsid w:val="009630C7"/>
    <w:rsid w:val="00972B55"/>
    <w:rsid w:val="009743B7"/>
    <w:rsid w:val="00977DA8"/>
    <w:rsid w:val="0098228B"/>
    <w:rsid w:val="009828DA"/>
    <w:rsid w:val="00985BAB"/>
    <w:rsid w:val="00994B7B"/>
    <w:rsid w:val="009B1B5F"/>
    <w:rsid w:val="009B6673"/>
    <w:rsid w:val="009C191B"/>
    <w:rsid w:val="009C2BD6"/>
    <w:rsid w:val="009E1F32"/>
    <w:rsid w:val="009E4D29"/>
    <w:rsid w:val="009E776C"/>
    <w:rsid w:val="00A1726E"/>
    <w:rsid w:val="00A17774"/>
    <w:rsid w:val="00A204CF"/>
    <w:rsid w:val="00A23016"/>
    <w:rsid w:val="00A23D49"/>
    <w:rsid w:val="00A27004"/>
    <w:rsid w:val="00A30C29"/>
    <w:rsid w:val="00A34DD6"/>
    <w:rsid w:val="00A35A90"/>
    <w:rsid w:val="00A36819"/>
    <w:rsid w:val="00A36989"/>
    <w:rsid w:val="00A43628"/>
    <w:rsid w:val="00A45145"/>
    <w:rsid w:val="00A5348B"/>
    <w:rsid w:val="00A54192"/>
    <w:rsid w:val="00A54C4F"/>
    <w:rsid w:val="00A6035E"/>
    <w:rsid w:val="00A6144C"/>
    <w:rsid w:val="00A66617"/>
    <w:rsid w:val="00A671F8"/>
    <w:rsid w:val="00A673A4"/>
    <w:rsid w:val="00A67510"/>
    <w:rsid w:val="00A720B4"/>
    <w:rsid w:val="00A724AE"/>
    <w:rsid w:val="00A73329"/>
    <w:rsid w:val="00A82359"/>
    <w:rsid w:val="00A84DB7"/>
    <w:rsid w:val="00A865D2"/>
    <w:rsid w:val="00A94C20"/>
    <w:rsid w:val="00AA227F"/>
    <w:rsid w:val="00AA3BC7"/>
    <w:rsid w:val="00AA754A"/>
    <w:rsid w:val="00AB099E"/>
    <w:rsid w:val="00AB4328"/>
    <w:rsid w:val="00AC73C9"/>
    <w:rsid w:val="00AE0A2E"/>
    <w:rsid w:val="00AE354C"/>
    <w:rsid w:val="00AF4B07"/>
    <w:rsid w:val="00AF6186"/>
    <w:rsid w:val="00AF7102"/>
    <w:rsid w:val="00AF7A3A"/>
    <w:rsid w:val="00B160DB"/>
    <w:rsid w:val="00B16E5E"/>
    <w:rsid w:val="00B20836"/>
    <w:rsid w:val="00B235BB"/>
    <w:rsid w:val="00B27A44"/>
    <w:rsid w:val="00B30BBF"/>
    <w:rsid w:val="00B33C03"/>
    <w:rsid w:val="00B41F0F"/>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2D55"/>
    <w:rsid w:val="00BA71B1"/>
    <w:rsid w:val="00BB0637"/>
    <w:rsid w:val="00BB345F"/>
    <w:rsid w:val="00BB68EA"/>
    <w:rsid w:val="00BC1C27"/>
    <w:rsid w:val="00BC6BBF"/>
    <w:rsid w:val="00BC71FF"/>
    <w:rsid w:val="00BD1572"/>
    <w:rsid w:val="00BE14E3"/>
    <w:rsid w:val="00BE3774"/>
    <w:rsid w:val="00BE41E5"/>
    <w:rsid w:val="00BF4109"/>
    <w:rsid w:val="00BF4CC3"/>
    <w:rsid w:val="00C054C7"/>
    <w:rsid w:val="00C057B5"/>
    <w:rsid w:val="00C22687"/>
    <w:rsid w:val="00C32BD9"/>
    <w:rsid w:val="00C32E4D"/>
    <w:rsid w:val="00C333A0"/>
    <w:rsid w:val="00C36408"/>
    <w:rsid w:val="00C36A81"/>
    <w:rsid w:val="00C41974"/>
    <w:rsid w:val="00C53F4A"/>
    <w:rsid w:val="00C54125"/>
    <w:rsid w:val="00C55B54"/>
    <w:rsid w:val="00C6098E"/>
    <w:rsid w:val="00C6152C"/>
    <w:rsid w:val="00C71B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3980"/>
    <w:rsid w:val="00D15ED0"/>
    <w:rsid w:val="00D21B3E"/>
    <w:rsid w:val="00D21FED"/>
    <w:rsid w:val="00D24251"/>
    <w:rsid w:val="00D343E2"/>
    <w:rsid w:val="00D361A2"/>
    <w:rsid w:val="00D44C2E"/>
    <w:rsid w:val="00D45414"/>
    <w:rsid w:val="00D566BD"/>
    <w:rsid w:val="00D57A4D"/>
    <w:rsid w:val="00D60AA7"/>
    <w:rsid w:val="00D60FFE"/>
    <w:rsid w:val="00D62F61"/>
    <w:rsid w:val="00D6435F"/>
    <w:rsid w:val="00D64395"/>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1A99"/>
    <w:rsid w:val="00DF210C"/>
    <w:rsid w:val="00DF4B6A"/>
    <w:rsid w:val="00E010D9"/>
    <w:rsid w:val="00E02897"/>
    <w:rsid w:val="00E02C09"/>
    <w:rsid w:val="00E03BE5"/>
    <w:rsid w:val="00E04D59"/>
    <w:rsid w:val="00E04FB0"/>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098A"/>
    <w:rsid w:val="00EA185E"/>
    <w:rsid w:val="00EA592A"/>
    <w:rsid w:val="00EB14E4"/>
    <w:rsid w:val="00EB32A5"/>
    <w:rsid w:val="00EB34ED"/>
    <w:rsid w:val="00EB7045"/>
    <w:rsid w:val="00EB7BE0"/>
    <w:rsid w:val="00EC315E"/>
    <w:rsid w:val="00EC78A3"/>
    <w:rsid w:val="00ED077C"/>
    <w:rsid w:val="00ED1190"/>
    <w:rsid w:val="00ED61C2"/>
    <w:rsid w:val="00ED6544"/>
    <w:rsid w:val="00EE0277"/>
    <w:rsid w:val="00EE3E00"/>
    <w:rsid w:val="00EE5DD2"/>
    <w:rsid w:val="00EF322C"/>
    <w:rsid w:val="00F00A79"/>
    <w:rsid w:val="00F00E86"/>
    <w:rsid w:val="00F07C1E"/>
    <w:rsid w:val="00F105DB"/>
    <w:rsid w:val="00F132BC"/>
    <w:rsid w:val="00F13D80"/>
    <w:rsid w:val="00F16AAA"/>
    <w:rsid w:val="00F21161"/>
    <w:rsid w:val="00F218EF"/>
    <w:rsid w:val="00F21BC7"/>
    <w:rsid w:val="00F266A2"/>
    <w:rsid w:val="00F32269"/>
    <w:rsid w:val="00F40988"/>
    <w:rsid w:val="00F45E61"/>
    <w:rsid w:val="00F56A6F"/>
    <w:rsid w:val="00F5709C"/>
    <w:rsid w:val="00F62757"/>
    <w:rsid w:val="00F64EF1"/>
    <w:rsid w:val="00F64F1A"/>
    <w:rsid w:val="00F8765F"/>
    <w:rsid w:val="00F90767"/>
    <w:rsid w:val="00FA685B"/>
    <w:rsid w:val="00FB0C01"/>
    <w:rsid w:val="00FB1938"/>
    <w:rsid w:val="00FC18F2"/>
    <w:rsid w:val="00FC39E5"/>
    <w:rsid w:val="00FC3A78"/>
    <w:rsid w:val="00FC556B"/>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6544C4"/>
    <w:pPr>
      <w:jc w:val="both"/>
    </w:pPr>
    <w:rPr>
      <w:rFonts w:eastAsia="MS Mincho"/>
      <w:sz w:val="24"/>
      <w:lang w:val="en-US" w:eastAsia="en-US"/>
    </w:rPr>
  </w:style>
  <w:style w:type="paragraph" w:styleId="Nagwek1">
    <w:name w:val="heading 1"/>
    <w:basedOn w:val="Normalny"/>
    <w:next w:val="Normalny"/>
    <w:link w:val="Nagwek1Znak"/>
    <w:uiPriority w:val="99"/>
    <w:qFormat/>
    <w:rsid w:val="00941747"/>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4174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6544C4"/>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94174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6544C4"/>
    <w:pPr>
      <w:outlineLvl w:val="6"/>
    </w:pPr>
    <w:rPr>
      <w:rFonts w:eastAsia="MS Gothic"/>
      <w:i/>
      <w:iCs/>
      <w:sz w:val="22"/>
    </w:rPr>
  </w:style>
  <w:style w:type="paragraph" w:styleId="Nagwek8">
    <w:name w:val="heading 8"/>
    <w:basedOn w:val="Normalny"/>
    <w:next w:val="Normalny"/>
    <w:link w:val="Nagwek8Znak"/>
    <w:uiPriority w:val="99"/>
    <w:qFormat/>
    <w:rsid w:val="006544C4"/>
    <w:pPr>
      <w:outlineLvl w:val="7"/>
    </w:pPr>
    <w:rPr>
      <w:rFonts w:eastAsia="MS Gothic"/>
      <w:sz w:val="20"/>
      <w:szCs w:val="20"/>
    </w:rPr>
  </w:style>
  <w:style w:type="paragraph" w:styleId="Nagwek9">
    <w:name w:val="heading 9"/>
    <w:basedOn w:val="Normalny"/>
    <w:next w:val="Normalny"/>
    <w:link w:val="Nagwek9Znak"/>
    <w:uiPriority w:val="99"/>
    <w:qFormat/>
    <w:rsid w:val="006544C4"/>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671F8"/>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671F8"/>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671F8"/>
    <w:rPr>
      <w:rFonts w:ascii="Times New Roman" w:eastAsia="MS Gothic" w:hAnsi="Times New Roman" w:cs="Times New Roman"/>
      <w:b/>
      <w:bCs/>
      <w:color w:val="5F5F5F"/>
    </w:rPr>
  </w:style>
  <w:style w:type="character" w:customStyle="1" w:styleId="Nagwek4Znak">
    <w:name w:val="Nagłówek 4 Znak"/>
    <w:basedOn w:val="Domylnaczcionkaakapitu"/>
    <w:link w:val="Nagwek4"/>
    <w:uiPriority w:val="99"/>
    <w:semiHidden/>
    <w:locked/>
    <w:rsid w:val="00A671F8"/>
    <w:rPr>
      <w:rFonts w:ascii="Times New Roman" w:eastAsia="MS Gothic" w:hAnsi="Times New Roman" w:cs="Times New Roman"/>
      <w:b/>
      <w:bCs/>
      <w:i/>
      <w:iCs/>
      <w:color w:val="777777"/>
    </w:rPr>
  </w:style>
  <w:style w:type="character" w:customStyle="1" w:styleId="Nagwek5Znak">
    <w:name w:val="Nagłówek 5 Znak"/>
    <w:basedOn w:val="Domylnaczcionkaakapitu"/>
    <w:link w:val="Nagwek5"/>
    <w:uiPriority w:val="99"/>
    <w:semiHidden/>
    <w:locked/>
    <w:rsid w:val="006544C4"/>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A671F8"/>
    <w:rPr>
      <w:rFonts w:ascii="Times New Roman" w:eastAsia="MS Gothic" w:hAnsi="Times New Roman" w:cs="Times New Roman"/>
      <w:b/>
      <w:bCs/>
      <w:i/>
      <w:iCs/>
      <w:color w:val="7F7F7F"/>
    </w:rPr>
  </w:style>
  <w:style w:type="character" w:customStyle="1" w:styleId="Nagwek7Znak">
    <w:name w:val="Nagłówek 7 Znak"/>
    <w:basedOn w:val="Domylnaczcionkaakapitu"/>
    <w:link w:val="Nagwek7"/>
    <w:uiPriority w:val="99"/>
    <w:semiHidden/>
    <w:locked/>
    <w:rsid w:val="006544C4"/>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6544C4"/>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6544C4"/>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671F8"/>
    <w:rPr>
      <w:rFonts w:ascii="Tahoma" w:eastAsia="MS Mincho" w:hAnsi="Tahoma" w:cs="Tahoma"/>
      <w:sz w:val="16"/>
      <w:szCs w:val="16"/>
    </w:rPr>
  </w:style>
  <w:style w:type="character" w:styleId="Tytuksiki">
    <w:name w:val="Book Title"/>
    <w:basedOn w:val="Domylnaczcionkaakapitu"/>
    <w:uiPriority w:val="99"/>
    <w:qFormat/>
    <w:rsid w:val="006544C4"/>
    <w:rPr>
      <w:rFonts w:cs="Times New Roman"/>
      <w:i/>
      <w:smallCaps/>
      <w:spacing w:val="5"/>
    </w:rPr>
  </w:style>
  <w:style w:type="paragraph" w:customStyle="1" w:styleId="ECHRHeader">
    <w:name w:val="ECHR_Header"/>
    <w:aliases w:val="Ju_Header"/>
    <w:basedOn w:val="Nagwek"/>
    <w:uiPriority w:val="99"/>
    <w:rsid w:val="006544C4"/>
    <w:pPr>
      <w:tabs>
        <w:tab w:val="clear" w:pos="4536"/>
        <w:tab w:val="clear" w:pos="9696"/>
        <w:tab w:val="center" w:pos="3686"/>
        <w:tab w:val="right" w:pos="7371"/>
      </w:tabs>
      <w:ind w:left="0" w:right="0"/>
      <w:jc w:val="left"/>
    </w:pPr>
    <w:rPr>
      <w:rFonts w:eastAsia="Times New Roman"/>
      <w:sz w:val="18"/>
    </w:rPr>
  </w:style>
  <w:style w:type="paragraph" w:customStyle="1" w:styleId="JuAppQuestion">
    <w:name w:val="Ju_App_Question"/>
    <w:basedOn w:val="Normalny"/>
    <w:uiPriority w:val="99"/>
    <w:rsid w:val="006544C4"/>
    <w:pPr>
      <w:numPr>
        <w:numId w:val="1"/>
      </w:numPr>
      <w:tabs>
        <w:tab w:val="clear" w:pos="643"/>
        <w:tab w:val="num" w:pos="720"/>
      </w:tabs>
      <w:ind w:left="720"/>
      <w:jc w:val="left"/>
    </w:pPr>
    <w:rPr>
      <w:b/>
    </w:rPr>
  </w:style>
  <w:style w:type="character" w:styleId="Pogrubienie">
    <w:name w:val="Strong"/>
    <w:basedOn w:val="Domylnaczcionkaakapitu"/>
    <w:uiPriority w:val="99"/>
    <w:qFormat/>
    <w:rsid w:val="006544C4"/>
    <w:rPr>
      <w:rFonts w:cs="Times New Roman"/>
      <w:b/>
    </w:rPr>
  </w:style>
  <w:style w:type="paragraph" w:styleId="Bezodstpw">
    <w:name w:val="No Spacing"/>
    <w:basedOn w:val="Normalny"/>
    <w:link w:val="BezodstpwZnak"/>
    <w:uiPriority w:val="99"/>
    <w:qFormat/>
    <w:rsid w:val="006544C4"/>
    <w:rPr>
      <w:sz w:val="22"/>
    </w:rPr>
  </w:style>
  <w:style w:type="character" w:customStyle="1" w:styleId="BezodstpwZnak">
    <w:name w:val="Bez odstępów Znak"/>
    <w:basedOn w:val="Domylnaczcionkaakapitu"/>
    <w:link w:val="Bezodstpw"/>
    <w:uiPriority w:val="99"/>
    <w:semiHidden/>
    <w:locked/>
    <w:rsid w:val="006544C4"/>
    <w:rPr>
      <w:rFonts w:eastAsia="MS Mincho" w:cs="Times New Roman"/>
    </w:rPr>
  </w:style>
  <w:style w:type="paragraph" w:customStyle="1" w:styleId="OpiPara">
    <w:name w:val="Opi_Para"/>
    <w:basedOn w:val="Normalny"/>
    <w:uiPriority w:val="99"/>
    <w:semiHidden/>
    <w:rsid w:val="004047FE"/>
    <w:pPr>
      <w:ind w:firstLine="284"/>
    </w:pPr>
  </w:style>
  <w:style w:type="paragraph" w:customStyle="1" w:styleId="ECHRParaQuote">
    <w:name w:val="ECHR_Para_Quote"/>
    <w:aliases w:val="Ju_Quot"/>
    <w:basedOn w:val="Normalny"/>
    <w:link w:val="JuQuotChar1"/>
    <w:uiPriority w:val="99"/>
    <w:rsid w:val="006544C4"/>
    <w:pPr>
      <w:spacing w:before="120" w:after="120"/>
      <w:ind w:left="425" w:firstLine="142"/>
    </w:pPr>
    <w:rPr>
      <w:sz w:val="20"/>
      <w:szCs w:val="20"/>
      <w:lang w:val="pl-PL" w:eastAsia="pl-PL"/>
    </w:rPr>
  </w:style>
  <w:style w:type="paragraph" w:customStyle="1" w:styleId="JuParaSub">
    <w:name w:val="Ju_Para_Sub"/>
    <w:basedOn w:val="Normalny"/>
    <w:uiPriority w:val="99"/>
    <w:rsid w:val="004047FE"/>
    <w:pPr>
      <w:ind w:left="284" w:firstLine="284"/>
    </w:pPr>
  </w:style>
  <w:style w:type="paragraph" w:customStyle="1" w:styleId="OpiParaSub">
    <w:name w:val="Opi_Para_Sub"/>
    <w:basedOn w:val="JuParaSub"/>
    <w:uiPriority w:val="99"/>
    <w:semiHidden/>
    <w:rsid w:val="006544C4"/>
  </w:style>
  <w:style w:type="paragraph" w:customStyle="1" w:styleId="OpiQuot">
    <w:name w:val="Opi_Quot"/>
    <w:basedOn w:val="ECHRParaQuote"/>
    <w:uiPriority w:val="99"/>
    <w:semiHidden/>
    <w:rsid w:val="006544C4"/>
  </w:style>
  <w:style w:type="paragraph" w:customStyle="1" w:styleId="OpiQuotSub">
    <w:name w:val="Opi_Quot_Sub"/>
    <w:basedOn w:val="JuQuotSub"/>
    <w:uiPriority w:val="99"/>
    <w:semiHidden/>
    <w:rsid w:val="006544C4"/>
  </w:style>
  <w:style w:type="paragraph" w:customStyle="1" w:styleId="ECHRTitleCentre3">
    <w:name w:val="ECHR_Title_Centre_3"/>
    <w:aliases w:val="Ju_H_Article"/>
    <w:basedOn w:val="Normalny"/>
    <w:next w:val="ECHRParaQuote"/>
    <w:uiPriority w:val="99"/>
    <w:rsid w:val="006544C4"/>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semiHidden/>
    <w:rsid w:val="006544C4"/>
    <w:pPr>
      <w:keepNext/>
      <w:keepLines/>
      <w:spacing w:after="240"/>
      <w:jc w:val="center"/>
      <w:outlineLvl w:val="0"/>
    </w:pPr>
    <w:rPr>
      <w:sz w:val="28"/>
    </w:rPr>
  </w:style>
  <w:style w:type="paragraph" w:customStyle="1" w:styleId="JuQuotSub">
    <w:name w:val="Ju_Quot_Sub"/>
    <w:basedOn w:val="ECHRParaQuote"/>
    <w:uiPriority w:val="99"/>
    <w:rsid w:val="006544C4"/>
    <w:pPr>
      <w:ind w:left="567"/>
    </w:pPr>
  </w:style>
  <w:style w:type="paragraph" w:customStyle="1" w:styleId="ECHRTitle1">
    <w:name w:val="ECHR_Title_1"/>
    <w:aliases w:val="Ju_H_Head"/>
    <w:basedOn w:val="Normalny"/>
    <w:next w:val="Normalny"/>
    <w:uiPriority w:val="99"/>
    <w:rsid w:val="006544C4"/>
    <w:pPr>
      <w:keepNext/>
      <w:keepLines/>
      <w:spacing w:before="720" w:after="240"/>
      <w:outlineLvl w:val="0"/>
    </w:pPr>
    <w:rPr>
      <w:sz w:val="28"/>
    </w:rPr>
  </w:style>
  <w:style w:type="paragraph" w:customStyle="1" w:styleId="JuInitialled">
    <w:name w:val="Ju_Initialled"/>
    <w:basedOn w:val="Normalny"/>
    <w:uiPriority w:val="99"/>
    <w:rsid w:val="006544C4"/>
    <w:pPr>
      <w:tabs>
        <w:tab w:val="center" w:pos="6407"/>
      </w:tabs>
      <w:spacing w:before="720"/>
      <w:jc w:val="right"/>
    </w:pPr>
  </w:style>
  <w:style w:type="paragraph" w:styleId="Tytu">
    <w:name w:val="Title"/>
    <w:basedOn w:val="Normalny"/>
    <w:next w:val="Normalny"/>
    <w:link w:val="TytuZnak"/>
    <w:uiPriority w:val="99"/>
    <w:qFormat/>
    <w:rsid w:val="006544C4"/>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6544C4"/>
    <w:rPr>
      <w:rFonts w:ascii="Times New Roman" w:eastAsia="MS Gothic" w:hAnsi="Times New Roman" w:cs="Times New Roman"/>
      <w:spacing w:val="5"/>
      <w:sz w:val="52"/>
      <w:szCs w:val="52"/>
    </w:rPr>
  </w:style>
  <w:style w:type="paragraph" w:customStyle="1" w:styleId="OpiHA">
    <w:name w:val="Opi_H_A"/>
    <w:basedOn w:val="ECHRHeading1"/>
    <w:next w:val="OpiPara"/>
    <w:uiPriority w:val="99"/>
    <w:semiHidden/>
    <w:rsid w:val="006544C4"/>
    <w:pPr>
      <w:tabs>
        <w:tab w:val="clear" w:pos="357"/>
      </w:tabs>
      <w:outlineLvl w:val="1"/>
    </w:pPr>
    <w:rPr>
      <w:b/>
    </w:rPr>
  </w:style>
  <w:style w:type="character" w:customStyle="1" w:styleId="JUNAMES">
    <w:name w:val="JU_NAMES"/>
    <w:uiPriority w:val="99"/>
    <w:rsid w:val="006544C4"/>
    <w:rPr>
      <w:smallCaps/>
    </w:rPr>
  </w:style>
  <w:style w:type="character" w:customStyle="1" w:styleId="JuITMark">
    <w:name w:val="Ju_ITMark"/>
    <w:basedOn w:val="Domylnaczcionkaakapitu"/>
    <w:uiPriority w:val="99"/>
    <w:rsid w:val="006544C4"/>
    <w:rPr>
      <w:rFonts w:cs="Times New Roman"/>
      <w:vanish/>
      <w:color w:val="339966"/>
      <w:sz w:val="14"/>
    </w:rPr>
  </w:style>
  <w:style w:type="paragraph" w:customStyle="1" w:styleId="OpiTranslation">
    <w:name w:val="Opi_Translation"/>
    <w:basedOn w:val="Normalny"/>
    <w:next w:val="OpiPara"/>
    <w:uiPriority w:val="99"/>
    <w:semiHidden/>
    <w:rsid w:val="006544C4"/>
    <w:pPr>
      <w:jc w:val="center"/>
      <w:outlineLvl w:val="0"/>
    </w:pPr>
    <w:rPr>
      <w:i/>
    </w:rPr>
  </w:style>
  <w:style w:type="paragraph" w:customStyle="1" w:styleId="JuCourt">
    <w:name w:val="Ju_Court"/>
    <w:basedOn w:val="Normalny"/>
    <w:next w:val="Normalny"/>
    <w:uiPriority w:val="99"/>
    <w:rsid w:val="006544C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Normalny"/>
    <w:uiPriority w:val="99"/>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uiPriority w:val="99"/>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uiPriority w:val="99"/>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rPr>
      <w:rFonts w:cs="Times New Roman"/>
    </w:rPr>
  </w:style>
  <w:style w:type="paragraph" w:customStyle="1" w:styleId="ECHRHeading4">
    <w:name w:val="ECHR_Heading_4"/>
    <w:aliases w:val="Ju_H_a"/>
    <w:basedOn w:val="Nagwek4"/>
    <w:next w:val="Normalny"/>
    <w:uiPriority w:val="99"/>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99"/>
    <w:rsid w:val="006544C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99"/>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99"/>
    <w:rsid w:val="006544C4"/>
    <w:pPr>
      <w:keepNext/>
      <w:keepLines/>
      <w:spacing w:before="240" w:after="120"/>
      <w:ind w:left="1236"/>
    </w:pPr>
    <w:rPr>
      <w:sz w:val="20"/>
    </w:rPr>
  </w:style>
  <w:style w:type="paragraph" w:customStyle="1" w:styleId="JuParaLast">
    <w:name w:val="Ju_Para_Last"/>
    <w:basedOn w:val="Normalny"/>
    <w:next w:val="Normalny"/>
    <w:uiPriority w:val="99"/>
    <w:rsid w:val="006544C4"/>
    <w:pPr>
      <w:keepNext/>
      <w:keepLines/>
      <w:spacing w:before="240"/>
      <w:ind w:firstLine="284"/>
    </w:pPr>
  </w:style>
  <w:style w:type="paragraph" w:customStyle="1" w:styleId="DecList">
    <w:name w:val="Dec_List"/>
    <w:basedOn w:val="Normalny"/>
    <w:uiPriority w:val="99"/>
    <w:rsid w:val="006544C4"/>
    <w:pPr>
      <w:spacing w:before="240"/>
      <w:ind w:left="284"/>
    </w:pPr>
  </w:style>
  <w:style w:type="paragraph" w:customStyle="1" w:styleId="ECHRDecisionBody">
    <w:name w:val="ECHR_Decision_Body"/>
    <w:aliases w:val="Ju_Judges"/>
    <w:basedOn w:val="Normalny"/>
    <w:uiPriority w:val="99"/>
    <w:rsid w:val="006544C4"/>
    <w:pPr>
      <w:tabs>
        <w:tab w:val="left" w:pos="567"/>
        <w:tab w:val="left" w:pos="1134"/>
      </w:tabs>
      <w:jc w:val="left"/>
    </w:pPr>
  </w:style>
  <w:style w:type="paragraph" w:customStyle="1" w:styleId="JuList">
    <w:name w:val="Ju_List"/>
    <w:basedOn w:val="Normalny"/>
    <w:uiPriority w:val="99"/>
    <w:rsid w:val="006544C4"/>
    <w:pPr>
      <w:ind w:left="340" w:hanging="340"/>
    </w:pPr>
  </w:style>
  <w:style w:type="paragraph" w:customStyle="1" w:styleId="JuLista">
    <w:name w:val="Ju_List_a"/>
    <w:basedOn w:val="JuList"/>
    <w:uiPriority w:val="99"/>
    <w:rsid w:val="006544C4"/>
    <w:pPr>
      <w:ind w:left="346" w:firstLine="0"/>
    </w:pPr>
  </w:style>
  <w:style w:type="character" w:styleId="Wyrnieniedelikatne">
    <w:name w:val="Subtle Emphasis"/>
    <w:basedOn w:val="Domylnaczcionkaakapitu"/>
    <w:uiPriority w:val="99"/>
    <w:qFormat/>
    <w:rsid w:val="006544C4"/>
    <w:rPr>
      <w:rFonts w:cs="Times New Roman"/>
      <w:i/>
    </w:rPr>
  </w:style>
  <w:style w:type="paragraph" w:customStyle="1" w:styleId="JuListi">
    <w:name w:val="Ju_List_i"/>
    <w:basedOn w:val="Normalny"/>
    <w:next w:val="JuLista"/>
    <w:uiPriority w:val="99"/>
    <w:rsid w:val="006544C4"/>
    <w:pPr>
      <w:ind w:left="794"/>
    </w:p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OpiH1">
    <w:name w:val="Opi_H_1"/>
    <w:basedOn w:val="ECHRHeading2"/>
    <w:uiPriority w:val="99"/>
    <w:semiHidden/>
    <w:rsid w:val="006544C4"/>
    <w:pPr>
      <w:ind w:left="635" w:hanging="357"/>
      <w:outlineLvl w:val="2"/>
    </w:pPr>
  </w:style>
  <w:style w:type="paragraph" w:customStyle="1" w:styleId="OpiHa0">
    <w:name w:val="Opi_H_a"/>
    <w:basedOn w:val="ECHRHeading3"/>
    <w:uiPriority w:val="99"/>
    <w:semiHidden/>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99"/>
    <w:rsid w:val="006544C4"/>
    <w:pPr>
      <w:spacing w:after="240"/>
      <w:jc w:val="center"/>
      <w:outlineLvl w:val="0"/>
    </w:pPr>
  </w:style>
  <w:style w:type="character" w:styleId="Uwydatnienie">
    <w:name w:val="Emphasis"/>
    <w:basedOn w:val="Domylnaczcionkaakapitu"/>
    <w:uiPriority w:val="99"/>
    <w:qFormat/>
    <w:rsid w:val="006544C4"/>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rPr>
      <w:rFonts w:cs="Times New Roman"/>
    </w:rPr>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locked/>
    <w:rsid w:val="00A671F8"/>
    <w:rPr>
      <w:rFonts w:eastAsia="MS Mincho" w:cs="Times New Roman"/>
      <w:sz w:val="20"/>
      <w:szCs w:val="20"/>
    </w:rPr>
  </w:style>
  <w:style w:type="character" w:styleId="Hipercze">
    <w:name w:val="Hyperlink"/>
    <w:basedOn w:val="Domylnaczcionkaakapitu"/>
    <w:uiPriority w:val="99"/>
    <w:semiHidden/>
    <w:rsid w:val="00941747"/>
    <w:rPr>
      <w:rFonts w:cs="Times New Roman"/>
      <w:color w:val="0072BC"/>
      <w:u w:val="single"/>
    </w:rPr>
  </w:style>
  <w:style w:type="character" w:styleId="Wyrnienieintensywne">
    <w:name w:val="Intense Emphasis"/>
    <w:basedOn w:val="Domylnaczcionkaakapitu"/>
    <w:uiPriority w:val="99"/>
    <w:qFormat/>
    <w:rsid w:val="006544C4"/>
    <w:rPr>
      <w:rFonts w:cs="Times New Roman"/>
      <w:b/>
    </w:rPr>
  </w:style>
  <w:style w:type="paragraph" w:styleId="Cytatintensywny">
    <w:name w:val="Intense Quote"/>
    <w:basedOn w:val="Normalny"/>
    <w:next w:val="Normalny"/>
    <w:link w:val="CytatintensywnyZnak"/>
    <w:uiPriority w:val="99"/>
    <w:qFormat/>
    <w:rsid w:val="006544C4"/>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6544C4"/>
    <w:rPr>
      <w:rFonts w:eastAsia="MS Mincho" w:cs="Times New Roman"/>
      <w:b/>
      <w:bCs/>
      <w:i/>
      <w:iCs/>
    </w:rPr>
  </w:style>
  <w:style w:type="character" w:styleId="Odwoanieintensywne">
    <w:name w:val="Intense Reference"/>
    <w:basedOn w:val="Domylnaczcionkaakapitu"/>
    <w:uiPriority w:val="99"/>
    <w:qFormat/>
    <w:rsid w:val="006544C4"/>
    <w:rPr>
      <w:rFonts w:cs="Times New Roman"/>
      <w:smallCaps/>
      <w:spacing w:val="5"/>
      <w:u w:val="single"/>
    </w:rPr>
  </w:style>
  <w:style w:type="paragraph" w:styleId="Akapitzlist">
    <w:name w:val="List Paragraph"/>
    <w:basedOn w:val="Normalny"/>
    <w:uiPriority w:val="99"/>
    <w:qFormat/>
    <w:rsid w:val="006544C4"/>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6544C4"/>
    <w:pPr>
      <w:spacing w:before="200"/>
      <w:ind w:left="360" w:right="360"/>
    </w:pPr>
    <w:rPr>
      <w:i/>
      <w:iCs/>
      <w:sz w:val="22"/>
    </w:rPr>
  </w:style>
  <w:style w:type="character" w:customStyle="1" w:styleId="CytatZnak">
    <w:name w:val="Cytat Znak"/>
    <w:basedOn w:val="Domylnaczcionkaakapitu"/>
    <w:link w:val="Cytat"/>
    <w:uiPriority w:val="99"/>
    <w:semiHidden/>
    <w:locked/>
    <w:rsid w:val="006544C4"/>
    <w:rPr>
      <w:rFonts w:eastAsia="MS Mincho" w:cs="Times New Roman"/>
      <w:i/>
      <w:iCs/>
    </w:rPr>
  </w:style>
  <w:style w:type="character" w:styleId="Odwoaniedelikatne">
    <w:name w:val="Subtle Reference"/>
    <w:basedOn w:val="Domylnaczcionkaakapitu"/>
    <w:uiPriority w:val="99"/>
    <w:qFormat/>
    <w:rsid w:val="006544C4"/>
    <w:rPr>
      <w:rFonts w:cs="Times New Roman"/>
      <w:smallCaps/>
    </w:rPr>
  </w:style>
  <w:style w:type="table" w:styleId="Tabela-Siatka">
    <w:name w:val="Table Grid"/>
    <w:basedOn w:val="Standardowy"/>
    <w:uiPriority w:val="99"/>
    <w:semiHidden/>
    <w:rsid w:val="00941747"/>
    <w:rPr>
      <w:rFonts w:eastAsia="MS Minch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6544C4"/>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szCs w:val="24"/>
    </w:rPr>
  </w:style>
  <w:style w:type="paragraph" w:customStyle="1" w:styleId="OpiHi">
    <w:name w:val="Opi_H_i"/>
    <w:basedOn w:val="ECHRHeading4"/>
    <w:uiPriority w:val="99"/>
    <w:semiHidden/>
    <w:rsid w:val="006544C4"/>
    <w:pPr>
      <w:ind w:left="1037" w:hanging="357"/>
      <w:outlineLvl w:val="4"/>
    </w:pPr>
    <w:rPr>
      <w:b w:val="0"/>
      <w:i/>
    </w:rPr>
  </w:style>
  <w:style w:type="paragraph" w:customStyle="1" w:styleId="DummyStyle">
    <w:name w:val="Dummy_Style"/>
    <w:basedOn w:val="Normalny"/>
    <w:uiPriority w:val="99"/>
    <w:semiHidden/>
    <w:rsid w:val="006544C4"/>
    <w:rPr>
      <w:color w:val="00B050"/>
    </w:rPr>
  </w:style>
  <w:style w:type="paragraph" w:styleId="Podtytu">
    <w:name w:val="Subtitle"/>
    <w:basedOn w:val="Normalny"/>
    <w:next w:val="Normalny"/>
    <w:link w:val="PodtytuZnak"/>
    <w:uiPriority w:val="99"/>
    <w:qFormat/>
    <w:rsid w:val="006544C4"/>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6544C4"/>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JuParaChar"/>
    <w:uiPriority w:val="99"/>
    <w:rsid w:val="004047FE"/>
    <w:pPr>
      <w:ind w:firstLine="284"/>
    </w:p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r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
    <w:name w:val="Body Text"/>
    <w:basedOn w:val="Normalny"/>
    <w:link w:val="TekstpodstawowyZnak"/>
    <w:uiPriority w:val="99"/>
    <w:semiHidden/>
    <w:rsid w:val="006544C4"/>
    <w:pPr>
      <w:spacing w:after="120"/>
    </w:pPr>
  </w:style>
  <w:style w:type="character" w:customStyle="1" w:styleId="TekstpodstawowyZnak">
    <w:name w:val="Tekst podstawowy Znak"/>
    <w:basedOn w:val="Domylnaczcionkaakapitu"/>
    <w:link w:val="Tekstpodstawowy"/>
    <w:uiPriority w:val="99"/>
    <w:semiHidden/>
    <w:locked/>
    <w:rsid w:val="006544C4"/>
    <w:rPr>
      <w:rFonts w:eastAsia="MS Mincho" w:cs="Times New Roman"/>
      <w:sz w:val="24"/>
    </w:r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rFonts w:cs="Times New Roman"/>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locked/>
    <w:rsid w:val="006544C4"/>
    <w:rPr>
      <w:rFonts w:eastAsia="MS Mincho" w:cs="Times New Roman"/>
      <w:sz w:val="20"/>
    </w:rPr>
  </w:style>
  <w:style w:type="paragraph" w:customStyle="1" w:styleId="JuSigned">
    <w:name w:val="Ju_Signed"/>
    <w:basedOn w:val="Normalny"/>
    <w:next w:val="JuParaLast"/>
    <w:uiPriority w:val="99"/>
    <w:rsid w:val="006544C4"/>
    <w:pPr>
      <w:tabs>
        <w:tab w:val="center" w:pos="851"/>
        <w:tab w:val="center" w:pos="6407"/>
      </w:tabs>
      <w:spacing w:before="720"/>
      <w:jc w:val="left"/>
    </w:pPr>
  </w:style>
  <w:style w:type="paragraph" w:customStyle="1" w:styleId="JuTitle">
    <w:name w:val="Ju_Title"/>
    <w:basedOn w:val="Normalny"/>
    <w:next w:val="Normalny"/>
    <w:uiPriority w:val="99"/>
    <w:rsid w:val="006544C4"/>
    <w:pPr>
      <w:spacing w:before="720" w:after="240"/>
      <w:jc w:val="center"/>
      <w:outlineLvl w:val="0"/>
    </w:pPr>
    <w:rPr>
      <w:b/>
      <w:caps/>
    </w:rPr>
  </w:style>
  <w:style w:type="paragraph" w:customStyle="1" w:styleId="DecHTitle">
    <w:name w:val="Dec_H_Title"/>
    <w:basedOn w:val="ECHRTitleCentre1"/>
    <w:uiPriority w:val="99"/>
    <w:rsid w:val="006544C4"/>
  </w:style>
  <w:style w:type="paragraph" w:styleId="Listapunktowana2">
    <w:name w:val="List Bullet 2"/>
    <w:basedOn w:val="Normalny"/>
    <w:uiPriority w:val="99"/>
    <w:semiHidden/>
    <w:rsid w:val="006544C4"/>
    <w:pPr>
      <w:numPr>
        <w:numId w:val="2"/>
      </w:numPr>
      <w:tabs>
        <w:tab w:val="clear" w:pos="926"/>
        <w:tab w:val="num" w:pos="643"/>
      </w:tabs>
      <w:ind w:left="643"/>
      <w:contextualSpacing/>
    </w:pPr>
  </w:style>
  <w:style w:type="paragraph" w:styleId="Listapunktowana3">
    <w:name w:val="List Bullet 3"/>
    <w:basedOn w:val="Normalny"/>
    <w:uiPriority w:val="99"/>
    <w:semiHidden/>
    <w:rsid w:val="006544C4"/>
    <w:pPr>
      <w:numPr>
        <w:numId w:val="3"/>
      </w:numPr>
      <w:tabs>
        <w:tab w:val="clear" w:pos="360"/>
        <w:tab w:val="num" w:pos="926"/>
      </w:tabs>
      <w:ind w:left="926"/>
      <w:contextualSpacing/>
    </w:p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locked/>
    <w:rsid w:val="006544C4"/>
    <w:rPr>
      <w:rFonts w:eastAsia="MS Mincho" w:cs="Times New Roman"/>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6544C4"/>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6544C4"/>
    <w:rPr>
      <w:rFonts w:eastAsia="MS Mincho" w:cs="Times New Roman"/>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locked/>
    <w:rsid w:val="006544C4"/>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6544C4"/>
    <w:rPr>
      <w:rFonts w:eastAsia="MS Mincho" w:cs="Times New Roman"/>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6544C4"/>
    <w:rPr>
      <w:rFonts w:eastAsia="MS Mincho" w:cs="Times New Roman"/>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6544C4"/>
    <w:rPr>
      <w:rFonts w:eastAsia="MS Mincho" w:cs="Times New Roman"/>
      <w:sz w:val="16"/>
      <w:szCs w:val="16"/>
    </w:rPr>
  </w:style>
  <w:style w:type="paragraph" w:styleId="Legenda">
    <w:name w:val="caption"/>
    <w:basedOn w:val="Normalny"/>
    <w:next w:val="Normalny"/>
    <w:uiPriority w:val="99"/>
    <w:qFormat/>
    <w:rsid w:val="006544C4"/>
    <w:pPr>
      <w:spacing w:after="200"/>
    </w:pPr>
    <w:rPr>
      <w:b/>
      <w:bCs/>
      <w:color w:val="0072BC"/>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locked/>
    <w:rsid w:val="006544C4"/>
    <w:rPr>
      <w:rFonts w:eastAsia="MS Mincho" w:cs="Times New Roman"/>
      <w:sz w:val="24"/>
    </w:rPr>
  </w:style>
  <w:style w:type="table" w:styleId="Kolorowasiatka">
    <w:name w:val="Colorful Grid"/>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6544C4"/>
    <w:rPr>
      <w:color w:val="000000"/>
      <w:sz w:val="20"/>
      <w:szCs w:val="2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6544C4"/>
    <w:rPr>
      <w:color w:val="000000"/>
      <w:sz w:val="20"/>
      <w:szCs w:val="2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6544C4"/>
    <w:rPr>
      <w:color w:val="000000"/>
      <w:sz w:val="20"/>
      <w:szCs w:val="2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6544C4"/>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6544C4"/>
    <w:rPr>
      <w:color w:val="000000"/>
      <w:sz w:val="20"/>
      <w:szCs w:val="2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6544C4"/>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6544C4"/>
    <w:rPr>
      <w:color w:val="000000"/>
      <w:sz w:val="20"/>
      <w:szCs w:val="2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6544C4"/>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6544C4"/>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6544C4"/>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6544C4"/>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locked/>
    <w:rsid w:val="006544C4"/>
    <w:rPr>
      <w:rFonts w:eastAsia="MS Mincho" w:cs="Times New Roman"/>
      <w:b/>
      <w:bCs/>
      <w:sz w:val="20"/>
      <w:szCs w:val="20"/>
    </w:rPr>
  </w:style>
  <w:style w:type="table" w:styleId="Ciemnalista">
    <w:name w:val="Dark List"/>
    <w:basedOn w:val="Standardowy"/>
    <w:uiPriority w:val="99"/>
    <w:semiHidden/>
    <w:rsid w:val="006544C4"/>
    <w:rPr>
      <w:color w:val="0072BC"/>
      <w:sz w:val="20"/>
      <w:szCs w:val="20"/>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6544C4"/>
    <w:rPr>
      <w:color w:val="0072BC"/>
      <w:sz w:val="20"/>
      <w:szCs w:val="20"/>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6544C4"/>
    <w:rPr>
      <w:color w:val="0072BC"/>
      <w:sz w:val="20"/>
      <w:szCs w:val="20"/>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6544C4"/>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6544C4"/>
    <w:rPr>
      <w:color w:val="0072BC"/>
      <w:sz w:val="20"/>
      <w:szCs w:val="20"/>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6544C4"/>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6544C4"/>
    <w:rPr>
      <w:color w:val="0072BC"/>
      <w:sz w:val="20"/>
      <w:szCs w:val="20"/>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locked/>
    <w:rsid w:val="006544C4"/>
    <w:rPr>
      <w:rFonts w:eastAsia="MS Mincho" w:cs="Times New Roman"/>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6544C4"/>
    <w:rPr>
      <w:rFonts w:ascii="Tahoma" w:eastAsia="MS Mincho"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locked/>
    <w:rsid w:val="006544C4"/>
    <w:rPr>
      <w:rFonts w:eastAsia="MS Mincho" w:cs="Times New Roman"/>
      <w:sz w:val="24"/>
    </w:rPr>
  </w:style>
  <w:style w:type="character" w:styleId="Odwoanieprzypisukocowego">
    <w:name w:val="endnote reference"/>
    <w:basedOn w:val="Domylnaczcionkaakapitu"/>
    <w:uiPriority w:val="99"/>
    <w:semiHidden/>
    <w:rsid w:val="006544C4"/>
    <w:rPr>
      <w:rFonts w:cs="Times New Roman"/>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locked/>
    <w:rsid w:val="006544C4"/>
    <w:rPr>
      <w:rFonts w:eastAsia="MS Mincho" w:cs="Times New Roman"/>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eastAsia="MS Gothic"/>
      <w:szCs w:val="24"/>
    </w:rPr>
  </w:style>
  <w:style w:type="paragraph" w:styleId="Adreszwrotnynakopercie">
    <w:name w:val="envelope return"/>
    <w:basedOn w:val="Normalny"/>
    <w:uiPriority w:val="99"/>
    <w:semiHidden/>
    <w:rsid w:val="006544C4"/>
    <w:rPr>
      <w:rFonts w:eastAsia="MS Gothic"/>
      <w:sz w:val="20"/>
      <w:szCs w:val="20"/>
    </w:rPr>
  </w:style>
  <w:style w:type="character" w:styleId="UyteHipercze">
    <w:name w:val="FollowedHyperlink"/>
    <w:basedOn w:val="Domylnaczcionkaakapitu"/>
    <w:uiPriority w:val="99"/>
    <w:semiHidden/>
    <w:rsid w:val="006544C4"/>
    <w:rPr>
      <w:rFonts w:cs="Times New Roman"/>
      <w:color w:val="7030A0"/>
      <w:u w:val="single"/>
    </w:rPr>
  </w:style>
  <w:style w:type="character" w:styleId="HTML-akronim">
    <w:name w:val="HTML Acronym"/>
    <w:basedOn w:val="Domylnaczcionkaakapitu"/>
    <w:uiPriority w:val="99"/>
    <w:semiHidden/>
    <w:rsid w:val="006544C4"/>
    <w:rPr>
      <w:rFonts w:cs="Times New Roman"/>
    </w:rPr>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locked/>
    <w:rsid w:val="006544C4"/>
    <w:rPr>
      <w:rFonts w:eastAsia="MS Mincho" w:cs="Times New Roman"/>
      <w:i/>
      <w:iCs/>
      <w:sz w:val="24"/>
    </w:rPr>
  </w:style>
  <w:style w:type="character" w:styleId="HTML-cytat">
    <w:name w:val="HTML Cite"/>
    <w:basedOn w:val="Domylnaczcionkaakapitu"/>
    <w:uiPriority w:val="99"/>
    <w:semiHidden/>
    <w:rsid w:val="006544C4"/>
    <w:rPr>
      <w:rFonts w:cs="Times New Roman"/>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rFonts w:cs="Times New Roman"/>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6544C4"/>
    <w:rPr>
      <w:rFonts w:ascii="Consolas" w:eastAsia="MS Mincho"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rFonts w:cs="Times New Roman"/>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eastAsia="MS Gothic"/>
      <w:b/>
      <w:bCs/>
    </w:rPr>
  </w:style>
  <w:style w:type="table" w:styleId="Jasnasiatka">
    <w:name w:val="Light Grid"/>
    <w:basedOn w:val="Standardowy"/>
    <w:uiPriority w:val="99"/>
    <w:semiHidden/>
    <w:rsid w:val="006544C4"/>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6544C4"/>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6544C4"/>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6544C4"/>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6544C4"/>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6544C4"/>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6544C4"/>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6544C4"/>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6544C4"/>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6544C4"/>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6544C4"/>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6544C4"/>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6544C4"/>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6544C4"/>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6544C4"/>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6544C4"/>
    <w:rPr>
      <w:rFonts w:cs="Times New Roman"/>
    </w:rPr>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4"/>
      </w:numPr>
      <w:tabs>
        <w:tab w:val="clear" w:pos="1209"/>
        <w:tab w:val="num" w:pos="360"/>
      </w:tabs>
      <w:ind w:left="360"/>
      <w:contextualSpacing/>
    </w:pPr>
  </w:style>
  <w:style w:type="paragraph" w:styleId="Listapunktowana4">
    <w:name w:val="List Bullet 4"/>
    <w:basedOn w:val="Normalny"/>
    <w:uiPriority w:val="99"/>
    <w:semiHidden/>
    <w:rsid w:val="006544C4"/>
    <w:pPr>
      <w:numPr>
        <w:numId w:val="5"/>
      </w:numPr>
      <w:tabs>
        <w:tab w:val="clear" w:pos="1492"/>
        <w:tab w:val="num" w:pos="1209"/>
      </w:tabs>
      <w:ind w:left="1209"/>
      <w:contextualSpacing/>
    </w:pPr>
  </w:style>
  <w:style w:type="paragraph" w:styleId="Listapunktowana5">
    <w:name w:val="List Bullet 5"/>
    <w:basedOn w:val="Normalny"/>
    <w:uiPriority w:val="99"/>
    <w:semiHidden/>
    <w:rsid w:val="006544C4"/>
    <w:pPr>
      <w:numPr>
        <w:numId w:val="6"/>
      </w:numPr>
      <w:tabs>
        <w:tab w:val="clear" w:pos="360"/>
        <w:tab w:val="num" w:pos="1492"/>
      </w:tabs>
      <w:ind w:left="1492"/>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7"/>
      </w:numPr>
      <w:tabs>
        <w:tab w:val="clear" w:pos="643"/>
        <w:tab w:val="num" w:pos="360"/>
      </w:tabs>
      <w:ind w:left="360"/>
      <w:contextualSpacing/>
    </w:pPr>
  </w:style>
  <w:style w:type="paragraph" w:styleId="Listanumerowana2">
    <w:name w:val="List Number 2"/>
    <w:basedOn w:val="Normalny"/>
    <w:uiPriority w:val="99"/>
    <w:semiHidden/>
    <w:rsid w:val="006544C4"/>
    <w:pPr>
      <w:numPr>
        <w:numId w:val="8"/>
      </w:numPr>
      <w:tabs>
        <w:tab w:val="clear" w:pos="926"/>
        <w:tab w:val="num" w:pos="643"/>
      </w:tabs>
      <w:ind w:left="643"/>
      <w:contextualSpacing/>
    </w:pPr>
  </w:style>
  <w:style w:type="paragraph" w:styleId="Listanumerowana3">
    <w:name w:val="List Number 3"/>
    <w:basedOn w:val="Normalny"/>
    <w:uiPriority w:val="99"/>
    <w:semiHidden/>
    <w:rsid w:val="006544C4"/>
    <w:pPr>
      <w:numPr>
        <w:numId w:val="9"/>
      </w:numPr>
      <w:tabs>
        <w:tab w:val="clear" w:pos="1209"/>
        <w:tab w:val="num" w:pos="926"/>
      </w:tabs>
      <w:ind w:left="926"/>
      <w:contextualSpacing/>
    </w:pPr>
  </w:style>
  <w:style w:type="paragraph" w:styleId="Listanumerowana4">
    <w:name w:val="List Number 4"/>
    <w:basedOn w:val="Normalny"/>
    <w:uiPriority w:val="99"/>
    <w:semiHidden/>
    <w:rsid w:val="006544C4"/>
    <w:pPr>
      <w:numPr>
        <w:numId w:val="10"/>
      </w:numPr>
      <w:tabs>
        <w:tab w:val="clear" w:pos="1492"/>
        <w:tab w:val="num" w:pos="1209"/>
      </w:tabs>
      <w:ind w:left="1209"/>
      <w:contextualSpacing/>
    </w:pPr>
  </w:style>
  <w:style w:type="paragraph" w:styleId="Listanumerowana5">
    <w:name w:val="List Number 5"/>
    <w:basedOn w:val="Normalny"/>
    <w:uiPriority w:val="99"/>
    <w:semiHidden/>
    <w:rsid w:val="006544C4"/>
    <w:pPr>
      <w:tabs>
        <w:tab w:val="num" w:pos="1492"/>
      </w:tabs>
      <w:ind w:left="1492" w:hanging="360"/>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6544C4"/>
    <w:rPr>
      <w:rFonts w:ascii="Consolas" w:eastAsia="MS Mincho" w:hAnsi="Consolas" w:cs="Consolas"/>
      <w:lang w:val="en-US" w:eastAsia="en-US" w:bidi="ar-SA"/>
    </w:rPr>
  </w:style>
  <w:style w:type="table" w:styleId="redniasiatka1">
    <w:name w:val="Medium Grid 1"/>
    <w:basedOn w:val="Standardowy"/>
    <w:uiPriority w:val="99"/>
    <w:semiHidden/>
    <w:rsid w:val="006544C4"/>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6544C4"/>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6544C4"/>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6544C4"/>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6544C4"/>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6544C4"/>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6544C4"/>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6544C4"/>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6544C4"/>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6544C4"/>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6544C4"/>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6544C4"/>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6544C4"/>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6544C4"/>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6544C4"/>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6544C4"/>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6544C4"/>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6544C4"/>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6544C4"/>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6544C4"/>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6544C4"/>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6544C4"/>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6544C4"/>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6544C4"/>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6544C4"/>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6544C4"/>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6544C4"/>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6544C4"/>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6544C4"/>
    <w:rPr>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locked/>
    <w:rsid w:val="006544C4"/>
    <w:rPr>
      <w:rFonts w:eastAsia="MS Mincho" w:cs="Times New Roman"/>
      <w:sz w:val="24"/>
    </w:rPr>
  </w:style>
  <w:style w:type="character" w:styleId="Tekstzastpczy">
    <w:name w:val="Placeholder Text"/>
    <w:basedOn w:val="Domylnaczcionkaakapitu"/>
    <w:uiPriority w:val="99"/>
    <w:semiHidden/>
    <w:rsid w:val="006544C4"/>
    <w:rPr>
      <w:rFonts w:cs="Times New Roman"/>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6544C4"/>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locked/>
    <w:rsid w:val="006544C4"/>
    <w:rPr>
      <w:rFonts w:eastAsia="MS Mincho" w:cs="Times New Roman"/>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locked/>
    <w:rsid w:val="006544C4"/>
    <w:rPr>
      <w:rFonts w:eastAsia="MS Mincho" w:cs="Times New Roman"/>
      <w:sz w:val="24"/>
    </w:rPr>
  </w:style>
  <w:style w:type="table" w:styleId="Tabela-Efekty3W1">
    <w:name w:val="Table 3D effects 1"/>
    <w:basedOn w:val="Standardowy"/>
    <w:uiPriority w:val="99"/>
    <w:semiHidden/>
    <w:rsid w:val="006544C4"/>
    <w:pPr>
      <w:jc w:val="both"/>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6544C4"/>
    <w:pPr>
      <w:jc w:val="both"/>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6544C4"/>
    <w:pPr>
      <w:jc w:val="both"/>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6544C4"/>
    <w:pPr>
      <w:jc w:val="both"/>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6544C4"/>
    <w:pPr>
      <w:jc w:val="both"/>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6544C4"/>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6544C4"/>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6544C4"/>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6544C4"/>
    <w:pPr>
      <w:jc w:val="both"/>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6544C4"/>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6544C4"/>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6544C4"/>
    <w:pPr>
      <w:jc w:val="both"/>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6544C4"/>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6544C4"/>
    <w:pPr>
      <w:jc w:val="both"/>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6544C4"/>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6544C4"/>
    <w:pPr>
      <w:jc w:val="both"/>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6544C4"/>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6544C4"/>
    <w:pPr>
      <w:jc w:val="both"/>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6544C4"/>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6544C4"/>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6544C4"/>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6544C4"/>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6544C4"/>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6544C4"/>
    <w:pPr>
      <w:jc w:val="both"/>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6544C4"/>
    <w:pPr>
      <w:jc w:val="both"/>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6544C4"/>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6544C4"/>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6544C4"/>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6544C4"/>
    <w:pPr>
      <w:jc w:val="both"/>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6544C4"/>
    <w:pPr>
      <w:jc w:val="both"/>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6544C4"/>
    <w:pPr>
      <w:jc w:val="both"/>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6544C4"/>
    <w:pPr>
      <w:jc w:val="both"/>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6544C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6544C4"/>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6544C4"/>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6544C4"/>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uiPriority w:val="99"/>
    <w:rsid w:val="00934A97"/>
    <w:rPr>
      <w:rFonts w:cs="Times New Roman"/>
    </w:rPr>
  </w:style>
  <w:style w:type="character" w:customStyle="1" w:styleId="JuParaChar">
    <w:name w:val="Ju_Para Char"/>
    <w:basedOn w:val="Domylnaczcionkaakapitu"/>
    <w:link w:val="ECHRPara"/>
    <w:uiPriority w:val="99"/>
    <w:locked/>
    <w:rsid w:val="004C0798"/>
    <w:rPr>
      <w:rFonts w:eastAsia="MS Mincho" w:cs="Times New Roman"/>
      <w:sz w:val="24"/>
    </w:rPr>
  </w:style>
  <w:style w:type="character" w:customStyle="1" w:styleId="JuQuotChar1">
    <w:name w:val="Ju_Quot Char1"/>
    <w:link w:val="ECHRParaQuote"/>
    <w:uiPriority w:val="99"/>
    <w:locked/>
    <w:rsid w:val="004C0798"/>
    <w:rPr>
      <w:rFonts w:eastAsia="MS Mincho"/>
      <w:sz w:val="20"/>
    </w:rPr>
  </w:style>
  <w:style w:type="character" w:customStyle="1" w:styleId="JuParaCar">
    <w:name w:val="Ju_Para Car"/>
    <w:uiPriority w:val="99"/>
    <w:locked/>
    <w:rsid w:val="004C0798"/>
    <w:rPr>
      <w:rFonts w:ascii="Times New Roman" w:hAnsi="Times New Roman"/>
      <w:sz w:val="20"/>
      <w:lang w:eastAsia="fr-FR"/>
    </w:rPr>
  </w:style>
  <w:style w:type="character" w:customStyle="1" w:styleId="ju-005fpara--char">
    <w:name w:val="ju-005fpara--char"/>
    <w:basedOn w:val="Domylnaczcionkaakapitu"/>
    <w:uiPriority w:val="99"/>
    <w:rsid w:val="004C0798"/>
    <w:rPr>
      <w:rFonts w:cs="Times New Roman"/>
    </w:rPr>
  </w:style>
  <w:style w:type="numbering" w:styleId="111111">
    <w:name w:val="Outline List 2"/>
    <w:basedOn w:val="Bezlisty"/>
    <w:uiPriority w:val="99"/>
    <w:semiHidden/>
    <w:unhideWhenUsed/>
    <w:locked/>
    <w:rsid w:val="000079E9"/>
    <w:pPr>
      <w:numPr>
        <w:numId w:val="22"/>
      </w:numPr>
    </w:pPr>
  </w:style>
  <w:style w:type="numbering" w:styleId="1ai">
    <w:name w:val="Outline List 1"/>
    <w:basedOn w:val="Bezlisty"/>
    <w:uiPriority w:val="99"/>
    <w:semiHidden/>
    <w:unhideWhenUsed/>
    <w:locked/>
    <w:rsid w:val="000079E9"/>
    <w:pPr>
      <w:numPr>
        <w:numId w:val="23"/>
      </w:numPr>
    </w:pPr>
  </w:style>
  <w:style w:type="numbering" w:styleId="Artykusekcja">
    <w:name w:val="Outline List 3"/>
    <w:basedOn w:val="Bezlisty"/>
    <w:uiPriority w:val="99"/>
    <w:semiHidden/>
    <w:unhideWhenUsed/>
    <w:locked/>
    <w:rsid w:val="000079E9"/>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6544C4"/>
    <w:pPr>
      <w:jc w:val="both"/>
    </w:pPr>
    <w:rPr>
      <w:rFonts w:eastAsia="MS Mincho"/>
      <w:sz w:val="24"/>
      <w:lang w:val="en-US" w:eastAsia="en-US"/>
    </w:rPr>
  </w:style>
  <w:style w:type="paragraph" w:styleId="Nagwek1">
    <w:name w:val="heading 1"/>
    <w:basedOn w:val="Normalny"/>
    <w:next w:val="Normalny"/>
    <w:link w:val="Nagwek1Znak"/>
    <w:uiPriority w:val="99"/>
    <w:qFormat/>
    <w:rsid w:val="00941747"/>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4174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6544C4"/>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94174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6544C4"/>
    <w:pPr>
      <w:outlineLvl w:val="6"/>
    </w:pPr>
    <w:rPr>
      <w:rFonts w:eastAsia="MS Gothic"/>
      <w:i/>
      <w:iCs/>
      <w:sz w:val="22"/>
    </w:rPr>
  </w:style>
  <w:style w:type="paragraph" w:styleId="Nagwek8">
    <w:name w:val="heading 8"/>
    <w:basedOn w:val="Normalny"/>
    <w:next w:val="Normalny"/>
    <w:link w:val="Nagwek8Znak"/>
    <w:uiPriority w:val="99"/>
    <w:qFormat/>
    <w:rsid w:val="006544C4"/>
    <w:pPr>
      <w:outlineLvl w:val="7"/>
    </w:pPr>
    <w:rPr>
      <w:rFonts w:eastAsia="MS Gothic"/>
      <w:sz w:val="20"/>
      <w:szCs w:val="20"/>
    </w:rPr>
  </w:style>
  <w:style w:type="paragraph" w:styleId="Nagwek9">
    <w:name w:val="heading 9"/>
    <w:basedOn w:val="Normalny"/>
    <w:next w:val="Normalny"/>
    <w:link w:val="Nagwek9Znak"/>
    <w:uiPriority w:val="99"/>
    <w:qFormat/>
    <w:rsid w:val="006544C4"/>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671F8"/>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671F8"/>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671F8"/>
    <w:rPr>
      <w:rFonts w:ascii="Times New Roman" w:eastAsia="MS Gothic" w:hAnsi="Times New Roman" w:cs="Times New Roman"/>
      <w:b/>
      <w:bCs/>
      <w:color w:val="5F5F5F"/>
    </w:rPr>
  </w:style>
  <w:style w:type="character" w:customStyle="1" w:styleId="Nagwek4Znak">
    <w:name w:val="Nagłówek 4 Znak"/>
    <w:basedOn w:val="Domylnaczcionkaakapitu"/>
    <w:link w:val="Nagwek4"/>
    <w:uiPriority w:val="99"/>
    <w:semiHidden/>
    <w:locked/>
    <w:rsid w:val="00A671F8"/>
    <w:rPr>
      <w:rFonts w:ascii="Times New Roman" w:eastAsia="MS Gothic" w:hAnsi="Times New Roman" w:cs="Times New Roman"/>
      <w:b/>
      <w:bCs/>
      <w:i/>
      <w:iCs/>
      <w:color w:val="777777"/>
    </w:rPr>
  </w:style>
  <w:style w:type="character" w:customStyle="1" w:styleId="Nagwek5Znak">
    <w:name w:val="Nagłówek 5 Znak"/>
    <w:basedOn w:val="Domylnaczcionkaakapitu"/>
    <w:link w:val="Nagwek5"/>
    <w:uiPriority w:val="99"/>
    <w:semiHidden/>
    <w:locked/>
    <w:rsid w:val="006544C4"/>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A671F8"/>
    <w:rPr>
      <w:rFonts w:ascii="Times New Roman" w:eastAsia="MS Gothic" w:hAnsi="Times New Roman" w:cs="Times New Roman"/>
      <w:b/>
      <w:bCs/>
      <w:i/>
      <w:iCs/>
      <w:color w:val="7F7F7F"/>
    </w:rPr>
  </w:style>
  <w:style w:type="character" w:customStyle="1" w:styleId="Nagwek7Znak">
    <w:name w:val="Nagłówek 7 Znak"/>
    <w:basedOn w:val="Domylnaczcionkaakapitu"/>
    <w:link w:val="Nagwek7"/>
    <w:uiPriority w:val="99"/>
    <w:semiHidden/>
    <w:locked/>
    <w:rsid w:val="006544C4"/>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6544C4"/>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6544C4"/>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671F8"/>
    <w:rPr>
      <w:rFonts w:ascii="Tahoma" w:eastAsia="MS Mincho" w:hAnsi="Tahoma" w:cs="Tahoma"/>
      <w:sz w:val="16"/>
      <w:szCs w:val="16"/>
    </w:rPr>
  </w:style>
  <w:style w:type="character" w:styleId="Tytuksiki">
    <w:name w:val="Book Title"/>
    <w:basedOn w:val="Domylnaczcionkaakapitu"/>
    <w:uiPriority w:val="99"/>
    <w:qFormat/>
    <w:rsid w:val="006544C4"/>
    <w:rPr>
      <w:rFonts w:cs="Times New Roman"/>
      <w:i/>
      <w:smallCaps/>
      <w:spacing w:val="5"/>
    </w:rPr>
  </w:style>
  <w:style w:type="paragraph" w:customStyle="1" w:styleId="ECHRHeader">
    <w:name w:val="ECHR_Header"/>
    <w:aliases w:val="Ju_Header"/>
    <w:basedOn w:val="Nagwek"/>
    <w:uiPriority w:val="99"/>
    <w:rsid w:val="006544C4"/>
    <w:pPr>
      <w:tabs>
        <w:tab w:val="clear" w:pos="4536"/>
        <w:tab w:val="clear" w:pos="9696"/>
        <w:tab w:val="center" w:pos="3686"/>
        <w:tab w:val="right" w:pos="7371"/>
      </w:tabs>
      <w:ind w:left="0" w:right="0"/>
      <w:jc w:val="left"/>
    </w:pPr>
    <w:rPr>
      <w:rFonts w:eastAsia="Times New Roman"/>
      <w:sz w:val="18"/>
    </w:rPr>
  </w:style>
  <w:style w:type="paragraph" w:customStyle="1" w:styleId="JuAppQuestion">
    <w:name w:val="Ju_App_Question"/>
    <w:basedOn w:val="Normalny"/>
    <w:uiPriority w:val="99"/>
    <w:rsid w:val="006544C4"/>
    <w:pPr>
      <w:numPr>
        <w:numId w:val="1"/>
      </w:numPr>
      <w:tabs>
        <w:tab w:val="clear" w:pos="643"/>
        <w:tab w:val="num" w:pos="720"/>
      </w:tabs>
      <w:ind w:left="720"/>
      <w:jc w:val="left"/>
    </w:pPr>
    <w:rPr>
      <w:b/>
    </w:rPr>
  </w:style>
  <w:style w:type="character" w:styleId="Pogrubienie">
    <w:name w:val="Strong"/>
    <w:basedOn w:val="Domylnaczcionkaakapitu"/>
    <w:uiPriority w:val="99"/>
    <w:qFormat/>
    <w:rsid w:val="006544C4"/>
    <w:rPr>
      <w:rFonts w:cs="Times New Roman"/>
      <w:b/>
    </w:rPr>
  </w:style>
  <w:style w:type="paragraph" w:styleId="Bezodstpw">
    <w:name w:val="No Spacing"/>
    <w:basedOn w:val="Normalny"/>
    <w:link w:val="BezodstpwZnak"/>
    <w:uiPriority w:val="99"/>
    <w:qFormat/>
    <w:rsid w:val="006544C4"/>
    <w:rPr>
      <w:sz w:val="22"/>
    </w:rPr>
  </w:style>
  <w:style w:type="character" w:customStyle="1" w:styleId="BezodstpwZnak">
    <w:name w:val="Bez odstępów Znak"/>
    <w:basedOn w:val="Domylnaczcionkaakapitu"/>
    <w:link w:val="Bezodstpw"/>
    <w:uiPriority w:val="99"/>
    <w:semiHidden/>
    <w:locked/>
    <w:rsid w:val="006544C4"/>
    <w:rPr>
      <w:rFonts w:eastAsia="MS Mincho" w:cs="Times New Roman"/>
    </w:rPr>
  </w:style>
  <w:style w:type="paragraph" w:customStyle="1" w:styleId="OpiPara">
    <w:name w:val="Opi_Para"/>
    <w:basedOn w:val="Normalny"/>
    <w:uiPriority w:val="99"/>
    <w:semiHidden/>
    <w:rsid w:val="004047FE"/>
    <w:pPr>
      <w:ind w:firstLine="284"/>
    </w:pPr>
  </w:style>
  <w:style w:type="paragraph" w:customStyle="1" w:styleId="ECHRParaQuote">
    <w:name w:val="ECHR_Para_Quote"/>
    <w:aliases w:val="Ju_Quot"/>
    <w:basedOn w:val="Normalny"/>
    <w:link w:val="JuQuotChar1"/>
    <w:uiPriority w:val="99"/>
    <w:rsid w:val="006544C4"/>
    <w:pPr>
      <w:spacing w:before="120" w:after="120"/>
      <w:ind w:left="425" w:firstLine="142"/>
    </w:pPr>
    <w:rPr>
      <w:sz w:val="20"/>
      <w:szCs w:val="20"/>
      <w:lang w:val="pl-PL" w:eastAsia="pl-PL"/>
    </w:rPr>
  </w:style>
  <w:style w:type="paragraph" w:customStyle="1" w:styleId="JuParaSub">
    <w:name w:val="Ju_Para_Sub"/>
    <w:basedOn w:val="Normalny"/>
    <w:uiPriority w:val="99"/>
    <w:rsid w:val="004047FE"/>
    <w:pPr>
      <w:ind w:left="284" w:firstLine="284"/>
    </w:pPr>
  </w:style>
  <w:style w:type="paragraph" w:customStyle="1" w:styleId="OpiParaSub">
    <w:name w:val="Opi_Para_Sub"/>
    <w:basedOn w:val="JuParaSub"/>
    <w:uiPriority w:val="99"/>
    <w:semiHidden/>
    <w:rsid w:val="006544C4"/>
  </w:style>
  <w:style w:type="paragraph" w:customStyle="1" w:styleId="OpiQuot">
    <w:name w:val="Opi_Quot"/>
    <w:basedOn w:val="ECHRParaQuote"/>
    <w:uiPriority w:val="99"/>
    <w:semiHidden/>
    <w:rsid w:val="006544C4"/>
  </w:style>
  <w:style w:type="paragraph" w:customStyle="1" w:styleId="OpiQuotSub">
    <w:name w:val="Opi_Quot_Sub"/>
    <w:basedOn w:val="JuQuotSub"/>
    <w:uiPriority w:val="99"/>
    <w:semiHidden/>
    <w:rsid w:val="006544C4"/>
  </w:style>
  <w:style w:type="paragraph" w:customStyle="1" w:styleId="ECHRTitleCentre3">
    <w:name w:val="ECHR_Title_Centre_3"/>
    <w:aliases w:val="Ju_H_Article"/>
    <w:basedOn w:val="Normalny"/>
    <w:next w:val="ECHRParaQuote"/>
    <w:uiPriority w:val="99"/>
    <w:rsid w:val="006544C4"/>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semiHidden/>
    <w:rsid w:val="006544C4"/>
    <w:pPr>
      <w:keepNext/>
      <w:keepLines/>
      <w:spacing w:after="240"/>
      <w:jc w:val="center"/>
      <w:outlineLvl w:val="0"/>
    </w:pPr>
    <w:rPr>
      <w:sz w:val="28"/>
    </w:rPr>
  </w:style>
  <w:style w:type="paragraph" w:customStyle="1" w:styleId="JuQuotSub">
    <w:name w:val="Ju_Quot_Sub"/>
    <w:basedOn w:val="ECHRParaQuote"/>
    <w:uiPriority w:val="99"/>
    <w:rsid w:val="006544C4"/>
    <w:pPr>
      <w:ind w:left="567"/>
    </w:pPr>
  </w:style>
  <w:style w:type="paragraph" w:customStyle="1" w:styleId="ECHRTitle1">
    <w:name w:val="ECHR_Title_1"/>
    <w:aliases w:val="Ju_H_Head"/>
    <w:basedOn w:val="Normalny"/>
    <w:next w:val="Normalny"/>
    <w:uiPriority w:val="99"/>
    <w:rsid w:val="006544C4"/>
    <w:pPr>
      <w:keepNext/>
      <w:keepLines/>
      <w:spacing w:before="720" w:after="240"/>
      <w:outlineLvl w:val="0"/>
    </w:pPr>
    <w:rPr>
      <w:sz w:val="28"/>
    </w:rPr>
  </w:style>
  <w:style w:type="paragraph" w:customStyle="1" w:styleId="JuInitialled">
    <w:name w:val="Ju_Initialled"/>
    <w:basedOn w:val="Normalny"/>
    <w:uiPriority w:val="99"/>
    <w:rsid w:val="006544C4"/>
    <w:pPr>
      <w:tabs>
        <w:tab w:val="center" w:pos="6407"/>
      </w:tabs>
      <w:spacing w:before="720"/>
      <w:jc w:val="right"/>
    </w:pPr>
  </w:style>
  <w:style w:type="paragraph" w:styleId="Tytu">
    <w:name w:val="Title"/>
    <w:basedOn w:val="Normalny"/>
    <w:next w:val="Normalny"/>
    <w:link w:val="TytuZnak"/>
    <w:uiPriority w:val="99"/>
    <w:qFormat/>
    <w:rsid w:val="006544C4"/>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6544C4"/>
    <w:rPr>
      <w:rFonts w:ascii="Times New Roman" w:eastAsia="MS Gothic" w:hAnsi="Times New Roman" w:cs="Times New Roman"/>
      <w:spacing w:val="5"/>
      <w:sz w:val="52"/>
      <w:szCs w:val="52"/>
    </w:rPr>
  </w:style>
  <w:style w:type="paragraph" w:customStyle="1" w:styleId="OpiHA">
    <w:name w:val="Opi_H_A"/>
    <w:basedOn w:val="ECHRHeading1"/>
    <w:next w:val="OpiPara"/>
    <w:uiPriority w:val="99"/>
    <w:semiHidden/>
    <w:rsid w:val="006544C4"/>
    <w:pPr>
      <w:tabs>
        <w:tab w:val="clear" w:pos="357"/>
      </w:tabs>
      <w:outlineLvl w:val="1"/>
    </w:pPr>
    <w:rPr>
      <w:b/>
    </w:rPr>
  </w:style>
  <w:style w:type="character" w:customStyle="1" w:styleId="JUNAMES">
    <w:name w:val="JU_NAMES"/>
    <w:uiPriority w:val="99"/>
    <w:rsid w:val="006544C4"/>
    <w:rPr>
      <w:smallCaps/>
    </w:rPr>
  </w:style>
  <w:style w:type="character" w:customStyle="1" w:styleId="JuITMark">
    <w:name w:val="Ju_ITMark"/>
    <w:basedOn w:val="Domylnaczcionkaakapitu"/>
    <w:uiPriority w:val="99"/>
    <w:rsid w:val="006544C4"/>
    <w:rPr>
      <w:rFonts w:cs="Times New Roman"/>
      <w:vanish/>
      <w:color w:val="339966"/>
      <w:sz w:val="14"/>
    </w:rPr>
  </w:style>
  <w:style w:type="paragraph" w:customStyle="1" w:styleId="OpiTranslation">
    <w:name w:val="Opi_Translation"/>
    <w:basedOn w:val="Normalny"/>
    <w:next w:val="OpiPara"/>
    <w:uiPriority w:val="99"/>
    <w:semiHidden/>
    <w:rsid w:val="006544C4"/>
    <w:pPr>
      <w:jc w:val="center"/>
      <w:outlineLvl w:val="0"/>
    </w:pPr>
    <w:rPr>
      <w:i/>
    </w:rPr>
  </w:style>
  <w:style w:type="paragraph" w:customStyle="1" w:styleId="JuCourt">
    <w:name w:val="Ju_Court"/>
    <w:basedOn w:val="Normalny"/>
    <w:next w:val="Normalny"/>
    <w:uiPriority w:val="99"/>
    <w:rsid w:val="006544C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Normalny"/>
    <w:uiPriority w:val="99"/>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uiPriority w:val="99"/>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uiPriority w:val="99"/>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rPr>
      <w:rFonts w:cs="Times New Roman"/>
    </w:rPr>
  </w:style>
  <w:style w:type="paragraph" w:customStyle="1" w:styleId="ECHRHeading4">
    <w:name w:val="ECHR_Heading_4"/>
    <w:aliases w:val="Ju_H_a"/>
    <w:basedOn w:val="Nagwek4"/>
    <w:next w:val="Normalny"/>
    <w:uiPriority w:val="99"/>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99"/>
    <w:rsid w:val="006544C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99"/>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99"/>
    <w:rsid w:val="006544C4"/>
    <w:pPr>
      <w:keepNext/>
      <w:keepLines/>
      <w:spacing w:before="240" w:after="120"/>
      <w:ind w:left="1236"/>
    </w:pPr>
    <w:rPr>
      <w:sz w:val="20"/>
    </w:rPr>
  </w:style>
  <w:style w:type="paragraph" w:customStyle="1" w:styleId="JuParaLast">
    <w:name w:val="Ju_Para_Last"/>
    <w:basedOn w:val="Normalny"/>
    <w:next w:val="Normalny"/>
    <w:uiPriority w:val="99"/>
    <w:rsid w:val="006544C4"/>
    <w:pPr>
      <w:keepNext/>
      <w:keepLines/>
      <w:spacing w:before="240"/>
      <w:ind w:firstLine="284"/>
    </w:pPr>
  </w:style>
  <w:style w:type="paragraph" w:customStyle="1" w:styleId="DecList">
    <w:name w:val="Dec_List"/>
    <w:basedOn w:val="Normalny"/>
    <w:uiPriority w:val="99"/>
    <w:rsid w:val="006544C4"/>
    <w:pPr>
      <w:spacing w:before="240"/>
      <w:ind w:left="284"/>
    </w:pPr>
  </w:style>
  <w:style w:type="paragraph" w:customStyle="1" w:styleId="ECHRDecisionBody">
    <w:name w:val="ECHR_Decision_Body"/>
    <w:aliases w:val="Ju_Judges"/>
    <w:basedOn w:val="Normalny"/>
    <w:uiPriority w:val="99"/>
    <w:rsid w:val="006544C4"/>
    <w:pPr>
      <w:tabs>
        <w:tab w:val="left" w:pos="567"/>
        <w:tab w:val="left" w:pos="1134"/>
      </w:tabs>
      <w:jc w:val="left"/>
    </w:pPr>
  </w:style>
  <w:style w:type="paragraph" w:customStyle="1" w:styleId="JuList">
    <w:name w:val="Ju_List"/>
    <w:basedOn w:val="Normalny"/>
    <w:uiPriority w:val="99"/>
    <w:rsid w:val="006544C4"/>
    <w:pPr>
      <w:ind w:left="340" w:hanging="340"/>
    </w:pPr>
  </w:style>
  <w:style w:type="paragraph" w:customStyle="1" w:styleId="JuLista">
    <w:name w:val="Ju_List_a"/>
    <w:basedOn w:val="JuList"/>
    <w:uiPriority w:val="99"/>
    <w:rsid w:val="006544C4"/>
    <w:pPr>
      <w:ind w:left="346" w:firstLine="0"/>
    </w:pPr>
  </w:style>
  <w:style w:type="character" w:styleId="Wyrnieniedelikatne">
    <w:name w:val="Subtle Emphasis"/>
    <w:basedOn w:val="Domylnaczcionkaakapitu"/>
    <w:uiPriority w:val="99"/>
    <w:qFormat/>
    <w:rsid w:val="006544C4"/>
    <w:rPr>
      <w:rFonts w:cs="Times New Roman"/>
      <w:i/>
    </w:rPr>
  </w:style>
  <w:style w:type="paragraph" w:customStyle="1" w:styleId="JuListi">
    <w:name w:val="Ju_List_i"/>
    <w:basedOn w:val="Normalny"/>
    <w:next w:val="JuLista"/>
    <w:uiPriority w:val="99"/>
    <w:rsid w:val="006544C4"/>
    <w:pPr>
      <w:ind w:left="794"/>
    </w:p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OpiH1">
    <w:name w:val="Opi_H_1"/>
    <w:basedOn w:val="ECHRHeading2"/>
    <w:uiPriority w:val="99"/>
    <w:semiHidden/>
    <w:rsid w:val="006544C4"/>
    <w:pPr>
      <w:ind w:left="635" w:hanging="357"/>
      <w:outlineLvl w:val="2"/>
    </w:pPr>
  </w:style>
  <w:style w:type="paragraph" w:customStyle="1" w:styleId="OpiHa0">
    <w:name w:val="Opi_H_a"/>
    <w:basedOn w:val="ECHRHeading3"/>
    <w:uiPriority w:val="99"/>
    <w:semiHidden/>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99"/>
    <w:rsid w:val="006544C4"/>
    <w:pPr>
      <w:spacing w:after="240"/>
      <w:jc w:val="center"/>
      <w:outlineLvl w:val="0"/>
    </w:pPr>
  </w:style>
  <w:style w:type="character" w:styleId="Uwydatnienie">
    <w:name w:val="Emphasis"/>
    <w:basedOn w:val="Domylnaczcionkaakapitu"/>
    <w:uiPriority w:val="99"/>
    <w:qFormat/>
    <w:rsid w:val="006544C4"/>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rPr>
      <w:rFonts w:cs="Times New Roman"/>
    </w:rPr>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locked/>
    <w:rsid w:val="00A671F8"/>
    <w:rPr>
      <w:rFonts w:eastAsia="MS Mincho" w:cs="Times New Roman"/>
      <w:sz w:val="20"/>
      <w:szCs w:val="20"/>
    </w:rPr>
  </w:style>
  <w:style w:type="character" w:styleId="Hipercze">
    <w:name w:val="Hyperlink"/>
    <w:basedOn w:val="Domylnaczcionkaakapitu"/>
    <w:uiPriority w:val="99"/>
    <w:semiHidden/>
    <w:rsid w:val="00941747"/>
    <w:rPr>
      <w:rFonts w:cs="Times New Roman"/>
      <w:color w:val="0072BC"/>
      <w:u w:val="single"/>
    </w:rPr>
  </w:style>
  <w:style w:type="character" w:styleId="Wyrnienieintensywne">
    <w:name w:val="Intense Emphasis"/>
    <w:basedOn w:val="Domylnaczcionkaakapitu"/>
    <w:uiPriority w:val="99"/>
    <w:qFormat/>
    <w:rsid w:val="006544C4"/>
    <w:rPr>
      <w:rFonts w:cs="Times New Roman"/>
      <w:b/>
    </w:rPr>
  </w:style>
  <w:style w:type="paragraph" w:styleId="Cytatintensywny">
    <w:name w:val="Intense Quote"/>
    <w:basedOn w:val="Normalny"/>
    <w:next w:val="Normalny"/>
    <w:link w:val="CytatintensywnyZnak"/>
    <w:uiPriority w:val="99"/>
    <w:qFormat/>
    <w:rsid w:val="006544C4"/>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6544C4"/>
    <w:rPr>
      <w:rFonts w:eastAsia="MS Mincho" w:cs="Times New Roman"/>
      <w:b/>
      <w:bCs/>
      <w:i/>
      <w:iCs/>
    </w:rPr>
  </w:style>
  <w:style w:type="character" w:styleId="Odwoanieintensywne">
    <w:name w:val="Intense Reference"/>
    <w:basedOn w:val="Domylnaczcionkaakapitu"/>
    <w:uiPriority w:val="99"/>
    <w:qFormat/>
    <w:rsid w:val="006544C4"/>
    <w:rPr>
      <w:rFonts w:cs="Times New Roman"/>
      <w:smallCaps/>
      <w:spacing w:val="5"/>
      <w:u w:val="single"/>
    </w:rPr>
  </w:style>
  <w:style w:type="paragraph" w:styleId="Akapitzlist">
    <w:name w:val="List Paragraph"/>
    <w:basedOn w:val="Normalny"/>
    <w:uiPriority w:val="99"/>
    <w:qFormat/>
    <w:rsid w:val="006544C4"/>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6544C4"/>
    <w:pPr>
      <w:spacing w:before="200"/>
      <w:ind w:left="360" w:right="360"/>
    </w:pPr>
    <w:rPr>
      <w:i/>
      <w:iCs/>
      <w:sz w:val="22"/>
    </w:rPr>
  </w:style>
  <w:style w:type="character" w:customStyle="1" w:styleId="CytatZnak">
    <w:name w:val="Cytat Znak"/>
    <w:basedOn w:val="Domylnaczcionkaakapitu"/>
    <w:link w:val="Cytat"/>
    <w:uiPriority w:val="99"/>
    <w:semiHidden/>
    <w:locked/>
    <w:rsid w:val="006544C4"/>
    <w:rPr>
      <w:rFonts w:eastAsia="MS Mincho" w:cs="Times New Roman"/>
      <w:i/>
      <w:iCs/>
    </w:rPr>
  </w:style>
  <w:style w:type="character" w:styleId="Odwoaniedelikatne">
    <w:name w:val="Subtle Reference"/>
    <w:basedOn w:val="Domylnaczcionkaakapitu"/>
    <w:uiPriority w:val="99"/>
    <w:qFormat/>
    <w:rsid w:val="006544C4"/>
    <w:rPr>
      <w:rFonts w:cs="Times New Roman"/>
      <w:smallCaps/>
    </w:rPr>
  </w:style>
  <w:style w:type="table" w:styleId="Tabela-Siatka">
    <w:name w:val="Table Grid"/>
    <w:basedOn w:val="Standardowy"/>
    <w:uiPriority w:val="99"/>
    <w:semiHidden/>
    <w:rsid w:val="00941747"/>
    <w:rPr>
      <w:rFonts w:eastAsia="MS Minch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6544C4"/>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szCs w:val="24"/>
    </w:rPr>
  </w:style>
  <w:style w:type="paragraph" w:customStyle="1" w:styleId="OpiHi">
    <w:name w:val="Opi_H_i"/>
    <w:basedOn w:val="ECHRHeading4"/>
    <w:uiPriority w:val="99"/>
    <w:semiHidden/>
    <w:rsid w:val="006544C4"/>
    <w:pPr>
      <w:ind w:left="1037" w:hanging="357"/>
      <w:outlineLvl w:val="4"/>
    </w:pPr>
    <w:rPr>
      <w:b w:val="0"/>
      <w:i/>
    </w:rPr>
  </w:style>
  <w:style w:type="paragraph" w:customStyle="1" w:styleId="DummyStyle">
    <w:name w:val="Dummy_Style"/>
    <w:basedOn w:val="Normalny"/>
    <w:uiPriority w:val="99"/>
    <w:semiHidden/>
    <w:rsid w:val="006544C4"/>
    <w:rPr>
      <w:color w:val="00B050"/>
    </w:rPr>
  </w:style>
  <w:style w:type="paragraph" w:styleId="Podtytu">
    <w:name w:val="Subtitle"/>
    <w:basedOn w:val="Normalny"/>
    <w:next w:val="Normalny"/>
    <w:link w:val="PodtytuZnak"/>
    <w:uiPriority w:val="99"/>
    <w:qFormat/>
    <w:rsid w:val="006544C4"/>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6544C4"/>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JuParaChar"/>
    <w:uiPriority w:val="99"/>
    <w:rsid w:val="004047FE"/>
    <w:pPr>
      <w:ind w:firstLine="284"/>
    </w:p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r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
    <w:name w:val="Body Text"/>
    <w:basedOn w:val="Normalny"/>
    <w:link w:val="TekstpodstawowyZnak"/>
    <w:uiPriority w:val="99"/>
    <w:semiHidden/>
    <w:rsid w:val="006544C4"/>
    <w:pPr>
      <w:spacing w:after="120"/>
    </w:pPr>
  </w:style>
  <w:style w:type="character" w:customStyle="1" w:styleId="TekstpodstawowyZnak">
    <w:name w:val="Tekst podstawowy Znak"/>
    <w:basedOn w:val="Domylnaczcionkaakapitu"/>
    <w:link w:val="Tekstpodstawowy"/>
    <w:uiPriority w:val="99"/>
    <w:semiHidden/>
    <w:locked/>
    <w:rsid w:val="006544C4"/>
    <w:rPr>
      <w:rFonts w:eastAsia="MS Mincho" w:cs="Times New Roman"/>
      <w:sz w:val="24"/>
    </w:r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rFonts w:cs="Times New Roman"/>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locked/>
    <w:rsid w:val="006544C4"/>
    <w:rPr>
      <w:rFonts w:eastAsia="MS Mincho" w:cs="Times New Roman"/>
      <w:sz w:val="20"/>
    </w:rPr>
  </w:style>
  <w:style w:type="paragraph" w:customStyle="1" w:styleId="JuSigned">
    <w:name w:val="Ju_Signed"/>
    <w:basedOn w:val="Normalny"/>
    <w:next w:val="JuParaLast"/>
    <w:uiPriority w:val="99"/>
    <w:rsid w:val="006544C4"/>
    <w:pPr>
      <w:tabs>
        <w:tab w:val="center" w:pos="851"/>
        <w:tab w:val="center" w:pos="6407"/>
      </w:tabs>
      <w:spacing w:before="720"/>
      <w:jc w:val="left"/>
    </w:pPr>
  </w:style>
  <w:style w:type="paragraph" w:customStyle="1" w:styleId="JuTitle">
    <w:name w:val="Ju_Title"/>
    <w:basedOn w:val="Normalny"/>
    <w:next w:val="Normalny"/>
    <w:uiPriority w:val="99"/>
    <w:rsid w:val="006544C4"/>
    <w:pPr>
      <w:spacing w:before="720" w:after="240"/>
      <w:jc w:val="center"/>
      <w:outlineLvl w:val="0"/>
    </w:pPr>
    <w:rPr>
      <w:b/>
      <w:caps/>
    </w:rPr>
  </w:style>
  <w:style w:type="paragraph" w:customStyle="1" w:styleId="DecHTitle">
    <w:name w:val="Dec_H_Title"/>
    <w:basedOn w:val="ECHRTitleCentre1"/>
    <w:uiPriority w:val="99"/>
    <w:rsid w:val="006544C4"/>
  </w:style>
  <w:style w:type="paragraph" w:styleId="Listapunktowana2">
    <w:name w:val="List Bullet 2"/>
    <w:basedOn w:val="Normalny"/>
    <w:uiPriority w:val="99"/>
    <w:semiHidden/>
    <w:rsid w:val="006544C4"/>
    <w:pPr>
      <w:numPr>
        <w:numId w:val="2"/>
      </w:numPr>
      <w:tabs>
        <w:tab w:val="clear" w:pos="926"/>
        <w:tab w:val="num" w:pos="643"/>
      </w:tabs>
      <w:ind w:left="643"/>
      <w:contextualSpacing/>
    </w:pPr>
  </w:style>
  <w:style w:type="paragraph" w:styleId="Listapunktowana3">
    <w:name w:val="List Bullet 3"/>
    <w:basedOn w:val="Normalny"/>
    <w:uiPriority w:val="99"/>
    <w:semiHidden/>
    <w:rsid w:val="006544C4"/>
    <w:pPr>
      <w:numPr>
        <w:numId w:val="3"/>
      </w:numPr>
      <w:tabs>
        <w:tab w:val="clear" w:pos="360"/>
        <w:tab w:val="num" w:pos="926"/>
      </w:tabs>
      <w:ind w:left="926"/>
      <w:contextualSpacing/>
    </w:p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locked/>
    <w:rsid w:val="006544C4"/>
    <w:rPr>
      <w:rFonts w:eastAsia="MS Mincho" w:cs="Times New Roman"/>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6544C4"/>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6544C4"/>
    <w:rPr>
      <w:rFonts w:eastAsia="MS Mincho" w:cs="Times New Roman"/>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locked/>
    <w:rsid w:val="006544C4"/>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6544C4"/>
    <w:rPr>
      <w:rFonts w:eastAsia="MS Mincho" w:cs="Times New Roman"/>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6544C4"/>
    <w:rPr>
      <w:rFonts w:eastAsia="MS Mincho" w:cs="Times New Roman"/>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6544C4"/>
    <w:rPr>
      <w:rFonts w:eastAsia="MS Mincho" w:cs="Times New Roman"/>
      <w:sz w:val="16"/>
      <w:szCs w:val="16"/>
    </w:rPr>
  </w:style>
  <w:style w:type="paragraph" w:styleId="Legenda">
    <w:name w:val="caption"/>
    <w:basedOn w:val="Normalny"/>
    <w:next w:val="Normalny"/>
    <w:uiPriority w:val="99"/>
    <w:qFormat/>
    <w:rsid w:val="006544C4"/>
    <w:pPr>
      <w:spacing w:after="200"/>
    </w:pPr>
    <w:rPr>
      <w:b/>
      <w:bCs/>
      <w:color w:val="0072BC"/>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locked/>
    <w:rsid w:val="006544C4"/>
    <w:rPr>
      <w:rFonts w:eastAsia="MS Mincho" w:cs="Times New Roman"/>
      <w:sz w:val="24"/>
    </w:rPr>
  </w:style>
  <w:style w:type="table" w:styleId="Kolorowasiatka">
    <w:name w:val="Colorful Grid"/>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6544C4"/>
    <w:rPr>
      <w:color w:val="000000"/>
      <w:sz w:val="20"/>
      <w:szCs w:val="2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6544C4"/>
    <w:rPr>
      <w:color w:val="000000"/>
      <w:sz w:val="20"/>
      <w:szCs w:val="2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6544C4"/>
    <w:rPr>
      <w:color w:val="000000"/>
      <w:sz w:val="20"/>
      <w:szCs w:val="2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6544C4"/>
    <w:rPr>
      <w:color w:val="000000"/>
      <w:sz w:val="20"/>
      <w:szCs w:val="2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6544C4"/>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6544C4"/>
    <w:rPr>
      <w:color w:val="000000"/>
      <w:sz w:val="20"/>
      <w:szCs w:val="2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6544C4"/>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6544C4"/>
    <w:rPr>
      <w:color w:val="000000"/>
      <w:sz w:val="20"/>
      <w:szCs w:val="2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6544C4"/>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6544C4"/>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6544C4"/>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6544C4"/>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6544C4"/>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locked/>
    <w:rsid w:val="006544C4"/>
    <w:rPr>
      <w:rFonts w:eastAsia="MS Mincho" w:cs="Times New Roman"/>
      <w:b/>
      <w:bCs/>
      <w:sz w:val="20"/>
      <w:szCs w:val="20"/>
    </w:rPr>
  </w:style>
  <w:style w:type="table" w:styleId="Ciemnalista">
    <w:name w:val="Dark List"/>
    <w:basedOn w:val="Standardowy"/>
    <w:uiPriority w:val="99"/>
    <w:semiHidden/>
    <w:rsid w:val="006544C4"/>
    <w:rPr>
      <w:color w:val="0072BC"/>
      <w:sz w:val="20"/>
      <w:szCs w:val="20"/>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6544C4"/>
    <w:rPr>
      <w:color w:val="0072BC"/>
      <w:sz w:val="20"/>
      <w:szCs w:val="20"/>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6544C4"/>
    <w:rPr>
      <w:color w:val="0072BC"/>
      <w:sz w:val="20"/>
      <w:szCs w:val="20"/>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6544C4"/>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6544C4"/>
    <w:rPr>
      <w:color w:val="0072BC"/>
      <w:sz w:val="20"/>
      <w:szCs w:val="20"/>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6544C4"/>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6544C4"/>
    <w:rPr>
      <w:color w:val="0072BC"/>
      <w:sz w:val="20"/>
      <w:szCs w:val="20"/>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locked/>
    <w:rsid w:val="006544C4"/>
    <w:rPr>
      <w:rFonts w:eastAsia="MS Mincho" w:cs="Times New Roman"/>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6544C4"/>
    <w:rPr>
      <w:rFonts w:ascii="Tahoma" w:eastAsia="MS Mincho"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locked/>
    <w:rsid w:val="006544C4"/>
    <w:rPr>
      <w:rFonts w:eastAsia="MS Mincho" w:cs="Times New Roman"/>
      <w:sz w:val="24"/>
    </w:rPr>
  </w:style>
  <w:style w:type="character" w:styleId="Odwoanieprzypisukocowego">
    <w:name w:val="endnote reference"/>
    <w:basedOn w:val="Domylnaczcionkaakapitu"/>
    <w:uiPriority w:val="99"/>
    <w:semiHidden/>
    <w:rsid w:val="006544C4"/>
    <w:rPr>
      <w:rFonts w:cs="Times New Roman"/>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locked/>
    <w:rsid w:val="006544C4"/>
    <w:rPr>
      <w:rFonts w:eastAsia="MS Mincho" w:cs="Times New Roman"/>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eastAsia="MS Gothic"/>
      <w:szCs w:val="24"/>
    </w:rPr>
  </w:style>
  <w:style w:type="paragraph" w:styleId="Adreszwrotnynakopercie">
    <w:name w:val="envelope return"/>
    <w:basedOn w:val="Normalny"/>
    <w:uiPriority w:val="99"/>
    <w:semiHidden/>
    <w:rsid w:val="006544C4"/>
    <w:rPr>
      <w:rFonts w:eastAsia="MS Gothic"/>
      <w:sz w:val="20"/>
      <w:szCs w:val="20"/>
    </w:rPr>
  </w:style>
  <w:style w:type="character" w:styleId="UyteHipercze">
    <w:name w:val="FollowedHyperlink"/>
    <w:basedOn w:val="Domylnaczcionkaakapitu"/>
    <w:uiPriority w:val="99"/>
    <w:semiHidden/>
    <w:rsid w:val="006544C4"/>
    <w:rPr>
      <w:rFonts w:cs="Times New Roman"/>
      <w:color w:val="7030A0"/>
      <w:u w:val="single"/>
    </w:rPr>
  </w:style>
  <w:style w:type="character" w:styleId="HTML-akronim">
    <w:name w:val="HTML Acronym"/>
    <w:basedOn w:val="Domylnaczcionkaakapitu"/>
    <w:uiPriority w:val="99"/>
    <w:semiHidden/>
    <w:rsid w:val="006544C4"/>
    <w:rPr>
      <w:rFonts w:cs="Times New Roman"/>
    </w:rPr>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locked/>
    <w:rsid w:val="006544C4"/>
    <w:rPr>
      <w:rFonts w:eastAsia="MS Mincho" w:cs="Times New Roman"/>
      <w:i/>
      <w:iCs/>
      <w:sz w:val="24"/>
    </w:rPr>
  </w:style>
  <w:style w:type="character" w:styleId="HTML-cytat">
    <w:name w:val="HTML Cite"/>
    <w:basedOn w:val="Domylnaczcionkaakapitu"/>
    <w:uiPriority w:val="99"/>
    <w:semiHidden/>
    <w:rsid w:val="006544C4"/>
    <w:rPr>
      <w:rFonts w:cs="Times New Roman"/>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rFonts w:cs="Times New Roman"/>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6544C4"/>
    <w:rPr>
      <w:rFonts w:ascii="Consolas" w:eastAsia="MS Mincho"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rFonts w:cs="Times New Roman"/>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eastAsia="MS Gothic"/>
      <w:b/>
      <w:bCs/>
    </w:rPr>
  </w:style>
  <w:style w:type="table" w:styleId="Jasnasiatka">
    <w:name w:val="Light Grid"/>
    <w:basedOn w:val="Standardowy"/>
    <w:uiPriority w:val="99"/>
    <w:semiHidden/>
    <w:rsid w:val="006544C4"/>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6544C4"/>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6544C4"/>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6544C4"/>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6544C4"/>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6544C4"/>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6544C4"/>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6544C4"/>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6544C4"/>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6544C4"/>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6544C4"/>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6544C4"/>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6544C4"/>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6544C4"/>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6544C4"/>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6544C4"/>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6544C4"/>
    <w:rPr>
      <w:rFonts w:cs="Times New Roman"/>
    </w:rPr>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4"/>
      </w:numPr>
      <w:tabs>
        <w:tab w:val="clear" w:pos="1209"/>
        <w:tab w:val="num" w:pos="360"/>
      </w:tabs>
      <w:ind w:left="360"/>
      <w:contextualSpacing/>
    </w:pPr>
  </w:style>
  <w:style w:type="paragraph" w:styleId="Listapunktowana4">
    <w:name w:val="List Bullet 4"/>
    <w:basedOn w:val="Normalny"/>
    <w:uiPriority w:val="99"/>
    <w:semiHidden/>
    <w:rsid w:val="006544C4"/>
    <w:pPr>
      <w:numPr>
        <w:numId w:val="5"/>
      </w:numPr>
      <w:tabs>
        <w:tab w:val="clear" w:pos="1492"/>
        <w:tab w:val="num" w:pos="1209"/>
      </w:tabs>
      <w:ind w:left="1209"/>
      <w:contextualSpacing/>
    </w:pPr>
  </w:style>
  <w:style w:type="paragraph" w:styleId="Listapunktowana5">
    <w:name w:val="List Bullet 5"/>
    <w:basedOn w:val="Normalny"/>
    <w:uiPriority w:val="99"/>
    <w:semiHidden/>
    <w:rsid w:val="006544C4"/>
    <w:pPr>
      <w:numPr>
        <w:numId w:val="6"/>
      </w:numPr>
      <w:tabs>
        <w:tab w:val="clear" w:pos="360"/>
        <w:tab w:val="num" w:pos="1492"/>
      </w:tabs>
      <w:ind w:left="1492"/>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7"/>
      </w:numPr>
      <w:tabs>
        <w:tab w:val="clear" w:pos="643"/>
        <w:tab w:val="num" w:pos="360"/>
      </w:tabs>
      <w:ind w:left="360"/>
      <w:contextualSpacing/>
    </w:pPr>
  </w:style>
  <w:style w:type="paragraph" w:styleId="Listanumerowana2">
    <w:name w:val="List Number 2"/>
    <w:basedOn w:val="Normalny"/>
    <w:uiPriority w:val="99"/>
    <w:semiHidden/>
    <w:rsid w:val="006544C4"/>
    <w:pPr>
      <w:numPr>
        <w:numId w:val="8"/>
      </w:numPr>
      <w:tabs>
        <w:tab w:val="clear" w:pos="926"/>
        <w:tab w:val="num" w:pos="643"/>
      </w:tabs>
      <w:ind w:left="643"/>
      <w:contextualSpacing/>
    </w:pPr>
  </w:style>
  <w:style w:type="paragraph" w:styleId="Listanumerowana3">
    <w:name w:val="List Number 3"/>
    <w:basedOn w:val="Normalny"/>
    <w:uiPriority w:val="99"/>
    <w:semiHidden/>
    <w:rsid w:val="006544C4"/>
    <w:pPr>
      <w:numPr>
        <w:numId w:val="9"/>
      </w:numPr>
      <w:tabs>
        <w:tab w:val="clear" w:pos="1209"/>
        <w:tab w:val="num" w:pos="926"/>
      </w:tabs>
      <w:ind w:left="926"/>
      <w:contextualSpacing/>
    </w:pPr>
  </w:style>
  <w:style w:type="paragraph" w:styleId="Listanumerowana4">
    <w:name w:val="List Number 4"/>
    <w:basedOn w:val="Normalny"/>
    <w:uiPriority w:val="99"/>
    <w:semiHidden/>
    <w:rsid w:val="006544C4"/>
    <w:pPr>
      <w:numPr>
        <w:numId w:val="10"/>
      </w:numPr>
      <w:tabs>
        <w:tab w:val="clear" w:pos="1492"/>
        <w:tab w:val="num" w:pos="1209"/>
      </w:tabs>
      <w:ind w:left="1209"/>
      <w:contextualSpacing/>
    </w:pPr>
  </w:style>
  <w:style w:type="paragraph" w:styleId="Listanumerowana5">
    <w:name w:val="List Number 5"/>
    <w:basedOn w:val="Normalny"/>
    <w:uiPriority w:val="99"/>
    <w:semiHidden/>
    <w:rsid w:val="006544C4"/>
    <w:pPr>
      <w:tabs>
        <w:tab w:val="num" w:pos="1492"/>
      </w:tabs>
      <w:ind w:left="1492" w:hanging="360"/>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6544C4"/>
    <w:rPr>
      <w:rFonts w:ascii="Consolas" w:eastAsia="MS Mincho" w:hAnsi="Consolas" w:cs="Consolas"/>
      <w:lang w:val="en-US" w:eastAsia="en-US" w:bidi="ar-SA"/>
    </w:rPr>
  </w:style>
  <w:style w:type="table" w:styleId="redniasiatka1">
    <w:name w:val="Medium Grid 1"/>
    <w:basedOn w:val="Standardowy"/>
    <w:uiPriority w:val="99"/>
    <w:semiHidden/>
    <w:rsid w:val="006544C4"/>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6544C4"/>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6544C4"/>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6544C4"/>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6544C4"/>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6544C4"/>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6544C4"/>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6544C4"/>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6544C4"/>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6544C4"/>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6544C4"/>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6544C4"/>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6544C4"/>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6544C4"/>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6544C4"/>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6544C4"/>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6544C4"/>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6544C4"/>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6544C4"/>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6544C4"/>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6544C4"/>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6544C4"/>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6544C4"/>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6544C4"/>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6544C4"/>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6544C4"/>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6544C4"/>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6544C4"/>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6544C4"/>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6544C4"/>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6544C4"/>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6544C4"/>
    <w:rPr>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locked/>
    <w:rsid w:val="006544C4"/>
    <w:rPr>
      <w:rFonts w:eastAsia="MS Mincho" w:cs="Times New Roman"/>
      <w:sz w:val="24"/>
    </w:rPr>
  </w:style>
  <w:style w:type="character" w:styleId="Tekstzastpczy">
    <w:name w:val="Placeholder Text"/>
    <w:basedOn w:val="Domylnaczcionkaakapitu"/>
    <w:uiPriority w:val="99"/>
    <w:semiHidden/>
    <w:rsid w:val="006544C4"/>
    <w:rPr>
      <w:rFonts w:cs="Times New Roman"/>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6544C4"/>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locked/>
    <w:rsid w:val="006544C4"/>
    <w:rPr>
      <w:rFonts w:eastAsia="MS Mincho" w:cs="Times New Roman"/>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locked/>
    <w:rsid w:val="006544C4"/>
    <w:rPr>
      <w:rFonts w:eastAsia="MS Mincho" w:cs="Times New Roman"/>
      <w:sz w:val="24"/>
    </w:rPr>
  </w:style>
  <w:style w:type="table" w:styleId="Tabela-Efekty3W1">
    <w:name w:val="Table 3D effects 1"/>
    <w:basedOn w:val="Standardowy"/>
    <w:uiPriority w:val="99"/>
    <w:semiHidden/>
    <w:rsid w:val="006544C4"/>
    <w:pPr>
      <w:jc w:val="both"/>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6544C4"/>
    <w:pPr>
      <w:jc w:val="both"/>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6544C4"/>
    <w:pPr>
      <w:jc w:val="both"/>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6544C4"/>
    <w:pPr>
      <w:jc w:val="both"/>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6544C4"/>
    <w:pPr>
      <w:jc w:val="both"/>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6544C4"/>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6544C4"/>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6544C4"/>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6544C4"/>
    <w:pPr>
      <w:jc w:val="both"/>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6544C4"/>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6544C4"/>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6544C4"/>
    <w:pPr>
      <w:jc w:val="both"/>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6544C4"/>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6544C4"/>
    <w:pPr>
      <w:jc w:val="both"/>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6544C4"/>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6544C4"/>
    <w:pPr>
      <w:jc w:val="both"/>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6544C4"/>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6544C4"/>
    <w:pPr>
      <w:jc w:val="both"/>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6544C4"/>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6544C4"/>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6544C4"/>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6544C4"/>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6544C4"/>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6544C4"/>
    <w:pPr>
      <w:jc w:val="both"/>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6544C4"/>
    <w:pPr>
      <w:jc w:val="both"/>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6544C4"/>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6544C4"/>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6544C4"/>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rsid w:val="006544C4"/>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6544C4"/>
    <w:pPr>
      <w:jc w:val="both"/>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6544C4"/>
    <w:pPr>
      <w:jc w:val="both"/>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6544C4"/>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6544C4"/>
    <w:pPr>
      <w:jc w:val="both"/>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6544C4"/>
    <w:pPr>
      <w:jc w:val="both"/>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6544C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6544C4"/>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6544C4"/>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6544C4"/>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uiPriority w:val="99"/>
    <w:rsid w:val="00934A97"/>
    <w:rPr>
      <w:rFonts w:cs="Times New Roman"/>
    </w:rPr>
  </w:style>
  <w:style w:type="character" w:customStyle="1" w:styleId="JuParaChar">
    <w:name w:val="Ju_Para Char"/>
    <w:basedOn w:val="Domylnaczcionkaakapitu"/>
    <w:link w:val="ECHRPara"/>
    <w:uiPriority w:val="99"/>
    <w:locked/>
    <w:rsid w:val="004C0798"/>
    <w:rPr>
      <w:rFonts w:eastAsia="MS Mincho" w:cs="Times New Roman"/>
      <w:sz w:val="24"/>
    </w:rPr>
  </w:style>
  <w:style w:type="character" w:customStyle="1" w:styleId="JuQuotChar1">
    <w:name w:val="Ju_Quot Char1"/>
    <w:link w:val="ECHRParaQuote"/>
    <w:uiPriority w:val="99"/>
    <w:locked/>
    <w:rsid w:val="004C0798"/>
    <w:rPr>
      <w:rFonts w:eastAsia="MS Mincho"/>
      <w:sz w:val="20"/>
    </w:rPr>
  </w:style>
  <w:style w:type="character" w:customStyle="1" w:styleId="JuParaCar">
    <w:name w:val="Ju_Para Car"/>
    <w:uiPriority w:val="99"/>
    <w:locked/>
    <w:rsid w:val="004C0798"/>
    <w:rPr>
      <w:rFonts w:ascii="Times New Roman" w:hAnsi="Times New Roman"/>
      <w:sz w:val="20"/>
      <w:lang w:eastAsia="fr-FR"/>
    </w:rPr>
  </w:style>
  <w:style w:type="character" w:customStyle="1" w:styleId="ju-005fpara--char">
    <w:name w:val="ju-005fpara--char"/>
    <w:basedOn w:val="Domylnaczcionkaakapitu"/>
    <w:uiPriority w:val="99"/>
    <w:rsid w:val="004C0798"/>
    <w:rPr>
      <w:rFonts w:cs="Times New Roman"/>
    </w:rPr>
  </w:style>
  <w:style w:type="numbering" w:styleId="111111">
    <w:name w:val="Outline List 2"/>
    <w:basedOn w:val="Bezlisty"/>
    <w:uiPriority w:val="99"/>
    <w:semiHidden/>
    <w:unhideWhenUsed/>
    <w:locked/>
    <w:rsid w:val="000079E9"/>
    <w:pPr>
      <w:numPr>
        <w:numId w:val="22"/>
      </w:numPr>
    </w:pPr>
  </w:style>
  <w:style w:type="numbering" w:styleId="1ai">
    <w:name w:val="Outline List 1"/>
    <w:basedOn w:val="Bezlisty"/>
    <w:uiPriority w:val="99"/>
    <w:semiHidden/>
    <w:unhideWhenUsed/>
    <w:locked/>
    <w:rsid w:val="000079E9"/>
    <w:pPr>
      <w:numPr>
        <w:numId w:val="23"/>
      </w:numPr>
    </w:pPr>
  </w:style>
  <w:style w:type="numbering" w:styleId="Artykusekcja">
    <w:name w:val="Outline List 3"/>
    <w:basedOn w:val="Bezlisty"/>
    <w:uiPriority w:val="99"/>
    <w:semiHidden/>
    <w:unhideWhenUsed/>
    <w:locked/>
    <w:rsid w:val="000079E9"/>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8442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2104</Words>
  <Characters>12628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2016-02-26T15:05:00Z</dcterms:created>
  <dcterms:modified xsi:type="dcterms:W3CDTF">2016-02-26T15:08:00Z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23534/12</vt:lpwstr>
  </property>
  <property fmtid="{D5CDD505-2E9C-101B-9397-08002B2CF9AE}" pid="4" name="CASEID">
    <vt:lpwstr>792179</vt:lpwstr>
  </property>
  <property fmtid="{D5CDD505-2E9C-101B-9397-08002B2CF9AE}" pid="5" name="OrigTemp">
    <vt:lpwstr>French\Documents\DF01 Decisions et Rapports\Reports automation IT ONLY\Décision.dotx</vt:lpwstr>
  </property>
  <property fmtid="{D5CDD505-2E9C-101B-9397-08002B2CF9AE}" pid="6" name="ContentTypeId">
    <vt:lpwstr>0x010100558EB02BDB9E204AB350EDD385B68E10</vt:lpwstr>
  </property>
</Properties>
</file>