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432769" w14:textId="77777777" w:rsidR="00014566" w:rsidRPr="00847181" w:rsidRDefault="00014566" w:rsidP="00B94FFB">
      <w:pPr>
        <w:jc w:val="center"/>
      </w:pPr>
    </w:p>
    <w:p w14:paraId="6A4BC5ED" w14:textId="77777777" w:rsidR="006853F4" w:rsidRPr="00847181" w:rsidRDefault="006853F4" w:rsidP="00B94FFB">
      <w:pPr>
        <w:jc w:val="center"/>
      </w:pPr>
    </w:p>
    <w:p w14:paraId="77F50CAE" w14:textId="77777777" w:rsidR="00A7022F" w:rsidRPr="00847181" w:rsidRDefault="00A7022F" w:rsidP="00B94FFB">
      <w:pPr>
        <w:jc w:val="center"/>
      </w:pPr>
    </w:p>
    <w:p w14:paraId="0EF46B85" w14:textId="77777777" w:rsidR="00014566" w:rsidRPr="00847181" w:rsidRDefault="004826D5" w:rsidP="00B94FFB">
      <w:pPr>
        <w:jc w:val="center"/>
      </w:pPr>
      <w:r w:rsidRPr="00847181">
        <w:t>CZWARTA SEKCJA</w:t>
      </w:r>
      <w:bookmarkStart w:id="0" w:name="_GoBack"/>
      <w:bookmarkEnd w:id="0"/>
    </w:p>
    <w:p w14:paraId="51CD8DFB" w14:textId="77777777" w:rsidR="00014566" w:rsidRPr="00847181" w:rsidRDefault="00014566" w:rsidP="00B94FFB">
      <w:pPr>
        <w:jc w:val="center"/>
      </w:pPr>
    </w:p>
    <w:p w14:paraId="55CCA6A8" w14:textId="77777777" w:rsidR="006C7056" w:rsidRPr="00847181" w:rsidRDefault="006C7056" w:rsidP="00B94FFB">
      <w:pPr>
        <w:jc w:val="center"/>
      </w:pPr>
    </w:p>
    <w:p w14:paraId="27225805" w14:textId="77777777" w:rsidR="006C7056" w:rsidRPr="00847181" w:rsidRDefault="006C7056" w:rsidP="00B94FFB">
      <w:pPr>
        <w:jc w:val="center"/>
      </w:pPr>
    </w:p>
    <w:p w14:paraId="6B977B40" w14:textId="77777777" w:rsidR="006C7056" w:rsidRPr="00847181" w:rsidRDefault="006C7056" w:rsidP="00B94FFB">
      <w:pPr>
        <w:jc w:val="center"/>
      </w:pPr>
    </w:p>
    <w:p w14:paraId="2D60325F" w14:textId="77777777" w:rsidR="006C7056" w:rsidRPr="00847181" w:rsidRDefault="006C7056" w:rsidP="00B94FFB">
      <w:pPr>
        <w:jc w:val="center"/>
      </w:pPr>
    </w:p>
    <w:p w14:paraId="5E79448C" w14:textId="77777777" w:rsidR="006C7056" w:rsidRPr="00847181" w:rsidRDefault="006C7056" w:rsidP="00B94FFB">
      <w:pPr>
        <w:jc w:val="center"/>
      </w:pPr>
    </w:p>
    <w:p w14:paraId="6D47871F" w14:textId="77777777" w:rsidR="00014566" w:rsidRPr="00847181" w:rsidRDefault="00014566" w:rsidP="00B94FFB">
      <w:pPr>
        <w:jc w:val="center"/>
      </w:pPr>
    </w:p>
    <w:p w14:paraId="6C17AF6A" w14:textId="77777777" w:rsidR="00A835FB" w:rsidRPr="00847181" w:rsidRDefault="00A835FB" w:rsidP="00B94FFB">
      <w:pPr>
        <w:jc w:val="center"/>
        <w:outlineLvl w:val="0"/>
        <w:rPr>
          <w:b/>
        </w:rPr>
      </w:pPr>
      <w:r w:rsidRPr="00847181">
        <w:rPr>
          <w:b/>
        </w:rPr>
        <w:t>SPRAWA PRUS PRZECIWKO POLSCE</w:t>
      </w:r>
    </w:p>
    <w:p w14:paraId="63B158C9" w14:textId="77777777" w:rsidR="00A835FB" w:rsidRPr="00847181" w:rsidRDefault="00A835FB" w:rsidP="00B94FFB">
      <w:pPr>
        <w:jc w:val="center"/>
      </w:pPr>
    </w:p>
    <w:p w14:paraId="25A80AC9" w14:textId="77777777" w:rsidR="00A835FB" w:rsidRPr="00847181" w:rsidRDefault="00A835FB" w:rsidP="00B94FFB">
      <w:pPr>
        <w:jc w:val="center"/>
        <w:rPr>
          <w:i/>
        </w:rPr>
      </w:pPr>
      <w:r w:rsidRPr="00847181">
        <w:rPr>
          <w:i/>
        </w:rPr>
        <w:t>(Skarga nr 5136/11)</w:t>
      </w:r>
    </w:p>
    <w:p w14:paraId="3AB28CD9" w14:textId="77777777" w:rsidR="00A835FB" w:rsidRPr="00847181" w:rsidRDefault="00A835FB" w:rsidP="00B94FFB">
      <w:pPr>
        <w:jc w:val="center"/>
      </w:pPr>
    </w:p>
    <w:p w14:paraId="6ED233C6" w14:textId="77777777" w:rsidR="00A835FB" w:rsidRPr="00847181" w:rsidRDefault="00A835FB" w:rsidP="00B94FFB">
      <w:pPr>
        <w:jc w:val="center"/>
      </w:pPr>
    </w:p>
    <w:p w14:paraId="1119360F" w14:textId="77777777" w:rsidR="00A835FB" w:rsidRPr="00847181" w:rsidRDefault="00A835FB" w:rsidP="00B94FFB">
      <w:pPr>
        <w:jc w:val="center"/>
      </w:pPr>
    </w:p>
    <w:p w14:paraId="0F3B8C22" w14:textId="77777777" w:rsidR="00A835FB" w:rsidRPr="00847181" w:rsidRDefault="00A835FB" w:rsidP="00B94FFB">
      <w:pPr>
        <w:jc w:val="center"/>
      </w:pPr>
    </w:p>
    <w:p w14:paraId="7A7BAE0B" w14:textId="77777777" w:rsidR="00A835FB" w:rsidRPr="00847181" w:rsidRDefault="00A835FB" w:rsidP="00B94FFB">
      <w:pPr>
        <w:jc w:val="center"/>
      </w:pPr>
    </w:p>
    <w:p w14:paraId="75D0D6F3" w14:textId="77777777" w:rsidR="00A835FB" w:rsidRPr="00847181" w:rsidRDefault="00A835FB" w:rsidP="00B94FFB">
      <w:pPr>
        <w:jc w:val="center"/>
      </w:pPr>
    </w:p>
    <w:p w14:paraId="67D32B53" w14:textId="77777777" w:rsidR="006853F4" w:rsidRPr="00847181" w:rsidRDefault="006853F4" w:rsidP="00B94FFB">
      <w:pPr>
        <w:jc w:val="center"/>
      </w:pPr>
    </w:p>
    <w:p w14:paraId="2B320384" w14:textId="77777777" w:rsidR="006853F4" w:rsidRPr="00847181" w:rsidRDefault="006853F4" w:rsidP="00B94FFB">
      <w:pPr>
        <w:jc w:val="center"/>
      </w:pPr>
    </w:p>
    <w:p w14:paraId="38BDBC2A" w14:textId="77777777" w:rsidR="006853F4" w:rsidRPr="00847181" w:rsidRDefault="006853F4" w:rsidP="00B94FFB">
      <w:pPr>
        <w:jc w:val="center"/>
      </w:pPr>
    </w:p>
    <w:p w14:paraId="61E86F99" w14:textId="77777777" w:rsidR="006853F4" w:rsidRPr="00847181" w:rsidRDefault="006853F4" w:rsidP="00B94FFB">
      <w:pPr>
        <w:jc w:val="center"/>
      </w:pPr>
    </w:p>
    <w:p w14:paraId="2D0E2058" w14:textId="77777777" w:rsidR="00A835FB" w:rsidRPr="00847181" w:rsidRDefault="00A835FB" w:rsidP="00B94FFB">
      <w:pPr>
        <w:jc w:val="center"/>
      </w:pPr>
    </w:p>
    <w:p w14:paraId="11FB88B1" w14:textId="77777777" w:rsidR="00A835FB" w:rsidRPr="00847181" w:rsidRDefault="00A835FB" w:rsidP="00B94FFB">
      <w:pPr>
        <w:jc w:val="center"/>
      </w:pPr>
    </w:p>
    <w:p w14:paraId="79B7B508" w14:textId="77777777" w:rsidR="00A835FB" w:rsidRPr="00847181" w:rsidRDefault="00A835FB" w:rsidP="00B94FFB">
      <w:pPr>
        <w:jc w:val="center"/>
      </w:pPr>
      <w:r w:rsidRPr="00847181">
        <w:t>WYROK</w:t>
      </w:r>
    </w:p>
    <w:p w14:paraId="17A8DFBB" w14:textId="77777777" w:rsidR="00A835FB" w:rsidRPr="00847181" w:rsidRDefault="00A835FB" w:rsidP="00B94FFB">
      <w:pPr>
        <w:jc w:val="center"/>
      </w:pPr>
    </w:p>
    <w:p w14:paraId="449BCB18" w14:textId="77777777" w:rsidR="00A835FB" w:rsidRPr="00847181" w:rsidRDefault="00A835FB" w:rsidP="00B94FFB">
      <w:pPr>
        <w:jc w:val="center"/>
      </w:pPr>
    </w:p>
    <w:p w14:paraId="27CB4078" w14:textId="77777777" w:rsidR="00A835FB" w:rsidRPr="00847181" w:rsidRDefault="00A835FB" w:rsidP="00B94FFB">
      <w:pPr>
        <w:jc w:val="center"/>
      </w:pPr>
      <w:r w:rsidRPr="00847181">
        <w:t>STRASBURG</w:t>
      </w:r>
    </w:p>
    <w:p w14:paraId="3B7512E3" w14:textId="77777777" w:rsidR="00A835FB" w:rsidRPr="00847181" w:rsidRDefault="00A835FB" w:rsidP="00B94FFB">
      <w:pPr>
        <w:jc w:val="center"/>
      </w:pPr>
    </w:p>
    <w:p w14:paraId="15625965" w14:textId="77777777" w:rsidR="00A835FB" w:rsidRPr="00847181" w:rsidRDefault="00A835FB" w:rsidP="00B94FFB">
      <w:pPr>
        <w:jc w:val="center"/>
      </w:pPr>
      <w:r w:rsidRPr="00847181">
        <w:t>12 stycznia 2016 r.</w:t>
      </w:r>
    </w:p>
    <w:p w14:paraId="790C43BE" w14:textId="77777777" w:rsidR="006C7056" w:rsidRPr="00847181" w:rsidRDefault="006C7056" w:rsidP="00B94FFB">
      <w:pPr>
        <w:jc w:val="center"/>
      </w:pPr>
    </w:p>
    <w:p w14:paraId="668FB7DF" w14:textId="77777777" w:rsidR="00A7022F" w:rsidRPr="00847181" w:rsidRDefault="00A7022F" w:rsidP="00B94FFB">
      <w:pPr>
        <w:jc w:val="center"/>
      </w:pPr>
    </w:p>
    <w:p w14:paraId="328DDCED" w14:textId="77777777" w:rsidR="00A7022F" w:rsidRPr="00847181" w:rsidRDefault="00A7022F" w:rsidP="00B94FFB">
      <w:pPr>
        <w:jc w:val="center"/>
      </w:pPr>
    </w:p>
    <w:p w14:paraId="07612DB1" w14:textId="77777777" w:rsidR="006C7056" w:rsidRPr="00847181" w:rsidRDefault="006C7056" w:rsidP="00B94FFB">
      <w:pPr>
        <w:jc w:val="center"/>
      </w:pPr>
    </w:p>
    <w:p w14:paraId="36229E9E" w14:textId="77777777" w:rsidR="006C7056" w:rsidRPr="00847181" w:rsidRDefault="006C7056" w:rsidP="00B94FFB">
      <w:pPr>
        <w:jc w:val="left"/>
        <w:rPr>
          <w:i/>
        </w:rPr>
      </w:pPr>
      <w:r w:rsidRPr="00847181">
        <w:rPr>
          <w:i/>
        </w:rPr>
        <w:t>Wyrok ten stanie się ostateczny zgodnie z warunkami określonymi w art. 44 § 2 Konwencji. Wyrok może podlegać korekcie wydawniczej.</w:t>
      </w:r>
    </w:p>
    <w:p w14:paraId="692BD987" w14:textId="77777777" w:rsidR="00AD0E6A" w:rsidRPr="00847181" w:rsidRDefault="00AD0E6A" w:rsidP="00B94FFB">
      <w:pPr>
        <w:pStyle w:val="ECHRPara"/>
        <w:sectPr w:rsidR="00AD0E6A" w:rsidRPr="00847181" w:rsidSect="006C7056">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14:paraId="524510D8" w14:textId="77777777" w:rsidR="00014566" w:rsidRPr="00847181" w:rsidRDefault="00014566" w:rsidP="00B94FFB">
      <w:pPr>
        <w:pStyle w:val="JuCase"/>
        <w:rPr>
          <w:bCs/>
        </w:rPr>
      </w:pPr>
      <w:r w:rsidRPr="00847181">
        <w:lastRenderedPageBreak/>
        <w:t>W sprawie Prus przeciwko Polsce</w:t>
      </w:r>
    </w:p>
    <w:p w14:paraId="3EA41186" w14:textId="77777777" w:rsidR="00014566" w:rsidRPr="00847181" w:rsidRDefault="00014566" w:rsidP="00B94FFB">
      <w:pPr>
        <w:pStyle w:val="ECHRPara"/>
      </w:pPr>
      <w:r w:rsidRPr="00847181">
        <w:t>Europejski Trybunał Praw Człowieka (Czwarta Sekcja), zasiadając jako Izba w składzie:</w:t>
      </w:r>
    </w:p>
    <w:p w14:paraId="37412077" w14:textId="77777777" w:rsidR="00014566" w:rsidRPr="00847181" w:rsidRDefault="00AD0E6A" w:rsidP="00B94FFB">
      <w:pPr>
        <w:pStyle w:val="ECHRDecisionBody"/>
      </w:pPr>
      <w:r w:rsidRPr="00847181">
        <w:tab/>
        <w:t>András Sajó,</w:t>
      </w:r>
      <w:r w:rsidRPr="00847181">
        <w:rPr>
          <w:i/>
        </w:rPr>
        <w:t xml:space="preserve"> Przewodniczący,</w:t>
      </w:r>
      <w:r w:rsidRPr="00847181">
        <w:rPr>
          <w:i/>
        </w:rPr>
        <w:br/>
      </w:r>
      <w:r w:rsidRPr="00847181">
        <w:tab/>
        <w:t>Vincent A. De Gaetano,</w:t>
      </w:r>
      <w:r w:rsidRPr="00847181">
        <w:rPr>
          <w:i/>
        </w:rPr>
        <w:br/>
      </w:r>
      <w:r w:rsidRPr="00847181">
        <w:tab/>
        <w:t>Boštjan M. Zupančič,</w:t>
      </w:r>
      <w:r w:rsidRPr="00847181">
        <w:rPr>
          <w:i/>
        </w:rPr>
        <w:br/>
      </w:r>
      <w:r w:rsidRPr="00847181">
        <w:tab/>
        <w:t>Paulo Pinto de Albuquerque,</w:t>
      </w:r>
      <w:r w:rsidRPr="00847181">
        <w:rPr>
          <w:i/>
        </w:rPr>
        <w:br/>
      </w:r>
      <w:r w:rsidRPr="00847181">
        <w:tab/>
        <w:t>Krzysztof Wojtyczek,</w:t>
      </w:r>
      <w:r w:rsidRPr="00847181">
        <w:rPr>
          <w:i/>
        </w:rPr>
        <w:br/>
      </w:r>
      <w:r w:rsidRPr="00847181">
        <w:tab/>
        <w:t>Egidijus Kūris,</w:t>
      </w:r>
      <w:r w:rsidRPr="00847181">
        <w:rPr>
          <w:i/>
        </w:rPr>
        <w:br/>
      </w:r>
      <w:r w:rsidRPr="00847181">
        <w:tab/>
        <w:t>Iulia Antoanella Motoc,</w:t>
      </w:r>
      <w:r w:rsidRPr="00847181">
        <w:rPr>
          <w:i/>
        </w:rPr>
        <w:t xml:space="preserve"> sędziowie,</w:t>
      </w:r>
      <w:r w:rsidRPr="00847181">
        <w:br/>
        <w:t xml:space="preserve">oraz Françoise Elens-Passos, </w:t>
      </w:r>
      <w:r w:rsidRPr="00847181">
        <w:rPr>
          <w:i/>
        </w:rPr>
        <w:t>kanclerz sekcji,</w:t>
      </w:r>
    </w:p>
    <w:p w14:paraId="58874674" w14:textId="77777777" w:rsidR="00014566" w:rsidRPr="00847181" w:rsidRDefault="00014566" w:rsidP="00B94FFB">
      <w:pPr>
        <w:pStyle w:val="ECHRPara"/>
      </w:pPr>
      <w:r w:rsidRPr="00847181">
        <w:t>Obradując na posiedzeniu niejawnym w dniu 8 grudnia 2015 r.</w:t>
      </w:r>
    </w:p>
    <w:p w14:paraId="58A6A615" w14:textId="77777777" w:rsidR="00014566" w:rsidRPr="00847181" w:rsidRDefault="00014566" w:rsidP="00B94FFB">
      <w:pPr>
        <w:pStyle w:val="ECHRPara"/>
      </w:pPr>
      <w:r w:rsidRPr="00847181">
        <w:t>Wydaje następujący wyrok, który został przyjętym w tym dniu:</w:t>
      </w:r>
    </w:p>
    <w:p w14:paraId="0C3E5A95" w14:textId="77777777" w:rsidR="00014566" w:rsidRPr="00847181" w:rsidRDefault="00014566" w:rsidP="00B94FFB">
      <w:pPr>
        <w:pStyle w:val="ECHRTitle1"/>
      </w:pPr>
      <w:r w:rsidRPr="00847181">
        <w:t>POSTĘPOWANIE</w:t>
      </w:r>
    </w:p>
    <w:p w14:paraId="4F25CFA2" w14:textId="77777777" w:rsidR="004826D5" w:rsidRPr="00847181" w:rsidRDefault="000D39FA" w:rsidP="00B94FFB">
      <w:pPr>
        <w:pStyle w:val="ECHRPara"/>
      </w:pPr>
      <w:r w:rsidRPr="00847181">
        <w:fldChar w:fldCharType="begin"/>
      </w:r>
      <w:r w:rsidRPr="00847181">
        <w:instrText xml:space="preserve"> SEQ level0 \*arabic </w:instrText>
      </w:r>
      <w:r w:rsidRPr="00847181">
        <w:fldChar w:fldCharType="separate"/>
      </w:r>
      <w:r w:rsidR="00B94FFB" w:rsidRPr="00847181">
        <w:rPr>
          <w:noProof/>
        </w:rPr>
        <w:t>1</w:t>
      </w:r>
      <w:r w:rsidRPr="00847181">
        <w:rPr>
          <w:noProof/>
        </w:rPr>
        <w:fldChar w:fldCharType="end"/>
      </w:r>
      <w:r w:rsidR="004826D5" w:rsidRPr="00847181">
        <w:t>.  Podstawą sprawy jest skarga (nr 5136/11) złożona przeciwko Rzeczypospolitej Polskiej, do Trybunału, zgodnie z art. 34 Konwencji o ochronie praw człowieka i podstawowych wartości (”Konwencja”) przez polskiego obywatela, p. Kamila Prusa (”skarżący”), dnia 6 grudnia 2010 r.</w:t>
      </w:r>
    </w:p>
    <w:p w14:paraId="789B5AF5" w14:textId="77777777" w:rsidR="00B94FFB" w:rsidRPr="00847181" w:rsidRDefault="000D39FA" w:rsidP="00B94FFB">
      <w:pPr>
        <w:pStyle w:val="ECHRPara"/>
      </w:pPr>
      <w:r w:rsidRPr="00847181">
        <w:fldChar w:fldCharType="begin"/>
      </w:r>
      <w:r w:rsidRPr="00847181">
        <w:instrText xml:space="preserve"> SEQ level0 \*arabic </w:instrText>
      </w:r>
      <w:r w:rsidRPr="00847181">
        <w:fldChar w:fldCharType="separate"/>
      </w:r>
      <w:r w:rsidR="00B94FFB" w:rsidRPr="00847181">
        <w:rPr>
          <w:noProof/>
        </w:rPr>
        <w:t>2</w:t>
      </w:r>
      <w:r w:rsidRPr="00847181">
        <w:rPr>
          <w:noProof/>
        </w:rPr>
        <w:fldChar w:fldCharType="end"/>
      </w:r>
      <w:r w:rsidR="004826D5" w:rsidRPr="00847181">
        <w:t>.  Skarżącego, który otrzymał pomoc prawną, reprezentował p. S. Kotuła, prawnik praktykujący w Lublinie. Rząd Polski (”Rząd”) reprezentował jej przedstawiciel, p. J. Chrzanowska, Minister Spraw Zagranicznych.</w:t>
      </w:r>
    </w:p>
    <w:p w14:paraId="7AFD526D" w14:textId="0B47F07A" w:rsidR="00B94FFB" w:rsidRPr="00847181" w:rsidRDefault="000D39FA" w:rsidP="00B94FFB">
      <w:pPr>
        <w:pStyle w:val="ECHRPara"/>
      </w:pPr>
      <w:r w:rsidRPr="00847181">
        <w:fldChar w:fldCharType="begin"/>
      </w:r>
      <w:r w:rsidRPr="00847181">
        <w:instrText xml:space="preserve"> SEQ level0 \*arabic </w:instrText>
      </w:r>
      <w:r w:rsidRPr="00847181">
        <w:fldChar w:fldCharType="separate"/>
      </w:r>
      <w:r w:rsidR="00B94FFB" w:rsidRPr="00847181">
        <w:rPr>
          <w:noProof/>
        </w:rPr>
        <w:t>3</w:t>
      </w:r>
      <w:r w:rsidRPr="00847181">
        <w:rPr>
          <w:noProof/>
        </w:rPr>
        <w:fldChar w:fldCharType="end"/>
      </w:r>
      <w:r w:rsidR="004826D5" w:rsidRPr="00847181">
        <w:t>.  Skarżący podniósł</w:t>
      </w:r>
      <w:r w:rsidR="00B107EE" w:rsidRPr="00847181">
        <w:t xml:space="preserve"> przekroczenie art. 3 Konwencji</w:t>
      </w:r>
      <w:r w:rsidR="004826D5" w:rsidRPr="00847181">
        <w:t>, w zakresie zakwalifikowania go jako osadzonego tzw. niebezpiecznego.</w:t>
      </w:r>
    </w:p>
    <w:p w14:paraId="63500F50" w14:textId="77777777" w:rsidR="00014566" w:rsidRPr="00847181" w:rsidRDefault="000D39FA" w:rsidP="00B94FFB">
      <w:pPr>
        <w:pStyle w:val="ECHRPara"/>
      </w:pPr>
      <w:r w:rsidRPr="00847181">
        <w:fldChar w:fldCharType="begin"/>
      </w:r>
      <w:r w:rsidRPr="00847181">
        <w:instrText xml:space="preserve"> SEQ level0 \*arabic </w:instrText>
      </w:r>
      <w:r w:rsidRPr="00847181">
        <w:fldChar w:fldCharType="separate"/>
      </w:r>
      <w:r w:rsidR="00B94FFB" w:rsidRPr="00847181">
        <w:rPr>
          <w:noProof/>
        </w:rPr>
        <w:t>4</w:t>
      </w:r>
      <w:r w:rsidRPr="00847181">
        <w:rPr>
          <w:noProof/>
        </w:rPr>
        <w:fldChar w:fldCharType="end"/>
      </w:r>
      <w:r w:rsidR="004826D5" w:rsidRPr="00847181">
        <w:t>.  W dniu 7 lipca 2014 r., skargę przekazano Rządowi.</w:t>
      </w:r>
    </w:p>
    <w:p w14:paraId="116869AD" w14:textId="77777777" w:rsidR="00014566" w:rsidRPr="00847181" w:rsidRDefault="00014566" w:rsidP="00B94FFB">
      <w:pPr>
        <w:pStyle w:val="ECHRTitle1"/>
      </w:pPr>
      <w:r w:rsidRPr="00847181">
        <w:t>STAN FAKTYCZNY</w:t>
      </w:r>
    </w:p>
    <w:p w14:paraId="6DAABDC1" w14:textId="77777777" w:rsidR="00014566" w:rsidRPr="00847181" w:rsidRDefault="00014566" w:rsidP="00B94FFB">
      <w:pPr>
        <w:pStyle w:val="ECHRHeading1"/>
      </w:pPr>
      <w:r w:rsidRPr="00847181">
        <w:t>I. OKOLICZNOŚCI SPRAWY</w:t>
      </w:r>
    </w:p>
    <w:p w14:paraId="4A3E7FE3" w14:textId="77777777" w:rsidR="00014566" w:rsidRPr="00847181" w:rsidRDefault="000D39FA" w:rsidP="00B94FFB">
      <w:pPr>
        <w:pStyle w:val="ECHRPara"/>
      </w:pPr>
      <w:r w:rsidRPr="00847181">
        <w:fldChar w:fldCharType="begin"/>
      </w:r>
      <w:r w:rsidRPr="00847181">
        <w:instrText xml:space="preserve"> SEQ level0 \*arabic </w:instrText>
      </w:r>
      <w:r w:rsidRPr="00847181">
        <w:fldChar w:fldCharType="separate"/>
      </w:r>
      <w:r w:rsidR="00B94FFB" w:rsidRPr="00847181">
        <w:rPr>
          <w:noProof/>
        </w:rPr>
        <w:t>5</w:t>
      </w:r>
      <w:r w:rsidRPr="00847181">
        <w:rPr>
          <w:noProof/>
        </w:rPr>
        <w:fldChar w:fldCharType="end"/>
      </w:r>
      <w:r w:rsidR="004826D5" w:rsidRPr="00847181">
        <w:t>.  Skarżący urodził się w 1987 r., przebywa w zakładzie penitencjarnym w Lublinie.</w:t>
      </w:r>
    </w:p>
    <w:p w14:paraId="5ABCFB29" w14:textId="77777777" w:rsidR="006949BF" w:rsidRPr="00847181" w:rsidRDefault="00C91826" w:rsidP="00B94FFB">
      <w:pPr>
        <w:pStyle w:val="ECHRHeading2"/>
      </w:pPr>
      <w:r w:rsidRPr="00847181">
        <w:t>A. Postępowanie karne przeciwko skarżącemu</w:t>
      </w:r>
    </w:p>
    <w:p w14:paraId="1EFC299D" w14:textId="77777777" w:rsidR="00B94FFB" w:rsidRPr="00847181" w:rsidRDefault="000D39FA" w:rsidP="00B94FFB">
      <w:pPr>
        <w:pStyle w:val="ECHRPara"/>
      </w:pPr>
      <w:r w:rsidRPr="00847181">
        <w:fldChar w:fldCharType="begin"/>
      </w:r>
      <w:r w:rsidRPr="00847181">
        <w:instrText xml:space="preserve"> SEQ level0 \*arabic </w:instrText>
      </w:r>
      <w:r w:rsidRPr="00847181">
        <w:fldChar w:fldCharType="separate"/>
      </w:r>
      <w:r w:rsidR="00B94FFB" w:rsidRPr="00847181">
        <w:rPr>
          <w:noProof/>
        </w:rPr>
        <w:t>6</w:t>
      </w:r>
      <w:r w:rsidRPr="00847181">
        <w:rPr>
          <w:noProof/>
        </w:rPr>
        <w:fldChar w:fldCharType="end"/>
      </w:r>
      <w:r w:rsidR="006949BF" w:rsidRPr="00847181">
        <w:t xml:space="preserve">.  Skarżącego aresztowano i umieszczono w areszcie dnia 1 grudnia 2005 r. W 2006 r. został skazany za trzy pobicia i rabunek, otrzymał wyrok </w:t>
      </w:r>
      <w:r w:rsidR="006949BF" w:rsidRPr="00847181">
        <w:lastRenderedPageBreak/>
        <w:t>pozbawienia wolności na 2 do 4 lat. 28 listopada 2006 r., Sąd Okręgowy w Lublinie wydał wyrok łączny obejmujący cztery wyroki skazujące.</w:t>
      </w:r>
    </w:p>
    <w:p w14:paraId="4AD53E15" w14:textId="77777777" w:rsidR="006949BF" w:rsidRPr="00847181" w:rsidRDefault="00C91826" w:rsidP="00B94FFB">
      <w:pPr>
        <w:pStyle w:val="ECHRHeading2"/>
      </w:pPr>
      <w:r w:rsidRPr="00847181">
        <w:t>B. Nałożenie reżimu osadzonego tzw. niebezpiecznego</w:t>
      </w:r>
    </w:p>
    <w:p w14:paraId="71BB817E" w14:textId="77777777" w:rsidR="006949BF" w:rsidRPr="00847181" w:rsidRDefault="000D39FA" w:rsidP="00B94FFB">
      <w:pPr>
        <w:pStyle w:val="ECHRPara"/>
        <w:spacing w:before="240"/>
      </w:pPr>
      <w:r w:rsidRPr="00847181">
        <w:fldChar w:fldCharType="begin"/>
      </w:r>
      <w:r w:rsidRPr="00847181">
        <w:instrText xml:space="preserve"> SEQ level0 \*arabic </w:instrText>
      </w:r>
      <w:r w:rsidRPr="00847181">
        <w:fldChar w:fldCharType="separate"/>
      </w:r>
      <w:r w:rsidR="00B94FFB" w:rsidRPr="00847181">
        <w:rPr>
          <w:noProof/>
        </w:rPr>
        <w:t>7</w:t>
      </w:r>
      <w:r w:rsidRPr="00847181">
        <w:rPr>
          <w:noProof/>
        </w:rPr>
        <w:fldChar w:fldCharType="end"/>
      </w:r>
      <w:r w:rsidR="006949BF" w:rsidRPr="00847181">
        <w:t>.  Dnia 5 listopada 2010 r., Komisja Penitencjarna w Zakładzie Karnym w Opolu Lubelskim nałożyła na skarżącego reżim osadzonego tzw. niebezpiecznego. Komisja odkryła, że skarżący był organizatorem lub aktywnym członkiem akcji protestacyjnych w Zakładzie Karnym w Opolu Lubelskim (art. 88A § 2 (2a) Kodeksu Karnego Wykonawczego), podczas których osadzeni odmówili spożycia posiłku dostarczonego przez władze zakładu. Władze dowiedziały się, że osadzeni planowali kolejną akcję protestacyjną na dzień 11 listopada 2010 r. Ponadto, komisja uznała skarżącego za szczególnie zdeprawowanego.</w:t>
      </w:r>
    </w:p>
    <w:p w14:paraId="4163C51F" w14:textId="3C874D0C" w:rsidR="006949BF" w:rsidRPr="00847181" w:rsidRDefault="000D39FA" w:rsidP="00B94FFB">
      <w:pPr>
        <w:pStyle w:val="ECHRPara"/>
      </w:pPr>
      <w:r w:rsidRPr="00847181">
        <w:fldChar w:fldCharType="begin"/>
      </w:r>
      <w:r w:rsidRPr="00847181">
        <w:instrText xml:space="preserve"> SEQ level0 \*arabic </w:instrText>
      </w:r>
      <w:r w:rsidRPr="00847181">
        <w:fldChar w:fldCharType="separate"/>
      </w:r>
      <w:r w:rsidR="00B94FFB" w:rsidRPr="00847181">
        <w:rPr>
          <w:noProof/>
        </w:rPr>
        <w:t>8</w:t>
      </w:r>
      <w:r w:rsidRPr="00847181">
        <w:rPr>
          <w:noProof/>
        </w:rPr>
        <w:fldChar w:fldCharType="end"/>
      </w:r>
      <w:r w:rsidR="006949BF" w:rsidRPr="00847181">
        <w:t xml:space="preserve">.  W dniu 18 stycznia 2011 r., Komisja Penitencjarna w Zakładzie Karnym w Opolu Lubelskim odrzuciła odwołanie wniesione przez skarżącego, a także jego wniosek o </w:t>
      </w:r>
      <w:r w:rsidR="00565F88" w:rsidRPr="00847181">
        <w:t>zmianę terminu rozpatrzenia odwołania poza termin przewidziany obowiązującymi przepisami.</w:t>
      </w:r>
    </w:p>
    <w:p w14:paraId="2B8E03F7" w14:textId="77777777" w:rsidR="006949BF" w:rsidRPr="00847181" w:rsidRDefault="000D39FA" w:rsidP="00B94FFB">
      <w:pPr>
        <w:pStyle w:val="ECHRPara"/>
      </w:pPr>
      <w:r w:rsidRPr="00847181">
        <w:fldChar w:fldCharType="begin"/>
      </w:r>
      <w:r w:rsidRPr="00847181">
        <w:instrText xml:space="preserve"> SEQ level0 \*a</w:instrText>
      </w:r>
      <w:r w:rsidRPr="00847181">
        <w:instrText xml:space="preserve">rabic </w:instrText>
      </w:r>
      <w:r w:rsidRPr="00847181">
        <w:fldChar w:fldCharType="separate"/>
      </w:r>
      <w:r w:rsidR="00B94FFB" w:rsidRPr="00847181">
        <w:rPr>
          <w:noProof/>
        </w:rPr>
        <w:t>9</w:t>
      </w:r>
      <w:r w:rsidRPr="00847181">
        <w:rPr>
          <w:noProof/>
        </w:rPr>
        <w:fldChar w:fldCharType="end"/>
      </w:r>
      <w:r w:rsidR="006949BF" w:rsidRPr="00847181">
        <w:t>.  Następnie, skarżącego przeniesiono do aresztu śledczego w Lublinie.</w:t>
      </w:r>
    </w:p>
    <w:p w14:paraId="023ADC12" w14:textId="2387A294" w:rsidR="006949BF" w:rsidRPr="00847181" w:rsidRDefault="000D39FA" w:rsidP="00B94FFB">
      <w:pPr>
        <w:pStyle w:val="ECHRPara"/>
      </w:pPr>
      <w:r w:rsidRPr="00847181">
        <w:fldChar w:fldCharType="begin"/>
      </w:r>
      <w:r w:rsidRPr="00847181">
        <w:instrText xml:space="preserve"> SEQ level0 \*arabic </w:instrText>
      </w:r>
      <w:r w:rsidRPr="00847181">
        <w:fldChar w:fldCharType="separate"/>
      </w:r>
      <w:r w:rsidR="00B94FFB" w:rsidRPr="00847181">
        <w:rPr>
          <w:noProof/>
        </w:rPr>
        <w:t>10</w:t>
      </w:r>
      <w:r w:rsidRPr="00847181">
        <w:rPr>
          <w:noProof/>
        </w:rPr>
        <w:fldChar w:fldCharType="end"/>
      </w:r>
      <w:r w:rsidR="006949BF" w:rsidRPr="00847181">
        <w:t>.  W dniu 3 lutego 2011 r., Komisja Penitencjarna Aresztu Śledczego w Lublinie zbadała sprawę i podtrzymała decyzję o nałożeni</w:t>
      </w:r>
      <w:r w:rsidR="00565B91" w:rsidRPr="00847181">
        <w:t>u reżimu na skarżącego, uznając,</w:t>
      </w:r>
      <w:r w:rsidR="006949BF" w:rsidRPr="00847181">
        <w:t xml:space="preserve"> że stanowi on poważne zagrożenie dla bezpieczeństwa jednostki penitencjarnej. Skarżący złożył odwołanie.</w:t>
      </w:r>
    </w:p>
    <w:p w14:paraId="27196101" w14:textId="501304F3" w:rsidR="006949BF" w:rsidRPr="00847181" w:rsidRDefault="000D39FA" w:rsidP="00B94FFB">
      <w:pPr>
        <w:pStyle w:val="ECHRPara"/>
      </w:pPr>
      <w:r w:rsidRPr="00847181">
        <w:fldChar w:fldCharType="begin"/>
      </w:r>
      <w:r w:rsidRPr="00847181">
        <w:instrText xml:space="preserve"> SEQ level0 \*arabic </w:instrText>
      </w:r>
      <w:r w:rsidRPr="00847181">
        <w:fldChar w:fldCharType="separate"/>
      </w:r>
      <w:r w:rsidR="00B94FFB" w:rsidRPr="00847181">
        <w:rPr>
          <w:noProof/>
        </w:rPr>
        <w:t>11</w:t>
      </w:r>
      <w:r w:rsidRPr="00847181">
        <w:rPr>
          <w:noProof/>
        </w:rPr>
        <w:fldChar w:fldCharType="end"/>
      </w:r>
      <w:r w:rsidR="006949BF" w:rsidRPr="00847181">
        <w:t xml:space="preserve">.  W dniu 4 kwietnia 2011 r., Sąd Okręgowy w Lublinie </w:t>
      </w:r>
      <w:r w:rsidR="001D5191" w:rsidRPr="00847181">
        <w:t xml:space="preserve">oddalił </w:t>
      </w:r>
      <w:r w:rsidR="006949BF" w:rsidRPr="00847181">
        <w:t>odwołanie. Sąd odniósł się do powodów podanych w postanowieniu z dnia 5 listopada 2010 r., uznając, że postanowienie jest zgodne z prawem i uzasadnione.</w:t>
      </w:r>
    </w:p>
    <w:p w14:paraId="13AB1B44" w14:textId="77777777" w:rsidR="006949BF" w:rsidRPr="00847181" w:rsidRDefault="000D39FA" w:rsidP="00B94FFB">
      <w:pPr>
        <w:pStyle w:val="ECHRPara"/>
      </w:pPr>
      <w:r w:rsidRPr="00847181">
        <w:fldChar w:fldCharType="begin"/>
      </w:r>
      <w:r w:rsidRPr="00847181">
        <w:instrText xml:space="preserve"> SEQ level0 \*arabic </w:instrText>
      </w:r>
      <w:r w:rsidRPr="00847181">
        <w:fldChar w:fldCharType="separate"/>
      </w:r>
      <w:r w:rsidR="00B94FFB" w:rsidRPr="00847181">
        <w:rPr>
          <w:noProof/>
        </w:rPr>
        <w:t>12</w:t>
      </w:r>
      <w:r w:rsidRPr="00847181">
        <w:rPr>
          <w:noProof/>
        </w:rPr>
        <w:fldChar w:fldCharType="end"/>
      </w:r>
      <w:r w:rsidR="006949BF" w:rsidRPr="00847181">
        <w:t>.  W dniu 3 marca 2011 r., skarżący wniósł zażalenie do Okręgowego Inspektoratu Służby Więziennej w Lublinie. W zażaleniu podnosił, że miał trudności z dostępem do aktywności edukacyjnych w Areszcie Śledczym w Lublinie. Władze odrzuciły skargę, podtrzymując, że aktywności edukacyjne są niedostępne dla osadzonych niebezpiecznych.</w:t>
      </w:r>
    </w:p>
    <w:p w14:paraId="2641B727" w14:textId="2FE83F86" w:rsidR="006949BF" w:rsidRPr="00847181" w:rsidRDefault="000D39FA" w:rsidP="00B94FFB">
      <w:pPr>
        <w:pStyle w:val="ECHRPara"/>
      </w:pPr>
      <w:r w:rsidRPr="00847181">
        <w:fldChar w:fldCharType="begin"/>
      </w:r>
      <w:r w:rsidRPr="00847181">
        <w:instrText xml:space="preserve"> SEQ level0 \*arabic </w:instrText>
      </w:r>
      <w:r w:rsidRPr="00847181">
        <w:fldChar w:fldCharType="separate"/>
      </w:r>
      <w:r w:rsidR="00B94FFB" w:rsidRPr="00847181">
        <w:rPr>
          <w:noProof/>
        </w:rPr>
        <w:t>13</w:t>
      </w:r>
      <w:r w:rsidRPr="00847181">
        <w:rPr>
          <w:noProof/>
        </w:rPr>
        <w:fldChar w:fldCharType="end"/>
      </w:r>
      <w:r w:rsidR="006949BF" w:rsidRPr="00847181">
        <w:t xml:space="preserve">.  W nieokreślonym dniu w 2011 r., skarżący zawiadomił policję o </w:t>
      </w:r>
      <w:r w:rsidR="0090068D" w:rsidRPr="00847181">
        <w:t xml:space="preserve">swoim </w:t>
      </w:r>
      <w:r w:rsidR="006949BF" w:rsidRPr="00847181">
        <w:t>domnieman</w:t>
      </w:r>
      <w:r w:rsidR="0090068D" w:rsidRPr="00847181">
        <w:t>iu</w:t>
      </w:r>
      <w:r w:rsidR="006949BF" w:rsidRPr="00847181">
        <w:t xml:space="preserve"> bezprawn</w:t>
      </w:r>
      <w:r w:rsidR="0090068D" w:rsidRPr="00847181">
        <w:t xml:space="preserve">ego </w:t>
      </w:r>
      <w:r w:rsidR="006949BF" w:rsidRPr="00847181">
        <w:t>zakwalifikowani</w:t>
      </w:r>
      <w:r w:rsidR="0090068D" w:rsidRPr="00847181">
        <w:t>a</w:t>
      </w:r>
      <w:r w:rsidR="006949BF" w:rsidRPr="00847181">
        <w:t xml:space="preserve"> go jako osadzonego niebezpiecznego</w:t>
      </w:r>
      <w:r w:rsidR="0090068D" w:rsidRPr="00847181">
        <w:t xml:space="preserve"> w</w:t>
      </w:r>
      <w:r w:rsidR="006949BF" w:rsidRPr="00847181">
        <w:t xml:space="preserve"> dni</w:t>
      </w:r>
      <w:r w:rsidR="0090068D" w:rsidRPr="00847181">
        <w:t>u</w:t>
      </w:r>
      <w:r w:rsidR="006949BF" w:rsidRPr="00847181">
        <w:t xml:space="preserve"> 5 listopada 2010 r. Podnosił, że władze Zakładu Karnego w Opolu przekroczyły swoje kompetencje nakładając na niego wspomniany reżim. W dniu 29 kwietnia 2011 r.,</w:t>
      </w:r>
      <w:r w:rsidR="00C44F8C" w:rsidRPr="00847181">
        <w:t xml:space="preserve"> </w:t>
      </w:r>
      <w:r w:rsidR="006949BF" w:rsidRPr="00847181">
        <w:t xml:space="preserve">Prokuratora Rejonowa w Opolu Lubelskim odmówiła wszczęcia </w:t>
      </w:r>
      <w:r w:rsidR="00AF63B7" w:rsidRPr="00847181">
        <w:t>śledztwa</w:t>
      </w:r>
      <w:r w:rsidR="006949BF" w:rsidRPr="00847181">
        <w:t xml:space="preserve"> w przedmiotowej sprawie, uznając, że nie popełniono żadnego </w:t>
      </w:r>
      <w:r w:rsidR="00AF63B7" w:rsidRPr="00847181">
        <w:t>przestępstwa</w:t>
      </w:r>
      <w:r w:rsidR="006949BF" w:rsidRPr="00847181">
        <w:t>.</w:t>
      </w:r>
    </w:p>
    <w:p w14:paraId="421C1687" w14:textId="77777777" w:rsidR="00014566" w:rsidRPr="00847181" w:rsidRDefault="000D39FA" w:rsidP="00B94FFB">
      <w:pPr>
        <w:pStyle w:val="ECHRPara"/>
      </w:pPr>
      <w:r w:rsidRPr="00847181">
        <w:fldChar w:fldCharType="begin"/>
      </w:r>
      <w:r w:rsidRPr="00847181">
        <w:instrText xml:space="preserve"> SEQ level0 \*arabic </w:instrText>
      </w:r>
      <w:r w:rsidRPr="00847181">
        <w:fldChar w:fldCharType="separate"/>
      </w:r>
      <w:r w:rsidR="00B94FFB" w:rsidRPr="00847181">
        <w:rPr>
          <w:noProof/>
        </w:rPr>
        <w:t>14</w:t>
      </w:r>
      <w:r w:rsidRPr="00847181">
        <w:rPr>
          <w:noProof/>
        </w:rPr>
        <w:fldChar w:fldCharType="end"/>
      </w:r>
      <w:r w:rsidR="006E47FD" w:rsidRPr="00847181">
        <w:t>.  W dniu 28 kwietnia 2011 r., Komisja Penitencjarna w Areszcie Śledczym w Lublinie odwołała postanowienie o zaklasyfikowaniu skarżącego jako osadzonego niebezpiecznego. Uznała, że zachowanie skarżącego uległo poprawie, i nie stanowi on już zagrożenia dla bezpieczeństwa aresztu śledczego.</w:t>
      </w:r>
    </w:p>
    <w:p w14:paraId="4A991E32" w14:textId="77777777" w:rsidR="00014566" w:rsidRPr="00847181" w:rsidRDefault="00014566" w:rsidP="00B94FFB">
      <w:pPr>
        <w:pStyle w:val="ECHRHeading1"/>
      </w:pPr>
      <w:r w:rsidRPr="00847181">
        <w:lastRenderedPageBreak/>
        <w:t>II.  WŁAŚCIWE PRAWO KRAJOWE I STOSOWANA PRAKTYKA</w:t>
      </w:r>
    </w:p>
    <w:p w14:paraId="6F28463E" w14:textId="56B75EA6" w:rsidR="00014566" w:rsidRPr="00847181" w:rsidRDefault="000D39FA" w:rsidP="00B94FFB">
      <w:pPr>
        <w:pStyle w:val="ECHRPara"/>
      </w:pPr>
      <w:r w:rsidRPr="00847181">
        <w:fldChar w:fldCharType="begin"/>
      </w:r>
      <w:r w:rsidRPr="00847181">
        <w:instrText xml:space="preserve"> SEQ level0 \*arabic </w:instrText>
      </w:r>
      <w:r w:rsidRPr="00847181">
        <w:fldChar w:fldCharType="separate"/>
      </w:r>
      <w:r w:rsidR="00B94FFB" w:rsidRPr="00847181">
        <w:rPr>
          <w:noProof/>
        </w:rPr>
        <w:t>15</w:t>
      </w:r>
      <w:r w:rsidRPr="00847181">
        <w:rPr>
          <w:noProof/>
        </w:rPr>
        <w:fldChar w:fldCharType="end"/>
      </w:r>
      <w:r w:rsidR="004826D5" w:rsidRPr="00847181">
        <w:t xml:space="preserve">.  Właściwe prawo krajowe i stosowana praktyka, odnoszące się do nakładania reżimu osadzonego niebezpiecznego, określono w wyrokach </w:t>
      </w:r>
      <w:r w:rsidR="001176E1" w:rsidRPr="00847181">
        <w:t>Trybunału</w:t>
      </w:r>
      <w:r w:rsidR="004826D5" w:rsidRPr="00847181">
        <w:t xml:space="preserve"> w sprawach </w:t>
      </w:r>
      <w:r w:rsidR="004826D5" w:rsidRPr="00847181">
        <w:rPr>
          <w:i/>
        </w:rPr>
        <w:t xml:space="preserve">Piechowicz p. Polsce </w:t>
      </w:r>
      <w:r w:rsidR="004826D5" w:rsidRPr="00847181">
        <w:t xml:space="preserve">(nr 20071/07 §§ 110-17, 17 kwietnia 2012) oraz </w:t>
      </w:r>
      <w:r w:rsidR="004826D5" w:rsidRPr="00847181">
        <w:rPr>
          <w:i/>
        </w:rPr>
        <w:t xml:space="preserve">Horych p. Polsce </w:t>
      </w:r>
      <w:r w:rsidR="004826D5" w:rsidRPr="00847181">
        <w:t>(nr 13621/08 §§ 49-56, 17 kwietnia 2012 r.).</w:t>
      </w:r>
    </w:p>
    <w:p w14:paraId="771BAFCE" w14:textId="77777777" w:rsidR="006B3CAC" w:rsidRPr="00847181" w:rsidRDefault="000D39FA" w:rsidP="00B94FFB">
      <w:pPr>
        <w:pStyle w:val="ECHRPara"/>
      </w:pPr>
      <w:r w:rsidRPr="00847181">
        <w:fldChar w:fldCharType="begin"/>
      </w:r>
      <w:r w:rsidRPr="00847181">
        <w:instrText xml:space="preserve"> SEQ level0 \*arabic </w:instrText>
      </w:r>
      <w:r w:rsidRPr="00847181">
        <w:fldChar w:fldCharType="separate"/>
      </w:r>
      <w:r w:rsidR="00B94FFB" w:rsidRPr="00847181">
        <w:rPr>
          <w:noProof/>
        </w:rPr>
        <w:t>16</w:t>
      </w:r>
      <w:r w:rsidRPr="00847181">
        <w:rPr>
          <w:noProof/>
        </w:rPr>
        <w:fldChar w:fldCharType="end"/>
      </w:r>
      <w:r w:rsidR="00183526" w:rsidRPr="00847181">
        <w:t>.   Postanowienia Kodeksu karnego wykonawczego, określające nałożenie reżimu na skazanego, brzmią następującą:</w:t>
      </w:r>
    </w:p>
    <w:p w14:paraId="7C3478A1" w14:textId="77777777" w:rsidR="002B6A94" w:rsidRPr="00847181" w:rsidRDefault="002B6A94" w:rsidP="00B94FFB">
      <w:pPr>
        <w:pStyle w:val="ECHRTitleCentre3"/>
      </w:pPr>
      <w:r w:rsidRPr="00847181">
        <w:t>Artykuł 88 § 3</w:t>
      </w:r>
    </w:p>
    <w:p w14:paraId="0404B001" w14:textId="77777777" w:rsidR="002B6A94" w:rsidRPr="00847181" w:rsidRDefault="005C481E" w:rsidP="00B94FFB">
      <w:pPr>
        <w:pStyle w:val="ECHRParaQuote"/>
      </w:pPr>
      <w:r w:rsidRPr="00847181">
        <w:t>„Skazany stwarzający poważne zagrożenie społeczne albo poważne zagrożenie dla bezpieczeństwa zakładu odbywa karę w wyznaczonym oddziale lub celi zakładu karnego typu zamkniętego w warunkach zapewniających wzmożoną ochronę społeczeństwa i bezpieczeństwo tego zakładu.”</w:t>
      </w:r>
    </w:p>
    <w:p w14:paraId="42E0BF0D" w14:textId="77777777" w:rsidR="002B6A94" w:rsidRPr="00847181" w:rsidRDefault="002B6A94" w:rsidP="00B94FFB">
      <w:pPr>
        <w:pStyle w:val="ECHRTitleCentre3"/>
      </w:pPr>
      <w:r w:rsidRPr="00847181">
        <w:t>Artykuł 88a</w:t>
      </w:r>
    </w:p>
    <w:p w14:paraId="430E2166" w14:textId="77777777" w:rsidR="002B6A94" w:rsidRPr="00847181" w:rsidRDefault="005C481E" w:rsidP="00B94FFB">
      <w:pPr>
        <w:pStyle w:val="ECHRParaQuote"/>
      </w:pPr>
      <w:r w:rsidRPr="00847181">
        <w:t>“1. Skazany, o którym mowa w art. 88 § 3 odbywa karę w wyznaczonym oddziale lub celi zakładu karnego typu zamkniętego. O osadzeniu skazanego w wyznaczonym oddziale lub celi zakładu karnego typu zamkniętego zawiadamia się sędziego penitencjarnego.</w:t>
      </w:r>
    </w:p>
    <w:p w14:paraId="1024316E" w14:textId="6EF6BAB4" w:rsidR="00C03C3E" w:rsidRPr="00847181" w:rsidRDefault="002B6A94" w:rsidP="00D97478">
      <w:pPr>
        <w:pStyle w:val="ECHRParaQuote"/>
      </w:pPr>
      <w:r w:rsidRPr="00847181">
        <w:t>2. </w:t>
      </w:r>
      <w:r w:rsidR="00267781" w:rsidRPr="00847181">
        <w:t xml:space="preserve">Przepisy paragrafu 1 stosuje się </w:t>
      </w:r>
      <w:r w:rsidR="00037FBA" w:rsidRPr="00847181">
        <w:t>do skazanego, którego właściwości, warunki osobiste</w:t>
      </w:r>
      <w:r w:rsidR="00921E81" w:rsidRPr="00847181">
        <w:t>, motywacja, sposób zachowania się przy popełnieniu przestępstwa</w:t>
      </w:r>
      <w:r w:rsidR="004D3078" w:rsidRPr="00847181">
        <w:t>, rodzaj i rozmiar następstw przestęp</w:t>
      </w:r>
      <w:r w:rsidR="000E13E8" w:rsidRPr="00847181">
        <w:t>s</w:t>
      </w:r>
      <w:r w:rsidR="004D3078" w:rsidRPr="00847181">
        <w:t>twa,</w:t>
      </w:r>
      <w:r w:rsidR="000E13E8" w:rsidRPr="00847181">
        <w:t xml:space="preserve"> zachowanie w zakładzie karny lub stopień </w:t>
      </w:r>
      <w:proofErr w:type="spellStart"/>
      <w:r w:rsidR="000E13E8" w:rsidRPr="00847181">
        <w:t>demoralizaji</w:t>
      </w:r>
      <w:proofErr w:type="spellEnd"/>
      <w:r w:rsidR="000E13E8" w:rsidRPr="00847181">
        <w:t xml:space="preserve"> stwarzają </w:t>
      </w:r>
      <w:r w:rsidR="0011580E" w:rsidRPr="00847181">
        <w:t xml:space="preserve">poważne zagrożenie społeczne albo poważne zagrożenie dla bezpieczeństwa </w:t>
      </w:r>
      <w:r w:rsidR="00911481" w:rsidRPr="00847181">
        <w:t>zakładu karnego, i który</w:t>
      </w:r>
      <w:r w:rsidR="00D97478" w:rsidRPr="00847181">
        <w:t>:</w:t>
      </w:r>
      <w:r w:rsidR="004D3078" w:rsidRPr="00847181">
        <w:t xml:space="preserve"> </w:t>
      </w:r>
      <w:r w:rsidR="00037FBA" w:rsidRPr="00847181">
        <w:t xml:space="preserve">  </w:t>
      </w:r>
    </w:p>
    <w:p w14:paraId="5789079A" w14:textId="561E7B0B" w:rsidR="005C481E" w:rsidRPr="00847181" w:rsidRDefault="00905B68" w:rsidP="00B94FFB">
      <w:pPr>
        <w:pStyle w:val="ECHRParaQuote"/>
      </w:pPr>
      <w:r w:rsidRPr="00847181">
        <w:t xml:space="preserve">(2a) podczas uprzedniego lub obecnego pozbawienia wolności stwarzał zagrożenie dla bezpieczeństwa zakładu karnego lub aresztu śledczego w ten sposób, że był organizatorem lub aktywnym uczestnikiem zbiorowego </w:t>
      </w:r>
      <w:r w:rsidR="001875E6" w:rsidRPr="00847181">
        <w:t>protestu</w:t>
      </w:r>
      <w:r w:rsidRPr="00847181">
        <w:t xml:space="preserve"> w zakładzie karnym lub areszcie śledczym...”</w:t>
      </w:r>
    </w:p>
    <w:p w14:paraId="3EF57317" w14:textId="77777777" w:rsidR="005C481E" w:rsidRPr="00847181" w:rsidRDefault="000D39FA" w:rsidP="00B94FFB">
      <w:pPr>
        <w:pStyle w:val="ECHRPara"/>
      </w:pPr>
      <w:r w:rsidRPr="00847181">
        <w:fldChar w:fldCharType="begin"/>
      </w:r>
      <w:r w:rsidRPr="00847181">
        <w:instrText xml:space="preserve"> SEQ level0 \*arabic </w:instrText>
      </w:r>
      <w:r w:rsidRPr="00847181">
        <w:fldChar w:fldCharType="separate"/>
      </w:r>
      <w:r w:rsidR="00B94FFB" w:rsidRPr="00847181">
        <w:rPr>
          <w:noProof/>
        </w:rPr>
        <w:t>17</w:t>
      </w:r>
      <w:r w:rsidRPr="00847181">
        <w:rPr>
          <w:noProof/>
        </w:rPr>
        <w:fldChar w:fldCharType="end"/>
      </w:r>
      <w:r w:rsidR="005C481E" w:rsidRPr="00847181">
        <w:t xml:space="preserve">.  Artykuł 88b Kodeksu karnego wykonawczego określa warunki, w których skazani o statusie osadzonych niebezpiecznych odbywają karę. Są one identyczne jak warunki określone w art. 212B Kodeksu, odnoszące się do osadzonych (patrz </w:t>
      </w:r>
      <w:r w:rsidR="005C481E" w:rsidRPr="00847181">
        <w:rPr>
          <w:i/>
        </w:rPr>
        <w:t>Piechowicz</w:t>
      </w:r>
      <w:r w:rsidR="005C481E" w:rsidRPr="00847181">
        <w:t>, wspomniany wyżej, § 106).</w:t>
      </w:r>
    </w:p>
    <w:p w14:paraId="694D1285" w14:textId="77777777" w:rsidR="00014566" w:rsidRPr="00847181" w:rsidRDefault="00014566" w:rsidP="00B94FFB">
      <w:pPr>
        <w:pStyle w:val="ECHRTitle1"/>
      </w:pPr>
      <w:r w:rsidRPr="00847181">
        <w:t>PRAWO</w:t>
      </w:r>
    </w:p>
    <w:p w14:paraId="4CCC5800" w14:textId="77777777" w:rsidR="00014566" w:rsidRPr="00847181" w:rsidRDefault="00014566" w:rsidP="00B94FFB">
      <w:pPr>
        <w:pStyle w:val="ECHRHeading1"/>
      </w:pPr>
      <w:r w:rsidRPr="00847181">
        <w:t>I. DOMNIEMANE NARUSZENIE ARTYKUŁU 3 KONWENCJI</w:t>
      </w:r>
    </w:p>
    <w:p w14:paraId="5658D01D" w14:textId="5AEA2B36" w:rsidR="006949BF" w:rsidRPr="00847181" w:rsidRDefault="000D39FA" w:rsidP="00B94FFB">
      <w:pPr>
        <w:pStyle w:val="ECHRPara"/>
      </w:pPr>
      <w:r w:rsidRPr="00847181">
        <w:fldChar w:fldCharType="begin"/>
      </w:r>
      <w:r w:rsidRPr="00847181">
        <w:instrText xml:space="preserve"> SEQ level0 \*arabic </w:instrText>
      </w:r>
      <w:r w:rsidRPr="00847181">
        <w:fldChar w:fldCharType="separate"/>
      </w:r>
      <w:r w:rsidR="00B94FFB" w:rsidRPr="00847181">
        <w:rPr>
          <w:noProof/>
        </w:rPr>
        <w:t>18</w:t>
      </w:r>
      <w:r w:rsidRPr="00847181">
        <w:rPr>
          <w:noProof/>
        </w:rPr>
        <w:fldChar w:fldCharType="end"/>
      </w:r>
      <w:r w:rsidR="004826D5" w:rsidRPr="00847181">
        <w:t xml:space="preserve">. Skarżący podnosił, że bezprawnie </w:t>
      </w:r>
      <w:r w:rsidR="0059693F" w:rsidRPr="00847181">
        <w:t>za</w:t>
      </w:r>
      <w:r w:rsidR="004826D5" w:rsidRPr="00847181">
        <w:t>klasyfikowano go jako osadzonego niebezpiecznego, a stosowane restrykcje stanowiły poniżające traktowanie, sprzeczne z art. 3 Konwencji, który brzmi następująco:</w:t>
      </w:r>
    </w:p>
    <w:p w14:paraId="2834D9C1" w14:textId="77777777" w:rsidR="006949BF" w:rsidRPr="00847181" w:rsidRDefault="006949BF" w:rsidP="00B94FFB">
      <w:pPr>
        <w:pStyle w:val="ECHRParaQuote"/>
      </w:pPr>
      <w:r w:rsidRPr="00847181">
        <w:lastRenderedPageBreak/>
        <w:t>„Nikt nie może być poddany torturom ani nieludzkiemu lub poniżającemu traktowaniu albo karaniu.”</w:t>
      </w:r>
    </w:p>
    <w:p w14:paraId="0E928633" w14:textId="77777777" w:rsidR="006949BF" w:rsidRPr="00847181" w:rsidRDefault="000D39FA" w:rsidP="00B94FFB">
      <w:pPr>
        <w:pStyle w:val="ECHRPara"/>
      </w:pPr>
      <w:r w:rsidRPr="00847181">
        <w:fldChar w:fldCharType="begin"/>
      </w:r>
      <w:r w:rsidRPr="00847181">
        <w:instrText xml:space="preserve"> SEQ level0 \*arabic </w:instrText>
      </w:r>
      <w:r w:rsidRPr="00847181">
        <w:fldChar w:fldCharType="separate"/>
      </w:r>
      <w:r w:rsidR="00B94FFB" w:rsidRPr="00847181">
        <w:rPr>
          <w:noProof/>
        </w:rPr>
        <w:t>19</w:t>
      </w:r>
      <w:r w:rsidRPr="00847181">
        <w:rPr>
          <w:noProof/>
        </w:rPr>
        <w:fldChar w:fldCharType="end"/>
      </w:r>
      <w:r w:rsidR="006949BF" w:rsidRPr="00847181">
        <w:t>.  Rząd zaskarżył podniesione domniemanie.</w:t>
      </w:r>
    </w:p>
    <w:p w14:paraId="26331823" w14:textId="77777777" w:rsidR="006949BF" w:rsidRPr="00847181" w:rsidRDefault="006949BF" w:rsidP="00B94FFB">
      <w:pPr>
        <w:pStyle w:val="ECHRHeading2"/>
      </w:pPr>
      <w:r w:rsidRPr="00847181">
        <w:t>A. Dopuszczalność</w:t>
      </w:r>
    </w:p>
    <w:p w14:paraId="1131C6BE" w14:textId="77777777" w:rsidR="006949BF" w:rsidRPr="00847181" w:rsidRDefault="000D39FA" w:rsidP="00B94FFB">
      <w:pPr>
        <w:pStyle w:val="ECHRPara"/>
      </w:pPr>
      <w:r w:rsidRPr="00847181">
        <w:fldChar w:fldCharType="begin"/>
      </w:r>
      <w:r w:rsidRPr="00847181">
        <w:instrText xml:space="preserve"> SEQ le</w:instrText>
      </w:r>
      <w:r w:rsidRPr="00847181">
        <w:instrText xml:space="preserve">vel0 \*arabic </w:instrText>
      </w:r>
      <w:r w:rsidRPr="00847181">
        <w:fldChar w:fldCharType="separate"/>
      </w:r>
      <w:r w:rsidR="00B94FFB" w:rsidRPr="00847181">
        <w:rPr>
          <w:noProof/>
        </w:rPr>
        <w:t>20</w:t>
      </w:r>
      <w:r w:rsidRPr="00847181">
        <w:rPr>
          <w:noProof/>
        </w:rPr>
        <w:fldChar w:fldCharType="end"/>
      </w:r>
      <w:r w:rsidR="006949BF" w:rsidRPr="00847181">
        <w:t>.  Trybunał zaznacza, że skarga nie jest wyraźnie bezpodstawna, w rozumieniu art. 35 § 3 (a) Konwencji. Uznaje również, że nie jest niedopuszczalna na innych podstawach. W związku z tym, złożoną skargę uznaje się za dopuszczalną.</w:t>
      </w:r>
    </w:p>
    <w:p w14:paraId="3DA21A33" w14:textId="77777777" w:rsidR="006949BF" w:rsidRPr="00847181" w:rsidRDefault="006949BF" w:rsidP="00B94FFB">
      <w:pPr>
        <w:pStyle w:val="ECHRHeading2"/>
      </w:pPr>
      <w:r w:rsidRPr="00847181">
        <w:t>B. Roszczenia</w:t>
      </w:r>
    </w:p>
    <w:p w14:paraId="0ED3F2B1" w14:textId="77777777" w:rsidR="006949BF" w:rsidRPr="00847181" w:rsidRDefault="006949BF" w:rsidP="00B94FFB">
      <w:pPr>
        <w:pStyle w:val="ECHRHeading3"/>
      </w:pPr>
      <w:r w:rsidRPr="00847181">
        <w:t>1.  Skarżący</w:t>
      </w:r>
    </w:p>
    <w:p w14:paraId="741233CF" w14:textId="1BB065BE" w:rsidR="00B94FFB" w:rsidRPr="00847181" w:rsidRDefault="000D39FA" w:rsidP="00B94FFB">
      <w:pPr>
        <w:pStyle w:val="ECHRPara"/>
      </w:pPr>
      <w:r w:rsidRPr="00847181">
        <w:fldChar w:fldCharType="begin"/>
      </w:r>
      <w:r w:rsidRPr="00847181">
        <w:instrText xml:space="preserve"> SEQ level0 \*arabic </w:instrText>
      </w:r>
      <w:r w:rsidRPr="00847181">
        <w:fldChar w:fldCharType="separate"/>
      </w:r>
      <w:r w:rsidR="00B94FFB" w:rsidRPr="00847181">
        <w:rPr>
          <w:noProof/>
        </w:rPr>
        <w:t>21</w:t>
      </w:r>
      <w:r w:rsidRPr="00847181">
        <w:rPr>
          <w:noProof/>
        </w:rPr>
        <w:fldChar w:fldCharType="end"/>
      </w:r>
      <w:r w:rsidR="006949BF" w:rsidRPr="00847181">
        <w:t xml:space="preserve">.  Skarżący podniósł, że przedłużające się stosowanie reżimu osadzonego niebezpiecznego stanowiło naruszenie art. 3 Konwencji. Jego zdaniem, nie było podstaw, które usprawiedliwiałyby nałożenie na niego reżimu. </w:t>
      </w:r>
      <w:r w:rsidR="00734D9B" w:rsidRPr="00847181">
        <w:t>Zakwestionował</w:t>
      </w:r>
      <w:r w:rsidR="006949BF" w:rsidRPr="00847181">
        <w:t xml:space="preserve"> zarzut organiz</w:t>
      </w:r>
      <w:r w:rsidR="00734D9B" w:rsidRPr="00847181">
        <w:t>owania</w:t>
      </w:r>
      <w:r w:rsidR="006949BF" w:rsidRPr="00847181">
        <w:t xml:space="preserve"> akcji protestacyjnej. Nigdy nie </w:t>
      </w:r>
      <w:r w:rsidR="00AE670B" w:rsidRPr="00847181">
        <w:t>był oskarżony</w:t>
      </w:r>
      <w:r w:rsidR="006949BF" w:rsidRPr="00847181">
        <w:t xml:space="preserve"> o prowadzenie takich działań, ani za nie skazan</w:t>
      </w:r>
      <w:r w:rsidR="00AE670B" w:rsidRPr="00847181">
        <w:t>y</w:t>
      </w:r>
      <w:r w:rsidR="006949BF" w:rsidRPr="00847181">
        <w:t xml:space="preserve">. Przyznał, że jednego razu odmówił spożycia śniadania, przebywając w Zakładzie </w:t>
      </w:r>
      <w:r w:rsidR="00AE670B" w:rsidRPr="00847181">
        <w:t>K</w:t>
      </w:r>
      <w:r w:rsidR="006949BF" w:rsidRPr="00847181">
        <w:t>arnym w Opolu Lubelskim.</w:t>
      </w:r>
    </w:p>
    <w:p w14:paraId="795A7F49" w14:textId="1DEE7AFF" w:rsidR="00B94FFB" w:rsidRPr="00847181" w:rsidRDefault="000D39FA" w:rsidP="00B94FFB">
      <w:pPr>
        <w:pStyle w:val="ECHRPara"/>
      </w:pPr>
      <w:r w:rsidRPr="00847181">
        <w:fldChar w:fldCharType="begin"/>
      </w:r>
      <w:r w:rsidRPr="00847181">
        <w:instrText xml:space="preserve"> SEQ level0 \*arabic </w:instrText>
      </w:r>
      <w:r w:rsidRPr="00847181">
        <w:fldChar w:fldCharType="separate"/>
      </w:r>
      <w:r w:rsidR="00B94FFB" w:rsidRPr="00847181">
        <w:rPr>
          <w:noProof/>
        </w:rPr>
        <w:t>22</w:t>
      </w:r>
      <w:r w:rsidRPr="00847181">
        <w:rPr>
          <w:noProof/>
        </w:rPr>
        <w:fldChar w:fldCharType="end"/>
      </w:r>
      <w:r w:rsidR="006949BF" w:rsidRPr="00847181">
        <w:t xml:space="preserve">.  Skarżący podniósł, że przez większość czasu przebywał w </w:t>
      </w:r>
      <w:r w:rsidR="003860D3" w:rsidRPr="00847181">
        <w:t>izolatce</w:t>
      </w:r>
      <w:r w:rsidR="006949BF" w:rsidRPr="00847181">
        <w:t>. Wspominał o przedłużającym się i nadmiernym oddzieleniu od rodziny, świata zewnętrznego oraz od pozostałych osadzonych, a także o innych restrykcjach, takich jak konieczność poruszania się w kajdanach zespolonych, rutynowe kontrole osobiste połączone z koniecznością rozebrania się, czy monitoring celi (w tym obszaru sanit</w:t>
      </w:r>
      <w:r w:rsidR="00C74D5E" w:rsidRPr="00847181">
        <w:t>ariatu) za pośrednictwem kamer.</w:t>
      </w:r>
      <w:r w:rsidR="006949BF" w:rsidRPr="00847181">
        <w:t xml:space="preserve"> Skarżący podkreślał, że każdy jego ruch w celi podlegał ciągłej obserwacji. Nagrany obraz przechowywano przez przynajmniej siedem dni. Za każdym razem gdy opuszczał celę lub do niej wchodził, zazwyczaj kilka razy w ciągu dnia, odbywał poniżające i wyjątkowo szczegółowe kontrole osobiste, które przeprowadzało aż trzech strażników zakładu. Podczas kontroli osobistych często obecni byli współwięźniowie. Co więcej, za każdym razem, gdy skarżący opuszczał celę, eskortowali go strażnicy, obecni nawet podczas badań medycznych.</w:t>
      </w:r>
    </w:p>
    <w:p w14:paraId="1FD213B9" w14:textId="77777777" w:rsidR="006949BF" w:rsidRPr="00847181" w:rsidRDefault="006949BF" w:rsidP="00B94FFB">
      <w:pPr>
        <w:pStyle w:val="ECHRHeading3"/>
      </w:pPr>
      <w:r w:rsidRPr="00847181">
        <w:t>2.  Rząd</w:t>
      </w:r>
    </w:p>
    <w:p w14:paraId="594B71F4" w14:textId="77777777" w:rsidR="006949BF" w:rsidRPr="00847181" w:rsidRDefault="000D39FA" w:rsidP="00B94FFB">
      <w:pPr>
        <w:pStyle w:val="ECHRPara"/>
      </w:pPr>
      <w:r w:rsidRPr="00847181">
        <w:fldChar w:fldCharType="begin"/>
      </w:r>
      <w:r w:rsidRPr="00847181">
        <w:instrText xml:space="preserve"> SEQ level0 \*arabic </w:instrText>
      </w:r>
      <w:r w:rsidRPr="00847181">
        <w:fldChar w:fldCharType="separate"/>
      </w:r>
      <w:r w:rsidR="00B94FFB" w:rsidRPr="00847181">
        <w:rPr>
          <w:noProof/>
        </w:rPr>
        <w:t>23</w:t>
      </w:r>
      <w:r w:rsidRPr="00847181">
        <w:rPr>
          <w:noProof/>
        </w:rPr>
        <w:fldChar w:fldCharType="end"/>
      </w:r>
      <w:r w:rsidR="006949BF" w:rsidRPr="00847181">
        <w:t>.  Rząd podkreślił, że w przedmiotowej sprawie, zaskarżone traktowanie nie osiągnęło minimalnego poziomu surowości, wymaganego dla naruszenia art. 3.</w:t>
      </w:r>
    </w:p>
    <w:p w14:paraId="3E5F7E00" w14:textId="77777777" w:rsidR="00B94FFB" w:rsidRPr="00847181" w:rsidRDefault="000D39FA" w:rsidP="00B94FFB">
      <w:pPr>
        <w:pStyle w:val="ECHRPara"/>
      </w:pPr>
      <w:r w:rsidRPr="00847181">
        <w:fldChar w:fldCharType="begin"/>
      </w:r>
      <w:r w:rsidRPr="00847181">
        <w:instrText xml:space="preserve"> SEQ level0 \*arabic </w:instrText>
      </w:r>
      <w:r w:rsidRPr="00847181">
        <w:fldChar w:fldCharType="separate"/>
      </w:r>
      <w:r w:rsidR="00B94FFB" w:rsidRPr="00847181">
        <w:rPr>
          <w:noProof/>
        </w:rPr>
        <w:t>24</w:t>
      </w:r>
      <w:r w:rsidRPr="00847181">
        <w:rPr>
          <w:noProof/>
        </w:rPr>
        <w:fldChar w:fldCharType="end"/>
      </w:r>
      <w:r w:rsidR="00BC26C3" w:rsidRPr="00847181">
        <w:t xml:space="preserve">.  Rząd utrzymywał, że skarżącego zakwalifikowano jako osadzonego niebezpiecznego zgodnie z właściwymi przepisami prawa. Zaplanował akcję protestacyjną - strajk głodowy osadzonych - i przewodził jej w </w:t>
      </w:r>
      <w:r w:rsidR="00BC26C3" w:rsidRPr="00847181">
        <w:lastRenderedPageBreak/>
        <w:t>Zakładzie Karnym w Opolu Lubelskim. Co więcej, władze krajowe uznały skarżącego za osobę zdemoralizowaną, która ma negatywny wpływ na pozostałych osadzonych.</w:t>
      </w:r>
    </w:p>
    <w:p w14:paraId="7071901A" w14:textId="1E14B27A" w:rsidR="00AC17A7" w:rsidRPr="00847181" w:rsidRDefault="000D39FA" w:rsidP="00B94FFB">
      <w:pPr>
        <w:pStyle w:val="ECHRPara"/>
      </w:pPr>
      <w:r w:rsidRPr="00847181">
        <w:fldChar w:fldCharType="begin"/>
      </w:r>
      <w:r w:rsidRPr="00847181">
        <w:instrText xml:space="preserve"> SEQ level0 \*arabic </w:instrText>
      </w:r>
      <w:r w:rsidRPr="00847181">
        <w:fldChar w:fldCharType="separate"/>
      </w:r>
      <w:r w:rsidR="00B94FFB" w:rsidRPr="00847181">
        <w:rPr>
          <w:noProof/>
        </w:rPr>
        <w:t>25</w:t>
      </w:r>
      <w:r w:rsidRPr="00847181">
        <w:rPr>
          <w:noProof/>
        </w:rPr>
        <w:fldChar w:fldCharType="end"/>
      </w:r>
      <w:r w:rsidR="006949BF" w:rsidRPr="00847181">
        <w:t xml:space="preserve">.  Zakwalifikowanie skarżącego jako osadzonego niebezpiecznego </w:t>
      </w:r>
      <w:r w:rsidR="00D934F2" w:rsidRPr="00847181">
        <w:t xml:space="preserve">ponownie rozważono </w:t>
      </w:r>
      <w:r w:rsidR="006949BF" w:rsidRPr="00847181">
        <w:t>po trzech miesiącach. Jak tylko komisja odnotowała poprawę w zachowaniu skarżącego - tj. 28 kwietnia 2011 r., po pięciu miesiącach i dwudziestu trzech dniach - reżim został zniesiony. W takich okolicznościach rząd uznał, że zastosowanie reżimu w stosunku do skarżącego było zgodne z prawem, gdyż zapobiegało ryzyku wystąpienia zamieszek w zakładzie karnym, i pozwalało na zachowanie bezpieczeństwa.</w:t>
      </w:r>
    </w:p>
    <w:bookmarkStart w:id="1" w:name="govconditions"/>
    <w:p w14:paraId="4FB227EF" w14:textId="77777777" w:rsidR="006949BF" w:rsidRPr="00847181" w:rsidRDefault="006949BF" w:rsidP="00B94FFB">
      <w:pPr>
        <w:pStyle w:val="ECHRPara"/>
      </w:pPr>
      <w:r w:rsidRPr="00847181">
        <w:fldChar w:fldCharType="begin"/>
      </w:r>
      <w:r w:rsidRPr="00847181">
        <w:instrText xml:space="preserve"> SEQ level0 \*arabic </w:instrText>
      </w:r>
      <w:r w:rsidRPr="00847181">
        <w:fldChar w:fldCharType="separate"/>
      </w:r>
      <w:r w:rsidR="00B94FFB" w:rsidRPr="00847181">
        <w:rPr>
          <w:noProof/>
        </w:rPr>
        <w:t>26</w:t>
      </w:r>
      <w:r w:rsidRPr="00847181">
        <w:fldChar w:fldCharType="end"/>
      </w:r>
      <w:bookmarkEnd w:id="1"/>
      <w:r w:rsidRPr="00847181">
        <w:t>.  Rząd podkreślił, że zastosowany reżim trwał bardzo krótki okres, w którym skarżący miał dostęp do odpowiednich bodźców i kontaktu z drugim człowiekiem. W szczególności, dwa razy w tygodniu mógł odwiedzać bibliotekę oraz pomieszczenie wyposażone w komputer, telewizor i inne przedmioty służące rozrywce. Miał również prawo do przyjmowania wizyt. Rząd stwierdził, że sposób, w który traktowano skarżącego nie naruszał art. 3 Konwencji. Wezwał Trybunał do uznania, że wspomniany zapis nie został naruszony.</w:t>
      </w:r>
    </w:p>
    <w:p w14:paraId="00B2EAA6" w14:textId="77777777" w:rsidR="006949BF" w:rsidRPr="00847181" w:rsidRDefault="006949BF" w:rsidP="00B94FFB">
      <w:pPr>
        <w:pStyle w:val="ECHRHeading3"/>
      </w:pPr>
      <w:r w:rsidRPr="00847181">
        <w:t>3.  Ocena Trybunału</w:t>
      </w:r>
    </w:p>
    <w:p w14:paraId="6AE08837" w14:textId="77777777" w:rsidR="006949BF" w:rsidRPr="00847181" w:rsidRDefault="006949BF" w:rsidP="00B94FFB">
      <w:pPr>
        <w:pStyle w:val="ECHRHeading4"/>
      </w:pPr>
      <w:r w:rsidRPr="00847181">
        <w:t>(a) Zasady ogólne odnoszące się do orzecznictwa Trybunału</w:t>
      </w:r>
    </w:p>
    <w:p w14:paraId="42D6A2BD" w14:textId="77777777" w:rsidR="006949BF" w:rsidRPr="00847181" w:rsidRDefault="000D39FA" w:rsidP="00B94FFB">
      <w:pPr>
        <w:pStyle w:val="ECHRPara"/>
      </w:pPr>
      <w:r w:rsidRPr="00847181">
        <w:fldChar w:fldCharType="begin"/>
      </w:r>
      <w:r w:rsidRPr="00847181">
        <w:instrText xml:space="preserve"> SEQ level0 \*arabic </w:instrText>
      </w:r>
      <w:r w:rsidRPr="00847181">
        <w:fldChar w:fldCharType="separate"/>
      </w:r>
      <w:r w:rsidR="00B94FFB" w:rsidRPr="00847181">
        <w:rPr>
          <w:noProof/>
        </w:rPr>
        <w:t>27</w:t>
      </w:r>
      <w:r w:rsidRPr="00847181">
        <w:rPr>
          <w:noProof/>
        </w:rPr>
        <w:fldChar w:fldCharType="end"/>
      </w:r>
      <w:r w:rsidR="006949BF" w:rsidRPr="00847181">
        <w:t xml:space="preserve">.  Właściwe zasady ogólne odnoszące się do orzecznictwa Trybunału podsumowano w wyrokach w sprawach </w:t>
      </w:r>
      <w:r w:rsidR="006949BF" w:rsidRPr="00847181">
        <w:rPr>
          <w:i/>
        </w:rPr>
        <w:t xml:space="preserve">Piechowicz p. Polsce </w:t>
      </w:r>
      <w:r w:rsidR="006949BF" w:rsidRPr="00847181">
        <w:t xml:space="preserve">(patrz </w:t>
      </w:r>
      <w:r w:rsidR="006949BF" w:rsidRPr="00847181">
        <w:rPr>
          <w:i/>
        </w:rPr>
        <w:t>Piechowicz</w:t>
      </w:r>
      <w:r w:rsidR="006949BF" w:rsidRPr="00847181">
        <w:t xml:space="preserve">, cyt. wyżej, §§ 158-65) oraz </w:t>
      </w:r>
      <w:r w:rsidR="006949BF" w:rsidRPr="00847181">
        <w:rPr>
          <w:i/>
        </w:rPr>
        <w:t xml:space="preserve">Horych p. Polsce </w:t>
      </w:r>
      <w:r w:rsidR="006949BF" w:rsidRPr="00847181">
        <w:t>(</w:t>
      </w:r>
      <w:r w:rsidR="006949BF" w:rsidRPr="00847181">
        <w:rPr>
          <w:i/>
        </w:rPr>
        <w:t>Horych</w:t>
      </w:r>
      <w:r w:rsidR="006949BF" w:rsidRPr="00847181">
        <w:t>, cyt. wyżej, §§ 85-92).</w:t>
      </w:r>
    </w:p>
    <w:p w14:paraId="3F2DFC4F" w14:textId="77777777" w:rsidR="006949BF" w:rsidRPr="00847181" w:rsidRDefault="006949BF" w:rsidP="00B94FFB">
      <w:pPr>
        <w:pStyle w:val="ECHRHeading4"/>
      </w:pPr>
      <w:r w:rsidRPr="00847181">
        <w:t>(b) Zastosowanie powyższych zasad w przedmiotowej sprawie</w:t>
      </w:r>
    </w:p>
    <w:p w14:paraId="62353FC2" w14:textId="46A017E4" w:rsidR="00F80416" w:rsidRPr="00847181" w:rsidRDefault="000D39FA" w:rsidP="00B94FFB">
      <w:pPr>
        <w:pStyle w:val="ECHRPara"/>
      </w:pPr>
      <w:r w:rsidRPr="00847181">
        <w:fldChar w:fldCharType="begin"/>
      </w:r>
      <w:r w:rsidRPr="00847181">
        <w:instrText xml:space="preserve"> SEQ level0 \*arabic </w:instrText>
      </w:r>
      <w:r w:rsidRPr="00847181">
        <w:fldChar w:fldCharType="separate"/>
      </w:r>
      <w:r w:rsidR="00B94FFB" w:rsidRPr="00847181">
        <w:rPr>
          <w:noProof/>
        </w:rPr>
        <w:t>28</w:t>
      </w:r>
      <w:r w:rsidRPr="00847181">
        <w:rPr>
          <w:noProof/>
        </w:rPr>
        <w:fldChar w:fldCharType="end"/>
      </w:r>
      <w:r w:rsidR="006949BF" w:rsidRPr="00847181">
        <w:t xml:space="preserve">.  Trybunał zauważa, że </w:t>
      </w:r>
      <w:r w:rsidR="001A4C6D" w:rsidRPr="00847181">
        <w:t>bezspornym</w:t>
      </w:r>
      <w:r w:rsidR="006949BF" w:rsidRPr="00847181">
        <w:t xml:space="preserve"> jest fakt, że w okresie od 5 listopada 2010 r. do 28 kwietnia 2011, tj. przez okres pięciu miesięcy i dwudziestu trzech dni, skarżącego zakwalifikowano jako osadzonego tzw. niebezpiecznego, w związku z czym podlegał on surowym środkom bezpieczeństwa i różnorodnym ograniczeniom (patrz ustępy 7-14 powyżej).</w:t>
      </w:r>
      <w:r w:rsidR="006949BF" w:rsidRPr="00847181">
        <w:noBreakHyphen/>
      </w:r>
      <w:r w:rsidR="006949BF" w:rsidRPr="00847181">
        <w:noBreakHyphen/>
        <w:t xml:space="preserve"> Główne aspekty reżimu podniesione przez skarżącego i określone poniżej, nie stanowiły przedmiotu zaskarżenia przez Rząd (patrz ustępy 22-26 powyżej). Szczegóły kluczowych aspektów reżimu osadzonego niebezpiecznego przeanalizowano dogłębnie również w wyroku </w:t>
      </w:r>
      <w:r w:rsidR="006949BF" w:rsidRPr="00847181">
        <w:rPr>
          <w:i/>
        </w:rPr>
        <w:t xml:space="preserve">Piechowicza </w:t>
      </w:r>
      <w:r w:rsidR="006949BF" w:rsidRPr="00847181">
        <w:t>(cyt. wyżej, § 166, z dalszymi odniesieniami).</w:t>
      </w:r>
    </w:p>
    <w:p w14:paraId="2FDBE63F" w14:textId="71E8EFD4" w:rsidR="00B94FFB" w:rsidRPr="00847181" w:rsidRDefault="000D39FA" w:rsidP="00B94FFB">
      <w:pPr>
        <w:pStyle w:val="ECHRPara"/>
      </w:pPr>
      <w:r w:rsidRPr="00847181">
        <w:fldChar w:fldCharType="begin"/>
      </w:r>
      <w:r w:rsidRPr="00847181">
        <w:instrText xml:space="preserve"> SEQ level0 \*arabic </w:instrText>
      </w:r>
      <w:r w:rsidRPr="00847181">
        <w:fldChar w:fldCharType="separate"/>
      </w:r>
      <w:r w:rsidR="00B94FFB" w:rsidRPr="00847181">
        <w:rPr>
          <w:noProof/>
        </w:rPr>
        <w:t>29</w:t>
      </w:r>
      <w:r w:rsidRPr="00847181">
        <w:rPr>
          <w:noProof/>
        </w:rPr>
        <w:fldChar w:fldCharType="end"/>
      </w:r>
      <w:r w:rsidR="00F80416" w:rsidRPr="00847181">
        <w:t xml:space="preserve">.  Środki zastosowane w sprawie skarżącego obejmowały osadzenie w specjalnym oddziale zamkniętym a także wzmożony monitoring każdego jego ruchu zarówno wewnątrz celi jak i poza nią, co oznaczało, że skarżący musiał poruszać się w kajdanach zespolonych każdorazowo na zewnątrz celi (kajdany połączone łańcuchem). Podjęte środki obejmowały odizolowanie skarżącego od społeczności więziennej i ograniczenie </w:t>
      </w:r>
      <w:r w:rsidR="00F80416" w:rsidRPr="00847181">
        <w:lastRenderedPageBreak/>
        <w:t>możliwości kontaktów z rodziną. Co więcej, za każdym razem, gdy skarżący wychodził z celi lub wchodził do niej, musiał przejść rutynową kontrolę osobistą połączoną z obowiązkiem rozebrania się - dokładną inspekcję ciała i odzieży, w trakcie której musiał rozebrać się do naga i zrobić głęboki przysiad w celu sprawdzenia odbytu (patrz ustęp 22 powyżej). Skarżący zaznaczył, że kontrole osobiste połączone z obowiązkiem rozebrania się miały miejsce na korytarzu, na zewnątrz celi, gdzie każdy więzień mógł go zobaczyć. Co więcej, jego cela, w tym znajdujące się w niej sanitariaty, podlegały ciągłemu monitoringowi za pośrednictwem sieci kamer przemysłowych.</w:t>
      </w:r>
    </w:p>
    <w:p w14:paraId="221CC087" w14:textId="77777777" w:rsidR="00B94FFB" w:rsidRPr="00847181" w:rsidRDefault="00F80416" w:rsidP="00B94FFB">
      <w:pPr>
        <w:pStyle w:val="ECHRPara"/>
      </w:pPr>
      <w:r w:rsidRPr="00847181">
        <w:t xml:space="preserve">Rząd nie zaskarżył tych informacji. Podkreślił natomiast, że skarżący miał dostęp do różnych miejsc w więzieniu, w tym do biblioteki i pokoju rozrywek. Co więcej, wskazał, że skarżący miał prawo do odbywania wizyt rodzinnych, ale nie określił kiedy takie wizyty miały miejsce w przedmiotowym okresie (patrz ustęp </w:t>
      </w:r>
      <w:r w:rsidR="00BC26C3" w:rsidRPr="00847181">
        <w:fldChar w:fldCharType="begin"/>
      </w:r>
      <w:r w:rsidR="00BC26C3" w:rsidRPr="00847181">
        <w:instrText xml:space="preserve"> REF govconditions \h </w:instrText>
      </w:r>
      <w:r w:rsidR="00BC26C3" w:rsidRPr="00847181">
        <w:fldChar w:fldCharType="separate"/>
      </w:r>
      <w:r w:rsidR="00B94FFB" w:rsidRPr="00847181">
        <w:rPr>
          <w:noProof/>
        </w:rPr>
        <w:t>26</w:t>
      </w:r>
      <w:r w:rsidR="00BC26C3" w:rsidRPr="00847181">
        <w:fldChar w:fldCharType="end"/>
      </w:r>
      <w:r w:rsidRPr="00847181">
        <w:t xml:space="preserve"> powyżej).</w:t>
      </w:r>
    </w:p>
    <w:p w14:paraId="4412B304" w14:textId="77777777" w:rsidR="00F14E21" w:rsidRPr="00847181" w:rsidRDefault="000D39FA" w:rsidP="00B94FFB">
      <w:pPr>
        <w:pStyle w:val="ECHRPara"/>
      </w:pPr>
      <w:r w:rsidRPr="00847181">
        <w:fldChar w:fldCharType="begin"/>
      </w:r>
      <w:r w:rsidRPr="00847181">
        <w:instrText xml:space="preserve"> SEQ level0 \*arabic </w:instrText>
      </w:r>
      <w:r w:rsidRPr="00847181">
        <w:fldChar w:fldCharType="separate"/>
      </w:r>
      <w:r w:rsidR="00B94FFB" w:rsidRPr="00847181">
        <w:rPr>
          <w:noProof/>
        </w:rPr>
        <w:t>30</w:t>
      </w:r>
      <w:r w:rsidRPr="00847181">
        <w:rPr>
          <w:noProof/>
        </w:rPr>
        <w:fldChar w:fldCharType="end"/>
      </w:r>
      <w:r w:rsidR="006949BF" w:rsidRPr="00847181">
        <w:t>.  Strony nie doszły do porozumienia co do tego, czy negatywne konsekwencje zastosowania powyższych środków wobec skarżącego osiągnęły minimalny poziom surowości, wymagany dla naruszenia art. 3 Konwencji.</w:t>
      </w:r>
    </w:p>
    <w:p w14:paraId="1C6A6E3B" w14:textId="77777777" w:rsidR="00B94FFB" w:rsidRPr="00847181" w:rsidRDefault="000D39FA" w:rsidP="00B94FFB">
      <w:pPr>
        <w:pStyle w:val="ECHRPara"/>
      </w:pPr>
      <w:r w:rsidRPr="00847181">
        <w:fldChar w:fldCharType="begin"/>
      </w:r>
      <w:r w:rsidRPr="00847181">
        <w:instrText xml:space="preserve"> SEQ level0 \*arabic </w:instrText>
      </w:r>
      <w:r w:rsidRPr="00847181">
        <w:fldChar w:fldCharType="separate"/>
      </w:r>
      <w:r w:rsidR="00B94FFB" w:rsidRPr="00847181">
        <w:rPr>
          <w:noProof/>
        </w:rPr>
        <w:t>31</w:t>
      </w:r>
      <w:r w:rsidRPr="00847181">
        <w:rPr>
          <w:noProof/>
        </w:rPr>
        <w:fldChar w:fldCharType="end"/>
      </w:r>
      <w:r w:rsidR="006949BF" w:rsidRPr="00847181">
        <w:t xml:space="preserve">.  Trybunał spieszy zauważyć, że fakty w przedmiotowej sprawie różnią się od tych w sprawach </w:t>
      </w:r>
      <w:r w:rsidR="006949BF" w:rsidRPr="00847181">
        <w:rPr>
          <w:i/>
        </w:rPr>
        <w:t xml:space="preserve">Piechowicza </w:t>
      </w:r>
      <w:r w:rsidR="006949BF" w:rsidRPr="00847181">
        <w:t xml:space="preserve">i </w:t>
      </w:r>
      <w:r w:rsidR="006949BF" w:rsidRPr="00847181">
        <w:rPr>
          <w:i/>
        </w:rPr>
        <w:t>Horycha</w:t>
      </w:r>
      <w:r w:rsidR="006949BF" w:rsidRPr="00847181">
        <w:t xml:space="preserve">, gdzie reżim niebezpiecznego osadzonego zastosowano w oparciu o art. 212a § 3 Kodeksu karnego wykonawczego, który określa konkretne zasady stosowania specjalnego reżimu w sprawach, w których osadzonemu przedstawiono poważne zarzuty (patrz </w:t>
      </w:r>
      <w:r w:rsidR="006949BF" w:rsidRPr="00847181">
        <w:rPr>
          <w:i/>
        </w:rPr>
        <w:t>Piechowicz</w:t>
      </w:r>
      <w:r w:rsidR="006949BF" w:rsidRPr="00847181">
        <w:t>, cyt. wyżej, §§ 105 i 177).</w:t>
      </w:r>
    </w:p>
    <w:p w14:paraId="3A1395BD" w14:textId="77777777" w:rsidR="00B94FFB" w:rsidRPr="00847181" w:rsidRDefault="000D39FA" w:rsidP="00B94FFB">
      <w:pPr>
        <w:pStyle w:val="ECHRPara"/>
      </w:pPr>
      <w:r w:rsidRPr="00847181">
        <w:fldChar w:fldCharType="begin"/>
      </w:r>
      <w:r w:rsidRPr="00847181">
        <w:instrText xml:space="preserve"> SEQ level0 \*arabic </w:instrText>
      </w:r>
      <w:r w:rsidRPr="00847181">
        <w:fldChar w:fldCharType="separate"/>
      </w:r>
      <w:r w:rsidR="00B94FFB" w:rsidRPr="00847181">
        <w:rPr>
          <w:noProof/>
        </w:rPr>
        <w:t>32</w:t>
      </w:r>
      <w:r w:rsidRPr="00847181">
        <w:rPr>
          <w:noProof/>
        </w:rPr>
        <w:fldChar w:fldCharType="end"/>
      </w:r>
      <w:r w:rsidR="001331BA" w:rsidRPr="00847181">
        <w:t xml:space="preserve">.  W przedmiotowej sprawie władze uzasadniły swoje postanowienie z dnia 5 listopada 2010 r., o zastosowaniu reżimu niebezpiecznego osadzonego wobec skarżącego, na podstawie domniemanego uczestnictwa skarżącego w akcji protestacyjnej w zakładzie karnym. Podstawą prawną dla zastosowania reżimu był art. 88a § 2 (2a) Kodeksu postępowania karnego (patrz ustępy 7 i 16 powyżej). Skarżący wyjaśnił, że osadzeni, wraz z nim, odmówili spożycia śniadania. Zaprzeczył domniemanej organizacji zamieszek w zakładzie karnym. Skarżący nie jest skazany za brutalne przestępstwo lub za przestępstwo popełnione w zorganizowanej grupie (przeciwnie do sprawy </w:t>
      </w:r>
      <w:r w:rsidR="001331BA" w:rsidRPr="00847181">
        <w:rPr>
          <w:i/>
        </w:rPr>
        <w:t>Horycha</w:t>
      </w:r>
      <w:r w:rsidR="001331BA" w:rsidRPr="00847181">
        <w:t>, cyt. wyżej, § 94). Nie otrzymał również kary dyscyplinarnej, ani nie jest oskarżony przez prokuraturę.</w:t>
      </w:r>
    </w:p>
    <w:p w14:paraId="1C64585E" w14:textId="77777777" w:rsidR="00CD4E60" w:rsidRPr="00847181" w:rsidRDefault="001331BA" w:rsidP="00B94FFB">
      <w:pPr>
        <w:pStyle w:val="ECHRPara"/>
      </w:pPr>
      <w:r w:rsidRPr="00847181">
        <w:t>W świetle takich okoliczności, Trybunał uznaje, że zastosowanie przez władze reżimu osadzonego niebezpiecznego wobec skarżącego, i wykorzystanie wszystkich dostępnych w związku z nim środków w celu zachowania bezpieczeństwa w zakładzie karnym, nie było właściwe.</w:t>
      </w:r>
    </w:p>
    <w:p w14:paraId="509EC66B" w14:textId="77777777" w:rsidR="00F14E21" w:rsidRPr="00847181" w:rsidRDefault="000D39FA" w:rsidP="00B94FFB">
      <w:pPr>
        <w:pStyle w:val="ECHRPara"/>
      </w:pPr>
      <w:r w:rsidRPr="00847181">
        <w:fldChar w:fldCharType="begin"/>
      </w:r>
      <w:r w:rsidRPr="00847181">
        <w:instrText xml:space="preserve"> SEQ level0 \*arabic </w:instrText>
      </w:r>
      <w:r w:rsidRPr="00847181">
        <w:fldChar w:fldCharType="separate"/>
      </w:r>
      <w:r w:rsidR="00B94FFB" w:rsidRPr="00847181">
        <w:rPr>
          <w:noProof/>
        </w:rPr>
        <w:t>33</w:t>
      </w:r>
      <w:r w:rsidRPr="00847181">
        <w:rPr>
          <w:noProof/>
        </w:rPr>
        <w:fldChar w:fldCharType="end"/>
      </w:r>
      <w:r w:rsidR="00F14E21" w:rsidRPr="00847181">
        <w:t xml:space="preserve">.  Trybunał spieszy zauważyć, że reżim niebezpiecznego osadzonego zastosowano w stosunku do skarżącego na okres pięciu miesięcy i dwudziestu trzech dni.  Wydaje się, że w okresie, w którym skarżący </w:t>
      </w:r>
      <w:r w:rsidR="00F14E21" w:rsidRPr="00847181">
        <w:lastRenderedPageBreak/>
        <w:t>znajdował się w pojedynczej celi w specjalnym oddziale zamkniętym odseparowanym od pozostałej części więzienia, nie był w całkowitej izolacji sensorycznej i społecznej. Rząd podkreślił, że skarżący miał prawo odwiedzać bibliotekę oraz inne obiekty na terenie więzienia, a także przyjmować wizyty rodzinne. Nie ma dowodów potwierdzających, że wobec skarżącego stosowano stymulację psychiczną i fizyczną, za wyjątkiem codziennego, samotnego spaceru w wyznaczonym obszarze.</w:t>
      </w:r>
    </w:p>
    <w:p w14:paraId="762EE084" w14:textId="77777777" w:rsidR="00B94FFB" w:rsidRPr="00847181" w:rsidRDefault="000D39FA" w:rsidP="00B94FFB">
      <w:pPr>
        <w:pStyle w:val="ECHRPara"/>
      </w:pPr>
      <w:r w:rsidRPr="00847181">
        <w:fldChar w:fldCharType="begin"/>
      </w:r>
      <w:r w:rsidRPr="00847181">
        <w:instrText xml:space="preserve"> SEQ level0 \*arabic </w:instrText>
      </w:r>
      <w:r w:rsidRPr="00847181">
        <w:fldChar w:fldCharType="separate"/>
      </w:r>
      <w:r w:rsidR="00B94FFB" w:rsidRPr="00847181">
        <w:rPr>
          <w:noProof/>
        </w:rPr>
        <w:t>34</w:t>
      </w:r>
      <w:r w:rsidRPr="00847181">
        <w:rPr>
          <w:noProof/>
        </w:rPr>
        <w:fldChar w:fldCharType="end"/>
      </w:r>
      <w:r w:rsidR="00F14E21" w:rsidRPr="00847181">
        <w:t xml:space="preserve">.  W sprawie </w:t>
      </w:r>
      <w:r w:rsidR="00F14E21" w:rsidRPr="00847181">
        <w:rPr>
          <w:i/>
        </w:rPr>
        <w:t>Piechowicza</w:t>
      </w:r>
      <w:r w:rsidR="00F14E21" w:rsidRPr="00847181">
        <w:t xml:space="preserve"> Trybunał nie uznał za konieczne stosowania wszystkich, które władze miały do dyspozycji w zakresie reżimu osadzonego niebezpiecznego, w celu zachowania bezpieczeństwa w zakładzie karnym, stwierdzając, że ich zastosowanie było sprzeczne z art. 3 Konwencji (patrz </w:t>
      </w:r>
      <w:r w:rsidR="00F14E21" w:rsidRPr="00847181">
        <w:rPr>
          <w:i/>
        </w:rPr>
        <w:t>Piechowicz</w:t>
      </w:r>
      <w:r w:rsidR="00F14E21" w:rsidRPr="00847181">
        <w:t xml:space="preserve">, cyt. wyżej, § 170). Co więcej, w przedmiotowej sprawie Trybunał nie jest przekonany co do konieczności każdorazowych inspekcji skarżącego (patrz </w:t>
      </w:r>
      <w:r w:rsidR="00F14E21" w:rsidRPr="00847181">
        <w:rPr>
          <w:i/>
        </w:rPr>
        <w:t>Piechowicz</w:t>
      </w:r>
      <w:r w:rsidR="00F14E21" w:rsidRPr="00847181">
        <w:t>, cyt. wyżej, § 174).</w:t>
      </w:r>
    </w:p>
    <w:p w14:paraId="7F682C7F" w14:textId="77777777" w:rsidR="001331BA" w:rsidRPr="00847181" w:rsidRDefault="000D39FA" w:rsidP="00B94FFB">
      <w:pPr>
        <w:pStyle w:val="ECHRPara"/>
      </w:pPr>
      <w:r w:rsidRPr="00847181">
        <w:fldChar w:fldCharType="begin"/>
      </w:r>
      <w:r w:rsidRPr="00847181">
        <w:instrText xml:space="preserve"> SEQ level0 \*arabic </w:instrText>
      </w:r>
      <w:r w:rsidRPr="00847181">
        <w:fldChar w:fldCharType="separate"/>
      </w:r>
      <w:r w:rsidR="00B94FFB" w:rsidRPr="00847181">
        <w:rPr>
          <w:noProof/>
        </w:rPr>
        <w:t>35</w:t>
      </w:r>
      <w:r w:rsidRPr="00847181">
        <w:rPr>
          <w:noProof/>
        </w:rPr>
        <w:fldChar w:fldCharType="end"/>
      </w:r>
      <w:r w:rsidR="00933F74" w:rsidRPr="00847181">
        <w:t>.  Trybunał ma jeszcze większe wątpliwości co do pełnej kontroli osobistej, której skarżący był poddawany każdego dnia, nawet kilkukrotnie, przy wchodzeniu do celi i jej opuszczaniu. Kontrole osobiste połączone z obowiązkiem rozebrania się nie wynikały z żadnych konkretnych potrzeb bezpieczeństwa, nie był również związane z podejrzeniami wynikającymi z zachowania skarżącego.</w:t>
      </w:r>
    </w:p>
    <w:p w14:paraId="5A8010C7" w14:textId="77777777" w:rsidR="00CD4E60" w:rsidRPr="00847181" w:rsidRDefault="001331BA" w:rsidP="00B94FFB">
      <w:pPr>
        <w:pStyle w:val="ECHRPara"/>
      </w:pPr>
      <w:r w:rsidRPr="00847181">
        <w:t xml:space="preserve">Trybunał zaznaczył już w sprawie </w:t>
      </w:r>
      <w:r w:rsidRPr="00847181">
        <w:rPr>
          <w:i/>
        </w:rPr>
        <w:t>Piechowicza</w:t>
      </w:r>
      <w:r w:rsidRPr="00847181">
        <w:t xml:space="preserve">, że o ile kontrole osobiste z obowiązkiem rozebrania się mogą być konieczne do zachowania bezpieczeństwa w zakładzie karnym lub ochrony porządku, to argumentacja Rządu, że systematyczne, uciążliwe i wyjątkowo krępujące inspekcje, stosowane codziennie, lub kilka razy dziennie, wobec skarżącego, są niezbędne dla zachowania bezpieczeństwa w zakładzie karnym, nie jest przekonująca (patrz </w:t>
      </w:r>
      <w:r w:rsidRPr="00847181">
        <w:rPr>
          <w:i/>
        </w:rPr>
        <w:t>Piechowicz</w:t>
      </w:r>
      <w:r w:rsidRPr="00847181">
        <w:t>, cyt. wyżej, § 176).</w:t>
      </w:r>
    </w:p>
    <w:p w14:paraId="7E1079E1" w14:textId="77777777" w:rsidR="00F14E21" w:rsidRPr="00847181" w:rsidRDefault="000D39FA" w:rsidP="00B94FFB">
      <w:pPr>
        <w:pStyle w:val="ECHRPara"/>
      </w:pPr>
      <w:r w:rsidRPr="00847181">
        <w:fldChar w:fldCharType="begin"/>
      </w:r>
      <w:r w:rsidRPr="00847181">
        <w:instrText xml:space="preserve"> SEQ level0 \*arabic </w:instrText>
      </w:r>
      <w:r w:rsidRPr="00847181">
        <w:fldChar w:fldCharType="separate"/>
      </w:r>
      <w:r w:rsidR="00B94FFB" w:rsidRPr="00847181">
        <w:rPr>
          <w:noProof/>
        </w:rPr>
        <w:t>36</w:t>
      </w:r>
      <w:r w:rsidRPr="00847181">
        <w:rPr>
          <w:noProof/>
        </w:rPr>
        <w:fldChar w:fldCharType="end"/>
      </w:r>
      <w:r w:rsidR="001331BA" w:rsidRPr="00847181">
        <w:t xml:space="preserve">.  Biorąc pod uwagę fakt, że wobec skarżącego zastosowano już kilka innych surowych środków nadzoru, a władze nie opierały się na konkretnych czy przekonujących wymaganiach bezpieczeństwa, Trybunał uznaje, że praktyka codziennych kontroli osobistych z obowiązkiem rozebrania się do naga, stosowana wobec skarżącego przez niemal sześć miesięcy, wywołała w nim uczucie poniżenia, cierpienia i przygnębienia, które bezpośrednio łączyło się z nieuniknionym cierpieniem i upokorzeniem w trakcie odbywania kary więzienia (patrz </w:t>
      </w:r>
      <w:r w:rsidR="001331BA" w:rsidRPr="00847181">
        <w:rPr>
          <w:i/>
        </w:rPr>
        <w:t>Horych</w:t>
      </w:r>
      <w:r w:rsidR="001331BA" w:rsidRPr="00847181">
        <w:t xml:space="preserve">, cyt. wyżej, § 101, i </w:t>
      </w:r>
      <w:r w:rsidR="001331BA" w:rsidRPr="00847181">
        <w:rPr>
          <w:i/>
        </w:rPr>
        <w:t>Piechowicz</w:t>
      </w:r>
      <w:r w:rsidR="001331BA" w:rsidRPr="00847181">
        <w:t>, cyt. wyżej, §§ 175 i 176).</w:t>
      </w:r>
    </w:p>
    <w:p w14:paraId="5920B9E7" w14:textId="35FCC300" w:rsidR="00B94FFB" w:rsidRPr="00847181" w:rsidRDefault="000D39FA" w:rsidP="00B94FFB">
      <w:pPr>
        <w:pStyle w:val="ECHRPara"/>
      </w:pPr>
      <w:r w:rsidRPr="00847181">
        <w:fldChar w:fldCharType="begin"/>
      </w:r>
      <w:r w:rsidRPr="00847181">
        <w:instrText xml:space="preserve"> SEQ level0 \*arabic </w:instrText>
      </w:r>
      <w:r w:rsidRPr="00847181">
        <w:fldChar w:fldCharType="separate"/>
      </w:r>
      <w:r w:rsidR="00B94FFB" w:rsidRPr="00847181">
        <w:rPr>
          <w:noProof/>
        </w:rPr>
        <w:t>37</w:t>
      </w:r>
      <w:r w:rsidRPr="00847181">
        <w:rPr>
          <w:noProof/>
        </w:rPr>
        <w:fldChar w:fldCharType="end"/>
      </w:r>
      <w:r w:rsidR="00F14E21" w:rsidRPr="00847181">
        <w:t xml:space="preserve">.  Na koniec, Trybunał pragnie zaznaczyć, że podejmując decyzję o przedłużeniu reżimu z dnia 3 lutego 2011 r., komisja nie przedstawiła innego uzasadnienia niż to przedstawione trzy miesiące wcześniej. Brak nowego uzasadnienia dla przedłużenia reżimu spotkał się z krytyką Sądu Rejonowego w Szczecinie, który unieważnił decyzję w dniu 6 grudnia 2011 r., i zalecił komisji ponowne rozpatrzenie sprawy (patrz paragraf 14 powyżej). Trybunał zauważył już, że władze, przedłużając reżim, nie miały obowiązku wzięcia pod uwagę zmiany sytuacji osobistej skarżącego, w </w:t>
      </w:r>
      <w:r w:rsidR="00F14E21" w:rsidRPr="00847181">
        <w:lastRenderedPageBreak/>
        <w:t xml:space="preserve">szczególności wpływu ciągłego stosowania zaskarżonych środków (patrz </w:t>
      </w:r>
      <w:r w:rsidR="00F14E21" w:rsidRPr="00847181">
        <w:rPr>
          <w:i/>
        </w:rPr>
        <w:t>Piechowicz</w:t>
      </w:r>
      <w:r w:rsidR="00F14E21" w:rsidRPr="00847181">
        <w:t>, cyt. wyżej, § 177).</w:t>
      </w:r>
    </w:p>
    <w:p w14:paraId="46044756" w14:textId="72D25FD5" w:rsidR="006623AF" w:rsidRPr="00847181" w:rsidRDefault="00E060AA" w:rsidP="00B94FFB">
      <w:pPr>
        <w:pStyle w:val="ECHRPara"/>
      </w:pPr>
      <w:r w:rsidRPr="00847181">
        <w:t>Trybuna</w:t>
      </w:r>
      <w:r w:rsidR="00FD1E34" w:rsidRPr="00847181">
        <w:t>ł</w:t>
      </w:r>
      <w:r w:rsidRPr="00847181">
        <w:t xml:space="preserve"> wskazuje również, że w przedmiotowej sprawie władz</w:t>
      </w:r>
      <w:r w:rsidR="004F531D" w:rsidRPr="00847181">
        <w:t>e nie uza</w:t>
      </w:r>
      <w:r w:rsidR="007523C1" w:rsidRPr="00847181">
        <w:t>sadniły należycie przedłużenia stosowanie reżimu,</w:t>
      </w:r>
      <w:r w:rsidRPr="00847181">
        <w:t xml:space="preserve"> a procedura</w:t>
      </w:r>
      <w:r w:rsidR="002A4446" w:rsidRPr="00847181">
        <w:t xml:space="preserve"> weryfikacji statusu</w:t>
      </w:r>
      <w:r w:rsidR="006623AF" w:rsidRPr="00847181">
        <w:t xml:space="preserve"> skarżącego jako </w:t>
      </w:r>
      <w:r w:rsidR="00EC36BF" w:rsidRPr="00847181">
        <w:t>„osadzonego</w:t>
      </w:r>
      <w:r w:rsidR="006623AF" w:rsidRPr="00847181">
        <w:t xml:space="preserve"> niebezpiecznego</w:t>
      </w:r>
      <w:r w:rsidR="00EC36BF" w:rsidRPr="00847181">
        <w:t>”</w:t>
      </w:r>
      <w:r w:rsidR="006623AF" w:rsidRPr="00847181">
        <w:t xml:space="preserve"> była jedynie formalna i sprowadzała się do </w:t>
      </w:r>
      <w:r w:rsidR="00EC36BF" w:rsidRPr="00847181">
        <w:t>powtórzenia tych samych argumentów.</w:t>
      </w:r>
    </w:p>
    <w:p w14:paraId="328ED22F" w14:textId="5FD3AF9A" w:rsidR="00B94FFB" w:rsidRPr="00847181" w:rsidRDefault="000D39FA" w:rsidP="00B94FFB">
      <w:pPr>
        <w:pStyle w:val="ECHRPara"/>
      </w:pPr>
      <w:r w:rsidRPr="00847181">
        <w:fldChar w:fldCharType="begin"/>
      </w:r>
      <w:r w:rsidRPr="00847181">
        <w:instrText xml:space="preserve"> SEQ level0 \*arabic </w:instrText>
      </w:r>
      <w:r w:rsidRPr="00847181">
        <w:fldChar w:fldCharType="separate"/>
      </w:r>
      <w:r w:rsidR="00B94FFB" w:rsidRPr="00847181">
        <w:rPr>
          <w:noProof/>
        </w:rPr>
        <w:t>38</w:t>
      </w:r>
      <w:r w:rsidRPr="00847181">
        <w:rPr>
          <w:noProof/>
        </w:rPr>
        <w:fldChar w:fldCharType="end"/>
      </w:r>
      <w:r w:rsidR="00E060AA" w:rsidRPr="00847181">
        <w:t xml:space="preserve">.  Podsumowując, biorąc pod uwagę </w:t>
      </w:r>
      <w:r w:rsidR="003A7135" w:rsidRPr="00847181">
        <w:t>łączny</w:t>
      </w:r>
      <w:r w:rsidR="00E060AA" w:rsidRPr="00847181">
        <w:t xml:space="preserve"> wpływ </w:t>
      </w:r>
      <w:r w:rsidR="003A7135" w:rsidRPr="00847181">
        <w:t xml:space="preserve">zastosowania </w:t>
      </w:r>
      <w:r w:rsidR="00E060AA" w:rsidRPr="00847181">
        <w:t xml:space="preserve">reżimu </w:t>
      </w:r>
      <w:r w:rsidR="003A7135" w:rsidRPr="00847181">
        <w:t>„</w:t>
      </w:r>
      <w:r w:rsidR="00E060AA" w:rsidRPr="00847181">
        <w:t>osadzonego niebezpiecznego</w:t>
      </w:r>
      <w:r w:rsidR="003A7135" w:rsidRPr="00847181">
        <w:t>”</w:t>
      </w:r>
      <w:r w:rsidR="00E060AA" w:rsidRPr="00847181">
        <w:t xml:space="preserve"> na skarżącego, Sąd uznaje, że władze nie przedstawiły wystarczających i właściwych powodów, które tłumaczyłyby surowość podjętych środków w zakresie przedmiotowej sprawy. W szczególności, władze nie zdołały dowieść, że zaskarżone środki były w całości konieczne dla osiągnięcia prawnie uzasadnionego celu związanego z zapewnieniem bezpieczeństwa w zakładzie karnym.</w:t>
      </w:r>
    </w:p>
    <w:p w14:paraId="2C221763" w14:textId="77777777" w:rsidR="00E060AA" w:rsidRPr="00847181" w:rsidRDefault="000D39FA" w:rsidP="00B94FFB">
      <w:pPr>
        <w:pStyle w:val="ECHRPara"/>
      </w:pPr>
      <w:r w:rsidRPr="00847181">
        <w:fldChar w:fldCharType="begin"/>
      </w:r>
      <w:r w:rsidRPr="00847181">
        <w:instrText xml:space="preserve"> SEQ level</w:instrText>
      </w:r>
      <w:r w:rsidRPr="00847181">
        <w:instrText xml:space="preserve">0 \*arabic </w:instrText>
      </w:r>
      <w:r w:rsidRPr="00847181">
        <w:fldChar w:fldCharType="separate"/>
      </w:r>
      <w:r w:rsidR="00B94FFB" w:rsidRPr="00847181">
        <w:rPr>
          <w:noProof/>
        </w:rPr>
        <w:t>39</w:t>
      </w:r>
      <w:r w:rsidRPr="00847181">
        <w:rPr>
          <w:noProof/>
        </w:rPr>
        <w:fldChar w:fldCharType="end"/>
      </w:r>
      <w:r w:rsidR="00E060AA" w:rsidRPr="00847181">
        <w:t>.  W związku z tym nastąpiło naruszenie art. 3 Konwencji.</w:t>
      </w:r>
    </w:p>
    <w:p w14:paraId="32E8014A" w14:textId="2EFB3EA0" w:rsidR="00014566" w:rsidRPr="00847181" w:rsidRDefault="006949BF" w:rsidP="00B94FFB">
      <w:pPr>
        <w:pStyle w:val="ECHRHeading1"/>
      </w:pPr>
      <w:r w:rsidRPr="00847181">
        <w:t>II.  INNE ZARZUTY DOTYCZĄCE NARUSZENIA KONWENCJI</w:t>
      </w:r>
    </w:p>
    <w:p w14:paraId="098642F0" w14:textId="5AC3C884" w:rsidR="00FE0A4D" w:rsidRPr="00847181" w:rsidRDefault="000D39FA" w:rsidP="00B94FFB">
      <w:pPr>
        <w:pStyle w:val="ECHRPara"/>
      </w:pPr>
      <w:r w:rsidRPr="00847181">
        <w:fldChar w:fldCharType="begin"/>
      </w:r>
      <w:r w:rsidRPr="00847181">
        <w:instrText xml:space="preserve"> SEQ level0 \*arabic </w:instrText>
      </w:r>
      <w:r w:rsidRPr="00847181">
        <w:fldChar w:fldCharType="separate"/>
      </w:r>
      <w:r w:rsidR="00B94FFB" w:rsidRPr="00847181">
        <w:rPr>
          <w:noProof/>
        </w:rPr>
        <w:t>40</w:t>
      </w:r>
      <w:r w:rsidRPr="00847181">
        <w:rPr>
          <w:noProof/>
        </w:rPr>
        <w:fldChar w:fldCharType="end"/>
      </w:r>
      <w:r w:rsidR="004826D5" w:rsidRPr="00847181">
        <w:t>.  Skarżący podniósł naruszenie art. 6 i 13 Konwencji. Skarżył się na sposób, w który komisja penitencjarna zastosowała</w:t>
      </w:r>
      <w:r w:rsidR="00003051" w:rsidRPr="00847181">
        <w:t xml:space="preserve"> i przedłużyła</w:t>
      </w:r>
      <w:r w:rsidR="004826D5" w:rsidRPr="00847181">
        <w:t xml:space="preserve"> reżim, a także na domniemaną bezskuteczność jego odwołań od postanowień komisji.</w:t>
      </w:r>
    </w:p>
    <w:p w14:paraId="7EC29680" w14:textId="77777777" w:rsidR="00014566" w:rsidRPr="00847181" w:rsidRDefault="000D39FA" w:rsidP="00B94FFB">
      <w:pPr>
        <w:pStyle w:val="ECHRPara"/>
      </w:pPr>
      <w:r w:rsidRPr="00847181">
        <w:fldChar w:fldCharType="begin"/>
      </w:r>
      <w:r w:rsidRPr="00847181">
        <w:instrText xml:space="preserve"> SEQ level0 \*arabic </w:instrText>
      </w:r>
      <w:r w:rsidRPr="00847181">
        <w:fldChar w:fldCharType="separate"/>
      </w:r>
      <w:r w:rsidR="00B94FFB" w:rsidRPr="00847181">
        <w:rPr>
          <w:noProof/>
        </w:rPr>
        <w:t>41</w:t>
      </w:r>
      <w:r w:rsidRPr="00847181">
        <w:rPr>
          <w:noProof/>
        </w:rPr>
        <w:fldChar w:fldCharType="end"/>
      </w:r>
      <w:r w:rsidR="004826D5" w:rsidRPr="00847181">
        <w:t>.  Rząd zaskarżył podniesione domniemanie.</w:t>
      </w:r>
    </w:p>
    <w:p w14:paraId="0A1497E0" w14:textId="77777777" w:rsidR="00014566" w:rsidRPr="00847181" w:rsidRDefault="000D39FA" w:rsidP="00B94FFB">
      <w:pPr>
        <w:pStyle w:val="ECHRPara"/>
      </w:pPr>
      <w:r w:rsidRPr="00847181">
        <w:fldChar w:fldCharType="begin"/>
      </w:r>
      <w:r w:rsidRPr="00847181">
        <w:instrText xml:space="preserve"> SEQ level0 \*arabic </w:instrText>
      </w:r>
      <w:r w:rsidRPr="00847181">
        <w:fldChar w:fldCharType="separate"/>
      </w:r>
      <w:r w:rsidR="00B94FFB" w:rsidRPr="00847181">
        <w:rPr>
          <w:noProof/>
        </w:rPr>
        <w:t>42</w:t>
      </w:r>
      <w:r w:rsidRPr="00847181">
        <w:rPr>
          <w:noProof/>
        </w:rPr>
        <w:fldChar w:fldCharType="end"/>
      </w:r>
      <w:r w:rsidR="004826D5" w:rsidRPr="00847181">
        <w:t>.  Trybunał zaznacza, że wspomniana skarga łączy się ze skargą analizowaną wyżej, w związku z czym należy uznać jej dopuszczalność.</w:t>
      </w:r>
    </w:p>
    <w:p w14:paraId="53132B17" w14:textId="7AA37675" w:rsidR="00C81BF9" w:rsidRPr="00847181" w:rsidRDefault="000D39FA" w:rsidP="00B94FFB">
      <w:pPr>
        <w:pStyle w:val="ECHRPara"/>
      </w:pPr>
      <w:r w:rsidRPr="00847181">
        <w:fldChar w:fldCharType="begin"/>
      </w:r>
      <w:r w:rsidRPr="00847181">
        <w:instrText xml:space="preserve"> SEQ level0 \*arabic </w:instrText>
      </w:r>
      <w:r w:rsidRPr="00847181">
        <w:fldChar w:fldCharType="separate"/>
      </w:r>
      <w:r w:rsidR="00B94FFB" w:rsidRPr="00847181">
        <w:rPr>
          <w:noProof/>
        </w:rPr>
        <w:t>43</w:t>
      </w:r>
      <w:r w:rsidRPr="00847181">
        <w:rPr>
          <w:noProof/>
        </w:rPr>
        <w:fldChar w:fldCharType="end"/>
      </w:r>
      <w:r w:rsidR="004826D5" w:rsidRPr="00847181">
        <w:t xml:space="preserve">.  Trybunał uznaje, że skarga złożona przez skarżącego, odnosząca się do art. 3 Konwencji, odnosi się nie tylko do przedłużającego się stosowania reżimu </w:t>
      </w:r>
      <w:r w:rsidR="00CE4D99" w:rsidRPr="00847181">
        <w:t>„</w:t>
      </w:r>
      <w:r w:rsidR="004826D5" w:rsidRPr="00847181">
        <w:t>osadzonego niebezpiecznego</w:t>
      </w:r>
      <w:r w:rsidR="00CE4D99" w:rsidRPr="00847181">
        <w:t>”</w:t>
      </w:r>
      <w:r w:rsidR="004826D5" w:rsidRPr="00847181">
        <w:t xml:space="preserve">, ale również samej procedury </w:t>
      </w:r>
      <w:r w:rsidR="00B66679" w:rsidRPr="00847181">
        <w:t>oceny zasadności</w:t>
      </w:r>
      <w:r w:rsidR="004826D5" w:rsidRPr="00847181">
        <w:t xml:space="preserve"> tego statusu (patrz ustęp 37 powyżej). Kwestie te poddano analizie, która wykazała, że nastąpiło naruszenie wspomnianego przepisu (patrz ustęp 38 powyżej). W takich okolicznościach, Trybunał uznaje, że nie nastąpiło naruszenie art. 6 i 13 Konwencji, w związku z czym nie identyfikuje oddzielnego przedmiotu postępowania.</w:t>
      </w:r>
    </w:p>
    <w:p w14:paraId="2168EC78" w14:textId="77777777" w:rsidR="00014566" w:rsidRPr="00847181" w:rsidRDefault="006949BF" w:rsidP="00B94FFB">
      <w:pPr>
        <w:pStyle w:val="ECHRHeading1"/>
      </w:pPr>
      <w:r w:rsidRPr="00847181">
        <w:t>III.  ZASTOSOWANIE ARTYKUŁU 41 KONWENCJI</w:t>
      </w:r>
    </w:p>
    <w:p w14:paraId="51448CA3" w14:textId="77777777" w:rsidR="00014566" w:rsidRPr="00847181" w:rsidRDefault="000D39FA" w:rsidP="00B94FFB">
      <w:pPr>
        <w:pStyle w:val="ECHRPara"/>
      </w:pPr>
      <w:r w:rsidRPr="00847181">
        <w:fldChar w:fldCharType="begin"/>
      </w:r>
      <w:r w:rsidRPr="00847181">
        <w:instrText xml:space="preserve"> SEQ level0 \*arabic </w:instrText>
      </w:r>
      <w:r w:rsidRPr="00847181">
        <w:fldChar w:fldCharType="separate"/>
      </w:r>
      <w:r w:rsidR="00B94FFB" w:rsidRPr="00847181">
        <w:rPr>
          <w:noProof/>
        </w:rPr>
        <w:t>44</w:t>
      </w:r>
      <w:r w:rsidRPr="00847181">
        <w:rPr>
          <w:noProof/>
        </w:rPr>
        <w:fldChar w:fldCharType="end"/>
      </w:r>
      <w:r w:rsidR="004826D5" w:rsidRPr="00847181">
        <w:t>.  Artykuł 41 Konwencji stanowi:</w:t>
      </w:r>
    </w:p>
    <w:p w14:paraId="4DD42946" w14:textId="77777777" w:rsidR="00014566" w:rsidRPr="00847181" w:rsidRDefault="00014566" w:rsidP="00B94FFB">
      <w:pPr>
        <w:pStyle w:val="ECHRParaQuote"/>
        <w:keepNext/>
        <w:keepLines/>
      </w:pPr>
      <w:r w:rsidRPr="00847181">
        <w:lastRenderedPageBreak/>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5F403706" w14:textId="77777777" w:rsidR="00014566" w:rsidRPr="00847181" w:rsidRDefault="00014566" w:rsidP="00B94FFB">
      <w:pPr>
        <w:pStyle w:val="ECHRHeading2"/>
      </w:pPr>
      <w:r w:rsidRPr="00847181">
        <w:t>A. Szkoda</w:t>
      </w:r>
    </w:p>
    <w:p w14:paraId="3D8BBDCB" w14:textId="77777777" w:rsidR="00014566" w:rsidRPr="00847181" w:rsidRDefault="000D39FA" w:rsidP="00B94FFB">
      <w:pPr>
        <w:pStyle w:val="ECHRPara"/>
      </w:pPr>
      <w:r w:rsidRPr="00847181">
        <w:fldChar w:fldCharType="begin"/>
      </w:r>
      <w:r w:rsidRPr="00847181">
        <w:instrText xml:space="preserve"> SEQ level0 \*arabic </w:instrText>
      </w:r>
      <w:r w:rsidRPr="00847181">
        <w:fldChar w:fldCharType="separate"/>
      </w:r>
      <w:r w:rsidR="00B94FFB" w:rsidRPr="00847181">
        <w:rPr>
          <w:noProof/>
        </w:rPr>
        <w:t>45</w:t>
      </w:r>
      <w:r w:rsidRPr="00847181">
        <w:rPr>
          <w:noProof/>
        </w:rPr>
        <w:fldChar w:fldCharType="end"/>
      </w:r>
      <w:r w:rsidR="004826D5" w:rsidRPr="00847181">
        <w:t>.  Skarżący domagał się kwoty 9.000 euro (EUR) w ramach zadośćuczynienia za szkodę niematerialną.</w:t>
      </w:r>
      <w:r w:rsidR="004826D5" w:rsidRPr="00847181">
        <w:noBreakHyphen/>
      </w:r>
    </w:p>
    <w:p w14:paraId="34FCDBB4" w14:textId="77777777" w:rsidR="00014566" w:rsidRPr="00847181" w:rsidRDefault="000D39FA" w:rsidP="00B94FFB">
      <w:pPr>
        <w:pStyle w:val="ECHRPara"/>
      </w:pPr>
      <w:r w:rsidRPr="00847181">
        <w:fldChar w:fldCharType="begin"/>
      </w:r>
      <w:r w:rsidRPr="00847181">
        <w:instrText xml:space="preserve"> SEQ level0 \*arabic </w:instrText>
      </w:r>
      <w:r w:rsidRPr="00847181">
        <w:fldChar w:fldCharType="separate"/>
      </w:r>
      <w:r w:rsidR="00B94FFB" w:rsidRPr="00847181">
        <w:rPr>
          <w:noProof/>
        </w:rPr>
        <w:t>46</w:t>
      </w:r>
      <w:r w:rsidRPr="00847181">
        <w:rPr>
          <w:noProof/>
        </w:rPr>
        <w:fldChar w:fldCharType="end"/>
      </w:r>
      <w:r w:rsidR="004826D5" w:rsidRPr="00847181">
        <w:t>.  Rząd uznał, że kwota jest wygórowana.</w:t>
      </w:r>
    </w:p>
    <w:p w14:paraId="638562C1" w14:textId="77777777" w:rsidR="00014566" w:rsidRPr="00847181" w:rsidRDefault="000D39FA" w:rsidP="00B94FFB">
      <w:pPr>
        <w:pStyle w:val="ECHRPara"/>
      </w:pPr>
      <w:r w:rsidRPr="00847181">
        <w:fldChar w:fldCharType="begin"/>
      </w:r>
      <w:r w:rsidRPr="00847181">
        <w:instrText xml:space="preserve"> SEQ level0</w:instrText>
      </w:r>
      <w:r w:rsidRPr="00847181">
        <w:instrText xml:space="preserve"> \*arabic </w:instrText>
      </w:r>
      <w:r w:rsidRPr="00847181">
        <w:fldChar w:fldCharType="separate"/>
      </w:r>
      <w:r w:rsidR="00B94FFB" w:rsidRPr="00847181">
        <w:rPr>
          <w:noProof/>
        </w:rPr>
        <w:t>47</w:t>
      </w:r>
      <w:r w:rsidRPr="00847181">
        <w:rPr>
          <w:noProof/>
        </w:rPr>
        <w:fldChar w:fldCharType="end"/>
      </w:r>
      <w:r w:rsidR="004826D5" w:rsidRPr="00847181">
        <w:t>.  Trybunał przyznaje skarżącemu 3.000 EUR z tytułu doznanej szkody niematerialnej.</w:t>
      </w:r>
      <w:r w:rsidR="004826D5" w:rsidRPr="00847181">
        <w:noBreakHyphen/>
      </w:r>
    </w:p>
    <w:p w14:paraId="0F2A6234" w14:textId="77777777" w:rsidR="00014566" w:rsidRPr="00847181" w:rsidRDefault="00014566" w:rsidP="00B94FFB">
      <w:pPr>
        <w:pStyle w:val="ECHRHeading2"/>
      </w:pPr>
      <w:r w:rsidRPr="00847181">
        <w:t>B. Koszty i wydatki</w:t>
      </w:r>
    </w:p>
    <w:p w14:paraId="6806216E" w14:textId="77777777" w:rsidR="00014566" w:rsidRPr="00847181" w:rsidRDefault="000D39FA" w:rsidP="00B94FFB">
      <w:pPr>
        <w:pStyle w:val="ECHRPara"/>
      </w:pPr>
      <w:r w:rsidRPr="00847181">
        <w:fldChar w:fldCharType="begin"/>
      </w:r>
      <w:r w:rsidRPr="00847181">
        <w:instrText xml:space="preserve"> SEQ level0 \*arabic </w:instrText>
      </w:r>
      <w:r w:rsidRPr="00847181">
        <w:fldChar w:fldCharType="separate"/>
      </w:r>
      <w:r w:rsidR="00B94FFB" w:rsidRPr="00847181">
        <w:rPr>
          <w:noProof/>
        </w:rPr>
        <w:t>48</w:t>
      </w:r>
      <w:r w:rsidRPr="00847181">
        <w:rPr>
          <w:noProof/>
        </w:rPr>
        <w:fldChar w:fldCharType="end"/>
      </w:r>
      <w:r w:rsidR="004826D5" w:rsidRPr="00847181">
        <w:t>.  Skarżący, który otrzymał pomoc prawną od Rady Europy w zakresie przedmiotowej sprawy, nie dochodził zwrotu kosztów i wydatków.</w:t>
      </w:r>
    </w:p>
    <w:p w14:paraId="4E3D702C" w14:textId="77777777" w:rsidR="00014566" w:rsidRPr="00847181" w:rsidRDefault="00014566" w:rsidP="00B94FFB">
      <w:pPr>
        <w:pStyle w:val="ECHRHeading2"/>
      </w:pPr>
      <w:r w:rsidRPr="00847181">
        <w:t>C. Odsetki za zwłokę</w:t>
      </w:r>
    </w:p>
    <w:p w14:paraId="26052173" w14:textId="62F50583" w:rsidR="00014566" w:rsidRPr="00847181" w:rsidRDefault="000D39FA" w:rsidP="00B94FFB">
      <w:pPr>
        <w:pStyle w:val="ECHRPara"/>
      </w:pPr>
      <w:r w:rsidRPr="00847181">
        <w:fldChar w:fldCharType="begin"/>
      </w:r>
      <w:r w:rsidRPr="00847181">
        <w:instrText xml:space="preserve"> SEQ level0 \*arabic </w:instrText>
      </w:r>
      <w:r w:rsidRPr="00847181">
        <w:fldChar w:fldCharType="separate"/>
      </w:r>
      <w:r w:rsidR="00B94FFB" w:rsidRPr="00847181">
        <w:rPr>
          <w:noProof/>
        </w:rPr>
        <w:t>49</w:t>
      </w:r>
      <w:r w:rsidRPr="00847181">
        <w:rPr>
          <w:noProof/>
        </w:rPr>
        <w:fldChar w:fldCharType="end"/>
      </w:r>
      <w:r w:rsidR="004826D5" w:rsidRPr="00847181">
        <w:t>.  Trybunał uznaje za właściwe, aby odsetki za zwłokę był</w:t>
      </w:r>
      <w:r w:rsidR="008E00BA" w:rsidRPr="00847181">
        <w:t xml:space="preserve">y </w:t>
      </w:r>
      <w:r w:rsidR="004826D5" w:rsidRPr="00847181">
        <w:t>oparte na marginalnej stopie procentowej Europejskiego Banku Centralnego, powiększonej o trzy punkty procentowe.</w:t>
      </w:r>
    </w:p>
    <w:p w14:paraId="2DE10DF9" w14:textId="77777777" w:rsidR="00014566" w:rsidRPr="00847181" w:rsidRDefault="00BB5883" w:rsidP="00B94FFB">
      <w:pPr>
        <w:pStyle w:val="ECHRTitle1"/>
      </w:pPr>
      <w:r w:rsidRPr="00847181">
        <w:t>Z TYCH PRZYCZYN, TRYBUNAŁ JEDNOGŁOŚNIE,</w:t>
      </w:r>
    </w:p>
    <w:p w14:paraId="2DE1D117" w14:textId="77777777" w:rsidR="00014566" w:rsidRPr="00847181" w:rsidRDefault="004826D5" w:rsidP="00B94FFB">
      <w:pPr>
        <w:pStyle w:val="JuList"/>
      </w:pPr>
      <w:r w:rsidRPr="00847181">
        <w:t>1.  </w:t>
      </w:r>
      <w:r w:rsidRPr="00847181">
        <w:rPr>
          <w:i/>
        </w:rPr>
        <w:t xml:space="preserve">Uznaje </w:t>
      </w:r>
      <w:r w:rsidRPr="00847181">
        <w:t>skargę za dopuszczalną;</w:t>
      </w:r>
    </w:p>
    <w:p w14:paraId="4B1F2BB5" w14:textId="77777777" w:rsidR="00014566" w:rsidRPr="00847181" w:rsidRDefault="00014566" w:rsidP="00B94FFB">
      <w:pPr>
        <w:pStyle w:val="JuList"/>
        <w:ind w:left="0" w:firstLine="0"/>
      </w:pPr>
    </w:p>
    <w:p w14:paraId="05DC9C1E" w14:textId="77777777" w:rsidR="00014566" w:rsidRPr="00847181" w:rsidRDefault="006F29F0" w:rsidP="00B94FFB">
      <w:pPr>
        <w:pStyle w:val="JuList"/>
      </w:pPr>
      <w:r w:rsidRPr="00847181">
        <w:t>2.  </w:t>
      </w:r>
      <w:r w:rsidRPr="00847181">
        <w:rPr>
          <w:i/>
        </w:rPr>
        <w:t>Stwierdza</w:t>
      </w:r>
      <w:r w:rsidRPr="00847181">
        <w:t>, że nastąpiło naruszenie art. 3 Konwencji;</w:t>
      </w:r>
    </w:p>
    <w:p w14:paraId="7B5DEACF" w14:textId="77777777" w:rsidR="00014566" w:rsidRPr="00847181" w:rsidRDefault="00014566" w:rsidP="00B94FFB">
      <w:pPr>
        <w:pStyle w:val="JuList"/>
      </w:pPr>
    </w:p>
    <w:p w14:paraId="5D060514" w14:textId="77777777" w:rsidR="004826D5" w:rsidRPr="00847181" w:rsidRDefault="004A36F9" w:rsidP="00B94FFB">
      <w:pPr>
        <w:pStyle w:val="JuList"/>
      </w:pPr>
      <w:r w:rsidRPr="00847181">
        <w:t>3.  </w:t>
      </w:r>
      <w:r w:rsidRPr="00847181">
        <w:rPr>
          <w:i/>
        </w:rPr>
        <w:t>Stwierdza</w:t>
      </w:r>
      <w:r w:rsidRPr="00847181">
        <w:t>, że nie ma potrzeby rozpatrzenia skargi pod kątem art. 6 i 13 Konwencji.</w:t>
      </w:r>
    </w:p>
    <w:p w14:paraId="4AFDB019" w14:textId="77777777" w:rsidR="00014566" w:rsidRPr="00847181" w:rsidRDefault="00014566" w:rsidP="00B94FFB">
      <w:pPr>
        <w:pStyle w:val="JuList"/>
      </w:pPr>
    </w:p>
    <w:p w14:paraId="01599523" w14:textId="77777777" w:rsidR="00B94FFB" w:rsidRPr="00847181" w:rsidRDefault="000914C3" w:rsidP="00B94FFB">
      <w:pPr>
        <w:pStyle w:val="JuList"/>
      </w:pPr>
      <w:r w:rsidRPr="00847181">
        <w:t>4.  </w:t>
      </w:r>
      <w:r w:rsidRPr="00847181">
        <w:rPr>
          <w:i/>
        </w:rPr>
        <w:t>Stwierdza, że</w:t>
      </w:r>
    </w:p>
    <w:p w14:paraId="64BB2253" w14:textId="77777777" w:rsidR="00263825" w:rsidRPr="00847181" w:rsidRDefault="00263825" w:rsidP="00B94FFB">
      <w:pPr>
        <w:pStyle w:val="JuLista"/>
      </w:pPr>
      <w:r w:rsidRPr="00847181">
        <w:t>(a) że pozwane państwo ma zapłacić skarżącemu w terminie trzech miesięcy od daty uprawomocnienia się wyroku zgodnie z Artykułem 44 ust. 2 Konwencji kwotę 3.000 euro (trzy tysiące euro), powiększoną o wszelkie podatki, które mogą zostać nałożone na tę kwotę, tytułem poniesionej szkody niematerialnej, przeliczoną na walutę polską po kursie obowiązującym w dniu wydania rozstrzygnięcia;</w:t>
      </w:r>
    </w:p>
    <w:p w14:paraId="7A20B659" w14:textId="77777777" w:rsidR="00263825" w:rsidRPr="00847181" w:rsidRDefault="00263825" w:rsidP="00B94FFB">
      <w:pPr>
        <w:pStyle w:val="JuLista"/>
      </w:pPr>
      <w:r w:rsidRPr="00847181">
        <w:t xml:space="preserve">(b) że po upływie powyższego trzymiesięcznego terminu do momentu zapłaty, winny zostać naliczone od tych kwot odsetki zwykłe według </w:t>
      </w:r>
      <w:r w:rsidRPr="00847181">
        <w:lastRenderedPageBreak/>
        <w:t>marginalnej stopy procentowej Europejskiego Banku Centralnego powiększonej o trzy punkty procentowe;</w:t>
      </w:r>
    </w:p>
    <w:p w14:paraId="540064B9" w14:textId="77777777" w:rsidR="00014566" w:rsidRPr="00847181" w:rsidRDefault="00014566" w:rsidP="00B94FFB">
      <w:pPr>
        <w:pStyle w:val="JuList"/>
        <w:ind w:left="0" w:firstLine="0"/>
      </w:pPr>
    </w:p>
    <w:p w14:paraId="2E24F8BB" w14:textId="77777777" w:rsidR="00014566" w:rsidRPr="00847181" w:rsidRDefault="000914C3" w:rsidP="00B94FFB">
      <w:pPr>
        <w:pStyle w:val="JuList"/>
        <w:keepNext/>
        <w:keepLines/>
      </w:pPr>
      <w:r w:rsidRPr="00847181">
        <w:t>5.  </w:t>
      </w:r>
      <w:r w:rsidRPr="00847181">
        <w:rPr>
          <w:i/>
        </w:rPr>
        <w:t xml:space="preserve">Oddala </w:t>
      </w:r>
      <w:r w:rsidRPr="00847181">
        <w:t>pozostałą część roszczenia skarżącego o słuszne zadośćuczynienie.</w:t>
      </w:r>
    </w:p>
    <w:p w14:paraId="5B66EA82" w14:textId="70944249" w:rsidR="00014566" w:rsidRPr="00847181" w:rsidRDefault="00014566" w:rsidP="00B94FFB">
      <w:pPr>
        <w:pStyle w:val="JuParaLast"/>
      </w:pPr>
      <w:r w:rsidRPr="00847181">
        <w:t xml:space="preserve">Sporządzono w języku angielskim oraz obwieszczono pisemnie dnia 12 </w:t>
      </w:r>
      <w:r w:rsidR="00460E14" w:rsidRPr="00847181">
        <w:t>stycznia</w:t>
      </w:r>
      <w:r w:rsidRPr="00847181">
        <w:t xml:space="preserve"> 2016 r., zgodnie z Regułą 77 §§ 2 i 3 Regulaminu Trybunału</w:t>
      </w:r>
    </w:p>
    <w:p w14:paraId="163F6F7F" w14:textId="77777777" w:rsidR="00D7587F" w:rsidRPr="00847181" w:rsidRDefault="00014566" w:rsidP="00B94FFB">
      <w:pPr>
        <w:pStyle w:val="JuSigned"/>
      </w:pPr>
      <w:r w:rsidRPr="00847181">
        <w:tab/>
        <w:t>Françoise Elens-Passos</w:t>
      </w:r>
      <w:r w:rsidRPr="00847181">
        <w:tab/>
        <w:t>András Sajó</w:t>
      </w:r>
      <w:r w:rsidRPr="00847181">
        <w:br/>
      </w:r>
      <w:r w:rsidRPr="00847181">
        <w:tab/>
        <w:t>Kanclerz Sekcji</w:t>
      </w:r>
      <w:r w:rsidRPr="00847181">
        <w:tab/>
        <w:t>Przewodniczący</w:t>
      </w:r>
    </w:p>
    <w:sectPr w:rsidR="00D7587F" w:rsidRPr="00847181" w:rsidSect="006C7056">
      <w:headerReference w:type="even" r:id="rId15"/>
      <w:headerReference w:type="default" r:id="rId16"/>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D15817" w14:textId="77777777" w:rsidR="000D39FA" w:rsidRDefault="000D39FA" w:rsidP="00014566">
      <w:r>
        <w:separator/>
      </w:r>
    </w:p>
  </w:endnote>
  <w:endnote w:type="continuationSeparator" w:id="0">
    <w:p w14:paraId="2E94E1B2" w14:textId="77777777" w:rsidR="000D39FA" w:rsidRDefault="000D39FA"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MS Mincho">
    <w:altName w:val="Meiryo"/>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EE"/>
    <w:family w:val="swiss"/>
    <w:pitch w:val="variable"/>
    <w:sig w:usb0="61002A87" w:usb1="80000000" w:usb2="00000008" w:usb3="00000000" w:csb0="000101FF" w:csb1="00000000"/>
  </w:font>
  <w:font w:name="Verdana">
    <w:panose1 w:val="020B0604030504040204"/>
    <w:charset w:val="EE"/>
    <w:family w:val="swiss"/>
    <w:pitch w:val="variable"/>
    <w:sig w:usb0="20000287" w:usb1="00000000" w:usb2="00000000" w:usb3="00000000" w:csb0="0000019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DFADCF" w14:textId="77777777" w:rsidR="006C7056" w:rsidRPr="00150BFA" w:rsidRDefault="006C7056" w:rsidP="0020718E">
    <w:pPr>
      <w:jc w:val="center"/>
    </w:pPr>
    <w:r>
      <w:rPr>
        <w:noProof/>
        <w:lang w:bidi="ar-SA"/>
      </w:rPr>
      <w:drawing>
        <wp:inline distT="0" distB="0" distL="0" distR="0" wp14:anchorId="304A7EF5" wp14:editId="34F558F1">
          <wp:extent cx="771525" cy="619125"/>
          <wp:effectExtent l="0" t="0" r="9525" b="9525"/>
          <wp:docPr id="2" name="Picture 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61BAB4D" w14:textId="77777777" w:rsidR="006C7056" w:rsidRDefault="006C705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316AB9" w14:textId="77777777" w:rsidR="000D39FA" w:rsidRDefault="000D39FA" w:rsidP="00014566">
      <w:r>
        <w:separator/>
      </w:r>
    </w:p>
  </w:footnote>
  <w:footnote w:type="continuationSeparator" w:id="0">
    <w:p w14:paraId="02F6A4BA" w14:textId="77777777" w:rsidR="000D39FA" w:rsidRDefault="000D39FA"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BE7BCF" w14:textId="77777777" w:rsidR="00C728FB" w:rsidRPr="006C7056" w:rsidRDefault="00C728FB" w:rsidP="006C7056">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89585C" w14:textId="77777777" w:rsidR="006C7056" w:rsidRPr="00A45145" w:rsidRDefault="006C7056" w:rsidP="00A45145">
    <w:pPr>
      <w:jc w:val="center"/>
    </w:pPr>
    <w:r>
      <w:rPr>
        <w:noProof/>
        <w:lang w:bidi="ar-SA"/>
      </w:rPr>
      <w:drawing>
        <wp:inline distT="0" distB="0" distL="0" distR="0" wp14:anchorId="5536E772" wp14:editId="3659DB9A">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C0F9B0A" w14:textId="77777777" w:rsidR="00C728FB" w:rsidRDefault="00C728FB">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2B1D4F" w14:textId="77777777" w:rsidR="006C7056" w:rsidRPr="00FF2306" w:rsidRDefault="006C7056" w:rsidP="00EE1DA9">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847181">
      <w:rPr>
        <w:rStyle w:val="Numerstrony"/>
        <w:noProof/>
        <w:szCs w:val="18"/>
      </w:rPr>
      <w:t>10</w:t>
    </w:r>
    <w:r>
      <w:rPr>
        <w:rStyle w:val="Numerstrony"/>
        <w:szCs w:val="18"/>
      </w:rPr>
      <w:fldChar w:fldCharType="end"/>
    </w:r>
    <w:r>
      <w:tab/>
      <w:t>WYROK W SPRAWIE PRUS PRZECIWKO POLSCE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729048" w14:textId="77777777" w:rsidR="006C7056" w:rsidRPr="00D60D87" w:rsidRDefault="006C7056" w:rsidP="00D60D87">
    <w:pPr>
      <w:pStyle w:val="ECHRHeader"/>
    </w:pPr>
    <w:r>
      <w:tab/>
      <w:t>WYROK W SPRAWIE PRUS PRZECIWKO POLSCE</w:t>
    </w:r>
    <w:r>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847181">
      <w:rPr>
        <w:rStyle w:val="Numerstrony"/>
        <w:noProof/>
        <w:szCs w:val="18"/>
      </w:rPr>
      <w:t>9</w:t>
    </w:r>
    <w:r>
      <w:rPr>
        <w:rStyle w:val="Numerstrony"/>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4826D5"/>
    <w:rsid w:val="00003051"/>
    <w:rsid w:val="000041F8"/>
    <w:rsid w:val="000042A8"/>
    <w:rsid w:val="00004308"/>
    <w:rsid w:val="00005BF0"/>
    <w:rsid w:val="00007154"/>
    <w:rsid w:val="00007E36"/>
    <w:rsid w:val="000103AE"/>
    <w:rsid w:val="00011D69"/>
    <w:rsid w:val="00012AD3"/>
    <w:rsid w:val="00014566"/>
    <w:rsid w:val="00015C2D"/>
    <w:rsid w:val="00015F00"/>
    <w:rsid w:val="00022C1D"/>
    <w:rsid w:val="00034987"/>
    <w:rsid w:val="00037FBA"/>
    <w:rsid w:val="000602DF"/>
    <w:rsid w:val="00061B05"/>
    <w:rsid w:val="00062973"/>
    <w:rsid w:val="00062D5D"/>
    <w:rsid w:val="000632D5"/>
    <w:rsid w:val="000644EE"/>
    <w:rsid w:val="00070C20"/>
    <w:rsid w:val="000914C3"/>
    <w:rsid w:val="000925AD"/>
    <w:rsid w:val="000A24EB"/>
    <w:rsid w:val="000B6923"/>
    <w:rsid w:val="000C033C"/>
    <w:rsid w:val="000C0FB5"/>
    <w:rsid w:val="000C3D23"/>
    <w:rsid w:val="000C5F3C"/>
    <w:rsid w:val="000C6DCC"/>
    <w:rsid w:val="000D39FA"/>
    <w:rsid w:val="000D47AA"/>
    <w:rsid w:val="000D721F"/>
    <w:rsid w:val="000E069B"/>
    <w:rsid w:val="000E0E82"/>
    <w:rsid w:val="000E13E8"/>
    <w:rsid w:val="000E1DC5"/>
    <w:rsid w:val="000E223F"/>
    <w:rsid w:val="000E6DEE"/>
    <w:rsid w:val="000E7D45"/>
    <w:rsid w:val="000F6311"/>
    <w:rsid w:val="000F7851"/>
    <w:rsid w:val="00104E23"/>
    <w:rsid w:val="001064E2"/>
    <w:rsid w:val="00111B0C"/>
    <w:rsid w:val="0011580E"/>
    <w:rsid w:val="001176E1"/>
    <w:rsid w:val="00120D6C"/>
    <w:rsid w:val="001257EC"/>
    <w:rsid w:val="00131D4F"/>
    <w:rsid w:val="00132C6A"/>
    <w:rsid w:val="001331BA"/>
    <w:rsid w:val="00133D33"/>
    <w:rsid w:val="00134D64"/>
    <w:rsid w:val="00135A30"/>
    <w:rsid w:val="0013612C"/>
    <w:rsid w:val="00137FF6"/>
    <w:rsid w:val="00141650"/>
    <w:rsid w:val="00151DAD"/>
    <w:rsid w:val="00162A12"/>
    <w:rsid w:val="001642E4"/>
    <w:rsid w:val="00166530"/>
    <w:rsid w:val="001832BD"/>
    <w:rsid w:val="00183526"/>
    <w:rsid w:val="001875E6"/>
    <w:rsid w:val="001943B5"/>
    <w:rsid w:val="00195134"/>
    <w:rsid w:val="001A145B"/>
    <w:rsid w:val="001A3F1A"/>
    <w:rsid w:val="001A4C6D"/>
    <w:rsid w:val="001A674C"/>
    <w:rsid w:val="001B3B24"/>
    <w:rsid w:val="001C0F98"/>
    <w:rsid w:val="001C2A42"/>
    <w:rsid w:val="001C34E4"/>
    <w:rsid w:val="001D0439"/>
    <w:rsid w:val="001D5191"/>
    <w:rsid w:val="001D63ED"/>
    <w:rsid w:val="001D7348"/>
    <w:rsid w:val="001E035B"/>
    <w:rsid w:val="001E0961"/>
    <w:rsid w:val="001E3EAE"/>
    <w:rsid w:val="001E6F32"/>
    <w:rsid w:val="001F2145"/>
    <w:rsid w:val="001F6262"/>
    <w:rsid w:val="001F67B0"/>
    <w:rsid w:val="001F7B3D"/>
    <w:rsid w:val="00205F9F"/>
    <w:rsid w:val="00210338"/>
    <w:rsid w:val="002115FC"/>
    <w:rsid w:val="002133F8"/>
    <w:rsid w:val="0021423C"/>
    <w:rsid w:val="00225688"/>
    <w:rsid w:val="00230D00"/>
    <w:rsid w:val="00231DF7"/>
    <w:rsid w:val="00231FD1"/>
    <w:rsid w:val="002339E0"/>
    <w:rsid w:val="00233CF8"/>
    <w:rsid w:val="0023575D"/>
    <w:rsid w:val="00237148"/>
    <w:rsid w:val="0024222D"/>
    <w:rsid w:val="00244B0E"/>
    <w:rsid w:val="00244F6C"/>
    <w:rsid w:val="0024607E"/>
    <w:rsid w:val="002532C5"/>
    <w:rsid w:val="00260C03"/>
    <w:rsid w:val="00263825"/>
    <w:rsid w:val="0026540E"/>
    <w:rsid w:val="00267781"/>
    <w:rsid w:val="00275123"/>
    <w:rsid w:val="00282240"/>
    <w:rsid w:val="0028572A"/>
    <w:rsid w:val="002948AD"/>
    <w:rsid w:val="00294C92"/>
    <w:rsid w:val="002A01CC"/>
    <w:rsid w:val="002A4446"/>
    <w:rsid w:val="002A61B1"/>
    <w:rsid w:val="002A663C"/>
    <w:rsid w:val="002B3D9F"/>
    <w:rsid w:val="002B444B"/>
    <w:rsid w:val="002B5887"/>
    <w:rsid w:val="002B6A68"/>
    <w:rsid w:val="002B6A94"/>
    <w:rsid w:val="002C0692"/>
    <w:rsid w:val="002C0E27"/>
    <w:rsid w:val="002C3040"/>
    <w:rsid w:val="002D022D"/>
    <w:rsid w:val="002D24BB"/>
    <w:rsid w:val="002E5049"/>
    <w:rsid w:val="002F2AF7"/>
    <w:rsid w:val="002F7E1C"/>
    <w:rsid w:val="00301A75"/>
    <w:rsid w:val="00302F70"/>
    <w:rsid w:val="0030336F"/>
    <w:rsid w:val="0030362C"/>
    <w:rsid w:val="0030375E"/>
    <w:rsid w:val="00312A30"/>
    <w:rsid w:val="00320F72"/>
    <w:rsid w:val="0032463E"/>
    <w:rsid w:val="00326224"/>
    <w:rsid w:val="003318D3"/>
    <w:rsid w:val="0033421B"/>
    <w:rsid w:val="00337EE4"/>
    <w:rsid w:val="00340FFD"/>
    <w:rsid w:val="003506B1"/>
    <w:rsid w:val="0035580C"/>
    <w:rsid w:val="00356AC7"/>
    <w:rsid w:val="003609FA"/>
    <w:rsid w:val="003710C8"/>
    <w:rsid w:val="00372D2F"/>
    <w:rsid w:val="003750BE"/>
    <w:rsid w:val="003860D3"/>
    <w:rsid w:val="00387B9D"/>
    <w:rsid w:val="0039278E"/>
    <w:rsid w:val="0039364F"/>
    <w:rsid w:val="00396686"/>
    <w:rsid w:val="0039778E"/>
    <w:rsid w:val="003A448E"/>
    <w:rsid w:val="003A7135"/>
    <w:rsid w:val="003B4941"/>
    <w:rsid w:val="003B7333"/>
    <w:rsid w:val="003C5714"/>
    <w:rsid w:val="003C6B9F"/>
    <w:rsid w:val="003C6E2A"/>
    <w:rsid w:val="003D0299"/>
    <w:rsid w:val="003D2256"/>
    <w:rsid w:val="003E6D80"/>
    <w:rsid w:val="003F05FA"/>
    <w:rsid w:val="003F244A"/>
    <w:rsid w:val="003F30B8"/>
    <w:rsid w:val="003F4C45"/>
    <w:rsid w:val="003F5F7B"/>
    <w:rsid w:val="003F7D64"/>
    <w:rsid w:val="004017BF"/>
    <w:rsid w:val="00414300"/>
    <w:rsid w:val="00421027"/>
    <w:rsid w:val="00425C67"/>
    <w:rsid w:val="00427E7A"/>
    <w:rsid w:val="00436307"/>
    <w:rsid w:val="00436C49"/>
    <w:rsid w:val="00445366"/>
    <w:rsid w:val="00447F5B"/>
    <w:rsid w:val="00460E14"/>
    <w:rsid w:val="00461DB0"/>
    <w:rsid w:val="00463926"/>
    <w:rsid w:val="004646E0"/>
    <w:rsid w:val="00464C9A"/>
    <w:rsid w:val="00474F3D"/>
    <w:rsid w:val="00477E3A"/>
    <w:rsid w:val="004826D5"/>
    <w:rsid w:val="00483E5F"/>
    <w:rsid w:val="00485FF9"/>
    <w:rsid w:val="00486384"/>
    <w:rsid w:val="004907F0"/>
    <w:rsid w:val="0049140B"/>
    <w:rsid w:val="004923A5"/>
    <w:rsid w:val="00496BFB"/>
    <w:rsid w:val="004A15C7"/>
    <w:rsid w:val="004A26A7"/>
    <w:rsid w:val="004A36F9"/>
    <w:rsid w:val="004B013B"/>
    <w:rsid w:val="004B112B"/>
    <w:rsid w:val="004C01E4"/>
    <w:rsid w:val="004C086C"/>
    <w:rsid w:val="004C1F56"/>
    <w:rsid w:val="004C27BC"/>
    <w:rsid w:val="004D15F3"/>
    <w:rsid w:val="004D3078"/>
    <w:rsid w:val="004D5311"/>
    <w:rsid w:val="004D5DCC"/>
    <w:rsid w:val="004F10AF"/>
    <w:rsid w:val="004F11A4"/>
    <w:rsid w:val="004F2389"/>
    <w:rsid w:val="004F304D"/>
    <w:rsid w:val="004F531D"/>
    <w:rsid w:val="004F61BE"/>
    <w:rsid w:val="004F66B1"/>
    <w:rsid w:val="00502F81"/>
    <w:rsid w:val="0050658F"/>
    <w:rsid w:val="00511C07"/>
    <w:rsid w:val="00512160"/>
    <w:rsid w:val="005173A6"/>
    <w:rsid w:val="00520BAA"/>
    <w:rsid w:val="00525208"/>
    <w:rsid w:val="005257A5"/>
    <w:rsid w:val="005264C0"/>
    <w:rsid w:val="005264E1"/>
    <w:rsid w:val="00526A8A"/>
    <w:rsid w:val="00526EA8"/>
    <w:rsid w:val="00531DF2"/>
    <w:rsid w:val="005442EE"/>
    <w:rsid w:val="00547353"/>
    <w:rsid w:val="005474E7"/>
    <w:rsid w:val="005512A3"/>
    <w:rsid w:val="005578CE"/>
    <w:rsid w:val="00562781"/>
    <w:rsid w:val="00563E83"/>
    <w:rsid w:val="00565B91"/>
    <w:rsid w:val="00565F88"/>
    <w:rsid w:val="0057024F"/>
    <w:rsid w:val="0057271C"/>
    <w:rsid w:val="00572845"/>
    <w:rsid w:val="00592772"/>
    <w:rsid w:val="0059574A"/>
    <w:rsid w:val="0059693F"/>
    <w:rsid w:val="005A1B9B"/>
    <w:rsid w:val="005A4FD5"/>
    <w:rsid w:val="005A6751"/>
    <w:rsid w:val="005B02E0"/>
    <w:rsid w:val="005B092E"/>
    <w:rsid w:val="005B152C"/>
    <w:rsid w:val="005B1EE0"/>
    <w:rsid w:val="005B2B24"/>
    <w:rsid w:val="005B4425"/>
    <w:rsid w:val="005B4B94"/>
    <w:rsid w:val="005C192C"/>
    <w:rsid w:val="005C3EE8"/>
    <w:rsid w:val="005C481E"/>
    <w:rsid w:val="005D316C"/>
    <w:rsid w:val="005D34F9"/>
    <w:rsid w:val="005D4190"/>
    <w:rsid w:val="005D67A3"/>
    <w:rsid w:val="005E2988"/>
    <w:rsid w:val="005E2A43"/>
    <w:rsid w:val="005E3085"/>
    <w:rsid w:val="005F51E1"/>
    <w:rsid w:val="00611C80"/>
    <w:rsid w:val="00620692"/>
    <w:rsid w:val="006242CA"/>
    <w:rsid w:val="00627507"/>
    <w:rsid w:val="00633717"/>
    <w:rsid w:val="006344E1"/>
    <w:rsid w:val="006545C4"/>
    <w:rsid w:val="00661971"/>
    <w:rsid w:val="00661CE8"/>
    <w:rsid w:val="006623AF"/>
    <w:rsid w:val="006623D9"/>
    <w:rsid w:val="0066550C"/>
    <w:rsid w:val="006668C0"/>
    <w:rsid w:val="006716F2"/>
    <w:rsid w:val="00682BF2"/>
    <w:rsid w:val="006853F4"/>
    <w:rsid w:val="006859CE"/>
    <w:rsid w:val="00690483"/>
    <w:rsid w:val="00691270"/>
    <w:rsid w:val="006949BF"/>
    <w:rsid w:val="00694BA8"/>
    <w:rsid w:val="006A037C"/>
    <w:rsid w:val="006A36F4"/>
    <w:rsid w:val="006A406F"/>
    <w:rsid w:val="006A5D3A"/>
    <w:rsid w:val="006B3B07"/>
    <w:rsid w:val="006B3CAC"/>
    <w:rsid w:val="006C23D4"/>
    <w:rsid w:val="006C7056"/>
    <w:rsid w:val="006C7BB0"/>
    <w:rsid w:val="006D3237"/>
    <w:rsid w:val="006E2E37"/>
    <w:rsid w:val="006E3CF1"/>
    <w:rsid w:val="006E47FD"/>
    <w:rsid w:val="006E7E80"/>
    <w:rsid w:val="006F1DF9"/>
    <w:rsid w:val="006F24DB"/>
    <w:rsid w:val="006F29F0"/>
    <w:rsid w:val="006F48CA"/>
    <w:rsid w:val="006F64DD"/>
    <w:rsid w:val="00715127"/>
    <w:rsid w:val="00715E8E"/>
    <w:rsid w:val="00723580"/>
    <w:rsid w:val="00723755"/>
    <w:rsid w:val="0073136C"/>
    <w:rsid w:val="00731F0F"/>
    <w:rsid w:val="00732D2C"/>
    <w:rsid w:val="00733250"/>
    <w:rsid w:val="00734792"/>
    <w:rsid w:val="00734D9B"/>
    <w:rsid w:val="00741404"/>
    <w:rsid w:val="007449E5"/>
    <w:rsid w:val="00746C5A"/>
    <w:rsid w:val="00747FF0"/>
    <w:rsid w:val="007523C1"/>
    <w:rsid w:val="00764D4E"/>
    <w:rsid w:val="00765A1F"/>
    <w:rsid w:val="00771FFB"/>
    <w:rsid w:val="00775B6D"/>
    <w:rsid w:val="00776D68"/>
    <w:rsid w:val="00777635"/>
    <w:rsid w:val="007850EE"/>
    <w:rsid w:val="00785B95"/>
    <w:rsid w:val="00790E96"/>
    <w:rsid w:val="00793366"/>
    <w:rsid w:val="007A716F"/>
    <w:rsid w:val="007B270A"/>
    <w:rsid w:val="007C0695"/>
    <w:rsid w:val="007C419A"/>
    <w:rsid w:val="007C4CC8"/>
    <w:rsid w:val="007C5426"/>
    <w:rsid w:val="007C5798"/>
    <w:rsid w:val="007D4832"/>
    <w:rsid w:val="007E13C2"/>
    <w:rsid w:val="007E21B2"/>
    <w:rsid w:val="007E2C4E"/>
    <w:rsid w:val="007E4730"/>
    <w:rsid w:val="007F1905"/>
    <w:rsid w:val="00801300"/>
    <w:rsid w:val="00802C64"/>
    <w:rsid w:val="00803BF9"/>
    <w:rsid w:val="00805E52"/>
    <w:rsid w:val="008061D0"/>
    <w:rsid w:val="00810B38"/>
    <w:rsid w:val="008204C7"/>
    <w:rsid w:val="00820992"/>
    <w:rsid w:val="00823602"/>
    <w:rsid w:val="008255F5"/>
    <w:rsid w:val="0083014E"/>
    <w:rsid w:val="008318C1"/>
    <w:rsid w:val="0083214A"/>
    <w:rsid w:val="00834220"/>
    <w:rsid w:val="00845723"/>
    <w:rsid w:val="00847181"/>
    <w:rsid w:val="00851798"/>
    <w:rsid w:val="00851EF9"/>
    <w:rsid w:val="00854071"/>
    <w:rsid w:val="008577FD"/>
    <w:rsid w:val="00860B03"/>
    <w:rsid w:val="0086497A"/>
    <w:rsid w:val="008713A1"/>
    <w:rsid w:val="008754AB"/>
    <w:rsid w:val="00877654"/>
    <w:rsid w:val="0088060C"/>
    <w:rsid w:val="00891FD0"/>
    <w:rsid w:val="00893576"/>
    <w:rsid w:val="00893E73"/>
    <w:rsid w:val="008A43C4"/>
    <w:rsid w:val="008B02DC"/>
    <w:rsid w:val="008B57CE"/>
    <w:rsid w:val="008B659F"/>
    <w:rsid w:val="008B7D8A"/>
    <w:rsid w:val="008C26DE"/>
    <w:rsid w:val="008C5D96"/>
    <w:rsid w:val="008D2225"/>
    <w:rsid w:val="008D4752"/>
    <w:rsid w:val="008E00BA"/>
    <w:rsid w:val="008E271C"/>
    <w:rsid w:val="008E418E"/>
    <w:rsid w:val="008E5BC6"/>
    <w:rsid w:val="008E6A25"/>
    <w:rsid w:val="008F5193"/>
    <w:rsid w:val="0090068D"/>
    <w:rsid w:val="009013A7"/>
    <w:rsid w:val="009017FB"/>
    <w:rsid w:val="009017FC"/>
    <w:rsid w:val="00903B43"/>
    <w:rsid w:val="0090506B"/>
    <w:rsid w:val="009050C9"/>
    <w:rsid w:val="00905B68"/>
    <w:rsid w:val="009066FC"/>
    <w:rsid w:val="00911481"/>
    <w:rsid w:val="009140A3"/>
    <w:rsid w:val="009144A2"/>
    <w:rsid w:val="0091510C"/>
    <w:rsid w:val="00921E81"/>
    <w:rsid w:val="009259AC"/>
    <w:rsid w:val="00926F38"/>
    <w:rsid w:val="00933F74"/>
    <w:rsid w:val="00934301"/>
    <w:rsid w:val="00936CD1"/>
    <w:rsid w:val="00941747"/>
    <w:rsid w:val="00941EFB"/>
    <w:rsid w:val="00947AFB"/>
    <w:rsid w:val="00947B1C"/>
    <w:rsid w:val="00951D7D"/>
    <w:rsid w:val="0095532A"/>
    <w:rsid w:val="009630C7"/>
    <w:rsid w:val="00972B55"/>
    <w:rsid w:val="009743B7"/>
    <w:rsid w:val="0098228B"/>
    <w:rsid w:val="009828DA"/>
    <w:rsid w:val="00985BAB"/>
    <w:rsid w:val="00997F03"/>
    <w:rsid w:val="009A3229"/>
    <w:rsid w:val="009A46DF"/>
    <w:rsid w:val="009B1B5F"/>
    <w:rsid w:val="009B2EC2"/>
    <w:rsid w:val="009B6673"/>
    <w:rsid w:val="009C17F1"/>
    <w:rsid w:val="009C191B"/>
    <w:rsid w:val="009C2BD6"/>
    <w:rsid w:val="009C4B2E"/>
    <w:rsid w:val="009D66B5"/>
    <w:rsid w:val="009E1F32"/>
    <w:rsid w:val="009E5829"/>
    <w:rsid w:val="009E776C"/>
    <w:rsid w:val="00A1726E"/>
    <w:rsid w:val="00A204CF"/>
    <w:rsid w:val="00A23D49"/>
    <w:rsid w:val="00A27004"/>
    <w:rsid w:val="00A30C29"/>
    <w:rsid w:val="00A34DD6"/>
    <w:rsid w:val="00A36819"/>
    <w:rsid w:val="00A36989"/>
    <w:rsid w:val="00A409DF"/>
    <w:rsid w:val="00A43628"/>
    <w:rsid w:val="00A54192"/>
    <w:rsid w:val="00A6035E"/>
    <w:rsid w:val="00A6144C"/>
    <w:rsid w:val="00A66617"/>
    <w:rsid w:val="00A671F8"/>
    <w:rsid w:val="00A673A4"/>
    <w:rsid w:val="00A7022F"/>
    <w:rsid w:val="00A724AE"/>
    <w:rsid w:val="00A73329"/>
    <w:rsid w:val="00A82359"/>
    <w:rsid w:val="00A835FB"/>
    <w:rsid w:val="00A865D2"/>
    <w:rsid w:val="00A94C20"/>
    <w:rsid w:val="00A96ED6"/>
    <w:rsid w:val="00AA1DD7"/>
    <w:rsid w:val="00AA227F"/>
    <w:rsid w:val="00AA3BC7"/>
    <w:rsid w:val="00AA754A"/>
    <w:rsid w:val="00AB099E"/>
    <w:rsid w:val="00AB4328"/>
    <w:rsid w:val="00AB5FA0"/>
    <w:rsid w:val="00AC17A7"/>
    <w:rsid w:val="00AD0E6A"/>
    <w:rsid w:val="00AE0A2E"/>
    <w:rsid w:val="00AE354C"/>
    <w:rsid w:val="00AE670B"/>
    <w:rsid w:val="00AF4B07"/>
    <w:rsid w:val="00AF6186"/>
    <w:rsid w:val="00AF63B7"/>
    <w:rsid w:val="00AF7A3A"/>
    <w:rsid w:val="00B107EE"/>
    <w:rsid w:val="00B160DB"/>
    <w:rsid w:val="00B20836"/>
    <w:rsid w:val="00B235BB"/>
    <w:rsid w:val="00B27A44"/>
    <w:rsid w:val="00B30BBF"/>
    <w:rsid w:val="00B33C03"/>
    <w:rsid w:val="00B44E56"/>
    <w:rsid w:val="00B46543"/>
    <w:rsid w:val="00B47D33"/>
    <w:rsid w:val="00B52BE0"/>
    <w:rsid w:val="00B54133"/>
    <w:rsid w:val="00B66679"/>
    <w:rsid w:val="00B701ED"/>
    <w:rsid w:val="00B8086C"/>
    <w:rsid w:val="00B861B4"/>
    <w:rsid w:val="00B86DFE"/>
    <w:rsid w:val="00B90990"/>
    <w:rsid w:val="00B922FF"/>
    <w:rsid w:val="00B9281E"/>
    <w:rsid w:val="00B93925"/>
    <w:rsid w:val="00B94FFB"/>
    <w:rsid w:val="00B95187"/>
    <w:rsid w:val="00BA2D55"/>
    <w:rsid w:val="00BA71B1"/>
    <w:rsid w:val="00BB0637"/>
    <w:rsid w:val="00BB345F"/>
    <w:rsid w:val="00BB5883"/>
    <w:rsid w:val="00BB68EA"/>
    <w:rsid w:val="00BB6F14"/>
    <w:rsid w:val="00BC1C27"/>
    <w:rsid w:val="00BC26C3"/>
    <w:rsid w:val="00BC3C9F"/>
    <w:rsid w:val="00BC6BBF"/>
    <w:rsid w:val="00BD1572"/>
    <w:rsid w:val="00BE14E3"/>
    <w:rsid w:val="00BE3774"/>
    <w:rsid w:val="00BE41E5"/>
    <w:rsid w:val="00BF0BBB"/>
    <w:rsid w:val="00BF4109"/>
    <w:rsid w:val="00BF4CC3"/>
    <w:rsid w:val="00C03C3E"/>
    <w:rsid w:val="00C054C7"/>
    <w:rsid w:val="00C057B5"/>
    <w:rsid w:val="00C22687"/>
    <w:rsid w:val="00C32E4D"/>
    <w:rsid w:val="00C333A0"/>
    <w:rsid w:val="00C36A81"/>
    <w:rsid w:val="00C41974"/>
    <w:rsid w:val="00C447AD"/>
    <w:rsid w:val="00C44F8C"/>
    <w:rsid w:val="00C53F4A"/>
    <w:rsid w:val="00C54125"/>
    <w:rsid w:val="00C55B54"/>
    <w:rsid w:val="00C57287"/>
    <w:rsid w:val="00C6098E"/>
    <w:rsid w:val="00C6152C"/>
    <w:rsid w:val="00C621C2"/>
    <w:rsid w:val="00C70140"/>
    <w:rsid w:val="00C728FB"/>
    <w:rsid w:val="00C74810"/>
    <w:rsid w:val="00C74D5E"/>
    <w:rsid w:val="00C81BF9"/>
    <w:rsid w:val="00C90D68"/>
    <w:rsid w:val="00C91826"/>
    <w:rsid w:val="00C939FE"/>
    <w:rsid w:val="00C95D07"/>
    <w:rsid w:val="00CA4BDA"/>
    <w:rsid w:val="00CB1F66"/>
    <w:rsid w:val="00CB2951"/>
    <w:rsid w:val="00CD282B"/>
    <w:rsid w:val="00CD4C35"/>
    <w:rsid w:val="00CD4E60"/>
    <w:rsid w:val="00CD7369"/>
    <w:rsid w:val="00CE0B0E"/>
    <w:rsid w:val="00CE3831"/>
    <w:rsid w:val="00CE4D99"/>
    <w:rsid w:val="00CF01E7"/>
    <w:rsid w:val="00D00ABB"/>
    <w:rsid w:val="00D02EEC"/>
    <w:rsid w:val="00D03551"/>
    <w:rsid w:val="00D06A63"/>
    <w:rsid w:val="00D07E0E"/>
    <w:rsid w:val="00D10929"/>
    <w:rsid w:val="00D11478"/>
    <w:rsid w:val="00D15ED0"/>
    <w:rsid w:val="00D21B3E"/>
    <w:rsid w:val="00D21FED"/>
    <w:rsid w:val="00D24251"/>
    <w:rsid w:val="00D24359"/>
    <w:rsid w:val="00D343E2"/>
    <w:rsid w:val="00D361A2"/>
    <w:rsid w:val="00D44C2E"/>
    <w:rsid w:val="00D45414"/>
    <w:rsid w:val="00D53C0F"/>
    <w:rsid w:val="00D566BD"/>
    <w:rsid w:val="00D57A4D"/>
    <w:rsid w:val="00D60AA7"/>
    <w:rsid w:val="00D60D87"/>
    <w:rsid w:val="00D6435F"/>
    <w:rsid w:val="00D675B4"/>
    <w:rsid w:val="00D7587F"/>
    <w:rsid w:val="00D75E28"/>
    <w:rsid w:val="00D772C2"/>
    <w:rsid w:val="00D8008E"/>
    <w:rsid w:val="00D82C45"/>
    <w:rsid w:val="00D87E12"/>
    <w:rsid w:val="00D908A8"/>
    <w:rsid w:val="00D934F2"/>
    <w:rsid w:val="00D940FD"/>
    <w:rsid w:val="00D97478"/>
    <w:rsid w:val="00D977B6"/>
    <w:rsid w:val="00DA4A31"/>
    <w:rsid w:val="00DA7B04"/>
    <w:rsid w:val="00DB36C2"/>
    <w:rsid w:val="00DB7196"/>
    <w:rsid w:val="00DC169B"/>
    <w:rsid w:val="00DC2AB9"/>
    <w:rsid w:val="00DC63F0"/>
    <w:rsid w:val="00DD6EE5"/>
    <w:rsid w:val="00DE386C"/>
    <w:rsid w:val="00DE4D35"/>
    <w:rsid w:val="00DF0549"/>
    <w:rsid w:val="00DF098B"/>
    <w:rsid w:val="00DF11C4"/>
    <w:rsid w:val="00DF210C"/>
    <w:rsid w:val="00DF4B6A"/>
    <w:rsid w:val="00E01960"/>
    <w:rsid w:val="00E02C09"/>
    <w:rsid w:val="00E04D59"/>
    <w:rsid w:val="00E060AA"/>
    <w:rsid w:val="00E07DA1"/>
    <w:rsid w:val="00E123CB"/>
    <w:rsid w:val="00E1557C"/>
    <w:rsid w:val="00E20E13"/>
    <w:rsid w:val="00E21DBC"/>
    <w:rsid w:val="00E2633B"/>
    <w:rsid w:val="00E275D7"/>
    <w:rsid w:val="00E27DBE"/>
    <w:rsid w:val="00E32AB1"/>
    <w:rsid w:val="00E36C71"/>
    <w:rsid w:val="00E40404"/>
    <w:rsid w:val="00E459C6"/>
    <w:rsid w:val="00E47589"/>
    <w:rsid w:val="00E64915"/>
    <w:rsid w:val="00E661D4"/>
    <w:rsid w:val="00E7007B"/>
    <w:rsid w:val="00E70091"/>
    <w:rsid w:val="00E720F5"/>
    <w:rsid w:val="00E76D47"/>
    <w:rsid w:val="00E849F7"/>
    <w:rsid w:val="00E90302"/>
    <w:rsid w:val="00E9597F"/>
    <w:rsid w:val="00E97396"/>
    <w:rsid w:val="00EA185E"/>
    <w:rsid w:val="00EA3CD2"/>
    <w:rsid w:val="00EA592A"/>
    <w:rsid w:val="00EB14E4"/>
    <w:rsid w:val="00EB32A5"/>
    <w:rsid w:val="00EB34ED"/>
    <w:rsid w:val="00EB7BE0"/>
    <w:rsid w:val="00EC1F26"/>
    <w:rsid w:val="00EC315E"/>
    <w:rsid w:val="00EC36BF"/>
    <w:rsid w:val="00EC4F1B"/>
    <w:rsid w:val="00EC5826"/>
    <w:rsid w:val="00ED077C"/>
    <w:rsid w:val="00ED1190"/>
    <w:rsid w:val="00ED6544"/>
    <w:rsid w:val="00EE0277"/>
    <w:rsid w:val="00EE1DA9"/>
    <w:rsid w:val="00EE3E00"/>
    <w:rsid w:val="00EE5DD2"/>
    <w:rsid w:val="00EF41F1"/>
    <w:rsid w:val="00EF4F08"/>
    <w:rsid w:val="00F00A79"/>
    <w:rsid w:val="00F00E86"/>
    <w:rsid w:val="00F07C1E"/>
    <w:rsid w:val="00F105DB"/>
    <w:rsid w:val="00F132BC"/>
    <w:rsid w:val="00F13D80"/>
    <w:rsid w:val="00F14E21"/>
    <w:rsid w:val="00F16AAA"/>
    <w:rsid w:val="00F20A18"/>
    <w:rsid w:val="00F21161"/>
    <w:rsid w:val="00F218EF"/>
    <w:rsid w:val="00F21BC7"/>
    <w:rsid w:val="00F26540"/>
    <w:rsid w:val="00F266A2"/>
    <w:rsid w:val="00F32269"/>
    <w:rsid w:val="00F45C68"/>
    <w:rsid w:val="00F56A6F"/>
    <w:rsid w:val="00F56F4B"/>
    <w:rsid w:val="00F5709C"/>
    <w:rsid w:val="00F64EF1"/>
    <w:rsid w:val="00F67027"/>
    <w:rsid w:val="00F80416"/>
    <w:rsid w:val="00F8765F"/>
    <w:rsid w:val="00F90767"/>
    <w:rsid w:val="00FA3199"/>
    <w:rsid w:val="00FA520E"/>
    <w:rsid w:val="00FA685B"/>
    <w:rsid w:val="00FB0C01"/>
    <w:rsid w:val="00FC18F2"/>
    <w:rsid w:val="00FC39E5"/>
    <w:rsid w:val="00FC3A78"/>
    <w:rsid w:val="00FC5FFE"/>
    <w:rsid w:val="00FD1005"/>
    <w:rsid w:val="00FD1E34"/>
    <w:rsid w:val="00FD3180"/>
    <w:rsid w:val="00FD6C75"/>
    <w:rsid w:val="00FE0A4D"/>
    <w:rsid w:val="00FE71B3"/>
    <w:rsid w:val="00FF42C5"/>
    <w:rsid w:val="00FF52C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6EC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pl-PL" w:bidi="pl-PL"/>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semiHidden="0"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96ED6"/>
    <w:pPr>
      <w:jc w:val="both"/>
    </w:pPr>
    <w:rPr>
      <w:rFonts w:eastAsiaTheme="minorEastAsia"/>
      <w:sz w:val="24"/>
    </w:rPr>
  </w:style>
  <w:style w:type="paragraph" w:styleId="Nagwek1">
    <w:name w:val="heading 1"/>
    <w:basedOn w:val="Normalny"/>
    <w:next w:val="Normalny"/>
    <w:link w:val="Nagwek1Znak"/>
    <w:uiPriority w:val="99"/>
    <w:semiHidden/>
    <w:rsid w:val="00A96ED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96ED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96ED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96ED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96ED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A96ED6"/>
    <w:pPr>
      <w:spacing w:line="271" w:lineRule="auto"/>
      <w:outlineLvl w:val="5"/>
    </w:pPr>
    <w:rPr>
      <w:rFonts w:asciiTheme="majorHAnsi" w:eastAsiaTheme="majorEastAsia" w:hAnsiTheme="majorHAnsi" w:cstheme="majorBidi"/>
      <w:b/>
      <w:bCs/>
      <w:i/>
      <w:iCs/>
      <w:color w:val="7F7F7F" w:themeColor="text1" w:themeTint="80"/>
    </w:rPr>
  </w:style>
  <w:style w:type="paragraph" w:styleId="Nagwek7">
    <w:name w:val="heading 7"/>
    <w:basedOn w:val="Normalny"/>
    <w:next w:val="Normalny"/>
    <w:link w:val="Nagwek7Znak"/>
    <w:uiPriority w:val="99"/>
    <w:semiHidden/>
    <w:qFormat/>
    <w:rsid w:val="00A96ED6"/>
    <w:pPr>
      <w:outlineLvl w:val="6"/>
    </w:pPr>
    <w:rPr>
      <w:rFonts w:asciiTheme="majorHAnsi" w:eastAsiaTheme="majorEastAsia" w:hAnsiTheme="majorHAnsi" w:cstheme="majorBidi"/>
      <w:i/>
      <w:iCs/>
      <w:sz w:val="22"/>
    </w:rPr>
  </w:style>
  <w:style w:type="paragraph" w:styleId="Nagwek8">
    <w:name w:val="heading 8"/>
    <w:basedOn w:val="Normalny"/>
    <w:next w:val="Normalny"/>
    <w:link w:val="Nagwek8Znak"/>
    <w:uiPriority w:val="99"/>
    <w:semiHidden/>
    <w:qFormat/>
    <w:rsid w:val="00A96ED6"/>
    <w:pPr>
      <w:outlineLvl w:val="7"/>
    </w:pPr>
    <w:rPr>
      <w:rFonts w:asciiTheme="majorHAnsi" w:eastAsiaTheme="majorEastAsia" w:hAnsiTheme="majorHAnsi" w:cstheme="majorBidi"/>
      <w:sz w:val="20"/>
      <w:szCs w:val="20"/>
    </w:rPr>
  </w:style>
  <w:style w:type="paragraph" w:styleId="Nagwek9">
    <w:name w:val="heading 9"/>
    <w:basedOn w:val="Normalny"/>
    <w:next w:val="Normalny"/>
    <w:link w:val="Nagwek9Znak"/>
    <w:uiPriority w:val="99"/>
    <w:semiHidden/>
    <w:qFormat/>
    <w:rsid w:val="00A96ED6"/>
    <w:pPr>
      <w:outlineLvl w:val="8"/>
    </w:pPr>
    <w:rPr>
      <w:rFonts w:asciiTheme="majorHAnsi" w:eastAsiaTheme="majorEastAsia" w:hAnsiTheme="majorHAnsi" w:cstheme="majorBidi"/>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96ED6"/>
    <w:rPr>
      <w:rFonts w:ascii="Tahoma" w:hAnsi="Tahoma" w:cs="Tahoma"/>
      <w:sz w:val="16"/>
      <w:szCs w:val="16"/>
    </w:rPr>
  </w:style>
  <w:style w:type="character" w:customStyle="1" w:styleId="TekstdymkaZnak">
    <w:name w:val="Tekst dymka Znak"/>
    <w:basedOn w:val="Domylnaczcionkaakapitu"/>
    <w:link w:val="Tekstdymka"/>
    <w:uiPriority w:val="99"/>
    <w:semiHidden/>
    <w:rsid w:val="00A96ED6"/>
    <w:rPr>
      <w:rFonts w:ascii="Tahoma" w:eastAsiaTheme="minorEastAsia" w:hAnsi="Tahoma" w:cs="Tahoma"/>
      <w:sz w:val="16"/>
      <w:szCs w:val="16"/>
    </w:rPr>
  </w:style>
  <w:style w:type="character" w:styleId="Tytuksiki">
    <w:name w:val="Book Title"/>
    <w:uiPriority w:val="99"/>
    <w:semiHidden/>
    <w:qFormat/>
    <w:rsid w:val="00A96ED6"/>
    <w:rPr>
      <w:i/>
      <w:iCs/>
      <w:smallCaps/>
      <w:spacing w:val="5"/>
    </w:rPr>
  </w:style>
  <w:style w:type="paragraph" w:customStyle="1" w:styleId="ECHRHeader">
    <w:name w:val="ECHR_Header"/>
    <w:aliases w:val="Ju_Header"/>
    <w:basedOn w:val="Nagwek"/>
    <w:uiPriority w:val="4"/>
    <w:qFormat/>
    <w:rsid w:val="00A96ED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96ED6"/>
    <w:pPr>
      <w:jc w:val="left"/>
    </w:pPr>
    <w:rPr>
      <w:sz w:val="8"/>
    </w:rPr>
  </w:style>
  <w:style w:type="character" w:styleId="Pogrubienie">
    <w:name w:val="Strong"/>
    <w:uiPriority w:val="99"/>
    <w:semiHidden/>
    <w:qFormat/>
    <w:rsid w:val="00A96ED6"/>
    <w:rPr>
      <w:b/>
      <w:bCs/>
    </w:rPr>
  </w:style>
  <w:style w:type="paragraph" w:styleId="Bezodstpw">
    <w:name w:val="No Spacing"/>
    <w:basedOn w:val="Normalny"/>
    <w:link w:val="BezodstpwZnak"/>
    <w:semiHidden/>
    <w:qFormat/>
    <w:rsid w:val="00A96ED6"/>
    <w:rPr>
      <w:sz w:val="22"/>
    </w:rPr>
  </w:style>
  <w:style w:type="character" w:customStyle="1" w:styleId="BezodstpwZnak">
    <w:name w:val="Bez odstępów Znak"/>
    <w:basedOn w:val="Domylnaczcionkaakapitu"/>
    <w:link w:val="Bezodstpw"/>
    <w:semiHidden/>
    <w:rsid w:val="00A96ED6"/>
    <w:rPr>
      <w:rFonts w:eastAsiaTheme="minorEastAsia"/>
    </w:rPr>
  </w:style>
  <w:style w:type="paragraph" w:customStyle="1" w:styleId="ECHRFooterLine">
    <w:name w:val="ECHR_Footer_Line"/>
    <w:aliases w:val="Footer_Line"/>
    <w:basedOn w:val="Normalny"/>
    <w:next w:val="ECHRFooter"/>
    <w:uiPriority w:val="57"/>
    <w:semiHidden/>
    <w:rsid w:val="00A96ED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A96ED6"/>
    <w:pPr>
      <w:numPr>
        <w:numId w:val="14"/>
      </w:numPr>
      <w:jc w:val="left"/>
    </w:pPr>
    <w:rPr>
      <w:b/>
    </w:rPr>
  </w:style>
  <w:style w:type="paragraph" w:customStyle="1" w:styleId="OpiPara">
    <w:name w:val="Opi_Para"/>
    <w:basedOn w:val="ECHRPara"/>
    <w:uiPriority w:val="46"/>
    <w:qFormat/>
    <w:rsid w:val="00A96ED6"/>
  </w:style>
  <w:style w:type="paragraph" w:customStyle="1" w:styleId="JuParaSub">
    <w:name w:val="Ju_Para_Sub"/>
    <w:basedOn w:val="ECHRPara"/>
    <w:uiPriority w:val="13"/>
    <w:qFormat/>
    <w:rsid w:val="00A96ED6"/>
    <w:pPr>
      <w:ind w:left="284"/>
    </w:pPr>
  </w:style>
  <w:style w:type="paragraph" w:customStyle="1" w:styleId="ECHRTitleCentre3">
    <w:name w:val="ECHR_Title_Centre_3"/>
    <w:aliases w:val="Ju_H_Article"/>
    <w:basedOn w:val="Normalny"/>
    <w:next w:val="ECHRParaQuote"/>
    <w:uiPriority w:val="27"/>
    <w:qFormat/>
    <w:rsid w:val="00A96ED6"/>
    <w:pPr>
      <w:keepNext/>
      <w:keepLines/>
      <w:spacing w:before="240" w:after="120"/>
      <w:jc w:val="center"/>
      <w:outlineLvl w:val="3"/>
    </w:pPr>
    <w:rPr>
      <w:rFonts w:asciiTheme="majorHAnsi" w:hAnsiTheme="majorHAnsi"/>
      <w:b/>
      <w:sz w:val="20"/>
    </w:rPr>
  </w:style>
  <w:style w:type="paragraph" w:customStyle="1" w:styleId="ECHRTitleCentre1">
    <w:name w:val="ECHR_Title_Centre_1"/>
    <w:aliases w:val="Opi_H_Head"/>
    <w:basedOn w:val="Normalny"/>
    <w:next w:val="OpiPara"/>
    <w:uiPriority w:val="39"/>
    <w:qFormat/>
    <w:rsid w:val="00A96ED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A96ED6"/>
  </w:style>
  <w:style w:type="paragraph" w:customStyle="1" w:styleId="OpiQuot">
    <w:name w:val="Opi_Quot"/>
    <w:basedOn w:val="ECHRParaQuote"/>
    <w:uiPriority w:val="48"/>
    <w:qFormat/>
    <w:rsid w:val="00A96ED6"/>
  </w:style>
  <w:style w:type="paragraph" w:customStyle="1" w:styleId="OpiQuotSub">
    <w:name w:val="Opi_Quot_Sub"/>
    <w:basedOn w:val="JuQuotSub"/>
    <w:uiPriority w:val="49"/>
    <w:qFormat/>
    <w:rsid w:val="00A96ED6"/>
  </w:style>
  <w:style w:type="paragraph" w:customStyle="1" w:styleId="ECHRTitleCentre2">
    <w:name w:val="ECHR_Title_Centre_2"/>
    <w:aliases w:val="Dec_H_Case"/>
    <w:basedOn w:val="Normalny"/>
    <w:next w:val="ECHRPara"/>
    <w:uiPriority w:val="8"/>
    <w:rsid w:val="00A96ED6"/>
    <w:pPr>
      <w:spacing w:after="240"/>
      <w:jc w:val="center"/>
      <w:outlineLvl w:val="0"/>
    </w:pPr>
    <w:rPr>
      <w:rFonts w:asciiTheme="majorHAnsi" w:hAnsiTheme="majorHAnsi"/>
    </w:rPr>
  </w:style>
  <w:style w:type="paragraph" w:customStyle="1" w:styleId="JuTitle">
    <w:name w:val="Ju_Title"/>
    <w:basedOn w:val="Normalny"/>
    <w:next w:val="ECHRPara"/>
    <w:uiPriority w:val="3"/>
    <w:rsid w:val="00A96ED6"/>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A96ED6"/>
    <w:pPr>
      <w:pBdr>
        <w:bottom w:val="single" w:sz="4" w:space="1" w:color="auto"/>
      </w:pBdr>
      <w:contextualSpacing/>
    </w:pPr>
    <w:rPr>
      <w:rFonts w:asciiTheme="majorHAnsi" w:eastAsiaTheme="majorEastAsia" w:hAnsiTheme="majorHAnsi" w:cstheme="majorBidi"/>
      <w:spacing w:val="5"/>
      <w:sz w:val="52"/>
      <w:szCs w:val="52"/>
    </w:rPr>
  </w:style>
  <w:style w:type="character" w:customStyle="1" w:styleId="TytuZnak">
    <w:name w:val="Tytuł Znak"/>
    <w:basedOn w:val="Domylnaczcionkaakapitu"/>
    <w:link w:val="Tytu"/>
    <w:uiPriority w:val="99"/>
    <w:semiHidden/>
    <w:rsid w:val="00A96ED6"/>
    <w:rPr>
      <w:rFonts w:asciiTheme="majorHAnsi" w:eastAsiaTheme="majorEastAsia" w:hAnsiTheme="majorHAnsi" w:cstheme="majorBidi"/>
      <w:spacing w:val="5"/>
      <w:sz w:val="52"/>
      <w:szCs w:val="52"/>
      <w:lang w:bidi="pl-PL"/>
    </w:rPr>
  </w:style>
  <w:style w:type="paragraph" w:customStyle="1" w:styleId="ECHRHeading3">
    <w:name w:val="ECHR_Heading_3"/>
    <w:aliases w:val="Ju_H_1."/>
    <w:basedOn w:val="Nagwek3"/>
    <w:next w:val="ECHRPara"/>
    <w:uiPriority w:val="21"/>
    <w:qFormat/>
    <w:rsid w:val="00A96ED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A96ED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96ED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A96ED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A96ED6"/>
    <w:pPr>
      <w:keepNext/>
      <w:keepLines/>
      <w:spacing w:before="240" w:after="120"/>
      <w:ind w:left="1236"/>
    </w:pPr>
    <w:rPr>
      <w:sz w:val="20"/>
    </w:rPr>
  </w:style>
  <w:style w:type="paragraph" w:customStyle="1" w:styleId="JuQuotSub">
    <w:name w:val="Ju_Quot_Sub"/>
    <w:basedOn w:val="ECHRParaQuote"/>
    <w:uiPriority w:val="15"/>
    <w:qFormat/>
    <w:rsid w:val="00A96ED6"/>
    <w:pPr>
      <w:ind w:left="567"/>
    </w:pPr>
  </w:style>
  <w:style w:type="paragraph" w:customStyle="1" w:styleId="JuInitialled">
    <w:name w:val="Ju_Initialled"/>
    <w:basedOn w:val="Normalny"/>
    <w:uiPriority w:val="31"/>
    <w:qFormat/>
    <w:rsid w:val="00A96ED6"/>
    <w:pPr>
      <w:tabs>
        <w:tab w:val="center" w:pos="6407"/>
      </w:tabs>
      <w:spacing w:before="720"/>
      <w:jc w:val="right"/>
    </w:pPr>
  </w:style>
  <w:style w:type="paragraph" w:customStyle="1" w:styleId="OpiHA">
    <w:name w:val="Opi_H_A"/>
    <w:basedOn w:val="ECHRHeading1"/>
    <w:next w:val="OpiPara"/>
    <w:uiPriority w:val="41"/>
    <w:qFormat/>
    <w:rsid w:val="00A96ED6"/>
    <w:pPr>
      <w:tabs>
        <w:tab w:val="clear" w:pos="357"/>
      </w:tabs>
      <w:outlineLvl w:val="1"/>
    </w:pPr>
    <w:rPr>
      <w:b/>
    </w:rPr>
  </w:style>
  <w:style w:type="paragraph" w:styleId="Nagwek">
    <w:name w:val="header"/>
    <w:basedOn w:val="Normalny"/>
    <w:link w:val="NagwekZnak"/>
    <w:uiPriority w:val="57"/>
    <w:semiHidden/>
    <w:rsid w:val="00A96ED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96ED6"/>
    <w:rPr>
      <w:sz w:val="24"/>
    </w:rPr>
  </w:style>
  <w:style w:type="character" w:customStyle="1" w:styleId="Nagwek1Znak">
    <w:name w:val="Nagłówek 1 Znak"/>
    <w:basedOn w:val="Domylnaczcionkaakapitu"/>
    <w:link w:val="Nagwek1"/>
    <w:uiPriority w:val="99"/>
    <w:semiHidden/>
    <w:rsid w:val="00A96ED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A96ED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A96ED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96ED6"/>
    <w:rPr>
      <w:rFonts w:asciiTheme="majorHAnsi" w:eastAsiaTheme="majorEastAsia" w:hAnsiTheme="majorHAnsi" w:cstheme="majorBidi"/>
      <w:b/>
      <w:bCs/>
      <w:color w:val="4D4D4D"/>
      <w:sz w:val="26"/>
      <w:szCs w:val="26"/>
    </w:rPr>
  </w:style>
  <w:style w:type="character" w:customStyle="1" w:styleId="JUNAMES">
    <w:name w:val="JU_NAMES"/>
    <w:uiPriority w:val="17"/>
    <w:qFormat/>
    <w:rsid w:val="00A96ED6"/>
    <w:rPr>
      <w:caps w:val="0"/>
      <w:smallCaps/>
    </w:rPr>
  </w:style>
  <w:style w:type="paragraph" w:customStyle="1" w:styleId="JuCase">
    <w:name w:val="Ju_Case"/>
    <w:basedOn w:val="Normalny"/>
    <w:next w:val="ECHRPara"/>
    <w:uiPriority w:val="10"/>
    <w:rsid w:val="00A96ED6"/>
    <w:pPr>
      <w:ind w:firstLine="284"/>
    </w:pPr>
    <w:rPr>
      <w:b/>
    </w:rPr>
  </w:style>
  <w:style w:type="character" w:customStyle="1" w:styleId="Nagwek3Znak">
    <w:name w:val="Nagłówek 3 Znak"/>
    <w:basedOn w:val="Domylnaczcionkaakapitu"/>
    <w:link w:val="Nagwek3"/>
    <w:uiPriority w:val="99"/>
    <w:semiHidden/>
    <w:rsid w:val="00A96ED6"/>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A96ED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A96ED6"/>
    <w:rPr>
      <w:rFonts w:asciiTheme="majorHAnsi" w:eastAsiaTheme="majorEastAsia" w:hAnsiTheme="majorHAnsi" w:cstheme="majorBidi"/>
      <w:b/>
      <w:bCs/>
      <w:color w:val="808080"/>
    </w:rPr>
  </w:style>
  <w:style w:type="character" w:styleId="Wyrnieniedelikatne">
    <w:name w:val="Subtle Emphasis"/>
    <w:uiPriority w:val="99"/>
    <w:semiHidden/>
    <w:qFormat/>
    <w:rsid w:val="00A96ED6"/>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A96ED6"/>
    <w:pPr>
      <w:keepNext/>
      <w:keepLines/>
      <w:spacing w:before="720" w:after="240"/>
      <w:outlineLvl w:val="0"/>
    </w:pPr>
    <w:rPr>
      <w:rFonts w:asciiTheme="majorHAnsi" w:hAnsiTheme="majorHAnsi"/>
      <w:sz w:val="28"/>
    </w:rPr>
  </w:style>
  <w:style w:type="character" w:styleId="Uwydatnienie">
    <w:name w:val="Emphasis"/>
    <w:uiPriority w:val="99"/>
    <w:semiHidden/>
    <w:qFormat/>
    <w:rsid w:val="00A96ED6"/>
    <w:rPr>
      <w:b/>
      <w:bCs/>
      <w:i/>
      <w:iCs/>
      <w:spacing w:val="10"/>
      <w:bdr w:val="none" w:sz="0" w:space="0" w:color="auto"/>
      <w:shd w:val="clear" w:color="auto" w:fill="auto"/>
    </w:rPr>
  </w:style>
  <w:style w:type="paragraph" w:styleId="Stopka">
    <w:name w:val="footer"/>
    <w:basedOn w:val="Normalny"/>
    <w:link w:val="StopkaZnak"/>
    <w:uiPriority w:val="57"/>
    <w:semiHidden/>
    <w:rsid w:val="00A96ED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96ED6"/>
    <w:rPr>
      <w:sz w:val="24"/>
    </w:rPr>
  </w:style>
  <w:style w:type="character" w:styleId="Odwoanieprzypisudolnego">
    <w:name w:val="footnote reference"/>
    <w:basedOn w:val="Domylnaczcionkaakapitu"/>
    <w:uiPriority w:val="99"/>
    <w:semiHidden/>
    <w:rsid w:val="00A96ED6"/>
    <w:rPr>
      <w:vertAlign w:val="superscript"/>
    </w:rPr>
  </w:style>
  <w:style w:type="paragraph" w:styleId="Tekstprzypisudolnego">
    <w:name w:val="footnote text"/>
    <w:basedOn w:val="Normalny"/>
    <w:link w:val="TekstprzypisudolnegoZnak"/>
    <w:uiPriority w:val="99"/>
    <w:semiHidden/>
    <w:rsid w:val="00A96ED6"/>
    <w:rPr>
      <w:sz w:val="20"/>
      <w:szCs w:val="20"/>
    </w:rPr>
  </w:style>
  <w:style w:type="character" w:customStyle="1" w:styleId="TekstprzypisudolnegoZnak">
    <w:name w:val="Tekst przypisu dolnego Znak"/>
    <w:basedOn w:val="Domylnaczcionkaakapitu"/>
    <w:link w:val="Tekstprzypisudolnego"/>
    <w:uiPriority w:val="99"/>
    <w:semiHidden/>
    <w:rsid w:val="00A96ED6"/>
    <w:rPr>
      <w:rFonts w:eastAsiaTheme="minorEastAsia"/>
      <w:sz w:val="20"/>
      <w:szCs w:val="20"/>
    </w:rPr>
  </w:style>
  <w:style w:type="character" w:customStyle="1" w:styleId="Nagwek6Znak">
    <w:name w:val="Nagłówek 6 Znak"/>
    <w:basedOn w:val="Domylnaczcionkaakapitu"/>
    <w:link w:val="Nagwek6"/>
    <w:uiPriority w:val="99"/>
    <w:semiHidden/>
    <w:rsid w:val="00A96ED6"/>
    <w:rPr>
      <w:rFonts w:asciiTheme="majorHAnsi" w:eastAsiaTheme="majorEastAsia" w:hAnsiTheme="majorHAnsi" w:cstheme="majorBidi"/>
      <w:b/>
      <w:bCs/>
      <w:i/>
      <w:iCs/>
      <w:color w:val="7F7F7F" w:themeColor="text1" w:themeTint="80"/>
      <w:sz w:val="24"/>
      <w:lang w:bidi="pl-PL"/>
    </w:rPr>
  </w:style>
  <w:style w:type="character" w:customStyle="1" w:styleId="Nagwek7Znak">
    <w:name w:val="Nagłówek 7 Znak"/>
    <w:basedOn w:val="Domylnaczcionkaakapitu"/>
    <w:link w:val="Nagwek7"/>
    <w:uiPriority w:val="99"/>
    <w:semiHidden/>
    <w:rsid w:val="00A96ED6"/>
    <w:rPr>
      <w:rFonts w:asciiTheme="majorHAnsi" w:eastAsiaTheme="majorEastAsia" w:hAnsiTheme="majorHAnsi" w:cstheme="majorBidi"/>
      <w:i/>
      <w:iCs/>
      <w:lang w:bidi="pl-PL"/>
    </w:rPr>
  </w:style>
  <w:style w:type="character" w:customStyle="1" w:styleId="Nagwek8Znak">
    <w:name w:val="Nagłówek 8 Znak"/>
    <w:basedOn w:val="Domylnaczcionkaakapitu"/>
    <w:link w:val="Nagwek8"/>
    <w:uiPriority w:val="99"/>
    <w:semiHidden/>
    <w:rsid w:val="00A96ED6"/>
    <w:rPr>
      <w:rFonts w:asciiTheme="majorHAnsi" w:eastAsiaTheme="majorEastAsia" w:hAnsiTheme="majorHAnsi" w:cstheme="majorBidi"/>
      <w:sz w:val="20"/>
      <w:szCs w:val="20"/>
      <w:lang w:bidi="pl-PL"/>
    </w:rPr>
  </w:style>
  <w:style w:type="character" w:customStyle="1" w:styleId="Nagwek9Znak">
    <w:name w:val="Nagłówek 9 Znak"/>
    <w:basedOn w:val="Domylnaczcionkaakapitu"/>
    <w:link w:val="Nagwek9"/>
    <w:uiPriority w:val="99"/>
    <w:semiHidden/>
    <w:rsid w:val="00A96ED6"/>
    <w:rPr>
      <w:rFonts w:asciiTheme="majorHAnsi" w:eastAsiaTheme="majorEastAsia" w:hAnsiTheme="majorHAnsi" w:cstheme="majorBidi"/>
      <w:i/>
      <w:iCs/>
      <w:spacing w:val="5"/>
      <w:sz w:val="20"/>
      <w:szCs w:val="20"/>
      <w:lang w:bidi="pl-PL"/>
    </w:rPr>
  </w:style>
  <w:style w:type="character" w:styleId="Hipercze">
    <w:name w:val="Hyperlink"/>
    <w:basedOn w:val="Domylnaczcionkaakapitu"/>
    <w:uiPriority w:val="99"/>
    <w:rsid w:val="00A96ED6"/>
    <w:rPr>
      <w:color w:val="0072BC" w:themeColor="hyperlink"/>
      <w:u w:val="single"/>
    </w:rPr>
  </w:style>
  <w:style w:type="character" w:styleId="Wyrnienieintensywne">
    <w:name w:val="Intense Emphasis"/>
    <w:uiPriority w:val="99"/>
    <w:semiHidden/>
    <w:qFormat/>
    <w:rsid w:val="00A96ED6"/>
    <w:rPr>
      <w:b/>
      <w:bCs/>
    </w:rPr>
  </w:style>
  <w:style w:type="paragraph" w:styleId="Cytatintensywny">
    <w:name w:val="Intense Quote"/>
    <w:basedOn w:val="Normalny"/>
    <w:next w:val="Normalny"/>
    <w:link w:val="CytatintensywnyZnak"/>
    <w:uiPriority w:val="99"/>
    <w:semiHidden/>
    <w:qFormat/>
    <w:rsid w:val="00A96ED6"/>
    <w:pPr>
      <w:pBdr>
        <w:bottom w:val="single" w:sz="4" w:space="1" w:color="auto"/>
      </w:pBdr>
      <w:spacing w:before="200" w:after="280"/>
      <w:ind w:left="1008" w:right="1152"/>
    </w:pPr>
    <w:rPr>
      <w:b/>
      <w:bCs/>
      <w:i/>
      <w:iCs/>
      <w:sz w:val="22"/>
    </w:rPr>
  </w:style>
  <w:style w:type="character" w:customStyle="1" w:styleId="CytatintensywnyZnak">
    <w:name w:val="Cytat intensywny Znak"/>
    <w:basedOn w:val="Domylnaczcionkaakapitu"/>
    <w:link w:val="Cytatintensywny"/>
    <w:uiPriority w:val="99"/>
    <w:semiHidden/>
    <w:rsid w:val="00A96ED6"/>
    <w:rPr>
      <w:rFonts w:eastAsiaTheme="minorEastAsia"/>
      <w:b/>
      <w:bCs/>
      <w:i/>
      <w:iCs/>
      <w:lang w:bidi="pl-PL"/>
    </w:rPr>
  </w:style>
  <w:style w:type="character" w:styleId="Odwoanieintensywne">
    <w:name w:val="Intense Reference"/>
    <w:uiPriority w:val="99"/>
    <w:semiHidden/>
    <w:qFormat/>
    <w:rsid w:val="00A96ED6"/>
    <w:rPr>
      <w:smallCaps/>
      <w:spacing w:val="5"/>
      <w:u w:val="single"/>
    </w:rPr>
  </w:style>
  <w:style w:type="paragraph" w:styleId="Akapitzlist">
    <w:name w:val="List Paragraph"/>
    <w:basedOn w:val="Normalny"/>
    <w:uiPriority w:val="99"/>
    <w:semiHidden/>
    <w:qFormat/>
    <w:rsid w:val="00A96ED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A96ED6"/>
    <w:pPr>
      <w:spacing w:before="200"/>
      <w:ind w:left="360" w:right="360"/>
    </w:pPr>
    <w:rPr>
      <w:i/>
      <w:iCs/>
      <w:sz w:val="22"/>
    </w:rPr>
  </w:style>
  <w:style w:type="character" w:customStyle="1" w:styleId="CytatZnak">
    <w:name w:val="Cytat Znak"/>
    <w:basedOn w:val="Domylnaczcionkaakapitu"/>
    <w:link w:val="Cytat"/>
    <w:uiPriority w:val="99"/>
    <w:semiHidden/>
    <w:rsid w:val="00A96ED6"/>
    <w:rPr>
      <w:rFonts w:eastAsiaTheme="minorEastAsia"/>
      <w:i/>
      <w:iCs/>
      <w:lang w:bidi="pl-PL"/>
    </w:rPr>
  </w:style>
  <w:style w:type="character" w:styleId="Odwoaniedelikatne">
    <w:name w:val="Subtle Reference"/>
    <w:uiPriority w:val="99"/>
    <w:semiHidden/>
    <w:qFormat/>
    <w:rsid w:val="00A96ED6"/>
    <w:rPr>
      <w:smallCaps/>
    </w:rPr>
  </w:style>
  <w:style w:type="table" w:styleId="Tabela-Siatka">
    <w:name w:val="Table Grid"/>
    <w:basedOn w:val="Standardowy"/>
    <w:uiPriority w:val="59"/>
    <w:semiHidden/>
    <w:rsid w:val="00A96ED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39"/>
    <w:rsid w:val="00A96ED6"/>
    <w:pPr>
      <w:spacing w:before="120" w:after="60"/>
      <w:ind w:left="340" w:right="340" w:hanging="340"/>
    </w:pPr>
    <w:rPr>
      <w:color w:val="0D0D0D" w:themeColor="text1" w:themeTint="F2"/>
    </w:rPr>
  </w:style>
  <w:style w:type="paragraph" w:styleId="Spistreci2">
    <w:name w:val="toc 2"/>
    <w:basedOn w:val="Normalny"/>
    <w:next w:val="Normalny"/>
    <w:autoRedefine/>
    <w:uiPriority w:val="39"/>
    <w:rsid w:val="00A96ED6"/>
    <w:pPr>
      <w:spacing w:after="60"/>
      <w:ind w:left="680" w:right="340" w:hanging="340"/>
    </w:pPr>
  </w:style>
  <w:style w:type="paragraph" w:styleId="Spistreci3">
    <w:name w:val="toc 3"/>
    <w:basedOn w:val="Normalny"/>
    <w:next w:val="Normalny"/>
    <w:autoRedefine/>
    <w:uiPriority w:val="39"/>
    <w:rsid w:val="00A96ED6"/>
    <w:pPr>
      <w:spacing w:after="60"/>
      <w:ind w:left="1020" w:right="340" w:hanging="340"/>
    </w:pPr>
  </w:style>
  <w:style w:type="paragraph" w:styleId="Spistreci4">
    <w:name w:val="toc 4"/>
    <w:basedOn w:val="Normalny"/>
    <w:next w:val="Normalny"/>
    <w:autoRedefine/>
    <w:uiPriority w:val="99"/>
    <w:semiHidden/>
    <w:rsid w:val="00A96ED6"/>
    <w:pPr>
      <w:tabs>
        <w:tab w:val="right" w:leader="dot" w:pos="9017"/>
      </w:tabs>
      <w:spacing w:after="60"/>
      <w:ind w:left="1361" w:right="340" w:hanging="340"/>
    </w:pPr>
  </w:style>
  <w:style w:type="paragraph" w:styleId="Spistreci5">
    <w:name w:val="toc 5"/>
    <w:basedOn w:val="Normalny"/>
    <w:next w:val="Normalny"/>
    <w:autoRedefine/>
    <w:uiPriority w:val="99"/>
    <w:semiHidden/>
    <w:rsid w:val="00A96ED6"/>
    <w:pPr>
      <w:spacing w:after="60"/>
      <w:ind w:left="1701" w:right="340" w:hanging="340"/>
    </w:pPr>
  </w:style>
  <w:style w:type="paragraph" w:styleId="Nagwekspisutreci">
    <w:name w:val="TOC Heading"/>
    <w:basedOn w:val="Nagwek1"/>
    <w:next w:val="Normalny"/>
    <w:uiPriority w:val="99"/>
    <w:semiHidden/>
    <w:qFormat/>
    <w:rsid w:val="00A96ED6"/>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96ED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A96ED6"/>
    <w:pPr>
      <w:spacing w:before="120" w:after="120"/>
      <w:ind w:left="425" w:firstLine="142"/>
    </w:pPr>
    <w:rPr>
      <w:sz w:val="20"/>
    </w:rPr>
  </w:style>
  <w:style w:type="paragraph" w:customStyle="1" w:styleId="ECHRPara">
    <w:name w:val="ECHR_Para"/>
    <w:aliases w:val="Ju_Para"/>
    <w:basedOn w:val="Normalny"/>
    <w:uiPriority w:val="12"/>
    <w:qFormat/>
    <w:rsid w:val="00A96ED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96ED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96ED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96ED6"/>
    <w:pPr>
      <w:ind w:left="340" w:hanging="340"/>
    </w:pPr>
  </w:style>
  <w:style w:type="paragraph" w:customStyle="1" w:styleId="JuSigned">
    <w:name w:val="Ju_Signed"/>
    <w:basedOn w:val="Normalny"/>
    <w:next w:val="JuParaLast"/>
    <w:uiPriority w:val="32"/>
    <w:qFormat/>
    <w:rsid w:val="00A96ED6"/>
    <w:pPr>
      <w:tabs>
        <w:tab w:val="center" w:pos="851"/>
        <w:tab w:val="center" w:pos="6407"/>
      </w:tabs>
      <w:spacing w:before="720"/>
      <w:jc w:val="left"/>
    </w:pPr>
  </w:style>
  <w:style w:type="paragraph" w:customStyle="1" w:styleId="JuParaLast">
    <w:name w:val="Ju_Para_Last"/>
    <w:basedOn w:val="Normalny"/>
    <w:next w:val="ECHRPara"/>
    <w:uiPriority w:val="30"/>
    <w:qFormat/>
    <w:rsid w:val="00A96ED6"/>
    <w:pPr>
      <w:keepNext/>
      <w:keepLines/>
      <w:spacing w:before="240"/>
      <w:ind w:firstLine="284"/>
    </w:pPr>
  </w:style>
  <w:style w:type="paragraph" w:customStyle="1" w:styleId="JuCourt">
    <w:name w:val="Ju_Court"/>
    <w:basedOn w:val="Normalny"/>
    <w:next w:val="Normalny"/>
    <w:uiPriority w:val="16"/>
    <w:qFormat/>
    <w:rsid w:val="00A96ED6"/>
    <w:pPr>
      <w:tabs>
        <w:tab w:val="left" w:pos="907"/>
        <w:tab w:val="left" w:pos="1701"/>
        <w:tab w:val="right" w:pos="7371"/>
      </w:tabs>
      <w:spacing w:before="240"/>
      <w:ind w:left="397" w:hanging="397"/>
      <w:jc w:val="left"/>
    </w:p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A96ED6"/>
    <w:pPr>
      <w:ind w:left="346" w:firstLine="0"/>
    </w:pPr>
  </w:style>
  <w:style w:type="paragraph" w:customStyle="1" w:styleId="JuListi">
    <w:name w:val="Ju_List_i"/>
    <w:basedOn w:val="Normalny"/>
    <w:next w:val="JuLista"/>
    <w:uiPriority w:val="28"/>
    <w:qFormat/>
    <w:rsid w:val="00A96ED6"/>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A96ED6"/>
    <w:rPr>
      <w:vanish w:val="0"/>
      <w:color w:val="auto"/>
      <w:sz w:val="14"/>
    </w:rPr>
  </w:style>
  <w:style w:type="paragraph" w:styleId="Podtytu">
    <w:name w:val="Subtitle"/>
    <w:basedOn w:val="Normalny"/>
    <w:next w:val="Normalny"/>
    <w:link w:val="PodtytuZnak"/>
    <w:uiPriority w:val="99"/>
    <w:semiHidden/>
    <w:qFormat/>
    <w:rsid w:val="00A96ED6"/>
    <w:pPr>
      <w:spacing w:after="600"/>
    </w:pPr>
    <w:rPr>
      <w:rFonts w:asciiTheme="majorHAnsi" w:eastAsiaTheme="majorEastAsia" w:hAnsiTheme="majorHAnsi" w:cstheme="majorBidi"/>
      <w:i/>
      <w:iCs/>
      <w:spacing w:val="13"/>
      <w:szCs w:val="24"/>
    </w:rPr>
  </w:style>
  <w:style w:type="character" w:customStyle="1" w:styleId="PodtytuZnak">
    <w:name w:val="Podtytuł Znak"/>
    <w:basedOn w:val="Domylnaczcionkaakapitu"/>
    <w:link w:val="Podtytu"/>
    <w:uiPriority w:val="99"/>
    <w:semiHidden/>
    <w:rsid w:val="00A96ED6"/>
    <w:rPr>
      <w:rFonts w:asciiTheme="majorHAnsi" w:eastAsiaTheme="majorEastAsia" w:hAnsiTheme="majorHAnsi" w:cstheme="majorBidi"/>
      <w:i/>
      <w:iCs/>
      <w:spacing w:val="13"/>
      <w:sz w:val="24"/>
      <w:szCs w:val="24"/>
      <w:lang w:bidi="pl-PL"/>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pl-PL" w:eastAsia="pl-PL"/>
    </w:rPr>
  </w:style>
  <w:style w:type="table" w:styleId="redniasiatka1">
    <w:name w:val="Medium Grid 1"/>
    <w:basedOn w:val="Standardowy"/>
    <w:uiPriority w:val="99"/>
    <w:semiHidden/>
    <w:rsid w:val="00014566"/>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Translation">
    <w:name w:val="Opi_Translation"/>
    <w:basedOn w:val="Normalny"/>
    <w:next w:val="OpiPara"/>
    <w:uiPriority w:val="40"/>
    <w:qFormat/>
    <w:rsid w:val="00A96ED6"/>
    <w:pPr>
      <w:jc w:val="center"/>
      <w:outlineLvl w:val="0"/>
    </w:pPr>
    <w:rPr>
      <w:i/>
    </w:rPr>
  </w:style>
  <w:style w:type="paragraph" w:customStyle="1" w:styleId="DecHTitle">
    <w:name w:val="Dec_H_Title"/>
    <w:basedOn w:val="ECHRTitleCentre1"/>
    <w:uiPriority w:val="7"/>
    <w:rsid w:val="00A96ED6"/>
  </w:style>
  <w:style w:type="paragraph" w:customStyle="1" w:styleId="DecList">
    <w:name w:val="Dec_List"/>
    <w:basedOn w:val="Normalny"/>
    <w:uiPriority w:val="9"/>
    <w:rsid w:val="00A96ED6"/>
    <w:pPr>
      <w:spacing w:before="240"/>
      <w:ind w:left="284"/>
    </w:pPr>
  </w:style>
  <w:style w:type="paragraph" w:customStyle="1" w:styleId="OpiH1">
    <w:name w:val="Opi_H_1"/>
    <w:basedOn w:val="ECHRHeading2"/>
    <w:uiPriority w:val="42"/>
    <w:qFormat/>
    <w:rsid w:val="00A96ED6"/>
    <w:pPr>
      <w:ind w:left="635" w:hanging="357"/>
      <w:outlineLvl w:val="2"/>
    </w:pPr>
  </w:style>
  <w:style w:type="paragraph" w:customStyle="1" w:styleId="OpiHa0">
    <w:name w:val="Opi_H_a"/>
    <w:basedOn w:val="ECHRHeading3"/>
    <w:uiPriority w:val="43"/>
    <w:qFormat/>
    <w:rsid w:val="00A96ED6"/>
    <w:pPr>
      <w:ind w:left="833" w:hanging="357"/>
      <w:outlineLvl w:val="3"/>
    </w:pPr>
    <w:rPr>
      <w:b/>
      <w:i w:val="0"/>
      <w:sz w:val="20"/>
    </w:rPr>
  </w:style>
  <w:style w:type="paragraph" w:customStyle="1" w:styleId="OpiHi">
    <w:name w:val="Opi_H_i"/>
    <w:basedOn w:val="ECHRHeading4"/>
    <w:uiPriority w:val="44"/>
    <w:qFormat/>
    <w:rsid w:val="00A96ED6"/>
    <w:pPr>
      <w:ind w:left="1037" w:hanging="357"/>
      <w:outlineLvl w:val="4"/>
    </w:pPr>
    <w:rPr>
      <w:b w:val="0"/>
      <w:i/>
    </w:rPr>
  </w:style>
  <w:style w:type="paragraph" w:customStyle="1" w:styleId="DummyStyle">
    <w:name w:val="Dummy_Style"/>
    <w:basedOn w:val="Normalny"/>
    <w:semiHidden/>
    <w:qFormat/>
    <w:rsid w:val="00A96ED6"/>
    <w:rPr>
      <w:color w:val="00B050"/>
    </w:rPr>
  </w:style>
  <w:style w:type="paragraph" w:styleId="Poprawka">
    <w:name w:val="Revision"/>
    <w:hidden/>
    <w:uiPriority w:val="99"/>
    <w:semiHidden/>
    <w:rsid w:val="00C728FB"/>
    <w:rPr>
      <w:rFonts w:eastAsiaTheme="minorEastAsi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pl-PL" w:bidi="pl-PL"/>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semiHidden="0"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96ED6"/>
    <w:pPr>
      <w:jc w:val="both"/>
    </w:pPr>
    <w:rPr>
      <w:rFonts w:eastAsiaTheme="minorEastAsia"/>
      <w:sz w:val="24"/>
    </w:rPr>
  </w:style>
  <w:style w:type="paragraph" w:styleId="Nagwek1">
    <w:name w:val="heading 1"/>
    <w:basedOn w:val="Normalny"/>
    <w:next w:val="Normalny"/>
    <w:link w:val="Nagwek1Znak"/>
    <w:uiPriority w:val="99"/>
    <w:semiHidden/>
    <w:rsid w:val="00A96ED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96ED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96ED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96ED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96ED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A96ED6"/>
    <w:pPr>
      <w:spacing w:line="271" w:lineRule="auto"/>
      <w:outlineLvl w:val="5"/>
    </w:pPr>
    <w:rPr>
      <w:rFonts w:asciiTheme="majorHAnsi" w:eastAsiaTheme="majorEastAsia" w:hAnsiTheme="majorHAnsi" w:cstheme="majorBidi"/>
      <w:b/>
      <w:bCs/>
      <w:i/>
      <w:iCs/>
      <w:color w:val="7F7F7F" w:themeColor="text1" w:themeTint="80"/>
    </w:rPr>
  </w:style>
  <w:style w:type="paragraph" w:styleId="Nagwek7">
    <w:name w:val="heading 7"/>
    <w:basedOn w:val="Normalny"/>
    <w:next w:val="Normalny"/>
    <w:link w:val="Nagwek7Znak"/>
    <w:uiPriority w:val="99"/>
    <w:semiHidden/>
    <w:qFormat/>
    <w:rsid w:val="00A96ED6"/>
    <w:pPr>
      <w:outlineLvl w:val="6"/>
    </w:pPr>
    <w:rPr>
      <w:rFonts w:asciiTheme="majorHAnsi" w:eastAsiaTheme="majorEastAsia" w:hAnsiTheme="majorHAnsi" w:cstheme="majorBidi"/>
      <w:i/>
      <w:iCs/>
      <w:sz w:val="22"/>
    </w:rPr>
  </w:style>
  <w:style w:type="paragraph" w:styleId="Nagwek8">
    <w:name w:val="heading 8"/>
    <w:basedOn w:val="Normalny"/>
    <w:next w:val="Normalny"/>
    <w:link w:val="Nagwek8Znak"/>
    <w:uiPriority w:val="99"/>
    <w:semiHidden/>
    <w:qFormat/>
    <w:rsid w:val="00A96ED6"/>
    <w:pPr>
      <w:outlineLvl w:val="7"/>
    </w:pPr>
    <w:rPr>
      <w:rFonts w:asciiTheme="majorHAnsi" w:eastAsiaTheme="majorEastAsia" w:hAnsiTheme="majorHAnsi" w:cstheme="majorBidi"/>
      <w:sz w:val="20"/>
      <w:szCs w:val="20"/>
    </w:rPr>
  </w:style>
  <w:style w:type="paragraph" w:styleId="Nagwek9">
    <w:name w:val="heading 9"/>
    <w:basedOn w:val="Normalny"/>
    <w:next w:val="Normalny"/>
    <w:link w:val="Nagwek9Znak"/>
    <w:uiPriority w:val="99"/>
    <w:semiHidden/>
    <w:qFormat/>
    <w:rsid w:val="00A96ED6"/>
    <w:pPr>
      <w:outlineLvl w:val="8"/>
    </w:pPr>
    <w:rPr>
      <w:rFonts w:asciiTheme="majorHAnsi" w:eastAsiaTheme="majorEastAsia" w:hAnsiTheme="majorHAnsi" w:cstheme="majorBidi"/>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96ED6"/>
    <w:rPr>
      <w:rFonts w:ascii="Tahoma" w:hAnsi="Tahoma" w:cs="Tahoma"/>
      <w:sz w:val="16"/>
      <w:szCs w:val="16"/>
    </w:rPr>
  </w:style>
  <w:style w:type="character" w:customStyle="1" w:styleId="TekstdymkaZnak">
    <w:name w:val="Tekst dymka Znak"/>
    <w:basedOn w:val="Domylnaczcionkaakapitu"/>
    <w:link w:val="Tekstdymka"/>
    <w:uiPriority w:val="99"/>
    <w:semiHidden/>
    <w:rsid w:val="00A96ED6"/>
    <w:rPr>
      <w:rFonts w:ascii="Tahoma" w:eastAsiaTheme="minorEastAsia" w:hAnsi="Tahoma" w:cs="Tahoma"/>
      <w:sz w:val="16"/>
      <w:szCs w:val="16"/>
    </w:rPr>
  </w:style>
  <w:style w:type="character" w:styleId="Tytuksiki">
    <w:name w:val="Book Title"/>
    <w:uiPriority w:val="99"/>
    <w:semiHidden/>
    <w:qFormat/>
    <w:rsid w:val="00A96ED6"/>
    <w:rPr>
      <w:i/>
      <w:iCs/>
      <w:smallCaps/>
      <w:spacing w:val="5"/>
    </w:rPr>
  </w:style>
  <w:style w:type="paragraph" w:customStyle="1" w:styleId="ECHRHeader">
    <w:name w:val="ECHR_Header"/>
    <w:aliases w:val="Ju_Header"/>
    <w:basedOn w:val="Nagwek"/>
    <w:uiPriority w:val="4"/>
    <w:qFormat/>
    <w:rsid w:val="00A96ED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96ED6"/>
    <w:pPr>
      <w:jc w:val="left"/>
    </w:pPr>
    <w:rPr>
      <w:sz w:val="8"/>
    </w:rPr>
  </w:style>
  <w:style w:type="character" w:styleId="Pogrubienie">
    <w:name w:val="Strong"/>
    <w:uiPriority w:val="99"/>
    <w:semiHidden/>
    <w:qFormat/>
    <w:rsid w:val="00A96ED6"/>
    <w:rPr>
      <w:b/>
      <w:bCs/>
    </w:rPr>
  </w:style>
  <w:style w:type="paragraph" w:styleId="Bezodstpw">
    <w:name w:val="No Spacing"/>
    <w:basedOn w:val="Normalny"/>
    <w:link w:val="BezodstpwZnak"/>
    <w:semiHidden/>
    <w:qFormat/>
    <w:rsid w:val="00A96ED6"/>
    <w:rPr>
      <w:sz w:val="22"/>
    </w:rPr>
  </w:style>
  <w:style w:type="character" w:customStyle="1" w:styleId="BezodstpwZnak">
    <w:name w:val="Bez odstępów Znak"/>
    <w:basedOn w:val="Domylnaczcionkaakapitu"/>
    <w:link w:val="Bezodstpw"/>
    <w:semiHidden/>
    <w:rsid w:val="00A96ED6"/>
    <w:rPr>
      <w:rFonts w:eastAsiaTheme="minorEastAsia"/>
    </w:rPr>
  </w:style>
  <w:style w:type="paragraph" w:customStyle="1" w:styleId="ECHRFooterLine">
    <w:name w:val="ECHR_Footer_Line"/>
    <w:aliases w:val="Footer_Line"/>
    <w:basedOn w:val="Normalny"/>
    <w:next w:val="ECHRFooter"/>
    <w:uiPriority w:val="57"/>
    <w:semiHidden/>
    <w:rsid w:val="00A96ED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A96ED6"/>
    <w:pPr>
      <w:numPr>
        <w:numId w:val="14"/>
      </w:numPr>
      <w:jc w:val="left"/>
    </w:pPr>
    <w:rPr>
      <w:b/>
    </w:rPr>
  </w:style>
  <w:style w:type="paragraph" w:customStyle="1" w:styleId="OpiPara">
    <w:name w:val="Opi_Para"/>
    <w:basedOn w:val="ECHRPara"/>
    <w:uiPriority w:val="46"/>
    <w:qFormat/>
    <w:rsid w:val="00A96ED6"/>
  </w:style>
  <w:style w:type="paragraph" w:customStyle="1" w:styleId="JuParaSub">
    <w:name w:val="Ju_Para_Sub"/>
    <w:basedOn w:val="ECHRPara"/>
    <w:uiPriority w:val="13"/>
    <w:qFormat/>
    <w:rsid w:val="00A96ED6"/>
    <w:pPr>
      <w:ind w:left="284"/>
    </w:pPr>
  </w:style>
  <w:style w:type="paragraph" w:customStyle="1" w:styleId="ECHRTitleCentre3">
    <w:name w:val="ECHR_Title_Centre_3"/>
    <w:aliases w:val="Ju_H_Article"/>
    <w:basedOn w:val="Normalny"/>
    <w:next w:val="ECHRParaQuote"/>
    <w:uiPriority w:val="27"/>
    <w:qFormat/>
    <w:rsid w:val="00A96ED6"/>
    <w:pPr>
      <w:keepNext/>
      <w:keepLines/>
      <w:spacing w:before="240" w:after="120"/>
      <w:jc w:val="center"/>
      <w:outlineLvl w:val="3"/>
    </w:pPr>
    <w:rPr>
      <w:rFonts w:asciiTheme="majorHAnsi" w:hAnsiTheme="majorHAnsi"/>
      <w:b/>
      <w:sz w:val="20"/>
    </w:rPr>
  </w:style>
  <w:style w:type="paragraph" w:customStyle="1" w:styleId="ECHRTitleCentre1">
    <w:name w:val="ECHR_Title_Centre_1"/>
    <w:aliases w:val="Opi_H_Head"/>
    <w:basedOn w:val="Normalny"/>
    <w:next w:val="OpiPara"/>
    <w:uiPriority w:val="39"/>
    <w:qFormat/>
    <w:rsid w:val="00A96ED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A96ED6"/>
  </w:style>
  <w:style w:type="paragraph" w:customStyle="1" w:styleId="OpiQuot">
    <w:name w:val="Opi_Quot"/>
    <w:basedOn w:val="ECHRParaQuote"/>
    <w:uiPriority w:val="48"/>
    <w:qFormat/>
    <w:rsid w:val="00A96ED6"/>
  </w:style>
  <w:style w:type="paragraph" w:customStyle="1" w:styleId="OpiQuotSub">
    <w:name w:val="Opi_Quot_Sub"/>
    <w:basedOn w:val="JuQuotSub"/>
    <w:uiPriority w:val="49"/>
    <w:qFormat/>
    <w:rsid w:val="00A96ED6"/>
  </w:style>
  <w:style w:type="paragraph" w:customStyle="1" w:styleId="ECHRTitleCentre2">
    <w:name w:val="ECHR_Title_Centre_2"/>
    <w:aliases w:val="Dec_H_Case"/>
    <w:basedOn w:val="Normalny"/>
    <w:next w:val="ECHRPara"/>
    <w:uiPriority w:val="8"/>
    <w:rsid w:val="00A96ED6"/>
    <w:pPr>
      <w:spacing w:after="240"/>
      <w:jc w:val="center"/>
      <w:outlineLvl w:val="0"/>
    </w:pPr>
    <w:rPr>
      <w:rFonts w:asciiTheme="majorHAnsi" w:hAnsiTheme="majorHAnsi"/>
    </w:rPr>
  </w:style>
  <w:style w:type="paragraph" w:customStyle="1" w:styleId="JuTitle">
    <w:name w:val="Ju_Title"/>
    <w:basedOn w:val="Normalny"/>
    <w:next w:val="ECHRPara"/>
    <w:uiPriority w:val="3"/>
    <w:rsid w:val="00A96ED6"/>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A96ED6"/>
    <w:pPr>
      <w:pBdr>
        <w:bottom w:val="single" w:sz="4" w:space="1" w:color="auto"/>
      </w:pBdr>
      <w:contextualSpacing/>
    </w:pPr>
    <w:rPr>
      <w:rFonts w:asciiTheme="majorHAnsi" w:eastAsiaTheme="majorEastAsia" w:hAnsiTheme="majorHAnsi" w:cstheme="majorBidi"/>
      <w:spacing w:val="5"/>
      <w:sz w:val="52"/>
      <w:szCs w:val="52"/>
    </w:rPr>
  </w:style>
  <w:style w:type="character" w:customStyle="1" w:styleId="TytuZnak">
    <w:name w:val="Tytuł Znak"/>
    <w:basedOn w:val="Domylnaczcionkaakapitu"/>
    <w:link w:val="Tytu"/>
    <w:uiPriority w:val="99"/>
    <w:semiHidden/>
    <w:rsid w:val="00A96ED6"/>
    <w:rPr>
      <w:rFonts w:asciiTheme="majorHAnsi" w:eastAsiaTheme="majorEastAsia" w:hAnsiTheme="majorHAnsi" w:cstheme="majorBidi"/>
      <w:spacing w:val="5"/>
      <w:sz w:val="52"/>
      <w:szCs w:val="52"/>
      <w:lang w:bidi="pl-PL"/>
    </w:rPr>
  </w:style>
  <w:style w:type="paragraph" w:customStyle="1" w:styleId="ECHRHeading3">
    <w:name w:val="ECHR_Heading_3"/>
    <w:aliases w:val="Ju_H_1."/>
    <w:basedOn w:val="Nagwek3"/>
    <w:next w:val="ECHRPara"/>
    <w:uiPriority w:val="21"/>
    <w:qFormat/>
    <w:rsid w:val="00A96ED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A96ED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96ED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A96ED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A96ED6"/>
    <w:pPr>
      <w:keepNext/>
      <w:keepLines/>
      <w:spacing w:before="240" w:after="120"/>
      <w:ind w:left="1236"/>
    </w:pPr>
    <w:rPr>
      <w:sz w:val="20"/>
    </w:rPr>
  </w:style>
  <w:style w:type="paragraph" w:customStyle="1" w:styleId="JuQuotSub">
    <w:name w:val="Ju_Quot_Sub"/>
    <w:basedOn w:val="ECHRParaQuote"/>
    <w:uiPriority w:val="15"/>
    <w:qFormat/>
    <w:rsid w:val="00A96ED6"/>
    <w:pPr>
      <w:ind w:left="567"/>
    </w:pPr>
  </w:style>
  <w:style w:type="paragraph" w:customStyle="1" w:styleId="JuInitialled">
    <w:name w:val="Ju_Initialled"/>
    <w:basedOn w:val="Normalny"/>
    <w:uiPriority w:val="31"/>
    <w:qFormat/>
    <w:rsid w:val="00A96ED6"/>
    <w:pPr>
      <w:tabs>
        <w:tab w:val="center" w:pos="6407"/>
      </w:tabs>
      <w:spacing w:before="720"/>
      <w:jc w:val="right"/>
    </w:pPr>
  </w:style>
  <w:style w:type="paragraph" w:customStyle="1" w:styleId="OpiHA">
    <w:name w:val="Opi_H_A"/>
    <w:basedOn w:val="ECHRHeading1"/>
    <w:next w:val="OpiPara"/>
    <w:uiPriority w:val="41"/>
    <w:qFormat/>
    <w:rsid w:val="00A96ED6"/>
    <w:pPr>
      <w:tabs>
        <w:tab w:val="clear" w:pos="357"/>
      </w:tabs>
      <w:outlineLvl w:val="1"/>
    </w:pPr>
    <w:rPr>
      <w:b/>
    </w:rPr>
  </w:style>
  <w:style w:type="paragraph" w:styleId="Nagwek">
    <w:name w:val="header"/>
    <w:basedOn w:val="Normalny"/>
    <w:link w:val="NagwekZnak"/>
    <w:uiPriority w:val="57"/>
    <w:semiHidden/>
    <w:rsid w:val="00A96ED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96ED6"/>
    <w:rPr>
      <w:sz w:val="24"/>
    </w:rPr>
  </w:style>
  <w:style w:type="character" w:customStyle="1" w:styleId="Nagwek1Znak">
    <w:name w:val="Nagłówek 1 Znak"/>
    <w:basedOn w:val="Domylnaczcionkaakapitu"/>
    <w:link w:val="Nagwek1"/>
    <w:uiPriority w:val="99"/>
    <w:semiHidden/>
    <w:rsid w:val="00A96ED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A96ED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A96ED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96ED6"/>
    <w:rPr>
      <w:rFonts w:asciiTheme="majorHAnsi" w:eastAsiaTheme="majorEastAsia" w:hAnsiTheme="majorHAnsi" w:cstheme="majorBidi"/>
      <w:b/>
      <w:bCs/>
      <w:color w:val="4D4D4D"/>
      <w:sz w:val="26"/>
      <w:szCs w:val="26"/>
    </w:rPr>
  </w:style>
  <w:style w:type="character" w:customStyle="1" w:styleId="JUNAMES">
    <w:name w:val="JU_NAMES"/>
    <w:uiPriority w:val="17"/>
    <w:qFormat/>
    <w:rsid w:val="00A96ED6"/>
    <w:rPr>
      <w:caps w:val="0"/>
      <w:smallCaps/>
    </w:rPr>
  </w:style>
  <w:style w:type="paragraph" w:customStyle="1" w:styleId="JuCase">
    <w:name w:val="Ju_Case"/>
    <w:basedOn w:val="Normalny"/>
    <w:next w:val="ECHRPara"/>
    <w:uiPriority w:val="10"/>
    <w:rsid w:val="00A96ED6"/>
    <w:pPr>
      <w:ind w:firstLine="284"/>
    </w:pPr>
    <w:rPr>
      <w:b/>
    </w:rPr>
  </w:style>
  <w:style w:type="character" w:customStyle="1" w:styleId="Nagwek3Znak">
    <w:name w:val="Nagłówek 3 Znak"/>
    <w:basedOn w:val="Domylnaczcionkaakapitu"/>
    <w:link w:val="Nagwek3"/>
    <w:uiPriority w:val="99"/>
    <w:semiHidden/>
    <w:rsid w:val="00A96ED6"/>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A96ED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A96ED6"/>
    <w:rPr>
      <w:rFonts w:asciiTheme="majorHAnsi" w:eastAsiaTheme="majorEastAsia" w:hAnsiTheme="majorHAnsi" w:cstheme="majorBidi"/>
      <w:b/>
      <w:bCs/>
      <w:color w:val="808080"/>
    </w:rPr>
  </w:style>
  <w:style w:type="character" w:styleId="Wyrnieniedelikatne">
    <w:name w:val="Subtle Emphasis"/>
    <w:uiPriority w:val="99"/>
    <w:semiHidden/>
    <w:qFormat/>
    <w:rsid w:val="00A96ED6"/>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A96ED6"/>
    <w:pPr>
      <w:keepNext/>
      <w:keepLines/>
      <w:spacing w:before="720" w:after="240"/>
      <w:outlineLvl w:val="0"/>
    </w:pPr>
    <w:rPr>
      <w:rFonts w:asciiTheme="majorHAnsi" w:hAnsiTheme="majorHAnsi"/>
      <w:sz w:val="28"/>
    </w:rPr>
  </w:style>
  <w:style w:type="character" w:styleId="Uwydatnienie">
    <w:name w:val="Emphasis"/>
    <w:uiPriority w:val="99"/>
    <w:semiHidden/>
    <w:qFormat/>
    <w:rsid w:val="00A96ED6"/>
    <w:rPr>
      <w:b/>
      <w:bCs/>
      <w:i/>
      <w:iCs/>
      <w:spacing w:val="10"/>
      <w:bdr w:val="none" w:sz="0" w:space="0" w:color="auto"/>
      <w:shd w:val="clear" w:color="auto" w:fill="auto"/>
    </w:rPr>
  </w:style>
  <w:style w:type="paragraph" w:styleId="Stopka">
    <w:name w:val="footer"/>
    <w:basedOn w:val="Normalny"/>
    <w:link w:val="StopkaZnak"/>
    <w:uiPriority w:val="57"/>
    <w:semiHidden/>
    <w:rsid w:val="00A96ED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96ED6"/>
    <w:rPr>
      <w:sz w:val="24"/>
    </w:rPr>
  </w:style>
  <w:style w:type="character" w:styleId="Odwoanieprzypisudolnego">
    <w:name w:val="footnote reference"/>
    <w:basedOn w:val="Domylnaczcionkaakapitu"/>
    <w:uiPriority w:val="99"/>
    <w:semiHidden/>
    <w:rsid w:val="00A96ED6"/>
    <w:rPr>
      <w:vertAlign w:val="superscript"/>
    </w:rPr>
  </w:style>
  <w:style w:type="paragraph" w:styleId="Tekstprzypisudolnego">
    <w:name w:val="footnote text"/>
    <w:basedOn w:val="Normalny"/>
    <w:link w:val="TekstprzypisudolnegoZnak"/>
    <w:uiPriority w:val="99"/>
    <w:semiHidden/>
    <w:rsid w:val="00A96ED6"/>
    <w:rPr>
      <w:sz w:val="20"/>
      <w:szCs w:val="20"/>
    </w:rPr>
  </w:style>
  <w:style w:type="character" w:customStyle="1" w:styleId="TekstprzypisudolnegoZnak">
    <w:name w:val="Tekst przypisu dolnego Znak"/>
    <w:basedOn w:val="Domylnaczcionkaakapitu"/>
    <w:link w:val="Tekstprzypisudolnego"/>
    <w:uiPriority w:val="99"/>
    <w:semiHidden/>
    <w:rsid w:val="00A96ED6"/>
    <w:rPr>
      <w:rFonts w:eastAsiaTheme="minorEastAsia"/>
      <w:sz w:val="20"/>
      <w:szCs w:val="20"/>
    </w:rPr>
  </w:style>
  <w:style w:type="character" w:customStyle="1" w:styleId="Nagwek6Znak">
    <w:name w:val="Nagłówek 6 Znak"/>
    <w:basedOn w:val="Domylnaczcionkaakapitu"/>
    <w:link w:val="Nagwek6"/>
    <w:uiPriority w:val="99"/>
    <w:semiHidden/>
    <w:rsid w:val="00A96ED6"/>
    <w:rPr>
      <w:rFonts w:asciiTheme="majorHAnsi" w:eastAsiaTheme="majorEastAsia" w:hAnsiTheme="majorHAnsi" w:cstheme="majorBidi"/>
      <w:b/>
      <w:bCs/>
      <w:i/>
      <w:iCs/>
      <w:color w:val="7F7F7F" w:themeColor="text1" w:themeTint="80"/>
      <w:sz w:val="24"/>
      <w:lang w:bidi="pl-PL"/>
    </w:rPr>
  </w:style>
  <w:style w:type="character" w:customStyle="1" w:styleId="Nagwek7Znak">
    <w:name w:val="Nagłówek 7 Znak"/>
    <w:basedOn w:val="Domylnaczcionkaakapitu"/>
    <w:link w:val="Nagwek7"/>
    <w:uiPriority w:val="99"/>
    <w:semiHidden/>
    <w:rsid w:val="00A96ED6"/>
    <w:rPr>
      <w:rFonts w:asciiTheme="majorHAnsi" w:eastAsiaTheme="majorEastAsia" w:hAnsiTheme="majorHAnsi" w:cstheme="majorBidi"/>
      <w:i/>
      <w:iCs/>
      <w:lang w:bidi="pl-PL"/>
    </w:rPr>
  </w:style>
  <w:style w:type="character" w:customStyle="1" w:styleId="Nagwek8Znak">
    <w:name w:val="Nagłówek 8 Znak"/>
    <w:basedOn w:val="Domylnaczcionkaakapitu"/>
    <w:link w:val="Nagwek8"/>
    <w:uiPriority w:val="99"/>
    <w:semiHidden/>
    <w:rsid w:val="00A96ED6"/>
    <w:rPr>
      <w:rFonts w:asciiTheme="majorHAnsi" w:eastAsiaTheme="majorEastAsia" w:hAnsiTheme="majorHAnsi" w:cstheme="majorBidi"/>
      <w:sz w:val="20"/>
      <w:szCs w:val="20"/>
      <w:lang w:bidi="pl-PL"/>
    </w:rPr>
  </w:style>
  <w:style w:type="character" w:customStyle="1" w:styleId="Nagwek9Znak">
    <w:name w:val="Nagłówek 9 Znak"/>
    <w:basedOn w:val="Domylnaczcionkaakapitu"/>
    <w:link w:val="Nagwek9"/>
    <w:uiPriority w:val="99"/>
    <w:semiHidden/>
    <w:rsid w:val="00A96ED6"/>
    <w:rPr>
      <w:rFonts w:asciiTheme="majorHAnsi" w:eastAsiaTheme="majorEastAsia" w:hAnsiTheme="majorHAnsi" w:cstheme="majorBidi"/>
      <w:i/>
      <w:iCs/>
      <w:spacing w:val="5"/>
      <w:sz w:val="20"/>
      <w:szCs w:val="20"/>
      <w:lang w:bidi="pl-PL"/>
    </w:rPr>
  </w:style>
  <w:style w:type="character" w:styleId="Hipercze">
    <w:name w:val="Hyperlink"/>
    <w:basedOn w:val="Domylnaczcionkaakapitu"/>
    <w:uiPriority w:val="99"/>
    <w:rsid w:val="00A96ED6"/>
    <w:rPr>
      <w:color w:val="0072BC" w:themeColor="hyperlink"/>
      <w:u w:val="single"/>
    </w:rPr>
  </w:style>
  <w:style w:type="character" w:styleId="Wyrnienieintensywne">
    <w:name w:val="Intense Emphasis"/>
    <w:uiPriority w:val="99"/>
    <w:semiHidden/>
    <w:qFormat/>
    <w:rsid w:val="00A96ED6"/>
    <w:rPr>
      <w:b/>
      <w:bCs/>
    </w:rPr>
  </w:style>
  <w:style w:type="paragraph" w:styleId="Cytatintensywny">
    <w:name w:val="Intense Quote"/>
    <w:basedOn w:val="Normalny"/>
    <w:next w:val="Normalny"/>
    <w:link w:val="CytatintensywnyZnak"/>
    <w:uiPriority w:val="99"/>
    <w:semiHidden/>
    <w:qFormat/>
    <w:rsid w:val="00A96ED6"/>
    <w:pPr>
      <w:pBdr>
        <w:bottom w:val="single" w:sz="4" w:space="1" w:color="auto"/>
      </w:pBdr>
      <w:spacing w:before="200" w:after="280"/>
      <w:ind w:left="1008" w:right="1152"/>
    </w:pPr>
    <w:rPr>
      <w:b/>
      <w:bCs/>
      <w:i/>
      <w:iCs/>
      <w:sz w:val="22"/>
    </w:rPr>
  </w:style>
  <w:style w:type="character" w:customStyle="1" w:styleId="CytatintensywnyZnak">
    <w:name w:val="Cytat intensywny Znak"/>
    <w:basedOn w:val="Domylnaczcionkaakapitu"/>
    <w:link w:val="Cytatintensywny"/>
    <w:uiPriority w:val="99"/>
    <w:semiHidden/>
    <w:rsid w:val="00A96ED6"/>
    <w:rPr>
      <w:rFonts w:eastAsiaTheme="minorEastAsia"/>
      <w:b/>
      <w:bCs/>
      <w:i/>
      <w:iCs/>
      <w:lang w:bidi="pl-PL"/>
    </w:rPr>
  </w:style>
  <w:style w:type="character" w:styleId="Odwoanieintensywne">
    <w:name w:val="Intense Reference"/>
    <w:uiPriority w:val="99"/>
    <w:semiHidden/>
    <w:qFormat/>
    <w:rsid w:val="00A96ED6"/>
    <w:rPr>
      <w:smallCaps/>
      <w:spacing w:val="5"/>
      <w:u w:val="single"/>
    </w:rPr>
  </w:style>
  <w:style w:type="paragraph" w:styleId="Akapitzlist">
    <w:name w:val="List Paragraph"/>
    <w:basedOn w:val="Normalny"/>
    <w:uiPriority w:val="99"/>
    <w:semiHidden/>
    <w:qFormat/>
    <w:rsid w:val="00A96ED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A96ED6"/>
    <w:pPr>
      <w:spacing w:before="200"/>
      <w:ind w:left="360" w:right="360"/>
    </w:pPr>
    <w:rPr>
      <w:i/>
      <w:iCs/>
      <w:sz w:val="22"/>
    </w:rPr>
  </w:style>
  <w:style w:type="character" w:customStyle="1" w:styleId="CytatZnak">
    <w:name w:val="Cytat Znak"/>
    <w:basedOn w:val="Domylnaczcionkaakapitu"/>
    <w:link w:val="Cytat"/>
    <w:uiPriority w:val="99"/>
    <w:semiHidden/>
    <w:rsid w:val="00A96ED6"/>
    <w:rPr>
      <w:rFonts w:eastAsiaTheme="minorEastAsia"/>
      <w:i/>
      <w:iCs/>
      <w:lang w:bidi="pl-PL"/>
    </w:rPr>
  </w:style>
  <w:style w:type="character" w:styleId="Odwoaniedelikatne">
    <w:name w:val="Subtle Reference"/>
    <w:uiPriority w:val="99"/>
    <w:semiHidden/>
    <w:qFormat/>
    <w:rsid w:val="00A96ED6"/>
    <w:rPr>
      <w:smallCaps/>
    </w:rPr>
  </w:style>
  <w:style w:type="table" w:styleId="Tabela-Siatka">
    <w:name w:val="Table Grid"/>
    <w:basedOn w:val="Standardowy"/>
    <w:uiPriority w:val="59"/>
    <w:semiHidden/>
    <w:rsid w:val="00A96ED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39"/>
    <w:rsid w:val="00A96ED6"/>
    <w:pPr>
      <w:spacing w:before="120" w:after="60"/>
      <w:ind w:left="340" w:right="340" w:hanging="340"/>
    </w:pPr>
    <w:rPr>
      <w:color w:val="0D0D0D" w:themeColor="text1" w:themeTint="F2"/>
    </w:rPr>
  </w:style>
  <w:style w:type="paragraph" w:styleId="Spistreci2">
    <w:name w:val="toc 2"/>
    <w:basedOn w:val="Normalny"/>
    <w:next w:val="Normalny"/>
    <w:autoRedefine/>
    <w:uiPriority w:val="39"/>
    <w:rsid w:val="00A96ED6"/>
    <w:pPr>
      <w:spacing w:after="60"/>
      <w:ind w:left="680" w:right="340" w:hanging="340"/>
    </w:pPr>
  </w:style>
  <w:style w:type="paragraph" w:styleId="Spistreci3">
    <w:name w:val="toc 3"/>
    <w:basedOn w:val="Normalny"/>
    <w:next w:val="Normalny"/>
    <w:autoRedefine/>
    <w:uiPriority w:val="39"/>
    <w:rsid w:val="00A96ED6"/>
    <w:pPr>
      <w:spacing w:after="60"/>
      <w:ind w:left="1020" w:right="340" w:hanging="340"/>
    </w:pPr>
  </w:style>
  <w:style w:type="paragraph" w:styleId="Spistreci4">
    <w:name w:val="toc 4"/>
    <w:basedOn w:val="Normalny"/>
    <w:next w:val="Normalny"/>
    <w:autoRedefine/>
    <w:uiPriority w:val="99"/>
    <w:semiHidden/>
    <w:rsid w:val="00A96ED6"/>
    <w:pPr>
      <w:tabs>
        <w:tab w:val="right" w:leader="dot" w:pos="9017"/>
      </w:tabs>
      <w:spacing w:after="60"/>
      <w:ind w:left="1361" w:right="340" w:hanging="340"/>
    </w:pPr>
  </w:style>
  <w:style w:type="paragraph" w:styleId="Spistreci5">
    <w:name w:val="toc 5"/>
    <w:basedOn w:val="Normalny"/>
    <w:next w:val="Normalny"/>
    <w:autoRedefine/>
    <w:uiPriority w:val="99"/>
    <w:semiHidden/>
    <w:rsid w:val="00A96ED6"/>
    <w:pPr>
      <w:spacing w:after="60"/>
      <w:ind w:left="1701" w:right="340" w:hanging="340"/>
    </w:pPr>
  </w:style>
  <w:style w:type="paragraph" w:styleId="Nagwekspisutreci">
    <w:name w:val="TOC Heading"/>
    <w:basedOn w:val="Nagwek1"/>
    <w:next w:val="Normalny"/>
    <w:uiPriority w:val="99"/>
    <w:semiHidden/>
    <w:qFormat/>
    <w:rsid w:val="00A96ED6"/>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96ED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A96ED6"/>
    <w:pPr>
      <w:spacing w:before="120" w:after="120"/>
      <w:ind w:left="425" w:firstLine="142"/>
    </w:pPr>
    <w:rPr>
      <w:sz w:val="20"/>
    </w:rPr>
  </w:style>
  <w:style w:type="paragraph" w:customStyle="1" w:styleId="ECHRPara">
    <w:name w:val="ECHR_Para"/>
    <w:aliases w:val="Ju_Para"/>
    <w:basedOn w:val="Normalny"/>
    <w:uiPriority w:val="12"/>
    <w:qFormat/>
    <w:rsid w:val="00A96ED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96ED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96ED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96ED6"/>
    <w:pPr>
      <w:ind w:left="340" w:hanging="340"/>
    </w:pPr>
  </w:style>
  <w:style w:type="paragraph" w:customStyle="1" w:styleId="JuSigned">
    <w:name w:val="Ju_Signed"/>
    <w:basedOn w:val="Normalny"/>
    <w:next w:val="JuParaLast"/>
    <w:uiPriority w:val="32"/>
    <w:qFormat/>
    <w:rsid w:val="00A96ED6"/>
    <w:pPr>
      <w:tabs>
        <w:tab w:val="center" w:pos="851"/>
        <w:tab w:val="center" w:pos="6407"/>
      </w:tabs>
      <w:spacing w:before="720"/>
      <w:jc w:val="left"/>
    </w:pPr>
  </w:style>
  <w:style w:type="paragraph" w:customStyle="1" w:styleId="JuParaLast">
    <w:name w:val="Ju_Para_Last"/>
    <w:basedOn w:val="Normalny"/>
    <w:next w:val="ECHRPara"/>
    <w:uiPriority w:val="30"/>
    <w:qFormat/>
    <w:rsid w:val="00A96ED6"/>
    <w:pPr>
      <w:keepNext/>
      <w:keepLines/>
      <w:spacing w:before="240"/>
      <w:ind w:firstLine="284"/>
    </w:pPr>
  </w:style>
  <w:style w:type="paragraph" w:customStyle="1" w:styleId="JuCourt">
    <w:name w:val="Ju_Court"/>
    <w:basedOn w:val="Normalny"/>
    <w:next w:val="Normalny"/>
    <w:uiPriority w:val="16"/>
    <w:qFormat/>
    <w:rsid w:val="00A96ED6"/>
    <w:pPr>
      <w:tabs>
        <w:tab w:val="left" w:pos="907"/>
        <w:tab w:val="left" w:pos="1701"/>
        <w:tab w:val="right" w:pos="7371"/>
      </w:tabs>
      <w:spacing w:before="240"/>
      <w:ind w:left="397" w:hanging="397"/>
      <w:jc w:val="left"/>
    </w:p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A96ED6"/>
    <w:pPr>
      <w:ind w:left="346" w:firstLine="0"/>
    </w:pPr>
  </w:style>
  <w:style w:type="paragraph" w:customStyle="1" w:styleId="JuListi">
    <w:name w:val="Ju_List_i"/>
    <w:basedOn w:val="Normalny"/>
    <w:next w:val="JuLista"/>
    <w:uiPriority w:val="28"/>
    <w:qFormat/>
    <w:rsid w:val="00A96ED6"/>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A96ED6"/>
    <w:rPr>
      <w:vanish w:val="0"/>
      <w:color w:val="auto"/>
      <w:sz w:val="14"/>
    </w:rPr>
  </w:style>
  <w:style w:type="paragraph" w:styleId="Podtytu">
    <w:name w:val="Subtitle"/>
    <w:basedOn w:val="Normalny"/>
    <w:next w:val="Normalny"/>
    <w:link w:val="PodtytuZnak"/>
    <w:uiPriority w:val="99"/>
    <w:semiHidden/>
    <w:qFormat/>
    <w:rsid w:val="00A96ED6"/>
    <w:pPr>
      <w:spacing w:after="600"/>
    </w:pPr>
    <w:rPr>
      <w:rFonts w:asciiTheme="majorHAnsi" w:eastAsiaTheme="majorEastAsia" w:hAnsiTheme="majorHAnsi" w:cstheme="majorBidi"/>
      <w:i/>
      <w:iCs/>
      <w:spacing w:val="13"/>
      <w:szCs w:val="24"/>
    </w:rPr>
  </w:style>
  <w:style w:type="character" w:customStyle="1" w:styleId="PodtytuZnak">
    <w:name w:val="Podtytuł Znak"/>
    <w:basedOn w:val="Domylnaczcionkaakapitu"/>
    <w:link w:val="Podtytu"/>
    <w:uiPriority w:val="99"/>
    <w:semiHidden/>
    <w:rsid w:val="00A96ED6"/>
    <w:rPr>
      <w:rFonts w:asciiTheme="majorHAnsi" w:eastAsiaTheme="majorEastAsia" w:hAnsiTheme="majorHAnsi" w:cstheme="majorBidi"/>
      <w:i/>
      <w:iCs/>
      <w:spacing w:val="13"/>
      <w:sz w:val="24"/>
      <w:szCs w:val="24"/>
      <w:lang w:bidi="pl-PL"/>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pl-PL" w:eastAsia="pl-PL"/>
    </w:rPr>
  </w:style>
  <w:style w:type="table" w:styleId="redniasiatka1">
    <w:name w:val="Medium Grid 1"/>
    <w:basedOn w:val="Standardowy"/>
    <w:uiPriority w:val="99"/>
    <w:semiHidden/>
    <w:rsid w:val="00014566"/>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Translation">
    <w:name w:val="Opi_Translation"/>
    <w:basedOn w:val="Normalny"/>
    <w:next w:val="OpiPara"/>
    <w:uiPriority w:val="40"/>
    <w:qFormat/>
    <w:rsid w:val="00A96ED6"/>
    <w:pPr>
      <w:jc w:val="center"/>
      <w:outlineLvl w:val="0"/>
    </w:pPr>
    <w:rPr>
      <w:i/>
    </w:rPr>
  </w:style>
  <w:style w:type="paragraph" w:customStyle="1" w:styleId="DecHTitle">
    <w:name w:val="Dec_H_Title"/>
    <w:basedOn w:val="ECHRTitleCentre1"/>
    <w:uiPriority w:val="7"/>
    <w:rsid w:val="00A96ED6"/>
  </w:style>
  <w:style w:type="paragraph" w:customStyle="1" w:styleId="DecList">
    <w:name w:val="Dec_List"/>
    <w:basedOn w:val="Normalny"/>
    <w:uiPriority w:val="9"/>
    <w:rsid w:val="00A96ED6"/>
    <w:pPr>
      <w:spacing w:before="240"/>
      <w:ind w:left="284"/>
    </w:pPr>
  </w:style>
  <w:style w:type="paragraph" w:customStyle="1" w:styleId="OpiH1">
    <w:name w:val="Opi_H_1"/>
    <w:basedOn w:val="ECHRHeading2"/>
    <w:uiPriority w:val="42"/>
    <w:qFormat/>
    <w:rsid w:val="00A96ED6"/>
    <w:pPr>
      <w:ind w:left="635" w:hanging="357"/>
      <w:outlineLvl w:val="2"/>
    </w:pPr>
  </w:style>
  <w:style w:type="paragraph" w:customStyle="1" w:styleId="OpiHa0">
    <w:name w:val="Opi_H_a"/>
    <w:basedOn w:val="ECHRHeading3"/>
    <w:uiPriority w:val="43"/>
    <w:qFormat/>
    <w:rsid w:val="00A96ED6"/>
    <w:pPr>
      <w:ind w:left="833" w:hanging="357"/>
      <w:outlineLvl w:val="3"/>
    </w:pPr>
    <w:rPr>
      <w:b/>
      <w:i w:val="0"/>
      <w:sz w:val="20"/>
    </w:rPr>
  </w:style>
  <w:style w:type="paragraph" w:customStyle="1" w:styleId="OpiHi">
    <w:name w:val="Opi_H_i"/>
    <w:basedOn w:val="ECHRHeading4"/>
    <w:uiPriority w:val="44"/>
    <w:qFormat/>
    <w:rsid w:val="00A96ED6"/>
    <w:pPr>
      <w:ind w:left="1037" w:hanging="357"/>
      <w:outlineLvl w:val="4"/>
    </w:pPr>
    <w:rPr>
      <w:b w:val="0"/>
      <w:i/>
    </w:rPr>
  </w:style>
  <w:style w:type="paragraph" w:customStyle="1" w:styleId="DummyStyle">
    <w:name w:val="Dummy_Style"/>
    <w:basedOn w:val="Normalny"/>
    <w:semiHidden/>
    <w:qFormat/>
    <w:rsid w:val="00A96ED6"/>
    <w:rPr>
      <w:color w:val="00B050"/>
    </w:rPr>
  </w:style>
  <w:style w:type="paragraph" w:styleId="Poprawka">
    <w:name w:val="Revision"/>
    <w:hidden/>
    <w:uiPriority w:val="99"/>
    <w:semiHidden/>
    <w:rsid w:val="00C728FB"/>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110805">
      <w:bodyDiv w:val="1"/>
      <w:marLeft w:val="0"/>
      <w:marRight w:val="0"/>
      <w:marTop w:val="0"/>
      <w:marBottom w:val="0"/>
      <w:divBdr>
        <w:top w:val="none" w:sz="0" w:space="0" w:color="auto"/>
        <w:left w:val="none" w:sz="0" w:space="0" w:color="auto"/>
        <w:bottom w:val="none" w:sz="0" w:space="0" w:color="auto"/>
        <w:right w:val="none" w:sz="0" w:space="0" w:color="auto"/>
      </w:divBdr>
      <w:divsChild>
        <w:div w:id="638077370">
          <w:marLeft w:val="0"/>
          <w:marRight w:val="0"/>
          <w:marTop w:val="0"/>
          <w:marBottom w:val="0"/>
          <w:divBdr>
            <w:top w:val="none" w:sz="0" w:space="0" w:color="auto"/>
            <w:left w:val="none" w:sz="0" w:space="0" w:color="auto"/>
            <w:bottom w:val="none" w:sz="0" w:space="0" w:color="auto"/>
            <w:right w:val="none" w:sz="0" w:space="0" w:color="auto"/>
          </w:divBdr>
          <w:divsChild>
            <w:div w:id="2010450021">
              <w:marLeft w:val="0"/>
              <w:marRight w:val="0"/>
              <w:marTop w:val="0"/>
              <w:marBottom w:val="0"/>
              <w:divBdr>
                <w:top w:val="none" w:sz="0" w:space="0" w:color="auto"/>
                <w:left w:val="none" w:sz="0" w:space="0" w:color="auto"/>
                <w:bottom w:val="none" w:sz="0" w:space="0" w:color="auto"/>
                <w:right w:val="none" w:sz="0" w:space="0" w:color="auto"/>
              </w:divBdr>
              <w:divsChild>
                <w:div w:id="765223936">
                  <w:marLeft w:val="0"/>
                  <w:marRight w:val="0"/>
                  <w:marTop w:val="0"/>
                  <w:marBottom w:val="0"/>
                  <w:divBdr>
                    <w:top w:val="none" w:sz="0" w:space="0" w:color="auto"/>
                    <w:left w:val="none" w:sz="0" w:space="0" w:color="auto"/>
                    <w:bottom w:val="none" w:sz="0" w:space="0" w:color="auto"/>
                    <w:right w:val="none" w:sz="0" w:space="0" w:color="auto"/>
                  </w:divBdr>
                  <w:divsChild>
                    <w:div w:id="933779670">
                      <w:marLeft w:val="0"/>
                      <w:marRight w:val="0"/>
                      <w:marTop w:val="0"/>
                      <w:marBottom w:val="0"/>
                      <w:divBdr>
                        <w:top w:val="none" w:sz="0" w:space="0" w:color="auto"/>
                        <w:left w:val="none" w:sz="0" w:space="0" w:color="auto"/>
                        <w:bottom w:val="none" w:sz="0" w:space="0" w:color="auto"/>
                        <w:right w:val="none" w:sz="0" w:space="0" w:color="auto"/>
                      </w:divBdr>
                      <w:divsChild>
                        <w:div w:id="446388001">
                          <w:marLeft w:val="0"/>
                          <w:marRight w:val="0"/>
                          <w:marTop w:val="0"/>
                          <w:marBottom w:val="0"/>
                          <w:divBdr>
                            <w:top w:val="none" w:sz="0" w:space="0" w:color="auto"/>
                            <w:left w:val="none" w:sz="0" w:space="0" w:color="auto"/>
                            <w:bottom w:val="none" w:sz="0" w:space="0" w:color="auto"/>
                            <w:right w:val="none" w:sz="0" w:space="0" w:color="auto"/>
                          </w:divBdr>
                          <w:divsChild>
                            <w:div w:id="1294869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205750">
      <w:bodyDiv w:val="1"/>
      <w:marLeft w:val="0"/>
      <w:marRight w:val="0"/>
      <w:marTop w:val="0"/>
      <w:marBottom w:val="0"/>
      <w:divBdr>
        <w:top w:val="none" w:sz="0" w:space="0" w:color="auto"/>
        <w:left w:val="none" w:sz="0" w:space="0" w:color="auto"/>
        <w:bottom w:val="none" w:sz="0" w:space="0" w:color="auto"/>
        <w:right w:val="none" w:sz="0" w:space="0" w:color="auto"/>
      </w:divBdr>
      <w:divsChild>
        <w:div w:id="1505777050">
          <w:marLeft w:val="0"/>
          <w:marRight w:val="0"/>
          <w:marTop w:val="0"/>
          <w:marBottom w:val="0"/>
          <w:divBdr>
            <w:top w:val="none" w:sz="0" w:space="0" w:color="auto"/>
            <w:left w:val="none" w:sz="0" w:space="0" w:color="auto"/>
            <w:bottom w:val="none" w:sz="0" w:space="0" w:color="auto"/>
            <w:right w:val="none" w:sz="0" w:space="0" w:color="auto"/>
          </w:divBdr>
          <w:divsChild>
            <w:div w:id="1838231124">
              <w:marLeft w:val="0"/>
              <w:marRight w:val="0"/>
              <w:marTop w:val="0"/>
              <w:marBottom w:val="0"/>
              <w:divBdr>
                <w:top w:val="none" w:sz="0" w:space="0" w:color="auto"/>
                <w:left w:val="none" w:sz="0" w:space="0" w:color="auto"/>
                <w:bottom w:val="none" w:sz="0" w:space="0" w:color="auto"/>
                <w:right w:val="none" w:sz="0" w:space="0" w:color="auto"/>
              </w:divBdr>
              <w:divsChild>
                <w:div w:id="1282806104">
                  <w:marLeft w:val="0"/>
                  <w:marRight w:val="0"/>
                  <w:marTop w:val="0"/>
                  <w:marBottom w:val="0"/>
                  <w:divBdr>
                    <w:top w:val="none" w:sz="0" w:space="0" w:color="auto"/>
                    <w:left w:val="none" w:sz="0" w:space="0" w:color="auto"/>
                    <w:bottom w:val="none" w:sz="0" w:space="0" w:color="auto"/>
                    <w:right w:val="none" w:sz="0" w:space="0" w:color="auto"/>
                  </w:divBdr>
                  <w:divsChild>
                    <w:div w:id="971440674">
                      <w:marLeft w:val="0"/>
                      <w:marRight w:val="0"/>
                      <w:marTop w:val="0"/>
                      <w:marBottom w:val="0"/>
                      <w:divBdr>
                        <w:top w:val="none" w:sz="0" w:space="0" w:color="auto"/>
                        <w:left w:val="none" w:sz="0" w:space="0" w:color="auto"/>
                        <w:bottom w:val="none" w:sz="0" w:space="0" w:color="auto"/>
                        <w:right w:val="none" w:sz="0" w:space="0" w:color="auto"/>
                      </w:divBdr>
                      <w:divsChild>
                        <w:div w:id="2088766393">
                          <w:marLeft w:val="0"/>
                          <w:marRight w:val="0"/>
                          <w:marTop w:val="0"/>
                          <w:marBottom w:val="0"/>
                          <w:divBdr>
                            <w:top w:val="none" w:sz="0" w:space="0" w:color="auto"/>
                            <w:left w:val="none" w:sz="0" w:space="0" w:color="auto"/>
                            <w:bottom w:val="none" w:sz="0" w:space="0" w:color="auto"/>
                            <w:right w:val="none" w:sz="0" w:space="0" w:color="auto"/>
                          </w:divBdr>
                          <w:divsChild>
                            <w:div w:id="1781606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2951878">
      <w:bodyDiv w:val="1"/>
      <w:marLeft w:val="0"/>
      <w:marRight w:val="0"/>
      <w:marTop w:val="0"/>
      <w:marBottom w:val="0"/>
      <w:divBdr>
        <w:top w:val="none" w:sz="0" w:space="0" w:color="auto"/>
        <w:left w:val="none" w:sz="0" w:space="0" w:color="auto"/>
        <w:bottom w:val="none" w:sz="0" w:space="0" w:color="auto"/>
        <w:right w:val="none" w:sz="0" w:space="0" w:color="auto"/>
      </w:divBdr>
      <w:divsChild>
        <w:div w:id="1966882647">
          <w:marLeft w:val="0"/>
          <w:marRight w:val="0"/>
          <w:marTop w:val="0"/>
          <w:marBottom w:val="0"/>
          <w:divBdr>
            <w:top w:val="none" w:sz="0" w:space="0" w:color="auto"/>
            <w:left w:val="none" w:sz="0" w:space="0" w:color="auto"/>
            <w:bottom w:val="none" w:sz="0" w:space="0" w:color="auto"/>
            <w:right w:val="none" w:sz="0" w:space="0" w:color="auto"/>
          </w:divBdr>
          <w:divsChild>
            <w:div w:id="615404409">
              <w:marLeft w:val="0"/>
              <w:marRight w:val="0"/>
              <w:marTop w:val="0"/>
              <w:marBottom w:val="0"/>
              <w:divBdr>
                <w:top w:val="none" w:sz="0" w:space="0" w:color="auto"/>
                <w:left w:val="none" w:sz="0" w:space="0" w:color="auto"/>
                <w:bottom w:val="none" w:sz="0" w:space="0" w:color="auto"/>
                <w:right w:val="none" w:sz="0" w:space="0" w:color="auto"/>
              </w:divBdr>
              <w:divsChild>
                <w:div w:id="1601833408">
                  <w:marLeft w:val="0"/>
                  <w:marRight w:val="0"/>
                  <w:marTop w:val="0"/>
                  <w:marBottom w:val="0"/>
                  <w:divBdr>
                    <w:top w:val="none" w:sz="0" w:space="0" w:color="auto"/>
                    <w:left w:val="none" w:sz="0" w:space="0" w:color="auto"/>
                    <w:bottom w:val="none" w:sz="0" w:space="0" w:color="auto"/>
                    <w:right w:val="none" w:sz="0" w:space="0" w:color="auto"/>
                  </w:divBdr>
                  <w:divsChild>
                    <w:div w:id="922685687">
                      <w:marLeft w:val="0"/>
                      <w:marRight w:val="0"/>
                      <w:marTop w:val="0"/>
                      <w:marBottom w:val="0"/>
                      <w:divBdr>
                        <w:top w:val="none" w:sz="0" w:space="0" w:color="auto"/>
                        <w:left w:val="none" w:sz="0" w:space="0" w:color="auto"/>
                        <w:bottom w:val="none" w:sz="0" w:space="0" w:color="auto"/>
                        <w:right w:val="none" w:sz="0" w:space="0" w:color="auto"/>
                      </w:divBdr>
                      <w:divsChild>
                        <w:div w:id="1582257546">
                          <w:marLeft w:val="0"/>
                          <w:marRight w:val="0"/>
                          <w:marTop w:val="0"/>
                          <w:marBottom w:val="0"/>
                          <w:divBdr>
                            <w:top w:val="none" w:sz="0" w:space="0" w:color="auto"/>
                            <w:left w:val="none" w:sz="0" w:space="0" w:color="auto"/>
                            <w:bottom w:val="none" w:sz="0" w:space="0" w:color="auto"/>
                            <w:right w:val="none" w:sz="0" w:space="0" w:color="auto"/>
                          </w:divBdr>
                          <w:divsChild>
                            <w:div w:id="1887181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7202316">
      <w:bodyDiv w:val="1"/>
      <w:marLeft w:val="0"/>
      <w:marRight w:val="0"/>
      <w:marTop w:val="0"/>
      <w:marBottom w:val="0"/>
      <w:divBdr>
        <w:top w:val="none" w:sz="0" w:space="0" w:color="auto"/>
        <w:left w:val="none" w:sz="0" w:space="0" w:color="auto"/>
        <w:bottom w:val="none" w:sz="0" w:space="0" w:color="auto"/>
        <w:right w:val="none" w:sz="0" w:space="0" w:color="auto"/>
      </w:divBdr>
      <w:divsChild>
        <w:div w:id="1623341938">
          <w:marLeft w:val="0"/>
          <w:marRight w:val="0"/>
          <w:marTop w:val="0"/>
          <w:marBottom w:val="0"/>
          <w:divBdr>
            <w:top w:val="none" w:sz="0" w:space="0" w:color="auto"/>
            <w:left w:val="none" w:sz="0" w:space="0" w:color="auto"/>
            <w:bottom w:val="none" w:sz="0" w:space="0" w:color="auto"/>
            <w:right w:val="none" w:sz="0" w:space="0" w:color="auto"/>
          </w:divBdr>
          <w:divsChild>
            <w:div w:id="1579251009">
              <w:marLeft w:val="0"/>
              <w:marRight w:val="0"/>
              <w:marTop w:val="0"/>
              <w:marBottom w:val="0"/>
              <w:divBdr>
                <w:top w:val="none" w:sz="0" w:space="0" w:color="auto"/>
                <w:left w:val="none" w:sz="0" w:space="0" w:color="auto"/>
                <w:bottom w:val="none" w:sz="0" w:space="0" w:color="auto"/>
                <w:right w:val="none" w:sz="0" w:space="0" w:color="auto"/>
              </w:divBdr>
              <w:divsChild>
                <w:div w:id="1527711073">
                  <w:marLeft w:val="0"/>
                  <w:marRight w:val="0"/>
                  <w:marTop w:val="0"/>
                  <w:marBottom w:val="0"/>
                  <w:divBdr>
                    <w:top w:val="none" w:sz="0" w:space="0" w:color="auto"/>
                    <w:left w:val="none" w:sz="0" w:space="0" w:color="auto"/>
                    <w:bottom w:val="none" w:sz="0" w:space="0" w:color="auto"/>
                    <w:right w:val="none" w:sz="0" w:space="0" w:color="auto"/>
                  </w:divBdr>
                  <w:divsChild>
                    <w:div w:id="802501645">
                      <w:marLeft w:val="0"/>
                      <w:marRight w:val="0"/>
                      <w:marTop w:val="0"/>
                      <w:marBottom w:val="0"/>
                      <w:divBdr>
                        <w:top w:val="none" w:sz="0" w:space="0" w:color="auto"/>
                        <w:left w:val="none" w:sz="0" w:space="0" w:color="auto"/>
                        <w:bottom w:val="none" w:sz="0" w:space="0" w:color="auto"/>
                        <w:right w:val="none" w:sz="0" w:space="0" w:color="auto"/>
                      </w:divBdr>
                      <w:divsChild>
                        <w:div w:id="2141223205">
                          <w:marLeft w:val="0"/>
                          <w:marRight w:val="0"/>
                          <w:marTop w:val="0"/>
                          <w:marBottom w:val="0"/>
                          <w:divBdr>
                            <w:top w:val="none" w:sz="0" w:space="0" w:color="auto"/>
                            <w:left w:val="none" w:sz="0" w:space="0" w:color="auto"/>
                            <w:bottom w:val="none" w:sz="0" w:space="0" w:color="auto"/>
                            <w:right w:val="none" w:sz="0" w:space="0" w:color="auto"/>
                          </w:divBdr>
                          <w:divsChild>
                            <w:div w:id="986083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7685054">
      <w:bodyDiv w:val="1"/>
      <w:marLeft w:val="0"/>
      <w:marRight w:val="0"/>
      <w:marTop w:val="0"/>
      <w:marBottom w:val="0"/>
      <w:divBdr>
        <w:top w:val="none" w:sz="0" w:space="0" w:color="auto"/>
        <w:left w:val="none" w:sz="0" w:space="0" w:color="auto"/>
        <w:bottom w:val="none" w:sz="0" w:space="0" w:color="auto"/>
        <w:right w:val="none" w:sz="0" w:space="0" w:color="auto"/>
      </w:divBdr>
      <w:divsChild>
        <w:div w:id="1153566626">
          <w:marLeft w:val="0"/>
          <w:marRight w:val="0"/>
          <w:marTop w:val="0"/>
          <w:marBottom w:val="0"/>
          <w:divBdr>
            <w:top w:val="none" w:sz="0" w:space="0" w:color="auto"/>
            <w:left w:val="none" w:sz="0" w:space="0" w:color="auto"/>
            <w:bottom w:val="none" w:sz="0" w:space="0" w:color="auto"/>
            <w:right w:val="none" w:sz="0" w:space="0" w:color="auto"/>
          </w:divBdr>
          <w:divsChild>
            <w:div w:id="1612468858">
              <w:marLeft w:val="0"/>
              <w:marRight w:val="0"/>
              <w:marTop w:val="0"/>
              <w:marBottom w:val="0"/>
              <w:divBdr>
                <w:top w:val="none" w:sz="0" w:space="0" w:color="auto"/>
                <w:left w:val="none" w:sz="0" w:space="0" w:color="auto"/>
                <w:bottom w:val="none" w:sz="0" w:space="0" w:color="auto"/>
                <w:right w:val="none" w:sz="0" w:space="0" w:color="auto"/>
              </w:divBdr>
              <w:divsChild>
                <w:div w:id="1535002848">
                  <w:marLeft w:val="0"/>
                  <w:marRight w:val="0"/>
                  <w:marTop w:val="0"/>
                  <w:marBottom w:val="0"/>
                  <w:divBdr>
                    <w:top w:val="none" w:sz="0" w:space="0" w:color="auto"/>
                    <w:left w:val="none" w:sz="0" w:space="0" w:color="auto"/>
                    <w:bottom w:val="none" w:sz="0" w:space="0" w:color="auto"/>
                    <w:right w:val="none" w:sz="0" w:space="0" w:color="auto"/>
                  </w:divBdr>
                  <w:divsChild>
                    <w:div w:id="857932322">
                      <w:marLeft w:val="0"/>
                      <w:marRight w:val="0"/>
                      <w:marTop w:val="0"/>
                      <w:marBottom w:val="0"/>
                      <w:divBdr>
                        <w:top w:val="none" w:sz="0" w:space="0" w:color="auto"/>
                        <w:left w:val="none" w:sz="0" w:space="0" w:color="auto"/>
                        <w:bottom w:val="none" w:sz="0" w:space="0" w:color="auto"/>
                        <w:right w:val="none" w:sz="0" w:space="0" w:color="auto"/>
                      </w:divBdr>
                      <w:divsChild>
                        <w:div w:id="266159687">
                          <w:marLeft w:val="0"/>
                          <w:marRight w:val="0"/>
                          <w:marTop w:val="0"/>
                          <w:marBottom w:val="0"/>
                          <w:divBdr>
                            <w:top w:val="none" w:sz="0" w:space="0" w:color="auto"/>
                            <w:left w:val="none" w:sz="0" w:space="0" w:color="auto"/>
                            <w:bottom w:val="none" w:sz="0" w:space="0" w:color="auto"/>
                            <w:right w:val="none" w:sz="0" w:space="0" w:color="auto"/>
                          </w:divBdr>
                          <w:divsChild>
                            <w:div w:id="1150098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4423772">
      <w:bodyDiv w:val="1"/>
      <w:marLeft w:val="0"/>
      <w:marRight w:val="0"/>
      <w:marTop w:val="0"/>
      <w:marBottom w:val="0"/>
      <w:divBdr>
        <w:top w:val="none" w:sz="0" w:space="0" w:color="auto"/>
        <w:left w:val="none" w:sz="0" w:space="0" w:color="auto"/>
        <w:bottom w:val="none" w:sz="0" w:space="0" w:color="auto"/>
        <w:right w:val="none" w:sz="0" w:space="0" w:color="auto"/>
      </w:divBdr>
      <w:divsChild>
        <w:div w:id="37432615">
          <w:marLeft w:val="0"/>
          <w:marRight w:val="0"/>
          <w:marTop w:val="0"/>
          <w:marBottom w:val="0"/>
          <w:divBdr>
            <w:top w:val="none" w:sz="0" w:space="0" w:color="auto"/>
            <w:left w:val="none" w:sz="0" w:space="0" w:color="auto"/>
            <w:bottom w:val="none" w:sz="0" w:space="0" w:color="auto"/>
            <w:right w:val="none" w:sz="0" w:space="0" w:color="auto"/>
          </w:divBdr>
          <w:divsChild>
            <w:div w:id="381292628">
              <w:marLeft w:val="0"/>
              <w:marRight w:val="0"/>
              <w:marTop w:val="0"/>
              <w:marBottom w:val="0"/>
              <w:divBdr>
                <w:top w:val="none" w:sz="0" w:space="0" w:color="auto"/>
                <w:left w:val="none" w:sz="0" w:space="0" w:color="auto"/>
                <w:bottom w:val="none" w:sz="0" w:space="0" w:color="auto"/>
                <w:right w:val="none" w:sz="0" w:space="0" w:color="auto"/>
              </w:divBdr>
              <w:divsChild>
                <w:div w:id="383454119">
                  <w:marLeft w:val="0"/>
                  <w:marRight w:val="0"/>
                  <w:marTop w:val="0"/>
                  <w:marBottom w:val="0"/>
                  <w:divBdr>
                    <w:top w:val="none" w:sz="0" w:space="0" w:color="auto"/>
                    <w:left w:val="none" w:sz="0" w:space="0" w:color="auto"/>
                    <w:bottom w:val="none" w:sz="0" w:space="0" w:color="auto"/>
                    <w:right w:val="none" w:sz="0" w:space="0" w:color="auto"/>
                  </w:divBdr>
                  <w:divsChild>
                    <w:div w:id="1190296205">
                      <w:marLeft w:val="0"/>
                      <w:marRight w:val="0"/>
                      <w:marTop w:val="0"/>
                      <w:marBottom w:val="0"/>
                      <w:divBdr>
                        <w:top w:val="none" w:sz="0" w:space="0" w:color="auto"/>
                        <w:left w:val="none" w:sz="0" w:space="0" w:color="auto"/>
                        <w:bottom w:val="none" w:sz="0" w:space="0" w:color="auto"/>
                        <w:right w:val="none" w:sz="0" w:space="0" w:color="auto"/>
                      </w:divBdr>
                      <w:divsChild>
                        <w:div w:id="1520462730">
                          <w:marLeft w:val="0"/>
                          <w:marRight w:val="0"/>
                          <w:marTop w:val="0"/>
                          <w:marBottom w:val="0"/>
                          <w:divBdr>
                            <w:top w:val="none" w:sz="0" w:space="0" w:color="auto"/>
                            <w:left w:val="none" w:sz="0" w:space="0" w:color="auto"/>
                            <w:bottom w:val="none" w:sz="0" w:space="0" w:color="auto"/>
                            <w:right w:val="none" w:sz="0" w:space="0" w:color="auto"/>
                          </w:divBdr>
                          <w:divsChild>
                            <w:div w:id="219830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8004126">
      <w:bodyDiv w:val="1"/>
      <w:marLeft w:val="0"/>
      <w:marRight w:val="0"/>
      <w:marTop w:val="0"/>
      <w:marBottom w:val="0"/>
      <w:divBdr>
        <w:top w:val="none" w:sz="0" w:space="0" w:color="auto"/>
        <w:left w:val="none" w:sz="0" w:space="0" w:color="auto"/>
        <w:bottom w:val="none" w:sz="0" w:space="0" w:color="auto"/>
        <w:right w:val="none" w:sz="0" w:space="0" w:color="auto"/>
      </w:divBdr>
      <w:divsChild>
        <w:div w:id="109129470">
          <w:marLeft w:val="0"/>
          <w:marRight w:val="0"/>
          <w:marTop w:val="0"/>
          <w:marBottom w:val="0"/>
          <w:divBdr>
            <w:top w:val="none" w:sz="0" w:space="0" w:color="auto"/>
            <w:left w:val="none" w:sz="0" w:space="0" w:color="auto"/>
            <w:bottom w:val="none" w:sz="0" w:space="0" w:color="auto"/>
            <w:right w:val="none" w:sz="0" w:space="0" w:color="auto"/>
          </w:divBdr>
          <w:divsChild>
            <w:div w:id="572669016">
              <w:marLeft w:val="0"/>
              <w:marRight w:val="0"/>
              <w:marTop w:val="0"/>
              <w:marBottom w:val="0"/>
              <w:divBdr>
                <w:top w:val="none" w:sz="0" w:space="0" w:color="auto"/>
                <w:left w:val="none" w:sz="0" w:space="0" w:color="auto"/>
                <w:bottom w:val="none" w:sz="0" w:space="0" w:color="auto"/>
                <w:right w:val="none" w:sz="0" w:space="0" w:color="auto"/>
              </w:divBdr>
              <w:divsChild>
                <w:div w:id="1955013298">
                  <w:marLeft w:val="0"/>
                  <w:marRight w:val="0"/>
                  <w:marTop w:val="0"/>
                  <w:marBottom w:val="0"/>
                  <w:divBdr>
                    <w:top w:val="none" w:sz="0" w:space="0" w:color="auto"/>
                    <w:left w:val="none" w:sz="0" w:space="0" w:color="auto"/>
                    <w:bottom w:val="none" w:sz="0" w:space="0" w:color="auto"/>
                    <w:right w:val="none" w:sz="0" w:space="0" w:color="auto"/>
                  </w:divBdr>
                  <w:divsChild>
                    <w:div w:id="1089156189">
                      <w:marLeft w:val="0"/>
                      <w:marRight w:val="0"/>
                      <w:marTop w:val="0"/>
                      <w:marBottom w:val="0"/>
                      <w:divBdr>
                        <w:top w:val="none" w:sz="0" w:space="0" w:color="auto"/>
                        <w:left w:val="none" w:sz="0" w:space="0" w:color="auto"/>
                        <w:bottom w:val="none" w:sz="0" w:space="0" w:color="auto"/>
                        <w:right w:val="none" w:sz="0" w:space="0" w:color="auto"/>
                      </w:divBdr>
                      <w:divsChild>
                        <w:div w:id="2137023577">
                          <w:marLeft w:val="0"/>
                          <w:marRight w:val="0"/>
                          <w:marTop w:val="0"/>
                          <w:marBottom w:val="0"/>
                          <w:divBdr>
                            <w:top w:val="none" w:sz="0" w:space="0" w:color="auto"/>
                            <w:left w:val="none" w:sz="0" w:space="0" w:color="auto"/>
                            <w:bottom w:val="none" w:sz="0" w:space="0" w:color="auto"/>
                            <w:right w:val="none" w:sz="0" w:space="0" w:color="auto"/>
                          </w:divBdr>
                          <w:divsChild>
                            <w:div w:id="1790277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2691754">
      <w:bodyDiv w:val="1"/>
      <w:marLeft w:val="0"/>
      <w:marRight w:val="0"/>
      <w:marTop w:val="0"/>
      <w:marBottom w:val="0"/>
      <w:divBdr>
        <w:top w:val="none" w:sz="0" w:space="0" w:color="auto"/>
        <w:left w:val="none" w:sz="0" w:space="0" w:color="auto"/>
        <w:bottom w:val="none" w:sz="0" w:space="0" w:color="auto"/>
        <w:right w:val="none" w:sz="0" w:space="0" w:color="auto"/>
      </w:divBdr>
      <w:divsChild>
        <w:div w:id="1131285017">
          <w:marLeft w:val="0"/>
          <w:marRight w:val="0"/>
          <w:marTop w:val="0"/>
          <w:marBottom w:val="0"/>
          <w:divBdr>
            <w:top w:val="none" w:sz="0" w:space="0" w:color="auto"/>
            <w:left w:val="none" w:sz="0" w:space="0" w:color="auto"/>
            <w:bottom w:val="none" w:sz="0" w:space="0" w:color="auto"/>
            <w:right w:val="none" w:sz="0" w:space="0" w:color="auto"/>
          </w:divBdr>
          <w:divsChild>
            <w:div w:id="1752696077">
              <w:marLeft w:val="0"/>
              <w:marRight w:val="0"/>
              <w:marTop w:val="0"/>
              <w:marBottom w:val="0"/>
              <w:divBdr>
                <w:top w:val="none" w:sz="0" w:space="0" w:color="auto"/>
                <w:left w:val="none" w:sz="0" w:space="0" w:color="auto"/>
                <w:bottom w:val="none" w:sz="0" w:space="0" w:color="auto"/>
                <w:right w:val="none" w:sz="0" w:space="0" w:color="auto"/>
              </w:divBdr>
              <w:divsChild>
                <w:div w:id="1100222494">
                  <w:marLeft w:val="0"/>
                  <w:marRight w:val="0"/>
                  <w:marTop w:val="0"/>
                  <w:marBottom w:val="0"/>
                  <w:divBdr>
                    <w:top w:val="none" w:sz="0" w:space="0" w:color="auto"/>
                    <w:left w:val="none" w:sz="0" w:space="0" w:color="auto"/>
                    <w:bottom w:val="none" w:sz="0" w:space="0" w:color="auto"/>
                    <w:right w:val="none" w:sz="0" w:space="0" w:color="auto"/>
                  </w:divBdr>
                  <w:divsChild>
                    <w:div w:id="1810783891">
                      <w:marLeft w:val="0"/>
                      <w:marRight w:val="0"/>
                      <w:marTop w:val="0"/>
                      <w:marBottom w:val="0"/>
                      <w:divBdr>
                        <w:top w:val="none" w:sz="0" w:space="0" w:color="auto"/>
                        <w:left w:val="none" w:sz="0" w:space="0" w:color="auto"/>
                        <w:bottom w:val="none" w:sz="0" w:space="0" w:color="auto"/>
                        <w:right w:val="none" w:sz="0" w:space="0" w:color="auto"/>
                      </w:divBdr>
                      <w:divsChild>
                        <w:div w:id="2045445477">
                          <w:marLeft w:val="0"/>
                          <w:marRight w:val="0"/>
                          <w:marTop w:val="0"/>
                          <w:marBottom w:val="0"/>
                          <w:divBdr>
                            <w:top w:val="none" w:sz="0" w:space="0" w:color="auto"/>
                            <w:left w:val="none" w:sz="0" w:space="0" w:color="auto"/>
                            <w:bottom w:val="none" w:sz="0" w:space="0" w:color="auto"/>
                            <w:right w:val="none" w:sz="0" w:space="0" w:color="auto"/>
                          </w:divBdr>
                          <w:divsChild>
                            <w:div w:id="89038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49045759">
      <w:bodyDiv w:val="1"/>
      <w:marLeft w:val="0"/>
      <w:marRight w:val="0"/>
      <w:marTop w:val="0"/>
      <w:marBottom w:val="0"/>
      <w:divBdr>
        <w:top w:val="none" w:sz="0" w:space="0" w:color="auto"/>
        <w:left w:val="none" w:sz="0" w:space="0" w:color="auto"/>
        <w:bottom w:val="none" w:sz="0" w:space="0" w:color="auto"/>
        <w:right w:val="none" w:sz="0" w:space="0" w:color="auto"/>
      </w:divBdr>
      <w:divsChild>
        <w:div w:id="265770059">
          <w:marLeft w:val="0"/>
          <w:marRight w:val="0"/>
          <w:marTop w:val="0"/>
          <w:marBottom w:val="0"/>
          <w:divBdr>
            <w:top w:val="none" w:sz="0" w:space="0" w:color="auto"/>
            <w:left w:val="none" w:sz="0" w:space="0" w:color="auto"/>
            <w:bottom w:val="none" w:sz="0" w:space="0" w:color="auto"/>
            <w:right w:val="none" w:sz="0" w:space="0" w:color="auto"/>
          </w:divBdr>
          <w:divsChild>
            <w:div w:id="1443917629">
              <w:marLeft w:val="0"/>
              <w:marRight w:val="0"/>
              <w:marTop w:val="0"/>
              <w:marBottom w:val="0"/>
              <w:divBdr>
                <w:top w:val="none" w:sz="0" w:space="0" w:color="auto"/>
                <w:left w:val="none" w:sz="0" w:space="0" w:color="auto"/>
                <w:bottom w:val="none" w:sz="0" w:space="0" w:color="auto"/>
                <w:right w:val="none" w:sz="0" w:space="0" w:color="auto"/>
              </w:divBdr>
              <w:divsChild>
                <w:div w:id="203447882">
                  <w:marLeft w:val="0"/>
                  <w:marRight w:val="0"/>
                  <w:marTop w:val="0"/>
                  <w:marBottom w:val="0"/>
                  <w:divBdr>
                    <w:top w:val="none" w:sz="0" w:space="0" w:color="auto"/>
                    <w:left w:val="none" w:sz="0" w:space="0" w:color="auto"/>
                    <w:bottom w:val="none" w:sz="0" w:space="0" w:color="auto"/>
                    <w:right w:val="none" w:sz="0" w:space="0" w:color="auto"/>
                  </w:divBdr>
                  <w:divsChild>
                    <w:div w:id="1790204641">
                      <w:marLeft w:val="0"/>
                      <w:marRight w:val="0"/>
                      <w:marTop w:val="0"/>
                      <w:marBottom w:val="0"/>
                      <w:divBdr>
                        <w:top w:val="none" w:sz="0" w:space="0" w:color="auto"/>
                        <w:left w:val="none" w:sz="0" w:space="0" w:color="auto"/>
                        <w:bottom w:val="none" w:sz="0" w:space="0" w:color="auto"/>
                        <w:right w:val="none" w:sz="0" w:space="0" w:color="auto"/>
                      </w:divBdr>
                      <w:divsChild>
                        <w:div w:id="1007289247">
                          <w:marLeft w:val="0"/>
                          <w:marRight w:val="0"/>
                          <w:marTop w:val="0"/>
                          <w:marBottom w:val="0"/>
                          <w:divBdr>
                            <w:top w:val="none" w:sz="0" w:space="0" w:color="auto"/>
                            <w:left w:val="none" w:sz="0" w:space="0" w:color="auto"/>
                            <w:bottom w:val="none" w:sz="0" w:space="0" w:color="auto"/>
                            <w:right w:val="none" w:sz="0" w:space="0" w:color="auto"/>
                          </w:divBdr>
                          <w:divsChild>
                            <w:div w:id="1722558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0321538">
      <w:bodyDiv w:val="1"/>
      <w:marLeft w:val="0"/>
      <w:marRight w:val="0"/>
      <w:marTop w:val="0"/>
      <w:marBottom w:val="0"/>
      <w:divBdr>
        <w:top w:val="none" w:sz="0" w:space="0" w:color="auto"/>
        <w:left w:val="none" w:sz="0" w:space="0" w:color="auto"/>
        <w:bottom w:val="none" w:sz="0" w:space="0" w:color="auto"/>
        <w:right w:val="none" w:sz="0" w:space="0" w:color="auto"/>
      </w:divBdr>
      <w:divsChild>
        <w:div w:id="1347367235">
          <w:marLeft w:val="0"/>
          <w:marRight w:val="0"/>
          <w:marTop w:val="0"/>
          <w:marBottom w:val="0"/>
          <w:divBdr>
            <w:top w:val="none" w:sz="0" w:space="0" w:color="auto"/>
            <w:left w:val="none" w:sz="0" w:space="0" w:color="auto"/>
            <w:bottom w:val="none" w:sz="0" w:space="0" w:color="auto"/>
            <w:right w:val="none" w:sz="0" w:space="0" w:color="auto"/>
          </w:divBdr>
          <w:divsChild>
            <w:div w:id="2141026091">
              <w:marLeft w:val="0"/>
              <w:marRight w:val="0"/>
              <w:marTop w:val="0"/>
              <w:marBottom w:val="0"/>
              <w:divBdr>
                <w:top w:val="none" w:sz="0" w:space="0" w:color="auto"/>
                <w:left w:val="none" w:sz="0" w:space="0" w:color="auto"/>
                <w:bottom w:val="none" w:sz="0" w:space="0" w:color="auto"/>
                <w:right w:val="none" w:sz="0" w:space="0" w:color="auto"/>
              </w:divBdr>
              <w:divsChild>
                <w:div w:id="1604875445">
                  <w:marLeft w:val="0"/>
                  <w:marRight w:val="0"/>
                  <w:marTop w:val="0"/>
                  <w:marBottom w:val="0"/>
                  <w:divBdr>
                    <w:top w:val="none" w:sz="0" w:space="0" w:color="auto"/>
                    <w:left w:val="none" w:sz="0" w:space="0" w:color="auto"/>
                    <w:bottom w:val="none" w:sz="0" w:space="0" w:color="auto"/>
                    <w:right w:val="none" w:sz="0" w:space="0" w:color="auto"/>
                  </w:divBdr>
                  <w:divsChild>
                    <w:div w:id="680199474">
                      <w:marLeft w:val="0"/>
                      <w:marRight w:val="0"/>
                      <w:marTop w:val="0"/>
                      <w:marBottom w:val="0"/>
                      <w:divBdr>
                        <w:top w:val="none" w:sz="0" w:space="0" w:color="auto"/>
                        <w:left w:val="none" w:sz="0" w:space="0" w:color="auto"/>
                        <w:bottom w:val="none" w:sz="0" w:space="0" w:color="auto"/>
                        <w:right w:val="none" w:sz="0" w:space="0" w:color="auto"/>
                      </w:divBdr>
                      <w:divsChild>
                        <w:div w:id="378480991">
                          <w:marLeft w:val="0"/>
                          <w:marRight w:val="0"/>
                          <w:marTop w:val="0"/>
                          <w:marBottom w:val="0"/>
                          <w:divBdr>
                            <w:top w:val="none" w:sz="0" w:space="0" w:color="auto"/>
                            <w:left w:val="none" w:sz="0" w:space="0" w:color="auto"/>
                            <w:bottom w:val="none" w:sz="0" w:space="0" w:color="auto"/>
                            <w:right w:val="none" w:sz="0" w:space="0" w:color="auto"/>
                          </w:divBdr>
                          <w:divsChild>
                            <w:div w:id="951671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5742740">
      <w:bodyDiv w:val="1"/>
      <w:marLeft w:val="0"/>
      <w:marRight w:val="0"/>
      <w:marTop w:val="0"/>
      <w:marBottom w:val="0"/>
      <w:divBdr>
        <w:top w:val="none" w:sz="0" w:space="0" w:color="auto"/>
        <w:left w:val="none" w:sz="0" w:space="0" w:color="auto"/>
        <w:bottom w:val="none" w:sz="0" w:space="0" w:color="auto"/>
        <w:right w:val="none" w:sz="0" w:space="0" w:color="auto"/>
      </w:divBdr>
      <w:divsChild>
        <w:div w:id="1090009061">
          <w:marLeft w:val="0"/>
          <w:marRight w:val="0"/>
          <w:marTop w:val="0"/>
          <w:marBottom w:val="0"/>
          <w:divBdr>
            <w:top w:val="none" w:sz="0" w:space="0" w:color="auto"/>
            <w:left w:val="none" w:sz="0" w:space="0" w:color="auto"/>
            <w:bottom w:val="none" w:sz="0" w:space="0" w:color="auto"/>
            <w:right w:val="none" w:sz="0" w:space="0" w:color="auto"/>
          </w:divBdr>
          <w:divsChild>
            <w:div w:id="498616036">
              <w:marLeft w:val="0"/>
              <w:marRight w:val="0"/>
              <w:marTop w:val="0"/>
              <w:marBottom w:val="0"/>
              <w:divBdr>
                <w:top w:val="none" w:sz="0" w:space="0" w:color="auto"/>
                <w:left w:val="none" w:sz="0" w:space="0" w:color="auto"/>
                <w:bottom w:val="none" w:sz="0" w:space="0" w:color="auto"/>
                <w:right w:val="none" w:sz="0" w:space="0" w:color="auto"/>
              </w:divBdr>
              <w:divsChild>
                <w:div w:id="1601907345">
                  <w:marLeft w:val="0"/>
                  <w:marRight w:val="0"/>
                  <w:marTop w:val="0"/>
                  <w:marBottom w:val="0"/>
                  <w:divBdr>
                    <w:top w:val="none" w:sz="0" w:space="0" w:color="auto"/>
                    <w:left w:val="none" w:sz="0" w:space="0" w:color="auto"/>
                    <w:bottom w:val="none" w:sz="0" w:space="0" w:color="auto"/>
                    <w:right w:val="none" w:sz="0" w:space="0" w:color="auto"/>
                  </w:divBdr>
                  <w:divsChild>
                    <w:div w:id="1199122420">
                      <w:marLeft w:val="0"/>
                      <w:marRight w:val="0"/>
                      <w:marTop w:val="0"/>
                      <w:marBottom w:val="0"/>
                      <w:divBdr>
                        <w:top w:val="none" w:sz="0" w:space="0" w:color="auto"/>
                        <w:left w:val="none" w:sz="0" w:space="0" w:color="auto"/>
                        <w:bottom w:val="none" w:sz="0" w:space="0" w:color="auto"/>
                        <w:right w:val="none" w:sz="0" w:space="0" w:color="auto"/>
                      </w:divBdr>
                      <w:divsChild>
                        <w:div w:id="1354721256">
                          <w:marLeft w:val="0"/>
                          <w:marRight w:val="0"/>
                          <w:marTop w:val="0"/>
                          <w:marBottom w:val="0"/>
                          <w:divBdr>
                            <w:top w:val="none" w:sz="0" w:space="0" w:color="auto"/>
                            <w:left w:val="none" w:sz="0" w:space="0" w:color="auto"/>
                            <w:bottom w:val="none" w:sz="0" w:space="0" w:color="auto"/>
                            <w:right w:val="none" w:sz="0" w:space="0" w:color="auto"/>
                          </w:divBdr>
                          <w:divsChild>
                            <w:div w:id="1119951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7661137">
      <w:bodyDiv w:val="1"/>
      <w:marLeft w:val="0"/>
      <w:marRight w:val="0"/>
      <w:marTop w:val="0"/>
      <w:marBottom w:val="0"/>
      <w:divBdr>
        <w:top w:val="none" w:sz="0" w:space="0" w:color="auto"/>
        <w:left w:val="none" w:sz="0" w:space="0" w:color="auto"/>
        <w:bottom w:val="none" w:sz="0" w:space="0" w:color="auto"/>
        <w:right w:val="none" w:sz="0" w:space="0" w:color="auto"/>
      </w:divBdr>
      <w:divsChild>
        <w:div w:id="1683700229">
          <w:marLeft w:val="0"/>
          <w:marRight w:val="0"/>
          <w:marTop w:val="0"/>
          <w:marBottom w:val="0"/>
          <w:divBdr>
            <w:top w:val="none" w:sz="0" w:space="0" w:color="auto"/>
            <w:left w:val="none" w:sz="0" w:space="0" w:color="auto"/>
            <w:bottom w:val="none" w:sz="0" w:space="0" w:color="auto"/>
            <w:right w:val="none" w:sz="0" w:space="0" w:color="auto"/>
          </w:divBdr>
          <w:divsChild>
            <w:div w:id="693768312">
              <w:marLeft w:val="0"/>
              <w:marRight w:val="0"/>
              <w:marTop w:val="0"/>
              <w:marBottom w:val="0"/>
              <w:divBdr>
                <w:top w:val="none" w:sz="0" w:space="0" w:color="auto"/>
                <w:left w:val="none" w:sz="0" w:space="0" w:color="auto"/>
                <w:bottom w:val="none" w:sz="0" w:space="0" w:color="auto"/>
                <w:right w:val="none" w:sz="0" w:space="0" w:color="auto"/>
              </w:divBdr>
              <w:divsChild>
                <w:div w:id="726536501">
                  <w:marLeft w:val="0"/>
                  <w:marRight w:val="0"/>
                  <w:marTop w:val="0"/>
                  <w:marBottom w:val="0"/>
                  <w:divBdr>
                    <w:top w:val="none" w:sz="0" w:space="0" w:color="auto"/>
                    <w:left w:val="none" w:sz="0" w:space="0" w:color="auto"/>
                    <w:bottom w:val="none" w:sz="0" w:space="0" w:color="auto"/>
                    <w:right w:val="none" w:sz="0" w:space="0" w:color="auto"/>
                  </w:divBdr>
                  <w:divsChild>
                    <w:div w:id="1591304874">
                      <w:marLeft w:val="0"/>
                      <w:marRight w:val="0"/>
                      <w:marTop w:val="0"/>
                      <w:marBottom w:val="0"/>
                      <w:divBdr>
                        <w:top w:val="none" w:sz="0" w:space="0" w:color="auto"/>
                        <w:left w:val="none" w:sz="0" w:space="0" w:color="auto"/>
                        <w:bottom w:val="none" w:sz="0" w:space="0" w:color="auto"/>
                        <w:right w:val="none" w:sz="0" w:space="0" w:color="auto"/>
                      </w:divBdr>
                      <w:divsChild>
                        <w:div w:id="1933469312">
                          <w:marLeft w:val="0"/>
                          <w:marRight w:val="0"/>
                          <w:marTop w:val="0"/>
                          <w:marBottom w:val="0"/>
                          <w:divBdr>
                            <w:top w:val="none" w:sz="0" w:space="0" w:color="auto"/>
                            <w:left w:val="none" w:sz="0" w:space="0" w:color="auto"/>
                            <w:bottom w:val="none" w:sz="0" w:space="0" w:color="auto"/>
                            <w:right w:val="none" w:sz="0" w:space="0" w:color="auto"/>
                          </w:divBdr>
                          <w:divsChild>
                            <w:div w:id="777219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E07008-48B8-434E-80D6-A7E63777CBC3}">
  <ds:schemaRefs>
    <ds:schemaRef ds:uri="http://schemas.microsoft.com/sharepoint/v3/contenttype/forms"/>
  </ds:schemaRefs>
</ds:datastoreItem>
</file>

<file path=customXml/itemProps2.xml><?xml version="1.0" encoding="utf-8"?>
<ds:datastoreItem xmlns:ds="http://schemas.openxmlformats.org/officeDocument/2006/customXml" ds:itemID="{C34825A0-9846-46FF-8387-48051C957BB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4EBBEA2-E838-4428-8F5B-72480EDCC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D7947E41-36BB-4CFD-972B-EEC1DAB45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3175</Words>
  <Characters>19056</Characters>
  <Application>Microsoft Office Word</Application>
  <DocSecurity>0</DocSecurity>
  <Lines>158</Lines>
  <Paragraphs>44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22187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2016-02-26T11:00:00Z</dcterms:created>
  <dcterms:modified xsi:type="dcterms:W3CDTF">2016-02-26T11:00:00Z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