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E66F049" w14:textId="77777777" w:rsidR="00014566" w:rsidRPr="00F6295E" w:rsidRDefault="00014566" w:rsidP="00F6295E">
      <w:pPr>
        <w:jc w:val="center"/>
      </w:pPr>
    </w:p>
    <w:p w14:paraId="4E1D1C60" w14:textId="77777777" w:rsidR="00F6295E" w:rsidRPr="00F6295E" w:rsidRDefault="00F6295E" w:rsidP="00F6295E">
      <w:pPr>
        <w:jc w:val="center"/>
      </w:pPr>
    </w:p>
    <w:p w14:paraId="4DD67274" w14:textId="77777777" w:rsidR="0029467B" w:rsidRPr="00F6295E" w:rsidRDefault="0029467B" w:rsidP="00F6295E">
      <w:pPr>
        <w:jc w:val="center"/>
      </w:pPr>
    </w:p>
    <w:p w14:paraId="36F1B557" w14:textId="77777777" w:rsidR="00014566" w:rsidRPr="00F6295E" w:rsidRDefault="00B97EB7" w:rsidP="00F6295E">
      <w:pPr>
        <w:jc w:val="center"/>
      </w:pPr>
      <w:r>
        <w:t>CZWARTA SEKCJA</w:t>
      </w:r>
    </w:p>
    <w:p w14:paraId="71C6A557" w14:textId="77777777" w:rsidR="00014566" w:rsidRPr="00F6295E" w:rsidRDefault="00014566" w:rsidP="00F6295E">
      <w:pPr>
        <w:jc w:val="center"/>
      </w:pPr>
    </w:p>
    <w:p w14:paraId="6CC1F988" w14:textId="77777777" w:rsidR="0029467B" w:rsidRPr="00F6295E" w:rsidRDefault="0029467B" w:rsidP="00F6295E">
      <w:pPr>
        <w:jc w:val="center"/>
      </w:pPr>
    </w:p>
    <w:p w14:paraId="688ECB38" w14:textId="77777777" w:rsidR="0029467B" w:rsidRPr="00F6295E" w:rsidRDefault="0029467B" w:rsidP="00F6295E">
      <w:pPr>
        <w:jc w:val="center"/>
      </w:pPr>
    </w:p>
    <w:p w14:paraId="49170413" w14:textId="77777777" w:rsidR="0029467B" w:rsidRPr="00F6295E" w:rsidRDefault="0029467B" w:rsidP="00F6295E">
      <w:pPr>
        <w:jc w:val="center"/>
      </w:pPr>
    </w:p>
    <w:p w14:paraId="130439DA" w14:textId="77777777" w:rsidR="0029467B" w:rsidRPr="00F6295E" w:rsidRDefault="0029467B" w:rsidP="00F6295E">
      <w:pPr>
        <w:jc w:val="center"/>
      </w:pPr>
    </w:p>
    <w:p w14:paraId="242C17B8" w14:textId="77777777" w:rsidR="0029467B" w:rsidRPr="00F6295E" w:rsidRDefault="0029467B" w:rsidP="00F6295E">
      <w:pPr>
        <w:jc w:val="center"/>
      </w:pPr>
    </w:p>
    <w:p w14:paraId="4A96B82C" w14:textId="77777777" w:rsidR="00014566" w:rsidRPr="00F6295E" w:rsidRDefault="00014566" w:rsidP="00F6295E">
      <w:pPr>
        <w:jc w:val="center"/>
      </w:pPr>
    </w:p>
    <w:p w14:paraId="13245105" w14:textId="77777777" w:rsidR="00014566" w:rsidRPr="00F6295E" w:rsidRDefault="00014566" w:rsidP="00F6295E">
      <w:pPr>
        <w:jc w:val="center"/>
        <w:rPr>
          <w:b/>
        </w:rPr>
      </w:pPr>
      <w:bookmarkStart w:id="0" w:name="To"/>
      <w:r>
        <w:rPr>
          <w:b/>
        </w:rPr>
        <w:t>SPRAWA ŚWIDERSKI PRZECIWKO POLSCE</w:t>
      </w:r>
      <w:bookmarkEnd w:id="0"/>
    </w:p>
    <w:p w14:paraId="7344E8E8" w14:textId="77777777" w:rsidR="00014566" w:rsidRPr="00F6295E" w:rsidRDefault="00014566" w:rsidP="00F6295E">
      <w:pPr>
        <w:jc w:val="center"/>
      </w:pPr>
    </w:p>
    <w:p w14:paraId="35A8000C" w14:textId="77777777" w:rsidR="00014566" w:rsidRPr="00F6295E" w:rsidRDefault="00014566" w:rsidP="00F6295E">
      <w:pPr>
        <w:jc w:val="center"/>
        <w:rPr>
          <w:i/>
        </w:rPr>
      </w:pPr>
      <w:r>
        <w:rPr>
          <w:i/>
        </w:rPr>
        <w:t>(Skarga nr 5532/10)</w:t>
      </w:r>
    </w:p>
    <w:p w14:paraId="09169844" w14:textId="77777777" w:rsidR="00014566" w:rsidRPr="00F6295E" w:rsidRDefault="00014566" w:rsidP="00F6295E">
      <w:pPr>
        <w:jc w:val="center"/>
      </w:pPr>
    </w:p>
    <w:p w14:paraId="42DC1C41" w14:textId="77777777" w:rsidR="00014566" w:rsidRPr="00F6295E" w:rsidRDefault="00014566" w:rsidP="00F6295E">
      <w:pPr>
        <w:jc w:val="center"/>
      </w:pPr>
    </w:p>
    <w:p w14:paraId="1134C242" w14:textId="77777777" w:rsidR="00014566" w:rsidRPr="00F6295E" w:rsidRDefault="00014566" w:rsidP="00F6295E">
      <w:pPr>
        <w:jc w:val="center"/>
      </w:pPr>
    </w:p>
    <w:p w14:paraId="300D0CE2" w14:textId="77777777" w:rsidR="00014566" w:rsidRPr="00F6295E" w:rsidRDefault="00014566" w:rsidP="00F6295E">
      <w:pPr>
        <w:jc w:val="center"/>
      </w:pPr>
    </w:p>
    <w:p w14:paraId="7FB408B3" w14:textId="77777777" w:rsidR="00014566" w:rsidRPr="00F6295E" w:rsidRDefault="00014566" w:rsidP="00F6295E">
      <w:pPr>
        <w:jc w:val="center"/>
      </w:pPr>
    </w:p>
    <w:p w14:paraId="38BEA99F" w14:textId="77777777" w:rsidR="00F6295E" w:rsidRPr="00F6295E" w:rsidRDefault="00F6295E" w:rsidP="00F6295E">
      <w:pPr>
        <w:jc w:val="center"/>
      </w:pPr>
    </w:p>
    <w:p w14:paraId="057E1680" w14:textId="77777777" w:rsidR="00F6295E" w:rsidRPr="00F6295E" w:rsidRDefault="00F6295E" w:rsidP="00F6295E">
      <w:pPr>
        <w:jc w:val="center"/>
      </w:pPr>
    </w:p>
    <w:p w14:paraId="5131E8E4" w14:textId="77777777" w:rsidR="00F6295E" w:rsidRPr="00F6295E" w:rsidRDefault="00F6295E" w:rsidP="00F6295E">
      <w:pPr>
        <w:jc w:val="center"/>
      </w:pPr>
    </w:p>
    <w:p w14:paraId="02C05C1B" w14:textId="77777777" w:rsidR="00F6295E" w:rsidRPr="00F6295E" w:rsidRDefault="00F6295E" w:rsidP="00F6295E">
      <w:pPr>
        <w:jc w:val="center"/>
      </w:pPr>
    </w:p>
    <w:p w14:paraId="289A3327" w14:textId="77777777" w:rsidR="00014566" w:rsidRPr="00F6295E" w:rsidRDefault="00014566" w:rsidP="00F6295E">
      <w:pPr>
        <w:jc w:val="center"/>
      </w:pPr>
    </w:p>
    <w:p w14:paraId="3EA9339D" w14:textId="77777777" w:rsidR="009F06FF" w:rsidRPr="00F6295E" w:rsidRDefault="0029467B" w:rsidP="00F6295E">
      <w:pPr>
        <w:jc w:val="center"/>
      </w:pPr>
      <w:r>
        <w:t>WYROK</w:t>
      </w:r>
    </w:p>
    <w:p w14:paraId="7C2DF3B6" w14:textId="77777777" w:rsidR="0029467B" w:rsidRPr="00F6295E" w:rsidRDefault="0029467B" w:rsidP="00F6295E">
      <w:pPr>
        <w:jc w:val="center"/>
      </w:pPr>
    </w:p>
    <w:p w14:paraId="09EB799E" w14:textId="77777777" w:rsidR="0029467B" w:rsidRPr="00F6295E" w:rsidRDefault="0029467B" w:rsidP="00F6295E">
      <w:pPr>
        <w:jc w:val="center"/>
      </w:pPr>
    </w:p>
    <w:p w14:paraId="29A5567A" w14:textId="77777777" w:rsidR="001C3BDF" w:rsidRPr="00F6295E" w:rsidRDefault="001C3BDF" w:rsidP="00F6295E">
      <w:pPr>
        <w:jc w:val="center"/>
      </w:pPr>
    </w:p>
    <w:p w14:paraId="46F34303" w14:textId="77777777" w:rsidR="001C3BDF" w:rsidRPr="00F6295E" w:rsidRDefault="001C3BDF" w:rsidP="00F6295E">
      <w:pPr>
        <w:jc w:val="center"/>
      </w:pPr>
    </w:p>
    <w:p w14:paraId="7D5EA8DF" w14:textId="77777777" w:rsidR="0029467B" w:rsidRPr="00F6295E" w:rsidRDefault="0029467B" w:rsidP="00F6295E">
      <w:pPr>
        <w:jc w:val="center"/>
      </w:pPr>
      <w:r>
        <w:t>STRASBURG</w:t>
      </w:r>
    </w:p>
    <w:p w14:paraId="33816A99" w14:textId="77777777" w:rsidR="0029467B" w:rsidRPr="00F6295E" w:rsidRDefault="0029467B" w:rsidP="00F6295E">
      <w:pPr>
        <w:jc w:val="center"/>
      </w:pPr>
    </w:p>
    <w:p w14:paraId="06E34587" w14:textId="77777777" w:rsidR="0029467B" w:rsidRPr="00F6295E" w:rsidRDefault="00211CFE" w:rsidP="00F6295E">
      <w:pPr>
        <w:jc w:val="center"/>
      </w:pPr>
      <w:r>
        <w:t>16 lutego 2016 r.</w:t>
      </w:r>
    </w:p>
    <w:p w14:paraId="57EF0CA1" w14:textId="77777777" w:rsidR="0029467B" w:rsidRPr="00F6295E" w:rsidRDefault="0029467B" w:rsidP="00F6295E">
      <w:pPr>
        <w:jc w:val="center"/>
      </w:pPr>
    </w:p>
    <w:p w14:paraId="08C46C5C" w14:textId="77777777" w:rsidR="0029467B" w:rsidRPr="00F6295E" w:rsidRDefault="0029467B" w:rsidP="00F6295E">
      <w:pPr>
        <w:jc w:val="center"/>
      </w:pPr>
    </w:p>
    <w:p w14:paraId="727DC02A" w14:textId="77777777" w:rsidR="001C3BDF" w:rsidRPr="00F6295E" w:rsidRDefault="001C3BDF" w:rsidP="00F6295E">
      <w:pPr>
        <w:jc w:val="center"/>
      </w:pPr>
    </w:p>
    <w:p w14:paraId="5D41F4AE" w14:textId="77777777" w:rsidR="001C3BDF" w:rsidRPr="00F6295E" w:rsidRDefault="001C3BDF" w:rsidP="00F6295E">
      <w:pPr>
        <w:jc w:val="center"/>
      </w:pPr>
    </w:p>
    <w:p w14:paraId="4654A6EE" w14:textId="77777777" w:rsidR="0029467B" w:rsidRPr="00F6295E" w:rsidRDefault="0029467B" w:rsidP="00F6295E">
      <w:pPr>
        <w:jc w:val="left"/>
        <w:rPr>
          <w:i/>
        </w:rPr>
      </w:pPr>
      <w:r>
        <w:rPr>
          <w:i/>
        </w:rPr>
        <w:t>Wyrok ten stanie się ostateczny zgodnie z warunkami określonymi w art. 44 § 2 Konwencji. Wyrok może podlegać korekcie wydawniczej.</w:t>
      </w:r>
    </w:p>
    <w:p w14:paraId="3894CBA2" w14:textId="77777777" w:rsidR="00F6295E" w:rsidRPr="00F6295E" w:rsidRDefault="00F6295E" w:rsidP="00F6295E">
      <w:pPr>
        <w:jc w:val="center"/>
        <w:rPr>
          <w:b/>
        </w:rPr>
        <w:sectPr w:rsidR="00F6295E" w:rsidRPr="00F6295E" w:rsidSect="009D7D86">
          <w:headerReference w:type="default" r:id="rId12"/>
          <w:headerReference w:type="first" r:id="rId13"/>
          <w:footerReference w:type="first" r:id="rId14"/>
          <w:footnotePr>
            <w:numRestart w:val="eachPage"/>
          </w:footnotePr>
          <w:pgSz w:w="11906" w:h="16838" w:code="9"/>
          <w:pgMar w:top="2274" w:right="2274" w:bottom="2274" w:left="2274" w:header="1701" w:footer="720" w:gutter="0"/>
          <w:pgNumType w:start="1"/>
          <w:cols w:space="720"/>
          <w:titlePg/>
          <w:docGrid w:linePitch="326"/>
        </w:sectPr>
      </w:pPr>
    </w:p>
    <w:p w14:paraId="3F54D128" w14:textId="77777777" w:rsidR="00014566" w:rsidRPr="00F6295E" w:rsidRDefault="00014566" w:rsidP="00F6295E">
      <w:pPr>
        <w:pStyle w:val="JuCase"/>
        <w:rPr>
          <w:bCs/>
        </w:rPr>
      </w:pPr>
      <w:r>
        <w:lastRenderedPageBreak/>
        <w:t>W sprawie Świderski przeciwko Polsce,</w:t>
      </w:r>
    </w:p>
    <w:p w14:paraId="33E8B410" w14:textId="77777777" w:rsidR="00014566" w:rsidRPr="00F6295E" w:rsidRDefault="00014566" w:rsidP="00F6295E">
      <w:pPr>
        <w:pStyle w:val="ECHRPara"/>
      </w:pPr>
      <w:r>
        <w:t>Europejski Trybunał Praw Człowieka (Czwarta Sekcja), Izba w składzie:</w:t>
      </w:r>
    </w:p>
    <w:p w14:paraId="01509D10" w14:textId="77777777" w:rsidR="00014566" w:rsidRPr="00F6295E" w:rsidRDefault="00211CFE" w:rsidP="00F6295E">
      <w:pPr>
        <w:pStyle w:val="ECHRDecisionBody"/>
      </w:pPr>
      <w:r>
        <w:tab/>
      </w:r>
      <w:proofErr w:type="spellStart"/>
      <w:r>
        <w:t>András</w:t>
      </w:r>
      <w:proofErr w:type="spellEnd"/>
      <w:r>
        <w:t xml:space="preserve"> </w:t>
      </w:r>
      <w:proofErr w:type="spellStart"/>
      <w:r>
        <w:t>Sajó</w:t>
      </w:r>
      <w:proofErr w:type="spellEnd"/>
      <w:r>
        <w:t>,</w:t>
      </w:r>
      <w:r>
        <w:rPr>
          <w:i/>
        </w:rPr>
        <w:t xml:space="preserve"> Przewodniczący,</w:t>
      </w:r>
      <w:r>
        <w:rPr>
          <w:i/>
        </w:rPr>
        <w:br/>
      </w:r>
      <w:r>
        <w:tab/>
        <w:t>Vincent A. De Gaetano,</w:t>
      </w:r>
      <w:r>
        <w:rPr>
          <w:i/>
        </w:rPr>
        <w:br/>
      </w:r>
      <w:r>
        <w:tab/>
        <w:t xml:space="preserve">Nona </w:t>
      </w:r>
      <w:proofErr w:type="spellStart"/>
      <w:r>
        <w:t>Tsotsoria</w:t>
      </w:r>
      <w:proofErr w:type="spellEnd"/>
      <w:r>
        <w:t>,</w:t>
      </w:r>
      <w:r>
        <w:rPr>
          <w:i/>
        </w:rPr>
        <w:br/>
      </w:r>
      <w:r>
        <w:tab/>
        <w:t xml:space="preserve">Paulo </w:t>
      </w:r>
      <w:proofErr w:type="spellStart"/>
      <w:r>
        <w:t>Pinto</w:t>
      </w:r>
      <w:proofErr w:type="spellEnd"/>
      <w:r>
        <w:t xml:space="preserve"> de Albuquerque,</w:t>
      </w:r>
      <w:r>
        <w:rPr>
          <w:i/>
        </w:rPr>
        <w:br/>
      </w:r>
      <w:r>
        <w:tab/>
        <w:t xml:space="preserve">Krzysztof </w:t>
      </w:r>
      <w:proofErr w:type="spellStart"/>
      <w:r>
        <w:t>Wojtyczek</w:t>
      </w:r>
      <w:proofErr w:type="spellEnd"/>
      <w:r>
        <w:t>,</w:t>
      </w:r>
      <w:r>
        <w:rPr>
          <w:i/>
        </w:rPr>
        <w:br/>
      </w:r>
      <w:r>
        <w:tab/>
      </w:r>
      <w:proofErr w:type="spellStart"/>
      <w:r>
        <w:t>Egidijus</w:t>
      </w:r>
      <w:proofErr w:type="spellEnd"/>
      <w:r>
        <w:t xml:space="preserve"> </w:t>
      </w:r>
      <w:proofErr w:type="spellStart"/>
      <w:r>
        <w:t>Kūris</w:t>
      </w:r>
      <w:proofErr w:type="spellEnd"/>
      <w:r>
        <w:t>,</w:t>
      </w:r>
      <w:r>
        <w:rPr>
          <w:i/>
        </w:rPr>
        <w:br/>
      </w:r>
      <w:r>
        <w:tab/>
        <w:t xml:space="preserve">Gabriele </w:t>
      </w:r>
      <w:proofErr w:type="spellStart"/>
      <w:r>
        <w:t>Kucsko-Stadlmayer</w:t>
      </w:r>
      <w:proofErr w:type="spellEnd"/>
      <w:r>
        <w:t>,</w:t>
      </w:r>
      <w:r>
        <w:rPr>
          <w:i/>
        </w:rPr>
        <w:t xml:space="preserve"> sędziowie,</w:t>
      </w:r>
      <w:r>
        <w:br/>
        <w:t xml:space="preserve">oraz </w:t>
      </w:r>
      <w:proofErr w:type="spellStart"/>
      <w:r>
        <w:t>Françoise</w:t>
      </w:r>
      <w:proofErr w:type="spellEnd"/>
      <w:r>
        <w:t xml:space="preserve"> </w:t>
      </w:r>
      <w:proofErr w:type="spellStart"/>
      <w:r>
        <w:t>Elens</w:t>
      </w:r>
      <w:proofErr w:type="spellEnd"/>
      <w:r>
        <w:t xml:space="preserve">-Passos, </w:t>
      </w:r>
      <w:r>
        <w:rPr>
          <w:i/>
        </w:rPr>
        <w:t>kanclerz sekcji,</w:t>
      </w:r>
    </w:p>
    <w:p w14:paraId="0CA61AB9" w14:textId="77777777" w:rsidR="00014566" w:rsidRPr="00F6295E" w:rsidRDefault="00014566" w:rsidP="00F6295E">
      <w:pPr>
        <w:pStyle w:val="ECHRPara"/>
      </w:pPr>
      <w:r>
        <w:t>Obradując na posiedzeniu niejawnym w dniu 26 stycznia 2016 r.</w:t>
      </w:r>
    </w:p>
    <w:p w14:paraId="5B5BEF9E" w14:textId="77777777" w:rsidR="00014566" w:rsidRPr="00F6295E" w:rsidRDefault="00014566" w:rsidP="00F6295E">
      <w:pPr>
        <w:pStyle w:val="ECHRPara"/>
      </w:pPr>
      <w:r>
        <w:t>Wydaje następujący wyrok, który został przyjętym w tym dniu:</w:t>
      </w:r>
    </w:p>
    <w:p w14:paraId="71045F84" w14:textId="77777777" w:rsidR="00014566" w:rsidRPr="00F6295E" w:rsidRDefault="00014566" w:rsidP="00F6295E">
      <w:pPr>
        <w:pStyle w:val="ECHRTitle1"/>
      </w:pPr>
      <w:r>
        <w:t>POSTĘPOWANIE</w:t>
      </w:r>
    </w:p>
    <w:p w14:paraId="4FD14EAD" w14:textId="10E67A01" w:rsidR="00B97EB7" w:rsidRPr="00F6295E" w:rsidRDefault="00F14328" w:rsidP="00F6295E">
      <w:pPr>
        <w:pStyle w:val="ECHRPara"/>
      </w:pPr>
      <w:r>
        <w:fldChar w:fldCharType="begin"/>
      </w:r>
      <w:r>
        <w:instrText xml:space="preserve"> SEQ level0 \*arabic </w:instrText>
      </w:r>
      <w:r>
        <w:fldChar w:fldCharType="separate"/>
      </w:r>
      <w:r w:rsidR="00F6295E" w:rsidRPr="00F6295E">
        <w:rPr>
          <w:noProof/>
        </w:rPr>
        <w:t>1</w:t>
      </w:r>
      <w:r>
        <w:rPr>
          <w:noProof/>
        </w:rPr>
        <w:fldChar w:fldCharType="end"/>
      </w:r>
      <w:r w:rsidR="00B97EB7">
        <w:t>.  Podstawą sprawy jest skarga (nr 5532/10) złożona przeciwko Rzeczypospolitej Polskiej do Trybunału, zgodnie z art. 34 Konwencji o ochronie praw człowieka i podstawowych wartości (</w:t>
      </w:r>
      <w:r w:rsidR="00697FBB">
        <w:t>„</w:t>
      </w:r>
      <w:r w:rsidR="00B97EB7">
        <w:t>Konwencja</w:t>
      </w:r>
      <w:r w:rsidR="00697FBB">
        <w:t>”</w:t>
      </w:r>
      <w:r w:rsidR="00B97EB7">
        <w:t>)</w:t>
      </w:r>
      <w:r w:rsidR="00697FBB">
        <w:t>,</w:t>
      </w:r>
      <w:r w:rsidR="00B97EB7">
        <w:t xml:space="preserve"> przez polskiego obywatela, p. Jakuba Świderskiego (</w:t>
      </w:r>
      <w:r w:rsidR="00697FBB">
        <w:t>„</w:t>
      </w:r>
      <w:r w:rsidR="00B97EB7">
        <w:t>skarżący</w:t>
      </w:r>
      <w:r w:rsidR="00697FBB">
        <w:t>”</w:t>
      </w:r>
      <w:r w:rsidR="00B97EB7">
        <w:t xml:space="preserve">), </w:t>
      </w:r>
      <w:r w:rsidR="00697FBB">
        <w:t xml:space="preserve">w dniu </w:t>
      </w:r>
      <w:r w:rsidR="00B97EB7">
        <w:t>15 stycznia 2010 r.</w:t>
      </w:r>
    </w:p>
    <w:p w14:paraId="2BC42947" w14:textId="74E32E15" w:rsidR="00B97EB7" w:rsidRPr="00F6295E" w:rsidRDefault="00F14328" w:rsidP="00F6295E">
      <w:pPr>
        <w:pStyle w:val="ECHRPara"/>
      </w:pPr>
      <w:r>
        <w:fldChar w:fldCharType="begin"/>
      </w:r>
      <w:r>
        <w:instrText xml:space="preserve"> SEQ level0 \*arabic </w:instrText>
      </w:r>
      <w:r>
        <w:fldChar w:fldCharType="separate"/>
      </w:r>
      <w:r w:rsidR="00F6295E" w:rsidRPr="00F6295E">
        <w:rPr>
          <w:noProof/>
        </w:rPr>
        <w:t>2</w:t>
      </w:r>
      <w:r>
        <w:rPr>
          <w:noProof/>
        </w:rPr>
        <w:fldChar w:fldCharType="end"/>
      </w:r>
      <w:r w:rsidR="00B97EB7">
        <w:t xml:space="preserve">.  Rząd Polski (Rząd) był reprezentowany przez jego pełnomocnika, p. J. Chrzanowską </w:t>
      </w:r>
      <w:r w:rsidR="00B2521C">
        <w:t xml:space="preserve">z </w:t>
      </w:r>
      <w:r w:rsidR="00B97EB7">
        <w:t>Minist</w:t>
      </w:r>
      <w:r w:rsidR="00B2521C">
        <w:t>erstwa</w:t>
      </w:r>
      <w:r w:rsidR="00B97EB7">
        <w:t xml:space="preserve"> Spraw Zagranicznych.</w:t>
      </w:r>
    </w:p>
    <w:p w14:paraId="1F7047E3" w14:textId="029CEDFB" w:rsidR="00014566" w:rsidRPr="00F6295E" w:rsidRDefault="00F14328" w:rsidP="00F6295E">
      <w:pPr>
        <w:pStyle w:val="ECHRPara"/>
      </w:pPr>
      <w:r>
        <w:fldChar w:fldCharType="begin"/>
      </w:r>
      <w:r>
        <w:instrText xml:space="preserve"> SEQ level0 \*arabic </w:instrText>
      </w:r>
      <w:r>
        <w:fldChar w:fldCharType="separate"/>
      </w:r>
      <w:r w:rsidR="00F6295E" w:rsidRPr="00F6295E">
        <w:rPr>
          <w:noProof/>
        </w:rPr>
        <w:t>3</w:t>
      </w:r>
      <w:r>
        <w:rPr>
          <w:noProof/>
        </w:rPr>
        <w:fldChar w:fldCharType="end"/>
      </w:r>
      <w:r w:rsidR="00B97EB7">
        <w:t xml:space="preserve">.  Skarżący zarzucił w szczególności naruszenie art. 3 Konwencji, w zakresie zakwalifikowania go jako osadzonego tzw. niebezpiecznego. Wniósł również </w:t>
      </w:r>
      <w:r w:rsidR="00B2521C">
        <w:t xml:space="preserve">skargę </w:t>
      </w:r>
      <w:r w:rsidR="00B97EB7">
        <w:t>w zakresie art. 6 i 13 Konwencji, twierdząc że postępowanie</w:t>
      </w:r>
      <w:r w:rsidR="00697FBB">
        <w:t xml:space="preserve"> </w:t>
      </w:r>
      <w:r w:rsidR="00B97EB7">
        <w:t>prowadzone</w:t>
      </w:r>
      <w:r w:rsidR="00697FBB">
        <w:t xml:space="preserve"> </w:t>
      </w:r>
      <w:r w:rsidR="00B97EB7">
        <w:t>przez</w:t>
      </w:r>
      <w:r w:rsidR="00B67EF3">
        <w:t xml:space="preserve"> </w:t>
      </w:r>
      <w:r w:rsidR="00B97EB7">
        <w:t>komisję</w:t>
      </w:r>
      <w:r w:rsidR="00B67EF3">
        <w:t xml:space="preserve"> </w:t>
      </w:r>
      <w:r w:rsidR="00B67EF3">
        <w:t>penitencjarn</w:t>
      </w:r>
      <w:r w:rsidR="00B67EF3">
        <w:t xml:space="preserve">ą </w:t>
      </w:r>
      <w:r w:rsidR="00B67EF3">
        <w:t xml:space="preserve">było </w:t>
      </w:r>
      <w:r w:rsidR="00B97EB7">
        <w:t>niesprawiedliwe,</w:t>
      </w:r>
      <w:r w:rsidR="00B67EF3">
        <w:t xml:space="preserve"> </w:t>
      </w:r>
      <w:r w:rsidR="00B97EB7">
        <w:t>a</w:t>
      </w:r>
      <w:r w:rsidR="00B67EF3">
        <w:t xml:space="preserve"> </w:t>
      </w:r>
      <w:r w:rsidR="00B97EB7">
        <w:t>skuteczne</w:t>
      </w:r>
      <w:r w:rsidR="00B67EF3">
        <w:t xml:space="preserve"> </w:t>
      </w:r>
      <w:r w:rsidR="00B97EB7">
        <w:t>odwołanie</w:t>
      </w:r>
      <w:r w:rsidR="00B67EF3">
        <w:t xml:space="preserve"> </w:t>
      </w:r>
      <w:r w:rsidR="00B97EB7">
        <w:t>się</w:t>
      </w:r>
      <w:r w:rsidR="00B67EF3">
        <w:t xml:space="preserve"> </w:t>
      </w:r>
      <w:r w:rsidR="00B97EB7">
        <w:t>od</w:t>
      </w:r>
      <w:r w:rsidR="00B67EF3">
        <w:t xml:space="preserve"> </w:t>
      </w:r>
      <w:r w:rsidR="00B97EB7">
        <w:t>jej</w:t>
      </w:r>
      <w:r w:rsidR="00B67EF3">
        <w:t xml:space="preserve"> </w:t>
      </w:r>
      <w:r w:rsidR="00B97EB7">
        <w:t>postanowień</w:t>
      </w:r>
      <w:r w:rsidR="00B67EF3">
        <w:t xml:space="preserve"> </w:t>
      </w:r>
      <w:r w:rsidR="00B97EB7">
        <w:t>było niemożliwe.</w:t>
      </w:r>
    </w:p>
    <w:p w14:paraId="318280B2" w14:textId="20151CBF" w:rsidR="00014566" w:rsidRPr="00F6295E" w:rsidRDefault="00F14328" w:rsidP="00F6295E">
      <w:pPr>
        <w:pStyle w:val="ECHRPara"/>
      </w:pPr>
      <w:r>
        <w:fldChar w:fldCharType="begin"/>
      </w:r>
      <w:r>
        <w:instrText xml:space="preserve"> SEQ level0 \*arabic </w:instrText>
      </w:r>
      <w:r>
        <w:fldChar w:fldCharType="separate"/>
      </w:r>
      <w:r w:rsidR="00F6295E" w:rsidRPr="00F6295E">
        <w:rPr>
          <w:noProof/>
        </w:rPr>
        <w:t>4</w:t>
      </w:r>
      <w:r>
        <w:rPr>
          <w:noProof/>
        </w:rPr>
        <w:fldChar w:fldCharType="end"/>
      </w:r>
      <w:r w:rsidR="00B97EB7">
        <w:t>.  W dniu 7 lipca 2014 r. skarga została zakomunikowana Rządowi.</w:t>
      </w:r>
    </w:p>
    <w:p w14:paraId="768FED19" w14:textId="77777777" w:rsidR="00014566" w:rsidRPr="00F6295E" w:rsidRDefault="00014566" w:rsidP="00F6295E">
      <w:pPr>
        <w:pStyle w:val="ECHRTitle1"/>
      </w:pPr>
      <w:r>
        <w:t>STAN FAKTYCZNY</w:t>
      </w:r>
    </w:p>
    <w:p w14:paraId="0A87E061" w14:textId="77777777" w:rsidR="00014566" w:rsidRPr="00F6295E" w:rsidRDefault="00014566" w:rsidP="00F6295E">
      <w:pPr>
        <w:pStyle w:val="ECHRHeading1"/>
      </w:pPr>
      <w:r>
        <w:t>I. OKOLICZNOŚCI SPRAWY</w:t>
      </w:r>
    </w:p>
    <w:p w14:paraId="19B7AC4D" w14:textId="1FD1B5C5" w:rsidR="00014566" w:rsidRPr="00F6295E" w:rsidRDefault="00F14328" w:rsidP="00F6295E">
      <w:pPr>
        <w:pStyle w:val="ECHRPara"/>
      </w:pPr>
      <w:r>
        <w:fldChar w:fldCharType="begin"/>
      </w:r>
      <w:r>
        <w:instrText xml:space="preserve"> SEQ level0 \*arabic </w:instrText>
      </w:r>
      <w:r>
        <w:fldChar w:fldCharType="separate"/>
      </w:r>
      <w:r w:rsidR="00F6295E" w:rsidRPr="00F6295E">
        <w:rPr>
          <w:noProof/>
        </w:rPr>
        <w:t>5</w:t>
      </w:r>
      <w:r>
        <w:rPr>
          <w:noProof/>
        </w:rPr>
        <w:fldChar w:fldCharType="end"/>
      </w:r>
      <w:r w:rsidR="00B97EB7">
        <w:t xml:space="preserve">.  Skarżący urodził się w 1989 r. i jest </w:t>
      </w:r>
      <w:r w:rsidR="00B2521C">
        <w:t xml:space="preserve">osadzony </w:t>
      </w:r>
      <w:r w:rsidR="00B97EB7">
        <w:t>w Opolu Lubelskim.</w:t>
      </w:r>
    </w:p>
    <w:p w14:paraId="3659CF41" w14:textId="77777777" w:rsidR="00F6295E" w:rsidRPr="00F6295E" w:rsidRDefault="00DE4918" w:rsidP="00F6295E">
      <w:pPr>
        <w:pStyle w:val="ECHRHeading2"/>
      </w:pPr>
      <w:r>
        <w:lastRenderedPageBreak/>
        <w:t>A. Postępowanie karne przeciwko skarżącemu</w:t>
      </w:r>
    </w:p>
    <w:p w14:paraId="2E70BCD1" w14:textId="77777777" w:rsidR="003C4DBF" w:rsidRPr="00F6295E" w:rsidRDefault="00F14328" w:rsidP="00F6295E">
      <w:pPr>
        <w:pStyle w:val="ECHRPara"/>
      </w:pPr>
      <w:r>
        <w:fldChar w:fldCharType="begin"/>
      </w:r>
      <w:r>
        <w:instrText xml:space="preserve"> SEQ level0 \*arabic </w:instrText>
      </w:r>
      <w:r>
        <w:fldChar w:fldCharType="separate"/>
      </w:r>
      <w:r w:rsidR="00F6295E" w:rsidRPr="00F6295E">
        <w:rPr>
          <w:noProof/>
        </w:rPr>
        <w:t>6</w:t>
      </w:r>
      <w:r>
        <w:rPr>
          <w:noProof/>
        </w:rPr>
        <w:fldChar w:fldCharType="end"/>
      </w:r>
      <w:r w:rsidR="004E4DDA">
        <w:t>.  Dnia 29 czerwca 2007 r.</w:t>
      </w:r>
      <w:r w:rsidR="00532FA8">
        <w:t xml:space="preserve"> skarżącego zatrzymano i umieszczono w Zakładzie Karnym w Białej Podlaskiej pod zarzutem zabójstwa. Skarżący był uprzednio karany i przebywał w zakładzie karnym.</w:t>
      </w:r>
    </w:p>
    <w:p w14:paraId="36086D5A" w14:textId="4B370581" w:rsidR="003C4DBF" w:rsidRPr="00F6295E" w:rsidRDefault="00F14328" w:rsidP="00F6295E">
      <w:pPr>
        <w:pStyle w:val="ECHRPara"/>
      </w:pPr>
      <w:r>
        <w:fldChar w:fldCharType="begin"/>
      </w:r>
      <w:r>
        <w:instrText xml:space="preserve"> SEQ level0 \*arabic </w:instrText>
      </w:r>
      <w:r>
        <w:fldChar w:fldCharType="separate"/>
      </w:r>
      <w:r w:rsidR="00F6295E" w:rsidRPr="00F6295E">
        <w:rPr>
          <w:noProof/>
        </w:rPr>
        <w:t>7</w:t>
      </w:r>
      <w:r>
        <w:rPr>
          <w:noProof/>
        </w:rPr>
        <w:fldChar w:fldCharType="end"/>
      </w:r>
      <w:r w:rsidR="004E4DDA">
        <w:t>.  Dnia 17 grudnia 2009 r.</w:t>
      </w:r>
      <w:r w:rsidR="00532FA8">
        <w:t xml:space="preserve"> skarżący został skazany za zabójstwo na 25 lat pozbawienia wolności. Skarżący złożył </w:t>
      </w:r>
      <w:r w:rsidR="00697FBB">
        <w:t>apelację</w:t>
      </w:r>
      <w:r w:rsidR="00532FA8">
        <w:t>.</w:t>
      </w:r>
    </w:p>
    <w:p w14:paraId="7C57DDD9" w14:textId="18DB15E2" w:rsidR="003C4DBF" w:rsidRPr="00F6295E" w:rsidRDefault="00F14328" w:rsidP="00F6295E">
      <w:pPr>
        <w:pStyle w:val="ECHRPara"/>
      </w:pPr>
      <w:r>
        <w:fldChar w:fldCharType="begin"/>
      </w:r>
      <w:r>
        <w:instrText xml:space="preserve"> SEQ level0 \*arabic </w:instrText>
      </w:r>
      <w:r>
        <w:fldChar w:fldCharType="separate"/>
      </w:r>
      <w:r w:rsidR="00F6295E" w:rsidRPr="00F6295E">
        <w:rPr>
          <w:noProof/>
        </w:rPr>
        <w:t>8</w:t>
      </w:r>
      <w:r>
        <w:rPr>
          <w:noProof/>
        </w:rPr>
        <w:fldChar w:fldCharType="end"/>
      </w:r>
      <w:r w:rsidR="004E4DDA">
        <w:t>.  Dnia 10 października 2010 r.</w:t>
      </w:r>
      <w:r w:rsidR="00532FA8">
        <w:t xml:space="preserve"> Sąd Apelacyjny w Lublinie uchylił wyrok i przekazał sprawę do ponownego </w:t>
      </w:r>
      <w:r w:rsidR="00697FBB">
        <w:t>rozpoznania</w:t>
      </w:r>
      <w:r w:rsidR="00532FA8">
        <w:t>.</w:t>
      </w:r>
    </w:p>
    <w:p w14:paraId="51E6CAF6" w14:textId="77777777" w:rsidR="003C4DBF" w:rsidRPr="00F6295E" w:rsidRDefault="00F14328" w:rsidP="00F6295E">
      <w:pPr>
        <w:pStyle w:val="ECHRPara"/>
      </w:pPr>
      <w:r>
        <w:fldChar w:fldCharType="begin"/>
      </w:r>
      <w:r>
        <w:instrText xml:space="preserve"> SEQ level0 \*arabic </w:instrText>
      </w:r>
      <w:r>
        <w:fldChar w:fldCharType="separate"/>
      </w:r>
      <w:r w:rsidR="00F6295E" w:rsidRPr="00F6295E">
        <w:rPr>
          <w:noProof/>
        </w:rPr>
        <w:t>9</w:t>
      </w:r>
      <w:r>
        <w:rPr>
          <w:noProof/>
        </w:rPr>
        <w:fldChar w:fldCharType="end"/>
      </w:r>
      <w:r w:rsidR="00532FA8">
        <w:t>.  Dnia 13 maja 2014 r. Sąd Okręgowy w Lublinie skazał skarżącego na 13 lat pozbawienia wolności.</w:t>
      </w:r>
    </w:p>
    <w:p w14:paraId="1E052665" w14:textId="77777777" w:rsidR="00990B93" w:rsidRPr="00F6295E" w:rsidRDefault="00DE4918" w:rsidP="00F6295E">
      <w:pPr>
        <w:pStyle w:val="ECHRHeading2"/>
      </w:pPr>
      <w:r>
        <w:t>B. Nałożenie reżimu osadzonego tzw. niebezpiecznego</w:t>
      </w:r>
    </w:p>
    <w:p w14:paraId="469EC12A" w14:textId="6BD19622" w:rsidR="00990B93" w:rsidRPr="00F6295E" w:rsidRDefault="00F14328" w:rsidP="00F6295E">
      <w:pPr>
        <w:pStyle w:val="ECHRPara"/>
      </w:pPr>
      <w:r>
        <w:fldChar w:fldCharType="begin"/>
      </w:r>
      <w:r>
        <w:instrText xml:space="preserve"> SEQ level0 \*arabic </w:instrText>
      </w:r>
      <w:r>
        <w:fldChar w:fldCharType="separate"/>
      </w:r>
      <w:r w:rsidR="00F6295E" w:rsidRPr="00F6295E">
        <w:rPr>
          <w:noProof/>
        </w:rPr>
        <w:t>10</w:t>
      </w:r>
      <w:r>
        <w:rPr>
          <w:noProof/>
        </w:rPr>
        <w:fldChar w:fldCharType="end"/>
      </w:r>
      <w:r w:rsidR="00532FA8">
        <w:t xml:space="preserve">.  W dniu 14 sierpnia 2007 r. Komisja Penitencjarna w Zakładzie Karnym w Białej Podlaskiej zakwalifikowała skarżącego jako osadzonego </w:t>
      </w:r>
      <w:r w:rsidR="00697FBB">
        <w:t>„</w:t>
      </w:r>
      <w:r w:rsidR="00532FA8">
        <w:t>niebezpiecznego</w:t>
      </w:r>
      <w:r w:rsidR="00697FBB">
        <w:t>”</w:t>
      </w:r>
      <w:r w:rsidR="00532FA8">
        <w:t>. Swoj</w:t>
      </w:r>
      <w:r w:rsidR="00697FBB">
        <w:t>ą</w:t>
      </w:r>
      <w:r w:rsidR="00532FA8">
        <w:t xml:space="preserve"> </w:t>
      </w:r>
      <w:r w:rsidR="00697FBB">
        <w:t>decyzję</w:t>
      </w:r>
      <w:r w:rsidR="00532FA8">
        <w:t xml:space="preserve"> uzasadniła </w:t>
      </w:r>
      <w:r w:rsidR="004E4DDA">
        <w:t>próbą</w:t>
      </w:r>
      <w:r w:rsidR="00532FA8">
        <w:t xml:space="preserve"> ucieczki</w:t>
      </w:r>
      <w:r w:rsidR="004E4DDA">
        <w:t xml:space="preserve"> podjętą</w:t>
      </w:r>
      <w:r w:rsidR="00532FA8">
        <w:t xml:space="preserve"> przez skarżącego w trakcie transportu</w:t>
      </w:r>
      <w:r w:rsidR="004E4DDA">
        <w:t xml:space="preserve"> odbywającego się</w:t>
      </w:r>
      <w:r w:rsidR="00532FA8">
        <w:t xml:space="preserve"> poza murami </w:t>
      </w:r>
      <w:r w:rsidR="004E4DDA">
        <w:t>zakładu karnego, a także poważnym</w:t>
      </w:r>
      <w:r w:rsidR="00532FA8">
        <w:t xml:space="preserve"> </w:t>
      </w:r>
      <w:r w:rsidR="004E4DDA">
        <w:t>charakterem</w:t>
      </w:r>
      <w:r w:rsidR="00532FA8">
        <w:t xml:space="preserve"> przestępstwa, za które został skazany.</w:t>
      </w:r>
    </w:p>
    <w:p w14:paraId="5365453E" w14:textId="09D33465" w:rsidR="00F425B4" w:rsidRPr="00F6295E" w:rsidRDefault="00F14328" w:rsidP="00F6295E">
      <w:pPr>
        <w:pStyle w:val="ECHRPara"/>
      </w:pPr>
      <w:r>
        <w:fldChar w:fldCharType="begin"/>
      </w:r>
      <w:r>
        <w:instrText xml:space="preserve"> SEQ level0 \*</w:instrText>
      </w:r>
      <w:r>
        <w:instrText xml:space="preserve">arabic </w:instrText>
      </w:r>
      <w:r>
        <w:fldChar w:fldCharType="separate"/>
      </w:r>
      <w:r w:rsidR="00F6295E" w:rsidRPr="00F6295E">
        <w:rPr>
          <w:noProof/>
        </w:rPr>
        <w:t>11</w:t>
      </w:r>
      <w:r>
        <w:rPr>
          <w:noProof/>
        </w:rPr>
        <w:fldChar w:fldCharType="end"/>
      </w:r>
      <w:r w:rsidR="00532FA8">
        <w:t>.  W bliżej nieokreślonym dniu we wrześniu 2007 r</w:t>
      </w:r>
      <w:r w:rsidR="004E4DDA">
        <w:t>.</w:t>
      </w:r>
      <w:r w:rsidR="00532FA8">
        <w:t xml:space="preserve"> skarżącego przeniesiono do Aresztu Śledczego w Lublinie. W dniu 3 października 2007 r. Komisja Penitencjarna w Areszcie Śledczym w Lublinie zastosowała wobec skarżącego reżim </w:t>
      </w:r>
      <w:r w:rsidR="00697FBB">
        <w:t>osadzonego „</w:t>
      </w:r>
      <w:r w:rsidR="00532FA8">
        <w:t>niebezpiecznego</w:t>
      </w:r>
      <w:r w:rsidR="00697FBB">
        <w:t>”</w:t>
      </w:r>
      <w:r w:rsidR="00532FA8">
        <w:t xml:space="preserve">. Następnie wielokrotnie przedłużała stosowanie reżimu osadzonego niebezpiecznego. Skarżący przekazał kopie </w:t>
      </w:r>
      <w:r w:rsidR="00697FBB">
        <w:t xml:space="preserve">decyzji </w:t>
      </w:r>
      <w:r w:rsidR="00532FA8">
        <w:t xml:space="preserve">komisji z: 6 maja 2008 r., 19 marca 2009 r., 12 sierpnia i 23 grudnia 2010 r., 23 marca, 23 czerwca i 14 lipca 2011 r. oraz 15 marca 2012 r. Wszystkie wymienione </w:t>
      </w:r>
      <w:r w:rsidR="00697FBB">
        <w:t xml:space="preserve">decyzje </w:t>
      </w:r>
      <w:r w:rsidR="00532FA8">
        <w:t>wydano na specjalnym formularzu, który zawierał pole na uzasadnienie. W tym miejscu znajdują się jednak wyłącznie informacje na temat postępów skarżącego w resocjalizacji, ocenianych jako „umiarkowane” lub „niedostateczne”.</w:t>
      </w:r>
    </w:p>
    <w:p w14:paraId="6F1E4552" w14:textId="77777777" w:rsidR="00990B93" w:rsidRPr="00F6295E" w:rsidRDefault="00F14328" w:rsidP="00F6295E">
      <w:pPr>
        <w:pStyle w:val="ECHRPara"/>
      </w:pPr>
      <w:r>
        <w:fldChar w:fldCharType="begin"/>
      </w:r>
      <w:r>
        <w:instrText xml:space="preserve"> SEQ level0 \*arabic </w:instrText>
      </w:r>
      <w:r>
        <w:fldChar w:fldCharType="separate"/>
      </w:r>
      <w:r w:rsidR="00F6295E" w:rsidRPr="00F6295E">
        <w:rPr>
          <w:noProof/>
        </w:rPr>
        <w:t>12</w:t>
      </w:r>
      <w:r>
        <w:rPr>
          <w:noProof/>
        </w:rPr>
        <w:fldChar w:fldCharType="end"/>
      </w:r>
      <w:r w:rsidR="00532FA8">
        <w:t>.  W bliżej nieokreślonym dniu skarżącego przeniesiono do Aresztu Śledczego w Kielcach.</w:t>
      </w:r>
    </w:p>
    <w:p w14:paraId="775646E8" w14:textId="03D03075" w:rsidR="00990B93" w:rsidRPr="00F6295E" w:rsidRDefault="00F14328" w:rsidP="00F6295E">
      <w:pPr>
        <w:pStyle w:val="ECHRPara"/>
      </w:pPr>
      <w:r>
        <w:fldChar w:fldCharType="begin"/>
      </w:r>
      <w:r>
        <w:instrText xml:space="preserve"> SEQ level0 \*arabic </w:instrText>
      </w:r>
      <w:r>
        <w:fldChar w:fldCharType="separate"/>
      </w:r>
      <w:r w:rsidR="00F6295E" w:rsidRPr="00F6295E">
        <w:rPr>
          <w:noProof/>
        </w:rPr>
        <w:t>13</w:t>
      </w:r>
      <w:r>
        <w:rPr>
          <w:noProof/>
        </w:rPr>
        <w:fldChar w:fldCharType="end"/>
      </w:r>
      <w:r w:rsidR="00532FA8">
        <w:t xml:space="preserve">.  W dniu 30 marca 2010 r. Komisja Penitencjarna w Areszcie Śledczym w Kielcach zastosowała wobec skarżącego reżim </w:t>
      </w:r>
      <w:r w:rsidR="00697FBB">
        <w:t>osadzonego „</w:t>
      </w:r>
      <w:r w:rsidR="00532FA8">
        <w:t>niebezpiecznego</w:t>
      </w:r>
      <w:r w:rsidR="00697FBB">
        <w:t>”</w:t>
      </w:r>
      <w:r w:rsidR="00532FA8">
        <w:t>. Skarżący złożył odwołanie.</w:t>
      </w:r>
    </w:p>
    <w:p w14:paraId="43EB36AE" w14:textId="515FD6B4" w:rsidR="00990B93" w:rsidRPr="00F6295E" w:rsidRDefault="00F14328" w:rsidP="00F6295E">
      <w:pPr>
        <w:pStyle w:val="ECHRPara"/>
      </w:pPr>
      <w:r>
        <w:fldChar w:fldCharType="begin"/>
      </w:r>
      <w:r>
        <w:instrText xml:space="preserve"> SEQ level0 \*arabic </w:instrText>
      </w:r>
      <w:r>
        <w:fldChar w:fldCharType="separate"/>
      </w:r>
      <w:r w:rsidR="00F6295E" w:rsidRPr="00F6295E">
        <w:rPr>
          <w:noProof/>
        </w:rPr>
        <w:t>14</w:t>
      </w:r>
      <w:r>
        <w:rPr>
          <w:noProof/>
        </w:rPr>
        <w:fldChar w:fldCharType="end"/>
      </w:r>
      <w:r w:rsidR="00532FA8">
        <w:t xml:space="preserve">.  W dniu 28 czerwca 2010 r. Sąd Okręgowy w Kielcach utrzymał </w:t>
      </w:r>
      <w:r w:rsidR="00697FBB">
        <w:t xml:space="preserve">decyzję </w:t>
      </w:r>
      <w:r w:rsidR="00532FA8">
        <w:t xml:space="preserve">komisji w mocy. Sąd zbadał, czy </w:t>
      </w:r>
      <w:r w:rsidR="00057D80">
        <w:t>de</w:t>
      </w:r>
      <w:r w:rsidR="00B67EF3">
        <w:t>c</w:t>
      </w:r>
      <w:r w:rsidR="00057D80">
        <w:t xml:space="preserve">yzja </w:t>
      </w:r>
      <w:r w:rsidR="00532FA8">
        <w:t>komisj</w:t>
      </w:r>
      <w:r w:rsidR="00057D80">
        <w:t>i</w:t>
      </w:r>
      <w:r w:rsidR="00532FA8">
        <w:t xml:space="preserve"> </w:t>
      </w:r>
      <w:r w:rsidR="00057D80">
        <w:t>była uzasadniona</w:t>
      </w:r>
      <w:r w:rsidR="00532FA8">
        <w:t xml:space="preserve"> oraz czy </w:t>
      </w:r>
      <w:r w:rsidR="00057D80">
        <w:t xml:space="preserve">komisja </w:t>
      </w:r>
      <w:r w:rsidR="00532FA8">
        <w:t xml:space="preserve">przestrzegała zasady swobodnej oceny okoliczności </w:t>
      </w:r>
      <w:r w:rsidR="008A03D5">
        <w:t>sprawy</w:t>
      </w:r>
      <w:r w:rsidR="00532FA8">
        <w:t xml:space="preserve">. Stwierdził, że </w:t>
      </w:r>
      <w:r w:rsidR="00057D80">
        <w:t xml:space="preserve">decyzję </w:t>
      </w:r>
      <w:r w:rsidR="00532FA8">
        <w:t>wydano zgodnie z przepisami prawa i że był</w:t>
      </w:r>
      <w:r w:rsidR="00057D80">
        <w:t>a</w:t>
      </w:r>
      <w:r w:rsidR="00532FA8">
        <w:t xml:space="preserve"> on</w:t>
      </w:r>
      <w:r w:rsidR="00057D80">
        <w:t>a</w:t>
      </w:r>
      <w:r w:rsidR="00532FA8">
        <w:t xml:space="preserve"> uzasadnione biorąc pod uwagę agresywne i wulgarne zachowanie skarżącego w areszcie śledczym, odmawianie spożywania posiłków, a także brak skruchy w odniesieniu do przestępstw, za które został skazany przez </w:t>
      </w:r>
      <w:r w:rsidR="00532FA8">
        <w:lastRenderedPageBreak/>
        <w:t>sąd pierwszej instancji. Sąd ustalił również, że skarżący otrzymał 22 kary dyscyplinarne za nawiązywanie nielegalnych kontaktów.</w:t>
      </w:r>
    </w:p>
    <w:p w14:paraId="319D898D" w14:textId="599029A4" w:rsidR="00990B93" w:rsidRPr="00F6295E" w:rsidRDefault="00F14328" w:rsidP="00F6295E">
      <w:pPr>
        <w:pStyle w:val="ECHRPara"/>
      </w:pPr>
      <w:r>
        <w:fldChar w:fldCharType="begin"/>
      </w:r>
      <w:r>
        <w:instrText xml:space="preserve"> SEQ level0 \*arabic </w:instrText>
      </w:r>
      <w:r>
        <w:fldChar w:fldCharType="separate"/>
      </w:r>
      <w:r w:rsidR="00F6295E" w:rsidRPr="00F6295E">
        <w:rPr>
          <w:noProof/>
        </w:rPr>
        <w:t>15</w:t>
      </w:r>
      <w:r>
        <w:rPr>
          <w:noProof/>
        </w:rPr>
        <w:fldChar w:fldCharType="end"/>
      </w:r>
      <w:r w:rsidR="00532FA8">
        <w:t>.</w:t>
      </w:r>
      <w:r w:rsidR="004E4DDA">
        <w:t>  W bliżej nieokreślonym dniu w</w:t>
      </w:r>
      <w:r w:rsidR="00532FA8">
        <w:t xml:space="preserve"> 2010 r. skarżącego przeniesiono z powrotem do Aresztu Śledczego w Lublinie.</w:t>
      </w:r>
    </w:p>
    <w:p w14:paraId="03B2C5FC" w14:textId="0A9A6F1E" w:rsidR="00D043AE" w:rsidRPr="00F6295E" w:rsidRDefault="00F14328" w:rsidP="00F6295E">
      <w:pPr>
        <w:pStyle w:val="ECHRPara"/>
      </w:pPr>
      <w:r>
        <w:fldChar w:fldCharType="begin"/>
      </w:r>
      <w:r>
        <w:instrText xml:space="preserve"> SEQ level0 \*arabic </w:instrText>
      </w:r>
      <w:r>
        <w:fldChar w:fldCharType="separate"/>
      </w:r>
      <w:r w:rsidR="00F6295E" w:rsidRPr="00F6295E">
        <w:rPr>
          <w:noProof/>
        </w:rPr>
        <w:t>16</w:t>
      </w:r>
      <w:r>
        <w:rPr>
          <w:noProof/>
        </w:rPr>
        <w:fldChar w:fldCharType="end"/>
      </w:r>
      <w:r w:rsidR="004E4DDA">
        <w:t>.  W dniu 31 sierpnia 2010 r.</w:t>
      </w:r>
      <w:r w:rsidR="00532FA8">
        <w:t xml:space="preserve"> złożył </w:t>
      </w:r>
      <w:r w:rsidR="00057D80">
        <w:t xml:space="preserve">on </w:t>
      </w:r>
      <w:r w:rsidR="00532FA8">
        <w:t xml:space="preserve">do okręgowego inspektoratu służby więziennej skargę na warunki, w których odbywa karę oraz na ciągłe przedłużanie reżimu osadzonego </w:t>
      </w:r>
      <w:r w:rsidR="00057D80">
        <w:t>„</w:t>
      </w:r>
      <w:r w:rsidR="00532FA8">
        <w:t>niebezpiecznego</w:t>
      </w:r>
      <w:r w:rsidR="00057D80">
        <w:t>”</w:t>
      </w:r>
      <w:r w:rsidR="00532FA8">
        <w:t>.</w:t>
      </w:r>
    </w:p>
    <w:p w14:paraId="7C620D44" w14:textId="2805AE03" w:rsidR="007100FC" w:rsidRPr="00F6295E" w:rsidRDefault="00F14328" w:rsidP="00F6295E">
      <w:pPr>
        <w:pStyle w:val="ECHRPara"/>
      </w:pPr>
      <w:r>
        <w:fldChar w:fldCharType="begin"/>
      </w:r>
      <w:r>
        <w:instrText xml:space="preserve"> SEQ level0 \*arabic </w:instrText>
      </w:r>
      <w:r>
        <w:fldChar w:fldCharType="separate"/>
      </w:r>
      <w:r w:rsidR="00F6295E" w:rsidRPr="00F6295E">
        <w:rPr>
          <w:noProof/>
        </w:rPr>
        <w:t>17</w:t>
      </w:r>
      <w:r>
        <w:rPr>
          <w:noProof/>
        </w:rPr>
        <w:fldChar w:fldCharType="end"/>
      </w:r>
      <w:r w:rsidR="00532FA8">
        <w:t>.</w:t>
      </w:r>
      <w:r w:rsidR="004E4DDA">
        <w:t>  W dniu 2 października 2010 r.</w:t>
      </w:r>
      <w:r w:rsidR="00532FA8">
        <w:t xml:space="preserve"> inspektorat uznał skargę za bezzasadną, </w:t>
      </w:r>
      <w:r w:rsidR="00057D80">
        <w:t>powołując się na</w:t>
      </w:r>
      <w:r w:rsidR="00532FA8">
        <w:t xml:space="preserve"> prób</w:t>
      </w:r>
      <w:r w:rsidR="00057D80">
        <w:t>ę</w:t>
      </w:r>
      <w:r w:rsidR="00532FA8">
        <w:t xml:space="preserve"> ucieczki z transportu podjętą przez skarżącego. Odniósł się również do samookaleczenia skarżącego w dniu 17 czerwca 2010 r. oraz do opinii psychologa z dnia 18 czerwca 2010 r., zgodnie z którą skarżący mógł być przetrzymywany w odosobnieniu, w formie kary dyscyplinarnej.</w:t>
      </w:r>
    </w:p>
    <w:p w14:paraId="58A3D6CC" w14:textId="7CFBAABA" w:rsidR="00990B93" w:rsidRPr="00F6295E" w:rsidRDefault="00F14328" w:rsidP="00F6295E">
      <w:pPr>
        <w:pStyle w:val="ECHRPara"/>
      </w:pPr>
      <w:r>
        <w:fldChar w:fldCharType="begin"/>
      </w:r>
      <w:r>
        <w:instrText xml:space="preserve"> SEQ level0 \*arabic </w:instrText>
      </w:r>
      <w:r>
        <w:fldChar w:fldCharType="separate"/>
      </w:r>
      <w:r w:rsidR="00F6295E" w:rsidRPr="00F6295E">
        <w:rPr>
          <w:noProof/>
        </w:rPr>
        <w:t>18</w:t>
      </w:r>
      <w:r>
        <w:rPr>
          <w:noProof/>
        </w:rPr>
        <w:fldChar w:fldCharType="end"/>
      </w:r>
      <w:r w:rsidR="00532FA8">
        <w:t xml:space="preserve">.  Skarżący odwołał się od </w:t>
      </w:r>
      <w:r w:rsidR="00057D80">
        <w:t xml:space="preserve">decyzji </w:t>
      </w:r>
      <w:r w:rsidR="00532FA8">
        <w:t>z dnia 23 grudnia 2010 r. oraz 23 marca 2011 r. Odwołując się od uprzednie</w:t>
      </w:r>
      <w:r w:rsidR="00057D80">
        <w:t>j</w:t>
      </w:r>
      <w:r w:rsidR="00532FA8">
        <w:t xml:space="preserve"> </w:t>
      </w:r>
      <w:r w:rsidR="00057D80">
        <w:t>decyzji</w:t>
      </w:r>
      <w:r w:rsidR="00532FA8">
        <w:t xml:space="preserve"> skarżący stwierdził, że komisja arbitralnie zakwalifikowała go jako osadzonego </w:t>
      </w:r>
      <w:r w:rsidR="00057D80">
        <w:t>„</w:t>
      </w:r>
      <w:r w:rsidR="00532FA8">
        <w:t>niebezpiecznego</w:t>
      </w:r>
      <w:r w:rsidR="00057D80">
        <w:t>”</w:t>
      </w:r>
      <w:r w:rsidR="00532FA8">
        <w:t xml:space="preserve"> oraz że nie miał on dostępu do opinii władz więzienia, ani do ich wniosku o kwalifikację, a w związku z „ciągłym przetrzymywaniem ... w nieludzkich warunkach” był upadlany i upokarzany.</w:t>
      </w:r>
    </w:p>
    <w:p w14:paraId="20743BEF" w14:textId="64BC8F0E" w:rsidR="009F5704" w:rsidRPr="00F6295E" w:rsidRDefault="00F14328" w:rsidP="00F6295E">
      <w:pPr>
        <w:pStyle w:val="ECHRPara"/>
      </w:pPr>
      <w:r>
        <w:fldChar w:fldCharType="begin"/>
      </w:r>
      <w:r>
        <w:instrText xml:space="preserve"> SEQ level0 \*arabic </w:instrText>
      </w:r>
      <w:r>
        <w:fldChar w:fldCharType="separate"/>
      </w:r>
      <w:r w:rsidR="00F6295E" w:rsidRPr="00F6295E">
        <w:rPr>
          <w:noProof/>
        </w:rPr>
        <w:t>19</w:t>
      </w:r>
      <w:r>
        <w:rPr>
          <w:noProof/>
        </w:rPr>
        <w:fldChar w:fldCharType="end"/>
      </w:r>
      <w:r w:rsidR="00532FA8">
        <w:t xml:space="preserve">.  W dniu 28 lutego 2011 r. Sąd Okręgowy w Lublinie oddalił </w:t>
      </w:r>
      <w:r w:rsidR="005D298A">
        <w:t>skargę</w:t>
      </w:r>
      <w:r w:rsidR="00532FA8">
        <w:t xml:space="preserve"> uznając, że kwalifikacja skarżącego była uzasadniona w świetle faktu, że 14 sierpnia 2007 r. próbował zbiec w trakcie transportu. Sąd odniósł się również do tego, że skarżącego skazano za zabójstwo i uznał, że ten powód jest wystarczający, aby zakwalifikować go jako osadzonego </w:t>
      </w:r>
      <w:r w:rsidR="005D298A">
        <w:t>„</w:t>
      </w:r>
      <w:r w:rsidR="00532FA8">
        <w:t>niebezpiecznego</w:t>
      </w:r>
      <w:r w:rsidR="005D298A">
        <w:t>”</w:t>
      </w:r>
      <w:r w:rsidR="00532FA8">
        <w:t xml:space="preserve">, nawet </w:t>
      </w:r>
      <w:r w:rsidR="005D298A">
        <w:t>nie u</w:t>
      </w:r>
      <w:r w:rsidR="00B67EF3">
        <w:t>w</w:t>
      </w:r>
      <w:r w:rsidR="005D298A">
        <w:t xml:space="preserve">zględniając </w:t>
      </w:r>
      <w:r w:rsidR="00532FA8">
        <w:t>próby ucieczki.</w:t>
      </w:r>
    </w:p>
    <w:p w14:paraId="262C01EA" w14:textId="77777777" w:rsidR="005F2708" w:rsidRPr="00F6295E" w:rsidRDefault="005F2708" w:rsidP="00F6295E">
      <w:pPr>
        <w:pStyle w:val="ECHRPara"/>
      </w:pPr>
      <w:r>
        <w:t>Sąd stwierdził także:</w:t>
      </w:r>
    </w:p>
    <w:p w14:paraId="0152296E" w14:textId="37EC45C0" w:rsidR="005F2708" w:rsidRPr="00F6295E" w:rsidRDefault="005F2708" w:rsidP="00F6295E">
      <w:pPr>
        <w:pStyle w:val="ECHRParaQuote"/>
        <w:rPr>
          <w:caps/>
        </w:rPr>
      </w:pPr>
      <w:r>
        <w:t xml:space="preserve">„Pozostałe okoliczności, takie jak </w:t>
      </w:r>
      <w:r w:rsidR="005D298A">
        <w:t xml:space="preserve">właściwości osobiste </w:t>
      </w:r>
      <w:r>
        <w:t>czy zachowanie skarżącego w zakładzie karnym</w:t>
      </w:r>
      <w:r w:rsidR="005D298A">
        <w:t>,</w:t>
      </w:r>
      <w:r>
        <w:t xml:space="preserve"> a także poziom jego demoralizacji podlegają bieżącej ocenie, w związku z czym </w:t>
      </w:r>
      <w:r w:rsidR="005D298A">
        <w:t xml:space="preserve">decyzji </w:t>
      </w:r>
      <w:r>
        <w:t>w tej sprawie nie należy rozpatrywać pod kątem zgodności z prawem. Można j</w:t>
      </w:r>
      <w:r w:rsidR="005D298A">
        <w:t>ą</w:t>
      </w:r>
      <w:r>
        <w:t xml:space="preserve"> natomiast rozpatrywać </w:t>
      </w:r>
      <w:r w:rsidR="005D298A">
        <w:t>pod kątem</w:t>
      </w:r>
      <w:r>
        <w:t xml:space="preserve"> sprawiedliwości; to jednak wykraczałoby poza ramy </w:t>
      </w:r>
      <w:r w:rsidR="005D298A">
        <w:t xml:space="preserve">decyzji </w:t>
      </w:r>
      <w:r>
        <w:t>wskazane w art. 7 § 1 Kodeksu karnego wykonawczego.”</w:t>
      </w:r>
    </w:p>
    <w:p w14:paraId="480C1603" w14:textId="77E532D2" w:rsidR="009F5704" w:rsidRPr="00F6295E" w:rsidRDefault="00AE609E" w:rsidP="00F6295E">
      <w:pPr>
        <w:pStyle w:val="ECHRPara"/>
      </w:pPr>
      <w:r>
        <w:t xml:space="preserve">W odniesieniu do innych skarg złożonych przez skarżącego sąd uznał, że nie miały one żadnego wpływu na </w:t>
      </w:r>
      <w:r w:rsidR="005D298A">
        <w:t xml:space="preserve">decyzję </w:t>
      </w:r>
      <w:r>
        <w:t>komisji, w związku z czym „nie wymagają nawet analizy”.</w:t>
      </w:r>
    </w:p>
    <w:p w14:paraId="12B53BA6" w14:textId="50C3B3BB" w:rsidR="00990B93" w:rsidRPr="00F6295E" w:rsidRDefault="00F14328" w:rsidP="00F6295E">
      <w:pPr>
        <w:pStyle w:val="ECHRPara"/>
      </w:pPr>
      <w:r>
        <w:fldChar w:fldCharType="begin"/>
      </w:r>
      <w:r>
        <w:instrText xml:space="preserve"> SEQ level0 \*arabic </w:instrText>
      </w:r>
      <w:r>
        <w:fldChar w:fldCharType="separate"/>
      </w:r>
      <w:r w:rsidR="00F6295E" w:rsidRPr="00F6295E">
        <w:rPr>
          <w:noProof/>
        </w:rPr>
        <w:t>20</w:t>
      </w:r>
      <w:r>
        <w:rPr>
          <w:noProof/>
        </w:rPr>
        <w:fldChar w:fldCharType="end"/>
      </w:r>
      <w:r w:rsidR="00532FA8">
        <w:t xml:space="preserve">.  Dnia 11 maja 2011 r. Sąd Okręgowy w Lublinie </w:t>
      </w:r>
      <w:r w:rsidR="005D298A">
        <w:t>nie uwzględnił skargi</w:t>
      </w:r>
      <w:r w:rsidR="00532FA8">
        <w:t xml:space="preserve"> skarżącego </w:t>
      </w:r>
      <w:r w:rsidR="005D298A">
        <w:t>na decyzję</w:t>
      </w:r>
      <w:r w:rsidR="00532FA8">
        <w:t xml:space="preserve"> z dnia 23 marca 2011 r. stwierdzając, że jego podstawą było „nastawienie i negatywne zachowanie skarżącego, a także ocena procesu jego resocjalizacji”.</w:t>
      </w:r>
    </w:p>
    <w:p w14:paraId="4DBE03FB" w14:textId="30C8F9DB" w:rsidR="00990B93" w:rsidRPr="00F6295E" w:rsidRDefault="00F14328" w:rsidP="00F6295E">
      <w:pPr>
        <w:pStyle w:val="ECHRPara"/>
      </w:pPr>
      <w:r>
        <w:fldChar w:fldCharType="begin"/>
      </w:r>
      <w:r>
        <w:instrText xml:space="preserve"> SEQ level0 \*arabic </w:instrText>
      </w:r>
      <w:r>
        <w:fldChar w:fldCharType="separate"/>
      </w:r>
      <w:r w:rsidR="00F6295E" w:rsidRPr="00F6295E">
        <w:rPr>
          <w:noProof/>
        </w:rPr>
        <w:t>21</w:t>
      </w:r>
      <w:r>
        <w:rPr>
          <w:noProof/>
        </w:rPr>
        <w:fldChar w:fldCharType="end"/>
      </w:r>
      <w:r w:rsidR="00532FA8">
        <w:t xml:space="preserve">.  W dniu 22 września 2011  r. Komisja Penitencjarna w Areszcie Śledczym w Lublinie zniosła reżim osadzonego </w:t>
      </w:r>
      <w:r w:rsidR="005D298A">
        <w:t>„</w:t>
      </w:r>
      <w:r w:rsidR="00532FA8">
        <w:t>niebezpiecznego</w:t>
      </w:r>
      <w:r w:rsidR="005D298A">
        <w:t>”</w:t>
      </w:r>
      <w:r w:rsidR="00532FA8">
        <w:t xml:space="preserve"> w stosunku do skarżącego. Swoj</w:t>
      </w:r>
      <w:r w:rsidR="005D298A">
        <w:t>ą</w:t>
      </w:r>
      <w:r w:rsidR="00532FA8">
        <w:t xml:space="preserve"> </w:t>
      </w:r>
      <w:r w:rsidR="005D298A">
        <w:t xml:space="preserve">decyzję uzasadniła </w:t>
      </w:r>
      <w:r w:rsidR="00532FA8">
        <w:t>dobrym zachowani</w:t>
      </w:r>
      <w:r w:rsidR="00B67EF3">
        <w:t>e</w:t>
      </w:r>
      <w:r w:rsidR="005D298A">
        <w:t>m</w:t>
      </w:r>
      <w:r w:rsidR="00532FA8">
        <w:t xml:space="preserve"> skarżącego.</w:t>
      </w:r>
    </w:p>
    <w:p w14:paraId="0DAB8243" w14:textId="1698A6F1" w:rsidR="00990B93" w:rsidRPr="00F6295E" w:rsidRDefault="00990B93" w:rsidP="00F6295E">
      <w:pPr>
        <w:pStyle w:val="ECHRPara"/>
      </w:pPr>
      <w:r w:rsidRPr="00F6295E">
        <w:rPr>
          <w:rFonts w:ascii="Times New Roman" w:hAnsi="Times New Roman"/>
          <w:szCs w:val="24"/>
        </w:rPr>
        <w:lastRenderedPageBreak/>
        <w:fldChar w:fldCharType="begin"/>
      </w:r>
      <w:r w:rsidRPr="00F6295E">
        <w:rPr>
          <w:rFonts w:ascii="Times New Roman" w:hAnsi="Times New Roman"/>
          <w:szCs w:val="24"/>
        </w:rPr>
        <w:instrText xml:space="preserve"> SEQ level0 \*arabic </w:instrText>
      </w:r>
      <w:r w:rsidRPr="00F6295E">
        <w:rPr>
          <w:rFonts w:ascii="Times New Roman" w:hAnsi="Times New Roman"/>
          <w:szCs w:val="24"/>
        </w:rPr>
        <w:fldChar w:fldCharType="separate"/>
      </w:r>
      <w:r w:rsidR="00F6295E" w:rsidRPr="00F6295E">
        <w:rPr>
          <w:rFonts w:ascii="Times New Roman" w:hAnsi="Times New Roman"/>
          <w:noProof/>
          <w:szCs w:val="24"/>
        </w:rPr>
        <w:t>22</w:t>
      </w:r>
      <w:r w:rsidRPr="00F6295E">
        <w:rPr>
          <w:rFonts w:ascii="Times New Roman" w:hAnsi="Times New Roman"/>
          <w:szCs w:val="24"/>
        </w:rPr>
        <w:fldChar w:fldCharType="end"/>
      </w:r>
      <w:r>
        <w:t>.</w:t>
      </w:r>
      <w:r>
        <w:rPr>
          <w:rFonts w:ascii="Times New Roman" w:hAnsi="Times New Roman"/>
        </w:rPr>
        <w:t>  </w:t>
      </w:r>
      <w:r w:rsidR="005D298A">
        <w:rPr>
          <w:rFonts w:ascii="Times New Roman" w:hAnsi="Times New Roman"/>
        </w:rPr>
        <w:t>Łącznie r</w:t>
      </w:r>
      <w:r>
        <w:rPr>
          <w:rFonts w:ascii="Times New Roman" w:hAnsi="Times New Roman"/>
        </w:rPr>
        <w:t xml:space="preserve">eżim </w:t>
      </w:r>
      <w:r w:rsidR="005D298A">
        <w:rPr>
          <w:rFonts w:ascii="Times New Roman" w:hAnsi="Times New Roman"/>
        </w:rPr>
        <w:t>osadzonego „</w:t>
      </w:r>
      <w:r>
        <w:rPr>
          <w:rFonts w:ascii="Times New Roman" w:hAnsi="Times New Roman"/>
        </w:rPr>
        <w:t>niebezpiecznego</w:t>
      </w:r>
      <w:r w:rsidR="005D298A">
        <w:rPr>
          <w:rFonts w:ascii="Times New Roman" w:hAnsi="Times New Roman"/>
        </w:rPr>
        <w:t>”</w:t>
      </w:r>
      <w:r>
        <w:rPr>
          <w:rFonts w:ascii="Times New Roman" w:hAnsi="Times New Roman"/>
        </w:rPr>
        <w:t xml:space="preserve"> stosowano </w:t>
      </w:r>
      <w:r w:rsidR="005D298A">
        <w:rPr>
          <w:rFonts w:ascii="Times New Roman" w:hAnsi="Times New Roman"/>
        </w:rPr>
        <w:t>wobec</w:t>
      </w:r>
      <w:r>
        <w:rPr>
          <w:rFonts w:ascii="Times New Roman" w:hAnsi="Times New Roman"/>
        </w:rPr>
        <w:t xml:space="preserve"> skarżącego </w:t>
      </w:r>
      <w:r w:rsidR="005D298A">
        <w:rPr>
          <w:rFonts w:ascii="Times New Roman" w:hAnsi="Times New Roman"/>
        </w:rPr>
        <w:t xml:space="preserve">przez </w:t>
      </w:r>
      <w:r>
        <w:rPr>
          <w:rFonts w:ascii="Times New Roman" w:hAnsi="Times New Roman"/>
        </w:rPr>
        <w:t>okres czterech lat, jednego miesiąca i dziewięciu dni.</w:t>
      </w:r>
    </w:p>
    <w:p w14:paraId="07B10229" w14:textId="77777777" w:rsidR="00990B93" w:rsidRPr="00F6295E" w:rsidRDefault="00EA5958" w:rsidP="00F6295E">
      <w:pPr>
        <w:pStyle w:val="ECHRHeading2"/>
      </w:pPr>
      <w:r>
        <w:t>C. Określone aspekty reżimu</w:t>
      </w:r>
    </w:p>
    <w:p w14:paraId="2CAC8CC1" w14:textId="04AB478E" w:rsidR="00FB77B9" w:rsidRPr="00F6295E" w:rsidRDefault="00F14328" w:rsidP="00F6295E">
      <w:pPr>
        <w:pStyle w:val="ECHRPara"/>
      </w:pPr>
      <w:r>
        <w:fldChar w:fldCharType="begin"/>
      </w:r>
      <w:r>
        <w:instrText xml:space="preserve"> SEQ level0 \*arabic </w:instrText>
      </w:r>
      <w:r>
        <w:fldChar w:fldCharType="separate"/>
      </w:r>
      <w:r w:rsidR="00F6295E" w:rsidRPr="00F6295E">
        <w:rPr>
          <w:noProof/>
        </w:rPr>
        <w:t>23</w:t>
      </w:r>
      <w:r>
        <w:rPr>
          <w:noProof/>
        </w:rPr>
        <w:fldChar w:fldCharType="end"/>
      </w:r>
      <w:r w:rsidR="00532FA8">
        <w:t xml:space="preserve">.  Skarżący przebywał w kilku ośrodkach </w:t>
      </w:r>
      <w:r w:rsidR="005E4F05">
        <w:t>zamkniętych</w:t>
      </w:r>
      <w:r w:rsidR="00532FA8">
        <w:t xml:space="preserve">, w szczególności w Zakładach Karnych w Białej Podlaskiej i w Lublinie oraz w Aresztach Śledczych </w:t>
      </w:r>
      <w:r w:rsidR="007D25BA">
        <w:t xml:space="preserve">Warszawa - </w:t>
      </w:r>
      <w:r w:rsidR="00532FA8">
        <w:t>Mokot</w:t>
      </w:r>
      <w:r w:rsidR="007D25BA">
        <w:t>ów</w:t>
      </w:r>
      <w:r w:rsidR="00532FA8">
        <w:t>, w Białymstoku i Kielcach.</w:t>
      </w:r>
    </w:p>
    <w:p w14:paraId="72A081E1" w14:textId="1A04D4AD" w:rsidR="00FB77B9" w:rsidRPr="00F6295E" w:rsidRDefault="00F14328" w:rsidP="00F6295E">
      <w:pPr>
        <w:pStyle w:val="ECHRPara"/>
      </w:pPr>
      <w:r>
        <w:fldChar w:fldCharType="begin"/>
      </w:r>
      <w:r>
        <w:instrText xml:space="preserve"> SEQ level0 \*arabic </w:instrText>
      </w:r>
      <w:r>
        <w:fldChar w:fldCharType="separate"/>
      </w:r>
      <w:r w:rsidR="00F6295E" w:rsidRPr="00F6295E">
        <w:rPr>
          <w:noProof/>
        </w:rPr>
        <w:t>24</w:t>
      </w:r>
      <w:r>
        <w:rPr>
          <w:noProof/>
        </w:rPr>
        <w:fldChar w:fldCharType="end"/>
      </w:r>
      <w:r w:rsidR="00532FA8">
        <w:t>.  W Areszcie Śledczym w Kielcach cele</w:t>
      </w:r>
      <w:r w:rsidR="005E4F05">
        <w:t xml:space="preserve"> osadzonych</w:t>
      </w:r>
      <w:r w:rsidR="00532FA8">
        <w:t xml:space="preserve"> podlegały ciągłemu monitoringowi za pośrednictwem sieci kamer przemysłowych. Według Rządu skarżący miał możliwość publikacji artykułów w biuletynie więziennym, a także mógł brać udział w zawodach. Miał dostęp do biblioteki oraz zajęć </w:t>
      </w:r>
      <w:r w:rsidR="00640FBD">
        <w:t>kulturalno-oświatowych</w:t>
      </w:r>
      <w:r w:rsidR="00532FA8">
        <w:t>.</w:t>
      </w:r>
    </w:p>
    <w:p w14:paraId="12A396AB" w14:textId="067C4C3D" w:rsidR="00997E0C" w:rsidRPr="00F6295E" w:rsidRDefault="00F14328" w:rsidP="00F6295E">
      <w:pPr>
        <w:pStyle w:val="ECHRPara"/>
      </w:pPr>
      <w:r>
        <w:fldChar w:fldCharType="begin"/>
      </w:r>
      <w:r>
        <w:instrText xml:space="preserve"> SEQ level0 \*arabic </w:instrText>
      </w:r>
      <w:r>
        <w:fldChar w:fldCharType="separate"/>
      </w:r>
      <w:r w:rsidR="00F6295E" w:rsidRPr="00F6295E">
        <w:rPr>
          <w:noProof/>
        </w:rPr>
        <w:t>25</w:t>
      </w:r>
      <w:r>
        <w:rPr>
          <w:noProof/>
        </w:rPr>
        <w:fldChar w:fldCharType="end"/>
      </w:r>
      <w:r w:rsidR="00532FA8">
        <w:t xml:space="preserve">.  W Aresztach Śledczych </w:t>
      </w:r>
      <w:r w:rsidR="007D25BA">
        <w:t xml:space="preserve">Warszawa- </w:t>
      </w:r>
      <w:r w:rsidR="00532FA8">
        <w:t>Mokot</w:t>
      </w:r>
      <w:r w:rsidR="007D25BA">
        <w:t>ów</w:t>
      </w:r>
      <w:r w:rsidR="00532FA8">
        <w:t xml:space="preserve"> i w Białymstoku cele oraz inne obszary dostępne dla skarżącego znajdował</w:t>
      </w:r>
      <w:r w:rsidR="007D25BA">
        <w:t>y</w:t>
      </w:r>
      <w:r w:rsidR="00532FA8">
        <w:t xml:space="preserve"> się pod specjalnym dozorem. Przy wchodzeniu do celi i opuszczaniu jej skarżący </w:t>
      </w:r>
      <w:r w:rsidR="007D25BA">
        <w:t xml:space="preserve">poddawany był </w:t>
      </w:r>
      <w:r w:rsidR="00532FA8">
        <w:t>kontrol</w:t>
      </w:r>
      <w:r w:rsidR="007D25BA">
        <w:t>i</w:t>
      </w:r>
      <w:r w:rsidR="00532FA8">
        <w:t xml:space="preserve"> osobiste</w:t>
      </w:r>
      <w:r w:rsidR="007D25BA">
        <w:t>j</w:t>
      </w:r>
      <w:r w:rsidR="00532FA8">
        <w:t xml:space="preserve"> z obowiązkiem rozebrania się. </w:t>
      </w:r>
      <w:r w:rsidR="007D25BA">
        <w:t>Każdorazowo, gdy był poza celą, był dozorowany</w:t>
      </w:r>
      <w:r w:rsidR="00B67EF3">
        <w:t xml:space="preserve"> </w:t>
      </w:r>
      <w:r w:rsidR="007D25BA">
        <w:t>przez</w:t>
      </w:r>
      <w:r w:rsidR="00532FA8">
        <w:t xml:space="preserve"> dwóch strażników. Miał dostęp do biblioteki</w:t>
      </w:r>
      <w:r w:rsidR="007D25BA">
        <w:t>,</w:t>
      </w:r>
      <w:r w:rsidR="00532FA8">
        <w:t xml:space="preserve"> gazet codziennych, mógł słuchać radia. Miał również dostęp do pokoju rekreacyjnego z urządzeniami sportowymi. Co więcej, w Areszcie Śledczym w Białymstoku mógł uczestniczyć w programie </w:t>
      </w:r>
      <w:r w:rsidR="007D25BA">
        <w:t>re</w:t>
      </w:r>
      <w:r w:rsidR="00532FA8">
        <w:t>integracji ze społeczeństwem.</w:t>
      </w:r>
    </w:p>
    <w:p w14:paraId="28D7D066" w14:textId="4B816EE8" w:rsidR="00990B93" w:rsidRPr="00F6295E" w:rsidRDefault="00F14328" w:rsidP="00F6295E">
      <w:pPr>
        <w:pStyle w:val="ECHRPara"/>
      </w:pPr>
      <w:r>
        <w:fldChar w:fldCharType="begin"/>
      </w:r>
      <w:r>
        <w:instrText xml:space="preserve"> SEQ level0 \*arabic </w:instrText>
      </w:r>
      <w:r>
        <w:fldChar w:fldCharType="separate"/>
      </w:r>
      <w:r w:rsidR="00F6295E" w:rsidRPr="00F6295E">
        <w:rPr>
          <w:noProof/>
        </w:rPr>
        <w:t>26</w:t>
      </w:r>
      <w:r>
        <w:rPr>
          <w:noProof/>
        </w:rPr>
        <w:fldChar w:fldCharType="end"/>
      </w:r>
      <w:r w:rsidR="00532FA8">
        <w:t>.  Skarżący spędził większość przedmiotowego czasu w Areszcie Śledczym w Lublinie. Cela była wyposażona w sanitariat, który nie był oddzielony od reszty pomieszczenia. Cela, w tym znajdując</w:t>
      </w:r>
      <w:r w:rsidR="007D25BA">
        <w:t>y</w:t>
      </w:r>
      <w:r w:rsidR="00532FA8">
        <w:t xml:space="preserve"> się w niej </w:t>
      </w:r>
      <w:r w:rsidR="007D25BA">
        <w:t>kącik sanitarny</w:t>
      </w:r>
      <w:r w:rsidR="00532FA8">
        <w:t>, podlegała ciągłemu monitoringowi za pośrednictwem sieci kamer przemysłowych.</w:t>
      </w:r>
    </w:p>
    <w:p w14:paraId="7A62AE52" w14:textId="620FE88A" w:rsidR="00990B93" w:rsidRPr="00F6295E" w:rsidRDefault="00F14328" w:rsidP="00F6295E">
      <w:pPr>
        <w:pStyle w:val="ECHRPara"/>
      </w:pPr>
      <w:r>
        <w:fldChar w:fldCharType="begin"/>
      </w:r>
      <w:r>
        <w:instrText xml:space="preserve"> SEQ level0 \*arabi</w:instrText>
      </w:r>
      <w:r>
        <w:instrText xml:space="preserve">c </w:instrText>
      </w:r>
      <w:r>
        <w:fldChar w:fldCharType="separate"/>
      </w:r>
      <w:r w:rsidR="00F6295E" w:rsidRPr="00F6295E">
        <w:rPr>
          <w:noProof/>
        </w:rPr>
        <w:t>27</w:t>
      </w:r>
      <w:r>
        <w:rPr>
          <w:noProof/>
        </w:rPr>
        <w:fldChar w:fldCharType="end"/>
      </w:r>
      <w:r w:rsidR="00532FA8">
        <w:t xml:space="preserve">.  Skarżący miał obowiązek noszenia czerwonego stroju, przeznaczonego dla osadzonych </w:t>
      </w:r>
      <w:r w:rsidR="007D25BA">
        <w:t>„</w:t>
      </w:r>
      <w:r w:rsidR="00532FA8">
        <w:t>niebezpiecznych</w:t>
      </w:r>
      <w:r w:rsidR="007D25BA">
        <w:t>”</w:t>
      </w:r>
      <w:r w:rsidR="00532FA8">
        <w:t xml:space="preserve">, który nie </w:t>
      </w:r>
      <w:r w:rsidR="007D25BA">
        <w:t>był wystarczająco ciepły</w:t>
      </w:r>
      <w:r w:rsidR="00532FA8">
        <w:t xml:space="preserve"> w zimie. Przy każdym opuszczaniu celi lub wchodzeniu do niej skarżącego poddawano kontrolom osobistym, co w praktyce oznaczało, że musiał się rozebrać do naga przed strażnikami, nachylić się i pozwolić na sprawdzenie odbytu. Według skarżącego, za każdym razem gdy znajdował się poza celą, w tym podczas rozpraw sądowych, na rękach i nogach musiał nosić kajdany zespolone. Były to kajdany zakładane na ręce i nogi, zespolone łańcuchami. Według Rządu skarżący musiał nosić kajdany zespolone wyłącznie podczas transportu. W zakładzie karnym, przebywając poza celą, nosił kajdanki.</w:t>
      </w:r>
    </w:p>
    <w:p w14:paraId="36C674C1" w14:textId="77777777" w:rsidR="00990B93" w:rsidRPr="00F6295E" w:rsidRDefault="00F14328" w:rsidP="00F6295E">
      <w:pPr>
        <w:pStyle w:val="ECHRPara"/>
      </w:pPr>
      <w:r>
        <w:fldChar w:fldCharType="begin"/>
      </w:r>
      <w:r>
        <w:instrText xml:space="preserve"> SEQ level0 \*arabic </w:instrText>
      </w:r>
      <w:r>
        <w:fldChar w:fldCharType="separate"/>
      </w:r>
      <w:r w:rsidR="00F6295E" w:rsidRPr="00F6295E">
        <w:rPr>
          <w:noProof/>
        </w:rPr>
        <w:t>28</w:t>
      </w:r>
      <w:r>
        <w:rPr>
          <w:noProof/>
        </w:rPr>
        <w:fldChar w:fldCharType="end"/>
      </w:r>
      <w:r w:rsidR="00532FA8">
        <w:t>.  Skarżący miał godzinę dziennie na ćwiczenia.</w:t>
      </w:r>
    </w:p>
    <w:p w14:paraId="7679D86B" w14:textId="1758CEB3" w:rsidR="00990B93" w:rsidRPr="00F6295E" w:rsidRDefault="00F14328" w:rsidP="00F6295E">
      <w:pPr>
        <w:pStyle w:val="ECHRPara"/>
      </w:pPr>
      <w:r>
        <w:fldChar w:fldCharType="begin"/>
      </w:r>
      <w:r>
        <w:instrText xml:space="preserve"> SEQ level0 \*arabic </w:instrText>
      </w:r>
      <w:r>
        <w:fldChar w:fldCharType="separate"/>
      </w:r>
      <w:r w:rsidR="00F6295E" w:rsidRPr="00F6295E">
        <w:rPr>
          <w:noProof/>
        </w:rPr>
        <w:t>29</w:t>
      </w:r>
      <w:r>
        <w:rPr>
          <w:noProof/>
        </w:rPr>
        <w:fldChar w:fldCharType="end"/>
      </w:r>
      <w:r w:rsidR="00532FA8">
        <w:t xml:space="preserve">.  Okno celi było przesłonięte plastikowymi </w:t>
      </w:r>
      <w:r w:rsidR="008B7C15">
        <w:t>blendami</w:t>
      </w:r>
      <w:r w:rsidR="00532FA8">
        <w:t>, które według skarżącego ograniczały dostęp świeżego powietrza i naturalnego światła do celi. W celi nieprzerwanie panował półmrok, w związku z czym do czytania skarżący musiał używać sztucznego oświetlenia, nawet w ciągu dnia.</w:t>
      </w:r>
    </w:p>
    <w:p w14:paraId="3B706593" w14:textId="0B8D8005" w:rsidR="00990B93" w:rsidRPr="00F6295E" w:rsidRDefault="00F14328" w:rsidP="00F6295E">
      <w:pPr>
        <w:pStyle w:val="ECHRPara"/>
      </w:pPr>
      <w:r>
        <w:lastRenderedPageBreak/>
        <w:fldChar w:fldCharType="begin"/>
      </w:r>
      <w:r>
        <w:instrText xml:space="preserve"> SEQ level0 \*arabic </w:instrText>
      </w:r>
      <w:r>
        <w:fldChar w:fldCharType="separate"/>
      </w:r>
      <w:r w:rsidR="00F6295E" w:rsidRPr="00F6295E">
        <w:rPr>
          <w:noProof/>
        </w:rPr>
        <w:t>30</w:t>
      </w:r>
      <w:r>
        <w:rPr>
          <w:noProof/>
        </w:rPr>
        <w:fldChar w:fldCharType="end"/>
      </w:r>
      <w:r w:rsidR="00532FA8">
        <w:t xml:space="preserve">.  Skarżący mógł uczestniczyć w zajęciach </w:t>
      </w:r>
      <w:r w:rsidR="008B7C15">
        <w:t>kulturalnych</w:t>
      </w:r>
      <w:r w:rsidR="00532FA8">
        <w:t xml:space="preserve"> i korzystać z biblioteki trzy razy w ciągu tygodnia; miał również dostęp do pokoju rekreacyjnego, wyposażonego w telewizor, gry, laptopa oraz </w:t>
      </w:r>
      <w:r w:rsidR="008B7C15">
        <w:t>sprzęt do ćwiczeń</w:t>
      </w:r>
      <w:r w:rsidR="00532FA8">
        <w:t>.</w:t>
      </w:r>
    </w:p>
    <w:p w14:paraId="61F59709" w14:textId="1128E86B" w:rsidR="007B20AE" w:rsidRPr="00F6295E" w:rsidRDefault="00F14328" w:rsidP="00F6295E">
      <w:pPr>
        <w:pStyle w:val="ECHRPara"/>
        <w:keepNext/>
        <w:keepLines/>
      </w:pPr>
      <w:r>
        <w:fldChar w:fldCharType="begin"/>
      </w:r>
      <w:r>
        <w:instrText xml:space="preserve"> SEQ level0 \*arabic </w:instrText>
      </w:r>
      <w:r>
        <w:fldChar w:fldCharType="separate"/>
      </w:r>
      <w:r w:rsidR="00F6295E" w:rsidRPr="00F6295E">
        <w:rPr>
          <w:noProof/>
        </w:rPr>
        <w:t>31</w:t>
      </w:r>
      <w:r>
        <w:rPr>
          <w:noProof/>
        </w:rPr>
        <w:fldChar w:fldCharType="end"/>
      </w:r>
      <w:r w:rsidR="00532FA8">
        <w:t>.  W związku z agresywnym zachowaniem i wulgarnym nastawieniem wobec strażników więziennych, wobec skarżącego trzeba było zastosować środki dyscyplinarne. W dniu 4 sierpnia 2009 r. skarżący podjął próbę czynnej napaści na funkcjonariusza na służbie. Dnia 17 grudnia 2009 r. Sąd Okręgowy w Lublinie wydał wyrok skazujący za usiłowanie ucieczki podczas transportu na badanie psychiatryczne w dniu 14 sierpnia 2007 r. Sąd Apelacyjny w Lublinie utrzymał wyrok skazujący w mocy dnia 10 października 2010 r. W dniu 10 lutego 2010 r. Sąd Okręgowy w Lublinie skazał skarżącego za czynną napaść na funkcjonariusza na służbie dnia 4 sierpnia 2009 r.</w:t>
      </w:r>
    </w:p>
    <w:p w14:paraId="25B01DEC" w14:textId="77777777" w:rsidR="00014566" w:rsidRPr="00F6295E" w:rsidRDefault="00014566" w:rsidP="00F6295E">
      <w:pPr>
        <w:pStyle w:val="ECHRHeading1"/>
      </w:pPr>
      <w:r>
        <w:t>II.  WŁAŚCIWE PRAWO KRAJOWE I STOSOWANA PRAKTYKA</w:t>
      </w:r>
    </w:p>
    <w:p w14:paraId="70789E8E" w14:textId="1C4A1A39" w:rsidR="00E4561A" w:rsidRPr="00F6295E" w:rsidRDefault="00F14328" w:rsidP="00F6295E">
      <w:pPr>
        <w:pStyle w:val="ECHRPara"/>
      </w:pPr>
      <w:r>
        <w:fldChar w:fldCharType="begin"/>
      </w:r>
      <w:r>
        <w:instrText xml:space="preserve"> SEQ level0 \*arabic </w:instrText>
      </w:r>
      <w:r>
        <w:fldChar w:fldCharType="separate"/>
      </w:r>
      <w:r w:rsidR="00F6295E" w:rsidRPr="00F6295E">
        <w:rPr>
          <w:noProof/>
        </w:rPr>
        <w:t>32</w:t>
      </w:r>
      <w:r>
        <w:rPr>
          <w:noProof/>
        </w:rPr>
        <w:fldChar w:fldCharType="end"/>
      </w:r>
      <w:r w:rsidR="00532FA8">
        <w:t xml:space="preserve">.  Właściwe prawo krajowe i stosowana praktyka, odnoszące się do </w:t>
      </w:r>
      <w:r w:rsidR="008B7C15">
        <w:t xml:space="preserve">stosowania </w:t>
      </w:r>
      <w:r w:rsidR="00532FA8">
        <w:t xml:space="preserve">reżimu osadzonego </w:t>
      </w:r>
      <w:r w:rsidR="008B7C15">
        <w:t>„</w:t>
      </w:r>
      <w:r w:rsidR="00532FA8">
        <w:t>niebezpiecznego</w:t>
      </w:r>
      <w:r w:rsidR="008B7C15">
        <w:t>”</w:t>
      </w:r>
      <w:r w:rsidR="00532FA8">
        <w:t xml:space="preserve"> oraz właściwych dokumentów międzynarodowych, określono w wyrokach Trybunału w sprawach </w:t>
      </w:r>
      <w:r w:rsidR="00532FA8">
        <w:rPr>
          <w:i/>
        </w:rPr>
        <w:t xml:space="preserve">Piechowicz p. Polsce </w:t>
      </w:r>
      <w:r w:rsidR="00532FA8">
        <w:t>(nr 20071/07 §§ 110-17 oraz §§ 127-136</w:t>
      </w:r>
      <w:r w:rsidR="008B7C15">
        <w:t xml:space="preserve"> z</w:t>
      </w:r>
      <w:r w:rsidR="00532FA8">
        <w:t xml:space="preserve"> 17 kwietnia 2012</w:t>
      </w:r>
      <w:r w:rsidR="008B7C15">
        <w:t xml:space="preserve"> r.</w:t>
      </w:r>
      <w:r w:rsidR="00532FA8">
        <w:t xml:space="preserve">) oraz </w:t>
      </w:r>
      <w:proofErr w:type="spellStart"/>
      <w:r w:rsidR="00532FA8">
        <w:rPr>
          <w:i/>
        </w:rPr>
        <w:t>Horych</w:t>
      </w:r>
      <w:proofErr w:type="spellEnd"/>
      <w:r w:rsidR="00532FA8">
        <w:rPr>
          <w:i/>
        </w:rPr>
        <w:t xml:space="preserve"> p. Polsce </w:t>
      </w:r>
      <w:r w:rsidR="00532FA8">
        <w:t>(nr 13621/08 §§ 49-56 oraz §§ 69-78</w:t>
      </w:r>
      <w:r w:rsidR="008B7C15">
        <w:t xml:space="preserve"> z</w:t>
      </w:r>
      <w:r w:rsidR="00532FA8">
        <w:t>17 kwietnia 2012 r.).</w:t>
      </w:r>
    </w:p>
    <w:p w14:paraId="5E6793C9" w14:textId="47B99FEF" w:rsidR="00E4561A" w:rsidRPr="00F6295E" w:rsidRDefault="00F14328" w:rsidP="00F6295E">
      <w:pPr>
        <w:pStyle w:val="ECHRPara"/>
      </w:pPr>
      <w:r>
        <w:fldChar w:fldCharType="begin"/>
      </w:r>
      <w:r>
        <w:instrText xml:space="preserve"> SEQ level0 \*arabic </w:instrText>
      </w:r>
      <w:r>
        <w:fldChar w:fldCharType="separate"/>
      </w:r>
      <w:r w:rsidR="00F6295E" w:rsidRPr="00F6295E">
        <w:rPr>
          <w:noProof/>
        </w:rPr>
        <w:t>33</w:t>
      </w:r>
      <w:r>
        <w:rPr>
          <w:noProof/>
        </w:rPr>
        <w:fldChar w:fldCharType="end"/>
      </w:r>
      <w:r w:rsidR="00532FA8">
        <w:t>.  </w:t>
      </w:r>
      <w:r w:rsidR="008B7C15">
        <w:t xml:space="preserve">Przepisy </w:t>
      </w:r>
      <w:r w:rsidR="00532FA8">
        <w:t xml:space="preserve">Kodeksu karnego wykonawczego, </w:t>
      </w:r>
      <w:r w:rsidR="008B7C15">
        <w:t>dotyczące stosowania</w:t>
      </w:r>
      <w:r w:rsidR="00532FA8">
        <w:t xml:space="preserve"> reżimu </w:t>
      </w:r>
      <w:r w:rsidR="008B7C15">
        <w:t xml:space="preserve">wobec </w:t>
      </w:r>
      <w:r w:rsidR="00532FA8">
        <w:t>skazanego, brzmią następując</w:t>
      </w:r>
      <w:r w:rsidR="008B7C15">
        <w:t>o</w:t>
      </w:r>
      <w:r w:rsidR="00532FA8">
        <w:t>:</w:t>
      </w:r>
    </w:p>
    <w:p w14:paraId="469D7CEE" w14:textId="77777777" w:rsidR="00B66A7D" w:rsidRPr="00F6295E" w:rsidRDefault="00B66A7D" w:rsidP="00F6295E">
      <w:pPr>
        <w:pStyle w:val="ECHRTitleCentre3"/>
      </w:pPr>
      <w:r>
        <w:t>Artykuł 88 § 3</w:t>
      </w:r>
    </w:p>
    <w:p w14:paraId="22CE9A6B" w14:textId="77777777" w:rsidR="00B66A7D" w:rsidRPr="00F6295E" w:rsidRDefault="00B66A7D" w:rsidP="00F6295E">
      <w:pPr>
        <w:pStyle w:val="ECHRParaQuote"/>
      </w:pPr>
      <w:r>
        <w:t>„Skazany stwarzający poważne zagrożenie społeczne albo poważne zagrożenie dla bezpieczeństwa zakładu odbywa karę w wyznaczonym oddziale lub celi zakładu karnego typu zamkniętego w warunkach zapewniających wzmożoną ochronę społeczeństwa i bezpieczeństwo tego zakładu.”</w:t>
      </w:r>
    </w:p>
    <w:p w14:paraId="6B06BA2F" w14:textId="77777777" w:rsidR="00B66A7D" w:rsidRPr="00F6295E" w:rsidRDefault="00B66A7D" w:rsidP="00F6295E">
      <w:pPr>
        <w:pStyle w:val="ECHRTitleCentre3"/>
      </w:pPr>
      <w:r>
        <w:t>Artykuł 88a</w:t>
      </w:r>
    </w:p>
    <w:p w14:paraId="7C218991" w14:textId="77777777" w:rsidR="00B66A7D" w:rsidRPr="00F6295E" w:rsidRDefault="00B66A7D" w:rsidP="00F6295E">
      <w:pPr>
        <w:pStyle w:val="ECHRParaQuote"/>
      </w:pPr>
      <w:r>
        <w:t>“1. Skazany, o którym mowa w art. 88 § 3 odbywa karę w wyznaczonym oddziale lub celi zakładu karnego typu zamkniętego. O osadzeniu skazanego w wyznaczonym oddziale lub celi zakładu karnego typu zamkniętego zawiadamia się sędziego penitencjarnego.</w:t>
      </w:r>
    </w:p>
    <w:p w14:paraId="2DA7807B" w14:textId="37396C77" w:rsidR="00B66A7D" w:rsidRPr="00F6295E" w:rsidRDefault="00B66A7D" w:rsidP="00F6295E">
      <w:pPr>
        <w:pStyle w:val="ECHRParaQuote"/>
      </w:pPr>
      <w:r>
        <w:t xml:space="preserve">2.  Przy podjęciu i każdorazowej weryfikacji decyzji o uznaniu skazanego za stwarzającego poważne zagrożenie społeczne albo poważne zagrożenie dla bezpieczeństwa zakładu, uwzględnia się: </w:t>
      </w:r>
      <w:r w:rsidR="008208FC">
        <w:t>właściwości i warunki osobiste</w:t>
      </w:r>
      <w:r>
        <w:t xml:space="preserve"> skazanego, motywacje i sposób zachowania się przy popełnieniu przestępstwa oraz rodzaj i rozmiar ujemnych następstw przestępstwa, sposób zachowania się w trakcie pobytu w zakładzie karnym, stopień demoralizacji. Odnosi się to również do skazanego, który</w:t>
      </w:r>
    </w:p>
    <w:p w14:paraId="0DF8AB74" w14:textId="77777777" w:rsidR="00B66A7D" w:rsidRPr="00F6295E" w:rsidRDefault="00B66A7D" w:rsidP="00F6295E">
      <w:pPr>
        <w:pStyle w:val="ECHRParaQuote"/>
      </w:pPr>
      <w:r>
        <w:t xml:space="preserve">(2a) podczas uprzedniego lub obecnego pozbawienia wolności stwarzał zagrożenie dla bezpieczeństwa zakładu karnego lub aresztu śledczego w ten sposób, że był </w:t>
      </w:r>
      <w:r>
        <w:lastRenderedPageBreak/>
        <w:t>organizatorem lub aktywnym uczestnikiem zbiorowego wystąpienia w zakładzie karnym lub areszcie śledczym...”</w:t>
      </w:r>
    </w:p>
    <w:p w14:paraId="17D64088" w14:textId="3102E680" w:rsidR="00E4561A" w:rsidRPr="00F6295E" w:rsidRDefault="00F14328" w:rsidP="00F6295E">
      <w:pPr>
        <w:pStyle w:val="ECHRPara"/>
      </w:pPr>
      <w:r>
        <w:fldChar w:fldCharType="begin"/>
      </w:r>
      <w:r>
        <w:instrText xml:space="preserve"> SEQ </w:instrText>
      </w:r>
      <w:r>
        <w:instrText xml:space="preserve">level0 \*arabic </w:instrText>
      </w:r>
      <w:r>
        <w:fldChar w:fldCharType="separate"/>
      </w:r>
      <w:r w:rsidR="00F6295E" w:rsidRPr="00F6295E">
        <w:rPr>
          <w:noProof/>
        </w:rPr>
        <w:t>34</w:t>
      </w:r>
      <w:r>
        <w:rPr>
          <w:noProof/>
        </w:rPr>
        <w:fldChar w:fldCharType="end"/>
      </w:r>
      <w:r w:rsidR="00E4561A">
        <w:t xml:space="preserve">.  Artykuł 88b Kodeksu karnego wykonawczego określa warunki, w których skazani o statusie osadzonych </w:t>
      </w:r>
      <w:r w:rsidR="004904B8">
        <w:t>„</w:t>
      </w:r>
      <w:r w:rsidR="00E4561A">
        <w:t>niebezpiecznych</w:t>
      </w:r>
      <w:r w:rsidR="004904B8">
        <w:t>”</w:t>
      </w:r>
      <w:r w:rsidR="00E4561A">
        <w:t xml:space="preserve"> odbywają karę. Są one identyczne jak warunki określone w art. 212</w:t>
      </w:r>
      <w:r w:rsidR="004904B8">
        <w:t>b</w:t>
      </w:r>
      <w:r w:rsidR="00E4561A">
        <w:t xml:space="preserve"> Kodeksu, odnoszące się do osadzonych (patrz </w:t>
      </w:r>
      <w:r w:rsidR="00E4561A">
        <w:rPr>
          <w:i/>
        </w:rPr>
        <w:t>Piechowicz</w:t>
      </w:r>
      <w:r w:rsidR="00E4561A">
        <w:t>, wspomniany wyżej, § 106).</w:t>
      </w:r>
    </w:p>
    <w:p w14:paraId="11766E83" w14:textId="77777777" w:rsidR="00014566" w:rsidRPr="00F6295E" w:rsidRDefault="00014566" w:rsidP="00F6295E">
      <w:pPr>
        <w:pStyle w:val="ECHRTitle1"/>
      </w:pPr>
      <w:r>
        <w:t>PRAWO</w:t>
      </w:r>
    </w:p>
    <w:p w14:paraId="077A478C" w14:textId="77777777" w:rsidR="00014566" w:rsidRPr="00F6295E" w:rsidRDefault="00014566" w:rsidP="00F6295E">
      <w:pPr>
        <w:pStyle w:val="ECHRHeading1"/>
      </w:pPr>
      <w:r>
        <w:t>I. DOMNIEMANE NARUSZENIE ARTYKUŁU 3 KONWENCJI</w:t>
      </w:r>
    </w:p>
    <w:p w14:paraId="791782EC" w14:textId="7C009B19" w:rsidR="004A413A" w:rsidRPr="00F6295E" w:rsidRDefault="00F14328" w:rsidP="00F6295E">
      <w:pPr>
        <w:pStyle w:val="ECHRPara"/>
      </w:pPr>
      <w:r>
        <w:fldChar w:fldCharType="begin"/>
      </w:r>
      <w:r>
        <w:instrText xml:space="preserve"> SEQ level0 \*arabic </w:instrText>
      </w:r>
      <w:r>
        <w:fldChar w:fldCharType="separate"/>
      </w:r>
      <w:r w:rsidR="00F6295E" w:rsidRPr="00F6295E">
        <w:rPr>
          <w:noProof/>
        </w:rPr>
        <w:t>35</w:t>
      </w:r>
      <w:r>
        <w:rPr>
          <w:noProof/>
        </w:rPr>
        <w:fldChar w:fldCharType="end"/>
      </w:r>
      <w:r w:rsidR="00B97EB7">
        <w:t xml:space="preserve">.  Skarżący podnosił, że bezprawnie sklasyfikowano go jako osadzonego </w:t>
      </w:r>
      <w:r w:rsidR="004904B8">
        <w:t>„</w:t>
      </w:r>
      <w:r w:rsidR="00B97EB7">
        <w:t>niebezpiecznego</w:t>
      </w:r>
      <w:r w:rsidR="004904B8">
        <w:t>”</w:t>
      </w:r>
      <w:r w:rsidR="00B97EB7">
        <w:t>, a stosowane restrykcje stanowiły poniżające traktowanie, sprzeczne z art. 3 Konwencji, który brzmi następująco:</w:t>
      </w:r>
    </w:p>
    <w:p w14:paraId="1606995D" w14:textId="77777777" w:rsidR="004A413A" w:rsidRPr="00F6295E" w:rsidRDefault="004A413A" w:rsidP="00F6295E">
      <w:pPr>
        <w:pStyle w:val="ECHRParaQuote"/>
      </w:pPr>
      <w:r>
        <w:t>„Nikt nie może być poddany torturom ani nieludzkiemu lub poniżającemu traktowaniu albo karaniu.”</w:t>
      </w:r>
    </w:p>
    <w:p w14:paraId="1636418E" w14:textId="6E522CAC" w:rsidR="004A413A" w:rsidRPr="00F6295E" w:rsidRDefault="00F14328" w:rsidP="00F6295E">
      <w:pPr>
        <w:pStyle w:val="ECHRPara"/>
      </w:pPr>
      <w:r>
        <w:fldChar w:fldCharType="begin"/>
      </w:r>
      <w:r>
        <w:instrText xml:space="preserve"> SEQ level0 \*arabic </w:instrText>
      </w:r>
      <w:r>
        <w:fldChar w:fldCharType="separate"/>
      </w:r>
      <w:r w:rsidR="00F6295E" w:rsidRPr="00F6295E">
        <w:rPr>
          <w:noProof/>
        </w:rPr>
        <w:t>36</w:t>
      </w:r>
      <w:r>
        <w:rPr>
          <w:noProof/>
        </w:rPr>
        <w:fldChar w:fldCharType="end"/>
      </w:r>
      <w:r w:rsidR="004A413A">
        <w:t xml:space="preserve">.  Rząd </w:t>
      </w:r>
      <w:r w:rsidR="004904B8">
        <w:t>nie zgodził się z tym zarzutem</w:t>
      </w:r>
      <w:r w:rsidR="004A413A">
        <w:t>.</w:t>
      </w:r>
    </w:p>
    <w:p w14:paraId="3A7DA3FA" w14:textId="77777777" w:rsidR="004A413A" w:rsidRPr="00F6295E" w:rsidRDefault="004A413A" w:rsidP="00F6295E">
      <w:pPr>
        <w:pStyle w:val="ECHRHeading2"/>
      </w:pPr>
      <w:r>
        <w:t>A. Dopuszczalność</w:t>
      </w:r>
    </w:p>
    <w:p w14:paraId="01087AED" w14:textId="77777777" w:rsidR="004A413A" w:rsidRPr="00F6295E" w:rsidRDefault="004A413A" w:rsidP="00F6295E">
      <w:pPr>
        <w:pStyle w:val="ECHRHeading3"/>
      </w:pPr>
      <w:r>
        <w:t>1.  Stanowisko stron</w:t>
      </w:r>
    </w:p>
    <w:p w14:paraId="3D60860D" w14:textId="69857967" w:rsidR="004A413A" w:rsidRPr="00F6295E" w:rsidRDefault="00F14328" w:rsidP="00F6295E">
      <w:pPr>
        <w:pStyle w:val="ECHRPara"/>
      </w:pPr>
      <w:r>
        <w:fldChar w:fldCharType="begin"/>
      </w:r>
      <w:r>
        <w:instrText xml:space="preserve"> SEQ level0 \*arabic </w:instrText>
      </w:r>
      <w:r>
        <w:fldChar w:fldCharType="separate"/>
      </w:r>
      <w:r w:rsidR="00F6295E" w:rsidRPr="00F6295E">
        <w:rPr>
          <w:noProof/>
        </w:rPr>
        <w:t>37</w:t>
      </w:r>
      <w:r>
        <w:rPr>
          <w:noProof/>
        </w:rPr>
        <w:fldChar w:fldCharType="end"/>
      </w:r>
      <w:r w:rsidR="004A413A">
        <w:t xml:space="preserve">.  Rząd stwierdził, że skarżący nie wykorzystał dostępnych środków odwoławczych, nie odwołał się od </w:t>
      </w:r>
      <w:r w:rsidR="004904B8">
        <w:t>wszystkich decyzji</w:t>
      </w:r>
      <w:r w:rsidR="004A413A">
        <w:t xml:space="preserve"> wydan</w:t>
      </w:r>
      <w:r w:rsidR="004904B8">
        <w:t>ych</w:t>
      </w:r>
      <w:r w:rsidR="004A413A">
        <w:t xml:space="preserve"> przez komisję penitencjarną. Nie odwołał się od pierwsze</w:t>
      </w:r>
      <w:r w:rsidR="004904B8">
        <w:t>j</w:t>
      </w:r>
      <w:r w:rsidR="004A413A">
        <w:t xml:space="preserve"> </w:t>
      </w:r>
      <w:r w:rsidR="004904B8">
        <w:t xml:space="preserve">decyzji </w:t>
      </w:r>
      <w:r w:rsidR="004A413A">
        <w:t>wydane</w:t>
      </w:r>
      <w:r w:rsidR="004904B8">
        <w:t>j</w:t>
      </w:r>
      <w:r w:rsidR="004A413A">
        <w:t xml:space="preserve"> 14 sierpnia 2007 r., nakładające</w:t>
      </w:r>
      <w:r w:rsidR="004904B8">
        <w:t>j</w:t>
      </w:r>
      <w:r w:rsidR="004A413A">
        <w:t xml:space="preserve"> na niego reżim, ani od kolejn</w:t>
      </w:r>
      <w:r w:rsidR="00B67EF3">
        <w:t>y</w:t>
      </w:r>
      <w:r w:rsidR="004A413A">
        <w:t xml:space="preserve">ch </w:t>
      </w:r>
      <w:r w:rsidR="004904B8">
        <w:t>decyzji</w:t>
      </w:r>
      <w:r w:rsidR="004A413A">
        <w:t xml:space="preserve">. W rzeczywistości wydano szesnaście </w:t>
      </w:r>
      <w:r w:rsidR="004904B8">
        <w:t xml:space="preserve">decyzji </w:t>
      </w:r>
      <w:r w:rsidR="004A413A">
        <w:t xml:space="preserve">o przedłużeniu reżimu osadzonego </w:t>
      </w:r>
      <w:r w:rsidR="004904B8">
        <w:t>„</w:t>
      </w:r>
      <w:r w:rsidR="004A413A">
        <w:t>niebezpiecznego</w:t>
      </w:r>
      <w:r w:rsidR="004904B8">
        <w:t>”</w:t>
      </w:r>
      <w:r w:rsidR="004A413A">
        <w:t xml:space="preserve">. Skarżący odwołał się tylko od trzech z nich: z dnia 30 marca i 23 grudnia 2010 r. oraz 23 marca 2011 r. Rząd stwierdził, że skarżącego każdorazowo informowano o </w:t>
      </w:r>
      <w:r w:rsidR="006E486F">
        <w:t>terminie do</w:t>
      </w:r>
      <w:r w:rsidR="004A413A">
        <w:t xml:space="preserve"> złożenia </w:t>
      </w:r>
      <w:r w:rsidR="004904B8">
        <w:t>skargi</w:t>
      </w:r>
      <w:r w:rsidR="004A413A">
        <w:t>, ale skarżący nie podejmował żadnych działań w tym kierunku. Rząd uznał, że skarga powinna zostać oddalona w związku z niewykorzystaniem krajowych środków odwoławczych.</w:t>
      </w:r>
    </w:p>
    <w:p w14:paraId="3B038427" w14:textId="77777777" w:rsidR="004A413A" w:rsidRPr="00F6295E" w:rsidRDefault="00F14328" w:rsidP="00F6295E">
      <w:pPr>
        <w:pStyle w:val="ECHRPara"/>
      </w:pPr>
      <w:r>
        <w:fldChar w:fldCharType="begin"/>
      </w:r>
      <w:r>
        <w:instrText xml:space="preserve"> SEQ level0 \*arabic </w:instrText>
      </w:r>
      <w:r>
        <w:fldChar w:fldCharType="separate"/>
      </w:r>
      <w:r w:rsidR="00F6295E" w:rsidRPr="00F6295E">
        <w:rPr>
          <w:noProof/>
        </w:rPr>
        <w:t>38</w:t>
      </w:r>
      <w:r>
        <w:rPr>
          <w:noProof/>
        </w:rPr>
        <w:fldChar w:fldCharType="end"/>
      </w:r>
      <w:r w:rsidR="004A413A">
        <w:t>.  Skarżący nie skomentował tej kwestii.</w:t>
      </w:r>
    </w:p>
    <w:p w14:paraId="10F1B2E6" w14:textId="77777777" w:rsidR="004A413A" w:rsidRPr="00F6295E" w:rsidRDefault="004A413A" w:rsidP="00F6295E">
      <w:pPr>
        <w:pStyle w:val="ECHRHeading3"/>
      </w:pPr>
      <w:r>
        <w:t>2.  Ocena Trybunału</w:t>
      </w:r>
    </w:p>
    <w:p w14:paraId="2368D628" w14:textId="7460D5CC" w:rsidR="004A413A" w:rsidRPr="00F6295E" w:rsidRDefault="00F14328" w:rsidP="00F6295E">
      <w:pPr>
        <w:pStyle w:val="ECHRPara"/>
      </w:pPr>
      <w:r>
        <w:fldChar w:fldCharType="begin"/>
      </w:r>
      <w:r>
        <w:instrText xml:space="preserve"> SEQ level0 \*arabic </w:instrText>
      </w:r>
      <w:r>
        <w:fldChar w:fldCharType="separate"/>
      </w:r>
      <w:r w:rsidR="00F6295E" w:rsidRPr="00F6295E">
        <w:rPr>
          <w:noProof/>
        </w:rPr>
        <w:t>39</w:t>
      </w:r>
      <w:r>
        <w:rPr>
          <w:noProof/>
        </w:rPr>
        <w:fldChar w:fldCharType="end"/>
      </w:r>
      <w:r w:rsidR="004A413A">
        <w:t xml:space="preserve">.  Trybunał zauważa, że chociaż art. 35 § 1 Konwencji stanowi, że przed złożeniem skargi do Trybunału należy </w:t>
      </w:r>
      <w:r w:rsidR="004904B8">
        <w:t>podnieść zarzuty</w:t>
      </w:r>
      <w:r w:rsidR="004A413A">
        <w:t xml:space="preserve"> </w:t>
      </w:r>
      <w:r w:rsidR="004904B8">
        <w:t xml:space="preserve">przed </w:t>
      </w:r>
      <w:r w:rsidR="004A413A">
        <w:t>właściw</w:t>
      </w:r>
      <w:r w:rsidR="004904B8">
        <w:t>ym</w:t>
      </w:r>
      <w:r w:rsidR="004A413A">
        <w:t xml:space="preserve"> organ</w:t>
      </w:r>
      <w:r w:rsidR="004904B8">
        <w:t>em</w:t>
      </w:r>
      <w:r w:rsidR="004A413A">
        <w:t xml:space="preserve"> krajow</w:t>
      </w:r>
      <w:r w:rsidR="004904B8">
        <w:t>ym</w:t>
      </w:r>
      <w:r w:rsidR="004A413A">
        <w:t xml:space="preserve">, to zapis ten nie powinien mieć odniesienia do środków odwoławczych, które są </w:t>
      </w:r>
      <w:r w:rsidR="006E486F">
        <w:t xml:space="preserve">niewystarczające </w:t>
      </w:r>
      <w:r w:rsidR="004A413A">
        <w:t xml:space="preserve">lub nieskuteczne (patrz sprawa </w:t>
      </w:r>
      <w:proofErr w:type="spellStart"/>
      <w:r w:rsidR="004A413A">
        <w:rPr>
          <w:i/>
        </w:rPr>
        <w:t>Egmez</w:t>
      </w:r>
      <w:proofErr w:type="spellEnd"/>
      <w:r w:rsidR="004A413A">
        <w:rPr>
          <w:i/>
        </w:rPr>
        <w:t xml:space="preserve"> p. Cyprowi</w:t>
      </w:r>
      <w:r w:rsidR="004A413A">
        <w:t>, nr 30873/96 § 64 ECHR 2000</w:t>
      </w:r>
      <w:r w:rsidR="004A413A">
        <w:noBreakHyphen/>
        <w:t>XII).</w:t>
      </w:r>
    </w:p>
    <w:p w14:paraId="07EC83A4" w14:textId="39BE975D" w:rsidR="004A413A" w:rsidRPr="00F6295E" w:rsidRDefault="00F14328" w:rsidP="00F6295E">
      <w:pPr>
        <w:pStyle w:val="ECHRPara"/>
      </w:pPr>
      <w:r>
        <w:lastRenderedPageBreak/>
        <w:fldChar w:fldCharType="begin"/>
      </w:r>
      <w:r>
        <w:instrText xml:space="preserve"> SEQ level0 \*arabic </w:instrText>
      </w:r>
      <w:r>
        <w:fldChar w:fldCharType="separate"/>
      </w:r>
      <w:r w:rsidR="00F6295E" w:rsidRPr="00F6295E">
        <w:rPr>
          <w:noProof/>
        </w:rPr>
        <w:t>40</w:t>
      </w:r>
      <w:r>
        <w:rPr>
          <w:noProof/>
        </w:rPr>
        <w:fldChar w:fldCharType="end"/>
      </w:r>
      <w:r w:rsidR="004A413A">
        <w:t xml:space="preserve">.  Trybunał odnotowuje fakt, że skarżący składał odwołanie od trzech </w:t>
      </w:r>
      <w:r w:rsidR="004904B8">
        <w:t xml:space="preserve">decyzji </w:t>
      </w:r>
      <w:r w:rsidR="004A413A">
        <w:t xml:space="preserve">przedłużających jego kwalifikację jako osadzonego </w:t>
      </w:r>
      <w:r w:rsidR="004904B8">
        <w:t>„</w:t>
      </w:r>
      <w:r w:rsidR="004A413A">
        <w:t>niebezpiecznego</w:t>
      </w:r>
      <w:r w:rsidR="004904B8">
        <w:t>”</w:t>
      </w:r>
      <w:r w:rsidR="004A413A">
        <w:t xml:space="preserve">: pierwsze odwołanie złożono 30 marca 2010 r., tj. dwa lata i sześć miesięcy po zastosowaniu wobec niego reżimu (patrz ustęp 13 powyżej). Następnie odwołał się od </w:t>
      </w:r>
      <w:r w:rsidR="004904B8">
        <w:t xml:space="preserve">decyzji </w:t>
      </w:r>
      <w:r w:rsidR="004A413A">
        <w:t>dwukrotnie, 23 grudnia 2010 r. oraz 23 marca 2011 r., natomiast reżim zniesiono 22 września 2011 r. (patrz ustępy 18 i 21 powyżej).</w:t>
      </w:r>
    </w:p>
    <w:p w14:paraId="1782EC85" w14:textId="1C985ACA" w:rsidR="00F6295E" w:rsidRPr="00F6295E" w:rsidRDefault="00F14328" w:rsidP="00F6295E">
      <w:pPr>
        <w:pStyle w:val="ECHRPara"/>
      </w:pPr>
      <w:r>
        <w:fldChar w:fldCharType="begin"/>
      </w:r>
      <w:r>
        <w:instrText xml:space="preserve"> SEQ level0 \*arabic </w:instrText>
      </w:r>
      <w:r>
        <w:fldChar w:fldCharType="separate"/>
      </w:r>
      <w:r w:rsidR="00F6295E" w:rsidRPr="00F6295E">
        <w:rPr>
          <w:noProof/>
        </w:rPr>
        <w:t>41</w:t>
      </w:r>
      <w:r>
        <w:rPr>
          <w:noProof/>
        </w:rPr>
        <w:fldChar w:fldCharType="end"/>
      </w:r>
      <w:r w:rsidR="004A413A">
        <w:t xml:space="preserve">.  Trybunał zauważa, że art. 35 Konwencji, który określa zasady wyczerpania krajowych środków odwoławczych, przewiduje rozłożenie ciężaru dowodu. To na rządzie stwierdzającym niewykorzystanie dostępnych środków spoczywa obowiązek przekonania Trybunału, że środki odwoławcze były skuteczne i dostępne, zarówno w teorii jak i w praktyce, we właściwym czasie, tzn. były dostępne, właściwe dla </w:t>
      </w:r>
      <w:r w:rsidR="004904B8">
        <w:t xml:space="preserve">zarzutów </w:t>
      </w:r>
      <w:r w:rsidR="004A413A">
        <w:t>skarżącego i oferował</w:t>
      </w:r>
      <w:r w:rsidR="00733259">
        <w:t xml:space="preserve">y </w:t>
      </w:r>
      <w:r w:rsidR="004904B8">
        <w:t xml:space="preserve">realne </w:t>
      </w:r>
      <w:r w:rsidR="00733259">
        <w:t>szanse powodzenia.</w:t>
      </w:r>
      <w:r w:rsidR="004A413A">
        <w:t xml:space="preserve"> W przedmiotowej sprawie Trybunał nie </w:t>
      </w:r>
      <w:r w:rsidR="006E486F">
        <w:t>został przekonany w oparciu o dowody przedstawione przez Rząd na poparcie tego zarzutu.</w:t>
      </w:r>
    </w:p>
    <w:p w14:paraId="14B857CD" w14:textId="408F5BEE" w:rsidR="004A413A" w:rsidRPr="00F6295E" w:rsidRDefault="00F14328" w:rsidP="00F6295E">
      <w:pPr>
        <w:pStyle w:val="ECHRPara"/>
      </w:pPr>
      <w:r>
        <w:fldChar w:fldCharType="begin"/>
      </w:r>
      <w:r>
        <w:instrText xml:space="preserve"> SEQ level0 \*arabic </w:instrText>
      </w:r>
      <w:r>
        <w:fldChar w:fldCharType="separate"/>
      </w:r>
      <w:r w:rsidR="00F6295E" w:rsidRPr="00F6295E">
        <w:rPr>
          <w:noProof/>
        </w:rPr>
        <w:t>42</w:t>
      </w:r>
      <w:r>
        <w:rPr>
          <w:noProof/>
        </w:rPr>
        <w:fldChar w:fldCharType="end"/>
      </w:r>
      <w:r w:rsidR="00532FA8">
        <w:t xml:space="preserve">.  W każdym razie zarzut niewykorzystania środków odwoławczych jest nierozerwalnie związany z oceną Trybunału odnoszącą się do </w:t>
      </w:r>
      <w:r w:rsidR="006E486F">
        <w:t>sensowności podjętych</w:t>
      </w:r>
      <w:r w:rsidR="00532FA8">
        <w:t xml:space="preserve"> środków, a także do kwestii tego, czy przedłużający się reżim osadzonego </w:t>
      </w:r>
      <w:r w:rsidR="004904B8">
        <w:t>„</w:t>
      </w:r>
      <w:r w:rsidR="00532FA8">
        <w:t>niebezpiecznego</w:t>
      </w:r>
      <w:r w:rsidR="004904B8">
        <w:t>”</w:t>
      </w:r>
      <w:r w:rsidR="00532FA8">
        <w:t xml:space="preserve"> został odpowiednio uzasadniony przez władze. W opinii Trybunału</w:t>
      </w:r>
      <w:r w:rsidR="00B67EF3">
        <w:t xml:space="preserve"> </w:t>
      </w:r>
      <w:r w:rsidR="004904B8">
        <w:t>właściwsze</w:t>
      </w:r>
      <w:r w:rsidR="00532FA8">
        <w:t xml:space="preserve"> będzie rozpatrzenie argumentacji rządu na etapie</w:t>
      </w:r>
      <w:r w:rsidR="004904B8">
        <w:t xml:space="preserve"> badania</w:t>
      </w:r>
      <w:r w:rsidR="00532FA8">
        <w:t xml:space="preserve"> meritum sprawy.</w:t>
      </w:r>
    </w:p>
    <w:p w14:paraId="7F0D10C3" w14:textId="2EACD2B4" w:rsidR="004A413A" w:rsidRPr="00F6295E" w:rsidRDefault="00F14328" w:rsidP="00F6295E">
      <w:pPr>
        <w:pStyle w:val="ECHRPara"/>
      </w:pPr>
      <w:r>
        <w:fldChar w:fldCharType="begin"/>
      </w:r>
      <w:r>
        <w:instrText xml:space="preserve"> SEQ level0 \*arabic </w:instrText>
      </w:r>
      <w:r>
        <w:fldChar w:fldCharType="separate"/>
      </w:r>
      <w:r w:rsidR="00F6295E" w:rsidRPr="00F6295E">
        <w:rPr>
          <w:noProof/>
        </w:rPr>
        <w:t>43</w:t>
      </w:r>
      <w:r>
        <w:rPr>
          <w:noProof/>
        </w:rPr>
        <w:fldChar w:fldCharType="end"/>
      </w:r>
      <w:r w:rsidR="00532FA8">
        <w:t>.  W związku z tym Trybunał dołącza wniosek rządu o niedopuszcz</w:t>
      </w:r>
      <w:r w:rsidR="001F7E34">
        <w:t>alności</w:t>
      </w:r>
      <w:r w:rsidR="00532FA8">
        <w:t xml:space="preserve"> skargi z powodu niewyczerpania meritum sprawy.</w:t>
      </w:r>
    </w:p>
    <w:p w14:paraId="3348F902" w14:textId="371C10F1" w:rsidR="004A413A" w:rsidRPr="00F6295E" w:rsidRDefault="00F14328" w:rsidP="00F6295E">
      <w:pPr>
        <w:pStyle w:val="ECHRPara"/>
      </w:pPr>
      <w:r>
        <w:fldChar w:fldCharType="begin"/>
      </w:r>
      <w:r>
        <w:instrText xml:space="preserve"> SEQ level0 \*arabic </w:instrText>
      </w:r>
      <w:r>
        <w:fldChar w:fldCharType="separate"/>
      </w:r>
      <w:r w:rsidR="00F6295E" w:rsidRPr="00F6295E">
        <w:rPr>
          <w:noProof/>
        </w:rPr>
        <w:t>44</w:t>
      </w:r>
      <w:r>
        <w:rPr>
          <w:noProof/>
        </w:rPr>
        <w:fldChar w:fldCharType="end"/>
      </w:r>
      <w:r w:rsidR="004A413A">
        <w:t xml:space="preserve">.  Trybunał zaznacza również, że skarga nie jest bezpodstawna, w rozumieniu art. 35 § 3 Konwencji, oraz </w:t>
      </w:r>
      <w:r w:rsidR="001F7E34">
        <w:t xml:space="preserve">że </w:t>
      </w:r>
      <w:r w:rsidR="004A413A">
        <w:t>nie jest ni</w:t>
      </w:r>
      <w:r w:rsidR="00733259">
        <w:t>edopuszczalna z innych powodów.</w:t>
      </w:r>
      <w:r w:rsidR="004A413A">
        <w:t xml:space="preserve"> W związku z tym złożoną skargę uznaje się za dopuszczalną.</w:t>
      </w:r>
    </w:p>
    <w:p w14:paraId="1185986C" w14:textId="77777777" w:rsidR="00014566" w:rsidRPr="00F6295E" w:rsidRDefault="00014566" w:rsidP="00F6295E">
      <w:pPr>
        <w:pStyle w:val="ECHRHeading2"/>
      </w:pPr>
      <w:r>
        <w:t>B. Roszczenia</w:t>
      </w:r>
    </w:p>
    <w:p w14:paraId="4D3520C7" w14:textId="77777777" w:rsidR="001667FD" w:rsidRPr="00F6295E" w:rsidRDefault="001667FD" w:rsidP="00F6295E">
      <w:pPr>
        <w:pStyle w:val="ECHRHeading3"/>
      </w:pPr>
      <w:r>
        <w:t>1.  Skarżący</w:t>
      </w:r>
    </w:p>
    <w:p w14:paraId="0A375F51" w14:textId="5032203C" w:rsidR="00B03E0C" w:rsidRPr="00F6295E" w:rsidRDefault="00F14328" w:rsidP="00F6295E">
      <w:pPr>
        <w:pStyle w:val="ECHRPara"/>
      </w:pPr>
      <w:r>
        <w:fldChar w:fldCharType="begin"/>
      </w:r>
      <w:r>
        <w:instrText xml:space="preserve"> SEQ level0 \*arabic </w:instrText>
      </w:r>
      <w:r>
        <w:fldChar w:fldCharType="separate"/>
      </w:r>
      <w:r w:rsidR="00F6295E" w:rsidRPr="00F6295E">
        <w:rPr>
          <w:noProof/>
        </w:rPr>
        <w:t>45</w:t>
      </w:r>
      <w:r>
        <w:rPr>
          <w:noProof/>
        </w:rPr>
        <w:fldChar w:fldCharType="end"/>
      </w:r>
      <w:r w:rsidR="001667FD">
        <w:t xml:space="preserve">.  Skarżący podniósł, że przedłużające się stosowanie reżimu osadzonego </w:t>
      </w:r>
      <w:r w:rsidR="001F7E34">
        <w:t>„</w:t>
      </w:r>
      <w:r w:rsidR="001667FD">
        <w:t>niebezpiecznego</w:t>
      </w:r>
      <w:r w:rsidR="001F7E34">
        <w:t>”</w:t>
      </w:r>
      <w:r w:rsidR="001667FD">
        <w:t xml:space="preserve"> stanowiło naruszenie art. 3 Konwencji.</w:t>
      </w:r>
    </w:p>
    <w:p w14:paraId="095064EB" w14:textId="2D653921" w:rsidR="00B03E0C" w:rsidRPr="00F6295E" w:rsidRDefault="00F14328" w:rsidP="00F6295E">
      <w:pPr>
        <w:pStyle w:val="ECHRPara"/>
      </w:pPr>
      <w:r>
        <w:fldChar w:fldCharType="begin"/>
      </w:r>
      <w:r>
        <w:instrText xml:space="preserve"> SEQ level0 \*arabic </w:instrText>
      </w:r>
      <w:r>
        <w:fldChar w:fldCharType="separate"/>
      </w:r>
      <w:r w:rsidR="00F6295E" w:rsidRPr="00F6295E">
        <w:rPr>
          <w:noProof/>
        </w:rPr>
        <w:t>46</w:t>
      </w:r>
      <w:r>
        <w:rPr>
          <w:noProof/>
        </w:rPr>
        <w:fldChar w:fldCharType="end"/>
      </w:r>
      <w:r w:rsidR="001667FD">
        <w:t>.  </w:t>
      </w:r>
      <w:r w:rsidR="001F7E34">
        <w:t xml:space="preserve">Stwierdził </w:t>
      </w:r>
      <w:r w:rsidR="001667FD">
        <w:t>również, że reżim zastosowano kiedy był jeszcze bardzo młodym mężczyzną i przetrzymywano go przez większość czasu w odosobnieniu, co w połączeniu z młodym wiekiem wywarło negatywny wpływ na jego rozwój psychiczny.</w:t>
      </w:r>
    </w:p>
    <w:p w14:paraId="6C3C5194" w14:textId="77777777" w:rsidR="001667FD" w:rsidRPr="00F6295E" w:rsidRDefault="001667FD" w:rsidP="00F6295E">
      <w:pPr>
        <w:pStyle w:val="ECHRHeading3"/>
      </w:pPr>
      <w:r>
        <w:t>2.  Rząd</w:t>
      </w:r>
    </w:p>
    <w:p w14:paraId="61127C2C" w14:textId="1F4D8480" w:rsidR="001667FD" w:rsidRPr="00F6295E" w:rsidRDefault="00F14328" w:rsidP="00F6295E">
      <w:pPr>
        <w:pStyle w:val="ECHRPara"/>
      </w:pPr>
      <w:r>
        <w:fldChar w:fldCharType="begin"/>
      </w:r>
      <w:r>
        <w:instrText xml:space="preserve"> SEQ level0 \*arabic </w:instrText>
      </w:r>
      <w:r>
        <w:fldChar w:fldCharType="separate"/>
      </w:r>
      <w:r w:rsidR="00F6295E" w:rsidRPr="00F6295E">
        <w:rPr>
          <w:noProof/>
        </w:rPr>
        <w:t>47</w:t>
      </w:r>
      <w:r>
        <w:rPr>
          <w:noProof/>
        </w:rPr>
        <w:fldChar w:fldCharType="end"/>
      </w:r>
      <w:r w:rsidR="00B03E0C">
        <w:t xml:space="preserve">.  Rząd utrzymywał, że skarżącego zakwalifikowano jako osadzonego </w:t>
      </w:r>
      <w:r w:rsidR="001F7E34">
        <w:t>„</w:t>
      </w:r>
      <w:r w:rsidR="00B03E0C">
        <w:t>niebezpiecznego</w:t>
      </w:r>
      <w:r w:rsidR="001F7E34">
        <w:t>”</w:t>
      </w:r>
      <w:r w:rsidR="00B03E0C">
        <w:t xml:space="preserve"> zgodnie z właściwymi przepisami prawa. Podstawą dla zastosowania reżimu był wysoki stopień demoralizacji skarżącego, jego agresywne i wulgarne zachowanie wobec strażników więziennych oraz </w:t>
      </w:r>
      <w:r w:rsidR="00B03E0C">
        <w:lastRenderedPageBreak/>
        <w:t xml:space="preserve">usiłowanie ucieczki z więziennego transportu. W związku z tym zastosowanie statusu osadzonego </w:t>
      </w:r>
      <w:r w:rsidR="001F7E34">
        <w:t>„</w:t>
      </w:r>
      <w:r w:rsidR="00B03E0C">
        <w:t>niebezpiecznego</w:t>
      </w:r>
      <w:r w:rsidR="001F7E34">
        <w:t>”</w:t>
      </w:r>
      <w:r w:rsidR="00B03E0C">
        <w:t xml:space="preserve"> można uznać za zgodne z prawem i niezbędne w celu zachowania bezpieczeństwa w zakładzie karnym.</w:t>
      </w:r>
    </w:p>
    <w:p w14:paraId="1D3282EC" w14:textId="7F717BF7" w:rsidR="001667FD" w:rsidRPr="00F6295E" w:rsidRDefault="00F14328" w:rsidP="00F6295E">
      <w:pPr>
        <w:pStyle w:val="ECHRPara"/>
      </w:pPr>
      <w:r>
        <w:fldChar w:fldCharType="begin"/>
      </w:r>
      <w:r>
        <w:instrText xml:space="preserve"> SEQ level0 \*arabic </w:instrText>
      </w:r>
      <w:r>
        <w:fldChar w:fldCharType="separate"/>
      </w:r>
      <w:r w:rsidR="00F6295E" w:rsidRPr="00F6295E">
        <w:rPr>
          <w:noProof/>
        </w:rPr>
        <w:t>48</w:t>
      </w:r>
      <w:r>
        <w:rPr>
          <w:noProof/>
        </w:rPr>
        <w:fldChar w:fldCharType="end"/>
      </w:r>
      <w:r w:rsidR="001667FD">
        <w:t xml:space="preserve">.  Zakwalifikowanie skarżącego jako osadzonego </w:t>
      </w:r>
      <w:r w:rsidR="001F7E34">
        <w:t>„</w:t>
      </w:r>
      <w:r w:rsidR="001667FD">
        <w:t>niebezpiecznego</w:t>
      </w:r>
      <w:r w:rsidR="001F7E34">
        <w:t>”</w:t>
      </w:r>
      <w:r w:rsidR="001667FD">
        <w:t xml:space="preserve"> poddawano pod rozwagę co trzy miesiące. Uzasadnienie stosowania reżimu pozostawało aktualne przez cały przedmiotowy okres. Jak tylko komisja odnotowała poprawę w zachowaniu skarżącego, tj. 22 września 2011 r., gdy skarżący nie stanowił już zagrożenia dla bezpieczeństwa więzienia, reżim został zniesiony. W takich okolicznościach rząd uznał, że zastosowanie reżimu w stosunku do skarżącego było zgodne z prawem, gdyż zapobiegało ryzyku wystąpienia zamieszek w zakładzie karnym i pozwalało na zachowanie bezpieczeństwa.</w:t>
      </w:r>
    </w:p>
    <w:p w14:paraId="35D55088" w14:textId="02659790" w:rsidR="00037DAD" w:rsidRPr="00F6295E" w:rsidRDefault="00F14328" w:rsidP="00F6295E">
      <w:pPr>
        <w:pStyle w:val="ECHRPara"/>
      </w:pPr>
      <w:r>
        <w:fldChar w:fldCharType="begin"/>
      </w:r>
      <w:r>
        <w:instrText xml:space="preserve"> SEQ level0 \*arabic </w:instrText>
      </w:r>
      <w:r>
        <w:fldChar w:fldCharType="separate"/>
      </w:r>
      <w:r w:rsidR="00F6295E" w:rsidRPr="00F6295E">
        <w:rPr>
          <w:noProof/>
        </w:rPr>
        <w:t>49</w:t>
      </w:r>
      <w:r>
        <w:rPr>
          <w:noProof/>
        </w:rPr>
        <w:fldChar w:fldCharType="end"/>
      </w:r>
      <w:r w:rsidR="001667FD">
        <w:t xml:space="preserve">.  Rząd podkreślał, że w przedmiotowym okresie skarżący miał dostęp do odpowiednich bodźców oraz </w:t>
      </w:r>
      <w:r w:rsidR="001F7E34">
        <w:t>kontaktów międzyludzkich</w:t>
      </w:r>
      <w:r w:rsidR="001667FD">
        <w:t>. W szczególności miał możliwość odbywania widzeń z członkami rodziny, miał dostęp do biblioteki i brał udział w różnorodnych zajęciach fizycznych i kulturalnych.</w:t>
      </w:r>
    </w:p>
    <w:p w14:paraId="537F3F1B" w14:textId="1559943D" w:rsidR="00037DAD" w:rsidRPr="00F6295E" w:rsidRDefault="00F14328" w:rsidP="00F6295E">
      <w:pPr>
        <w:pStyle w:val="ECHRPara"/>
      </w:pPr>
      <w:r>
        <w:fldChar w:fldCharType="begin"/>
      </w:r>
      <w:r>
        <w:instrText xml:space="preserve"> SEQ level0 \*arabic </w:instrText>
      </w:r>
      <w:r>
        <w:fldChar w:fldCharType="separate"/>
      </w:r>
      <w:r w:rsidR="00F6295E" w:rsidRPr="00F6295E">
        <w:rPr>
          <w:noProof/>
        </w:rPr>
        <w:t>50</w:t>
      </w:r>
      <w:r>
        <w:rPr>
          <w:noProof/>
        </w:rPr>
        <w:fldChar w:fldCharType="end"/>
      </w:r>
      <w:r w:rsidR="00037DAD">
        <w:t xml:space="preserve">.  Jeżeli chodzi o obowiązek noszenia kajdanek i kajdan zespolonych przez skarżącego w trakcie transportu Rząd </w:t>
      </w:r>
      <w:r w:rsidR="001F7E34">
        <w:t>podniósł</w:t>
      </w:r>
      <w:r w:rsidR="00037DAD">
        <w:t>, że był on związany z uprzednią próbą ucieczki z transportu oraz usiłowaniem czynnej napaści na funkcjonariusza publicznego przez skarżącego. W związku z tym konieczne i proporcjonalne do sytuacji było zastosowanie kajdan zespolonych.</w:t>
      </w:r>
    </w:p>
    <w:p w14:paraId="53A4D682" w14:textId="28989438" w:rsidR="00037DAD" w:rsidRPr="00F6295E" w:rsidRDefault="00F14328" w:rsidP="00F6295E">
      <w:pPr>
        <w:pStyle w:val="ECHRPara"/>
      </w:pPr>
      <w:r>
        <w:fldChar w:fldCharType="begin"/>
      </w:r>
      <w:r>
        <w:instrText xml:space="preserve"> SEQ level0 \*arabic </w:instrText>
      </w:r>
      <w:r>
        <w:fldChar w:fldCharType="separate"/>
      </w:r>
      <w:r w:rsidR="00F6295E" w:rsidRPr="00F6295E">
        <w:rPr>
          <w:noProof/>
        </w:rPr>
        <w:t>51</w:t>
      </w:r>
      <w:r>
        <w:rPr>
          <w:noProof/>
        </w:rPr>
        <w:fldChar w:fldCharType="end"/>
      </w:r>
      <w:r w:rsidR="00037DAD">
        <w:t xml:space="preserve">.  Rząd następnie odniósł się do kontroli osobistych skarżącego z obowiązkiem rozebrania się do naga i wskazał, że zastosowanie reżimu osadzonego </w:t>
      </w:r>
      <w:r w:rsidR="001F7E34">
        <w:t>„</w:t>
      </w:r>
      <w:r w:rsidR="00037DAD">
        <w:t>niebezpiecznego</w:t>
      </w:r>
      <w:r w:rsidR="001F7E34">
        <w:t>”</w:t>
      </w:r>
      <w:r w:rsidR="00037DAD">
        <w:t xml:space="preserve"> obejmuje takie środki. Kontrole prowadzono zgodnie z obowiązującymi przepisami prawa, w oddzielnym pomieszczeniu, bez obecności osób trzecich.</w:t>
      </w:r>
    </w:p>
    <w:p w14:paraId="75C6220C" w14:textId="7F9599B5" w:rsidR="001667FD" w:rsidRPr="00F6295E" w:rsidRDefault="00F14328" w:rsidP="00F6295E">
      <w:pPr>
        <w:pStyle w:val="ECHRPara"/>
      </w:pPr>
      <w:r>
        <w:fldChar w:fldCharType="begin"/>
      </w:r>
      <w:r>
        <w:instrText xml:space="preserve"> SEQ level0 \*arabic </w:instrText>
      </w:r>
      <w:r>
        <w:fldChar w:fldCharType="separate"/>
      </w:r>
      <w:r w:rsidR="00F6295E" w:rsidRPr="00F6295E">
        <w:rPr>
          <w:noProof/>
        </w:rPr>
        <w:t>52</w:t>
      </w:r>
      <w:r>
        <w:rPr>
          <w:noProof/>
        </w:rPr>
        <w:fldChar w:fldCharType="end"/>
      </w:r>
      <w:r w:rsidR="00037DAD">
        <w:t xml:space="preserve">.  Podsumowując Rząd </w:t>
      </w:r>
      <w:r w:rsidR="001F7E34">
        <w:t xml:space="preserve">wniósł o stwierdzenie przez </w:t>
      </w:r>
      <w:r w:rsidR="00037DAD">
        <w:t>Trybunał, że artykuł 3 Konwencji nie został naruszony.</w:t>
      </w:r>
    </w:p>
    <w:p w14:paraId="4D152AFB" w14:textId="77777777" w:rsidR="0076571E" w:rsidRPr="00F6295E" w:rsidRDefault="0076571E" w:rsidP="00F6295E">
      <w:pPr>
        <w:pStyle w:val="ECHRHeading3"/>
      </w:pPr>
      <w:r>
        <w:t>3.  Ocena Trybunału</w:t>
      </w:r>
    </w:p>
    <w:p w14:paraId="401ECC81" w14:textId="77777777" w:rsidR="0076571E" w:rsidRPr="00F6295E" w:rsidRDefault="0076571E" w:rsidP="00F6295E">
      <w:pPr>
        <w:pStyle w:val="ECHRHeading4"/>
      </w:pPr>
      <w:r>
        <w:t>(a) Zasady ogólne odnoszące się do orzecznictwa Trybunału</w:t>
      </w:r>
    </w:p>
    <w:p w14:paraId="78984B39" w14:textId="77777777" w:rsidR="0076571E" w:rsidRPr="00F6295E" w:rsidRDefault="00F14328" w:rsidP="00F6295E">
      <w:pPr>
        <w:pStyle w:val="ECHRPara"/>
      </w:pPr>
      <w:r>
        <w:fldChar w:fldCharType="begin"/>
      </w:r>
      <w:r>
        <w:instrText xml:space="preserve"> SEQ level0 \*arabic </w:instrText>
      </w:r>
      <w:r>
        <w:fldChar w:fldCharType="separate"/>
      </w:r>
      <w:r w:rsidR="00F6295E" w:rsidRPr="00F6295E">
        <w:rPr>
          <w:noProof/>
        </w:rPr>
        <w:t>53</w:t>
      </w:r>
      <w:r>
        <w:rPr>
          <w:noProof/>
        </w:rPr>
        <w:fldChar w:fldCharType="end"/>
      </w:r>
      <w:r w:rsidR="0076571E">
        <w:t xml:space="preserve">.  Właściwe zasady ogólne odnoszące się do orzecznictwa Trybunału podsumowano w wyrokach w sprawach </w:t>
      </w:r>
      <w:r w:rsidR="0076571E">
        <w:rPr>
          <w:i/>
        </w:rPr>
        <w:t xml:space="preserve">Piechowicz p. Polsce </w:t>
      </w:r>
      <w:r w:rsidR="0076571E">
        <w:t xml:space="preserve">(cyt. wyżej, §§ 158-65) oraz </w:t>
      </w:r>
      <w:proofErr w:type="spellStart"/>
      <w:r w:rsidR="0076571E">
        <w:rPr>
          <w:i/>
        </w:rPr>
        <w:t>Horych</w:t>
      </w:r>
      <w:proofErr w:type="spellEnd"/>
      <w:r w:rsidR="0076571E">
        <w:rPr>
          <w:i/>
        </w:rPr>
        <w:t xml:space="preserve"> p. Polsce </w:t>
      </w:r>
      <w:r w:rsidR="0076571E">
        <w:t>(cyt. wyżej, §§ 85-92).</w:t>
      </w:r>
    </w:p>
    <w:p w14:paraId="058ACC29" w14:textId="77777777" w:rsidR="0076571E" w:rsidRPr="00F6295E" w:rsidRDefault="0076571E" w:rsidP="00F6295E">
      <w:pPr>
        <w:pStyle w:val="ECHRHeading4"/>
      </w:pPr>
      <w:r>
        <w:t>(b) Zastosowanie powyższych zasad w przedmiotowej sprawie</w:t>
      </w:r>
    </w:p>
    <w:p w14:paraId="38C6FD83" w14:textId="7EDAAAA8" w:rsidR="0076571E" w:rsidRPr="00F6295E" w:rsidRDefault="00F14328" w:rsidP="00F6295E">
      <w:pPr>
        <w:pStyle w:val="ECHRPara"/>
      </w:pPr>
      <w:r>
        <w:fldChar w:fldCharType="begin"/>
      </w:r>
      <w:r>
        <w:instrText xml:space="preserve"> SEQ level0 \*arabic </w:instrText>
      </w:r>
      <w:r>
        <w:fldChar w:fldCharType="separate"/>
      </w:r>
      <w:r w:rsidR="00F6295E" w:rsidRPr="00F6295E">
        <w:rPr>
          <w:noProof/>
        </w:rPr>
        <w:t>54</w:t>
      </w:r>
      <w:r>
        <w:rPr>
          <w:noProof/>
        </w:rPr>
        <w:fldChar w:fldCharType="end"/>
      </w:r>
      <w:r w:rsidR="0076571E">
        <w:t xml:space="preserve">.  Trybunał zauważa, że bezspornym jest fakt, że w okresie od 14 sierpnia 2007 r. do 22 września 2012 r., tj. przez okres czterech lat, jednego miesiąca i dziewięciu dni, skarżącego, przebywającego w areszcie śledczym, zakwalifikowano jako osadzonego tzw. niebezpiecznego, w związku z czym podlegał on surowym środkom bezpieczeństwa i </w:t>
      </w:r>
      <w:r w:rsidR="0076571E">
        <w:lastRenderedPageBreak/>
        <w:t>różnorodnym ograniczenio</w:t>
      </w:r>
      <w:r w:rsidR="00733259">
        <w:t>m (patrz ustępy 23-31 powyżej).</w:t>
      </w:r>
      <w:r w:rsidR="0076571E">
        <w:t xml:space="preserve"> Rząd nie </w:t>
      </w:r>
      <w:r w:rsidR="00640FBD">
        <w:t xml:space="preserve">podważał </w:t>
      </w:r>
      <w:r w:rsidR="0076571E">
        <w:t>głównych aspektów reżimu</w:t>
      </w:r>
      <w:r w:rsidR="001F7E34">
        <w:t>,</w:t>
      </w:r>
      <w:r w:rsidR="0076571E">
        <w:t xml:space="preserve"> podniesionych przez skarżącego i określonych poniżej (patrz ustępy 48-51 powyżej). Szczegóły kluczowych aspektów reżimu osadzonego </w:t>
      </w:r>
      <w:r w:rsidR="001F7E34">
        <w:t>„</w:t>
      </w:r>
      <w:r w:rsidR="0076571E">
        <w:t>niebezpiecznego</w:t>
      </w:r>
      <w:r w:rsidR="001F7E34">
        <w:t>”</w:t>
      </w:r>
      <w:r w:rsidR="0076571E">
        <w:t xml:space="preserve"> przeanalizowano dogłębnie również w wyroku </w:t>
      </w:r>
      <w:r w:rsidR="0076571E">
        <w:rPr>
          <w:i/>
        </w:rPr>
        <w:t xml:space="preserve">Piechowicza </w:t>
      </w:r>
      <w:r w:rsidR="0076571E">
        <w:t>(cyt. wyżej, § 166, z dalszymi odniesieniami).</w:t>
      </w:r>
    </w:p>
    <w:p w14:paraId="44F86268" w14:textId="25D1FB86" w:rsidR="00F6295E" w:rsidRPr="00F6295E" w:rsidRDefault="00F14328" w:rsidP="00F6295E">
      <w:pPr>
        <w:pStyle w:val="ECHRPara"/>
      </w:pPr>
      <w:r>
        <w:fldChar w:fldCharType="begin"/>
      </w:r>
      <w:r>
        <w:instrText xml:space="preserve"> SEQ level0 \*arabic </w:instrText>
      </w:r>
      <w:r>
        <w:fldChar w:fldCharType="separate"/>
      </w:r>
      <w:r w:rsidR="00F6295E" w:rsidRPr="00F6295E">
        <w:rPr>
          <w:noProof/>
        </w:rPr>
        <w:t>55</w:t>
      </w:r>
      <w:r>
        <w:rPr>
          <w:noProof/>
        </w:rPr>
        <w:fldChar w:fldCharType="end"/>
      </w:r>
      <w:r w:rsidR="0076571E">
        <w:t>.  Środki zastosowane w sprawie skarżącego obejmowały osadzenie w specjalnym oddziale zamkniętym</w:t>
      </w:r>
      <w:r w:rsidR="001F7E34">
        <w:t>,</w:t>
      </w:r>
      <w:r w:rsidR="0076571E">
        <w:t xml:space="preserve"> a także wzmożony monitoring każdego jego ruchu zarówno wewnątrz celi jak i poza nią, co oznaczało, że skarżący musiał poruszać się w kajdankach każdorazowo na zewnątrz celi. Podjęte środki obejmowały odizolowanie skarżącego od społeczności więziennej i ograniczenie możliwości kontaktów z rodziną. Co więcej, za każdym razem, gdy skarżący wychodził z celi lub wchodził do niej, musiał przejść rutynową kontrolę osobistą połączoną z obowiązkiem rozebrania się - dokładną inspekcję ciała i odzieży, w trakcie której musiał rozebrać się do naga i kilkukrotnie nachylić się w celu sprawdzenia odbytu (patrz ustępy 25 i 27 powyżej). Co więcej, jego cela, w tym znajdujące się w niej sanitariaty, podlegała ciągłemu monitoringowi za pośrednic</w:t>
      </w:r>
      <w:r w:rsidR="00733259">
        <w:t>twem sieci kamer przemysłowych.</w:t>
      </w:r>
    </w:p>
    <w:p w14:paraId="07E40521" w14:textId="6BD03F90" w:rsidR="0076571E" w:rsidRPr="00F6295E" w:rsidRDefault="0076571E" w:rsidP="00F6295E">
      <w:pPr>
        <w:pStyle w:val="ECHRPara"/>
      </w:pPr>
      <w:r>
        <w:t xml:space="preserve">Rząd nie </w:t>
      </w:r>
      <w:r w:rsidR="00640FBD">
        <w:t>podważał tych</w:t>
      </w:r>
      <w:r>
        <w:t xml:space="preserve"> </w:t>
      </w:r>
      <w:r w:rsidR="00640FBD">
        <w:t>informacji</w:t>
      </w:r>
      <w:r>
        <w:t>. Podkreślił natomiast, że skarżący miał dostęp do różnych miejsc w więzieniu, w tym do świetlicy czy biblioteki. Co więcej, wskazał, że skarżący miał prawo do widzeń rodzinnych, ale nie określił ile takich widzeń odbyło się w przedmiotowym okresie.</w:t>
      </w:r>
    </w:p>
    <w:p w14:paraId="51A57231" w14:textId="77777777" w:rsidR="0076571E" w:rsidRPr="00F6295E" w:rsidRDefault="00F14328" w:rsidP="00F6295E">
      <w:pPr>
        <w:pStyle w:val="ECHRPara"/>
      </w:pPr>
      <w:r>
        <w:fldChar w:fldCharType="begin"/>
      </w:r>
      <w:r>
        <w:instrText xml:space="preserve"> SEQ level</w:instrText>
      </w:r>
      <w:r>
        <w:instrText xml:space="preserve">0 \*arabic </w:instrText>
      </w:r>
      <w:r>
        <w:fldChar w:fldCharType="separate"/>
      </w:r>
      <w:r w:rsidR="00F6295E" w:rsidRPr="00F6295E">
        <w:rPr>
          <w:noProof/>
        </w:rPr>
        <w:t>56</w:t>
      </w:r>
      <w:r>
        <w:rPr>
          <w:noProof/>
        </w:rPr>
        <w:fldChar w:fldCharType="end"/>
      </w:r>
      <w:r w:rsidR="0076571E">
        <w:t>.  Strony nie doszły do porozumienia co do tego, czy negatywne konsekwencje zastosowania powyższych środków wobec skarżącego osiągnęły minimalny poziom surowości, wymagany dla naruszenia art. 3 Konwencji.</w:t>
      </w:r>
    </w:p>
    <w:p w14:paraId="531AAC46" w14:textId="67114A06" w:rsidR="0076571E" w:rsidRPr="00F6295E" w:rsidRDefault="00F14328" w:rsidP="00F6295E">
      <w:pPr>
        <w:pStyle w:val="ECHRPara"/>
      </w:pPr>
      <w:r>
        <w:fldChar w:fldCharType="begin"/>
      </w:r>
      <w:r>
        <w:instrText xml:space="preserve"> SEQ level0 \*arabic </w:instrText>
      </w:r>
      <w:r>
        <w:fldChar w:fldCharType="separate"/>
      </w:r>
      <w:r w:rsidR="00F6295E" w:rsidRPr="00F6295E">
        <w:rPr>
          <w:noProof/>
        </w:rPr>
        <w:t>57</w:t>
      </w:r>
      <w:r>
        <w:rPr>
          <w:noProof/>
        </w:rPr>
        <w:fldChar w:fldCharType="end"/>
      </w:r>
      <w:r w:rsidR="0076571E">
        <w:t xml:space="preserve">.  Trybunał zauważa, że </w:t>
      </w:r>
      <w:r w:rsidR="001F7E34">
        <w:t xml:space="preserve">decyzja </w:t>
      </w:r>
      <w:r w:rsidR="0076571E">
        <w:t xml:space="preserve">z dnia 14 sierpnia 2007 r. o zastosowaniu reżimu osadzonego </w:t>
      </w:r>
      <w:r w:rsidR="001F7E34">
        <w:t>„</w:t>
      </w:r>
      <w:r w:rsidR="0076571E">
        <w:t>niebezpiecznego</w:t>
      </w:r>
      <w:r w:rsidR="001F7E34">
        <w:t>”</w:t>
      </w:r>
      <w:r w:rsidR="0076571E">
        <w:t xml:space="preserve"> wobec skarżącego był</w:t>
      </w:r>
      <w:r w:rsidR="001F7E34">
        <w:t>a</w:t>
      </w:r>
      <w:r w:rsidR="0076571E">
        <w:t xml:space="preserve"> prawnie uzasadnion</w:t>
      </w:r>
      <w:r w:rsidR="001F7E34">
        <w:t>a</w:t>
      </w:r>
      <w:r w:rsidR="0076571E">
        <w:t xml:space="preserve"> przez fakt, że skarżącego oskarżono o popełnienie  poważnego przestępstwa (zabójstwa) oraz</w:t>
      </w:r>
      <w:r w:rsidR="00EA4181">
        <w:t xml:space="preserve"> fakt</w:t>
      </w:r>
      <w:r w:rsidR="0076571E">
        <w:t>, że usiłował zbiec w trakcie transportu (patrz ustęp 10 powyżej). Władze uznały zatem w sposób właściwy, że w celu zachowania bezpieczeństwa w jednostce, skarżący powinien zostać poddany bardziej szczegółowej kontroli wiążącej się z wprowadzeniem wzmożonego i stałego nadzoru nad jego poruszaniem się po celi i poza nią, ograniczeniem kontaktu i łączności ze światem zewnętrznym oraz pewną formą odseparowania go od społeczności więziennej.</w:t>
      </w:r>
    </w:p>
    <w:p w14:paraId="414FD78A" w14:textId="77777777" w:rsidR="0076571E" w:rsidRPr="00F6295E" w:rsidRDefault="00F14328" w:rsidP="00F6295E">
      <w:pPr>
        <w:pStyle w:val="ECHRPara"/>
      </w:pPr>
      <w:r>
        <w:fldChar w:fldCharType="begin"/>
      </w:r>
      <w:r>
        <w:instrText xml:space="preserve"> SEQ level0 \*arabic </w:instrText>
      </w:r>
      <w:r>
        <w:fldChar w:fldCharType="separate"/>
      </w:r>
      <w:r w:rsidR="00F6295E" w:rsidRPr="00F6295E">
        <w:rPr>
          <w:noProof/>
        </w:rPr>
        <w:t>58</w:t>
      </w:r>
      <w:r>
        <w:rPr>
          <w:noProof/>
        </w:rPr>
        <w:fldChar w:fldCharType="end"/>
      </w:r>
      <w:r w:rsidR="0076571E">
        <w:t xml:space="preserve">.  Jednakże, ze względów przedstawionych poniżej, Trybunał nie może uznać, że nieprzerwane, rutynowe i masowe stosowanie pełnego zakresu środków, których obowiązek nałożenia w warunkach reżimu ‘N’ spoczywał na władzach, przez okres ponad czterech lat, było konieczne w celu </w:t>
      </w:r>
      <w:r w:rsidR="0076571E">
        <w:lastRenderedPageBreak/>
        <w:t xml:space="preserve">utrzymania bezpieczeństwa zakładu i zgodne z Artykułem 3 Konwencji (patrz </w:t>
      </w:r>
      <w:r w:rsidR="0076571E">
        <w:rPr>
          <w:i/>
        </w:rPr>
        <w:t>Piechowicz</w:t>
      </w:r>
      <w:r w:rsidR="0076571E">
        <w:t>, cyt. wyżej, § 170).</w:t>
      </w:r>
    </w:p>
    <w:p w14:paraId="2F0CA85E" w14:textId="612B9B31" w:rsidR="0076571E" w:rsidRPr="00F6295E" w:rsidRDefault="00F14328" w:rsidP="00F6295E">
      <w:pPr>
        <w:pStyle w:val="ECHRPara"/>
      </w:pPr>
      <w:r>
        <w:fldChar w:fldCharType="begin"/>
      </w:r>
      <w:r>
        <w:instrText xml:space="preserve"> SEQ level0 \*arabic </w:instrText>
      </w:r>
      <w:r>
        <w:fldChar w:fldCharType="separate"/>
      </w:r>
      <w:r w:rsidR="00F6295E" w:rsidRPr="00F6295E">
        <w:rPr>
          <w:noProof/>
        </w:rPr>
        <w:t>59</w:t>
      </w:r>
      <w:r>
        <w:rPr>
          <w:noProof/>
        </w:rPr>
        <w:fldChar w:fldCharType="end"/>
      </w:r>
      <w:r w:rsidR="0076571E">
        <w:t>.  Wydaje się, że w okresie, w którym skarżący znajdował się w odosobnieniu na specjalnym oddziale zamkniętym</w:t>
      </w:r>
      <w:r w:rsidR="00EA4181">
        <w:t>,</w:t>
      </w:r>
      <w:r w:rsidR="0076571E">
        <w:t xml:space="preserve"> odseparowanym od pozostałej części więzienia, nie był w całkowitej izolacji </w:t>
      </w:r>
      <w:r w:rsidR="00640FBD">
        <w:t>sensorycznej ani społecznej</w:t>
      </w:r>
      <w:r w:rsidR="0076571E">
        <w:t>. Jak twierdził rząd, skarżący miał prawo do widzeń z rodziną, chociaż nie jest wiadomym</w:t>
      </w:r>
      <w:r w:rsidR="00EA4181">
        <w:t>,</w:t>
      </w:r>
      <w:r w:rsidR="0076571E">
        <w:t xml:space="preserve"> ile takich widzeń odbył w trakcie przedmiotowego okresu; miał również dostęp do biblioteki oraz różnych zajęć sportowych i kultur</w:t>
      </w:r>
      <w:r w:rsidR="00EA4181">
        <w:t>alnych</w:t>
      </w:r>
      <w:r w:rsidR="0076571E">
        <w:t xml:space="preserve">. Niemniej, ze względu na charakter oraz zasięg innych ograniczeń, same widzenia z rodziną nie mogły w sposób wystarczający zniwelować kumulatywnych i niekorzystnych skutków stosowania wobec skarżącego reżimu osadzonego </w:t>
      </w:r>
      <w:r w:rsidR="00EA4181">
        <w:t>„</w:t>
      </w:r>
      <w:r w:rsidR="0076571E">
        <w:t>niebezpiecznego</w:t>
      </w:r>
      <w:r w:rsidR="00EA4181">
        <w:t>”</w:t>
      </w:r>
      <w:r w:rsidR="0076571E">
        <w:t>.</w:t>
      </w:r>
    </w:p>
    <w:p w14:paraId="13A3F2D2" w14:textId="43F6FFFF" w:rsidR="0076571E" w:rsidRPr="00F6295E" w:rsidRDefault="00F14328" w:rsidP="00F6295E">
      <w:pPr>
        <w:pStyle w:val="ECHRPara"/>
      </w:pPr>
      <w:r>
        <w:fldChar w:fldCharType="begin"/>
      </w:r>
      <w:r>
        <w:instrText xml:space="preserve"> SEQ level0 \*arabic </w:instrText>
      </w:r>
      <w:r>
        <w:fldChar w:fldCharType="separate"/>
      </w:r>
      <w:r w:rsidR="00F6295E" w:rsidRPr="00F6295E">
        <w:rPr>
          <w:noProof/>
        </w:rPr>
        <w:t>60</w:t>
      </w:r>
      <w:r>
        <w:rPr>
          <w:noProof/>
        </w:rPr>
        <w:fldChar w:fldCharType="end"/>
      </w:r>
      <w:r w:rsidR="00E1138B">
        <w:t xml:space="preserve">.  Trybunał ma jeszcze większe wątpliwości co do pełnej kontroli osobistej, której skarżący był poddawany każdego dnia, nawet kilkukrotnie, przy wchodzeniu do celi i jej opuszczaniu. Trybunał zaznaczył już w sprawie </w:t>
      </w:r>
      <w:r w:rsidR="00E1138B">
        <w:rPr>
          <w:i/>
        </w:rPr>
        <w:t>Piechowicza</w:t>
      </w:r>
      <w:r w:rsidR="00E1138B">
        <w:t xml:space="preserve"> (cyt. wyżej, § 176), że o ile kontrole osobiste z obowiązkiem rozebrania się mogą być konieczne do zachowania bezpieczeństwa w zakładzie karnym lub ochrony porządku, to argumentacja Rządu, że systematyczne, uciążliwe i wyjątkowo krępujące inspekcje, stosowane codziennie, lub kilka razy dziennie, wobec skarżącego, są niezbędne dla zachowania bezpieczeństwa w zakładzie karnym, nie jest przekonująca. Kontrole osobiste połączone z obowiązkiem rozebrania się nie wynikały z żadnych konkretnych potrzeb bezpieczeństwa, nie był</w:t>
      </w:r>
      <w:r w:rsidR="00EA4181">
        <w:t>y</w:t>
      </w:r>
      <w:r w:rsidR="00E1138B">
        <w:t xml:space="preserve"> również związane z podejrzeniami wynikającymi z zachowania skarżącego.</w:t>
      </w:r>
    </w:p>
    <w:p w14:paraId="13A71F82" w14:textId="56C6886F" w:rsidR="0076571E" w:rsidRPr="00F6295E" w:rsidRDefault="00F14328" w:rsidP="00F6295E">
      <w:pPr>
        <w:pStyle w:val="ECHRPara"/>
      </w:pPr>
      <w:r>
        <w:fldChar w:fldCharType="begin"/>
      </w:r>
      <w:r>
        <w:instrText xml:space="preserve"> SEQ level0 \*arabic </w:instrText>
      </w:r>
      <w:r>
        <w:fldChar w:fldCharType="separate"/>
      </w:r>
      <w:r w:rsidR="00F6295E" w:rsidRPr="00F6295E">
        <w:rPr>
          <w:noProof/>
        </w:rPr>
        <w:t>61</w:t>
      </w:r>
      <w:r>
        <w:rPr>
          <w:noProof/>
        </w:rPr>
        <w:fldChar w:fldCharType="end"/>
      </w:r>
      <w:r w:rsidR="0076571E">
        <w:t xml:space="preserve">.  Biorąc pod uwagę fakt, że wobec skarżącego zastosowano już kilka innych surowych środków nadzoru, Trybunał uznaje, że praktyka codziennych kontroli osobistych z obowiązkiem rozebrania się do naga, stosowana wobec skarżącego przez ponad cztery lata, </w:t>
      </w:r>
      <w:r w:rsidR="007F4C8C">
        <w:t xml:space="preserve">musiała wywołać </w:t>
      </w:r>
      <w:r w:rsidR="0076571E">
        <w:t xml:space="preserve">w nim uczucie poniżenia, cierpienia i przygnębienia, które </w:t>
      </w:r>
      <w:r w:rsidR="007F4C8C">
        <w:t>wykroczyło poza</w:t>
      </w:r>
      <w:r w:rsidR="00B67EF3">
        <w:t xml:space="preserve"> </w:t>
      </w:r>
      <w:r w:rsidR="0076571E">
        <w:t>nieuniknion</w:t>
      </w:r>
      <w:r w:rsidR="007F4C8C">
        <w:t>e</w:t>
      </w:r>
      <w:r w:rsidR="0076571E">
        <w:t xml:space="preserve"> cierpieni</w:t>
      </w:r>
      <w:r w:rsidR="007F4C8C">
        <w:t>e</w:t>
      </w:r>
      <w:r w:rsidR="0076571E">
        <w:t xml:space="preserve"> i upokorzenie </w:t>
      </w:r>
      <w:r w:rsidR="007F4C8C">
        <w:t>związane z</w:t>
      </w:r>
      <w:r w:rsidR="0076571E">
        <w:t xml:space="preserve"> odbywani</w:t>
      </w:r>
      <w:r w:rsidR="007F4C8C">
        <w:t>em</w:t>
      </w:r>
      <w:r w:rsidR="0076571E">
        <w:t xml:space="preserve"> kary więzienia (patrz </w:t>
      </w:r>
      <w:proofErr w:type="spellStart"/>
      <w:r w:rsidR="0076571E">
        <w:rPr>
          <w:i/>
        </w:rPr>
        <w:t>Horych</w:t>
      </w:r>
      <w:proofErr w:type="spellEnd"/>
      <w:r w:rsidR="0076571E">
        <w:t xml:space="preserve">, cyt. wyżej, § 101, i </w:t>
      </w:r>
      <w:r w:rsidR="0076571E">
        <w:rPr>
          <w:i/>
        </w:rPr>
        <w:t>Piechowicz</w:t>
      </w:r>
      <w:r w:rsidR="0076571E">
        <w:t>, cyt. wyżej, §§ 175 i 176).</w:t>
      </w:r>
    </w:p>
    <w:p w14:paraId="0D708111" w14:textId="6E8966D7" w:rsidR="0076571E" w:rsidRPr="00F6295E" w:rsidRDefault="00F14328" w:rsidP="00F6295E">
      <w:pPr>
        <w:pStyle w:val="ECHRPara"/>
      </w:pPr>
      <w:r>
        <w:fldChar w:fldCharType="begin"/>
      </w:r>
      <w:r>
        <w:instrText xml:space="preserve"> SEQ level0 \*arabic </w:instrText>
      </w:r>
      <w:r>
        <w:fldChar w:fldCharType="separate"/>
      </w:r>
      <w:r w:rsidR="00F6295E" w:rsidRPr="00F6295E">
        <w:rPr>
          <w:noProof/>
        </w:rPr>
        <w:t>62</w:t>
      </w:r>
      <w:r>
        <w:rPr>
          <w:noProof/>
        </w:rPr>
        <w:fldChar w:fldCharType="end"/>
      </w:r>
      <w:r w:rsidR="006E5363">
        <w:t xml:space="preserve">.  W przedmiotowej sprawie z </w:t>
      </w:r>
      <w:r w:rsidR="007F4C8C">
        <w:t xml:space="preserve">decyzji </w:t>
      </w:r>
      <w:r w:rsidR="006E5363">
        <w:t xml:space="preserve">wynika, że poza </w:t>
      </w:r>
      <w:r w:rsidR="00640FBD">
        <w:t>pierwotnym uzasadnieniem</w:t>
      </w:r>
      <w:r w:rsidR="006E5363">
        <w:t xml:space="preserve">, które </w:t>
      </w:r>
      <w:r w:rsidR="00640FBD">
        <w:t>opierało się</w:t>
      </w:r>
      <w:r w:rsidR="006E5363">
        <w:t xml:space="preserve">, zgodnie ze stanem faktycznym, </w:t>
      </w:r>
      <w:r w:rsidR="00640FBD">
        <w:t>na poważnym ciężarze gatunkowym</w:t>
      </w:r>
      <w:r w:rsidR="005C7259">
        <w:t xml:space="preserve"> zarzuconych</w:t>
      </w:r>
      <w:r w:rsidR="006E5363">
        <w:t xml:space="preserve"> skarżącemu</w:t>
      </w:r>
      <w:r w:rsidR="005C7259">
        <w:t xml:space="preserve"> czynów</w:t>
      </w:r>
      <w:r w:rsidR="006E5363">
        <w:t xml:space="preserve">, usiłowania ucieczki z transportu więziennego w 2007 r. oraz „wysokiego stopnia demoralizacji” skarżącego, władze nie znalazły innego uzasadnienia dla dalszego kwalifikowania skarżącego jako osadzonego </w:t>
      </w:r>
      <w:r w:rsidR="007F4C8C">
        <w:t>„</w:t>
      </w:r>
      <w:r w:rsidR="006E5363">
        <w:t>niebezpiecznego</w:t>
      </w:r>
      <w:r w:rsidR="007F4C8C">
        <w:t>”</w:t>
      </w:r>
      <w:r w:rsidR="006E5363">
        <w:t xml:space="preserve"> (patrz ustęp 11 powyżej). Trybunał zauważa, że przedmiotowa sprawa różni się od sprawy </w:t>
      </w:r>
      <w:r w:rsidR="006E5363">
        <w:rPr>
          <w:i/>
        </w:rPr>
        <w:t>Piechowicz</w:t>
      </w:r>
      <w:r w:rsidR="006E5363">
        <w:t xml:space="preserve"> w</w:t>
      </w:r>
      <w:r w:rsidR="006E5363">
        <w:rPr>
          <w:i/>
        </w:rPr>
        <w:t xml:space="preserve"> </w:t>
      </w:r>
      <w:r w:rsidR="006E5363">
        <w:t xml:space="preserve">tym zakresie, że skarżącemu nie postawiono zarzutu uczestnictwa w zorganizowanej grupie przestępczej, w związku z czym nie można automatycznie zastosować wobec niego reżimu osadzonego </w:t>
      </w:r>
      <w:r w:rsidR="007F4C8C">
        <w:t>„</w:t>
      </w:r>
      <w:r w:rsidR="006E5363">
        <w:t>niebezpiecznego</w:t>
      </w:r>
      <w:r w:rsidR="007F4C8C">
        <w:t>”</w:t>
      </w:r>
      <w:r w:rsidR="006E5363">
        <w:t xml:space="preserve"> na podstawie art. 212a § 3 Kodeksu karnego wykonawczego (zob. por. ibid., §§ 105 i 168). </w:t>
      </w:r>
      <w:r w:rsidR="006E5363">
        <w:lastRenderedPageBreak/>
        <w:t xml:space="preserve">Okoliczności, na których opierały się władze, mogą uzasadniać stosowanie reżimu wobec oskarżonego </w:t>
      </w:r>
      <w:r w:rsidR="007F4C8C">
        <w:t xml:space="preserve">przez </w:t>
      </w:r>
      <w:r w:rsidR="006E5363">
        <w:t xml:space="preserve">określony czas. Nie są jednak samodzielnie wystarczające do uzasadnienia przedłużania reżimu przez tak długi czas. Wraz z upływem czasu procedura ponownego rozpatrywania statusu osadzonego </w:t>
      </w:r>
      <w:r w:rsidR="007F4C8C">
        <w:t>„</w:t>
      </w:r>
      <w:r w:rsidR="006E5363">
        <w:t>niebezpiecznego</w:t>
      </w:r>
      <w:r w:rsidR="007F4C8C">
        <w:t>”</w:t>
      </w:r>
      <w:r w:rsidR="006E5363">
        <w:t xml:space="preserve"> stała się czystą formalnością, ograniczoną jedynie do wskazania czy postęp w poprawie zachowania skarżącego jest „umiarkowany” czy „niedostateczny”. </w:t>
      </w:r>
      <w:r w:rsidR="007F4C8C">
        <w:t xml:space="preserve">Decyzje </w:t>
      </w:r>
      <w:r w:rsidR="006E5363">
        <w:t>wydan</w:t>
      </w:r>
      <w:r w:rsidR="007F4C8C">
        <w:t>e</w:t>
      </w:r>
      <w:r w:rsidR="006E5363">
        <w:t xml:space="preserve"> przez Komisję Penitencjarną w 2011 i 2012 r., przedłożone Trybunałowi, nie zawiera</w:t>
      </w:r>
      <w:r w:rsidR="007F4C8C">
        <w:t>ją</w:t>
      </w:r>
      <w:r w:rsidR="006E5363">
        <w:t xml:space="preserve"> odpowiedniego uzasadnienia. Sądy, oddalając odwołania składane przez skarżącego, powoływały się na uzasadnienie przedstawione przez Komisję (patrz ustępy 11, 14 i 19).</w:t>
      </w:r>
    </w:p>
    <w:p w14:paraId="30141D8D" w14:textId="17BE649F" w:rsidR="0076571E" w:rsidRPr="00F6295E" w:rsidRDefault="00F14328" w:rsidP="00F6295E">
      <w:pPr>
        <w:pStyle w:val="ECHRPara"/>
      </w:pPr>
      <w:r>
        <w:fldChar w:fldCharType="begin"/>
      </w:r>
      <w:r>
        <w:instrText xml:space="preserve"> SEQ level0 \*arabic </w:instrText>
      </w:r>
      <w:r>
        <w:fldChar w:fldCharType="separate"/>
      </w:r>
      <w:r w:rsidR="00F6295E" w:rsidRPr="00F6295E">
        <w:rPr>
          <w:noProof/>
        </w:rPr>
        <w:t>63</w:t>
      </w:r>
      <w:r>
        <w:rPr>
          <w:noProof/>
        </w:rPr>
        <w:fldChar w:fldCharType="end"/>
      </w:r>
      <w:r w:rsidR="0076571E">
        <w:t xml:space="preserve">.  Podsumowując, dokonując całościowej oceny faktów w przedmiotowej sprawie i biorąc pod uwagę skumulowany wpływ reżimu osadzonego </w:t>
      </w:r>
      <w:r w:rsidR="007F4C8C">
        <w:t>„</w:t>
      </w:r>
      <w:r w:rsidR="0076571E">
        <w:t>niebezpiecznego</w:t>
      </w:r>
      <w:r w:rsidR="007F4C8C">
        <w:t>”</w:t>
      </w:r>
      <w:r w:rsidR="0076571E">
        <w:t xml:space="preserve"> na skarżącego, Trybunał uznaje, że władze nie przedstawiły wystarczających i właściwych powodów, które uzasadniałyby surowość podjętych środków w zakresie przedmiotowej sprawy. W szczególności, władze nie zdołały dowieść, że zaskarżone środki były w całości konieczne dla osiągnięcia prawnie uzasadnionego celu związanego z zapewnieniem bezpieczeństwa w zakładzie karnym.</w:t>
      </w:r>
    </w:p>
    <w:p w14:paraId="0EBE82CB" w14:textId="01B0CA36" w:rsidR="0076571E" w:rsidRPr="00F6295E" w:rsidRDefault="00F14328" w:rsidP="00F6295E">
      <w:pPr>
        <w:pStyle w:val="ECHRPara"/>
      </w:pPr>
      <w:r>
        <w:fldChar w:fldCharType="begin"/>
      </w:r>
      <w:r>
        <w:instrText xml:space="preserve"> SEQ level0 \*arabic </w:instrText>
      </w:r>
      <w:r>
        <w:fldChar w:fldCharType="separate"/>
      </w:r>
      <w:r w:rsidR="00F6295E" w:rsidRPr="00F6295E">
        <w:rPr>
          <w:noProof/>
        </w:rPr>
        <w:t>64</w:t>
      </w:r>
      <w:r>
        <w:rPr>
          <w:noProof/>
        </w:rPr>
        <w:fldChar w:fldCharType="end"/>
      </w:r>
      <w:r w:rsidR="006731B6">
        <w:t xml:space="preserve">.  W związku z tym nastąpiło naruszenie art. 3 Konwencji. W konsekwencji, w szczególności w świetle ustępu 62 powyżej, </w:t>
      </w:r>
      <w:r w:rsidR="005C7259">
        <w:t>zarzut wstępny Rządu</w:t>
      </w:r>
      <w:r w:rsidR="006731B6">
        <w:t xml:space="preserve"> opierający się na niewyczerpaniu krajowych środków zaradczych (patrz us</w:t>
      </w:r>
      <w:r w:rsidR="00733259">
        <w:t>tęp 43 powyżej) należy oddalić.</w:t>
      </w:r>
    </w:p>
    <w:p w14:paraId="3DAC4DAF" w14:textId="77777777" w:rsidR="006E5363" w:rsidRPr="00F6295E" w:rsidRDefault="006E5363" w:rsidP="00F6295E">
      <w:pPr>
        <w:pStyle w:val="ECHRHeading1"/>
      </w:pPr>
      <w:r>
        <w:t>II.  I. INNE ZARZUTY DOTYCZĄCE NARUSZENIA KONWENCJI</w:t>
      </w:r>
    </w:p>
    <w:p w14:paraId="162D054C" w14:textId="283B43D6" w:rsidR="006E5363" w:rsidRPr="00F6295E" w:rsidRDefault="00F14328" w:rsidP="00F6295E">
      <w:pPr>
        <w:pStyle w:val="ECHRPara"/>
      </w:pPr>
      <w:r>
        <w:fldChar w:fldCharType="begin"/>
      </w:r>
      <w:r>
        <w:instrText xml:space="preserve"> SEQ level0 \*arabic </w:instrText>
      </w:r>
      <w:r>
        <w:fldChar w:fldCharType="separate"/>
      </w:r>
      <w:r w:rsidR="00F6295E" w:rsidRPr="00F6295E">
        <w:rPr>
          <w:noProof/>
        </w:rPr>
        <w:t>65</w:t>
      </w:r>
      <w:r>
        <w:rPr>
          <w:noProof/>
        </w:rPr>
        <w:fldChar w:fldCharType="end"/>
      </w:r>
      <w:r w:rsidR="006E5363">
        <w:t xml:space="preserve">.  Skarżący podniósł naruszenie art. 6 i 13 Konwencji. Skarżył się na sposób, w który komisja penitencjarna zastosowała rozszerzony reżim, a także na domniemaną bezskuteczność jego </w:t>
      </w:r>
      <w:proofErr w:type="spellStart"/>
      <w:r w:rsidR="006E5363">
        <w:t>odwołań</w:t>
      </w:r>
      <w:proofErr w:type="spellEnd"/>
      <w:r w:rsidR="006E5363">
        <w:t xml:space="preserve"> od </w:t>
      </w:r>
      <w:r w:rsidR="007F4C8C">
        <w:t xml:space="preserve">decyzji </w:t>
      </w:r>
      <w:r w:rsidR="006E5363">
        <w:t>komisji.</w:t>
      </w:r>
    </w:p>
    <w:p w14:paraId="5830FC77" w14:textId="764A3C9A" w:rsidR="006E5363" w:rsidRPr="00F6295E" w:rsidRDefault="00F14328" w:rsidP="00F6295E">
      <w:pPr>
        <w:pStyle w:val="ECHRPara"/>
      </w:pPr>
      <w:r>
        <w:fldChar w:fldCharType="begin"/>
      </w:r>
      <w:r>
        <w:instrText xml:space="preserve"> SEQ level0 \*arabic </w:instrText>
      </w:r>
      <w:r>
        <w:fldChar w:fldCharType="separate"/>
      </w:r>
      <w:r w:rsidR="00F6295E" w:rsidRPr="00F6295E">
        <w:rPr>
          <w:noProof/>
        </w:rPr>
        <w:t>66</w:t>
      </w:r>
      <w:r>
        <w:rPr>
          <w:noProof/>
        </w:rPr>
        <w:fldChar w:fldCharType="end"/>
      </w:r>
      <w:r w:rsidR="006E5363">
        <w:t xml:space="preserve">.  Rząd </w:t>
      </w:r>
      <w:r w:rsidR="007E3AF9">
        <w:t>zakwestionował wskazane zarzuty</w:t>
      </w:r>
      <w:r w:rsidR="006E5363">
        <w:t>.</w:t>
      </w:r>
    </w:p>
    <w:p w14:paraId="6A52427C" w14:textId="77777777" w:rsidR="006E5363" w:rsidRPr="00F6295E" w:rsidRDefault="00F14328" w:rsidP="00F6295E">
      <w:pPr>
        <w:pStyle w:val="ECHRPara"/>
      </w:pPr>
      <w:r>
        <w:fldChar w:fldCharType="begin"/>
      </w:r>
      <w:r>
        <w:instrText xml:space="preserve"> SEQ level0 \*arabic </w:instrText>
      </w:r>
      <w:r>
        <w:fldChar w:fldCharType="separate"/>
      </w:r>
      <w:r w:rsidR="00F6295E" w:rsidRPr="00F6295E">
        <w:rPr>
          <w:noProof/>
        </w:rPr>
        <w:t>67</w:t>
      </w:r>
      <w:r>
        <w:rPr>
          <w:noProof/>
        </w:rPr>
        <w:fldChar w:fldCharType="end"/>
      </w:r>
      <w:r w:rsidR="006E5363">
        <w:t>.  Trybunał zaznacza, że wspomniana skarga łączy się ze skargą analizowaną wyżej, w związku z czym należy uznać jej dopuszczalność.</w:t>
      </w:r>
    </w:p>
    <w:p w14:paraId="70CD8668" w14:textId="196CF566" w:rsidR="006E5363" w:rsidRPr="00F6295E" w:rsidRDefault="00F14328" w:rsidP="00F6295E">
      <w:pPr>
        <w:pStyle w:val="ECHRPara"/>
      </w:pPr>
      <w:r>
        <w:fldChar w:fldCharType="begin"/>
      </w:r>
      <w:r>
        <w:instrText xml:space="preserve"> SEQ level0 \*arabic </w:instrText>
      </w:r>
      <w:r>
        <w:fldChar w:fldCharType="separate"/>
      </w:r>
      <w:r w:rsidR="00F6295E" w:rsidRPr="00F6295E">
        <w:rPr>
          <w:noProof/>
        </w:rPr>
        <w:t>68</w:t>
      </w:r>
      <w:r>
        <w:rPr>
          <w:noProof/>
        </w:rPr>
        <w:fldChar w:fldCharType="end"/>
      </w:r>
      <w:r w:rsidR="006E5363">
        <w:t>.  Trybunał uznaje, że skarga złożona przez skarżącego, odnosząca się do art. 3 Konwencji, odnosi się nie tylko do przedłużającego się</w:t>
      </w:r>
      <w:r w:rsidR="00B67EF3">
        <w:t xml:space="preserve"> </w:t>
      </w:r>
      <w:r w:rsidR="006E5363">
        <w:t xml:space="preserve">stosowania reżimu osadzonego </w:t>
      </w:r>
      <w:r w:rsidR="007F4C8C">
        <w:t>„</w:t>
      </w:r>
      <w:r w:rsidR="006E5363">
        <w:t>niebezpiecznego</w:t>
      </w:r>
      <w:r w:rsidR="007F4C8C">
        <w:t>”</w:t>
      </w:r>
      <w:r w:rsidR="006E5363">
        <w:t>, ale również samej procedury analizy tego statusu. Kwestie te poddano analizie, która wykazała, że nastąpiło naruszenie wspomnianego przepisu (patrz ustęp 63 powyżej). W takich okolicznościach Trybunał uznaje, że nie nastąpiło naruszenie art. 6 i 13 Konwencji, w związku z czym nie identyfikuje oddzielnego przedmiotu postępowania.</w:t>
      </w:r>
    </w:p>
    <w:p w14:paraId="17AA2B2F" w14:textId="77777777" w:rsidR="00014566" w:rsidRPr="00F6295E" w:rsidRDefault="006E5363" w:rsidP="00F6295E">
      <w:pPr>
        <w:pStyle w:val="ECHRHeading1"/>
      </w:pPr>
      <w:r>
        <w:t>III.  ZASTOSOWANIE ARTYKUŁU 41 KONWENCJI</w:t>
      </w:r>
    </w:p>
    <w:p w14:paraId="76477706" w14:textId="77777777" w:rsidR="00014566" w:rsidRPr="00F6295E" w:rsidRDefault="00F14328" w:rsidP="00F6295E">
      <w:pPr>
        <w:pStyle w:val="ECHRPara"/>
      </w:pPr>
      <w:r>
        <w:fldChar w:fldCharType="begin"/>
      </w:r>
      <w:r>
        <w:instrText xml:space="preserve"> SEQ level0 \*arabic </w:instrText>
      </w:r>
      <w:r>
        <w:fldChar w:fldCharType="separate"/>
      </w:r>
      <w:r w:rsidR="00F6295E" w:rsidRPr="00F6295E">
        <w:rPr>
          <w:noProof/>
        </w:rPr>
        <w:t>69</w:t>
      </w:r>
      <w:r>
        <w:rPr>
          <w:noProof/>
        </w:rPr>
        <w:fldChar w:fldCharType="end"/>
      </w:r>
      <w:r w:rsidR="00B97EB7">
        <w:t>.  Artykuł 41 Konwencji stanowi:</w:t>
      </w:r>
    </w:p>
    <w:p w14:paraId="2EAE0FED" w14:textId="77777777" w:rsidR="00014566" w:rsidRPr="00F6295E" w:rsidRDefault="00014566" w:rsidP="00F6295E">
      <w:pPr>
        <w:pStyle w:val="ECHRParaQuote"/>
        <w:keepNext/>
        <w:keepLines/>
      </w:pPr>
      <w:r>
        <w:lastRenderedPageBreak/>
        <w:t>“Jeśli Trybunał stwierdzi, że nastąpiło naruszenie Konwencji lub jej Protokołów, oraz jeśli prawo wewnętrzne zainteresowanej Wysokiej Układającej się Strony pozwala tylko na częściowe usunięcie konsekwencji tego naruszenia, Trybunał orzeka, gdy zachodzi potrzeba, słuszne zadośćuczynienie pokrzywdzonej stronie.”</w:t>
      </w:r>
    </w:p>
    <w:p w14:paraId="66A5BC8E" w14:textId="77777777" w:rsidR="00014566" w:rsidRPr="00F6295E" w:rsidRDefault="00014566" w:rsidP="00F6295E">
      <w:pPr>
        <w:pStyle w:val="ECHRHeading2"/>
      </w:pPr>
      <w:r>
        <w:t>A. Szkoda</w:t>
      </w:r>
    </w:p>
    <w:p w14:paraId="7F3F7C08" w14:textId="2926245F" w:rsidR="00014566" w:rsidRPr="00F6295E" w:rsidRDefault="00F14328" w:rsidP="00F6295E">
      <w:pPr>
        <w:pStyle w:val="ECHRPara"/>
      </w:pPr>
      <w:r>
        <w:fldChar w:fldCharType="begin"/>
      </w:r>
      <w:r>
        <w:instrText xml:space="preserve"> SEQ level0 \*arabic </w:instrText>
      </w:r>
      <w:r>
        <w:fldChar w:fldCharType="separate"/>
      </w:r>
      <w:r w:rsidR="00F6295E" w:rsidRPr="00F6295E">
        <w:rPr>
          <w:noProof/>
        </w:rPr>
        <w:t>70</w:t>
      </w:r>
      <w:r>
        <w:rPr>
          <w:noProof/>
        </w:rPr>
        <w:fldChar w:fldCharType="end"/>
      </w:r>
      <w:r w:rsidR="00B97EB7">
        <w:t>.  Skarżący domagał się kwoty 15.000 euro (EUR) w ramach zadośćuczy</w:t>
      </w:r>
      <w:r w:rsidR="00733259">
        <w:t xml:space="preserve">nienia za szkodę </w:t>
      </w:r>
      <w:r w:rsidR="00C1424E">
        <w:t>niemaj</w:t>
      </w:r>
      <w:r w:rsidR="00B67EF3">
        <w:t>ą</w:t>
      </w:r>
      <w:r w:rsidR="00C1424E">
        <w:t>tkową</w:t>
      </w:r>
      <w:r w:rsidR="00733259">
        <w:t>.</w:t>
      </w:r>
    </w:p>
    <w:p w14:paraId="4186470D" w14:textId="77777777" w:rsidR="001667FD" w:rsidRPr="00F6295E" w:rsidRDefault="00F14328" w:rsidP="00F6295E">
      <w:pPr>
        <w:pStyle w:val="ECHRPara"/>
      </w:pPr>
      <w:r>
        <w:fldChar w:fldCharType="begin"/>
      </w:r>
      <w:r>
        <w:instrText xml:space="preserve"> SEQ level0 \*arabic </w:instrText>
      </w:r>
      <w:r>
        <w:fldChar w:fldCharType="separate"/>
      </w:r>
      <w:r w:rsidR="00F6295E" w:rsidRPr="00F6295E">
        <w:rPr>
          <w:noProof/>
        </w:rPr>
        <w:t>71</w:t>
      </w:r>
      <w:r>
        <w:rPr>
          <w:noProof/>
        </w:rPr>
        <w:fldChar w:fldCharType="end"/>
      </w:r>
      <w:r w:rsidR="00B97EB7">
        <w:t>.  Rząd uznał, że kwota jest wygórowana.</w:t>
      </w:r>
    </w:p>
    <w:p w14:paraId="57609936" w14:textId="2764501A" w:rsidR="001667FD" w:rsidRPr="00F6295E" w:rsidRDefault="00F14328" w:rsidP="00F6295E">
      <w:pPr>
        <w:pStyle w:val="ECHRPara"/>
      </w:pPr>
      <w:r>
        <w:fldChar w:fldCharType="begin"/>
      </w:r>
      <w:r>
        <w:instrText xml:space="preserve"> SEQ level0 \*arabic </w:instrText>
      </w:r>
      <w:r>
        <w:fldChar w:fldCharType="separate"/>
      </w:r>
      <w:r w:rsidR="00F6295E" w:rsidRPr="00F6295E">
        <w:rPr>
          <w:noProof/>
        </w:rPr>
        <w:t>72</w:t>
      </w:r>
      <w:r>
        <w:rPr>
          <w:noProof/>
        </w:rPr>
        <w:fldChar w:fldCharType="end"/>
      </w:r>
      <w:r w:rsidR="001667FD">
        <w:t xml:space="preserve">.  Trybunał przyznaje skarżącemu 9.000 EUR z tytułu </w:t>
      </w:r>
      <w:r w:rsidR="00733259">
        <w:t xml:space="preserve">doznanej szkody </w:t>
      </w:r>
      <w:r w:rsidR="00C1424E">
        <w:t>niemajątkowej</w:t>
      </w:r>
      <w:r w:rsidR="00733259">
        <w:t>.</w:t>
      </w:r>
    </w:p>
    <w:p w14:paraId="2FE27E24" w14:textId="77777777" w:rsidR="00014566" w:rsidRPr="00F6295E" w:rsidRDefault="00014566" w:rsidP="00F6295E">
      <w:pPr>
        <w:pStyle w:val="ECHRHeading2"/>
      </w:pPr>
      <w:r>
        <w:t>B. Koszty i wydatki</w:t>
      </w:r>
      <w:bookmarkStart w:id="1" w:name="_GoBack"/>
      <w:bookmarkEnd w:id="1"/>
    </w:p>
    <w:p w14:paraId="1F0DF689" w14:textId="77777777" w:rsidR="00014566" w:rsidRPr="00F6295E" w:rsidRDefault="00F14328" w:rsidP="00F6295E">
      <w:pPr>
        <w:pStyle w:val="ECHRPara"/>
      </w:pPr>
      <w:r>
        <w:fldChar w:fldCharType="begin"/>
      </w:r>
      <w:r>
        <w:instrText xml:space="preserve"> SEQ level0 \*arabic </w:instrText>
      </w:r>
      <w:r>
        <w:fldChar w:fldCharType="separate"/>
      </w:r>
      <w:r w:rsidR="00F6295E" w:rsidRPr="00F6295E">
        <w:rPr>
          <w:noProof/>
        </w:rPr>
        <w:t>73</w:t>
      </w:r>
      <w:r>
        <w:rPr>
          <w:noProof/>
        </w:rPr>
        <w:fldChar w:fldCharType="end"/>
      </w:r>
      <w:r w:rsidR="00B97EB7">
        <w:t>.  Skarżący nie dochodził zwrotu kosztów i wydatków.</w:t>
      </w:r>
    </w:p>
    <w:p w14:paraId="75B795DF" w14:textId="77777777" w:rsidR="00014566" w:rsidRPr="00F6295E" w:rsidRDefault="00014566" w:rsidP="00F6295E">
      <w:pPr>
        <w:pStyle w:val="ECHRHeading2"/>
      </w:pPr>
      <w:r>
        <w:t>C. Odsetki za zwłokę</w:t>
      </w:r>
    </w:p>
    <w:p w14:paraId="1EFD7D61" w14:textId="77777777" w:rsidR="00014566" w:rsidRPr="00F6295E" w:rsidRDefault="00F14328" w:rsidP="00F6295E">
      <w:pPr>
        <w:pStyle w:val="ECHRPara"/>
      </w:pPr>
      <w:r>
        <w:fldChar w:fldCharType="begin"/>
      </w:r>
      <w:r>
        <w:instrText xml:space="preserve"> SEQ level0 \*arabic </w:instrText>
      </w:r>
      <w:r>
        <w:fldChar w:fldCharType="separate"/>
      </w:r>
      <w:r w:rsidR="00F6295E" w:rsidRPr="00F6295E">
        <w:rPr>
          <w:noProof/>
        </w:rPr>
        <w:t>74</w:t>
      </w:r>
      <w:r>
        <w:rPr>
          <w:noProof/>
        </w:rPr>
        <w:fldChar w:fldCharType="end"/>
      </w:r>
      <w:r w:rsidR="001667FD">
        <w:t>.  Trybunał uznaje za właściwe, aby odsetki za zwłokę był oparte na marginalnej stopie procentowej Europejskiego Banku Centralnego, powiększonej o trzy punkty procentowe.</w:t>
      </w:r>
    </w:p>
    <w:p w14:paraId="7DBFC555" w14:textId="77777777" w:rsidR="00014566" w:rsidRPr="00F6295E" w:rsidRDefault="00BB5883" w:rsidP="00F6295E">
      <w:pPr>
        <w:pStyle w:val="ECHRTitle1"/>
      </w:pPr>
      <w:r>
        <w:t>Z TYCH PRZYCZYN, TRYBUNAŁ JEDNOGŁOŚNIE,</w:t>
      </w:r>
    </w:p>
    <w:p w14:paraId="41023894" w14:textId="4E61BAC1" w:rsidR="00CF7ABA" w:rsidRPr="00F6295E" w:rsidRDefault="00CF7ABA" w:rsidP="00F6295E">
      <w:pPr>
        <w:pStyle w:val="JuList"/>
      </w:pPr>
      <w:r>
        <w:t>1.  </w:t>
      </w:r>
      <w:r>
        <w:rPr>
          <w:i/>
        </w:rPr>
        <w:t>Dołącza</w:t>
      </w:r>
      <w:r>
        <w:t xml:space="preserve"> sprzeciw Rządu w zakresie niewyczerpania meritum sprawy i oddala go;</w:t>
      </w:r>
    </w:p>
    <w:p w14:paraId="0D41526C" w14:textId="77777777" w:rsidR="00CF7ABA" w:rsidRPr="00F6295E" w:rsidRDefault="00CF7ABA" w:rsidP="00F6295E">
      <w:pPr>
        <w:pStyle w:val="JuList"/>
      </w:pPr>
    </w:p>
    <w:p w14:paraId="1E03A5BF" w14:textId="77777777" w:rsidR="00B637B9" w:rsidRPr="00F6295E" w:rsidRDefault="00CF7ABA" w:rsidP="00F6295E">
      <w:pPr>
        <w:pStyle w:val="JuList"/>
      </w:pPr>
      <w:r>
        <w:t>2.  </w:t>
      </w:r>
      <w:r>
        <w:rPr>
          <w:i/>
        </w:rPr>
        <w:t xml:space="preserve">Uznaje </w:t>
      </w:r>
      <w:r>
        <w:t>skargę za dopuszczalną;</w:t>
      </w:r>
    </w:p>
    <w:p w14:paraId="0CFA3FD2" w14:textId="77777777" w:rsidR="00014566" w:rsidRPr="00F6295E" w:rsidRDefault="00014566" w:rsidP="00F6295E">
      <w:pPr>
        <w:pStyle w:val="JuList"/>
        <w:ind w:left="0" w:firstLine="0"/>
      </w:pPr>
    </w:p>
    <w:p w14:paraId="776F0DF0" w14:textId="77777777" w:rsidR="00014566" w:rsidRPr="00F6295E" w:rsidRDefault="00CF7ABA" w:rsidP="00F6295E">
      <w:pPr>
        <w:pStyle w:val="JuList"/>
      </w:pPr>
      <w:r>
        <w:t>3.  </w:t>
      </w:r>
      <w:r>
        <w:rPr>
          <w:i/>
        </w:rPr>
        <w:t>Stwierdza</w:t>
      </w:r>
      <w:r>
        <w:t>, że nastąpiło naruszenie art. 3 Konwencji;</w:t>
      </w:r>
    </w:p>
    <w:p w14:paraId="7A76A84B" w14:textId="77777777" w:rsidR="00014566" w:rsidRPr="00F6295E" w:rsidRDefault="00014566" w:rsidP="00F6295E">
      <w:pPr>
        <w:pStyle w:val="JuList"/>
      </w:pPr>
    </w:p>
    <w:p w14:paraId="35234C0B" w14:textId="77777777" w:rsidR="001667FD" w:rsidRPr="00F6295E" w:rsidRDefault="00CF7ABA" w:rsidP="00F6295E">
      <w:pPr>
        <w:pStyle w:val="JuList"/>
      </w:pPr>
      <w:r>
        <w:t>4.  </w:t>
      </w:r>
      <w:r>
        <w:rPr>
          <w:i/>
        </w:rPr>
        <w:t>Stwierdza</w:t>
      </w:r>
      <w:r>
        <w:t>, że nie ma potrzeby rozpatrzenia skargi pod kątem art. 6 i 13 Konwencji;</w:t>
      </w:r>
    </w:p>
    <w:p w14:paraId="26291325" w14:textId="77777777" w:rsidR="001667FD" w:rsidRPr="00F6295E" w:rsidRDefault="001667FD" w:rsidP="00F6295E">
      <w:pPr>
        <w:pStyle w:val="JuList"/>
      </w:pPr>
    </w:p>
    <w:p w14:paraId="10D0416B" w14:textId="77777777" w:rsidR="00F6295E" w:rsidRPr="00F6295E" w:rsidRDefault="00CF7ABA" w:rsidP="00F6295E">
      <w:pPr>
        <w:pStyle w:val="JuList"/>
      </w:pPr>
      <w:r>
        <w:t>5.  </w:t>
      </w:r>
      <w:r>
        <w:rPr>
          <w:i/>
        </w:rPr>
        <w:t>Stwierdza, że</w:t>
      </w:r>
    </w:p>
    <w:p w14:paraId="206A6A95" w14:textId="164658A1" w:rsidR="001667FD" w:rsidRPr="00F6295E" w:rsidRDefault="001667FD" w:rsidP="00F6295E">
      <w:pPr>
        <w:pStyle w:val="JuLista"/>
      </w:pPr>
      <w:r>
        <w:t xml:space="preserve">(a) pozwane państwo ma zapłacić skarżącemu w terminie trzech miesięcy od daty uprawomocnienia się wyroku zgodnie z Artykułem 44 ust. 2 Konwencji kwotę 9.000 euro (dziewięć tysięcy euro), powiększoną o wszelkie podatki, które mogą zostać nałożone na tę kwotę, tytułem poniesionej szkody </w:t>
      </w:r>
      <w:r w:rsidR="00C1424E">
        <w:t>niemajątkowej</w:t>
      </w:r>
      <w:r>
        <w:t>, przeliczoną na walutę pozwanego państwa, po kursie obowiązującym w dniu wydania rozstrzygnięcia;</w:t>
      </w:r>
    </w:p>
    <w:p w14:paraId="2D879F43" w14:textId="77777777" w:rsidR="00014566" w:rsidRPr="00F6295E" w:rsidRDefault="00014566" w:rsidP="00F6295E">
      <w:pPr>
        <w:pStyle w:val="JuLista"/>
      </w:pPr>
      <w:r>
        <w:lastRenderedPageBreak/>
        <w:t>(b) po upływie powyższego trzymiesięcznego terminu do momentu zapłaty, winny zostać naliczone od tych kwot odsetki zwykłe według marginalnej stopy procentowej Europejskiego Banku Centralnego powiększonej o trzy punkty procentowe;</w:t>
      </w:r>
    </w:p>
    <w:p w14:paraId="46F58B9B" w14:textId="77777777" w:rsidR="00014566" w:rsidRPr="00F6295E" w:rsidRDefault="00014566" w:rsidP="00F6295E">
      <w:pPr>
        <w:pStyle w:val="JuList"/>
      </w:pPr>
    </w:p>
    <w:p w14:paraId="54F990F9" w14:textId="77777777" w:rsidR="00014566" w:rsidRPr="00F6295E" w:rsidRDefault="00CF7ABA" w:rsidP="00F6295E">
      <w:pPr>
        <w:pStyle w:val="JuList"/>
      </w:pPr>
      <w:r>
        <w:t>6.  </w:t>
      </w:r>
      <w:r>
        <w:rPr>
          <w:i/>
        </w:rPr>
        <w:t xml:space="preserve">Oddala </w:t>
      </w:r>
      <w:r>
        <w:t>pozostałą część roszczenia skarżącego o słuszne zadośćuczynienie.</w:t>
      </w:r>
    </w:p>
    <w:p w14:paraId="053B8E3B" w14:textId="77777777" w:rsidR="00014566" w:rsidRPr="00F6295E" w:rsidRDefault="00014566" w:rsidP="00F6295E">
      <w:pPr>
        <w:pStyle w:val="JuParaLast"/>
      </w:pPr>
      <w:r>
        <w:t>Sporządzono w języku angielskim oraz obwieszczono pisemnie dnia 16 lutego 2016 r., zgodnie z Regułą 77 §§ 2 i 3 Regulaminu Trybunału</w:t>
      </w:r>
    </w:p>
    <w:p w14:paraId="58CC24E1" w14:textId="77777777" w:rsidR="00014566" w:rsidRPr="00F6295E" w:rsidRDefault="00014566" w:rsidP="00F6295E">
      <w:pPr>
        <w:pStyle w:val="JuSigned"/>
      </w:pPr>
      <w:r>
        <w:tab/>
      </w:r>
      <w:proofErr w:type="spellStart"/>
      <w:r>
        <w:t>Françoise</w:t>
      </w:r>
      <w:proofErr w:type="spellEnd"/>
      <w:r>
        <w:t xml:space="preserve"> </w:t>
      </w:r>
      <w:proofErr w:type="spellStart"/>
      <w:r>
        <w:t>Elens</w:t>
      </w:r>
      <w:proofErr w:type="spellEnd"/>
      <w:r>
        <w:t>-Passos</w:t>
      </w:r>
      <w:r>
        <w:tab/>
      </w:r>
      <w:proofErr w:type="spellStart"/>
      <w:r>
        <w:t>András</w:t>
      </w:r>
      <w:proofErr w:type="spellEnd"/>
      <w:r>
        <w:t xml:space="preserve"> </w:t>
      </w:r>
      <w:proofErr w:type="spellStart"/>
      <w:r>
        <w:t>Sajó</w:t>
      </w:r>
      <w:proofErr w:type="spellEnd"/>
      <w:r>
        <w:br/>
      </w:r>
      <w:r>
        <w:tab/>
        <w:t>Kanclerz Sekcji</w:t>
      </w:r>
      <w:r>
        <w:tab/>
        <w:t>Przewodniczący</w:t>
      </w:r>
    </w:p>
    <w:sectPr w:rsidR="00014566" w:rsidRPr="00F6295E" w:rsidSect="00B2521C">
      <w:headerReference w:type="even" r:id="rId15"/>
      <w:headerReference w:type="default" r:id="rId16"/>
      <w:footnotePr>
        <w:numRestart w:val="eachPage"/>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929C9E8" w14:textId="77777777" w:rsidR="00F14328" w:rsidRDefault="00F14328" w:rsidP="00014566">
      <w:r>
        <w:separator/>
      </w:r>
    </w:p>
  </w:endnote>
  <w:endnote w:type="continuationSeparator" w:id="0">
    <w:p w14:paraId="51BA6EC4" w14:textId="77777777" w:rsidR="00F14328" w:rsidRDefault="00F14328" w:rsidP="000145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Wingdings 3">
    <w:panose1 w:val="050401020108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MS Mincho">
    <w:altName w:val="Meiryo"/>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Tahoma">
    <w:panose1 w:val="020B0604030504040204"/>
    <w:charset w:val="EE"/>
    <w:family w:val="swiss"/>
    <w:pitch w:val="variable"/>
    <w:sig w:usb0="61002A87" w:usb1="80000000" w:usb2="00000008" w:usb3="00000000" w:csb0="000101FF" w:csb1="00000000"/>
  </w:font>
  <w:font w:name="Verdana">
    <w:panose1 w:val="020B0604030504040204"/>
    <w:charset w:val="EE"/>
    <w:family w:val="swiss"/>
    <w:pitch w:val="variable"/>
    <w:sig w:usb0="20000287" w:usb1="00000000" w:usb2="00000000" w:usb3="00000000" w:csb0="0000019F" w:csb1="00000000"/>
  </w:font>
  <w:font w:name="Consolas">
    <w:panose1 w:val="020B0609020204030204"/>
    <w:charset w:val="EE"/>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1DFFACD" w14:textId="77777777" w:rsidR="008B7C15" w:rsidRPr="00150BFA" w:rsidRDefault="008B7C15" w:rsidP="008B7C15">
    <w:pPr>
      <w:jc w:val="center"/>
    </w:pPr>
    <w:r>
      <w:rPr>
        <w:noProof/>
        <w:lang w:bidi="ar-SA"/>
      </w:rPr>
      <w:drawing>
        <wp:inline distT="0" distB="0" distL="0" distR="0" wp14:anchorId="6045FFEF" wp14:editId="78785D18">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78A546B6" w14:textId="77777777" w:rsidR="008B7C15" w:rsidRDefault="008B7C15">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14F1CB3" w14:textId="77777777" w:rsidR="00F14328" w:rsidRDefault="00F14328" w:rsidP="00014566">
      <w:r>
        <w:separator/>
      </w:r>
    </w:p>
  </w:footnote>
  <w:footnote w:type="continuationSeparator" w:id="0">
    <w:p w14:paraId="3C5C0BAE" w14:textId="77777777" w:rsidR="00F14328" w:rsidRDefault="00F14328" w:rsidP="000145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7754CE5" w14:textId="77777777" w:rsidR="008B7C15" w:rsidRPr="0029467B" w:rsidRDefault="008B7C15" w:rsidP="0029467B">
    <w:pPr>
      <w:pStyle w:val="Nagwek"/>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4EC90C6" w14:textId="77777777" w:rsidR="008B7C15" w:rsidRPr="00A45145" w:rsidRDefault="008B7C15" w:rsidP="008B7C15">
    <w:pPr>
      <w:jc w:val="center"/>
    </w:pPr>
    <w:r>
      <w:rPr>
        <w:noProof/>
        <w:lang w:bidi="ar-SA"/>
      </w:rPr>
      <w:drawing>
        <wp:inline distT="0" distB="0" distL="0" distR="0" wp14:anchorId="4299B1D2" wp14:editId="1D47A307">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127AD22D" w14:textId="77777777" w:rsidR="008B7C15" w:rsidRDefault="008B7C15">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1C30C48" w14:textId="77777777" w:rsidR="008B7C15" w:rsidRDefault="008B7C15" w:rsidP="00B2521C">
    <w:pPr>
      <w:pStyle w:val="Nagwek"/>
      <w:framePr w:wrap="none" w:vAnchor="text" w:hAnchor="page" w:x="1702" w:y="-40"/>
      <w:rPr>
        <w:rStyle w:val="Numerstrony"/>
      </w:rPr>
    </w:pPr>
    <w:r>
      <w:rPr>
        <w:rStyle w:val="Numerstrony"/>
      </w:rPr>
      <w:fldChar w:fldCharType="begin"/>
    </w:r>
    <w:r>
      <w:rPr>
        <w:rStyle w:val="Numerstrony"/>
      </w:rPr>
      <w:instrText xml:space="preserve">PAGE  </w:instrText>
    </w:r>
    <w:r>
      <w:rPr>
        <w:rStyle w:val="Numerstrony"/>
      </w:rPr>
      <w:fldChar w:fldCharType="separate"/>
    </w:r>
    <w:r w:rsidR="00B67EF3">
      <w:rPr>
        <w:rStyle w:val="Numerstrony"/>
        <w:noProof/>
      </w:rPr>
      <w:t>12</w:t>
    </w:r>
    <w:r>
      <w:rPr>
        <w:rStyle w:val="Numerstrony"/>
      </w:rPr>
      <w:fldChar w:fldCharType="end"/>
    </w:r>
  </w:p>
  <w:p w14:paraId="6BC9FCF2" w14:textId="407C0B1C" w:rsidR="008B7C15" w:rsidRPr="00FF2306" w:rsidRDefault="008B7C15" w:rsidP="00B2521C">
    <w:pPr>
      <w:pStyle w:val="ECHRHeader"/>
      <w:ind w:right="360"/>
    </w:pPr>
    <w:r>
      <w:tab/>
      <w:t>WYROK W SPRAWIE ŚWIDERSKI PRZECIWKO POLSCE</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BB2190" w14:textId="77777777" w:rsidR="008B7C15" w:rsidRDefault="008B7C15" w:rsidP="008B7C15">
    <w:pPr>
      <w:pStyle w:val="Nagwek"/>
      <w:framePr w:wrap="none"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B67EF3">
      <w:rPr>
        <w:rStyle w:val="Numerstrony"/>
        <w:noProof/>
      </w:rPr>
      <w:t>13</w:t>
    </w:r>
    <w:r>
      <w:rPr>
        <w:rStyle w:val="Numerstrony"/>
      </w:rPr>
      <w:fldChar w:fldCharType="end"/>
    </w:r>
  </w:p>
  <w:p w14:paraId="10D45F19" w14:textId="1709F17D" w:rsidR="008B7C15" w:rsidRPr="00D60D87" w:rsidRDefault="008B7C15" w:rsidP="00B2521C">
    <w:pPr>
      <w:pStyle w:val="ECHRHeader"/>
      <w:ind w:right="360"/>
      <w:jc w:val="center"/>
    </w:pPr>
    <w:r>
      <w:tab/>
      <w:t>WYROK W SPRAWIE ŚWIDERSKI PRZECIWKO POLSCE</w:t>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0A4A6C79"/>
    <w:multiLevelType w:val="multilevel"/>
    <w:tmpl w:val="2FC04DA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bullet"/>
      <w:lvlText w:val=""/>
      <w:lvlJc w:val="left"/>
      <w:pPr>
        <w:ind w:left="2520" w:hanging="360"/>
      </w:pPr>
      <w:rPr>
        <w:rFonts w:ascii="Symbol" w:hAnsi="Symbol" w:hint="default"/>
        <w:color w:val="0072BC" w:themeColor="background1"/>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nsid w:val="0B3A5857"/>
    <w:multiLevelType w:val="multilevel"/>
    <w:tmpl w:val="8BD6362E"/>
    <w:lvl w:ilvl="0">
      <w:start w:val="1"/>
      <w:numFmt w:val="upperRoman"/>
      <w:suff w:val="nothing"/>
      <w:lvlText w:val="%1.  "/>
      <w:lvlJc w:val="left"/>
      <w:pPr>
        <w:ind w:left="0" w:firstLine="0"/>
      </w:pPr>
      <w:rPr>
        <w:rFonts w:hint="default"/>
      </w:rPr>
    </w:lvl>
    <w:lvl w:ilvl="1">
      <w:start w:val="1"/>
      <w:numFmt w:val="upperLetter"/>
      <w:lvlText w:val="%2."/>
      <w:lvlJc w:val="left"/>
      <w:pPr>
        <w:ind w:left="454" w:hanging="227"/>
      </w:pPr>
      <w:rPr>
        <w:rFonts w:hint="default"/>
      </w:rPr>
    </w:lvl>
    <w:lvl w:ilvl="2">
      <w:start w:val="1"/>
      <w:numFmt w:val="decimal"/>
      <w:lvlText w:val="%3."/>
      <w:lvlJc w:val="left"/>
      <w:pPr>
        <w:ind w:left="680" w:hanging="226"/>
      </w:pPr>
      <w:rPr>
        <w:rFonts w:hint="default"/>
      </w:rPr>
    </w:lvl>
    <w:lvl w:ilvl="3">
      <w:start w:val="1"/>
      <w:numFmt w:val="lowerLetter"/>
      <w:lvlText w:val="(%4)"/>
      <w:lvlJc w:val="left"/>
      <w:pPr>
        <w:ind w:left="1361" w:hanging="681"/>
      </w:pPr>
      <w:rPr>
        <w:rFonts w:hint="default"/>
      </w:rPr>
    </w:lvl>
    <w:lvl w:ilvl="4">
      <w:start w:val="1"/>
      <w:numFmt w:val="lowerRoman"/>
      <w:suff w:val="nothing"/>
      <w:lvlText w:val="(%5)  "/>
      <w:lvlJc w:val="left"/>
      <w:pPr>
        <w:ind w:left="1361" w:firstLine="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nsid w:val="0DB92CFA"/>
    <w:multiLevelType w:val="hybridMultilevel"/>
    <w:tmpl w:val="513A807C"/>
    <w:lvl w:ilvl="0" w:tplc="EAA8F0C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10B35A03"/>
    <w:multiLevelType w:val="multilevel"/>
    <w:tmpl w:val="BC84849E"/>
    <w:lvl w:ilvl="0">
      <w:start w:val="1"/>
      <w:numFmt w:val="lowerLetter"/>
      <w:suff w:val="nothing"/>
      <w:lvlText w:val="(%1)  "/>
      <w:lvlJc w:val="left"/>
      <w:pPr>
        <w:ind w:left="0" w:firstLine="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115053EB"/>
    <w:multiLevelType w:val="multilevel"/>
    <w:tmpl w:val="941CA410"/>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suff w:val="nothing"/>
      <w:lvlText w:val="(%5)  "/>
      <w:lvlJc w:val="left"/>
      <w:pPr>
        <w:ind w:left="1191" w:firstLine="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19ED3C69"/>
    <w:multiLevelType w:val="multilevel"/>
    <w:tmpl w:val="FF7A8054"/>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nsid w:val="1B3D29CF"/>
    <w:multiLevelType w:val="multilevel"/>
    <w:tmpl w:val="10F4A786"/>
    <w:lvl w:ilvl="0">
      <w:start w:val="1"/>
      <w:numFmt w:val="decimal"/>
      <w:suff w:val="nothing"/>
      <w:lvlText w:val="%1.  "/>
      <w:lvlJc w:val="left"/>
      <w:pPr>
        <w:ind w:left="284" w:hanging="284"/>
      </w:pPr>
      <w:rPr>
        <w:rFonts w:hint="default"/>
      </w:rPr>
    </w:lvl>
    <w:lvl w:ilvl="1">
      <w:start w:val="1"/>
      <w:numFmt w:val="lowerLetter"/>
      <w:suff w:val="nothing"/>
      <w:lvlText w:val="(%2)  "/>
      <w:lvlJc w:val="left"/>
      <w:pPr>
        <w:ind w:left="284" w:firstLine="0"/>
      </w:pPr>
      <w:rPr>
        <w:rFonts w:hint="default"/>
      </w:rPr>
    </w:lvl>
    <w:lvl w:ilvl="2">
      <w:start w:val="1"/>
      <w:numFmt w:val="lowerRoman"/>
      <w:suff w:val="nothing"/>
      <w:lvlText w:val="(%3)  "/>
      <w:lvlJc w:val="left"/>
      <w:pPr>
        <w:ind w:left="680" w:firstLine="0"/>
      </w:pPr>
      <w:rPr>
        <w:rFonts w:hint="default"/>
      </w:rPr>
    </w:lvl>
    <w:lvl w:ilvl="3">
      <w:start w:val="1"/>
      <w:numFmt w:val="upp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nsid w:val="20324D93"/>
    <w:multiLevelType w:val="hybridMultilevel"/>
    <w:tmpl w:val="F7D68528"/>
    <w:lvl w:ilvl="0" w:tplc="569ADEC6">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22777587"/>
    <w:multiLevelType w:val="multilevel"/>
    <w:tmpl w:val="49549606"/>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nsid w:val="258756B5"/>
    <w:multiLevelType w:val="multilevel"/>
    <w:tmpl w:val="F8A68542"/>
    <w:lvl w:ilvl="0">
      <w:start w:val="1"/>
      <w:numFmt w:val="lowerLetter"/>
      <w:lvlText w:val="(%1)"/>
      <w:lvlJc w:val="left"/>
      <w:pPr>
        <w:ind w:left="36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nsid w:val="29AB3FB9"/>
    <w:multiLevelType w:val="multilevel"/>
    <w:tmpl w:val="7A6AC2C8"/>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upperRoman"/>
      <w:lvlText w:val="%7"/>
      <w:lvlJc w:val="left"/>
      <w:pPr>
        <w:tabs>
          <w:tab w:val="num" w:pos="1985"/>
        </w:tabs>
        <w:ind w:left="1985" w:hanging="227"/>
      </w:pPr>
      <w:rPr>
        <w:rFonts w:ascii="Symbol" w:hAnsi="Symbol" w:hint="default"/>
        <w:strike w:val="0"/>
        <w:dstrike w:val="0"/>
        <w:color w:val="auto"/>
        <w:sz w:val="28"/>
        <w:vertAlign w:val="baseline"/>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nsid w:val="2B9959AD"/>
    <w:multiLevelType w:val="multilevel"/>
    <w:tmpl w:val="E102B54A"/>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Roman"/>
      <w:lvlText w:val="%7"/>
      <w:lvlJc w:val="left"/>
      <w:pPr>
        <w:ind w:left="2520" w:hanging="360"/>
      </w:pPr>
      <w:rPr>
        <w:rFonts w:hint="default"/>
        <w:color w:val="0072BC" w:themeColor="background1"/>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nsid w:val="30B42C89"/>
    <w:multiLevelType w:val="hybridMultilevel"/>
    <w:tmpl w:val="CFB02226"/>
    <w:lvl w:ilvl="0" w:tplc="52584FF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3134506C"/>
    <w:multiLevelType w:val="multilevel"/>
    <w:tmpl w:val="F288E2F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tabs>
          <w:tab w:val="num" w:pos="1191"/>
        </w:tabs>
        <w:ind w:left="1191" w:hanging="34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nsid w:val="374D47F6"/>
    <w:multiLevelType w:val="multilevel"/>
    <w:tmpl w:val="29C02C80"/>
    <w:lvl w:ilvl="0">
      <w:start w:val="1"/>
      <w:numFmt w:val="decimal"/>
      <w:lvlText w:val="%1."/>
      <w:lvlJc w:val="left"/>
      <w:pPr>
        <w:ind w:left="346" w:hanging="346"/>
      </w:pPr>
      <w:rPr>
        <w:rFonts w:hint="default"/>
      </w:rPr>
    </w:lvl>
    <w:lvl w:ilvl="1">
      <w:start w:val="1"/>
      <w:numFmt w:val="lowerLetter"/>
      <w:lvlText w:val="(%2)"/>
      <w:lvlJc w:val="left"/>
      <w:pPr>
        <w:tabs>
          <w:tab w:val="num" w:pos="851"/>
        </w:tabs>
        <w:ind w:left="346" w:firstLine="0"/>
      </w:pPr>
      <w:rPr>
        <w:rFonts w:hint="default"/>
      </w:rPr>
    </w:lvl>
    <w:lvl w:ilvl="2">
      <w:start w:val="1"/>
      <w:numFmt w:val="lowerRoman"/>
      <w:lvlText w:val="(%3)"/>
      <w:lvlJc w:val="left"/>
      <w:pPr>
        <w:tabs>
          <w:tab w:val="num" w:pos="1361"/>
        </w:tabs>
        <w:ind w:left="85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nsid w:val="388D47DE"/>
    <w:multiLevelType w:val="multilevel"/>
    <w:tmpl w:val="F7F2C62E"/>
    <w:lvl w:ilvl="0">
      <w:start w:val="1"/>
      <w:numFmt w:val="decimal"/>
      <w:lvlText w:val="%1."/>
      <w:lvlJc w:val="left"/>
      <w:pPr>
        <w:ind w:left="1021" w:hanging="454"/>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nsid w:val="3E85438D"/>
    <w:multiLevelType w:val="multilevel"/>
    <w:tmpl w:val="73BC578A"/>
    <w:lvl w:ilvl="0">
      <w:start w:val="1"/>
      <w:numFmt w:val="upperRoman"/>
      <w:suff w:val="nothing"/>
      <w:lvlText w:val="%1.  "/>
      <w:lvlJc w:val="left"/>
      <w:pPr>
        <w:ind w:left="227" w:hanging="227"/>
      </w:pPr>
      <w:rPr>
        <w:rFonts w:hint="default"/>
      </w:rPr>
    </w:lvl>
    <w:lvl w:ilvl="1">
      <w:start w:val="1"/>
      <w:numFmt w:val="upperLetter"/>
      <w:suff w:val="nothing"/>
      <w:lvlText w:val="%2.  "/>
      <w:lvlJc w:val="left"/>
      <w:pPr>
        <w:ind w:left="510" w:hanging="283"/>
      </w:pPr>
      <w:rPr>
        <w:rFonts w:hint="default"/>
      </w:rPr>
    </w:lvl>
    <w:lvl w:ilvl="2">
      <w:start w:val="1"/>
      <w:numFmt w:val="decimal"/>
      <w:suff w:val="nothing"/>
      <w:lvlText w:val="%3.  "/>
      <w:lvlJc w:val="left"/>
      <w:pPr>
        <w:ind w:left="794" w:hanging="284"/>
      </w:pPr>
      <w:rPr>
        <w:rFonts w:hint="default"/>
      </w:rPr>
    </w:lvl>
    <w:lvl w:ilvl="3">
      <w:start w:val="1"/>
      <w:numFmt w:val="lowerLetter"/>
      <w:suff w:val="nothing"/>
      <w:lvlText w:val="(%4)  "/>
      <w:lvlJc w:val="left"/>
      <w:pPr>
        <w:ind w:left="1077" w:hanging="283"/>
      </w:pPr>
      <w:rPr>
        <w:rFonts w:hint="default"/>
      </w:rPr>
    </w:lvl>
    <w:lvl w:ilvl="4">
      <w:start w:val="1"/>
      <w:numFmt w:val="lowerRoman"/>
      <w:lvlText w:val="(%5)  "/>
      <w:lvlJc w:val="left"/>
      <w:pPr>
        <w:ind w:left="1304" w:hanging="227"/>
      </w:pPr>
      <w:rPr>
        <w:rFonts w:hint="default"/>
      </w:rPr>
    </w:lvl>
    <w:lvl w:ilvl="5">
      <w:start w:val="1"/>
      <w:numFmt w:val="lowerLetter"/>
      <w:suff w:val="nothing"/>
      <w:lvlText w:val="(%6  "/>
      <w:lvlJc w:val="left"/>
      <w:pPr>
        <w:ind w:left="1644" w:hanging="340"/>
      </w:pPr>
      <w:rPr>
        <w:rFonts w:ascii="Symbol" w:hAnsi="Symbol" w:hint="default"/>
      </w:rPr>
    </w:lvl>
    <w:lvl w:ilvl="6">
      <w:start w:val="1"/>
      <w:numFmt w:val="bullet"/>
      <w:suff w:val="space"/>
      <w:lvlText w:val=""/>
      <w:lvlJc w:val="left"/>
      <w:pPr>
        <w:ind w:left="1814" w:hanging="170"/>
      </w:pPr>
      <w:rPr>
        <w:rFonts w:ascii="Symbol" w:hAnsi="Symbol" w:hint="default"/>
        <w:color w:val="auto"/>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8">
    <w:nsid w:val="413377FF"/>
    <w:multiLevelType w:val="multilevel"/>
    <w:tmpl w:val="EDC8B6AA"/>
    <w:lvl w:ilvl="0">
      <w:start w:val="1"/>
      <w:numFmt w:val="decimal"/>
      <w:lvlText w:val="%1."/>
      <w:lvlJc w:val="left"/>
      <w:pPr>
        <w:tabs>
          <w:tab w:val="num" w:pos="680"/>
        </w:tabs>
        <w:ind w:left="680" w:hanging="283"/>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nsid w:val="44E25784"/>
    <w:multiLevelType w:val="multilevel"/>
    <w:tmpl w:val="165083BE"/>
    <w:lvl w:ilvl="0">
      <w:start w:val="1"/>
      <w:numFmt w:val="decimal"/>
      <w:suff w:val="nothing"/>
      <w:lvlText w:val="%1.  "/>
      <w:lvlJc w:val="left"/>
      <w:pPr>
        <w:ind w:left="284" w:hanging="284"/>
      </w:pPr>
      <w:rPr>
        <w:rFonts w:hint="default"/>
      </w:rPr>
    </w:lvl>
    <w:lvl w:ilvl="1">
      <w:start w:val="1"/>
      <w:numFmt w:val="lowerLetter"/>
      <w:suff w:val="nothing"/>
      <w:lvlText w:val="(%2)  "/>
      <w:lvlJc w:val="left"/>
      <w:pPr>
        <w:ind w:left="284" w:firstLine="0"/>
      </w:pPr>
      <w:rPr>
        <w:rFonts w:hint="default"/>
      </w:rPr>
    </w:lvl>
    <w:lvl w:ilvl="2">
      <w:start w:val="1"/>
      <w:numFmt w:val="lowerRoman"/>
      <w:suff w:val="nothing"/>
      <w:lvlText w:val="(%3)  "/>
      <w:lvlJc w:val="left"/>
      <w:pPr>
        <w:ind w:left="680"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nsid w:val="460B61A5"/>
    <w:multiLevelType w:val="multilevel"/>
    <w:tmpl w:val="11FA262C"/>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Roman"/>
      <w:lvlText w:val="%7"/>
      <w:lvlJc w:val="left"/>
      <w:pPr>
        <w:ind w:left="2520" w:hanging="360"/>
      </w:pPr>
      <w:rPr>
        <w:rFonts w:ascii="Wingdings 3" w:hAnsi="Wingdings 3"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1">
    <w:nsid w:val="462F4708"/>
    <w:multiLevelType w:val="multilevel"/>
    <w:tmpl w:val="8BD6362E"/>
    <w:lvl w:ilvl="0">
      <w:start w:val="1"/>
      <w:numFmt w:val="upperRoman"/>
      <w:suff w:val="nothing"/>
      <w:lvlText w:val="%1.  "/>
      <w:lvlJc w:val="left"/>
      <w:pPr>
        <w:ind w:left="0" w:firstLine="0"/>
      </w:pPr>
      <w:rPr>
        <w:rFonts w:hint="default"/>
      </w:rPr>
    </w:lvl>
    <w:lvl w:ilvl="1">
      <w:start w:val="1"/>
      <w:numFmt w:val="upperLetter"/>
      <w:lvlText w:val="%2."/>
      <w:lvlJc w:val="left"/>
      <w:pPr>
        <w:ind w:left="454" w:hanging="227"/>
      </w:pPr>
      <w:rPr>
        <w:rFonts w:hint="default"/>
      </w:rPr>
    </w:lvl>
    <w:lvl w:ilvl="2">
      <w:start w:val="1"/>
      <w:numFmt w:val="decimal"/>
      <w:lvlText w:val="%3."/>
      <w:lvlJc w:val="left"/>
      <w:pPr>
        <w:ind w:left="680" w:hanging="226"/>
      </w:pPr>
      <w:rPr>
        <w:rFonts w:hint="default"/>
      </w:rPr>
    </w:lvl>
    <w:lvl w:ilvl="3">
      <w:start w:val="1"/>
      <w:numFmt w:val="lowerLetter"/>
      <w:lvlText w:val="(%4)"/>
      <w:lvlJc w:val="left"/>
      <w:pPr>
        <w:ind w:left="1361" w:hanging="681"/>
      </w:pPr>
      <w:rPr>
        <w:rFonts w:hint="default"/>
      </w:rPr>
    </w:lvl>
    <w:lvl w:ilvl="4">
      <w:start w:val="1"/>
      <w:numFmt w:val="lowerRoman"/>
      <w:suff w:val="nothing"/>
      <w:lvlText w:val="(%5)  "/>
      <w:lvlJc w:val="left"/>
      <w:pPr>
        <w:ind w:left="1361" w:firstLine="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2">
    <w:nsid w:val="4D1F59D2"/>
    <w:multiLevelType w:val="hybridMultilevel"/>
    <w:tmpl w:val="4582FBFC"/>
    <w:lvl w:ilvl="0" w:tplc="0D90B7D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DA02EFE"/>
    <w:multiLevelType w:val="multilevel"/>
    <w:tmpl w:val="F42CEE52"/>
    <w:lvl w:ilvl="0">
      <w:start w:val="1"/>
      <w:numFmt w:val="decimal"/>
      <w:lvlText w:val="%1."/>
      <w:lvlJc w:val="left"/>
      <w:pPr>
        <w:ind w:left="284" w:hanging="284"/>
      </w:pPr>
      <w:rPr>
        <w:rFonts w:hint="default"/>
      </w:rPr>
    </w:lvl>
    <w:lvl w:ilvl="1">
      <w:start w:val="1"/>
      <w:numFmt w:val="lowerLetter"/>
      <w:lvlText w:val="(%2)"/>
      <w:lvlJc w:val="left"/>
      <w:pPr>
        <w:tabs>
          <w:tab w:val="num" w:pos="680"/>
        </w:tabs>
        <w:ind w:left="284" w:firstLine="0"/>
      </w:pPr>
      <w:rPr>
        <w:rFonts w:hint="default"/>
      </w:rPr>
    </w:lvl>
    <w:lvl w:ilvl="2">
      <w:start w:val="1"/>
      <w:numFmt w:val="lowerRoman"/>
      <w:suff w:val="nothing"/>
      <w:lvlText w:val="(%3)  "/>
      <w:lvlJc w:val="left"/>
      <w:pPr>
        <w:ind w:left="680" w:firstLine="0"/>
      </w:pPr>
      <w:rPr>
        <w:rFonts w:hint="default"/>
      </w:rPr>
    </w:lvl>
    <w:lvl w:ilvl="3">
      <w:start w:val="1"/>
      <w:numFmt w:val="upp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4">
    <w:nsid w:val="4E8C0CF9"/>
    <w:multiLevelType w:val="multilevel"/>
    <w:tmpl w:val="090EC1BE"/>
    <w:lvl w:ilvl="0">
      <w:start w:val="1"/>
      <w:numFmt w:val="upperRoman"/>
      <w:lvlText w:val="%1."/>
      <w:lvlJc w:val="left"/>
      <w:pPr>
        <w:ind w:left="346" w:hanging="346"/>
      </w:pPr>
      <w:rPr>
        <w:rFonts w:hint="default"/>
      </w:rPr>
    </w:lvl>
    <w:lvl w:ilvl="1">
      <w:start w:val="1"/>
      <w:numFmt w:val="upperLetter"/>
      <w:lvlText w:val="%2."/>
      <w:lvlJc w:val="left"/>
      <w:pPr>
        <w:ind w:left="567" w:hanging="283"/>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5">
    <w:nsid w:val="506B6FCB"/>
    <w:multiLevelType w:val="multilevel"/>
    <w:tmpl w:val="067E4BA6"/>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851"/>
        </w:tabs>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6">
    <w:nsid w:val="52FB1EA6"/>
    <w:multiLevelType w:val="multilevel"/>
    <w:tmpl w:val="B1545D7A"/>
    <w:lvl w:ilvl="0">
      <w:start w:val="1"/>
      <w:numFmt w:val="decimal"/>
      <w:lvlText w:val="%1."/>
      <w:lvlJc w:val="left"/>
      <w:pPr>
        <w:ind w:left="340" w:hanging="340"/>
      </w:pPr>
      <w:rPr>
        <w:rFonts w:hint="default"/>
      </w:rPr>
    </w:lvl>
    <w:lvl w:ilvl="1">
      <w:start w:val="1"/>
      <w:numFmt w:val="lowerLetter"/>
      <w:lvlText w:val="(%2)"/>
      <w:lvlJc w:val="left"/>
      <w:pPr>
        <w:tabs>
          <w:tab w:val="num" w:pos="680"/>
        </w:tabs>
        <w:ind w:left="340" w:firstLine="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7">
    <w:nsid w:val="54812F33"/>
    <w:multiLevelType w:val="multilevel"/>
    <w:tmpl w:val="CD6E7908"/>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none"/>
      <w:lvlText w:val="%7–"/>
      <w:lvlJc w:val="left"/>
      <w:pPr>
        <w:tabs>
          <w:tab w:val="num" w:pos="1985"/>
        </w:tabs>
        <w:ind w:left="1985" w:hanging="227"/>
      </w:pPr>
      <w:rPr>
        <w:rFonts w:asciiTheme="majorHAnsi" w:hAnsiTheme="majorHAnsi" w:hint="default"/>
        <w:color w:val="000000" w:themeColor="text1"/>
        <w:sz w:val="28"/>
      </w:rPr>
    </w:lvl>
    <w:lvl w:ilvl="7">
      <w:start w:val="1"/>
      <w:numFmt w:val="none"/>
      <w:lvlText w:val="%8."/>
      <w:lvlJc w:val="left"/>
      <w:pPr>
        <w:ind w:left="2880" w:hanging="360"/>
      </w:pPr>
      <w:rPr>
        <w:rFonts w:asciiTheme="majorHAnsi" w:hAnsiTheme="majorHAnsi" w:hint="default"/>
        <w:strike w:val="0"/>
        <w:dstrike w:val="0"/>
        <w:color w:val="000000" w:themeColor="text1"/>
        <w:sz w:val="28"/>
        <w:vertAlign w:val="baseline"/>
      </w:rPr>
    </w:lvl>
    <w:lvl w:ilvl="8">
      <w:start w:val="1"/>
      <w:numFmt w:val="lowerRoman"/>
      <w:lvlText w:val="%9."/>
      <w:lvlJc w:val="left"/>
      <w:pPr>
        <w:ind w:left="3240" w:hanging="360"/>
      </w:pPr>
      <w:rPr>
        <w:rFonts w:hint="default"/>
      </w:rPr>
    </w:lvl>
  </w:abstractNum>
  <w:abstractNum w:abstractNumId="38">
    <w:nsid w:val="5A7B5D2C"/>
    <w:multiLevelType w:val="multilevel"/>
    <w:tmpl w:val="0A7CB2D0"/>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9">
    <w:nsid w:val="61FE1C04"/>
    <w:multiLevelType w:val="multilevel"/>
    <w:tmpl w:val="BEDA27C0"/>
    <w:lvl w:ilvl="0">
      <w:start w:val="1"/>
      <w:numFmt w:val="upperRoman"/>
      <w:suff w:val="nothing"/>
      <w:lvlText w:val="%1.  "/>
      <w:lvlJc w:val="left"/>
      <w:pPr>
        <w:ind w:left="227" w:hanging="227"/>
      </w:pPr>
      <w:rPr>
        <w:rFonts w:hint="default"/>
      </w:rPr>
    </w:lvl>
    <w:lvl w:ilvl="1">
      <w:start w:val="1"/>
      <w:numFmt w:val="upperLetter"/>
      <w:suff w:val="nothing"/>
      <w:lvlText w:val="%2.  "/>
      <w:lvlJc w:val="left"/>
      <w:pPr>
        <w:ind w:left="510" w:hanging="283"/>
      </w:pPr>
      <w:rPr>
        <w:rFonts w:hint="default"/>
      </w:rPr>
    </w:lvl>
    <w:lvl w:ilvl="2">
      <w:start w:val="1"/>
      <w:numFmt w:val="decimal"/>
      <w:suff w:val="nothing"/>
      <w:lvlText w:val="%3.  "/>
      <w:lvlJc w:val="left"/>
      <w:pPr>
        <w:ind w:left="794" w:hanging="284"/>
      </w:pPr>
      <w:rPr>
        <w:rFonts w:hint="default"/>
      </w:rPr>
    </w:lvl>
    <w:lvl w:ilvl="3">
      <w:start w:val="1"/>
      <w:numFmt w:val="lowerLetter"/>
      <w:suff w:val="nothing"/>
      <w:lvlText w:val="(%4)  "/>
      <w:lvlJc w:val="left"/>
      <w:pPr>
        <w:ind w:left="1077" w:hanging="283"/>
      </w:pPr>
      <w:rPr>
        <w:rFonts w:hint="default"/>
      </w:rPr>
    </w:lvl>
    <w:lvl w:ilvl="4">
      <w:start w:val="1"/>
      <w:numFmt w:val="lowerRoman"/>
      <w:suff w:val="nothing"/>
      <w:lvlText w:val="(%5)  "/>
      <w:lvlJc w:val="left"/>
      <w:pPr>
        <w:ind w:left="1304" w:hanging="227"/>
      </w:pPr>
      <w:rPr>
        <w:rFonts w:hint="default"/>
      </w:rPr>
    </w:lvl>
    <w:lvl w:ilvl="5">
      <w:start w:val="1"/>
      <w:numFmt w:val="lowerLetter"/>
      <w:suff w:val="nothing"/>
      <w:lvlText w:val="(%6)  "/>
      <w:lvlJc w:val="left"/>
      <w:pPr>
        <w:ind w:left="1644" w:hanging="340"/>
      </w:pPr>
      <w:rPr>
        <w:rFonts w:ascii="Symbol" w:hAnsi="Symbol" w:hint="default"/>
      </w:rPr>
    </w:lvl>
    <w:lvl w:ilvl="6">
      <w:start w:val="1"/>
      <w:numFmt w:val="bullet"/>
      <w:lvlText w:val=""/>
      <w:lvlJc w:val="left"/>
      <w:pPr>
        <w:ind w:left="1814" w:hanging="170"/>
      </w:pPr>
      <w:rPr>
        <w:rFonts w:ascii="Symbol" w:hAnsi="Symbol" w:hint="default"/>
        <w:color w:val="000000" w:themeColor="text1"/>
      </w:rPr>
    </w:lvl>
    <w:lvl w:ilvl="7">
      <w:start w:val="1"/>
      <w:numFmt w:val="bullet"/>
      <w:lvlText w:val=""/>
      <w:lvlJc w:val="left"/>
      <w:pPr>
        <w:ind w:left="1985" w:hanging="171"/>
      </w:pPr>
      <w:rPr>
        <w:rFonts w:ascii="Wingdings" w:hAnsi="Wingdings" w:hint="default"/>
        <w:color w:val="000000" w:themeColor="text1"/>
      </w:rPr>
    </w:lvl>
    <w:lvl w:ilvl="8">
      <w:start w:val="1"/>
      <w:numFmt w:val="lowerRoman"/>
      <w:lvlText w:val="%9."/>
      <w:lvlJc w:val="left"/>
      <w:pPr>
        <w:ind w:left="3240" w:hanging="360"/>
      </w:pPr>
      <w:rPr>
        <w:rFonts w:hint="default"/>
      </w:rPr>
    </w:lvl>
  </w:abstractNum>
  <w:abstractNum w:abstractNumId="40">
    <w:nsid w:val="66FD4624"/>
    <w:multiLevelType w:val="hybridMultilevel"/>
    <w:tmpl w:val="F8A68542"/>
    <w:lvl w:ilvl="0" w:tplc="7CD2FB64">
      <w:start w:val="1"/>
      <w:numFmt w:val="lowerLetter"/>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42">
    <w:nsid w:val="6D797CA4"/>
    <w:multiLevelType w:val="multilevel"/>
    <w:tmpl w:val="A1CE0A34"/>
    <w:lvl w:ilvl="0">
      <w:start w:val="1"/>
      <w:numFmt w:val="decimal"/>
      <w:lvlText w:val="%1."/>
      <w:lvlJc w:val="left"/>
      <w:pPr>
        <w:ind w:left="340" w:hanging="340"/>
      </w:pPr>
      <w:rPr>
        <w:rFonts w:hint="default"/>
      </w:rPr>
    </w:lvl>
    <w:lvl w:ilvl="1">
      <w:start w:val="1"/>
      <w:numFmt w:val="lowerLetter"/>
      <w:lvlText w:val="(%2)"/>
      <w:lvlJc w:val="left"/>
      <w:pPr>
        <w:tabs>
          <w:tab w:val="num" w:pos="680"/>
        </w:tabs>
        <w:ind w:left="340" w:firstLine="0"/>
      </w:pPr>
      <w:rPr>
        <w:rFonts w:hint="default"/>
      </w:rPr>
    </w:lvl>
    <w:lvl w:ilvl="2">
      <w:start w:val="1"/>
      <w:numFmt w:val="lowerRoman"/>
      <w:suff w:val="nothing"/>
      <w:lvlText w:val="(%3)  "/>
      <w:lvlJc w:val="left"/>
      <w:pPr>
        <w:ind w:left="680"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3">
    <w:nsid w:val="74DD17BC"/>
    <w:multiLevelType w:val="multilevel"/>
    <w:tmpl w:val="EC58AD9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tabs>
          <w:tab w:val="num" w:pos="1985"/>
        </w:tabs>
        <w:ind w:left="1985" w:hanging="227"/>
      </w:pPr>
      <w:rPr>
        <w:rFonts w:asciiTheme="minorHAnsi" w:hAnsiTheme="minorHAnsi" w:hint="default"/>
        <w:strike w:val="0"/>
        <w:dstrike w:val="0"/>
        <w:color w:val="auto"/>
        <w:sz w:val="20"/>
        <w:vertAlign w:val="baseline"/>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4">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5">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41"/>
  </w:num>
  <w:num w:numId="2">
    <w:abstractNumId w:val="15"/>
  </w:num>
  <w:num w:numId="3">
    <w:abstractNumId w:val="9"/>
  </w:num>
  <w:num w:numId="4">
    <w:abstractNumId w:val="45"/>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44"/>
  </w:num>
  <w:num w:numId="15">
    <w:abstractNumId w:val="21"/>
  </w:num>
  <w:num w:numId="16">
    <w:abstractNumId w:val="25"/>
  </w:num>
  <w:num w:numId="17">
    <w:abstractNumId w:val="39"/>
  </w:num>
  <w:num w:numId="18">
    <w:abstractNumId w:val="34"/>
  </w:num>
  <w:num w:numId="19">
    <w:abstractNumId w:val="35"/>
  </w:num>
  <w:num w:numId="20">
    <w:abstractNumId w:val="24"/>
  </w:num>
  <w:num w:numId="21">
    <w:abstractNumId w:val="14"/>
  </w:num>
  <w:num w:numId="22">
    <w:abstractNumId w:val="19"/>
  </w:num>
  <w:num w:numId="23">
    <w:abstractNumId w:val="37"/>
  </w:num>
  <w:num w:numId="24">
    <w:abstractNumId w:val="33"/>
  </w:num>
  <w:num w:numId="25">
    <w:abstractNumId w:val="36"/>
  </w:num>
  <w:num w:numId="26">
    <w:abstractNumId w:val="42"/>
  </w:num>
  <w:num w:numId="27">
    <w:abstractNumId w:val="22"/>
  </w:num>
  <w:num w:numId="28">
    <w:abstractNumId w:val="10"/>
  </w:num>
  <w:num w:numId="29">
    <w:abstractNumId w:val="30"/>
  </w:num>
  <w:num w:numId="30">
    <w:abstractNumId w:val="16"/>
  </w:num>
  <w:num w:numId="31">
    <w:abstractNumId w:val="38"/>
  </w:num>
  <w:num w:numId="3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3"/>
  </w:num>
  <w:num w:numId="34">
    <w:abstractNumId w:val="11"/>
  </w:num>
  <w:num w:numId="35">
    <w:abstractNumId w:val="31"/>
  </w:num>
  <w:num w:numId="36">
    <w:abstractNumId w:val="27"/>
  </w:num>
  <w:num w:numId="37">
    <w:abstractNumId w:val="28"/>
  </w:num>
  <w:num w:numId="38">
    <w:abstractNumId w:val="13"/>
  </w:num>
  <w:num w:numId="3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7"/>
  </w:num>
  <w:num w:numId="41">
    <w:abstractNumId w:val="12"/>
  </w:num>
  <w:num w:numId="42">
    <w:abstractNumId w:val="23"/>
  </w:num>
  <w:num w:numId="43">
    <w:abstractNumId w:val="32"/>
  </w:num>
  <w:num w:numId="44">
    <w:abstractNumId w:val="29"/>
  </w:num>
  <w:num w:numId="45">
    <w:abstractNumId w:val="26"/>
  </w:num>
  <w:num w:numId="46">
    <w:abstractNumId w:val="40"/>
  </w:num>
  <w:num w:numId="47">
    <w:abstractNumId w:val="20"/>
  </w:num>
  <w:num w:numId="4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8"/>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trackRevisions/>
  <w:defaultTabStop w:val="720"/>
  <w:hyphenationZone w:val="425"/>
  <w:evenAndOddHeaders/>
  <w:drawingGridHorizontalSpacing w:val="120"/>
  <w:drawingGridVerticalSpacing w:val="163"/>
  <w:displayHorizontalDrawingGridEvery w:val="2"/>
  <w:displayVerticalDrawingGridEvery w:val="2"/>
  <w:characterSpacingControl w:val="doNotCompres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B97EB7"/>
    <w:rsid w:val="000010ED"/>
    <w:rsid w:val="000041F8"/>
    <w:rsid w:val="000042A8"/>
    <w:rsid w:val="00004308"/>
    <w:rsid w:val="00005BF0"/>
    <w:rsid w:val="00007154"/>
    <w:rsid w:val="000103AE"/>
    <w:rsid w:val="00011D69"/>
    <w:rsid w:val="00012AD3"/>
    <w:rsid w:val="00014566"/>
    <w:rsid w:val="00015C2D"/>
    <w:rsid w:val="00015F00"/>
    <w:rsid w:val="00022C1D"/>
    <w:rsid w:val="00034987"/>
    <w:rsid w:val="00037DAD"/>
    <w:rsid w:val="00051653"/>
    <w:rsid w:val="00057D80"/>
    <w:rsid w:val="000602DF"/>
    <w:rsid w:val="00061B05"/>
    <w:rsid w:val="00062973"/>
    <w:rsid w:val="00062D5D"/>
    <w:rsid w:val="000632D5"/>
    <w:rsid w:val="000644EE"/>
    <w:rsid w:val="00070F44"/>
    <w:rsid w:val="00073810"/>
    <w:rsid w:val="00076C5E"/>
    <w:rsid w:val="00085688"/>
    <w:rsid w:val="000856D7"/>
    <w:rsid w:val="000925AD"/>
    <w:rsid w:val="000A24EB"/>
    <w:rsid w:val="000B6923"/>
    <w:rsid w:val="000B7472"/>
    <w:rsid w:val="000C033C"/>
    <w:rsid w:val="000C5F3C"/>
    <w:rsid w:val="000C6DCC"/>
    <w:rsid w:val="000D47AA"/>
    <w:rsid w:val="000D721F"/>
    <w:rsid w:val="000E069B"/>
    <w:rsid w:val="000E0E82"/>
    <w:rsid w:val="000E1DC5"/>
    <w:rsid w:val="000E223F"/>
    <w:rsid w:val="000E7D45"/>
    <w:rsid w:val="000F30D3"/>
    <w:rsid w:val="000F7851"/>
    <w:rsid w:val="00104E23"/>
    <w:rsid w:val="00111B0C"/>
    <w:rsid w:val="00117923"/>
    <w:rsid w:val="00120D6C"/>
    <w:rsid w:val="001257EC"/>
    <w:rsid w:val="00132C6A"/>
    <w:rsid w:val="00133D33"/>
    <w:rsid w:val="00134D64"/>
    <w:rsid w:val="00135A30"/>
    <w:rsid w:val="0013612C"/>
    <w:rsid w:val="00137FF6"/>
    <w:rsid w:val="00141650"/>
    <w:rsid w:val="00152FA5"/>
    <w:rsid w:val="00162A12"/>
    <w:rsid w:val="00166530"/>
    <w:rsid w:val="001667FD"/>
    <w:rsid w:val="001832BD"/>
    <w:rsid w:val="001943B5"/>
    <w:rsid w:val="00195134"/>
    <w:rsid w:val="001A145B"/>
    <w:rsid w:val="001A674C"/>
    <w:rsid w:val="001A73C1"/>
    <w:rsid w:val="001B3B24"/>
    <w:rsid w:val="001C0F98"/>
    <w:rsid w:val="001C2A42"/>
    <w:rsid w:val="001C3A38"/>
    <w:rsid w:val="001C3BDF"/>
    <w:rsid w:val="001D63ED"/>
    <w:rsid w:val="001D7348"/>
    <w:rsid w:val="001E035B"/>
    <w:rsid w:val="001E0961"/>
    <w:rsid w:val="001E3EAE"/>
    <w:rsid w:val="001E5FA8"/>
    <w:rsid w:val="001E6F32"/>
    <w:rsid w:val="001F2145"/>
    <w:rsid w:val="001F5311"/>
    <w:rsid w:val="001F6262"/>
    <w:rsid w:val="001F67B0"/>
    <w:rsid w:val="001F7B3D"/>
    <w:rsid w:val="001F7E34"/>
    <w:rsid w:val="0020442C"/>
    <w:rsid w:val="00205F9F"/>
    <w:rsid w:val="00210338"/>
    <w:rsid w:val="002115FC"/>
    <w:rsid w:val="00211CFE"/>
    <w:rsid w:val="002133F8"/>
    <w:rsid w:val="0021423C"/>
    <w:rsid w:val="00230D00"/>
    <w:rsid w:val="00231DF7"/>
    <w:rsid w:val="00231FD1"/>
    <w:rsid w:val="002339E0"/>
    <w:rsid w:val="00233CF8"/>
    <w:rsid w:val="0023575D"/>
    <w:rsid w:val="00237148"/>
    <w:rsid w:val="0024222D"/>
    <w:rsid w:val="00244B0E"/>
    <w:rsid w:val="00244F6C"/>
    <w:rsid w:val="002532C5"/>
    <w:rsid w:val="00260C03"/>
    <w:rsid w:val="0026540E"/>
    <w:rsid w:val="00275123"/>
    <w:rsid w:val="00282240"/>
    <w:rsid w:val="0028572A"/>
    <w:rsid w:val="00292C9F"/>
    <w:rsid w:val="0029467B"/>
    <w:rsid w:val="002948AD"/>
    <w:rsid w:val="00294C05"/>
    <w:rsid w:val="00294C92"/>
    <w:rsid w:val="002A01CC"/>
    <w:rsid w:val="002A09BF"/>
    <w:rsid w:val="002A61B1"/>
    <w:rsid w:val="002A663C"/>
    <w:rsid w:val="002B035F"/>
    <w:rsid w:val="002B444B"/>
    <w:rsid w:val="002B5887"/>
    <w:rsid w:val="002C0692"/>
    <w:rsid w:val="002C0E27"/>
    <w:rsid w:val="002C3040"/>
    <w:rsid w:val="002D022D"/>
    <w:rsid w:val="002D23D9"/>
    <w:rsid w:val="002D24BB"/>
    <w:rsid w:val="002F2AF7"/>
    <w:rsid w:val="002F4444"/>
    <w:rsid w:val="002F7E1C"/>
    <w:rsid w:val="00301A75"/>
    <w:rsid w:val="00302F70"/>
    <w:rsid w:val="0030336F"/>
    <w:rsid w:val="0030375E"/>
    <w:rsid w:val="00312A30"/>
    <w:rsid w:val="00316803"/>
    <w:rsid w:val="00320F72"/>
    <w:rsid w:val="0032463E"/>
    <w:rsid w:val="00326224"/>
    <w:rsid w:val="00337EE4"/>
    <w:rsid w:val="00340FFD"/>
    <w:rsid w:val="003506B1"/>
    <w:rsid w:val="00355062"/>
    <w:rsid w:val="00356AC7"/>
    <w:rsid w:val="003609FA"/>
    <w:rsid w:val="003710C8"/>
    <w:rsid w:val="003750BE"/>
    <w:rsid w:val="00383F81"/>
    <w:rsid w:val="00387B9D"/>
    <w:rsid w:val="0039364F"/>
    <w:rsid w:val="00396686"/>
    <w:rsid w:val="0039778E"/>
    <w:rsid w:val="003B4941"/>
    <w:rsid w:val="003C23AE"/>
    <w:rsid w:val="003C4DBF"/>
    <w:rsid w:val="003C5714"/>
    <w:rsid w:val="003C6B9F"/>
    <w:rsid w:val="003C6E2A"/>
    <w:rsid w:val="003D0299"/>
    <w:rsid w:val="003D4017"/>
    <w:rsid w:val="003E6D80"/>
    <w:rsid w:val="003F05FA"/>
    <w:rsid w:val="003F244A"/>
    <w:rsid w:val="003F30B8"/>
    <w:rsid w:val="003F4C45"/>
    <w:rsid w:val="003F5F7B"/>
    <w:rsid w:val="003F7D64"/>
    <w:rsid w:val="00414300"/>
    <w:rsid w:val="00425C67"/>
    <w:rsid w:val="00427E7A"/>
    <w:rsid w:val="00436307"/>
    <w:rsid w:val="00436C49"/>
    <w:rsid w:val="00445366"/>
    <w:rsid w:val="00447F5B"/>
    <w:rsid w:val="00452000"/>
    <w:rsid w:val="004520B5"/>
    <w:rsid w:val="004549FC"/>
    <w:rsid w:val="00461DB0"/>
    <w:rsid w:val="00463926"/>
    <w:rsid w:val="004646E0"/>
    <w:rsid w:val="00464C9A"/>
    <w:rsid w:val="00474DC4"/>
    <w:rsid w:val="00474F3D"/>
    <w:rsid w:val="00477E3A"/>
    <w:rsid w:val="00483E5F"/>
    <w:rsid w:val="00485FF9"/>
    <w:rsid w:val="004904B8"/>
    <w:rsid w:val="004907F0"/>
    <w:rsid w:val="0049140B"/>
    <w:rsid w:val="004923A5"/>
    <w:rsid w:val="00496BFB"/>
    <w:rsid w:val="00497C49"/>
    <w:rsid w:val="004A15C7"/>
    <w:rsid w:val="004A3088"/>
    <w:rsid w:val="004A413A"/>
    <w:rsid w:val="004B013B"/>
    <w:rsid w:val="004B112B"/>
    <w:rsid w:val="004C01E4"/>
    <w:rsid w:val="004C086C"/>
    <w:rsid w:val="004C1F56"/>
    <w:rsid w:val="004C27BC"/>
    <w:rsid w:val="004C3C55"/>
    <w:rsid w:val="004D15F3"/>
    <w:rsid w:val="004D5311"/>
    <w:rsid w:val="004D5DCC"/>
    <w:rsid w:val="004E4DDA"/>
    <w:rsid w:val="004F10AF"/>
    <w:rsid w:val="004F11A4"/>
    <w:rsid w:val="004F2389"/>
    <w:rsid w:val="004F304D"/>
    <w:rsid w:val="004F373E"/>
    <w:rsid w:val="004F61BE"/>
    <w:rsid w:val="004F66B1"/>
    <w:rsid w:val="00511C07"/>
    <w:rsid w:val="005173A6"/>
    <w:rsid w:val="00520979"/>
    <w:rsid w:val="00520BAA"/>
    <w:rsid w:val="00525208"/>
    <w:rsid w:val="005257A5"/>
    <w:rsid w:val="005264C0"/>
    <w:rsid w:val="00526A8A"/>
    <w:rsid w:val="00530B45"/>
    <w:rsid w:val="00531DF2"/>
    <w:rsid w:val="00532FA8"/>
    <w:rsid w:val="00537A00"/>
    <w:rsid w:val="00541A97"/>
    <w:rsid w:val="005442EE"/>
    <w:rsid w:val="00547353"/>
    <w:rsid w:val="005474E7"/>
    <w:rsid w:val="005512A3"/>
    <w:rsid w:val="005578CE"/>
    <w:rsid w:val="00562781"/>
    <w:rsid w:val="00563E83"/>
    <w:rsid w:val="00567999"/>
    <w:rsid w:val="0057271C"/>
    <w:rsid w:val="00572845"/>
    <w:rsid w:val="00592772"/>
    <w:rsid w:val="0059574A"/>
    <w:rsid w:val="005A1B9B"/>
    <w:rsid w:val="005A6751"/>
    <w:rsid w:val="005B092E"/>
    <w:rsid w:val="005B152C"/>
    <w:rsid w:val="005B1EE0"/>
    <w:rsid w:val="005B2B24"/>
    <w:rsid w:val="005B4425"/>
    <w:rsid w:val="005B4B94"/>
    <w:rsid w:val="005C02A8"/>
    <w:rsid w:val="005C3EE8"/>
    <w:rsid w:val="005C7259"/>
    <w:rsid w:val="005D298A"/>
    <w:rsid w:val="005D34F9"/>
    <w:rsid w:val="005D4190"/>
    <w:rsid w:val="005D67A3"/>
    <w:rsid w:val="005E2988"/>
    <w:rsid w:val="005E2A43"/>
    <w:rsid w:val="005E3085"/>
    <w:rsid w:val="005E4F05"/>
    <w:rsid w:val="005F2708"/>
    <w:rsid w:val="005F51E1"/>
    <w:rsid w:val="0060369B"/>
    <w:rsid w:val="006101E4"/>
    <w:rsid w:val="00611C80"/>
    <w:rsid w:val="00620692"/>
    <w:rsid w:val="006242CA"/>
    <w:rsid w:val="00627507"/>
    <w:rsid w:val="00633717"/>
    <w:rsid w:val="006344E1"/>
    <w:rsid w:val="00640FBD"/>
    <w:rsid w:val="00651006"/>
    <w:rsid w:val="006545C4"/>
    <w:rsid w:val="00661971"/>
    <w:rsid w:val="00661CE8"/>
    <w:rsid w:val="006623D9"/>
    <w:rsid w:val="0066550C"/>
    <w:rsid w:val="006716F2"/>
    <w:rsid w:val="006731B6"/>
    <w:rsid w:val="006758B0"/>
    <w:rsid w:val="00682BF2"/>
    <w:rsid w:val="006859CE"/>
    <w:rsid w:val="00691270"/>
    <w:rsid w:val="00694BA8"/>
    <w:rsid w:val="00695F41"/>
    <w:rsid w:val="00697FBB"/>
    <w:rsid w:val="006A037C"/>
    <w:rsid w:val="006A36F4"/>
    <w:rsid w:val="006A406F"/>
    <w:rsid w:val="006A5D3A"/>
    <w:rsid w:val="006A6150"/>
    <w:rsid w:val="006C23D4"/>
    <w:rsid w:val="006C7BB0"/>
    <w:rsid w:val="006D3237"/>
    <w:rsid w:val="006D762B"/>
    <w:rsid w:val="006E2E37"/>
    <w:rsid w:val="006E3113"/>
    <w:rsid w:val="006E3CF1"/>
    <w:rsid w:val="006E486F"/>
    <w:rsid w:val="006E5363"/>
    <w:rsid w:val="006E7E80"/>
    <w:rsid w:val="006F1DF9"/>
    <w:rsid w:val="006F24DB"/>
    <w:rsid w:val="006F48CA"/>
    <w:rsid w:val="006F64DD"/>
    <w:rsid w:val="007100FC"/>
    <w:rsid w:val="00710EB7"/>
    <w:rsid w:val="00710F97"/>
    <w:rsid w:val="00715127"/>
    <w:rsid w:val="00715E8E"/>
    <w:rsid w:val="00723580"/>
    <w:rsid w:val="00723755"/>
    <w:rsid w:val="0073136C"/>
    <w:rsid w:val="00731F0F"/>
    <w:rsid w:val="00733250"/>
    <w:rsid w:val="00733259"/>
    <w:rsid w:val="00741404"/>
    <w:rsid w:val="007449E5"/>
    <w:rsid w:val="00745B3F"/>
    <w:rsid w:val="00746C5A"/>
    <w:rsid w:val="00747FF0"/>
    <w:rsid w:val="007552DE"/>
    <w:rsid w:val="007615A4"/>
    <w:rsid w:val="007648B9"/>
    <w:rsid w:val="00764D4E"/>
    <w:rsid w:val="0076571E"/>
    <w:rsid w:val="00765A1F"/>
    <w:rsid w:val="00775B6D"/>
    <w:rsid w:val="00776D68"/>
    <w:rsid w:val="007850EE"/>
    <w:rsid w:val="00785B95"/>
    <w:rsid w:val="00790E96"/>
    <w:rsid w:val="00793366"/>
    <w:rsid w:val="007A716F"/>
    <w:rsid w:val="007A7176"/>
    <w:rsid w:val="007B20AE"/>
    <w:rsid w:val="007B270A"/>
    <w:rsid w:val="007C0695"/>
    <w:rsid w:val="007C419A"/>
    <w:rsid w:val="007C4CC8"/>
    <w:rsid w:val="007C5426"/>
    <w:rsid w:val="007C5798"/>
    <w:rsid w:val="007D25BA"/>
    <w:rsid w:val="007D4832"/>
    <w:rsid w:val="007E21B2"/>
    <w:rsid w:val="007E2C4E"/>
    <w:rsid w:val="007E3AF9"/>
    <w:rsid w:val="007F1905"/>
    <w:rsid w:val="007F4C8C"/>
    <w:rsid w:val="00801300"/>
    <w:rsid w:val="00802C64"/>
    <w:rsid w:val="00805E52"/>
    <w:rsid w:val="008061D0"/>
    <w:rsid w:val="00810B38"/>
    <w:rsid w:val="00810BEA"/>
    <w:rsid w:val="008204C7"/>
    <w:rsid w:val="008208FC"/>
    <w:rsid w:val="00820992"/>
    <w:rsid w:val="00823602"/>
    <w:rsid w:val="008255F5"/>
    <w:rsid w:val="0083014E"/>
    <w:rsid w:val="0083214A"/>
    <w:rsid w:val="00834220"/>
    <w:rsid w:val="00845723"/>
    <w:rsid w:val="00851EF9"/>
    <w:rsid w:val="008577FD"/>
    <w:rsid w:val="00860B03"/>
    <w:rsid w:val="00863D64"/>
    <w:rsid w:val="0086497A"/>
    <w:rsid w:val="008713A1"/>
    <w:rsid w:val="008754AB"/>
    <w:rsid w:val="0088060C"/>
    <w:rsid w:val="00885E4E"/>
    <w:rsid w:val="00893576"/>
    <w:rsid w:val="00893E73"/>
    <w:rsid w:val="008A03D5"/>
    <w:rsid w:val="008A43C4"/>
    <w:rsid w:val="008B02DC"/>
    <w:rsid w:val="008B57CE"/>
    <w:rsid w:val="008B659F"/>
    <w:rsid w:val="008B7C15"/>
    <w:rsid w:val="008C26DE"/>
    <w:rsid w:val="008D2225"/>
    <w:rsid w:val="008D4752"/>
    <w:rsid w:val="008E271C"/>
    <w:rsid w:val="008E3163"/>
    <w:rsid w:val="008E418E"/>
    <w:rsid w:val="008E5BC6"/>
    <w:rsid w:val="008E6A25"/>
    <w:rsid w:val="008F5193"/>
    <w:rsid w:val="009013A7"/>
    <w:rsid w:val="009017FB"/>
    <w:rsid w:val="009017FC"/>
    <w:rsid w:val="00903B43"/>
    <w:rsid w:val="009043E7"/>
    <w:rsid w:val="0090506B"/>
    <w:rsid w:val="009050C9"/>
    <w:rsid w:val="00905955"/>
    <w:rsid w:val="009066FC"/>
    <w:rsid w:val="009140A3"/>
    <w:rsid w:val="009144A2"/>
    <w:rsid w:val="0091510C"/>
    <w:rsid w:val="009259AC"/>
    <w:rsid w:val="00926D34"/>
    <w:rsid w:val="00926F38"/>
    <w:rsid w:val="00934301"/>
    <w:rsid w:val="00936CD1"/>
    <w:rsid w:val="00941747"/>
    <w:rsid w:val="00941EFB"/>
    <w:rsid w:val="00947AFB"/>
    <w:rsid w:val="00951D7D"/>
    <w:rsid w:val="00952C12"/>
    <w:rsid w:val="009630C7"/>
    <w:rsid w:val="00972B55"/>
    <w:rsid w:val="009743B7"/>
    <w:rsid w:val="0097761C"/>
    <w:rsid w:val="0098228B"/>
    <w:rsid w:val="009828DA"/>
    <w:rsid w:val="00985BAB"/>
    <w:rsid w:val="00990B93"/>
    <w:rsid w:val="00994413"/>
    <w:rsid w:val="00997E0C"/>
    <w:rsid w:val="00997F03"/>
    <w:rsid w:val="009A46DF"/>
    <w:rsid w:val="009B1B5F"/>
    <w:rsid w:val="009B2EC2"/>
    <w:rsid w:val="009B6673"/>
    <w:rsid w:val="009C191B"/>
    <w:rsid w:val="009C2BD6"/>
    <w:rsid w:val="009D0931"/>
    <w:rsid w:val="009D466B"/>
    <w:rsid w:val="009D7D86"/>
    <w:rsid w:val="009E1F32"/>
    <w:rsid w:val="009E5829"/>
    <w:rsid w:val="009E776C"/>
    <w:rsid w:val="009F06FF"/>
    <w:rsid w:val="009F5704"/>
    <w:rsid w:val="00A1726E"/>
    <w:rsid w:val="00A204CF"/>
    <w:rsid w:val="00A23D49"/>
    <w:rsid w:val="00A27004"/>
    <w:rsid w:val="00A30C29"/>
    <w:rsid w:val="00A34DD6"/>
    <w:rsid w:val="00A36819"/>
    <w:rsid w:val="00A368E1"/>
    <w:rsid w:val="00A36989"/>
    <w:rsid w:val="00A42426"/>
    <w:rsid w:val="00A43628"/>
    <w:rsid w:val="00A54192"/>
    <w:rsid w:val="00A6035E"/>
    <w:rsid w:val="00A6144C"/>
    <w:rsid w:val="00A66617"/>
    <w:rsid w:val="00A671F8"/>
    <w:rsid w:val="00A673A4"/>
    <w:rsid w:val="00A724AE"/>
    <w:rsid w:val="00A73329"/>
    <w:rsid w:val="00A82359"/>
    <w:rsid w:val="00A865D2"/>
    <w:rsid w:val="00A903D6"/>
    <w:rsid w:val="00A94C20"/>
    <w:rsid w:val="00A96ED6"/>
    <w:rsid w:val="00AA227F"/>
    <w:rsid w:val="00AA3BC7"/>
    <w:rsid w:val="00AA754A"/>
    <w:rsid w:val="00AB099E"/>
    <w:rsid w:val="00AB1964"/>
    <w:rsid w:val="00AB4328"/>
    <w:rsid w:val="00AB5FA0"/>
    <w:rsid w:val="00AC54C9"/>
    <w:rsid w:val="00AE0A2E"/>
    <w:rsid w:val="00AE354C"/>
    <w:rsid w:val="00AE5A6E"/>
    <w:rsid w:val="00AE5E08"/>
    <w:rsid w:val="00AE609E"/>
    <w:rsid w:val="00AF4B07"/>
    <w:rsid w:val="00AF6186"/>
    <w:rsid w:val="00AF7A3A"/>
    <w:rsid w:val="00B03E0C"/>
    <w:rsid w:val="00B160DB"/>
    <w:rsid w:val="00B20836"/>
    <w:rsid w:val="00B235BB"/>
    <w:rsid w:val="00B24122"/>
    <w:rsid w:val="00B2521C"/>
    <w:rsid w:val="00B27A44"/>
    <w:rsid w:val="00B30BBF"/>
    <w:rsid w:val="00B33C03"/>
    <w:rsid w:val="00B44E56"/>
    <w:rsid w:val="00B45BA0"/>
    <w:rsid w:val="00B46543"/>
    <w:rsid w:val="00B47D33"/>
    <w:rsid w:val="00B52BE0"/>
    <w:rsid w:val="00B54133"/>
    <w:rsid w:val="00B637B9"/>
    <w:rsid w:val="00B66A7D"/>
    <w:rsid w:val="00B67EF3"/>
    <w:rsid w:val="00B701ED"/>
    <w:rsid w:val="00B8086C"/>
    <w:rsid w:val="00B861B4"/>
    <w:rsid w:val="00B86DFE"/>
    <w:rsid w:val="00B90990"/>
    <w:rsid w:val="00B922FF"/>
    <w:rsid w:val="00B9281E"/>
    <w:rsid w:val="00B93925"/>
    <w:rsid w:val="00B95187"/>
    <w:rsid w:val="00B95DF1"/>
    <w:rsid w:val="00B97EB7"/>
    <w:rsid w:val="00BA2D55"/>
    <w:rsid w:val="00BA71B1"/>
    <w:rsid w:val="00BB0637"/>
    <w:rsid w:val="00BB345F"/>
    <w:rsid w:val="00BB5883"/>
    <w:rsid w:val="00BB68EA"/>
    <w:rsid w:val="00BC1C27"/>
    <w:rsid w:val="00BC6BBF"/>
    <w:rsid w:val="00BD1572"/>
    <w:rsid w:val="00BE14E3"/>
    <w:rsid w:val="00BE350B"/>
    <w:rsid w:val="00BE3774"/>
    <w:rsid w:val="00BE41E5"/>
    <w:rsid w:val="00BE6519"/>
    <w:rsid w:val="00BF0BBB"/>
    <w:rsid w:val="00BF4109"/>
    <w:rsid w:val="00BF4CC3"/>
    <w:rsid w:val="00C054C7"/>
    <w:rsid w:val="00C057B5"/>
    <w:rsid w:val="00C0631E"/>
    <w:rsid w:val="00C1424E"/>
    <w:rsid w:val="00C22687"/>
    <w:rsid w:val="00C32E4D"/>
    <w:rsid w:val="00C333A0"/>
    <w:rsid w:val="00C36A81"/>
    <w:rsid w:val="00C41974"/>
    <w:rsid w:val="00C447AD"/>
    <w:rsid w:val="00C53F4A"/>
    <w:rsid w:val="00C54125"/>
    <w:rsid w:val="00C55B54"/>
    <w:rsid w:val="00C6098E"/>
    <w:rsid w:val="00C6152C"/>
    <w:rsid w:val="00C621C2"/>
    <w:rsid w:val="00C677BD"/>
    <w:rsid w:val="00C74810"/>
    <w:rsid w:val="00C769C8"/>
    <w:rsid w:val="00C83277"/>
    <w:rsid w:val="00C90D68"/>
    <w:rsid w:val="00C916F0"/>
    <w:rsid w:val="00C939FE"/>
    <w:rsid w:val="00CA4BDA"/>
    <w:rsid w:val="00CB1F66"/>
    <w:rsid w:val="00CB2951"/>
    <w:rsid w:val="00CD282B"/>
    <w:rsid w:val="00CD4C35"/>
    <w:rsid w:val="00CD7369"/>
    <w:rsid w:val="00CE0B0E"/>
    <w:rsid w:val="00CE3831"/>
    <w:rsid w:val="00CF7ABA"/>
    <w:rsid w:val="00D00ABB"/>
    <w:rsid w:val="00D02EEC"/>
    <w:rsid w:val="00D03551"/>
    <w:rsid w:val="00D043AE"/>
    <w:rsid w:val="00D06A63"/>
    <w:rsid w:val="00D07E0E"/>
    <w:rsid w:val="00D11478"/>
    <w:rsid w:val="00D120B5"/>
    <w:rsid w:val="00D120F8"/>
    <w:rsid w:val="00D15ED0"/>
    <w:rsid w:val="00D21B3E"/>
    <w:rsid w:val="00D21FED"/>
    <w:rsid w:val="00D24251"/>
    <w:rsid w:val="00D265D3"/>
    <w:rsid w:val="00D343E2"/>
    <w:rsid w:val="00D361A2"/>
    <w:rsid w:val="00D44C2E"/>
    <w:rsid w:val="00D45414"/>
    <w:rsid w:val="00D53C0F"/>
    <w:rsid w:val="00D566BD"/>
    <w:rsid w:val="00D57A4D"/>
    <w:rsid w:val="00D60AA7"/>
    <w:rsid w:val="00D60D87"/>
    <w:rsid w:val="00D6435F"/>
    <w:rsid w:val="00D75C5A"/>
    <w:rsid w:val="00D75E28"/>
    <w:rsid w:val="00D772C2"/>
    <w:rsid w:val="00D77A58"/>
    <w:rsid w:val="00D8008E"/>
    <w:rsid w:val="00D82C45"/>
    <w:rsid w:val="00D908A8"/>
    <w:rsid w:val="00D933E0"/>
    <w:rsid w:val="00D977B6"/>
    <w:rsid w:val="00DA4A31"/>
    <w:rsid w:val="00DA7B04"/>
    <w:rsid w:val="00DB1173"/>
    <w:rsid w:val="00DB36C2"/>
    <w:rsid w:val="00DB7196"/>
    <w:rsid w:val="00DC02A7"/>
    <w:rsid w:val="00DC169B"/>
    <w:rsid w:val="00DC215A"/>
    <w:rsid w:val="00DC2AB9"/>
    <w:rsid w:val="00DC63F0"/>
    <w:rsid w:val="00DD1E20"/>
    <w:rsid w:val="00DD6EE5"/>
    <w:rsid w:val="00DE386C"/>
    <w:rsid w:val="00DE3B12"/>
    <w:rsid w:val="00DE4918"/>
    <w:rsid w:val="00DE4D35"/>
    <w:rsid w:val="00DE6635"/>
    <w:rsid w:val="00DF0549"/>
    <w:rsid w:val="00DF098B"/>
    <w:rsid w:val="00DF11C4"/>
    <w:rsid w:val="00DF210C"/>
    <w:rsid w:val="00DF4B6A"/>
    <w:rsid w:val="00E02C09"/>
    <w:rsid w:val="00E04D59"/>
    <w:rsid w:val="00E07DA1"/>
    <w:rsid w:val="00E1138B"/>
    <w:rsid w:val="00E123CB"/>
    <w:rsid w:val="00E13DD5"/>
    <w:rsid w:val="00E1557C"/>
    <w:rsid w:val="00E20E13"/>
    <w:rsid w:val="00E21DBC"/>
    <w:rsid w:val="00E275D7"/>
    <w:rsid w:val="00E27DBE"/>
    <w:rsid w:val="00E32AB1"/>
    <w:rsid w:val="00E36C71"/>
    <w:rsid w:val="00E40404"/>
    <w:rsid w:val="00E4561A"/>
    <w:rsid w:val="00E459C6"/>
    <w:rsid w:val="00E47589"/>
    <w:rsid w:val="00E64915"/>
    <w:rsid w:val="00E661D4"/>
    <w:rsid w:val="00E70091"/>
    <w:rsid w:val="00E720F5"/>
    <w:rsid w:val="00E76D47"/>
    <w:rsid w:val="00E849F7"/>
    <w:rsid w:val="00E90302"/>
    <w:rsid w:val="00E9597F"/>
    <w:rsid w:val="00E97396"/>
    <w:rsid w:val="00EA185E"/>
    <w:rsid w:val="00EA4181"/>
    <w:rsid w:val="00EA592A"/>
    <w:rsid w:val="00EA5958"/>
    <w:rsid w:val="00EB14E4"/>
    <w:rsid w:val="00EB32A5"/>
    <w:rsid w:val="00EB34ED"/>
    <w:rsid w:val="00EB570B"/>
    <w:rsid w:val="00EB717D"/>
    <w:rsid w:val="00EB7BE0"/>
    <w:rsid w:val="00EC315E"/>
    <w:rsid w:val="00ED077C"/>
    <w:rsid w:val="00ED1190"/>
    <w:rsid w:val="00ED6544"/>
    <w:rsid w:val="00EE0277"/>
    <w:rsid w:val="00EE1DA9"/>
    <w:rsid w:val="00EE3E00"/>
    <w:rsid w:val="00EE4C48"/>
    <w:rsid w:val="00EE5DD2"/>
    <w:rsid w:val="00EF41F1"/>
    <w:rsid w:val="00EF4F08"/>
    <w:rsid w:val="00F00A79"/>
    <w:rsid w:val="00F00E86"/>
    <w:rsid w:val="00F07C1E"/>
    <w:rsid w:val="00F105DB"/>
    <w:rsid w:val="00F132BC"/>
    <w:rsid w:val="00F13D80"/>
    <w:rsid w:val="00F14328"/>
    <w:rsid w:val="00F16AAA"/>
    <w:rsid w:val="00F21161"/>
    <w:rsid w:val="00F218EF"/>
    <w:rsid w:val="00F21BC7"/>
    <w:rsid w:val="00F266A2"/>
    <w:rsid w:val="00F32269"/>
    <w:rsid w:val="00F425B4"/>
    <w:rsid w:val="00F4457E"/>
    <w:rsid w:val="00F56A6F"/>
    <w:rsid w:val="00F5709C"/>
    <w:rsid w:val="00F61797"/>
    <w:rsid w:val="00F6295E"/>
    <w:rsid w:val="00F64EF1"/>
    <w:rsid w:val="00F72056"/>
    <w:rsid w:val="00F8765F"/>
    <w:rsid w:val="00F90767"/>
    <w:rsid w:val="00FA685B"/>
    <w:rsid w:val="00FB0C01"/>
    <w:rsid w:val="00FB77B9"/>
    <w:rsid w:val="00FC18F2"/>
    <w:rsid w:val="00FC39E5"/>
    <w:rsid w:val="00FC3A78"/>
    <w:rsid w:val="00FC5FFE"/>
    <w:rsid w:val="00FD1005"/>
    <w:rsid w:val="00FD3180"/>
    <w:rsid w:val="00FD6C75"/>
    <w:rsid w:val="00FE71B3"/>
    <w:rsid w:val="00FF106B"/>
    <w:rsid w:val="00FF42C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FBA19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pl-PL" w:bidi="pl-PL"/>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semiHidden="0"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F6295E"/>
    <w:pPr>
      <w:jc w:val="both"/>
    </w:pPr>
    <w:rPr>
      <w:rFonts w:eastAsiaTheme="minorEastAsia"/>
      <w:sz w:val="24"/>
    </w:rPr>
  </w:style>
  <w:style w:type="paragraph" w:styleId="Nagwek1">
    <w:name w:val="heading 1"/>
    <w:basedOn w:val="Normalny"/>
    <w:next w:val="Normalny"/>
    <w:link w:val="Nagwek1Znak"/>
    <w:uiPriority w:val="99"/>
    <w:semiHidden/>
    <w:rsid w:val="00F6295E"/>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F6295E"/>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F6295E"/>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F6295E"/>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F6295E"/>
    <w:pPr>
      <w:spacing w:before="200"/>
      <w:outlineLvl w:val="4"/>
    </w:pPr>
    <w:rPr>
      <w:rFonts w:asciiTheme="majorHAnsi" w:eastAsiaTheme="majorEastAsia" w:hAnsiTheme="majorHAnsi" w:cstheme="majorBidi"/>
      <w:b/>
      <w:bCs/>
      <w:color w:val="808080"/>
    </w:rPr>
  </w:style>
  <w:style w:type="paragraph" w:styleId="Nagwek6">
    <w:name w:val="heading 6"/>
    <w:basedOn w:val="Normalny"/>
    <w:next w:val="Normalny"/>
    <w:link w:val="Nagwek6Znak"/>
    <w:uiPriority w:val="99"/>
    <w:semiHidden/>
    <w:rsid w:val="00F6295E"/>
    <w:pPr>
      <w:spacing w:line="271" w:lineRule="auto"/>
      <w:outlineLvl w:val="5"/>
    </w:pPr>
    <w:rPr>
      <w:rFonts w:asciiTheme="majorHAnsi" w:eastAsiaTheme="majorEastAsia" w:hAnsiTheme="majorHAnsi" w:cstheme="majorBidi"/>
      <w:b/>
      <w:bCs/>
      <w:i/>
      <w:iCs/>
      <w:color w:val="7F7F7F" w:themeColor="text1" w:themeTint="80"/>
    </w:rPr>
  </w:style>
  <w:style w:type="paragraph" w:styleId="Nagwek7">
    <w:name w:val="heading 7"/>
    <w:basedOn w:val="Normalny"/>
    <w:next w:val="Normalny"/>
    <w:link w:val="Nagwek7Znak"/>
    <w:uiPriority w:val="99"/>
    <w:semiHidden/>
    <w:qFormat/>
    <w:rsid w:val="00F6295E"/>
    <w:pPr>
      <w:outlineLvl w:val="6"/>
    </w:pPr>
    <w:rPr>
      <w:rFonts w:asciiTheme="majorHAnsi" w:eastAsiaTheme="majorEastAsia" w:hAnsiTheme="majorHAnsi" w:cstheme="majorBidi"/>
      <w:i/>
      <w:iCs/>
    </w:rPr>
  </w:style>
  <w:style w:type="paragraph" w:styleId="Nagwek8">
    <w:name w:val="heading 8"/>
    <w:basedOn w:val="Normalny"/>
    <w:next w:val="Normalny"/>
    <w:link w:val="Nagwek8Znak"/>
    <w:uiPriority w:val="99"/>
    <w:semiHidden/>
    <w:qFormat/>
    <w:rsid w:val="00F6295E"/>
    <w:pPr>
      <w:outlineLvl w:val="7"/>
    </w:pPr>
    <w:rPr>
      <w:rFonts w:asciiTheme="majorHAnsi" w:eastAsiaTheme="majorEastAsia" w:hAnsiTheme="majorHAnsi" w:cstheme="majorBidi"/>
      <w:sz w:val="20"/>
      <w:szCs w:val="20"/>
    </w:rPr>
  </w:style>
  <w:style w:type="paragraph" w:styleId="Nagwek9">
    <w:name w:val="heading 9"/>
    <w:basedOn w:val="Normalny"/>
    <w:next w:val="Normalny"/>
    <w:link w:val="Nagwek9Znak"/>
    <w:uiPriority w:val="99"/>
    <w:semiHidden/>
    <w:qFormat/>
    <w:rsid w:val="00F6295E"/>
    <w:pPr>
      <w:outlineLvl w:val="8"/>
    </w:pPr>
    <w:rPr>
      <w:rFonts w:asciiTheme="majorHAnsi" w:eastAsiaTheme="majorEastAsia" w:hAnsiTheme="majorHAnsi" w:cstheme="majorBidi"/>
      <w:i/>
      <w:iCs/>
      <w:spacing w:val="5"/>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F6295E"/>
    <w:rPr>
      <w:rFonts w:ascii="Tahoma" w:hAnsi="Tahoma" w:cs="Tahoma"/>
      <w:sz w:val="16"/>
      <w:szCs w:val="16"/>
    </w:rPr>
  </w:style>
  <w:style w:type="character" w:customStyle="1" w:styleId="TekstdymkaZnak">
    <w:name w:val="Tekst dymka Znak"/>
    <w:basedOn w:val="Domylnaczcionkaakapitu"/>
    <w:link w:val="Tekstdymka"/>
    <w:uiPriority w:val="99"/>
    <w:semiHidden/>
    <w:rsid w:val="00F6295E"/>
    <w:rPr>
      <w:rFonts w:ascii="Tahoma" w:eastAsiaTheme="minorEastAsia" w:hAnsi="Tahoma" w:cs="Tahoma"/>
      <w:sz w:val="16"/>
      <w:szCs w:val="16"/>
    </w:rPr>
  </w:style>
  <w:style w:type="character" w:styleId="Tytuksiki">
    <w:name w:val="Book Title"/>
    <w:uiPriority w:val="99"/>
    <w:semiHidden/>
    <w:qFormat/>
    <w:rsid w:val="00F6295E"/>
    <w:rPr>
      <w:i/>
      <w:iCs/>
      <w:smallCaps/>
      <w:spacing w:val="5"/>
    </w:rPr>
  </w:style>
  <w:style w:type="paragraph" w:customStyle="1" w:styleId="ECHRHeader">
    <w:name w:val="ECHR_Header"/>
    <w:aliases w:val="Ju_Header"/>
    <w:basedOn w:val="Nagwek"/>
    <w:uiPriority w:val="4"/>
    <w:qFormat/>
    <w:rsid w:val="00F6295E"/>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F6295E"/>
    <w:pPr>
      <w:jc w:val="left"/>
    </w:pPr>
    <w:rPr>
      <w:sz w:val="8"/>
    </w:rPr>
  </w:style>
  <w:style w:type="character" w:styleId="Pogrubienie">
    <w:name w:val="Strong"/>
    <w:uiPriority w:val="99"/>
    <w:semiHidden/>
    <w:qFormat/>
    <w:rsid w:val="00F6295E"/>
    <w:rPr>
      <w:b/>
      <w:bCs/>
    </w:rPr>
  </w:style>
  <w:style w:type="paragraph" w:styleId="Bezodstpw">
    <w:name w:val="No Spacing"/>
    <w:basedOn w:val="Normalny"/>
    <w:link w:val="BezodstpwZnak"/>
    <w:semiHidden/>
    <w:qFormat/>
    <w:rsid w:val="00F6295E"/>
  </w:style>
  <w:style w:type="character" w:customStyle="1" w:styleId="BezodstpwZnak">
    <w:name w:val="Bez odstępów Znak"/>
    <w:basedOn w:val="Domylnaczcionkaakapitu"/>
    <w:link w:val="Bezodstpw"/>
    <w:semiHidden/>
    <w:rsid w:val="00F6295E"/>
    <w:rPr>
      <w:rFonts w:eastAsiaTheme="minorEastAsia"/>
      <w:sz w:val="24"/>
    </w:rPr>
  </w:style>
  <w:style w:type="paragraph" w:customStyle="1" w:styleId="ECHRFooterLine">
    <w:name w:val="ECHR_Footer_Line"/>
    <w:aliases w:val="Footer_Line"/>
    <w:basedOn w:val="Normalny"/>
    <w:next w:val="ECHRFooter"/>
    <w:uiPriority w:val="57"/>
    <w:semiHidden/>
    <w:rsid w:val="00F6295E"/>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qFormat/>
    <w:rsid w:val="00F6295E"/>
    <w:pPr>
      <w:numPr>
        <w:numId w:val="14"/>
      </w:numPr>
      <w:jc w:val="left"/>
    </w:pPr>
    <w:rPr>
      <w:b/>
    </w:rPr>
  </w:style>
  <w:style w:type="paragraph" w:customStyle="1" w:styleId="OpiPara">
    <w:name w:val="Opi_Para"/>
    <w:basedOn w:val="ECHRPara"/>
    <w:uiPriority w:val="46"/>
    <w:semiHidden/>
    <w:qFormat/>
    <w:rsid w:val="00F6295E"/>
  </w:style>
  <w:style w:type="paragraph" w:customStyle="1" w:styleId="JuParaSub">
    <w:name w:val="Ju_Para_Sub"/>
    <w:basedOn w:val="ECHRPara"/>
    <w:uiPriority w:val="13"/>
    <w:qFormat/>
    <w:rsid w:val="00F6295E"/>
    <w:pPr>
      <w:ind w:left="284"/>
    </w:pPr>
  </w:style>
  <w:style w:type="paragraph" w:customStyle="1" w:styleId="ECHRTitleCentre3">
    <w:name w:val="ECHR_Title_Centre_3"/>
    <w:aliases w:val="Ju_H_Article"/>
    <w:basedOn w:val="Normalny"/>
    <w:next w:val="ECHRParaQuote"/>
    <w:uiPriority w:val="27"/>
    <w:qFormat/>
    <w:rsid w:val="00F6295E"/>
    <w:pPr>
      <w:keepNext/>
      <w:keepLines/>
      <w:spacing w:before="240" w:after="120"/>
      <w:jc w:val="center"/>
      <w:outlineLvl w:val="3"/>
    </w:pPr>
    <w:rPr>
      <w:rFonts w:asciiTheme="majorHAnsi" w:hAnsiTheme="majorHAnsi"/>
      <w:b/>
      <w:sz w:val="20"/>
    </w:rPr>
  </w:style>
  <w:style w:type="paragraph" w:customStyle="1" w:styleId="ECHRTitleCentre1">
    <w:name w:val="ECHR_Title_Centre_1"/>
    <w:aliases w:val="Opi_H_Head"/>
    <w:basedOn w:val="Normalny"/>
    <w:next w:val="OpiPara"/>
    <w:uiPriority w:val="39"/>
    <w:qFormat/>
    <w:rsid w:val="00F6295E"/>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semiHidden/>
    <w:qFormat/>
    <w:rsid w:val="00F6295E"/>
  </w:style>
  <w:style w:type="paragraph" w:customStyle="1" w:styleId="OpiQuot">
    <w:name w:val="Opi_Quot"/>
    <w:basedOn w:val="ECHRParaQuote"/>
    <w:uiPriority w:val="48"/>
    <w:semiHidden/>
    <w:qFormat/>
    <w:rsid w:val="00F6295E"/>
  </w:style>
  <w:style w:type="paragraph" w:customStyle="1" w:styleId="OpiQuotSub">
    <w:name w:val="Opi_Quot_Sub"/>
    <w:basedOn w:val="JuQuotSub"/>
    <w:uiPriority w:val="49"/>
    <w:semiHidden/>
    <w:qFormat/>
    <w:rsid w:val="00F6295E"/>
  </w:style>
  <w:style w:type="paragraph" w:customStyle="1" w:styleId="ECHRTitleCentre2">
    <w:name w:val="ECHR_Title_Centre_2"/>
    <w:aliases w:val="Dec_H_Case"/>
    <w:basedOn w:val="Normalny"/>
    <w:next w:val="ECHRPara"/>
    <w:uiPriority w:val="8"/>
    <w:qFormat/>
    <w:rsid w:val="00F6295E"/>
    <w:pPr>
      <w:spacing w:after="240"/>
      <w:jc w:val="center"/>
      <w:outlineLvl w:val="0"/>
    </w:pPr>
    <w:rPr>
      <w:rFonts w:asciiTheme="majorHAnsi" w:hAnsiTheme="majorHAnsi"/>
    </w:rPr>
  </w:style>
  <w:style w:type="paragraph" w:customStyle="1" w:styleId="JuTitle">
    <w:name w:val="Ju_Title"/>
    <w:basedOn w:val="Normalny"/>
    <w:next w:val="ECHRPara"/>
    <w:uiPriority w:val="3"/>
    <w:qFormat/>
    <w:rsid w:val="00F6295E"/>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F6295E"/>
    <w:pPr>
      <w:pBdr>
        <w:bottom w:val="single" w:sz="4" w:space="1" w:color="auto"/>
      </w:pBdr>
      <w:contextualSpacing/>
    </w:pPr>
    <w:rPr>
      <w:rFonts w:asciiTheme="majorHAnsi" w:eastAsiaTheme="majorEastAsia" w:hAnsiTheme="majorHAnsi" w:cstheme="majorBidi"/>
      <w:spacing w:val="5"/>
      <w:sz w:val="52"/>
      <w:szCs w:val="52"/>
    </w:rPr>
  </w:style>
  <w:style w:type="character" w:customStyle="1" w:styleId="TytuZnak">
    <w:name w:val="Tytuł Znak"/>
    <w:basedOn w:val="Domylnaczcionkaakapitu"/>
    <w:link w:val="Tytu"/>
    <w:uiPriority w:val="99"/>
    <w:semiHidden/>
    <w:rsid w:val="00F6295E"/>
    <w:rPr>
      <w:rFonts w:asciiTheme="majorHAnsi" w:eastAsiaTheme="majorEastAsia" w:hAnsiTheme="majorHAnsi" w:cstheme="majorBidi"/>
      <w:spacing w:val="5"/>
      <w:sz w:val="52"/>
      <w:szCs w:val="52"/>
      <w:lang w:bidi="pl-PL"/>
    </w:rPr>
  </w:style>
  <w:style w:type="paragraph" w:customStyle="1" w:styleId="ECHRHeading3">
    <w:name w:val="ECHR_Heading_3"/>
    <w:aliases w:val="Ju_H_1."/>
    <w:basedOn w:val="Nagwek3"/>
    <w:next w:val="ECHRPara"/>
    <w:link w:val="JuH1Char"/>
    <w:uiPriority w:val="21"/>
    <w:qFormat/>
    <w:rsid w:val="00F6295E"/>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F6295E"/>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F6295E"/>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F6295E"/>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F6295E"/>
    <w:pPr>
      <w:keepNext/>
      <w:keepLines/>
      <w:spacing w:before="240" w:after="120"/>
      <w:ind w:left="1236"/>
    </w:pPr>
    <w:rPr>
      <w:sz w:val="20"/>
    </w:rPr>
  </w:style>
  <w:style w:type="paragraph" w:customStyle="1" w:styleId="JuQuotSub">
    <w:name w:val="Ju_Quot_Sub"/>
    <w:basedOn w:val="ECHRParaQuote"/>
    <w:uiPriority w:val="15"/>
    <w:qFormat/>
    <w:rsid w:val="00F6295E"/>
    <w:pPr>
      <w:ind w:left="567"/>
    </w:pPr>
  </w:style>
  <w:style w:type="paragraph" w:customStyle="1" w:styleId="JuInitialled">
    <w:name w:val="Ju_Initialled"/>
    <w:basedOn w:val="Normalny"/>
    <w:uiPriority w:val="31"/>
    <w:qFormat/>
    <w:rsid w:val="00F6295E"/>
    <w:pPr>
      <w:tabs>
        <w:tab w:val="center" w:pos="6407"/>
      </w:tabs>
      <w:spacing w:before="720"/>
      <w:jc w:val="right"/>
    </w:pPr>
  </w:style>
  <w:style w:type="paragraph" w:customStyle="1" w:styleId="OpiHA">
    <w:name w:val="Opi_H_A"/>
    <w:basedOn w:val="ECHRHeading1"/>
    <w:next w:val="OpiPara"/>
    <w:uiPriority w:val="41"/>
    <w:semiHidden/>
    <w:qFormat/>
    <w:rsid w:val="00F6295E"/>
    <w:pPr>
      <w:tabs>
        <w:tab w:val="clear" w:pos="357"/>
      </w:tabs>
      <w:outlineLvl w:val="1"/>
    </w:pPr>
    <w:rPr>
      <w:b/>
    </w:rPr>
  </w:style>
  <w:style w:type="paragraph" w:styleId="Nagwek">
    <w:name w:val="header"/>
    <w:basedOn w:val="Normalny"/>
    <w:link w:val="NagwekZnak"/>
    <w:uiPriority w:val="57"/>
    <w:semiHidden/>
    <w:rsid w:val="00F6295E"/>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F6295E"/>
    <w:rPr>
      <w:sz w:val="24"/>
    </w:rPr>
  </w:style>
  <w:style w:type="character" w:customStyle="1" w:styleId="Nagwek1Znak">
    <w:name w:val="Nagłówek 1 Znak"/>
    <w:basedOn w:val="Domylnaczcionkaakapitu"/>
    <w:link w:val="Nagwek1"/>
    <w:uiPriority w:val="99"/>
    <w:semiHidden/>
    <w:rsid w:val="00F6295E"/>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F6295E"/>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F6295E"/>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F6295E"/>
    <w:rPr>
      <w:rFonts w:asciiTheme="majorHAnsi" w:eastAsiaTheme="majorEastAsia" w:hAnsiTheme="majorHAnsi" w:cstheme="majorBidi"/>
      <w:b/>
      <w:bCs/>
      <w:color w:val="4D4D4D"/>
      <w:sz w:val="26"/>
      <w:szCs w:val="26"/>
    </w:rPr>
  </w:style>
  <w:style w:type="character" w:customStyle="1" w:styleId="JUNAMES">
    <w:name w:val="JU_NAMES"/>
    <w:uiPriority w:val="17"/>
    <w:qFormat/>
    <w:rsid w:val="00F6295E"/>
    <w:rPr>
      <w:caps w:val="0"/>
      <w:smallCaps/>
    </w:rPr>
  </w:style>
  <w:style w:type="paragraph" w:customStyle="1" w:styleId="JuCase">
    <w:name w:val="Ju_Case"/>
    <w:basedOn w:val="Normalny"/>
    <w:next w:val="ECHRPara"/>
    <w:uiPriority w:val="10"/>
    <w:rsid w:val="00F6295E"/>
    <w:pPr>
      <w:ind w:firstLine="284"/>
    </w:pPr>
    <w:rPr>
      <w:b/>
    </w:rPr>
  </w:style>
  <w:style w:type="character" w:customStyle="1" w:styleId="Nagwek3Znak">
    <w:name w:val="Nagłówek 3 Znak"/>
    <w:basedOn w:val="Domylnaczcionkaakapitu"/>
    <w:link w:val="Nagwek3"/>
    <w:uiPriority w:val="99"/>
    <w:semiHidden/>
    <w:rsid w:val="00F6295E"/>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F6295E"/>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F6295E"/>
    <w:rPr>
      <w:rFonts w:asciiTheme="majorHAnsi" w:eastAsiaTheme="majorEastAsia" w:hAnsiTheme="majorHAnsi" w:cstheme="majorBidi"/>
      <w:b/>
      <w:bCs/>
      <w:color w:val="808080"/>
      <w:sz w:val="24"/>
    </w:rPr>
  </w:style>
  <w:style w:type="character" w:styleId="Wyrnieniedelikatne">
    <w:name w:val="Subtle Emphasis"/>
    <w:uiPriority w:val="99"/>
    <w:semiHidden/>
    <w:qFormat/>
    <w:rsid w:val="00F6295E"/>
    <w:rPr>
      <w:i/>
      <w:iCs/>
    </w:rPr>
  </w:style>
  <w:style w:type="table" w:customStyle="1" w:styleId="ECHRTable">
    <w:name w:val="ECHR_Table"/>
    <w:basedOn w:val="Standardowy"/>
    <w:rsid w:val="00860B03"/>
    <w:rPr>
      <w:rFonts w:eastAsia="Times New Roman" w:cs="Times New Roman"/>
      <w:sz w:val="20"/>
      <w:szCs w:val="20"/>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F6295E"/>
    <w:pPr>
      <w:keepNext/>
      <w:keepLines/>
      <w:spacing w:before="720" w:after="240"/>
      <w:outlineLvl w:val="0"/>
    </w:pPr>
    <w:rPr>
      <w:rFonts w:asciiTheme="majorHAnsi" w:hAnsiTheme="majorHAnsi"/>
      <w:sz w:val="28"/>
    </w:rPr>
  </w:style>
  <w:style w:type="character" w:styleId="Uwydatnienie">
    <w:name w:val="Emphasis"/>
    <w:uiPriority w:val="99"/>
    <w:semiHidden/>
    <w:qFormat/>
    <w:rsid w:val="00F6295E"/>
    <w:rPr>
      <w:b/>
      <w:bCs/>
      <w:i/>
      <w:iCs/>
      <w:spacing w:val="10"/>
      <w:bdr w:val="none" w:sz="0" w:space="0" w:color="auto"/>
      <w:shd w:val="clear" w:color="auto" w:fill="auto"/>
    </w:rPr>
  </w:style>
  <w:style w:type="paragraph" w:styleId="Stopka">
    <w:name w:val="footer"/>
    <w:basedOn w:val="Normalny"/>
    <w:link w:val="StopkaZnak"/>
    <w:uiPriority w:val="57"/>
    <w:semiHidden/>
    <w:rsid w:val="00F6295E"/>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F6295E"/>
    <w:rPr>
      <w:sz w:val="24"/>
    </w:rPr>
  </w:style>
  <w:style w:type="character" w:styleId="Odwoanieprzypisudolnego">
    <w:name w:val="footnote reference"/>
    <w:basedOn w:val="Domylnaczcionkaakapitu"/>
    <w:uiPriority w:val="99"/>
    <w:semiHidden/>
    <w:rsid w:val="00F6295E"/>
    <w:rPr>
      <w:vertAlign w:val="superscript"/>
    </w:rPr>
  </w:style>
  <w:style w:type="paragraph" w:styleId="Tekstprzypisudolnego">
    <w:name w:val="footnote text"/>
    <w:basedOn w:val="Normalny"/>
    <w:link w:val="TekstprzypisudolnegoZnak"/>
    <w:uiPriority w:val="99"/>
    <w:semiHidden/>
    <w:rsid w:val="00F6295E"/>
    <w:rPr>
      <w:sz w:val="20"/>
      <w:szCs w:val="20"/>
    </w:rPr>
  </w:style>
  <w:style w:type="character" w:customStyle="1" w:styleId="TekstprzypisudolnegoZnak">
    <w:name w:val="Tekst przypisu dolnego Znak"/>
    <w:basedOn w:val="Domylnaczcionkaakapitu"/>
    <w:link w:val="Tekstprzypisudolnego"/>
    <w:uiPriority w:val="99"/>
    <w:semiHidden/>
    <w:rsid w:val="00F6295E"/>
    <w:rPr>
      <w:rFonts w:eastAsiaTheme="minorEastAsia"/>
      <w:sz w:val="20"/>
      <w:szCs w:val="20"/>
    </w:rPr>
  </w:style>
  <w:style w:type="character" w:customStyle="1" w:styleId="Nagwek6Znak">
    <w:name w:val="Nagłówek 6 Znak"/>
    <w:basedOn w:val="Domylnaczcionkaakapitu"/>
    <w:link w:val="Nagwek6"/>
    <w:uiPriority w:val="99"/>
    <w:semiHidden/>
    <w:rsid w:val="00F6295E"/>
    <w:rPr>
      <w:rFonts w:asciiTheme="majorHAnsi" w:eastAsiaTheme="majorEastAsia" w:hAnsiTheme="majorHAnsi" w:cstheme="majorBidi"/>
      <w:b/>
      <w:bCs/>
      <w:i/>
      <w:iCs/>
      <w:color w:val="7F7F7F" w:themeColor="text1" w:themeTint="80"/>
      <w:sz w:val="24"/>
      <w:lang w:bidi="pl-PL"/>
    </w:rPr>
  </w:style>
  <w:style w:type="character" w:customStyle="1" w:styleId="Nagwek7Znak">
    <w:name w:val="Nagłówek 7 Znak"/>
    <w:basedOn w:val="Domylnaczcionkaakapitu"/>
    <w:link w:val="Nagwek7"/>
    <w:uiPriority w:val="99"/>
    <w:semiHidden/>
    <w:rsid w:val="00F6295E"/>
    <w:rPr>
      <w:rFonts w:asciiTheme="majorHAnsi" w:eastAsiaTheme="majorEastAsia" w:hAnsiTheme="majorHAnsi" w:cstheme="majorBidi"/>
      <w:i/>
      <w:iCs/>
      <w:sz w:val="24"/>
      <w:lang w:bidi="pl-PL"/>
    </w:rPr>
  </w:style>
  <w:style w:type="character" w:customStyle="1" w:styleId="Nagwek8Znak">
    <w:name w:val="Nagłówek 8 Znak"/>
    <w:basedOn w:val="Domylnaczcionkaakapitu"/>
    <w:link w:val="Nagwek8"/>
    <w:uiPriority w:val="99"/>
    <w:semiHidden/>
    <w:rsid w:val="00F6295E"/>
    <w:rPr>
      <w:rFonts w:asciiTheme="majorHAnsi" w:eastAsiaTheme="majorEastAsia" w:hAnsiTheme="majorHAnsi" w:cstheme="majorBidi"/>
      <w:sz w:val="20"/>
      <w:szCs w:val="20"/>
      <w:lang w:bidi="pl-PL"/>
    </w:rPr>
  </w:style>
  <w:style w:type="character" w:customStyle="1" w:styleId="Nagwek9Znak">
    <w:name w:val="Nagłówek 9 Znak"/>
    <w:basedOn w:val="Domylnaczcionkaakapitu"/>
    <w:link w:val="Nagwek9"/>
    <w:uiPriority w:val="99"/>
    <w:semiHidden/>
    <w:rsid w:val="00F6295E"/>
    <w:rPr>
      <w:rFonts w:asciiTheme="majorHAnsi" w:eastAsiaTheme="majorEastAsia" w:hAnsiTheme="majorHAnsi" w:cstheme="majorBidi"/>
      <w:i/>
      <w:iCs/>
      <w:spacing w:val="5"/>
      <w:sz w:val="20"/>
      <w:szCs w:val="20"/>
      <w:lang w:bidi="pl-PL"/>
    </w:rPr>
  </w:style>
  <w:style w:type="character" w:styleId="Hipercze">
    <w:name w:val="Hyperlink"/>
    <w:basedOn w:val="Domylnaczcionkaakapitu"/>
    <w:uiPriority w:val="99"/>
    <w:rsid w:val="00F6295E"/>
    <w:rPr>
      <w:color w:val="0072BC" w:themeColor="hyperlink"/>
      <w:u w:val="single"/>
    </w:rPr>
  </w:style>
  <w:style w:type="character" w:styleId="Wyrnienieintensywne">
    <w:name w:val="Intense Emphasis"/>
    <w:uiPriority w:val="99"/>
    <w:semiHidden/>
    <w:qFormat/>
    <w:rsid w:val="00F6295E"/>
    <w:rPr>
      <w:b/>
      <w:bCs/>
    </w:rPr>
  </w:style>
  <w:style w:type="paragraph" w:styleId="Cytatintensywny">
    <w:name w:val="Intense Quote"/>
    <w:basedOn w:val="Normalny"/>
    <w:next w:val="Normalny"/>
    <w:link w:val="CytatintensywnyZnak"/>
    <w:uiPriority w:val="99"/>
    <w:semiHidden/>
    <w:qFormat/>
    <w:rsid w:val="00F6295E"/>
    <w:pPr>
      <w:pBdr>
        <w:bottom w:val="single" w:sz="4" w:space="1" w:color="auto"/>
      </w:pBdr>
      <w:spacing w:before="200" w:after="280"/>
      <w:ind w:left="1008" w:right="1152"/>
    </w:pPr>
    <w:rPr>
      <w:b/>
      <w:bCs/>
      <w:i/>
      <w:iCs/>
    </w:rPr>
  </w:style>
  <w:style w:type="character" w:customStyle="1" w:styleId="CytatintensywnyZnak">
    <w:name w:val="Cytat intensywny Znak"/>
    <w:basedOn w:val="Domylnaczcionkaakapitu"/>
    <w:link w:val="Cytatintensywny"/>
    <w:uiPriority w:val="99"/>
    <w:semiHidden/>
    <w:rsid w:val="00F6295E"/>
    <w:rPr>
      <w:rFonts w:eastAsiaTheme="minorEastAsia"/>
      <w:b/>
      <w:bCs/>
      <w:i/>
      <w:iCs/>
      <w:sz w:val="24"/>
      <w:lang w:bidi="pl-PL"/>
    </w:rPr>
  </w:style>
  <w:style w:type="character" w:styleId="Odwoanieintensywne">
    <w:name w:val="Intense Reference"/>
    <w:uiPriority w:val="99"/>
    <w:semiHidden/>
    <w:qFormat/>
    <w:rsid w:val="00F6295E"/>
    <w:rPr>
      <w:smallCaps/>
      <w:spacing w:val="5"/>
      <w:u w:val="single"/>
    </w:rPr>
  </w:style>
  <w:style w:type="paragraph" w:styleId="Akapitzlist">
    <w:name w:val="List Paragraph"/>
    <w:basedOn w:val="Normalny"/>
    <w:uiPriority w:val="99"/>
    <w:semiHidden/>
    <w:qFormat/>
    <w:rsid w:val="00F6295E"/>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F6295E"/>
    <w:pPr>
      <w:spacing w:before="200"/>
      <w:ind w:left="360" w:right="360"/>
    </w:pPr>
    <w:rPr>
      <w:i/>
      <w:iCs/>
    </w:rPr>
  </w:style>
  <w:style w:type="character" w:customStyle="1" w:styleId="CytatZnak">
    <w:name w:val="Cytat Znak"/>
    <w:basedOn w:val="Domylnaczcionkaakapitu"/>
    <w:link w:val="Cytat"/>
    <w:uiPriority w:val="99"/>
    <w:semiHidden/>
    <w:rsid w:val="00F6295E"/>
    <w:rPr>
      <w:rFonts w:eastAsiaTheme="minorEastAsia"/>
      <w:i/>
      <w:iCs/>
      <w:sz w:val="24"/>
      <w:lang w:bidi="pl-PL"/>
    </w:rPr>
  </w:style>
  <w:style w:type="character" w:styleId="Odwoaniedelikatne">
    <w:name w:val="Subtle Reference"/>
    <w:uiPriority w:val="99"/>
    <w:semiHidden/>
    <w:qFormat/>
    <w:rsid w:val="00F6295E"/>
    <w:rPr>
      <w:smallCaps/>
    </w:rPr>
  </w:style>
  <w:style w:type="table" w:styleId="Tabela-Siatka">
    <w:name w:val="Table Grid"/>
    <w:basedOn w:val="Standardowy"/>
    <w:uiPriority w:val="59"/>
    <w:rsid w:val="00F6295E"/>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rsid w:val="00F6295E"/>
    <w:pPr>
      <w:spacing w:before="120" w:after="60"/>
      <w:ind w:left="340" w:right="340" w:hanging="340"/>
    </w:pPr>
    <w:rPr>
      <w:color w:val="0D0D0D" w:themeColor="text1" w:themeTint="F2"/>
    </w:rPr>
  </w:style>
  <w:style w:type="paragraph" w:styleId="Spistreci2">
    <w:name w:val="toc 2"/>
    <w:basedOn w:val="Normalny"/>
    <w:next w:val="Normalny"/>
    <w:autoRedefine/>
    <w:uiPriority w:val="99"/>
    <w:rsid w:val="00F6295E"/>
    <w:pPr>
      <w:spacing w:after="60"/>
      <w:ind w:left="680" w:right="340" w:hanging="340"/>
    </w:pPr>
  </w:style>
  <w:style w:type="paragraph" w:styleId="Spistreci3">
    <w:name w:val="toc 3"/>
    <w:basedOn w:val="Normalny"/>
    <w:next w:val="Normalny"/>
    <w:autoRedefine/>
    <w:uiPriority w:val="99"/>
    <w:rsid w:val="00F6295E"/>
    <w:pPr>
      <w:spacing w:after="60"/>
      <w:ind w:left="1020" w:right="340" w:hanging="340"/>
    </w:pPr>
  </w:style>
  <w:style w:type="paragraph" w:styleId="Spistreci4">
    <w:name w:val="toc 4"/>
    <w:basedOn w:val="Normalny"/>
    <w:next w:val="Normalny"/>
    <w:autoRedefine/>
    <w:uiPriority w:val="99"/>
    <w:semiHidden/>
    <w:rsid w:val="00F6295E"/>
    <w:pPr>
      <w:tabs>
        <w:tab w:val="right" w:leader="dot" w:pos="9017"/>
      </w:tabs>
      <w:spacing w:after="60"/>
      <w:ind w:left="1361" w:right="340" w:hanging="340"/>
    </w:pPr>
  </w:style>
  <w:style w:type="paragraph" w:styleId="Spistreci5">
    <w:name w:val="toc 5"/>
    <w:basedOn w:val="Normalny"/>
    <w:next w:val="Normalny"/>
    <w:autoRedefine/>
    <w:uiPriority w:val="99"/>
    <w:semiHidden/>
    <w:rsid w:val="00F6295E"/>
    <w:pPr>
      <w:spacing w:after="60"/>
      <w:ind w:left="1701" w:right="340" w:hanging="340"/>
    </w:pPr>
  </w:style>
  <w:style w:type="paragraph" w:styleId="Nagwekspisutreci">
    <w:name w:val="TOC Heading"/>
    <w:basedOn w:val="Nagwek1"/>
    <w:next w:val="Normalny"/>
    <w:uiPriority w:val="99"/>
    <w:semiHidden/>
    <w:qFormat/>
    <w:rsid w:val="00F6295E"/>
    <w:pPr>
      <w:outlineLvl w:val="9"/>
    </w:pPr>
    <w:rPr>
      <w:color w:val="474747" w:themeColor="accent3" w:themeShade="BF"/>
    </w:rPr>
  </w:style>
  <w:style w:type="table" w:customStyle="1" w:styleId="UGTable">
    <w:name w:val="UG_Table"/>
    <w:basedOn w:val="Standardowy"/>
    <w:uiPriority w:val="99"/>
    <w:rsid w:val="00801300"/>
    <w:rPr>
      <w:rFonts w:eastAsiaTheme="minorEastAsia"/>
      <w:sz w:val="20"/>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F6295E"/>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ny"/>
    <w:link w:val="JuQuotChar"/>
    <w:uiPriority w:val="14"/>
    <w:qFormat/>
    <w:rsid w:val="00F6295E"/>
    <w:pPr>
      <w:spacing w:before="120" w:after="120"/>
      <w:ind w:left="425" w:firstLine="142"/>
    </w:pPr>
    <w:rPr>
      <w:sz w:val="20"/>
    </w:rPr>
  </w:style>
  <w:style w:type="paragraph" w:customStyle="1" w:styleId="ECHRPara">
    <w:name w:val="ECHR_Para"/>
    <w:aliases w:val="Ju_Para"/>
    <w:basedOn w:val="Normalny"/>
    <w:link w:val="ECHRParaChar"/>
    <w:uiPriority w:val="12"/>
    <w:qFormat/>
    <w:rsid w:val="00F6295E"/>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F6295E"/>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F6295E"/>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F6295E"/>
    <w:pPr>
      <w:ind w:left="340" w:hanging="340"/>
    </w:pPr>
  </w:style>
  <w:style w:type="paragraph" w:customStyle="1" w:styleId="JuSigned">
    <w:name w:val="Ju_Signed"/>
    <w:basedOn w:val="Normalny"/>
    <w:next w:val="JuParaLast"/>
    <w:uiPriority w:val="32"/>
    <w:qFormat/>
    <w:rsid w:val="00F6295E"/>
    <w:pPr>
      <w:tabs>
        <w:tab w:val="center" w:pos="851"/>
        <w:tab w:val="center" w:pos="6407"/>
      </w:tabs>
      <w:spacing w:before="720"/>
      <w:jc w:val="left"/>
    </w:pPr>
  </w:style>
  <w:style w:type="paragraph" w:customStyle="1" w:styleId="JuParaLast">
    <w:name w:val="Ju_Para_Last"/>
    <w:basedOn w:val="Normalny"/>
    <w:next w:val="ECHRPara"/>
    <w:uiPriority w:val="30"/>
    <w:qFormat/>
    <w:rsid w:val="00F6295E"/>
    <w:pPr>
      <w:keepNext/>
      <w:keepLines/>
      <w:spacing w:before="240"/>
      <w:ind w:firstLine="284"/>
    </w:pPr>
  </w:style>
  <w:style w:type="character" w:customStyle="1" w:styleId="JuITMark">
    <w:name w:val="Ju_ITMark"/>
    <w:basedOn w:val="Domylnaczcionkaakapitu"/>
    <w:uiPriority w:val="38"/>
    <w:qFormat/>
    <w:rsid w:val="00F6295E"/>
    <w:rPr>
      <w:vanish w:val="0"/>
      <w:color w:val="auto"/>
      <w:sz w:val="14"/>
    </w:r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F6295E"/>
    <w:pPr>
      <w:ind w:left="346" w:firstLine="0"/>
    </w:pPr>
  </w:style>
  <w:style w:type="paragraph" w:customStyle="1" w:styleId="OpiTranslation">
    <w:name w:val="Opi_Translation"/>
    <w:basedOn w:val="Normalny"/>
    <w:next w:val="OpiPara"/>
    <w:uiPriority w:val="40"/>
    <w:semiHidden/>
    <w:qFormat/>
    <w:rsid w:val="00F6295E"/>
    <w:pPr>
      <w:jc w:val="center"/>
      <w:outlineLvl w:val="0"/>
    </w:pPr>
    <w:rPr>
      <w:i/>
    </w:rPr>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DecHTitle">
    <w:name w:val="Dec_H_Title"/>
    <w:basedOn w:val="ECHRTitleCentre1"/>
    <w:uiPriority w:val="7"/>
    <w:qFormat/>
    <w:rsid w:val="00F6295E"/>
  </w:style>
  <w:style w:type="paragraph" w:styleId="Listapunktowana">
    <w:name w:val="List Bullet"/>
    <w:basedOn w:val="Normalny"/>
    <w:uiPriority w:val="99"/>
    <w:semiHidden/>
    <w:rsid w:val="00014566"/>
    <w:pPr>
      <w:numPr>
        <w:numId w:val="1"/>
      </w:numPr>
    </w:pPr>
  </w:style>
  <w:style w:type="paragraph" w:customStyle="1" w:styleId="JuCourt">
    <w:name w:val="Ju_Court"/>
    <w:basedOn w:val="Normalny"/>
    <w:next w:val="Normalny"/>
    <w:uiPriority w:val="16"/>
    <w:qFormat/>
    <w:rsid w:val="00F6295E"/>
    <w:pPr>
      <w:tabs>
        <w:tab w:val="left" w:pos="907"/>
        <w:tab w:val="left" w:pos="1701"/>
        <w:tab w:val="right" w:pos="7371"/>
      </w:tabs>
      <w:spacing w:before="240"/>
      <w:ind w:left="397" w:hanging="397"/>
      <w:jc w:val="left"/>
    </w:pPr>
  </w:style>
  <w:style w:type="paragraph" w:styleId="Podtytu">
    <w:name w:val="Subtitle"/>
    <w:basedOn w:val="Normalny"/>
    <w:next w:val="Normalny"/>
    <w:link w:val="PodtytuZnak"/>
    <w:uiPriority w:val="99"/>
    <w:semiHidden/>
    <w:qFormat/>
    <w:rsid w:val="00F6295E"/>
    <w:pPr>
      <w:spacing w:after="600"/>
    </w:pPr>
    <w:rPr>
      <w:rFonts w:asciiTheme="majorHAnsi" w:eastAsiaTheme="majorEastAsia" w:hAnsiTheme="majorHAnsi" w:cstheme="majorBidi"/>
      <w:i/>
      <w:iCs/>
      <w:spacing w:val="13"/>
      <w:szCs w:val="24"/>
    </w:rPr>
  </w:style>
  <w:style w:type="character" w:customStyle="1" w:styleId="PodtytuZnak">
    <w:name w:val="Podtytuł Znak"/>
    <w:basedOn w:val="Domylnaczcionkaakapitu"/>
    <w:link w:val="Podtytu"/>
    <w:uiPriority w:val="99"/>
    <w:semiHidden/>
    <w:rsid w:val="00F6295E"/>
    <w:rPr>
      <w:rFonts w:asciiTheme="majorHAnsi" w:eastAsiaTheme="majorEastAsia" w:hAnsiTheme="majorHAnsi" w:cstheme="majorBidi"/>
      <w:i/>
      <w:iCs/>
      <w:spacing w:val="13"/>
      <w:sz w:val="24"/>
      <w:szCs w:val="24"/>
      <w:lang w:bidi="pl-PL"/>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pl-PL" w:eastAsia="pl-PL"/>
    </w:rPr>
  </w:style>
  <w:style w:type="table" w:styleId="redniasiatka1">
    <w:name w:val="Medium Grid 1"/>
    <w:basedOn w:val="Standardowy"/>
    <w:uiPriority w:val="99"/>
    <w:semiHidden/>
    <w:rsid w:val="00014566"/>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DecList">
    <w:name w:val="Dec_List"/>
    <w:basedOn w:val="Normalny"/>
    <w:uiPriority w:val="9"/>
    <w:qFormat/>
    <w:rsid w:val="00F6295E"/>
    <w:pPr>
      <w:spacing w:before="240"/>
      <w:ind w:left="284"/>
    </w:pPr>
  </w:style>
  <w:style w:type="paragraph" w:customStyle="1" w:styleId="JuListi">
    <w:name w:val="Ju_List_i"/>
    <w:basedOn w:val="Normalny"/>
    <w:next w:val="JuLista"/>
    <w:uiPriority w:val="28"/>
    <w:qFormat/>
    <w:rsid w:val="00F6295E"/>
    <w:pPr>
      <w:ind w:left="794"/>
    </w:pPr>
  </w:style>
  <w:style w:type="paragraph" w:customStyle="1" w:styleId="OpiH1">
    <w:name w:val="Opi_H_1"/>
    <w:basedOn w:val="ECHRHeading2"/>
    <w:uiPriority w:val="42"/>
    <w:semiHidden/>
    <w:qFormat/>
    <w:rsid w:val="00F6295E"/>
    <w:pPr>
      <w:ind w:left="635" w:hanging="357"/>
      <w:outlineLvl w:val="2"/>
    </w:pPr>
  </w:style>
  <w:style w:type="paragraph" w:customStyle="1" w:styleId="OpiHa0">
    <w:name w:val="Opi_H_a"/>
    <w:basedOn w:val="ECHRHeading3"/>
    <w:uiPriority w:val="43"/>
    <w:semiHidden/>
    <w:qFormat/>
    <w:rsid w:val="00F6295E"/>
    <w:pPr>
      <w:ind w:left="833" w:hanging="357"/>
      <w:outlineLvl w:val="3"/>
    </w:pPr>
    <w:rPr>
      <w:b/>
      <w:i w:val="0"/>
      <w:sz w:val="20"/>
    </w:rPr>
  </w:style>
  <w:style w:type="paragraph" w:customStyle="1" w:styleId="OpiHi">
    <w:name w:val="Opi_H_i"/>
    <w:basedOn w:val="ECHRHeading4"/>
    <w:uiPriority w:val="44"/>
    <w:semiHidden/>
    <w:qFormat/>
    <w:rsid w:val="00F6295E"/>
    <w:pPr>
      <w:ind w:left="1037" w:hanging="357"/>
      <w:outlineLvl w:val="4"/>
    </w:pPr>
    <w:rPr>
      <w:b w:val="0"/>
      <w:i/>
    </w:rPr>
  </w:style>
  <w:style w:type="paragraph" w:customStyle="1" w:styleId="DummyStyle">
    <w:name w:val="Dummy_Style"/>
    <w:basedOn w:val="Normalny"/>
    <w:semiHidden/>
    <w:qFormat/>
    <w:rsid w:val="00F6295E"/>
    <w:rPr>
      <w:color w:val="00B050"/>
    </w:rPr>
  </w:style>
  <w:style w:type="character" w:customStyle="1" w:styleId="ECHRParaChar">
    <w:name w:val="ECHR_Para Char"/>
    <w:aliases w:val="Ju_Para Char"/>
    <w:link w:val="ECHRPara"/>
    <w:uiPriority w:val="12"/>
    <w:rsid w:val="00990B93"/>
    <w:rPr>
      <w:rFonts w:eastAsiaTheme="minorEastAsia"/>
      <w:sz w:val="24"/>
    </w:rPr>
  </w:style>
  <w:style w:type="character" w:customStyle="1" w:styleId="JuH1Char">
    <w:name w:val="Ju_H_1. Char"/>
    <w:basedOn w:val="Domylnaczcionkaakapitu"/>
    <w:link w:val="ECHRHeading3"/>
    <w:uiPriority w:val="21"/>
    <w:rsid w:val="004A413A"/>
    <w:rPr>
      <w:rFonts w:asciiTheme="majorHAnsi" w:eastAsiaTheme="majorEastAsia" w:hAnsiTheme="majorHAnsi" w:cstheme="majorBidi"/>
      <w:bCs/>
      <w:i/>
      <w:sz w:val="24"/>
    </w:rPr>
  </w:style>
  <w:style w:type="character" w:customStyle="1" w:styleId="JuQuotChar">
    <w:name w:val="Ju_Quot Char"/>
    <w:link w:val="ECHRParaQuote"/>
    <w:uiPriority w:val="14"/>
    <w:rsid w:val="004A413A"/>
    <w:rPr>
      <w:rFonts w:eastAsiaTheme="minorEastAsia"/>
      <w:sz w:val="20"/>
    </w:rPr>
  </w:style>
  <w:style w:type="paragraph" w:styleId="Poprawka">
    <w:name w:val="Revision"/>
    <w:hidden/>
    <w:uiPriority w:val="99"/>
    <w:semiHidden/>
    <w:rsid w:val="00452000"/>
    <w:rPr>
      <w:rFonts w:eastAsiaTheme="minorEastAsia"/>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pl-PL" w:bidi="pl-PL"/>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semiHidden="0"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F6295E"/>
    <w:pPr>
      <w:jc w:val="both"/>
    </w:pPr>
    <w:rPr>
      <w:rFonts w:eastAsiaTheme="minorEastAsia"/>
      <w:sz w:val="24"/>
    </w:rPr>
  </w:style>
  <w:style w:type="paragraph" w:styleId="Nagwek1">
    <w:name w:val="heading 1"/>
    <w:basedOn w:val="Normalny"/>
    <w:next w:val="Normalny"/>
    <w:link w:val="Nagwek1Znak"/>
    <w:uiPriority w:val="99"/>
    <w:semiHidden/>
    <w:rsid w:val="00F6295E"/>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F6295E"/>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F6295E"/>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F6295E"/>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F6295E"/>
    <w:pPr>
      <w:spacing w:before="200"/>
      <w:outlineLvl w:val="4"/>
    </w:pPr>
    <w:rPr>
      <w:rFonts w:asciiTheme="majorHAnsi" w:eastAsiaTheme="majorEastAsia" w:hAnsiTheme="majorHAnsi" w:cstheme="majorBidi"/>
      <w:b/>
      <w:bCs/>
      <w:color w:val="808080"/>
    </w:rPr>
  </w:style>
  <w:style w:type="paragraph" w:styleId="Nagwek6">
    <w:name w:val="heading 6"/>
    <w:basedOn w:val="Normalny"/>
    <w:next w:val="Normalny"/>
    <w:link w:val="Nagwek6Znak"/>
    <w:uiPriority w:val="99"/>
    <w:semiHidden/>
    <w:rsid w:val="00F6295E"/>
    <w:pPr>
      <w:spacing w:line="271" w:lineRule="auto"/>
      <w:outlineLvl w:val="5"/>
    </w:pPr>
    <w:rPr>
      <w:rFonts w:asciiTheme="majorHAnsi" w:eastAsiaTheme="majorEastAsia" w:hAnsiTheme="majorHAnsi" w:cstheme="majorBidi"/>
      <w:b/>
      <w:bCs/>
      <w:i/>
      <w:iCs/>
      <w:color w:val="7F7F7F" w:themeColor="text1" w:themeTint="80"/>
    </w:rPr>
  </w:style>
  <w:style w:type="paragraph" w:styleId="Nagwek7">
    <w:name w:val="heading 7"/>
    <w:basedOn w:val="Normalny"/>
    <w:next w:val="Normalny"/>
    <w:link w:val="Nagwek7Znak"/>
    <w:uiPriority w:val="99"/>
    <w:semiHidden/>
    <w:qFormat/>
    <w:rsid w:val="00F6295E"/>
    <w:pPr>
      <w:outlineLvl w:val="6"/>
    </w:pPr>
    <w:rPr>
      <w:rFonts w:asciiTheme="majorHAnsi" w:eastAsiaTheme="majorEastAsia" w:hAnsiTheme="majorHAnsi" w:cstheme="majorBidi"/>
      <w:i/>
      <w:iCs/>
    </w:rPr>
  </w:style>
  <w:style w:type="paragraph" w:styleId="Nagwek8">
    <w:name w:val="heading 8"/>
    <w:basedOn w:val="Normalny"/>
    <w:next w:val="Normalny"/>
    <w:link w:val="Nagwek8Znak"/>
    <w:uiPriority w:val="99"/>
    <w:semiHidden/>
    <w:qFormat/>
    <w:rsid w:val="00F6295E"/>
    <w:pPr>
      <w:outlineLvl w:val="7"/>
    </w:pPr>
    <w:rPr>
      <w:rFonts w:asciiTheme="majorHAnsi" w:eastAsiaTheme="majorEastAsia" w:hAnsiTheme="majorHAnsi" w:cstheme="majorBidi"/>
      <w:sz w:val="20"/>
      <w:szCs w:val="20"/>
    </w:rPr>
  </w:style>
  <w:style w:type="paragraph" w:styleId="Nagwek9">
    <w:name w:val="heading 9"/>
    <w:basedOn w:val="Normalny"/>
    <w:next w:val="Normalny"/>
    <w:link w:val="Nagwek9Znak"/>
    <w:uiPriority w:val="99"/>
    <w:semiHidden/>
    <w:qFormat/>
    <w:rsid w:val="00F6295E"/>
    <w:pPr>
      <w:outlineLvl w:val="8"/>
    </w:pPr>
    <w:rPr>
      <w:rFonts w:asciiTheme="majorHAnsi" w:eastAsiaTheme="majorEastAsia" w:hAnsiTheme="majorHAnsi" w:cstheme="majorBidi"/>
      <w:i/>
      <w:iCs/>
      <w:spacing w:val="5"/>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F6295E"/>
    <w:rPr>
      <w:rFonts w:ascii="Tahoma" w:hAnsi="Tahoma" w:cs="Tahoma"/>
      <w:sz w:val="16"/>
      <w:szCs w:val="16"/>
    </w:rPr>
  </w:style>
  <w:style w:type="character" w:customStyle="1" w:styleId="TekstdymkaZnak">
    <w:name w:val="Tekst dymka Znak"/>
    <w:basedOn w:val="Domylnaczcionkaakapitu"/>
    <w:link w:val="Tekstdymka"/>
    <w:uiPriority w:val="99"/>
    <w:semiHidden/>
    <w:rsid w:val="00F6295E"/>
    <w:rPr>
      <w:rFonts w:ascii="Tahoma" w:eastAsiaTheme="minorEastAsia" w:hAnsi="Tahoma" w:cs="Tahoma"/>
      <w:sz w:val="16"/>
      <w:szCs w:val="16"/>
    </w:rPr>
  </w:style>
  <w:style w:type="character" w:styleId="Tytuksiki">
    <w:name w:val="Book Title"/>
    <w:uiPriority w:val="99"/>
    <w:semiHidden/>
    <w:qFormat/>
    <w:rsid w:val="00F6295E"/>
    <w:rPr>
      <w:i/>
      <w:iCs/>
      <w:smallCaps/>
      <w:spacing w:val="5"/>
    </w:rPr>
  </w:style>
  <w:style w:type="paragraph" w:customStyle="1" w:styleId="ECHRHeader">
    <w:name w:val="ECHR_Header"/>
    <w:aliases w:val="Ju_Header"/>
    <w:basedOn w:val="Nagwek"/>
    <w:uiPriority w:val="4"/>
    <w:qFormat/>
    <w:rsid w:val="00F6295E"/>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F6295E"/>
    <w:pPr>
      <w:jc w:val="left"/>
    </w:pPr>
    <w:rPr>
      <w:sz w:val="8"/>
    </w:rPr>
  </w:style>
  <w:style w:type="character" w:styleId="Pogrubienie">
    <w:name w:val="Strong"/>
    <w:uiPriority w:val="99"/>
    <w:semiHidden/>
    <w:qFormat/>
    <w:rsid w:val="00F6295E"/>
    <w:rPr>
      <w:b/>
      <w:bCs/>
    </w:rPr>
  </w:style>
  <w:style w:type="paragraph" w:styleId="Bezodstpw">
    <w:name w:val="No Spacing"/>
    <w:basedOn w:val="Normalny"/>
    <w:link w:val="BezodstpwZnak"/>
    <w:semiHidden/>
    <w:qFormat/>
    <w:rsid w:val="00F6295E"/>
  </w:style>
  <w:style w:type="character" w:customStyle="1" w:styleId="BezodstpwZnak">
    <w:name w:val="Bez odstępów Znak"/>
    <w:basedOn w:val="Domylnaczcionkaakapitu"/>
    <w:link w:val="Bezodstpw"/>
    <w:semiHidden/>
    <w:rsid w:val="00F6295E"/>
    <w:rPr>
      <w:rFonts w:eastAsiaTheme="minorEastAsia"/>
      <w:sz w:val="24"/>
    </w:rPr>
  </w:style>
  <w:style w:type="paragraph" w:customStyle="1" w:styleId="ECHRFooterLine">
    <w:name w:val="ECHR_Footer_Line"/>
    <w:aliases w:val="Footer_Line"/>
    <w:basedOn w:val="Normalny"/>
    <w:next w:val="ECHRFooter"/>
    <w:uiPriority w:val="57"/>
    <w:semiHidden/>
    <w:rsid w:val="00F6295E"/>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qFormat/>
    <w:rsid w:val="00F6295E"/>
    <w:pPr>
      <w:numPr>
        <w:numId w:val="14"/>
      </w:numPr>
      <w:jc w:val="left"/>
    </w:pPr>
    <w:rPr>
      <w:b/>
    </w:rPr>
  </w:style>
  <w:style w:type="paragraph" w:customStyle="1" w:styleId="OpiPara">
    <w:name w:val="Opi_Para"/>
    <w:basedOn w:val="ECHRPara"/>
    <w:uiPriority w:val="46"/>
    <w:semiHidden/>
    <w:qFormat/>
    <w:rsid w:val="00F6295E"/>
  </w:style>
  <w:style w:type="paragraph" w:customStyle="1" w:styleId="JuParaSub">
    <w:name w:val="Ju_Para_Sub"/>
    <w:basedOn w:val="ECHRPara"/>
    <w:uiPriority w:val="13"/>
    <w:qFormat/>
    <w:rsid w:val="00F6295E"/>
    <w:pPr>
      <w:ind w:left="284"/>
    </w:pPr>
  </w:style>
  <w:style w:type="paragraph" w:customStyle="1" w:styleId="ECHRTitleCentre3">
    <w:name w:val="ECHR_Title_Centre_3"/>
    <w:aliases w:val="Ju_H_Article"/>
    <w:basedOn w:val="Normalny"/>
    <w:next w:val="ECHRParaQuote"/>
    <w:uiPriority w:val="27"/>
    <w:qFormat/>
    <w:rsid w:val="00F6295E"/>
    <w:pPr>
      <w:keepNext/>
      <w:keepLines/>
      <w:spacing w:before="240" w:after="120"/>
      <w:jc w:val="center"/>
      <w:outlineLvl w:val="3"/>
    </w:pPr>
    <w:rPr>
      <w:rFonts w:asciiTheme="majorHAnsi" w:hAnsiTheme="majorHAnsi"/>
      <w:b/>
      <w:sz w:val="20"/>
    </w:rPr>
  </w:style>
  <w:style w:type="paragraph" w:customStyle="1" w:styleId="ECHRTitleCentre1">
    <w:name w:val="ECHR_Title_Centre_1"/>
    <w:aliases w:val="Opi_H_Head"/>
    <w:basedOn w:val="Normalny"/>
    <w:next w:val="OpiPara"/>
    <w:uiPriority w:val="39"/>
    <w:qFormat/>
    <w:rsid w:val="00F6295E"/>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semiHidden/>
    <w:qFormat/>
    <w:rsid w:val="00F6295E"/>
  </w:style>
  <w:style w:type="paragraph" w:customStyle="1" w:styleId="OpiQuot">
    <w:name w:val="Opi_Quot"/>
    <w:basedOn w:val="ECHRParaQuote"/>
    <w:uiPriority w:val="48"/>
    <w:semiHidden/>
    <w:qFormat/>
    <w:rsid w:val="00F6295E"/>
  </w:style>
  <w:style w:type="paragraph" w:customStyle="1" w:styleId="OpiQuotSub">
    <w:name w:val="Opi_Quot_Sub"/>
    <w:basedOn w:val="JuQuotSub"/>
    <w:uiPriority w:val="49"/>
    <w:semiHidden/>
    <w:qFormat/>
    <w:rsid w:val="00F6295E"/>
  </w:style>
  <w:style w:type="paragraph" w:customStyle="1" w:styleId="ECHRTitleCentre2">
    <w:name w:val="ECHR_Title_Centre_2"/>
    <w:aliases w:val="Dec_H_Case"/>
    <w:basedOn w:val="Normalny"/>
    <w:next w:val="ECHRPara"/>
    <w:uiPriority w:val="8"/>
    <w:qFormat/>
    <w:rsid w:val="00F6295E"/>
    <w:pPr>
      <w:spacing w:after="240"/>
      <w:jc w:val="center"/>
      <w:outlineLvl w:val="0"/>
    </w:pPr>
    <w:rPr>
      <w:rFonts w:asciiTheme="majorHAnsi" w:hAnsiTheme="majorHAnsi"/>
    </w:rPr>
  </w:style>
  <w:style w:type="paragraph" w:customStyle="1" w:styleId="JuTitle">
    <w:name w:val="Ju_Title"/>
    <w:basedOn w:val="Normalny"/>
    <w:next w:val="ECHRPara"/>
    <w:uiPriority w:val="3"/>
    <w:qFormat/>
    <w:rsid w:val="00F6295E"/>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F6295E"/>
    <w:pPr>
      <w:pBdr>
        <w:bottom w:val="single" w:sz="4" w:space="1" w:color="auto"/>
      </w:pBdr>
      <w:contextualSpacing/>
    </w:pPr>
    <w:rPr>
      <w:rFonts w:asciiTheme="majorHAnsi" w:eastAsiaTheme="majorEastAsia" w:hAnsiTheme="majorHAnsi" w:cstheme="majorBidi"/>
      <w:spacing w:val="5"/>
      <w:sz w:val="52"/>
      <w:szCs w:val="52"/>
    </w:rPr>
  </w:style>
  <w:style w:type="character" w:customStyle="1" w:styleId="TytuZnak">
    <w:name w:val="Tytuł Znak"/>
    <w:basedOn w:val="Domylnaczcionkaakapitu"/>
    <w:link w:val="Tytu"/>
    <w:uiPriority w:val="99"/>
    <w:semiHidden/>
    <w:rsid w:val="00F6295E"/>
    <w:rPr>
      <w:rFonts w:asciiTheme="majorHAnsi" w:eastAsiaTheme="majorEastAsia" w:hAnsiTheme="majorHAnsi" w:cstheme="majorBidi"/>
      <w:spacing w:val="5"/>
      <w:sz w:val="52"/>
      <w:szCs w:val="52"/>
      <w:lang w:bidi="pl-PL"/>
    </w:rPr>
  </w:style>
  <w:style w:type="paragraph" w:customStyle="1" w:styleId="ECHRHeading3">
    <w:name w:val="ECHR_Heading_3"/>
    <w:aliases w:val="Ju_H_1."/>
    <w:basedOn w:val="Nagwek3"/>
    <w:next w:val="ECHRPara"/>
    <w:link w:val="JuH1Char"/>
    <w:uiPriority w:val="21"/>
    <w:qFormat/>
    <w:rsid w:val="00F6295E"/>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F6295E"/>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F6295E"/>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F6295E"/>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F6295E"/>
    <w:pPr>
      <w:keepNext/>
      <w:keepLines/>
      <w:spacing w:before="240" w:after="120"/>
      <w:ind w:left="1236"/>
    </w:pPr>
    <w:rPr>
      <w:sz w:val="20"/>
    </w:rPr>
  </w:style>
  <w:style w:type="paragraph" w:customStyle="1" w:styleId="JuQuotSub">
    <w:name w:val="Ju_Quot_Sub"/>
    <w:basedOn w:val="ECHRParaQuote"/>
    <w:uiPriority w:val="15"/>
    <w:qFormat/>
    <w:rsid w:val="00F6295E"/>
    <w:pPr>
      <w:ind w:left="567"/>
    </w:pPr>
  </w:style>
  <w:style w:type="paragraph" w:customStyle="1" w:styleId="JuInitialled">
    <w:name w:val="Ju_Initialled"/>
    <w:basedOn w:val="Normalny"/>
    <w:uiPriority w:val="31"/>
    <w:qFormat/>
    <w:rsid w:val="00F6295E"/>
    <w:pPr>
      <w:tabs>
        <w:tab w:val="center" w:pos="6407"/>
      </w:tabs>
      <w:spacing w:before="720"/>
      <w:jc w:val="right"/>
    </w:pPr>
  </w:style>
  <w:style w:type="paragraph" w:customStyle="1" w:styleId="OpiHA">
    <w:name w:val="Opi_H_A"/>
    <w:basedOn w:val="ECHRHeading1"/>
    <w:next w:val="OpiPara"/>
    <w:uiPriority w:val="41"/>
    <w:semiHidden/>
    <w:qFormat/>
    <w:rsid w:val="00F6295E"/>
    <w:pPr>
      <w:tabs>
        <w:tab w:val="clear" w:pos="357"/>
      </w:tabs>
      <w:outlineLvl w:val="1"/>
    </w:pPr>
    <w:rPr>
      <w:b/>
    </w:rPr>
  </w:style>
  <w:style w:type="paragraph" w:styleId="Nagwek">
    <w:name w:val="header"/>
    <w:basedOn w:val="Normalny"/>
    <w:link w:val="NagwekZnak"/>
    <w:uiPriority w:val="57"/>
    <w:semiHidden/>
    <w:rsid w:val="00F6295E"/>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F6295E"/>
    <w:rPr>
      <w:sz w:val="24"/>
    </w:rPr>
  </w:style>
  <w:style w:type="character" w:customStyle="1" w:styleId="Nagwek1Znak">
    <w:name w:val="Nagłówek 1 Znak"/>
    <w:basedOn w:val="Domylnaczcionkaakapitu"/>
    <w:link w:val="Nagwek1"/>
    <w:uiPriority w:val="99"/>
    <w:semiHidden/>
    <w:rsid w:val="00F6295E"/>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F6295E"/>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F6295E"/>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F6295E"/>
    <w:rPr>
      <w:rFonts w:asciiTheme="majorHAnsi" w:eastAsiaTheme="majorEastAsia" w:hAnsiTheme="majorHAnsi" w:cstheme="majorBidi"/>
      <w:b/>
      <w:bCs/>
      <w:color w:val="4D4D4D"/>
      <w:sz w:val="26"/>
      <w:szCs w:val="26"/>
    </w:rPr>
  </w:style>
  <w:style w:type="character" w:customStyle="1" w:styleId="JUNAMES">
    <w:name w:val="JU_NAMES"/>
    <w:uiPriority w:val="17"/>
    <w:qFormat/>
    <w:rsid w:val="00F6295E"/>
    <w:rPr>
      <w:caps w:val="0"/>
      <w:smallCaps/>
    </w:rPr>
  </w:style>
  <w:style w:type="paragraph" w:customStyle="1" w:styleId="JuCase">
    <w:name w:val="Ju_Case"/>
    <w:basedOn w:val="Normalny"/>
    <w:next w:val="ECHRPara"/>
    <w:uiPriority w:val="10"/>
    <w:rsid w:val="00F6295E"/>
    <w:pPr>
      <w:ind w:firstLine="284"/>
    </w:pPr>
    <w:rPr>
      <w:b/>
    </w:rPr>
  </w:style>
  <w:style w:type="character" w:customStyle="1" w:styleId="Nagwek3Znak">
    <w:name w:val="Nagłówek 3 Znak"/>
    <w:basedOn w:val="Domylnaczcionkaakapitu"/>
    <w:link w:val="Nagwek3"/>
    <w:uiPriority w:val="99"/>
    <w:semiHidden/>
    <w:rsid w:val="00F6295E"/>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F6295E"/>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F6295E"/>
    <w:rPr>
      <w:rFonts w:asciiTheme="majorHAnsi" w:eastAsiaTheme="majorEastAsia" w:hAnsiTheme="majorHAnsi" w:cstheme="majorBidi"/>
      <w:b/>
      <w:bCs/>
      <w:color w:val="808080"/>
      <w:sz w:val="24"/>
    </w:rPr>
  </w:style>
  <w:style w:type="character" w:styleId="Wyrnieniedelikatne">
    <w:name w:val="Subtle Emphasis"/>
    <w:uiPriority w:val="99"/>
    <w:semiHidden/>
    <w:qFormat/>
    <w:rsid w:val="00F6295E"/>
    <w:rPr>
      <w:i/>
      <w:iCs/>
    </w:rPr>
  </w:style>
  <w:style w:type="table" w:customStyle="1" w:styleId="ECHRTable">
    <w:name w:val="ECHR_Table"/>
    <w:basedOn w:val="Standardowy"/>
    <w:rsid w:val="00860B03"/>
    <w:rPr>
      <w:rFonts w:eastAsia="Times New Roman" w:cs="Times New Roman"/>
      <w:sz w:val="20"/>
      <w:szCs w:val="20"/>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F6295E"/>
    <w:pPr>
      <w:keepNext/>
      <w:keepLines/>
      <w:spacing w:before="720" w:after="240"/>
      <w:outlineLvl w:val="0"/>
    </w:pPr>
    <w:rPr>
      <w:rFonts w:asciiTheme="majorHAnsi" w:hAnsiTheme="majorHAnsi"/>
      <w:sz w:val="28"/>
    </w:rPr>
  </w:style>
  <w:style w:type="character" w:styleId="Uwydatnienie">
    <w:name w:val="Emphasis"/>
    <w:uiPriority w:val="99"/>
    <w:semiHidden/>
    <w:qFormat/>
    <w:rsid w:val="00F6295E"/>
    <w:rPr>
      <w:b/>
      <w:bCs/>
      <w:i/>
      <w:iCs/>
      <w:spacing w:val="10"/>
      <w:bdr w:val="none" w:sz="0" w:space="0" w:color="auto"/>
      <w:shd w:val="clear" w:color="auto" w:fill="auto"/>
    </w:rPr>
  </w:style>
  <w:style w:type="paragraph" w:styleId="Stopka">
    <w:name w:val="footer"/>
    <w:basedOn w:val="Normalny"/>
    <w:link w:val="StopkaZnak"/>
    <w:uiPriority w:val="57"/>
    <w:semiHidden/>
    <w:rsid w:val="00F6295E"/>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F6295E"/>
    <w:rPr>
      <w:sz w:val="24"/>
    </w:rPr>
  </w:style>
  <w:style w:type="character" w:styleId="Odwoanieprzypisudolnego">
    <w:name w:val="footnote reference"/>
    <w:basedOn w:val="Domylnaczcionkaakapitu"/>
    <w:uiPriority w:val="99"/>
    <w:semiHidden/>
    <w:rsid w:val="00F6295E"/>
    <w:rPr>
      <w:vertAlign w:val="superscript"/>
    </w:rPr>
  </w:style>
  <w:style w:type="paragraph" w:styleId="Tekstprzypisudolnego">
    <w:name w:val="footnote text"/>
    <w:basedOn w:val="Normalny"/>
    <w:link w:val="TekstprzypisudolnegoZnak"/>
    <w:uiPriority w:val="99"/>
    <w:semiHidden/>
    <w:rsid w:val="00F6295E"/>
    <w:rPr>
      <w:sz w:val="20"/>
      <w:szCs w:val="20"/>
    </w:rPr>
  </w:style>
  <w:style w:type="character" w:customStyle="1" w:styleId="TekstprzypisudolnegoZnak">
    <w:name w:val="Tekst przypisu dolnego Znak"/>
    <w:basedOn w:val="Domylnaczcionkaakapitu"/>
    <w:link w:val="Tekstprzypisudolnego"/>
    <w:uiPriority w:val="99"/>
    <w:semiHidden/>
    <w:rsid w:val="00F6295E"/>
    <w:rPr>
      <w:rFonts w:eastAsiaTheme="minorEastAsia"/>
      <w:sz w:val="20"/>
      <w:szCs w:val="20"/>
    </w:rPr>
  </w:style>
  <w:style w:type="character" w:customStyle="1" w:styleId="Nagwek6Znak">
    <w:name w:val="Nagłówek 6 Znak"/>
    <w:basedOn w:val="Domylnaczcionkaakapitu"/>
    <w:link w:val="Nagwek6"/>
    <w:uiPriority w:val="99"/>
    <w:semiHidden/>
    <w:rsid w:val="00F6295E"/>
    <w:rPr>
      <w:rFonts w:asciiTheme="majorHAnsi" w:eastAsiaTheme="majorEastAsia" w:hAnsiTheme="majorHAnsi" w:cstheme="majorBidi"/>
      <w:b/>
      <w:bCs/>
      <w:i/>
      <w:iCs/>
      <w:color w:val="7F7F7F" w:themeColor="text1" w:themeTint="80"/>
      <w:sz w:val="24"/>
      <w:lang w:bidi="pl-PL"/>
    </w:rPr>
  </w:style>
  <w:style w:type="character" w:customStyle="1" w:styleId="Nagwek7Znak">
    <w:name w:val="Nagłówek 7 Znak"/>
    <w:basedOn w:val="Domylnaczcionkaakapitu"/>
    <w:link w:val="Nagwek7"/>
    <w:uiPriority w:val="99"/>
    <w:semiHidden/>
    <w:rsid w:val="00F6295E"/>
    <w:rPr>
      <w:rFonts w:asciiTheme="majorHAnsi" w:eastAsiaTheme="majorEastAsia" w:hAnsiTheme="majorHAnsi" w:cstheme="majorBidi"/>
      <w:i/>
      <w:iCs/>
      <w:sz w:val="24"/>
      <w:lang w:bidi="pl-PL"/>
    </w:rPr>
  </w:style>
  <w:style w:type="character" w:customStyle="1" w:styleId="Nagwek8Znak">
    <w:name w:val="Nagłówek 8 Znak"/>
    <w:basedOn w:val="Domylnaczcionkaakapitu"/>
    <w:link w:val="Nagwek8"/>
    <w:uiPriority w:val="99"/>
    <w:semiHidden/>
    <w:rsid w:val="00F6295E"/>
    <w:rPr>
      <w:rFonts w:asciiTheme="majorHAnsi" w:eastAsiaTheme="majorEastAsia" w:hAnsiTheme="majorHAnsi" w:cstheme="majorBidi"/>
      <w:sz w:val="20"/>
      <w:szCs w:val="20"/>
      <w:lang w:bidi="pl-PL"/>
    </w:rPr>
  </w:style>
  <w:style w:type="character" w:customStyle="1" w:styleId="Nagwek9Znak">
    <w:name w:val="Nagłówek 9 Znak"/>
    <w:basedOn w:val="Domylnaczcionkaakapitu"/>
    <w:link w:val="Nagwek9"/>
    <w:uiPriority w:val="99"/>
    <w:semiHidden/>
    <w:rsid w:val="00F6295E"/>
    <w:rPr>
      <w:rFonts w:asciiTheme="majorHAnsi" w:eastAsiaTheme="majorEastAsia" w:hAnsiTheme="majorHAnsi" w:cstheme="majorBidi"/>
      <w:i/>
      <w:iCs/>
      <w:spacing w:val="5"/>
      <w:sz w:val="20"/>
      <w:szCs w:val="20"/>
      <w:lang w:bidi="pl-PL"/>
    </w:rPr>
  </w:style>
  <w:style w:type="character" w:styleId="Hipercze">
    <w:name w:val="Hyperlink"/>
    <w:basedOn w:val="Domylnaczcionkaakapitu"/>
    <w:uiPriority w:val="99"/>
    <w:rsid w:val="00F6295E"/>
    <w:rPr>
      <w:color w:val="0072BC" w:themeColor="hyperlink"/>
      <w:u w:val="single"/>
    </w:rPr>
  </w:style>
  <w:style w:type="character" w:styleId="Wyrnienieintensywne">
    <w:name w:val="Intense Emphasis"/>
    <w:uiPriority w:val="99"/>
    <w:semiHidden/>
    <w:qFormat/>
    <w:rsid w:val="00F6295E"/>
    <w:rPr>
      <w:b/>
      <w:bCs/>
    </w:rPr>
  </w:style>
  <w:style w:type="paragraph" w:styleId="Cytatintensywny">
    <w:name w:val="Intense Quote"/>
    <w:basedOn w:val="Normalny"/>
    <w:next w:val="Normalny"/>
    <w:link w:val="CytatintensywnyZnak"/>
    <w:uiPriority w:val="99"/>
    <w:semiHidden/>
    <w:qFormat/>
    <w:rsid w:val="00F6295E"/>
    <w:pPr>
      <w:pBdr>
        <w:bottom w:val="single" w:sz="4" w:space="1" w:color="auto"/>
      </w:pBdr>
      <w:spacing w:before="200" w:after="280"/>
      <w:ind w:left="1008" w:right="1152"/>
    </w:pPr>
    <w:rPr>
      <w:b/>
      <w:bCs/>
      <w:i/>
      <w:iCs/>
    </w:rPr>
  </w:style>
  <w:style w:type="character" w:customStyle="1" w:styleId="CytatintensywnyZnak">
    <w:name w:val="Cytat intensywny Znak"/>
    <w:basedOn w:val="Domylnaczcionkaakapitu"/>
    <w:link w:val="Cytatintensywny"/>
    <w:uiPriority w:val="99"/>
    <w:semiHidden/>
    <w:rsid w:val="00F6295E"/>
    <w:rPr>
      <w:rFonts w:eastAsiaTheme="minorEastAsia"/>
      <w:b/>
      <w:bCs/>
      <w:i/>
      <w:iCs/>
      <w:sz w:val="24"/>
      <w:lang w:bidi="pl-PL"/>
    </w:rPr>
  </w:style>
  <w:style w:type="character" w:styleId="Odwoanieintensywne">
    <w:name w:val="Intense Reference"/>
    <w:uiPriority w:val="99"/>
    <w:semiHidden/>
    <w:qFormat/>
    <w:rsid w:val="00F6295E"/>
    <w:rPr>
      <w:smallCaps/>
      <w:spacing w:val="5"/>
      <w:u w:val="single"/>
    </w:rPr>
  </w:style>
  <w:style w:type="paragraph" w:styleId="Akapitzlist">
    <w:name w:val="List Paragraph"/>
    <w:basedOn w:val="Normalny"/>
    <w:uiPriority w:val="99"/>
    <w:semiHidden/>
    <w:qFormat/>
    <w:rsid w:val="00F6295E"/>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F6295E"/>
    <w:pPr>
      <w:spacing w:before="200"/>
      <w:ind w:left="360" w:right="360"/>
    </w:pPr>
    <w:rPr>
      <w:i/>
      <w:iCs/>
    </w:rPr>
  </w:style>
  <w:style w:type="character" w:customStyle="1" w:styleId="CytatZnak">
    <w:name w:val="Cytat Znak"/>
    <w:basedOn w:val="Domylnaczcionkaakapitu"/>
    <w:link w:val="Cytat"/>
    <w:uiPriority w:val="99"/>
    <w:semiHidden/>
    <w:rsid w:val="00F6295E"/>
    <w:rPr>
      <w:rFonts w:eastAsiaTheme="minorEastAsia"/>
      <w:i/>
      <w:iCs/>
      <w:sz w:val="24"/>
      <w:lang w:bidi="pl-PL"/>
    </w:rPr>
  </w:style>
  <w:style w:type="character" w:styleId="Odwoaniedelikatne">
    <w:name w:val="Subtle Reference"/>
    <w:uiPriority w:val="99"/>
    <w:semiHidden/>
    <w:qFormat/>
    <w:rsid w:val="00F6295E"/>
    <w:rPr>
      <w:smallCaps/>
    </w:rPr>
  </w:style>
  <w:style w:type="table" w:styleId="Tabela-Siatka">
    <w:name w:val="Table Grid"/>
    <w:basedOn w:val="Standardowy"/>
    <w:uiPriority w:val="59"/>
    <w:rsid w:val="00F6295E"/>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rsid w:val="00F6295E"/>
    <w:pPr>
      <w:spacing w:before="120" w:after="60"/>
      <w:ind w:left="340" w:right="340" w:hanging="340"/>
    </w:pPr>
    <w:rPr>
      <w:color w:val="0D0D0D" w:themeColor="text1" w:themeTint="F2"/>
    </w:rPr>
  </w:style>
  <w:style w:type="paragraph" w:styleId="Spistreci2">
    <w:name w:val="toc 2"/>
    <w:basedOn w:val="Normalny"/>
    <w:next w:val="Normalny"/>
    <w:autoRedefine/>
    <w:uiPriority w:val="99"/>
    <w:rsid w:val="00F6295E"/>
    <w:pPr>
      <w:spacing w:after="60"/>
      <w:ind w:left="680" w:right="340" w:hanging="340"/>
    </w:pPr>
  </w:style>
  <w:style w:type="paragraph" w:styleId="Spistreci3">
    <w:name w:val="toc 3"/>
    <w:basedOn w:val="Normalny"/>
    <w:next w:val="Normalny"/>
    <w:autoRedefine/>
    <w:uiPriority w:val="99"/>
    <w:rsid w:val="00F6295E"/>
    <w:pPr>
      <w:spacing w:after="60"/>
      <w:ind w:left="1020" w:right="340" w:hanging="340"/>
    </w:pPr>
  </w:style>
  <w:style w:type="paragraph" w:styleId="Spistreci4">
    <w:name w:val="toc 4"/>
    <w:basedOn w:val="Normalny"/>
    <w:next w:val="Normalny"/>
    <w:autoRedefine/>
    <w:uiPriority w:val="99"/>
    <w:semiHidden/>
    <w:rsid w:val="00F6295E"/>
    <w:pPr>
      <w:tabs>
        <w:tab w:val="right" w:leader="dot" w:pos="9017"/>
      </w:tabs>
      <w:spacing w:after="60"/>
      <w:ind w:left="1361" w:right="340" w:hanging="340"/>
    </w:pPr>
  </w:style>
  <w:style w:type="paragraph" w:styleId="Spistreci5">
    <w:name w:val="toc 5"/>
    <w:basedOn w:val="Normalny"/>
    <w:next w:val="Normalny"/>
    <w:autoRedefine/>
    <w:uiPriority w:val="99"/>
    <w:semiHidden/>
    <w:rsid w:val="00F6295E"/>
    <w:pPr>
      <w:spacing w:after="60"/>
      <w:ind w:left="1701" w:right="340" w:hanging="340"/>
    </w:pPr>
  </w:style>
  <w:style w:type="paragraph" w:styleId="Nagwekspisutreci">
    <w:name w:val="TOC Heading"/>
    <w:basedOn w:val="Nagwek1"/>
    <w:next w:val="Normalny"/>
    <w:uiPriority w:val="99"/>
    <w:semiHidden/>
    <w:qFormat/>
    <w:rsid w:val="00F6295E"/>
    <w:pPr>
      <w:outlineLvl w:val="9"/>
    </w:pPr>
    <w:rPr>
      <w:color w:val="474747" w:themeColor="accent3" w:themeShade="BF"/>
    </w:rPr>
  </w:style>
  <w:style w:type="table" w:customStyle="1" w:styleId="UGTable">
    <w:name w:val="UG_Table"/>
    <w:basedOn w:val="Standardowy"/>
    <w:uiPriority w:val="99"/>
    <w:rsid w:val="00801300"/>
    <w:rPr>
      <w:rFonts w:eastAsiaTheme="minorEastAsia"/>
      <w:sz w:val="20"/>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F6295E"/>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ny"/>
    <w:link w:val="JuQuotChar"/>
    <w:uiPriority w:val="14"/>
    <w:qFormat/>
    <w:rsid w:val="00F6295E"/>
    <w:pPr>
      <w:spacing w:before="120" w:after="120"/>
      <w:ind w:left="425" w:firstLine="142"/>
    </w:pPr>
    <w:rPr>
      <w:sz w:val="20"/>
    </w:rPr>
  </w:style>
  <w:style w:type="paragraph" w:customStyle="1" w:styleId="ECHRPara">
    <w:name w:val="ECHR_Para"/>
    <w:aliases w:val="Ju_Para"/>
    <w:basedOn w:val="Normalny"/>
    <w:link w:val="ECHRParaChar"/>
    <w:uiPriority w:val="12"/>
    <w:qFormat/>
    <w:rsid w:val="00F6295E"/>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F6295E"/>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F6295E"/>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F6295E"/>
    <w:pPr>
      <w:ind w:left="340" w:hanging="340"/>
    </w:pPr>
  </w:style>
  <w:style w:type="paragraph" w:customStyle="1" w:styleId="JuSigned">
    <w:name w:val="Ju_Signed"/>
    <w:basedOn w:val="Normalny"/>
    <w:next w:val="JuParaLast"/>
    <w:uiPriority w:val="32"/>
    <w:qFormat/>
    <w:rsid w:val="00F6295E"/>
    <w:pPr>
      <w:tabs>
        <w:tab w:val="center" w:pos="851"/>
        <w:tab w:val="center" w:pos="6407"/>
      </w:tabs>
      <w:spacing w:before="720"/>
      <w:jc w:val="left"/>
    </w:pPr>
  </w:style>
  <w:style w:type="paragraph" w:customStyle="1" w:styleId="JuParaLast">
    <w:name w:val="Ju_Para_Last"/>
    <w:basedOn w:val="Normalny"/>
    <w:next w:val="ECHRPara"/>
    <w:uiPriority w:val="30"/>
    <w:qFormat/>
    <w:rsid w:val="00F6295E"/>
    <w:pPr>
      <w:keepNext/>
      <w:keepLines/>
      <w:spacing w:before="240"/>
      <w:ind w:firstLine="284"/>
    </w:pPr>
  </w:style>
  <w:style w:type="character" w:customStyle="1" w:styleId="JuITMark">
    <w:name w:val="Ju_ITMark"/>
    <w:basedOn w:val="Domylnaczcionkaakapitu"/>
    <w:uiPriority w:val="38"/>
    <w:qFormat/>
    <w:rsid w:val="00F6295E"/>
    <w:rPr>
      <w:vanish w:val="0"/>
      <w:color w:val="auto"/>
      <w:sz w:val="14"/>
    </w:r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F6295E"/>
    <w:pPr>
      <w:ind w:left="346" w:firstLine="0"/>
    </w:pPr>
  </w:style>
  <w:style w:type="paragraph" w:customStyle="1" w:styleId="OpiTranslation">
    <w:name w:val="Opi_Translation"/>
    <w:basedOn w:val="Normalny"/>
    <w:next w:val="OpiPara"/>
    <w:uiPriority w:val="40"/>
    <w:semiHidden/>
    <w:qFormat/>
    <w:rsid w:val="00F6295E"/>
    <w:pPr>
      <w:jc w:val="center"/>
      <w:outlineLvl w:val="0"/>
    </w:pPr>
    <w:rPr>
      <w:i/>
    </w:rPr>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DecHTitle">
    <w:name w:val="Dec_H_Title"/>
    <w:basedOn w:val="ECHRTitleCentre1"/>
    <w:uiPriority w:val="7"/>
    <w:qFormat/>
    <w:rsid w:val="00F6295E"/>
  </w:style>
  <w:style w:type="paragraph" w:styleId="Listapunktowana">
    <w:name w:val="List Bullet"/>
    <w:basedOn w:val="Normalny"/>
    <w:uiPriority w:val="99"/>
    <w:semiHidden/>
    <w:rsid w:val="00014566"/>
    <w:pPr>
      <w:numPr>
        <w:numId w:val="1"/>
      </w:numPr>
    </w:pPr>
  </w:style>
  <w:style w:type="paragraph" w:customStyle="1" w:styleId="JuCourt">
    <w:name w:val="Ju_Court"/>
    <w:basedOn w:val="Normalny"/>
    <w:next w:val="Normalny"/>
    <w:uiPriority w:val="16"/>
    <w:qFormat/>
    <w:rsid w:val="00F6295E"/>
    <w:pPr>
      <w:tabs>
        <w:tab w:val="left" w:pos="907"/>
        <w:tab w:val="left" w:pos="1701"/>
        <w:tab w:val="right" w:pos="7371"/>
      </w:tabs>
      <w:spacing w:before="240"/>
      <w:ind w:left="397" w:hanging="397"/>
      <w:jc w:val="left"/>
    </w:pPr>
  </w:style>
  <w:style w:type="paragraph" w:styleId="Podtytu">
    <w:name w:val="Subtitle"/>
    <w:basedOn w:val="Normalny"/>
    <w:next w:val="Normalny"/>
    <w:link w:val="PodtytuZnak"/>
    <w:uiPriority w:val="99"/>
    <w:semiHidden/>
    <w:qFormat/>
    <w:rsid w:val="00F6295E"/>
    <w:pPr>
      <w:spacing w:after="600"/>
    </w:pPr>
    <w:rPr>
      <w:rFonts w:asciiTheme="majorHAnsi" w:eastAsiaTheme="majorEastAsia" w:hAnsiTheme="majorHAnsi" w:cstheme="majorBidi"/>
      <w:i/>
      <w:iCs/>
      <w:spacing w:val="13"/>
      <w:szCs w:val="24"/>
    </w:rPr>
  </w:style>
  <w:style w:type="character" w:customStyle="1" w:styleId="PodtytuZnak">
    <w:name w:val="Podtytuł Znak"/>
    <w:basedOn w:val="Domylnaczcionkaakapitu"/>
    <w:link w:val="Podtytu"/>
    <w:uiPriority w:val="99"/>
    <w:semiHidden/>
    <w:rsid w:val="00F6295E"/>
    <w:rPr>
      <w:rFonts w:asciiTheme="majorHAnsi" w:eastAsiaTheme="majorEastAsia" w:hAnsiTheme="majorHAnsi" w:cstheme="majorBidi"/>
      <w:i/>
      <w:iCs/>
      <w:spacing w:val="13"/>
      <w:sz w:val="24"/>
      <w:szCs w:val="24"/>
      <w:lang w:bidi="pl-PL"/>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pl-PL" w:eastAsia="pl-PL"/>
    </w:rPr>
  </w:style>
  <w:style w:type="table" w:styleId="redniasiatka1">
    <w:name w:val="Medium Grid 1"/>
    <w:basedOn w:val="Standardowy"/>
    <w:uiPriority w:val="99"/>
    <w:semiHidden/>
    <w:rsid w:val="00014566"/>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DecList">
    <w:name w:val="Dec_List"/>
    <w:basedOn w:val="Normalny"/>
    <w:uiPriority w:val="9"/>
    <w:qFormat/>
    <w:rsid w:val="00F6295E"/>
    <w:pPr>
      <w:spacing w:before="240"/>
      <w:ind w:left="284"/>
    </w:pPr>
  </w:style>
  <w:style w:type="paragraph" w:customStyle="1" w:styleId="JuListi">
    <w:name w:val="Ju_List_i"/>
    <w:basedOn w:val="Normalny"/>
    <w:next w:val="JuLista"/>
    <w:uiPriority w:val="28"/>
    <w:qFormat/>
    <w:rsid w:val="00F6295E"/>
    <w:pPr>
      <w:ind w:left="794"/>
    </w:pPr>
  </w:style>
  <w:style w:type="paragraph" w:customStyle="1" w:styleId="OpiH1">
    <w:name w:val="Opi_H_1"/>
    <w:basedOn w:val="ECHRHeading2"/>
    <w:uiPriority w:val="42"/>
    <w:semiHidden/>
    <w:qFormat/>
    <w:rsid w:val="00F6295E"/>
    <w:pPr>
      <w:ind w:left="635" w:hanging="357"/>
      <w:outlineLvl w:val="2"/>
    </w:pPr>
  </w:style>
  <w:style w:type="paragraph" w:customStyle="1" w:styleId="OpiHa0">
    <w:name w:val="Opi_H_a"/>
    <w:basedOn w:val="ECHRHeading3"/>
    <w:uiPriority w:val="43"/>
    <w:semiHidden/>
    <w:qFormat/>
    <w:rsid w:val="00F6295E"/>
    <w:pPr>
      <w:ind w:left="833" w:hanging="357"/>
      <w:outlineLvl w:val="3"/>
    </w:pPr>
    <w:rPr>
      <w:b/>
      <w:i w:val="0"/>
      <w:sz w:val="20"/>
    </w:rPr>
  </w:style>
  <w:style w:type="paragraph" w:customStyle="1" w:styleId="OpiHi">
    <w:name w:val="Opi_H_i"/>
    <w:basedOn w:val="ECHRHeading4"/>
    <w:uiPriority w:val="44"/>
    <w:semiHidden/>
    <w:qFormat/>
    <w:rsid w:val="00F6295E"/>
    <w:pPr>
      <w:ind w:left="1037" w:hanging="357"/>
      <w:outlineLvl w:val="4"/>
    </w:pPr>
    <w:rPr>
      <w:b w:val="0"/>
      <w:i/>
    </w:rPr>
  </w:style>
  <w:style w:type="paragraph" w:customStyle="1" w:styleId="DummyStyle">
    <w:name w:val="Dummy_Style"/>
    <w:basedOn w:val="Normalny"/>
    <w:semiHidden/>
    <w:qFormat/>
    <w:rsid w:val="00F6295E"/>
    <w:rPr>
      <w:color w:val="00B050"/>
    </w:rPr>
  </w:style>
  <w:style w:type="character" w:customStyle="1" w:styleId="ECHRParaChar">
    <w:name w:val="ECHR_Para Char"/>
    <w:aliases w:val="Ju_Para Char"/>
    <w:link w:val="ECHRPara"/>
    <w:uiPriority w:val="12"/>
    <w:rsid w:val="00990B93"/>
    <w:rPr>
      <w:rFonts w:eastAsiaTheme="minorEastAsia"/>
      <w:sz w:val="24"/>
    </w:rPr>
  </w:style>
  <w:style w:type="character" w:customStyle="1" w:styleId="JuH1Char">
    <w:name w:val="Ju_H_1. Char"/>
    <w:basedOn w:val="Domylnaczcionkaakapitu"/>
    <w:link w:val="ECHRHeading3"/>
    <w:uiPriority w:val="21"/>
    <w:rsid w:val="004A413A"/>
    <w:rPr>
      <w:rFonts w:asciiTheme="majorHAnsi" w:eastAsiaTheme="majorEastAsia" w:hAnsiTheme="majorHAnsi" w:cstheme="majorBidi"/>
      <w:bCs/>
      <w:i/>
      <w:sz w:val="24"/>
    </w:rPr>
  </w:style>
  <w:style w:type="character" w:customStyle="1" w:styleId="JuQuotChar">
    <w:name w:val="Ju_Quot Char"/>
    <w:link w:val="ECHRParaQuote"/>
    <w:uiPriority w:val="14"/>
    <w:rsid w:val="004A413A"/>
    <w:rPr>
      <w:rFonts w:eastAsiaTheme="minorEastAsia"/>
      <w:sz w:val="20"/>
    </w:rPr>
  </w:style>
  <w:style w:type="paragraph" w:styleId="Poprawka">
    <w:name w:val="Revision"/>
    <w:hidden/>
    <w:uiPriority w:val="99"/>
    <w:semiHidden/>
    <w:rsid w:val="00452000"/>
    <w:rPr>
      <w:rFonts w:eastAsiaTheme="minorEastAsia"/>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48A1DF-F028-4D58-825D-2C62CF362237}">
  <ds:schemaRefs>
    <ds:schemaRef ds:uri="http://schemas.microsoft.com/sharepoint/v3/contenttype/forms"/>
  </ds:schemaRefs>
</ds:datastoreItem>
</file>

<file path=customXml/itemProps2.xml><?xml version="1.0" encoding="utf-8"?>
<ds:datastoreItem xmlns:ds="http://schemas.openxmlformats.org/officeDocument/2006/customXml" ds:itemID="{6F3C08E2-ED3E-4516-A0E1-396CE8AF08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E9EE1B34-3DBD-4B04-9D70-5F52C66B401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24CF641-49EB-422F-872A-BA9BA2AE91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4398</Words>
  <Characters>26394</Characters>
  <Application>Microsoft Office Word</Application>
  <DocSecurity>0</DocSecurity>
  <Lines>219</Lines>
  <Paragraphs>61</Paragraphs>
  <ScaleCrop>false</ScaleCrop>
  <HeadingPairs>
    <vt:vector size="2" baseType="variant">
      <vt:variant>
        <vt:lpstr>Tytuł</vt:lpstr>
      </vt:variant>
      <vt:variant>
        <vt:i4>1</vt:i4>
      </vt:variant>
    </vt:vector>
  </HeadingPairs>
  <TitlesOfParts>
    <vt:vector size="1" baseType="lpstr">
      <vt:lpstr>ECHR</vt:lpstr>
    </vt:vector>
  </TitlesOfParts>
  <LinksUpToDate>false</LinksUpToDate>
  <CharactersWithSpaces>30731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dcterms:created xsi:type="dcterms:W3CDTF">2016-02-26T10:58:00Z</dcterms:created>
  <dcterms:modified xsi:type="dcterms:W3CDTF">2016-02-26T10:58:00Z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