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5DB09" w14:textId="77777777" w:rsidR="00234FC9" w:rsidRPr="001B508E" w:rsidRDefault="00234FC9" w:rsidP="008214F0">
      <w:pPr>
        <w:pStyle w:val="ECHRDecisionBody"/>
        <w:jc w:val="center"/>
        <w:rPr>
          <w:lang w:val="pl-PL"/>
        </w:rPr>
      </w:pPr>
    </w:p>
    <w:p w14:paraId="2710E33B" w14:textId="77777777" w:rsidR="00234FC9" w:rsidRPr="001B508E" w:rsidRDefault="00234FC9" w:rsidP="008214F0">
      <w:pPr>
        <w:pStyle w:val="ECHRDecisionBody"/>
        <w:jc w:val="center"/>
        <w:rPr>
          <w:lang w:val="pl-PL"/>
        </w:rPr>
      </w:pPr>
    </w:p>
    <w:p w14:paraId="4DEA04AE" w14:textId="77777777" w:rsidR="00234FC9" w:rsidRPr="001B508E" w:rsidRDefault="00234FC9" w:rsidP="008214F0">
      <w:pPr>
        <w:pStyle w:val="ECHRDecisionBody"/>
        <w:jc w:val="center"/>
        <w:rPr>
          <w:lang w:val="pl-PL"/>
        </w:rPr>
      </w:pPr>
    </w:p>
    <w:p w14:paraId="25C27489" w14:textId="77777777" w:rsidR="00234FC9" w:rsidRPr="001B508E" w:rsidRDefault="00234FC9" w:rsidP="008214F0">
      <w:pPr>
        <w:jc w:val="center"/>
        <w:rPr>
          <w:lang w:val="pl-PL"/>
        </w:rPr>
      </w:pPr>
      <w:r w:rsidRPr="001B508E">
        <w:rPr>
          <w:lang w:val="pl-PL"/>
        </w:rPr>
        <w:t>SEKCJA CZWARTA</w:t>
      </w:r>
    </w:p>
    <w:p w14:paraId="2FFD5FC5" w14:textId="77777777" w:rsidR="00234FC9" w:rsidRPr="001B508E" w:rsidRDefault="00234FC9" w:rsidP="008214F0">
      <w:pPr>
        <w:jc w:val="center"/>
        <w:rPr>
          <w:lang w:val="pl-PL"/>
        </w:rPr>
      </w:pPr>
    </w:p>
    <w:p w14:paraId="264FE4A8" w14:textId="77777777" w:rsidR="00234FC9" w:rsidRPr="001B508E" w:rsidRDefault="00234FC9" w:rsidP="008214F0">
      <w:pPr>
        <w:jc w:val="center"/>
        <w:rPr>
          <w:lang w:val="pl-PL"/>
        </w:rPr>
      </w:pPr>
    </w:p>
    <w:p w14:paraId="6203BD92" w14:textId="77777777" w:rsidR="00234FC9" w:rsidRPr="001B508E" w:rsidRDefault="00234FC9" w:rsidP="008214F0">
      <w:pPr>
        <w:jc w:val="center"/>
        <w:rPr>
          <w:lang w:val="pl-PL"/>
        </w:rPr>
      </w:pPr>
    </w:p>
    <w:p w14:paraId="448C8140" w14:textId="77777777" w:rsidR="00234FC9" w:rsidRPr="001B508E" w:rsidRDefault="00234FC9" w:rsidP="008214F0">
      <w:pPr>
        <w:jc w:val="center"/>
        <w:rPr>
          <w:lang w:val="pl-PL"/>
        </w:rPr>
      </w:pPr>
    </w:p>
    <w:p w14:paraId="5D474DB7" w14:textId="77777777" w:rsidR="00234FC9" w:rsidRPr="001B508E" w:rsidRDefault="00234FC9" w:rsidP="008214F0">
      <w:pPr>
        <w:jc w:val="center"/>
        <w:rPr>
          <w:lang w:val="pl-PL"/>
        </w:rPr>
      </w:pPr>
    </w:p>
    <w:p w14:paraId="137D3AAD" w14:textId="77777777" w:rsidR="00234FC9" w:rsidRPr="001B508E" w:rsidRDefault="00234FC9" w:rsidP="008214F0">
      <w:pPr>
        <w:jc w:val="center"/>
        <w:rPr>
          <w:lang w:val="pl-PL"/>
        </w:rPr>
      </w:pPr>
    </w:p>
    <w:p w14:paraId="4640C67B" w14:textId="77777777" w:rsidR="00234FC9" w:rsidRPr="001B508E" w:rsidRDefault="00234FC9" w:rsidP="008214F0">
      <w:pPr>
        <w:jc w:val="center"/>
        <w:rPr>
          <w:b/>
          <w:lang w:val="pl-PL"/>
        </w:rPr>
      </w:pPr>
      <w:bookmarkStart w:id="0" w:name="To"/>
      <w:r w:rsidRPr="001B508E">
        <w:rPr>
          <w:b/>
          <w:lang w:val="pl-PL"/>
        </w:rPr>
        <w:t xml:space="preserve">SPRAWA </w:t>
      </w:r>
      <w:bookmarkEnd w:id="0"/>
      <w:r w:rsidRPr="001B508E">
        <w:rPr>
          <w:b/>
          <w:lang w:val="pl-PL"/>
        </w:rPr>
        <w:t>CHYŁA przeciwko POLSCE</w:t>
      </w:r>
    </w:p>
    <w:p w14:paraId="3E0B2909" w14:textId="77777777" w:rsidR="00234FC9" w:rsidRPr="001B508E" w:rsidRDefault="00234FC9" w:rsidP="008214F0">
      <w:pPr>
        <w:jc w:val="center"/>
        <w:rPr>
          <w:lang w:val="pl-PL"/>
        </w:rPr>
      </w:pPr>
    </w:p>
    <w:p w14:paraId="4D321BA1" w14:textId="77777777" w:rsidR="00234FC9" w:rsidRPr="001B508E" w:rsidRDefault="00234FC9" w:rsidP="008214F0">
      <w:pPr>
        <w:jc w:val="center"/>
        <w:rPr>
          <w:i/>
          <w:lang w:val="pl-PL"/>
        </w:rPr>
      </w:pPr>
      <w:r w:rsidRPr="001B508E">
        <w:rPr>
          <w:i/>
          <w:lang w:val="pl-PL"/>
        </w:rPr>
        <w:t>(Skarga nr 8384/08)</w:t>
      </w:r>
    </w:p>
    <w:p w14:paraId="165AD5C5" w14:textId="77777777" w:rsidR="00234FC9" w:rsidRPr="001B508E" w:rsidRDefault="00234FC9" w:rsidP="008214F0">
      <w:pPr>
        <w:jc w:val="center"/>
        <w:rPr>
          <w:lang w:val="pl-PL"/>
        </w:rPr>
      </w:pPr>
    </w:p>
    <w:p w14:paraId="35C797B8" w14:textId="77777777" w:rsidR="00234FC9" w:rsidRPr="001B508E" w:rsidRDefault="00234FC9" w:rsidP="008214F0">
      <w:pPr>
        <w:jc w:val="center"/>
        <w:rPr>
          <w:lang w:val="pl-PL"/>
        </w:rPr>
      </w:pPr>
    </w:p>
    <w:p w14:paraId="45144DAD" w14:textId="77777777" w:rsidR="00234FC9" w:rsidRPr="001B508E" w:rsidRDefault="00234FC9" w:rsidP="008214F0">
      <w:pPr>
        <w:jc w:val="center"/>
        <w:rPr>
          <w:lang w:val="pl-PL"/>
        </w:rPr>
      </w:pPr>
    </w:p>
    <w:p w14:paraId="36F4CBE7" w14:textId="77777777" w:rsidR="00234FC9" w:rsidRPr="001B508E" w:rsidRDefault="00234FC9" w:rsidP="008214F0">
      <w:pPr>
        <w:jc w:val="center"/>
        <w:rPr>
          <w:lang w:val="pl-PL"/>
        </w:rPr>
      </w:pPr>
    </w:p>
    <w:p w14:paraId="683F1F87" w14:textId="77777777" w:rsidR="00234FC9" w:rsidRPr="001B508E" w:rsidRDefault="00234FC9" w:rsidP="008214F0">
      <w:pPr>
        <w:jc w:val="center"/>
        <w:rPr>
          <w:lang w:val="pl-PL"/>
        </w:rPr>
      </w:pPr>
    </w:p>
    <w:p w14:paraId="58A96A3D" w14:textId="77777777" w:rsidR="00234FC9" w:rsidRPr="001B508E" w:rsidRDefault="00234FC9" w:rsidP="008214F0">
      <w:pPr>
        <w:jc w:val="center"/>
        <w:rPr>
          <w:lang w:val="pl-PL"/>
        </w:rPr>
      </w:pPr>
    </w:p>
    <w:p w14:paraId="765D8B16" w14:textId="77777777" w:rsidR="00234FC9" w:rsidRPr="001B508E" w:rsidRDefault="00234FC9" w:rsidP="008214F0">
      <w:pPr>
        <w:jc w:val="center"/>
        <w:rPr>
          <w:snapToGrid w:val="0"/>
          <w:szCs w:val="24"/>
          <w:lang w:val="pl-PL"/>
        </w:rPr>
      </w:pPr>
      <w:r w:rsidRPr="001B508E">
        <w:rPr>
          <w:snapToGrid w:val="0"/>
          <w:szCs w:val="24"/>
          <w:lang w:val="pl-PL"/>
        </w:rPr>
        <w:t>WYROK</w:t>
      </w:r>
    </w:p>
    <w:p w14:paraId="7DADBE87" w14:textId="77777777" w:rsidR="00234FC9" w:rsidRPr="001B508E" w:rsidRDefault="00234FC9" w:rsidP="008214F0">
      <w:pPr>
        <w:pStyle w:val="ECHRPara"/>
        <w:rPr>
          <w:lang w:val="pl-PL"/>
        </w:rPr>
      </w:pPr>
    </w:p>
    <w:p w14:paraId="0D7344D8" w14:textId="77777777" w:rsidR="00234FC9" w:rsidRPr="001B508E" w:rsidRDefault="00234FC9" w:rsidP="008214F0">
      <w:pPr>
        <w:pStyle w:val="JuCase"/>
        <w:ind w:firstLine="0"/>
        <w:jc w:val="center"/>
        <w:rPr>
          <w:b w:val="0"/>
          <w:lang w:val="pl-PL"/>
        </w:rPr>
      </w:pPr>
    </w:p>
    <w:p w14:paraId="1A24D96E" w14:textId="77777777" w:rsidR="00234FC9" w:rsidRPr="001B508E" w:rsidRDefault="00234FC9" w:rsidP="008214F0">
      <w:pPr>
        <w:pStyle w:val="ECHRPara"/>
        <w:rPr>
          <w:lang w:val="pl-PL"/>
        </w:rPr>
      </w:pPr>
    </w:p>
    <w:p w14:paraId="12B604F7" w14:textId="77777777" w:rsidR="00234FC9" w:rsidRPr="001B508E" w:rsidRDefault="00234FC9" w:rsidP="008214F0">
      <w:pPr>
        <w:pStyle w:val="JuCase"/>
        <w:ind w:firstLine="0"/>
        <w:jc w:val="center"/>
        <w:rPr>
          <w:b w:val="0"/>
          <w:lang w:val="pl-PL"/>
        </w:rPr>
      </w:pPr>
    </w:p>
    <w:p w14:paraId="6BE92D74" w14:textId="77777777" w:rsidR="00234FC9" w:rsidRPr="001B508E" w:rsidRDefault="00234FC9" w:rsidP="008214F0">
      <w:pPr>
        <w:pStyle w:val="JuCase"/>
        <w:ind w:firstLine="0"/>
        <w:jc w:val="center"/>
        <w:rPr>
          <w:b w:val="0"/>
          <w:lang w:val="pl-PL"/>
        </w:rPr>
      </w:pPr>
      <w:r w:rsidRPr="001B508E">
        <w:rPr>
          <w:b w:val="0"/>
          <w:lang w:val="pl-PL"/>
        </w:rPr>
        <w:t>STRASBURG</w:t>
      </w:r>
    </w:p>
    <w:p w14:paraId="6B819E0B" w14:textId="77777777" w:rsidR="00234FC9" w:rsidRPr="001B508E" w:rsidRDefault="00234FC9" w:rsidP="008214F0">
      <w:pPr>
        <w:pStyle w:val="JuCase"/>
        <w:ind w:firstLine="0"/>
        <w:jc w:val="center"/>
        <w:rPr>
          <w:b w:val="0"/>
          <w:lang w:val="pl-PL"/>
        </w:rPr>
      </w:pPr>
    </w:p>
    <w:p w14:paraId="66990334" w14:textId="77777777" w:rsidR="00234FC9" w:rsidRPr="001B508E" w:rsidRDefault="00234FC9" w:rsidP="008214F0">
      <w:pPr>
        <w:pStyle w:val="JuCase"/>
        <w:ind w:firstLine="0"/>
        <w:jc w:val="center"/>
        <w:rPr>
          <w:b w:val="0"/>
          <w:lang w:val="pl-PL"/>
        </w:rPr>
      </w:pPr>
      <w:r w:rsidRPr="001B508E">
        <w:rPr>
          <w:b w:val="0"/>
          <w:lang w:val="pl-PL"/>
        </w:rPr>
        <w:t>3 listopada 2015 roku</w:t>
      </w:r>
    </w:p>
    <w:p w14:paraId="171CE1CC" w14:textId="77777777" w:rsidR="00234FC9" w:rsidRPr="001B508E" w:rsidRDefault="00234FC9" w:rsidP="008214F0">
      <w:pPr>
        <w:pStyle w:val="JuCase"/>
        <w:ind w:firstLine="0"/>
        <w:jc w:val="center"/>
        <w:rPr>
          <w:b w:val="0"/>
          <w:lang w:val="pl-PL"/>
        </w:rPr>
      </w:pPr>
    </w:p>
    <w:p w14:paraId="4A0F04E8" w14:textId="77777777" w:rsidR="00234FC9" w:rsidRPr="001B508E" w:rsidRDefault="00234FC9" w:rsidP="008214F0">
      <w:pPr>
        <w:pStyle w:val="JuCase"/>
        <w:ind w:firstLine="0"/>
        <w:jc w:val="left"/>
        <w:rPr>
          <w:b w:val="0"/>
          <w:lang w:val="pl-PL"/>
        </w:rPr>
      </w:pPr>
    </w:p>
    <w:p w14:paraId="3D3C2228" w14:textId="77777777" w:rsidR="00234FC9" w:rsidRPr="001B508E" w:rsidRDefault="00234FC9" w:rsidP="008214F0">
      <w:pPr>
        <w:pStyle w:val="JuCase"/>
        <w:ind w:firstLine="0"/>
        <w:jc w:val="left"/>
        <w:rPr>
          <w:b w:val="0"/>
          <w:lang w:val="pl-PL"/>
        </w:rPr>
        <w:sectPr w:rsidR="00234FC9" w:rsidRPr="001B508E" w:rsidSect="000F7413">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r w:rsidRPr="001B508E">
        <w:rPr>
          <w:b w:val="0"/>
          <w:i/>
          <w:sz w:val="22"/>
          <w:lang w:val="pl-PL"/>
        </w:rPr>
        <w:t>Ten wyrok uprawomocni się na warunkach określonych w Artykule 44 ust. 2 Konwencji. Może podlegać korekcie wydawniczej.</w:t>
      </w:r>
    </w:p>
    <w:p w14:paraId="46F72542" w14:textId="77777777" w:rsidR="00234FC9" w:rsidRPr="001B508E" w:rsidRDefault="00234FC9" w:rsidP="008214F0">
      <w:pPr>
        <w:pStyle w:val="JuCase"/>
        <w:rPr>
          <w:bCs/>
          <w:lang w:val="pl-PL"/>
        </w:rPr>
      </w:pPr>
      <w:r w:rsidRPr="001B508E">
        <w:rPr>
          <w:lang w:val="pl-PL"/>
        </w:rPr>
        <w:lastRenderedPageBreak/>
        <w:t xml:space="preserve">W sprawie Chyła przeciwko Polsce, </w:t>
      </w:r>
    </w:p>
    <w:p w14:paraId="125D2ED2" w14:textId="77777777" w:rsidR="00234FC9" w:rsidRPr="001B508E" w:rsidRDefault="00234FC9" w:rsidP="008214F0">
      <w:pPr>
        <w:pStyle w:val="ECHRPara"/>
        <w:rPr>
          <w:lang w:val="pl-PL"/>
        </w:rPr>
      </w:pPr>
      <w:r w:rsidRPr="001B508E">
        <w:rPr>
          <w:lang w:val="pl-PL"/>
        </w:rPr>
        <w:t>Europejski Trybunał Praw Człowieka (Sekcja Czwarta), zasiadając jako Izba w składzie:</w:t>
      </w:r>
    </w:p>
    <w:p w14:paraId="1BD9D99A" w14:textId="77777777" w:rsidR="00234FC9" w:rsidRPr="001B508E" w:rsidRDefault="00234FC9" w:rsidP="008214F0">
      <w:pPr>
        <w:pStyle w:val="ECHRDecisionBody"/>
        <w:rPr>
          <w:lang w:val="pl-PL"/>
        </w:rPr>
      </w:pPr>
      <w:r w:rsidRPr="001B508E">
        <w:rPr>
          <w:lang w:val="pl-PL"/>
        </w:rPr>
        <w:tab/>
        <w:t xml:space="preserve">Guido </w:t>
      </w:r>
      <w:proofErr w:type="spellStart"/>
      <w:r w:rsidRPr="001B508E">
        <w:rPr>
          <w:lang w:val="pl-PL"/>
        </w:rPr>
        <w:t>Raimondi</w:t>
      </w:r>
      <w:proofErr w:type="spellEnd"/>
      <w:r w:rsidRPr="001B508E">
        <w:rPr>
          <w:lang w:val="pl-PL"/>
        </w:rPr>
        <w:t>, Przewodniczący,</w:t>
      </w:r>
      <w:r w:rsidRPr="001B508E">
        <w:rPr>
          <w:i/>
          <w:lang w:val="pl-PL"/>
        </w:rPr>
        <w:br/>
      </w:r>
      <w:r w:rsidRPr="001B508E">
        <w:rPr>
          <w:lang w:val="pl-PL"/>
        </w:rPr>
        <w:tab/>
      </w:r>
      <w:proofErr w:type="spellStart"/>
      <w:r w:rsidRPr="001B508E">
        <w:rPr>
          <w:lang w:val="pl-PL"/>
        </w:rPr>
        <w:t>Päivi</w:t>
      </w:r>
      <w:proofErr w:type="spellEnd"/>
      <w:r w:rsidRPr="001B508E">
        <w:rPr>
          <w:lang w:val="pl-PL"/>
        </w:rPr>
        <w:t xml:space="preserve"> </w:t>
      </w:r>
      <w:proofErr w:type="spellStart"/>
      <w:r w:rsidRPr="001B508E">
        <w:rPr>
          <w:lang w:val="pl-PL"/>
        </w:rPr>
        <w:t>Hirvelä</w:t>
      </w:r>
      <w:proofErr w:type="spellEnd"/>
      <w:r w:rsidRPr="001B508E">
        <w:rPr>
          <w:lang w:val="pl-PL"/>
        </w:rPr>
        <w:t>,</w:t>
      </w:r>
      <w:r w:rsidRPr="001B508E">
        <w:rPr>
          <w:i/>
          <w:lang w:val="pl-PL"/>
        </w:rPr>
        <w:br/>
      </w:r>
      <w:r w:rsidRPr="001B508E">
        <w:rPr>
          <w:lang w:val="pl-PL"/>
        </w:rPr>
        <w:tab/>
      </w:r>
      <w:proofErr w:type="spellStart"/>
      <w:r w:rsidRPr="001B508E">
        <w:rPr>
          <w:lang w:val="pl-PL"/>
        </w:rPr>
        <w:t>Ledi</w:t>
      </w:r>
      <w:proofErr w:type="spellEnd"/>
      <w:r w:rsidRPr="001B508E">
        <w:rPr>
          <w:lang w:val="pl-PL"/>
        </w:rPr>
        <w:t xml:space="preserve"> </w:t>
      </w:r>
      <w:proofErr w:type="spellStart"/>
      <w:r w:rsidRPr="001B508E">
        <w:rPr>
          <w:lang w:val="pl-PL"/>
        </w:rPr>
        <w:t>Bianku</w:t>
      </w:r>
      <w:proofErr w:type="spellEnd"/>
      <w:r w:rsidRPr="001B508E">
        <w:rPr>
          <w:lang w:val="pl-PL"/>
        </w:rPr>
        <w:t>,</w:t>
      </w:r>
      <w:r w:rsidRPr="001B508E">
        <w:rPr>
          <w:i/>
          <w:lang w:val="pl-PL"/>
        </w:rPr>
        <w:br/>
      </w:r>
      <w:r w:rsidRPr="001B508E">
        <w:rPr>
          <w:lang w:val="pl-PL"/>
        </w:rPr>
        <w:tab/>
        <w:t xml:space="preserve">Nona </w:t>
      </w:r>
      <w:proofErr w:type="spellStart"/>
      <w:r w:rsidRPr="001B508E">
        <w:rPr>
          <w:lang w:val="pl-PL"/>
        </w:rPr>
        <w:t>Tsotsoria</w:t>
      </w:r>
      <w:proofErr w:type="spellEnd"/>
      <w:r w:rsidRPr="001B508E">
        <w:rPr>
          <w:lang w:val="pl-PL"/>
        </w:rPr>
        <w:t>,</w:t>
      </w:r>
      <w:r w:rsidRPr="001B508E">
        <w:rPr>
          <w:i/>
          <w:lang w:val="pl-PL"/>
        </w:rPr>
        <w:br/>
      </w:r>
      <w:r w:rsidRPr="001B508E">
        <w:rPr>
          <w:lang w:val="pl-PL"/>
        </w:rPr>
        <w:tab/>
        <w:t xml:space="preserve">Paul </w:t>
      </w:r>
      <w:proofErr w:type="spellStart"/>
      <w:r w:rsidRPr="001B508E">
        <w:rPr>
          <w:lang w:val="pl-PL"/>
        </w:rPr>
        <w:t>Mahoney</w:t>
      </w:r>
      <w:proofErr w:type="spellEnd"/>
      <w:r w:rsidRPr="001B508E">
        <w:rPr>
          <w:lang w:val="pl-PL"/>
        </w:rPr>
        <w:t>,</w:t>
      </w:r>
      <w:r w:rsidRPr="001B508E">
        <w:rPr>
          <w:i/>
          <w:lang w:val="pl-PL"/>
        </w:rPr>
        <w:br/>
      </w:r>
      <w:r w:rsidRPr="001B508E">
        <w:rPr>
          <w:lang w:val="pl-PL"/>
        </w:rPr>
        <w:tab/>
        <w:t xml:space="preserve">Krzysztof </w:t>
      </w:r>
      <w:proofErr w:type="spellStart"/>
      <w:r w:rsidRPr="001B508E">
        <w:rPr>
          <w:lang w:val="pl-PL"/>
        </w:rPr>
        <w:t>Wojtyczek</w:t>
      </w:r>
      <w:proofErr w:type="spellEnd"/>
      <w:r w:rsidRPr="001B508E">
        <w:rPr>
          <w:lang w:val="pl-PL"/>
        </w:rPr>
        <w:t>,</w:t>
      </w:r>
      <w:r w:rsidRPr="001B508E">
        <w:rPr>
          <w:i/>
          <w:lang w:val="pl-PL"/>
        </w:rPr>
        <w:br/>
      </w:r>
      <w:r w:rsidRPr="001B508E">
        <w:rPr>
          <w:lang w:val="pl-PL"/>
        </w:rPr>
        <w:tab/>
      </w:r>
      <w:proofErr w:type="spellStart"/>
      <w:r w:rsidRPr="001B508E">
        <w:rPr>
          <w:lang w:val="pl-PL"/>
        </w:rPr>
        <w:t>Yonko</w:t>
      </w:r>
      <w:proofErr w:type="spellEnd"/>
      <w:r w:rsidRPr="001B508E">
        <w:rPr>
          <w:lang w:val="pl-PL"/>
        </w:rPr>
        <w:t xml:space="preserve"> </w:t>
      </w:r>
      <w:proofErr w:type="spellStart"/>
      <w:r w:rsidRPr="001B508E">
        <w:rPr>
          <w:lang w:val="pl-PL"/>
        </w:rPr>
        <w:t>Grozev</w:t>
      </w:r>
      <w:proofErr w:type="spellEnd"/>
      <w:r w:rsidRPr="001B508E">
        <w:rPr>
          <w:lang w:val="pl-PL"/>
        </w:rPr>
        <w:t xml:space="preserve">, </w:t>
      </w:r>
      <w:r w:rsidRPr="001B508E">
        <w:rPr>
          <w:i/>
          <w:lang w:val="pl-PL"/>
        </w:rPr>
        <w:t>sędziowie,</w:t>
      </w:r>
      <w:r w:rsidRPr="001B508E">
        <w:rPr>
          <w:szCs w:val="24"/>
          <w:lang w:val="pl-PL"/>
        </w:rPr>
        <w:br/>
      </w:r>
      <w:r w:rsidRPr="001B508E">
        <w:rPr>
          <w:lang w:val="pl-PL"/>
        </w:rPr>
        <w:t xml:space="preserve">oraz </w:t>
      </w:r>
      <w:proofErr w:type="spellStart"/>
      <w:r w:rsidRPr="001B508E">
        <w:rPr>
          <w:lang w:val="pl-PL"/>
        </w:rPr>
        <w:t>Françoise</w:t>
      </w:r>
      <w:proofErr w:type="spellEnd"/>
      <w:r w:rsidRPr="001B508E">
        <w:rPr>
          <w:lang w:val="pl-PL"/>
        </w:rPr>
        <w:t xml:space="preserve"> </w:t>
      </w:r>
      <w:proofErr w:type="spellStart"/>
      <w:r w:rsidRPr="001B508E">
        <w:rPr>
          <w:lang w:val="pl-PL"/>
        </w:rPr>
        <w:t>Elens</w:t>
      </w:r>
      <w:proofErr w:type="spellEnd"/>
      <w:r w:rsidRPr="001B508E">
        <w:rPr>
          <w:lang w:val="pl-PL"/>
        </w:rPr>
        <w:t xml:space="preserve">-Passos, </w:t>
      </w:r>
      <w:r w:rsidRPr="001B508E">
        <w:rPr>
          <w:i/>
          <w:lang w:val="pl-PL"/>
        </w:rPr>
        <w:t>Kanclerz Sekcji,</w:t>
      </w:r>
    </w:p>
    <w:p w14:paraId="0F7D9BFA" w14:textId="77777777" w:rsidR="00234FC9" w:rsidRPr="001B508E" w:rsidRDefault="00234FC9" w:rsidP="008214F0">
      <w:pPr>
        <w:pStyle w:val="ECHRPara"/>
        <w:rPr>
          <w:lang w:val="pl-PL"/>
        </w:rPr>
      </w:pPr>
      <w:r w:rsidRPr="001B508E">
        <w:rPr>
          <w:lang w:val="pl-PL"/>
        </w:rPr>
        <w:t>Obradując na posiedzeniu niejawnym w dniu 13 października 2015 roku,</w:t>
      </w:r>
    </w:p>
    <w:p w14:paraId="60D56DAE" w14:textId="77777777" w:rsidR="00234FC9" w:rsidRPr="001B508E" w:rsidRDefault="00234FC9" w:rsidP="008214F0">
      <w:pPr>
        <w:pStyle w:val="ECHRPara"/>
        <w:rPr>
          <w:lang w:val="pl-PL"/>
        </w:rPr>
      </w:pPr>
      <w:r w:rsidRPr="001B508E">
        <w:rPr>
          <w:lang w:val="pl-PL"/>
        </w:rPr>
        <w:t>Wydaje następujący wyrok, który został przyjęty w tym dniu:</w:t>
      </w:r>
    </w:p>
    <w:p w14:paraId="76DD9E53" w14:textId="77777777" w:rsidR="00234FC9" w:rsidRPr="001B508E" w:rsidRDefault="00234FC9" w:rsidP="008214F0">
      <w:pPr>
        <w:pStyle w:val="ECHRTitle1"/>
        <w:rPr>
          <w:lang w:val="pl-PL"/>
        </w:rPr>
      </w:pPr>
      <w:r w:rsidRPr="001B508E">
        <w:rPr>
          <w:lang w:val="pl-PL"/>
        </w:rPr>
        <w:t>POSTĘPOWANIE</w:t>
      </w:r>
    </w:p>
    <w:p w14:paraId="2F0FC87F" w14:textId="77777777" w:rsidR="00234FC9" w:rsidRPr="001B508E" w:rsidRDefault="00234FC9" w:rsidP="008214F0">
      <w:pPr>
        <w:pStyle w:val="JuParaLast"/>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w:t>
      </w:r>
      <w:r w:rsidRPr="001B508E">
        <w:rPr>
          <w:lang w:val="pl-PL"/>
        </w:rPr>
        <w:fldChar w:fldCharType="end"/>
      </w:r>
      <w:r w:rsidRPr="001B508E">
        <w:rPr>
          <w:lang w:val="pl-PL"/>
        </w:rPr>
        <w:t xml:space="preserve"> Sprawa wywodzi się ze skargi (nr 8384/08) wniesionej do Trybunału w dniu 4 lutego 2008 roku przeciwko Rzeczypospolitej Polskiej na podstawie Artykułu 34 Konwencji o Ochronie Praw Człowieka i Podstawowych Wolności ("Konwencja") przez obywatela Polski, Pana Jana Chyłę ("skarżący").</w:t>
      </w:r>
    </w:p>
    <w:p w14:paraId="0B8B6ACF" w14:textId="77777777"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2</w:t>
      </w:r>
      <w:r w:rsidRPr="001B508E">
        <w:rPr>
          <w:lang w:val="pl-PL"/>
        </w:rPr>
        <w:fldChar w:fldCharType="end"/>
      </w:r>
      <w:r w:rsidRPr="001B508E">
        <w:rPr>
          <w:lang w:val="pl-PL"/>
        </w:rPr>
        <w:t xml:space="preserve">. Skarżący był reprezentowany przez Pana S. </w:t>
      </w:r>
      <w:proofErr w:type="spellStart"/>
      <w:r w:rsidRPr="001B508E">
        <w:rPr>
          <w:lang w:val="pl-PL"/>
        </w:rPr>
        <w:t>Kotułę</w:t>
      </w:r>
      <w:proofErr w:type="spellEnd"/>
      <w:r w:rsidRPr="001B508E">
        <w:rPr>
          <w:lang w:val="pl-PL"/>
        </w:rPr>
        <w:t xml:space="preserve">, adwokata prowadzącego praktykę w Lublinie. Rząd polski (“Rząd”) był </w:t>
      </w:r>
      <w:r w:rsidRPr="00D15A2F">
        <w:rPr>
          <w:lang w:val="pl-PL"/>
        </w:rPr>
        <w:t>reprezentowany przez pełnomocnika, Panią J. Chrzanowską z Ministerstwa Spraw Zagranicznych.</w:t>
      </w:r>
    </w:p>
    <w:p w14:paraId="7E8D434A" w14:textId="0AEBC412"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w:t>
      </w:r>
      <w:r w:rsidRPr="00D15A2F">
        <w:rPr>
          <w:lang w:val="pl-PL"/>
        </w:rPr>
        <w:fldChar w:fldCharType="end"/>
      </w:r>
      <w:r w:rsidRPr="00D15A2F">
        <w:rPr>
          <w:lang w:val="pl-PL"/>
        </w:rPr>
        <w:t>. Skarżący zarzuc</w:t>
      </w:r>
      <w:r w:rsidR="00591F13" w:rsidRPr="00D15A2F">
        <w:rPr>
          <w:lang w:val="pl-PL"/>
        </w:rPr>
        <w:t>i</w:t>
      </w:r>
      <w:r w:rsidRPr="00D15A2F">
        <w:rPr>
          <w:lang w:val="pl-PL"/>
        </w:rPr>
        <w:t xml:space="preserve">ł, w szczególności, naruszenie Artykułu 3 Konwencji </w:t>
      </w:r>
      <w:r w:rsidR="00591F13" w:rsidRPr="00D15A2F">
        <w:rPr>
          <w:lang w:val="pl-PL"/>
        </w:rPr>
        <w:t>z uwagi na nadanie</w:t>
      </w:r>
      <w:r w:rsidRPr="00D15A2F">
        <w:rPr>
          <w:lang w:val="pl-PL"/>
        </w:rPr>
        <w:t xml:space="preserve"> mu statusu </w:t>
      </w:r>
      <w:r w:rsidR="00591F13" w:rsidRPr="00D15A2F">
        <w:rPr>
          <w:lang w:val="pl-PL"/>
        </w:rPr>
        <w:t xml:space="preserve">tzw. </w:t>
      </w:r>
      <w:r w:rsidRPr="00D15A2F">
        <w:rPr>
          <w:lang w:val="pl-PL"/>
        </w:rPr>
        <w:t>więźnia niebezpiecznego</w:t>
      </w:r>
      <w:r w:rsidR="00591F13" w:rsidRPr="00D15A2F">
        <w:rPr>
          <w:lang w:val="pl-PL"/>
        </w:rPr>
        <w:t>. Ponadto</w:t>
      </w:r>
      <w:r w:rsidRPr="00D15A2F">
        <w:rPr>
          <w:lang w:val="pl-PL"/>
        </w:rPr>
        <w:t xml:space="preserve"> sformułował zarzut </w:t>
      </w:r>
      <w:r w:rsidR="00591F13" w:rsidRPr="00D15A2F">
        <w:rPr>
          <w:lang w:val="pl-PL"/>
        </w:rPr>
        <w:t xml:space="preserve">nadmiernie długotrwałego </w:t>
      </w:r>
      <w:r w:rsidRPr="00D15A2F">
        <w:rPr>
          <w:lang w:val="pl-PL"/>
        </w:rPr>
        <w:t xml:space="preserve">tymczasowego aresztowania z naruszeniem Artykułu 5 ust. 3 Konwencji.  Powołując się na Artykuł 6 ust. 1 skarżący podniósł, że postępowanie karne w jego sprawie było przewlekłe. </w:t>
      </w:r>
      <w:r w:rsidR="00591F13" w:rsidRPr="00D15A2F">
        <w:rPr>
          <w:lang w:val="pl-PL"/>
        </w:rPr>
        <w:t>S</w:t>
      </w:r>
      <w:r w:rsidRPr="00D15A2F">
        <w:rPr>
          <w:lang w:val="pl-PL"/>
        </w:rPr>
        <w:t>karżący sformułował</w:t>
      </w:r>
      <w:r w:rsidR="00591F13" w:rsidRPr="00D15A2F">
        <w:rPr>
          <w:lang w:val="pl-PL"/>
        </w:rPr>
        <w:t xml:space="preserve"> też</w:t>
      </w:r>
      <w:r w:rsidRPr="00D15A2F">
        <w:rPr>
          <w:lang w:val="pl-PL"/>
        </w:rPr>
        <w:t xml:space="preserve"> zarzut </w:t>
      </w:r>
      <w:r w:rsidR="00591F13" w:rsidRPr="00D15A2F">
        <w:rPr>
          <w:lang w:val="pl-PL"/>
        </w:rPr>
        <w:t>naruszenia</w:t>
      </w:r>
      <w:r w:rsidRPr="00D15A2F">
        <w:rPr>
          <w:lang w:val="pl-PL"/>
        </w:rPr>
        <w:t xml:space="preserve"> Artykułu 3 Protokołu nr 1 do Konwencji.</w:t>
      </w:r>
    </w:p>
    <w:p w14:paraId="0C5B61A7"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w:t>
      </w:r>
      <w:r w:rsidRPr="00D15A2F">
        <w:rPr>
          <w:lang w:val="pl-PL"/>
        </w:rPr>
        <w:fldChar w:fldCharType="end"/>
      </w:r>
      <w:r w:rsidRPr="00D15A2F">
        <w:rPr>
          <w:lang w:val="pl-PL"/>
        </w:rPr>
        <w:t xml:space="preserve">. W dniu </w:t>
      </w:r>
      <w:r w:rsidRPr="00D15A2F">
        <w:rPr>
          <w:szCs w:val="24"/>
          <w:lang w:val="pl-PL"/>
        </w:rPr>
        <w:t>16 marca 2012 roku</w:t>
      </w:r>
      <w:r w:rsidRPr="00D15A2F">
        <w:rPr>
          <w:lang w:val="pl-PL"/>
        </w:rPr>
        <w:t xml:space="preserve"> skarga została zakomunikowana Rządowi.</w:t>
      </w:r>
    </w:p>
    <w:p w14:paraId="28BDE935" w14:textId="77777777" w:rsidR="00234FC9" w:rsidRPr="001B508E" w:rsidRDefault="00234FC9" w:rsidP="008214F0">
      <w:pPr>
        <w:pStyle w:val="ECHRTitle1"/>
        <w:rPr>
          <w:lang w:val="pl-PL"/>
        </w:rPr>
      </w:pPr>
      <w:r w:rsidRPr="001B508E">
        <w:rPr>
          <w:lang w:val="pl-PL"/>
        </w:rPr>
        <w:t>STAN FAKTYCZNY</w:t>
      </w:r>
    </w:p>
    <w:p w14:paraId="18A8702C" w14:textId="77777777" w:rsidR="00234FC9" w:rsidRPr="001B508E" w:rsidRDefault="00234FC9" w:rsidP="008214F0">
      <w:pPr>
        <w:pStyle w:val="ECHRHeading1"/>
        <w:rPr>
          <w:lang w:val="pl-PL"/>
        </w:rPr>
      </w:pPr>
      <w:r w:rsidRPr="001B508E">
        <w:rPr>
          <w:lang w:val="pl-PL"/>
        </w:rPr>
        <w:t>I. OKOLICZNOŚCI SPRAWY</w:t>
      </w:r>
    </w:p>
    <w:p w14:paraId="10E3FA44"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5</w:t>
      </w:r>
      <w:r w:rsidRPr="001B508E">
        <w:rPr>
          <w:lang w:val="pl-PL"/>
        </w:rPr>
        <w:fldChar w:fldCharType="end"/>
      </w:r>
      <w:r w:rsidRPr="001B508E">
        <w:rPr>
          <w:lang w:val="pl-PL"/>
        </w:rPr>
        <w:t>. Skarżący urodził się w 1956 roku i mieszka w Lublinie.</w:t>
      </w:r>
    </w:p>
    <w:p w14:paraId="1504B19C" w14:textId="3918B841" w:rsidR="00234FC9" w:rsidRPr="00D15A2F" w:rsidRDefault="00591F13" w:rsidP="008214F0">
      <w:pPr>
        <w:pStyle w:val="ECHRHeading2"/>
        <w:rPr>
          <w:lang w:val="pl-PL"/>
        </w:rPr>
      </w:pPr>
      <w:r>
        <w:rPr>
          <w:lang w:val="pl-PL"/>
        </w:rPr>
        <w:lastRenderedPageBreak/>
        <w:t xml:space="preserve">A. </w:t>
      </w:r>
      <w:r w:rsidRPr="00D15A2F">
        <w:rPr>
          <w:lang w:val="pl-PL"/>
        </w:rPr>
        <w:t>Częściowa niezgodność</w:t>
      </w:r>
      <w:r w:rsidR="00234FC9" w:rsidRPr="00D15A2F">
        <w:rPr>
          <w:lang w:val="pl-PL"/>
        </w:rPr>
        <w:t xml:space="preserve"> co do pewnych faktów sprawy</w:t>
      </w:r>
    </w:p>
    <w:p w14:paraId="701E7C45"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w:t>
      </w:r>
      <w:r w:rsidRPr="00D15A2F">
        <w:rPr>
          <w:lang w:val="pl-PL"/>
        </w:rPr>
        <w:fldChar w:fldCharType="end"/>
      </w:r>
      <w:r w:rsidRPr="00D15A2F">
        <w:rPr>
          <w:lang w:val="pl-PL"/>
        </w:rPr>
        <w:t>. Strony przedstawiły częściowo odmienny opis pewnych faktów sprawy dotyczących reżimu “więźnia niebezpiecznego” (zob. paragrafy 42-45 poniżej). Pozostałe fakty nie były sporne.</w:t>
      </w:r>
    </w:p>
    <w:p w14:paraId="5C9251A9" w14:textId="77777777" w:rsidR="00234FC9" w:rsidRPr="00D15A2F" w:rsidRDefault="00234FC9" w:rsidP="008214F0">
      <w:pPr>
        <w:pStyle w:val="ECHRHeading2"/>
        <w:rPr>
          <w:lang w:val="pl-PL"/>
        </w:rPr>
      </w:pPr>
      <w:r w:rsidRPr="00D15A2F">
        <w:rPr>
          <w:lang w:val="pl-PL"/>
        </w:rPr>
        <w:t>B. Postępowanie karne przeciwko skarżącemu i jego tymczasowe aresztowanie</w:t>
      </w:r>
    </w:p>
    <w:p w14:paraId="74539E21" w14:textId="1B9423DF"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w:t>
      </w:r>
      <w:r w:rsidRPr="00D15A2F">
        <w:rPr>
          <w:lang w:val="pl-PL"/>
        </w:rPr>
        <w:fldChar w:fldCharType="end"/>
      </w:r>
      <w:r w:rsidRPr="00D15A2F">
        <w:rPr>
          <w:lang w:val="pl-PL"/>
        </w:rPr>
        <w:t xml:space="preserve"> Skarżący </w:t>
      </w:r>
      <w:r w:rsidR="00591F13" w:rsidRPr="00D15A2F">
        <w:rPr>
          <w:lang w:val="pl-PL"/>
        </w:rPr>
        <w:t>posiada</w:t>
      </w:r>
      <w:r w:rsidRPr="00D15A2F">
        <w:rPr>
          <w:lang w:val="pl-PL"/>
        </w:rPr>
        <w:t xml:space="preserve"> przeszłość kryminalną. Przez kilka lat był poszukiwany przez organy ścigania na podstawie listu gończego.</w:t>
      </w:r>
    </w:p>
    <w:p w14:paraId="46E63ABE" w14:textId="14271682"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w:t>
      </w:r>
      <w:r w:rsidRPr="00D15A2F">
        <w:rPr>
          <w:lang w:val="pl-PL"/>
        </w:rPr>
        <w:fldChar w:fldCharType="end"/>
      </w:r>
      <w:r w:rsidRPr="00D15A2F">
        <w:rPr>
          <w:lang w:val="pl-PL"/>
        </w:rPr>
        <w:t>. W dniu 6 maja 2005 roku wobec skarżącego wydano międzynarodowy list gończy z uwagi na uzasadnione podejrzenie</w:t>
      </w:r>
      <w:r w:rsidR="00591F13" w:rsidRPr="00D15A2F">
        <w:rPr>
          <w:lang w:val="pl-PL"/>
        </w:rPr>
        <w:t>,</w:t>
      </w:r>
      <w:r w:rsidRPr="00D15A2F">
        <w:rPr>
          <w:lang w:val="pl-PL"/>
        </w:rPr>
        <w:t xml:space="preserve"> ż</w:t>
      </w:r>
      <w:r w:rsidR="00591F13" w:rsidRPr="00D15A2F">
        <w:rPr>
          <w:lang w:val="pl-PL"/>
        </w:rPr>
        <w:t>e</w:t>
      </w:r>
      <w:r w:rsidRPr="00D15A2F">
        <w:rPr>
          <w:lang w:val="pl-PL"/>
        </w:rPr>
        <w:t xml:space="preserve"> jako członek zo</w:t>
      </w:r>
      <w:r w:rsidR="00591F13" w:rsidRPr="00D15A2F">
        <w:rPr>
          <w:lang w:val="pl-PL"/>
        </w:rPr>
        <w:t>rganizowanej grupy przestępczej dopuścił się wielokrotnie przestępstw</w:t>
      </w:r>
      <w:r w:rsidRPr="00D15A2F">
        <w:rPr>
          <w:lang w:val="pl-PL"/>
        </w:rPr>
        <w:t xml:space="preserve"> </w:t>
      </w:r>
      <w:r w:rsidR="00591F13" w:rsidRPr="00D15A2F">
        <w:rPr>
          <w:lang w:val="pl-PL"/>
        </w:rPr>
        <w:t>rozboju, wymuszeń</w:t>
      </w:r>
      <w:r w:rsidRPr="00D15A2F">
        <w:rPr>
          <w:lang w:val="pl-PL"/>
        </w:rPr>
        <w:t xml:space="preserve">, </w:t>
      </w:r>
      <w:r w:rsidR="00591F13" w:rsidRPr="00D15A2F">
        <w:rPr>
          <w:lang w:val="pl-PL"/>
        </w:rPr>
        <w:t>ustnych</w:t>
      </w:r>
      <w:r w:rsidRPr="00D15A2F">
        <w:rPr>
          <w:lang w:val="pl-PL"/>
        </w:rPr>
        <w:t xml:space="preserve"> </w:t>
      </w:r>
      <w:r w:rsidR="00591F13" w:rsidRPr="00D15A2F">
        <w:rPr>
          <w:lang w:val="pl-PL"/>
        </w:rPr>
        <w:t>gróźb karalnych</w:t>
      </w:r>
      <w:r w:rsidRPr="00D15A2F">
        <w:rPr>
          <w:lang w:val="pl-PL"/>
        </w:rPr>
        <w:t xml:space="preserve">, </w:t>
      </w:r>
      <w:r w:rsidR="00591F13" w:rsidRPr="00D15A2F">
        <w:rPr>
          <w:lang w:val="pl-PL"/>
        </w:rPr>
        <w:t xml:space="preserve">spowodowania </w:t>
      </w:r>
      <w:r w:rsidRPr="00D15A2F">
        <w:rPr>
          <w:lang w:val="pl-PL"/>
        </w:rPr>
        <w:t>uszkodzeń ciała oraz</w:t>
      </w:r>
      <w:r w:rsidR="00591F13" w:rsidRPr="00D15A2F">
        <w:rPr>
          <w:lang w:val="pl-PL"/>
        </w:rPr>
        <w:t xml:space="preserve"> podłożenia ładun</w:t>
      </w:r>
      <w:r w:rsidRPr="00D15A2F">
        <w:rPr>
          <w:lang w:val="pl-PL"/>
        </w:rPr>
        <w:t>k</w:t>
      </w:r>
      <w:r w:rsidR="00591F13" w:rsidRPr="00D15A2F">
        <w:rPr>
          <w:lang w:val="pl-PL"/>
        </w:rPr>
        <w:t>u wybuchowego</w:t>
      </w:r>
      <w:r w:rsidRPr="00D15A2F">
        <w:rPr>
          <w:lang w:val="pl-PL"/>
        </w:rPr>
        <w:t xml:space="preserve"> </w:t>
      </w:r>
      <w:r w:rsidR="00591F13" w:rsidRPr="00D15A2F">
        <w:rPr>
          <w:lang w:val="pl-PL"/>
        </w:rPr>
        <w:t>w celu</w:t>
      </w:r>
      <w:r w:rsidRPr="00D15A2F">
        <w:rPr>
          <w:lang w:val="pl-PL"/>
        </w:rPr>
        <w:t xml:space="preserve"> uszkodzenia mienia. Wcześniej, w dniu 4 maja 2005 roku</w:t>
      </w:r>
      <w:r w:rsidR="00591F13" w:rsidRPr="00D15A2F">
        <w:rPr>
          <w:lang w:val="pl-PL"/>
        </w:rPr>
        <w:t>,</w:t>
      </w:r>
      <w:r w:rsidRPr="00D15A2F">
        <w:rPr>
          <w:lang w:val="pl-PL"/>
        </w:rPr>
        <w:t xml:space="preserve"> Sąd Rejonowy w Lublinie nakazał zatrzymanie skarżącego w areszcie na okres czternastu dni.</w:t>
      </w:r>
    </w:p>
    <w:p w14:paraId="09687474" w14:textId="2A80F79B" w:rsidR="00234FC9" w:rsidRPr="001B508E"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9</w:t>
      </w:r>
      <w:r w:rsidRPr="00D15A2F">
        <w:rPr>
          <w:lang w:val="pl-PL"/>
        </w:rPr>
        <w:fldChar w:fldCharType="end"/>
      </w:r>
      <w:r w:rsidR="00591F13" w:rsidRPr="00D15A2F">
        <w:rPr>
          <w:lang w:val="pl-PL"/>
        </w:rPr>
        <w:t>.</w:t>
      </w:r>
      <w:r w:rsidRPr="00D15A2F">
        <w:rPr>
          <w:lang w:val="pl-PL"/>
        </w:rPr>
        <w:t xml:space="preserve"> W dniu 24 listopada 2005 roku skarżący został </w:t>
      </w:r>
      <w:r w:rsidR="00591F13" w:rsidRPr="00D15A2F">
        <w:rPr>
          <w:lang w:val="pl-PL"/>
        </w:rPr>
        <w:t>zatrzymany</w:t>
      </w:r>
      <w:r w:rsidRPr="00D15A2F">
        <w:rPr>
          <w:lang w:val="pl-PL"/>
        </w:rPr>
        <w:t xml:space="preserve"> </w:t>
      </w:r>
      <w:r w:rsidRPr="001B508E">
        <w:rPr>
          <w:lang w:val="pl-PL"/>
        </w:rPr>
        <w:t>przez włoską policję.</w:t>
      </w:r>
    </w:p>
    <w:p w14:paraId="07482910"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10</w:t>
      </w:r>
      <w:r w:rsidRPr="001B508E">
        <w:rPr>
          <w:lang w:val="pl-PL"/>
        </w:rPr>
        <w:fldChar w:fldCharType="end"/>
      </w:r>
      <w:r w:rsidRPr="001B508E">
        <w:rPr>
          <w:lang w:val="pl-PL"/>
        </w:rPr>
        <w:t>. W dniu 21 grudnia 2006 roku skarżący został przekazany władzom polskim.</w:t>
      </w:r>
    </w:p>
    <w:p w14:paraId="765BF0A6" w14:textId="5F38BB9F"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11</w:t>
      </w:r>
      <w:r w:rsidRPr="001B508E">
        <w:rPr>
          <w:lang w:val="pl-PL"/>
        </w:rPr>
        <w:fldChar w:fldCharType="end"/>
      </w:r>
      <w:r w:rsidRPr="001B508E">
        <w:rPr>
          <w:lang w:val="pl-PL"/>
        </w:rPr>
        <w:t xml:space="preserve">. W </w:t>
      </w:r>
      <w:r w:rsidRPr="00D15A2F">
        <w:rPr>
          <w:lang w:val="pl-PL"/>
        </w:rPr>
        <w:t xml:space="preserve">dniu 28 grudnia 2006 roku Sąd Rejonowy w Lublinie </w:t>
      </w:r>
      <w:r w:rsidR="001D7AD0" w:rsidRPr="00D15A2F">
        <w:rPr>
          <w:lang w:val="pl-PL"/>
        </w:rPr>
        <w:t xml:space="preserve">zastosował wobec skarżącego tymczasowe aresztowanie </w:t>
      </w:r>
      <w:r w:rsidRPr="00D15A2F">
        <w:rPr>
          <w:lang w:val="pl-PL"/>
        </w:rPr>
        <w:t>z uwagi na uzasadnione podejrzenie</w:t>
      </w:r>
      <w:r w:rsidR="00591F13" w:rsidRPr="00D15A2F">
        <w:rPr>
          <w:lang w:val="pl-PL"/>
        </w:rPr>
        <w:t>,</w:t>
      </w:r>
      <w:r w:rsidRPr="00D15A2F">
        <w:rPr>
          <w:lang w:val="pl-PL"/>
        </w:rPr>
        <w:t xml:space="preserve"> ż</w:t>
      </w:r>
      <w:r w:rsidR="00591F13" w:rsidRPr="00D15A2F">
        <w:rPr>
          <w:lang w:val="pl-PL"/>
        </w:rPr>
        <w:t>e</w:t>
      </w:r>
      <w:r w:rsidRPr="00D15A2F">
        <w:rPr>
          <w:lang w:val="pl-PL"/>
        </w:rPr>
        <w:t xml:space="preserve"> jako członek zorganizowanej grupy przestępczej, </w:t>
      </w:r>
      <w:r w:rsidR="00591F13" w:rsidRPr="00D15A2F">
        <w:rPr>
          <w:lang w:val="pl-PL"/>
        </w:rPr>
        <w:t>dopuścił się popełnienia szeregu</w:t>
      </w:r>
      <w:r w:rsidR="001D7AD0" w:rsidRPr="00D15A2F">
        <w:rPr>
          <w:lang w:val="pl-PL"/>
        </w:rPr>
        <w:t xml:space="preserve"> rozbojów, wymuszeń, ustnych gróźb karalnych, spowodowania uszkodzeń ciała oraz podłożenia ładunku wybuchowego w celu</w:t>
      </w:r>
      <w:r w:rsidRPr="00D15A2F">
        <w:rPr>
          <w:lang w:val="pl-PL"/>
        </w:rPr>
        <w:t xml:space="preserve">. </w:t>
      </w:r>
      <w:r w:rsidR="004D769B" w:rsidRPr="00D15A2F">
        <w:rPr>
          <w:lang w:val="pl-PL"/>
        </w:rPr>
        <w:t xml:space="preserve">Tymczasowe aresztowanie było szczególnie </w:t>
      </w:r>
      <w:r w:rsidRPr="00D15A2F">
        <w:rPr>
          <w:lang w:val="pl-PL"/>
        </w:rPr>
        <w:t xml:space="preserve">uzasadnione </w:t>
      </w:r>
      <w:r w:rsidR="004D769B" w:rsidRPr="00D15A2F">
        <w:rPr>
          <w:lang w:val="pl-PL"/>
        </w:rPr>
        <w:t>poważnym</w:t>
      </w:r>
      <w:r w:rsidRPr="00D15A2F">
        <w:rPr>
          <w:lang w:val="pl-PL"/>
        </w:rPr>
        <w:t xml:space="preserve"> charakter</w:t>
      </w:r>
      <w:r w:rsidR="004D769B" w:rsidRPr="00D15A2F">
        <w:rPr>
          <w:lang w:val="pl-PL"/>
        </w:rPr>
        <w:t>em tych</w:t>
      </w:r>
      <w:r w:rsidRPr="00D15A2F">
        <w:rPr>
          <w:lang w:val="pl-PL"/>
        </w:rPr>
        <w:t xml:space="preserve"> przestępstw oraz prawdopodobieństwem </w:t>
      </w:r>
      <w:r w:rsidR="004D769B" w:rsidRPr="00D15A2F">
        <w:rPr>
          <w:lang w:val="pl-PL"/>
        </w:rPr>
        <w:t>wymierzenia skarżącemu surowej kary pozbawienia wolności</w:t>
      </w:r>
      <w:r w:rsidRPr="00D15A2F">
        <w:rPr>
          <w:lang w:val="pl-PL"/>
        </w:rPr>
        <w:t xml:space="preserve">. Sąd uznał również, że </w:t>
      </w:r>
      <w:r w:rsidR="005E1929" w:rsidRPr="00D15A2F">
        <w:rPr>
          <w:lang w:val="pl-PL"/>
        </w:rPr>
        <w:t xml:space="preserve">tymczasowe aresztowanie </w:t>
      </w:r>
      <w:r w:rsidRPr="00D15A2F">
        <w:rPr>
          <w:lang w:val="pl-PL"/>
        </w:rPr>
        <w:t xml:space="preserve"> skarżącego </w:t>
      </w:r>
      <w:r w:rsidR="005E1929" w:rsidRPr="00D15A2F">
        <w:rPr>
          <w:lang w:val="pl-PL"/>
        </w:rPr>
        <w:t xml:space="preserve">jest </w:t>
      </w:r>
      <w:r w:rsidR="00A947FC" w:rsidRPr="00D15A2F">
        <w:rPr>
          <w:lang w:val="pl-PL"/>
        </w:rPr>
        <w:t>niezbędne</w:t>
      </w:r>
      <w:r w:rsidR="005E1929" w:rsidRPr="00D15A2F">
        <w:rPr>
          <w:lang w:val="pl-PL"/>
        </w:rPr>
        <w:t xml:space="preserve"> dla</w:t>
      </w:r>
      <w:r w:rsidRPr="00D15A2F">
        <w:rPr>
          <w:lang w:val="pl-PL"/>
        </w:rPr>
        <w:t xml:space="preserve"> zapewnienia prawidłowego </w:t>
      </w:r>
      <w:r w:rsidR="005E1929" w:rsidRPr="00D15A2F">
        <w:rPr>
          <w:lang w:val="pl-PL"/>
        </w:rPr>
        <w:t>toku</w:t>
      </w:r>
      <w:r w:rsidRPr="00D15A2F">
        <w:rPr>
          <w:lang w:val="pl-PL"/>
        </w:rPr>
        <w:t xml:space="preserve"> postępowania, zważywszy na ryzyko ucieczki. </w:t>
      </w:r>
      <w:r w:rsidR="00A947FC" w:rsidRPr="00D15A2F">
        <w:rPr>
          <w:lang w:val="pl-PL"/>
        </w:rPr>
        <w:t>Odnosząc się</w:t>
      </w:r>
      <w:r w:rsidR="005E1929" w:rsidRPr="00D15A2F">
        <w:rPr>
          <w:lang w:val="pl-PL"/>
        </w:rPr>
        <w:t xml:space="preserve"> do</w:t>
      </w:r>
      <w:r w:rsidRPr="00D15A2F">
        <w:rPr>
          <w:lang w:val="pl-PL"/>
        </w:rPr>
        <w:t xml:space="preserve"> </w:t>
      </w:r>
      <w:r w:rsidR="00A947FC" w:rsidRPr="00D15A2F">
        <w:rPr>
          <w:lang w:val="pl-PL"/>
        </w:rPr>
        <w:t xml:space="preserve">tej ostatniej możliwości, sąd oparł się na fakcie, </w:t>
      </w:r>
      <w:r w:rsidRPr="00D15A2F">
        <w:rPr>
          <w:lang w:val="pl-PL"/>
        </w:rPr>
        <w:t>ż</w:t>
      </w:r>
      <w:r w:rsidR="00A947FC" w:rsidRPr="00D15A2F">
        <w:rPr>
          <w:lang w:val="pl-PL"/>
        </w:rPr>
        <w:t>e</w:t>
      </w:r>
      <w:r w:rsidRPr="00D15A2F">
        <w:rPr>
          <w:lang w:val="pl-PL"/>
        </w:rPr>
        <w:t xml:space="preserve"> skarżący nie posiadał w Polsce stałego miejsca </w:t>
      </w:r>
      <w:r w:rsidRPr="001B508E">
        <w:rPr>
          <w:lang w:val="pl-PL"/>
        </w:rPr>
        <w:t xml:space="preserve">zamieszkania oraz już wcześniej ukrywał się przed policją. Wreszcie sąd podkreślił, że skarżący był członkiem zorganizowanej grupy przestępczej, a niektórzy członkowie tej grupy </w:t>
      </w:r>
      <w:r w:rsidRPr="00D15A2F">
        <w:rPr>
          <w:lang w:val="pl-PL"/>
        </w:rPr>
        <w:t>wciąż znajdowali się na wolności, co zwiększało ryzyko, iż zatrzymany mógł</w:t>
      </w:r>
      <w:r w:rsidR="00A947FC" w:rsidRPr="00D15A2F">
        <w:rPr>
          <w:lang w:val="pl-PL"/>
        </w:rPr>
        <w:t>by</w:t>
      </w:r>
      <w:r w:rsidRPr="00D15A2F">
        <w:rPr>
          <w:lang w:val="pl-PL"/>
        </w:rPr>
        <w:t xml:space="preserve"> utrudniać postępowanie w wypadku zwolnienia.</w:t>
      </w:r>
    </w:p>
    <w:p w14:paraId="402C0618" w14:textId="3192B469" w:rsidR="00234FC9" w:rsidRPr="001B508E"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12</w:t>
      </w:r>
      <w:r w:rsidRPr="00D15A2F">
        <w:rPr>
          <w:lang w:val="pl-PL"/>
        </w:rPr>
        <w:fldChar w:fldCharType="end"/>
      </w:r>
      <w:r w:rsidRPr="00D15A2F">
        <w:rPr>
          <w:lang w:val="pl-PL"/>
        </w:rPr>
        <w:t xml:space="preserve">. </w:t>
      </w:r>
      <w:r w:rsidR="005E1929" w:rsidRPr="00D15A2F">
        <w:rPr>
          <w:lang w:val="pl-PL"/>
        </w:rPr>
        <w:t>Zażalenie</w:t>
      </w:r>
      <w:r w:rsidRPr="00D15A2F">
        <w:rPr>
          <w:lang w:val="pl-PL"/>
        </w:rPr>
        <w:t xml:space="preserve"> skarżącego </w:t>
      </w:r>
      <w:r w:rsidR="005E1929" w:rsidRPr="00D15A2F">
        <w:rPr>
          <w:lang w:val="pl-PL"/>
        </w:rPr>
        <w:t>na postanowienie o tymczasowym aresztowaniu</w:t>
      </w:r>
      <w:r w:rsidRPr="00D15A2F">
        <w:rPr>
          <w:lang w:val="pl-PL"/>
        </w:rPr>
        <w:t xml:space="preserve">, podobnie jak jego kolejne </w:t>
      </w:r>
      <w:r w:rsidR="005E1929" w:rsidRPr="00D15A2F">
        <w:rPr>
          <w:lang w:val="pl-PL"/>
        </w:rPr>
        <w:t>zażalenia na decyzje</w:t>
      </w:r>
      <w:r w:rsidRPr="00D15A2F">
        <w:rPr>
          <w:lang w:val="pl-PL"/>
        </w:rPr>
        <w:t xml:space="preserve"> przedłużając</w:t>
      </w:r>
      <w:r w:rsidR="005E1929" w:rsidRPr="00D15A2F">
        <w:rPr>
          <w:lang w:val="pl-PL"/>
        </w:rPr>
        <w:t>e tymczasowe aresztowanie</w:t>
      </w:r>
      <w:r w:rsidRPr="00D15A2F">
        <w:rPr>
          <w:lang w:val="pl-PL"/>
        </w:rPr>
        <w:t xml:space="preserve"> i wszystkie późniejsze, liczne wnioski o zwolnienie oraz odwołania od decyzji odmawiających </w:t>
      </w:r>
      <w:r w:rsidRPr="001B508E">
        <w:rPr>
          <w:lang w:val="pl-PL"/>
        </w:rPr>
        <w:t>zwolnienia, został</w:t>
      </w:r>
      <w:r w:rsidR="005E1929">
        <w:rPr>
          <w:lang w:val="pl-PL"/>
        </w:rPr>
        <w:t>y</w:t>
      </w:r>
      <w:r w:rsidRPr="001B508E">
        <w:rPr>
          <w:lang w:val="pl-PL"/>
        </w:rPr>
        <w:t xml:space="preserve"> odrzucone.</w:t>
      </w:r>
    </w:p>
    <w:p w14:paraId="73F28EDF" w14:textId="19FFAA47" w:rsidR="00234FC9" w:rsidRPr="00D15A2F" w:rsidRDefault="00234FC9" w:rsidP="008214F0">
      <w:pPr>
        <w:pStyle w:val="ECHRPara"/>
        <w:rPr>
          <w:lang w:val="pl-PL"/>
        </w:rPr>
      </w:pPr>
      <w:r w:rsidRPr="001B508E">
        <w:rPr>
          <w:lang w:val="pl-PL"/>
        </w:rPr>
        <w:lastRenderedPageBreak/>
        <w:fldChar w:fldCharType="begin"/>
      </w:r>
      <w:r w:rsidRPr="001B508E">
        <w:rPr>
          <w:lang w:val="pl-PL"/>
        </w:rPr>
        <w:instrText xml:space="preserve"> SEQ level0 \*arabic </w:instrText>
      </w:r>
      <w:r w:rsidRPr="001B508E">
        <w:rPr>
          <w:lang w:val="pl-PL"/>
        </w:rPr>
        <w:fldChar w:fldCharType="separate"/>
      </w:r>
      <w:r w:rsidR="003876CB">
        <w:rPr>
          <w:noProof/>
          <w:lang w:val="pl-PL"/>
        </w:rPr>
        <w:t>13</w:t>
      </w:r>
      <w:r w:rsidRPr="001B508E">
        <w:rPr>
          <w:lang w:val="pl-PL"/>
        </w:rPr>
        <w:fldChar w:fldCharType="end"/>
      </w:r>
      <w:r w:rsidRPr="001B508E">
        <w:rPr>
          <w:lang w:val="pl-PL"/>
        </w:rPr>
        <w:t xml:space="preserve">. W dniu 19 </w:t>
      </w:r>
      <w:r w:rsidRPr="00D15A2F">
        <w:rPr>
          <w:lang w:val="pl-PL"/>
        </w:rPr>
        <w:t xml:space="preserve">marca 2007 roku Prokuratura </w:t>
      </w:r>
      <w:r w:rsidR="004D769B" w:rsidRPr="00D15A2F">
        <w:rPr>
          <w:lang w:val="pl-PL"/>
        </w:rPr>
        <w:t>Rejonowa</w:t>
      </w:r>
      <w:r w:rsidRPr="00D15A2F">
        <w:rPr>
          <w:lang w:val="pl-PL"/>
        </w:rPr>
        <w:t xml:space="preserve"> w Lublinie złożyła akt oskarżenia w Sądzie Rejonowym w Lublinie. Skarżącemu zarzucono szereg rozbojów, wymuszeń, gróźb karalnych, </w:t>
      </w:r>
      <w:r w:rsidR="004D769B" w:rsidRPr="00D15A2F">
        <w:rPr>
          <w:lang w:val="pl-PL"/>
        </w:rPr>
        <w:t>spowodowanie</w:t>
      </w:r>
      <w:r w:rsidRPr="00D15A2F">
        <w:rPr>
          <w:lang w:val="pl-PL"/>
        </w:rPr>
        <w:t xml:space="preserve"> uszkodzenia ciała oraz podłożenia ładunku wybuchowego </w:t>
      </w:r>
      <w:r w:rsidR="004D769B" w:rsidRPr="00D15A2F">
        <w:rPr>
          <w:lang w:val="pl-PL"/>
        </w:rPr>
        <w:t>w celu</w:t>
      </w:r>
      <w:r w:rsidRPr="00D15A2F">
        <w:rPr>
          <w:lang w:val="pl-PL"/>
        </w:rPr>
        <w:t xml:space="preserve"> uszkodzenia mienia. Akt oskarżenia </w:t>
      </w:r>
      <w:r w:rsidR="004D769B" w:rsidRPr="00D15A2F">
        <w:rPr>
          <w:lang w:val="pl-PL"/>
        </w:rPr>
        <w:t>obejmował szereg</w:t>
      </w:r>
      <w:r w:rsidRPr="00D15A2F">
        <w:rPr>
          <w:lang w:val="pl-PL"/>
        </w:rPr>
        <w:t xml:space="preserve"> zarzutów przedstawionych pięciu oskarżonym.</w:t>
      </w:r>
    </w:p>
    <w:p w14:paraId="3B5FFE25" w14:textId="4FA59141"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14</w:t>
      </w:r>
      <w:r w:rsidRPr="00D15A2F">
        <w:rPr>
          <w:lang w:val="pl-PL"/>
        </w:rPr>
        <w:fldChar w:fldCharType="end"/>
      </w:r>
      <w:r w:rsidRPr="00D15A2F">
        <w:rPr>
          <w:lang w:val="pl-PL"/>
        </w:rPr>
        <w:t xml:space="preserve">. Podczas postępowania sądowego </w:t>
      </w:r>
      <w:r w:rsidR="004D769B" w:rsidRPr="00D15A2F">
        <w:rPr>
          <w:lang w:val="pl-PL"/>
        </w:rPr>
        <w:t>tymczasowe aresztowanie skarżącego</w:t>
      </w:r>
      <w:r w:rsidRPr="00D15A2F">
        <w:rPr>
          <w:lang w:val="pl-PL"/>
        </w:rPr>
        <w:t xml:space="preserve"> został</w:t>
      </w:r>
      <w:r w:rsidR="00B22A51" w:rsidRPr="00D15A2F">
        <w:rPr>
          <w:lang w:val="pl-PL"/>
        </w:rPr>
        <w:t>o przedłużone</w:t>
      </w:r>
      <w:r w:rsidRPr="00D15A2F">
        <w:rPr>
          <w:lang w:val="pl-PL"/>
        </w:rPr>
        <w:t xml:space="preserve"> w dniach 14 września 2007 roku (do 20 grudnia 2007 r.) oraz 17 grudnia 2007 roku (do 20 marca 2008 r.). Sądy powtórzyły </w:t>
      </w:r>
      <w:r w:rsidR="00B22A51" w:rsidRPr="00D15A2F">
        <w:rPr>
          <w:lang w:val="pl-PL"/>
        </w:rPr>
        <w:t xml:space="preserve">uprzednie </w:t>
      </w:r>
      <w:r w:rsidRPr="00D15A2F">
        <w:rPr>
          <w:lang w:val="pl-PL"/>
        </w:rPr>
        <w:t xml:space="preserve">uzasadnienie odnośnie </w:t>
      </w:r>
      <w:r w:rsidR="00B22A51" w:rsidRPr="00D15A2F">
        <w:rPr>
          <w:lang w:val="pl-PL"/>
        </w:rPr>
        <w:t xml:space="preserve">do </w:t>
      </w:r>
      <w:r w:rsidRPr="00D15A2F">
        <w:rPr>
          <w:lang w:val="pl-PL"/>
        </w:rPr>
        <w:t xml:space="preserve">przyczyn dalszego </w:t>
      </w:r>
      <w:r w:rsidR="00B22A51" w:rsidRPr="00D15A2F">
        <w:rPr>
          <w:lang w:val="pl-PL"/>
        </w:rPr>
        <w:t xml:space="preserve">aresztowania </w:t>
      </w:r>
      <w:r w:rsidRPr="00D15A2F">
        <w:rPr>
          <w:lang w:val="pl-PL"/>
        </w:rPr>
        <w:t>skarżącego. Uznały również, iż w myśl Artykułu 259 Kodeksu karnego nie ma podstaw uzasadniających zwolnienie skarżącego.</w:t>
      </w:r>
    </w:p>
    <w:p w14:paraId="6CA5921A" w14:textId="24BE1A50"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15</w:t>
      </w:r>
      <w:r w:rsidRPr="00D15A2F">
        <w:rPr>
          <w:lang w:val="pl-PL"/>
        </w:rPr>
        <w:fldChar w:fldCharType="end"/>
      </w:r>
      <w:r w:rsidRPr="00D15A2F">
        <w:rPr>
          <w:lang w:val="pl-PL"/>
        </w:rPr>
        <w:t xml:space="preserve">. W dniu 7 marca 2008 roku Sąd Rejonowy w Lublinie </w:t>
      </w:r>
      <w:r w:rsidR="00B22A51" w:rsidRPr="00D15A2F">
        <w:rPr>
          <w:lang w:val="pl-PL"/>
        </w:rPr>
        <w:t xml:space="preserve">uznał skarżącego winnym zarzucanych czynów i </w:t>
      </w:r>
      <w:r w:rsidRPr="00D15A2F">
        <w:rPr>
          <w:lang w:val="pl-PL"/>
        </w:rPr>
        <w:t xml:space="preserve">skazał </w:t>
      </w:r>
      <w:r w:rsidR="00B22A51" w:rsidRPr="00D15A2F">
        <w:rPr>
          <w:lang w:val="pl-PL"/>
        </w:rPr>
        <w:t>go</w:t>
      </w:r>
      <w:r w:rsidRPr="00D15A2F">
        <w:rPr>
          <w:lang w:val="pl-PL"/>
        </w:rPr>
        <w:t xml:space="preserve"> na </w:t>
      </w:r>
      <w:r w:rsidR="00B22A51" w:rsidRPr="00D15A2F">
        <w:rPr>
          <w:lang w:val="pl-PL"/>
        </w:rPr>
        <w:t>karę dziewięciu</w:t>
      </w:r>
      <w:r w:rsidRPr="00D15A2F">
        <w:rPr>
          <w:lang w:val="pl-PL"/>
        </w:rPr>
        <w:t xml:space="preserve"> lat </w:t>
      </w:r>
      <w:r w:rsidR="00B22A51" w:rsidRPr="00D15A2F">
        <w:rPr>
          <w:lang w:val="pl-PL"/>
        </w:rPr>
        <w:t>pozbawienia wolności</w:t>
      </w:r>
      <w:r w:rsidRPr="00D15A2F">
        <w:rPr>
          <w:lang w:val="pl-PL"/>
        </w:rPr>
        <w:t xml:space="preserve"> i grzywnę.</w:t>
      </w:r>
    </w:p>
    <w:p w14:paraId="26E2E649" w14:textId="7AFA6566"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16</w:t>
      </w:r>
      <w:r w:rsidRPr="00D15A2F">
        <w:rPr>
          <w:lang w:val="pl-PL"/>
        </w:rPr>
        <w:fldChar w:fldCharType="end"/>
      </w:r>
      <w:r w:rsidRPr="00D15A2F">
        <w:rPr>
          <w:lang w:val="pl-PL"/>
        </w:rPr>
        <w:t xml:space="preserve">. Skarżący </w:t>
      </w:r>
      <w:r w:rsidR="00B22A51" w:rsidRPr="00D15A2F">
        <w:rPr>
          <w:lang w:val="pl-PL"/>
        </w:rPr>
        <w:t>złożył</w:t>
      </w:r>
      <w:r w:rsidRPr="00D15A2F">
        <w:rPr>
          <w:lang w:val="pl-PL"/>
        </w:rPr>
        <w:t xml:space="preserve"> </w:t>
      </w:r>
      <w:r w:rsidR="00B22A51" w:rsidRPr="00D15A2F">
        <w:rPr>
          <w:lang w:val="pl-PL"/>
        </w:rPr>
        <w:t>apelację</w:t>
      </w:r>
      <w:r w:rsidRPr="00D15A2F">
        <w:rPr>
          <w:lang w:val="pl-PL"/>
        </w:rPr>
        <w:t xml:space="preserve">. W toku </w:t>
      </w:r>
      <w:r w:rsidR="00F05E26" w:rsidRPr="00D15A2F">
        <w:rPr>
          <w:lang w:val="pl-PL"/>
        </w:rPr>
        <w:t>postępowania apelacyjnego pozostawał tymczasowo aresztowany.</w:t>
      </w:r>
    </w:p>
    <w:p w14:paraId="69A9354A" w14:textId="0104F769"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17</w:t>
      </w:r>
      <w:r w:rsidRPr="00D15A2F">
        <w:rPr>
          <w:lang w:val="pl-PL"/>
        </w:rPr>
        <w:fldChar w:fldCharType="end"/>
      </w:r>
      <w:r w:rsidRPr="00D15A2F">
        <w:rPr>
          <w:lang w:val="pl-PL"/>
        </w:rPr>
        <w:t xml:space="preserve">. W dniu 30 stycznia 2009 roku Sąd Okręgowy w Lublinie rozpatrzył odwołanie skarżącego. Uchylił wyrok </w:t>
      </w:r>
      <w:r w:rsidR="00F05E26" w:rsidRPr="00D15A2F">
        <w:rPr>
          <w:lang w:val="pl-PL"/>
        </w:rPr>
        <w:t xml:space="preserve">sądu </w:t>
      </w:r>
      <w:r w:rsidRPr="00D15A2F">
        <w:rPr>
          <w:lang w:val="pl-PL"/>
        </w:rPr>
        <w:t xml:space="preserve">pierwszej instancji i przekazał sprawę do ponownego rozpatrzenia. Sąd przedłużył również okres </w:t>
      </w:r>
      <w:r w:rsidR="00F05E26" w:rsidRPr="00D15A2F">
        <w:rPr>
          <w:lang w:val="pl-PL"/>
        </w:rPr>
        <w:t>tymczasowego aresztowania</w:t>
      </w:r>
      <w:r w:rsidRPr="00D15A2F">
        <w:rPr>
          <w:lang w:val="pl-PL"/>
        </w:rPr>
        <w:t xml:space="preserve"> skarżącego do 30 kwietnia 2009 roku, powtarzając wcześniej</w:t>
      </w:r>
      <w:r w:rsidR="00F05E26" w:rsidRPr="00D15A2F">
        <w:rPr>
          <w:lang w:val="pl-PL"/>
        </w:rPr>
        <w:t>sze</w:t>
      </w:r>
      <w:r w:rsidRPr="00D15A2F">
        <w:rPr>
          <w:lang w:val="pl-PL"/>
        </w:rPr>
        <w:t xml:space="preserve"> uzasadnienie.</w:t>
      </w:r>
    </w:p>
    <w:p w14:paraId="1B6E4F9F"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18</w:t>
      </w:r>
      <w:r w:rsidRPr="00D15A2F">
        <w:rPr>
          <w:lang w:val="pl-PL"/>
        </w:rPr>
        <w:fldChar w:fldCharType="end"/>
      </w:r>
      <w:r w:rsidRPr="00D15A2F">
        <w:rPr>
          <w:lang w:val="pl-PL"/>
        </w:rPr>
        <w:t xml:space="preserve">. W dniu 27 lutego 2009 roku akta dotyczące sprawy skarżącego zostały przekazane do Sądu Rejonowego </w:t>
      </w:r>
      <w:r w:rsidRPr="001B508E">
        <w:rPr>
          <w:lang w:val="pl-PL"/>
        </w:rPr>
        <w:t xml:space="preserve">w Lublinie do ponownego rozpatrzenia. </w:t>
      </w:r>
    </w:p>
    <w:p w14:paraId="71F14446" w14:textId="34A7EABE"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19</w:t>
      </w:r>
      <w:r w:rsidRPr="00D15A2F">
        <w:rPr>
          <w:lang w:val="pl-PL"/>
        </w:rPr>
        <w:fldChar w:fldCharType="end"/>
      </w:r>
      <w:r w:rsidRPr="00D15A2F">
        <w:rPr>
          <w:lang w:val="pl-PL"/>
        </w:rPr>
        <w:t xml:space="preserve">. W dniu 7 kwietnia 2009 roku Sąd Rejonowy w Lublinie </w:t>
      </w:r>
      <w:r w:rsidR="00F05E26" w:rsidRPr="00D15A2F">
        <w:rPr>
          <w:lang w:val="pl-PL"/>
        </w:rPr>
        <w:t>zwrócił</w:t>
      </w:r>
      <w:r w:rsidRPr="00D15A2F">
        <w:rPr>
          <w:lang w:val="pl-PL"/>
        </w:rPr>
        <w:t xml:space="preserve"> się do Prokuratury o uzupełn</w:t>
      </w:r>
      <w:r w:rsidR="00F05E26" w:rsidRPr="00D15A2F">
        <w:rPr>
          <w:lang w:val="pl-PL"/>
        </w:rPr>
        <w:t>ienie aktu oskarżenia. Jednakże</w:t>
      </w:r>
      <w:r w:rsidRPr="00D15A2F">
        <w:rPr>
          <w:lang w:val="pl-PL"/>
        </w:rPr>
        <w:t xml:space="preserve"> w dniu 25 czerwca 2009 roku Sąd Okręgowy w Lublinie uchylił tę decyzję, </w:t>
      </w:r>
      <w:r w:rsidR="00F05E26" w:rsidRPr="00D15A2F">
        <w:rPr>
          <w:lang w:val="pl-PL"/>
        </w:rPr>
        <w:t>przekazał</w:t>
      </w:r>
      <w:r w:rsidRPr="00D15A2F">
        <w:rPr>
          <w:lang w:val="pl-PL"/>
        </w:rPr>
        <w:t xml:space="preserve"> sprawę do Sądu Rejonowego i nakazał dalsze prowadzenie postępowania.</w:t>
      </w:r>
    </w:p>
    <w:p w14:paraId="4FD53680" w14:textId="0AD38D9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20</w:t>
      </w:r>
      <w:r w:rsidRPr="00D15A2F">
        <w:rPr>
          <w:lang w:val="pl-PL"/>
        </w:rPr>
        <w:fldChar w:fldCharType="end"/>
      </w:r>
      <w:r w:rsidRPr="00D15A2F">
        <w:rPr>
          <w:lang w:val="pl-PL"/>
        </w:rPr>
        <w:t xml:space="preserve">. W dniu 30 kwietnia 2009 roku Sąd Rejonowy w Lublinie przedłużył </w:t>
      </w:r>
      <w:r w:rsidR="00F05E26" w:rsidRPr="00D15A2F">
        <w:rPr>
          <w:lang w:val="pl-PL"/>
        </w:rPr>
        <w:t>tymczasowe aresztowanie</w:t>
      </w:r>
      <w:r w:rsidRPr="00D15A2F">
        <w:rPr>
          <w:lang w:val="pl-PL"/>
        </w:rPr>
        <w:t xml:space="preserve"> skarżącego do 30 lipca 2009 roku, powtarzając wcześniej</w:t>
      </w:r>
      <w:r w:rsidR="00F05E26" w:rsidRPr="00D15A2F">
        <w:rPr>
          <w:lang w:val="pl-PL"/>
        </w:rPr>
        <w:t>sze</w:t>
      </w:r>
      <w:r w:rsidRPr="00D15A2F">
        <w:rPr>
          <w:lang w:val="pl-PL"/>
        </w:rPr>
        <w:t xml:space="preserve"> uzasadnienie.</w:t>
      </w:r>
    </w:p>
    <w:p w14:paraId="4198BD1E" w14:textId="0BFDEC7C"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21</w:t>
      </w:r>
      <w:r w:rsidRPr="00D15A2F">
        <w:rPr>
          <w:lang w:val="pl-PL"/>
        </w:rPr>
        <w:fldChar w:fldCharType="end"/>
      </w:r>
      <w:r w:rsidR="006F0E3D" w:rsidRPr="00D15A2F">
        <w:rPr>
          <w:lang w:val="pl-PL"/>
        </w:rPr>
        <w:t>.</w:t>
      </w:r>
      <w:r w:rsidRPr="00D15A2F">
        <w:rPr>
          <w:lang w:val="pl-PL"/>
        </w:rPr>
        <w:t xml:space="preserve"> W dniu 9 czerwca 2009 roku Sąd Rejonowy w Lublinie przedłużył </w:t>
      </w:r>
      <w:r w:rsidR="00F05E26" w:rsidRPr="00D15A2F">
        <w:rPr>
          <w:lang w:val="pl-PL"/>
        </w:rPr>
        <w:t>tymczasowe aresztowanie skarżącego</w:t>
      </w:r>
      <w:r w:rsidRPr="00D15A2F">
        <w:rPr>
          <w:lang w:val="pl-PL"/>
        </w:rPr>
        <w:t xml:space="preserve"> do 30 października 2009 roku. Skarżący złożył zażalenie od tej decyzji. W dniu 23 lipca 2009 roku Sąd Okręgowy w Lublinie uchylił </w:t>
      </w:r>
      <w:r w:rsidR="006F0E3D" w:rsidRPr="00D15A2F">
        <w:rPr>
          <w:lang w:val="pl-PL"/>
        </w:rPr>
        <w:t>postanowienie</w:t>
      </w:r>
      <w:r w:rsidRPr="00D15A2F">
        <w:rPr>
          <w:lang w:val="pl-PL"/>
        </w:rPr>
        <w:t xml:space="preserve"> Sądu Rejonowego, uznając </w:t>
      </w:r>
      <w:r w:rsidR="006F0E3D" w:rsidRPr="00D15A2F">
        <w:rPr>
          <w:lang w:val="pl-PL"/>
        </w:rPr>
        <w:t>że</w:t>
      </w:r>
      <w:r w:rsidRPr="00D15A2F">
        <w:rPr>
          <w:lang w:val="pl-PL"/>
        </w:rPr>
        <w:t xml:space="preserve"> </w:t>
      </w:r>
      <w:r w:rsidR="006F0E3D" w:rsidRPr="00D15A2F">
        <w:rPr>
          <w:lang w:val="pl-PL"/>
        </w:rPr>
        <w:t>zostało wydane</w:t>
      </w:r>
      <w:r w:rsidRPr="00D15A2F">
        <w:rPr>
          <w:lang w:val="pl-PL"/>
        </w:rPr>
        <w:t xml:space="preserve"> przez sędziego, który powinien zostać wyłączony </w:t>
      </w:r>
      <w:r w:rsidRPr="00D15A2F">
        <w:rPr>
          <w:i/>
          <w:lang w:val="pl-PL"/>
        </w:rPr>
        <w:t>ex lege</w:t>
      </w:r>
      <w:r w:rsidRPr="00D15A2F">
        <w:rPr>
          <w:lang w:val="pl-PL"/>
        </w:rPr>
        <w:t xml:space="preserve"> od </w:t>
      </w:r>
      <w:r w:rsidR="006F0E3D" w:rsidRPr="00D15A2F">
        <w:rPr>
          <w:lang w:val="pl-PL"/>
        </w:rPr>
        <w:t>orzekania</w:t>
      </w:r>
      <w:r w:rsidRPr="00D15A2F">
        <w:rPr>
          <w:lang w:val="pl-PL"/>
        </w:rPr>
        <w:t xml:space="preserve"> w sprawie skarżącego.</w:t>
      </w:r>
    </w:p>
    <w:p w14:paraId="1B9C01F7" w14:textId="0D8E666F"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22</w:t>
      </w:r>
      <w:r w:rsidRPr="00D15A2F">
        <w:rPr>
          <w:lang w:val="pl-PL"/>
        </w:rPr>
        <w:fldChar w:fldCharType="end"/>
      </w:r>
      <w:r w:rsidRPr="00D15A2F">
        <w:rPr>
          <w:lang w:val="pl-PL"/>
        </w:rPr>
        <w:t xml:space="preserve">. W dniu 24 lipca 2009 roku Sąd Rejonowy w Lublinie, w odmiennym składzie, ponownie przedłużył </w:t>
      </w:r>
      <w:r w:rsidR="006F0E3D" w:rsidRPr="00D15A2F">
        <w:rPr>
          <w:lang w:val="pl-PL"/>
        </w:rPr>
        <w:t>tymczasowe aresztowanie</w:t>
      </w:r>
      <w:r w:rsidRPr="00D15A2F">
        <w:rPr>
          <w:lang w:val="pl-PL"/>
        </w:rPr>
        <w:t xml:space="preserve"> skarżącego do 30 października 2009 roku. Sąd przedłużał następnie </w:t>
      </w:r>
      <w:r w:rsidR="006F0E3D" w:rsidRPr="00D15A2F">
        <w:rPr>
          <w:lang w:val="pl-PL"/>
        </w:rPr>
        <w:t>aresztowanie</w:t>
      </w:r>
      <w:r w:rsidRPr="00D15A2F">
        <w:rPr>
          <w:lang w:val="pl-PL"/>
        </w:rPr>
        <w:t xml:space="preserve"> skarżącego w dniach 27 października 2009 r</w:t>
      </w:r>
      <w:r w:rsidR="006F0E3D" w:rsidRPr="00D15A2F">
        <w:rPr>
          <w:lang w:val="pl-PL"/>
        </w:rPr>
        <w:t>oku</w:t>
      </w:r>
      <w:r w:rsidRPr="00D15A2F">
        <w:rPr>
          <w:lang w:val="pl-PL"/>
        </w:rPr>
        <w:t xml:space="preserve"> (do 30 stycznia 2010 r</w:t>
      </w:r>
      <w:r w:rsidR="006F0E3D" w:rsidRPr="00D15A2F">
        <w:rPr>
          <w:lang w:val="pl-PL"/>
        </w:rPr>
        <w:t>oku</w:t>
      </w:r>
      <w:r w:rsidRPr="00D15A2F">
        <w:rPr>
          <w:lang w:val="pl-PL"/>
        </w:rPr>
        <w:t>), 22 stycznia 2010 r</w:t>
      </w:r>
      <w:r w:rsidR="006F0E3D" w:rsidRPr="00D15A2F">
        <w:rPr>
          <w:lang w:val="pl-PL"/>
        </w:rPr>
        <w:t>oku</w:t>
      </w:r>
      <w:r w:rsidRPr="00D15A2F">
        <w:rPr>
          <w:lang w:val="pl-PL"/>
        </w:rPr>
        <w:t xml:space="preserve"> (do 30 kwietnia 2010 r</w:t>
      </w:r>
      <w:r w:rsidR="006F0E3D" w:rsidRPr="00D15A2F">
        <w:rPr>
          <w:lang w:val="pl-PL"/>
        </w:rPr>
        <w:t>oku</w:t>
      </w:r>
      <w:r w:rsidRPr="00D15A2F">
        <w:rPr>
          <w:lang w:val="pl-PL"/>
        </w:rPr>
        <w:t>), 21 kwietnia 2010 r</w:t>
      </w:r>
      <w:r w:rsidR="006F0E3D" w:rsidRPr="00D15A2F">
        <w:rPr>
          <w:lang w:val="pl-PL"/>
        </w:rPr>
        <w:t xml:space="preserve">oku </w:t>
      </w:r>
      <w:r w:rsidR="006F0E3D">
        <w:rPr>
          <w:lang w:val="pl-PL"/>
        </w:rPr>
        <w:t>(do 31 lipca 2010 roku</w:t>
      </w:r>
      <w:r w:rsidRPr="001B508E">
        <w:rPr>
          <w:lang w:val="pl-PL"/>
        </w:rPr>
        <w:t xml:space="preserve">), 16 lipca 2010 </w:t>
      </w:r>
      <w:r w:rsidR="006F0E3D">
        <w:rPr>
          <w:lang w:val="pl-PL"/>
        </w:rPr>
        <w:t xml:space="preserve">roku </w:t>
      </w:r>
      <w:r w:rsidRPr="001B508E">
        <w:rPr>
          <w:lang w:val="pl-PL"/>
        </w:rPr>
        <w:t>(do 31 października 2010 r</w:t>
      </w:r>
      <w:r w:rsidR="006F0E3D">
        <w:rPr>
          <w:lang w:val="pl-PL"/>
        </w:rPr>
        <w:t>oku</w:t>
      </w:r>
      <w:r w:rsidRPr="001B508E">
        <w:rPr>
          <w:lang w:val="pl-PL"/>
        </w:rPr>
        <w:t xml:space="preserve">), </w:t>
      </w:r>
      <w:r w:rsidRPr="001B508E">
        <w:rPr>
          <w:lang w:val="pl-PL"/>
        </w:rPr>
        <w:lastRenderedPageBreak/>
        <w:t>28 października 2010 r</w:t>
      </w:r>
      <w:r w:rsidR="006F0E3D">
        <w:rPr>
          <w:lang w:val="pl-PL"/>
        </w:rPr>
        <w:t>oku</w:t>
      </w:r>
      <w:r w:rsidRPr="001B508E">
        <w:rPr>
          <w:lang w:val="pl-PL"/>
        </w:rPr>
        <w:t xml:space="preserve"> (do 31 stycznia 2011 r</w:t>
      </w:r>
      <w:r w:rsidR="006F0E3D">
        <w:rPr>
          <w:lang w:val="pl-PL"/>
        </w:rPr>
        <w:t>oku</w:t>
      </w:r>
      <w:r w:rsidRPr="001B508E">
        <w:rPr>
          <w:lang w:val="pl-PL"/>
        </w:rPr>
        <w:t>), 12 stycznia 2011 r</w:t>
      </w:r>
      <w:r w:rsidR="006F0E3D">
        <w:rPr>
          <w:lang w:val="pl-PL"/>
        </w:rPr>
        <w:t xml:space="preserve">oku </w:t>
      </w:r>
      <w:r w:rsidRPr="001B508E">
        <w:rPr>
          <w:lang w:val="pl-PL"/>
        </w:rPr>
        <w:t xml:space="preserve"> (do </w:t>
      </w:r>
      <w:r w:rsidRPr="00D15A2F">
        <w:rPr>
          <w:lang w:val="pl-PL"/>
        </w:rPr>
        <w:t>30 kwietnia 2011 r</w:t>
      </w:r>
      <w:r w:rsidR="006F0E3D" w:rsidRPr="00D15A2F">
        <w:rPr>
          <w:lang w:val="pl-PL"/>
        </w:rPr>
        <w:t>oku</w:t>
      </w:r>
      <w:r w:rsidRPr="00D15A2F">
        <w:rPr>
          <w:lang w:val="pl-PL"/>
        </w:rPr>
        <w:t>) oraz w dniu 28 kwietnia 2011 r</w:t>
      </w:r>
      <w:r w:rsidR="006F0E3D" w:rsidRPr="00D15A2F">
        <w:rPr>
          <w:lang w:val="pl-PL"/>
        </w:rPr>
        <w:t>oku</w:t>
      </w:r>
      <w:r w:rsidRPr="00D15A2F">
        <w:rPr>
          <w:lang w:val="pl-PL"/>
        </w:rPr>
        <w:t xml:space="preserve"> (do 31 lipca 2011 r</w:t>
      </w:r>
      <w:r w:rsidR="006F0E3D" w:rsidRPr="00D15A2F">
        <w:rPr>
          <w:lang w:val="pl-PL"/>
        </w:rPr>
        <w:t>oku</w:t>
      </w:r>
      <w:r w:rsidRPr="00D15A2F">
        <w:rPr>
          <w:lang w:val="pl-PL"/>
        </w:rPr>
        <w:t>). Za każdym razem sąd powtarzał powody przedstawione wcześniej i nie znajdował żadnych podstaw uzasadniających zwolnienie skarżącego z aresztu na mocy Artykułu 259 Kodeksu karnego. Ponadto sąd stwierdził, ż</w:t>
      </w:r>
      <w:r w:rsidR="006F0E3D" w:rsidRPr="00D15A2F">
        <w:rPr>
          <w:lang w:val="pl-PL"/>
        </w:rPr>
        <w:t>e</w:t>
      </w:r>
      <w:r w:rsidRPr="00D15A2F">
        <w:rPr>
          <w:lang w:val="pl-PL"/>
        </w:rPr>
        <w:t xml:space="preserve"> choć </w:t>
      </w:r>
      <w:r w:rsidR="006F0E3D" w:rsidRPr="00D15A2F">
        <w:rPr>
          <w:lang w:val="pl-PL"/>
        </w:rPr>
        <w:t>z raportów medycznych wynikało, że</w:t>
      </w:r>
      <w:r w:rsidRPr="00D15A2F">
        <w:rPr>
          <w:lang w:val="pl-PL"/>
        </w:rPr>
        <w:t xml:space="preserve"> </w:t>
      </w:r>
      <w:r w:rsidR="006F0E3D" w:rsidRPr="00D15A2F">
        <w:rPr>
          <w:lang w:val="pl-PL"/>
        </w:rPr>
        <w:t>skarżący cierpi na</w:t>
      </w:r>
      <w:r w:rsidRPr="00D15A2F">
        <w:rPr>
          <w:lang w:val="pl-PL"/>
        </w:rPr>
        <w:t xml:space="preserve"> różne problemy zdrowotne, leczenie mogło być prowadzone w ramach zakładu penitencjarnego.</w:t>
      </w:r>
    </w:p>
    <w:p w14:paraId="4B0420F2" w14:textId="362FBD95"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23</w:t>
      </w:r>
      <w:r w:rsidRPr="00D15A2F">
        <w:rPr>
          <w:lang w:val="pl-PL"/>
        </w:rPr>
        <w:fldChar w:fldCharType="end"/>
      </w:r>
      <w:r w:rsidRPr="001B508E">
        <w:rPr>
          <w:lang w:val="pl-PL"/>
        </w:rPr>
        <w:t xml:space="preserve"> Sąd przywołał odpowiednie </w:t>
      </w:r>
      <w:r w:rsidRPr="00D15A2F">
        <w:rPr>
          <w:lang w:val="pl-PL"/>
        </w:rPr>
        <w:t xml:space="preserve">postanowienia Konwencji i stwierdził, że z uwagi na złożoność sprawy i fakt, iż </w:t>
      </w:r>
      <w:r w:rsidR="00D603D1" w:rsidRPr="00D15A2F">
        <w:rPr>
          <w:lang w:val="pl-PL"/>
        </w:rPr>
        <w:t>skarżący został oskarżony o popełnienie</w:t>
      </w:r>
      <w:r w:rsidRPr="00D15A2F">
        <w:rPr>
          <w:lang w:val="pl-PL"/>
        </w:rPr>
        <w:t xml:space="preserve"> licznych i różnych przestępstw we współpracy z innymi osobami, okres zatrzymania, choć stosunkowo długi, nie przekroczył "rozsądnego terminu" w rozumieniu Konwencji. Sąd uznał także, iż "</w:t>
      </w:r>
      <w:r w:rsidR="00D603D1" w:rsidRPr="00D15A2F">
        <w:rPr>
          <w:lang w:val="pl-PL"/>
        </w:rPr>
        <w:t>aresztowanie</w:t>
      </w:r>
      <w:r w:rsidRPr="00D15A2F">
        <w:rPr>
          <w:lang w:val="pl-PL"/>
        </w:rPr>
        <w:t xml:space="preserve"> było niezbędne ponieważ inne, łagodniejsze środki zapobiegawcze nie osiągnęłyby swojego celu w sposób właściwy".</w:t>
      </w:r>
    </w:p>
    <w:p w14:paraId="7870B0F0" w14:textId="3BBAB3E9"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24</w:t>
      </w:r>
      <w:r w:rsidRPr="00D15A2F">
        <w:rPr>
          <w:lang w:val="pl-PL"/>
        </w:rPr>
        <w:fldChar w:fldCharType="end"/>
      </w:r>
      <w:r w:rsidRPr="00D15A2F">
        <w:rPr>
          <w:lang w:val="pl-PL"/>
        </w:rPr>
        <w:t>. W międzyczasie, 16 listopada 2009 roku</w:t>
      </w:r>
      <w:r w:rsidR="00D603D1" w:rsidRPr="00D15A2F">
        <w:rPr>
          <w:lang w:val="pl-PL"/>
        </w:rPr>
        <w:t>,</w:t>
      </w:r>
      <w:r w:rsidRPr="00D15A2F">
        <w:rPr>
          <w:lang w:val="pl-PL"/>
        </w:rPr>
        <w:t xml:space="preserve"> Sąd Rejonowy w Lublinie rozpatrzył wniosek skarżącego o zwolnienie i go oddalił. Sąd oparł się na </w:t>
      </w:r>
      <w:r w:rsidR="00D603D1" w:rsidRPr="00D15A2F">
        <w:rPr>
          <w:lang w:val="pl-PL"/>
        </w:rPr>
        <w:t>tych samych podstawach</w:t>
      </w:r>
      <w:r w:rsidRPr="00D15A2F">
        <w:rPr>
          <w:lang w:val="pl-PL"/>
        </w:rPr>
        <w:t xml:space="preserve"> co wcześ</w:t>
      </w:r>
      <w:r w:rsidR="00D603D1" w:rsidRPr="00D15A2F">
        <w:rPr>
          <w:lang w:val="pl-PL"/>
        </w:rPr>
        <w:t xml:space="preserve">niej, choć zauważył dodatkowo, </w:t>
      </w:r>
      <w:r w:rsidRPr="00D15A2F">
        <w:rPr>
          <w:lang w:val="pl-PL"/>
        </w:rPr>
        <w:t>ż</w:t>
      </w:r>
      <w:r w:rsidR="00D603D1" w:rsidRPr="00D15A2F">
        <w:rPr>
          <w:lang w:val="pl-PL"/>
        </w:rPr>
        <w:t>e</w:t>
      </w:r>
      <w:r w:rsidRPr="00D15A2F">
        <w:rPr>
          <w:lang w:val="pl-PL"/>
        </w:rPr>
        <w:t xml:space="preserve"> skarżący nie posiadał stałego miejsca zamieszkania w Polsce, był już uprzednio skazany, a po przyznaniu przepustki w trakcie odbywania wyroku – ukrył się za granicą. W Polsce posługiwał się podrobionym paszportem. Sąd uznał, że w </w:t>
      </w:r>
      <w:r w:rsidR="00D603D1" w:rsidRPr="00D15A2F">
        <w:rPr>
          <w:lang w:val="pl-PL"/>
        </w:rPr>
        <w:t>takich</w:t>
      </w:r>
      <w:r w:rsidRPr="00D15A2F">
        <w:rPr>
          <w:lang w:val="pl-PL"/>
        </w:rPr>
        <w:t xml:space="preserve"> okoli</w:t>
      </w:r>
      <w:r w:rsidR="00D603D1" w:rsidRPr="00D15A2F">
        <w:rPr>
          <w:lang w:val="pl-PL"/>
        </w:rPr>
        <w:t xml:space="preserve">cznościach i biorąc pod uwagę, </w:t>
      </w:r>
      <w:r w:rsidRPr="00D15A2F">
        <w:rPr>
          <w:lang w:val="pl-PL"/>
        </w:rPr>
        <w:t>ż</w:t>
      </w:r>
      <w:r w:rsidR="00D603D1" w:rsidRPr="00D15A2F">
        <w:rPr>
          <w:lang w:val="pl-PL"/>
        </w:rPr>
        <w:t>e</w:t>
      </w:r>
      <w:r w:rsidRPr="00D15A2F">
        <w:rPr>
          <w:lang w:val="pl-PL"/>
        </w:rPr>
        <w:t xml:space="preserve"> skarżący wciąż miał zaległy wyrok do odbycia w Polsce, istniała uzasadniona obawa, że może zbiec lub się ukrywać. Sąd stwierdził, że inne środki zapobiegawcze, </w:t>
      </w:r>
      <w:r w:rsidR="000667E2" w:rsidRPr="00D15A2F">
        <w:rPr>
          <w:lang w:val="pl-PL"/>
        </w:rPr>
        <w:t>nie obejmujące</w:t>
      </w:r>
      <w:r w:rsidRPr="00D15A2F">
        <w:rPr>
          <w:lang w:val="pl-PL"/>
        </w:rPr>
        <w:t xml:space="preserve"> pozbawienia </w:t>
      </w:r>
      <w:r w:rsidR="000667E2" w:rsidRPr="00D15A2F">
        <w:rPr>
          <w:lang w:val="pl-PL"/>
        </w:rPr>
        <w:t xml:space="preserve">wolności </w:t>
      </w:r>
      <w:r w:rsidRPr="00D15A2F">
        <w:rPr>
          <w:lang w:val="pl-PL"/>
        </w:rPr>
        <w:t xml:space="preserve">skarżącego, nie zabezpieczyłyby </w:t>
      </w:r>
      <w:r w:rsidR="000667E2" w:rsidRPr="00D15A2F">
        <w:rPr>
          <w:lang w:val="pl-PL"/>
        </w:rPr>
        <w:t>prawidłowego</w:t>
      </w:r>
      <w:r w:rsidRPr="00D15A2F">
        <w:rPr>
          <w:lang w:val="pl-PL"/>
        </w:rPr>
        <w:t xml:space="preserve"> toku postępowania.</w:t>
      </w:r>
    </w:p>
    <w:p w14:paraId="1640DCE7" w14:textId="47D6C3B1"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25</w:t>
      </w:r>
      <w:r w:rsidRPr="00D15A2F">
        <w:rPr>
          <w:lang w:val="pl-PL"/>
        </w:rPr>
        <w:fldChar w:fldCharType="end"/>
      </w:r>
      <w:r w:rsidRPr="00D15A2F">
        <w:rPr>
          <w:lang w:val="pl-PL"/>
        </w:rPr>
        <w:t xml:space="preserve">. W dniu 5 maja 2011 roku Sąd Rejonowy w Lublinie skazał skarżącego. Skarżący złożył </w:t>
      </w:r>
      <w:r w:rsidR="000667E2" w:rsidRPr="00D15A2F">
        <w:rPr>
          <w:lang w:val="pl-PL"/>
        </w:rPr>
        <w:t>apelację</w:t>
      </w:r>
      <w:r w:rsidRPr="00D15A2F">
        <w:rPr>
          <w:lang w:val="pl-PL"/>
        </w:rPr>
        <w:t>.</w:t>
      </w:r>
    </w:p>
    <w:p w14:paraId="51674B2E" w14:textId="151E43F5"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26</w:t>
      </w:r>
      <w:r w:rsidRPr="00D15A2F">
        <w:rPr>
          <w:lang w:val="pl-PL"/>
        </w:rPr>
        <w:fldChar w:fldCharType="end"/>
      </w:r>
      <w:r w:rsidRPr="00D15A2F">
        <w:rPr>
          <w:lang w:val="pl-PL"/>
        </w:rPr>
        <w:t xml:space="preserve">. W dniu 28 lutego 2012 roku Sąd Okręgowy w Lublinie ponownie uchylił wyrok </w:t>
      </w:r>
      <w:r w:rsidR="000667E2" w:rsidRPr="00D15A2F">
        <w:rPr>
          <w:lang w:val="pl-PL"/>
        </w:rPr>
        <w:t xml:space="preserve">sądu </w:t>
      </w:r>
      <w:r w:rsidRPr="00D15A2F">
        <w:rPr>
          <w:lang w:val="pl-PL"/>
        </w:rPr>
        <w:t>pierwszej instancji i skierował sprawę do ponownego rozpatrzenia.</w:t>
      </w:r>
    </w:p>
    <w:p w14:paraId="02BC0592" w14:textId="1E865FD0"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27</w:t>
      </w:r>
      <w:r w:rsidRPr="00D15A2F">
        <w:rPr>
          <w:lang w:val="pl-PL"/>
        </w:rPr>
        <w:fldChar w:fldCharType="end"/>
      </w:r>
      <w:r w:rsidR="000667E2" w:rsidRPr="00D15A2F">
        <w:rPr>
          <w:lang w:val="pl-PL"/>
        </w:rPr>
        <w:t>.</w:t>
      </w:r>
      <w:r w:rsidRPr="00D15A2F">
        <w:rPr>
          <w:lang w:val="pl-PL"/>
        </w:rPr>
        <w:t xml:space="preserve"> Od 17 grudnia 2010 </w:t>
      </w:r>
      <w:r w:rsidR="000667E2" w:rsidRPr="00D15A2F">
        <w:rPr>
          <w:lang w:val="pl-PL"/>
        </w:rPr>
        <w:t xml:space="preserve">roku </w:t>
      </w:r>
      <w:r w:rsidRPr="00D15A2F">
        <w:rPr>
          <w:lang w:val="pl-PL"/>
        </w:rPr>
        <w:t xml:space="preserve">skarżący odbywa karę </w:t>
      </w:r>
      <w:r w:rsidR="000667E2" w:rsidRPr="00D15A2F">
        <w:rPr>
          <w:lang w:val="pl-PL"/>
        </w:rPr>
        <w:t>pozbawienia wolności</w:t>
      </w:r>
      <w:r w:rsidRPr="00D15A2F">
        <w:rPr>
          <w:lang w:val="pl-PL"/>
        </w:rPr>
        <w:t xml:space="preserve"> </w:t>
      </w:r>
      <w:r w:rsidR="000667E2" w:rsidRPr="00D15A2F">
        <w:rPr>
          <w:lang w:val="pl-PL"/>
        </w:rPr>
        <w:t>orzeczoną wobec</w:t>
      </w:r>
      <w:r w:rsidRPr="00D15A2F">
        <w:rPr>
          <w:lang w:val="pl-PL"/>
        </w:rPr>
        <w:t xml:space="preserve"> niego w innym postępowaniu karnym.</w:t>
      </w:r>
    </w:p>
    <w:p w14:paraId="022E6E10" w14:textId="57C95DAC" w:rsidR="00234FC9" w:rsidRPr="00D15A2F" w:rsidRDefault="00234FC9" w:rsidP="00D15A2F">
      <w:pPr>
        <w:pStyle w:val="ECHRHeading2"/>
        <w:tabs>
          <w:tab w:val="left" w:pos="6574"/>
        </w:tabs>
        <w:rPr>
          <w:lang w:val="pl-PL"/>
        </w:rPr>
      </w:pPr>
      <w:r w:rsidRPr="00D15A2F">
        <w:rPr>
          <w:lang w:val="pl-PL"/>
        </w:rPr>
        <w:t>C. Postęp</w:t>
      </w:r>
      <w:r w:rsidR="000667E2" w:rsidRPr="00D15A2F">
        <w:rPr>
          <w:lang w:val="pl-PL"/>
        </w:rPr>
        <w:t>owanie w trybie ustawy z 2004 roku</w:t>
      </w:r>
      <w:r w:rsidRPr="00D15A2F">
        <w:rPr>
          <w:lang w:val="pl-PL"/>
        </w:rPr>
        <w:t xml:space="preserve"> (V S 11/11)</w:t>
      </w:r>
      <w:r w:rsidR="00D15A2F" w:rsidRPr="00D15A2F">
        <w:rPr>
          <w:lang w:val="pl-PL"/>
        </w:rPr>
        <w:tab/>
      </w:r>
    </w:p>
    <w:p w14:paraId="4A40FBE2" w14:textId="51D85401"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28</w:t>
      </w:r>
      <w:r w:rsidRPr="00D15A2F">
        <w:rPr>
          <w:lang w:val="pl-PL"/>
        </w:rPr>
        <w:fldChar w:fldCharType="end"/>
      </w:r>
      <w:r w:rsidRPr="00D15A2F">
        <w:rPr>
          <w:lang w:val="pl-PL"/>
        </w:rPr>
        <w:t xml:space="preserve">. W dniu 4 maja 2011 roku skarżący złożył w Sądzie Okręgowym w Lublinie skargę </w:t>
      </w:r>
      <w:r w:rsidR="000667E2" w:rsidRPr="00D15A2F">
        <w:rPr>
          <w:lang w:val="pl-PL"/>
        </w:rPr>
        <w:t>na podstawie</w:t>
      </w:r>
      <w:r w:rsidRPr="00D15A2F">
        <w:rPr>
          <w:lang w:val="pl-PL"/>
        </w:rPr>
        <w:t xml:space="preserve"> artykułu 5 Ustawy z </w:t>
      </w:r>
      <w:r w:rsidR="000667E2" w:rsidRPr="00D15A2F">
        <w:rPr>
          <w:lang w:val="pl-PL"/>
        </w:rPr>
        <w:t xml:space="preserve">dnia </w:t>
      </w:r>
      <w:r w:rsidRPr="00D15A2F">
        <w:rPr>
          <w:lang w:val="pl-PL"/>
        </w:rPr>
        <w:t>17 czerwca 2004 roku o skardze na naruszenie prawa strony do rozpoznania sprawy w postępowaniu przygotowawczym prowadzonym lub nadzorowanym przez prokuratora i postępowaniu sądowym bez nieuzasadnionej zwłoki ("ustawa z 2004 r</w:t>
      </w:r>
      <w:r w:rsidR="000667E2" w:rsidRPr="00D15A2F">
        <w:rPr>
          <w:lang w:val="pl-PL"/>
        </w:rPr>
        <w:t>oku</w:t>
      </w:r>
      <w:r w:rsidRPr="00D15A2F">
        <w:rPr>
          <w:lang w:val="pl-PL"/>
        </w:rPr>
        <w:t xml:space="preserve">"). Stwierdził w niej, że postępowanie rozpoczęło się w 2005 roku i trwa nadal. Domagał się uznania, że postępowanie było przewlekłe oraz słusznego zadośćuczynienia w wysokości 10 000 złotych. </w:t>
      </w:r>
    </w:p>
    <w:p w14:paraId="3A0BF40D" w14:textId="22606F17" w:rsidR="00234FC9" w:rsidRPr="00D15A2F" w:rsidRDefault="00234FC9" w:rsidP="008214F0">
      <w:pPr>
        <w:pStyle w:val="ECHRPara"/>
        <w:rPr>
          <w:lang w:val="pl-PL"/>
        </w:rPr>
      </w:pPr>
      <w:r w:rsidRPr="00D15A2F">
        <w:rPr>
          <w:lang w:val="pl-PL"/>
        </w:rPr>
        <w:lastRenderedPageBreak/>
        <w:fldChar w:fldCharType="begin"/>
      </w:r>
      <w:r w:rsidRPr="00D15A2F">
        <w:rPr>
          <w:lang w:val="pl-PL"/>
        </w:rPr>
        <w:instrText xml:space="preserve"> SEQ level0 \*arabic </w:instrText>
      </w:r>
      <w:r w:rsidRPr="00D15A2F">
        <w:rPr>
          <w:lang w:val="pl-PL"/>
        </w:rPr>
        <w:fldChar w:fldCharType="separate"/>
      </w:r>
      <w:r w:rsidR="003876CB">
        <w:rPr>
          <w:noProof/>
          <w:lang w:val="pl-PL"/>
        </w:rPr>
        <w:t>29</w:t>
      </w:r>
      <w:r w:rsidRPr="00D15A2F">
        <w:rPr>
          <w:lang w:val="pl-PL"/>
        </w:rPr>
        <w:fldChar w:fldCharType="end"/>
      </w:r>
      <w:r w:rsidRPr="00D15A2F">
        <w:rPr>
          <w:lang w:val="pl-PL"/>
        </w:rPr>
        <w:t>. W dniu 26 maja 2011 r</w:t>
      </w:r>
      <w:r w:rsidR="000667E2" w:rsidRPr="00D15A2F">
        <w:rPr>
          <w:lang w:val="pl-PL"/>
        </w:rPr>
        <w:t>oku</w:t>
      </w:r>
      <w:r w:rsidRPr="00D15A2F">
        <w:rPr>
          <w:lang w:val="pl-PL"/>
        </w:rPr>
        <w:t xml:space="preserve"> Sąd Okręgowy w Lublinie oddalił skargę. Sąd nie przychylił się do poglądu skarżącego, jakoby postępowanie trwało od 2005 roku. Sąd zbadał tylko przebieg postępowania po </w:t>
      </w:r>
      <w:r w:rsidR="000667E2" w:rsidRPr="00D15A2F">
        <w:rPr>
          <w:lang w:val="pl-PL"/>
        </w:rPr>
        <w:t>dniu 27 lutego 2009 roku</w:t>
      </w:r>
      <w:r w:rsidRPr="00D15A2F">
        <w:rPr>
          <w:lang w:val="pl-PL"/>
        </w:rPr>
        <w:t xml:space="preserve"> stwierdzając</w:t>
      </w:r>
      <w:r w:rsidR="000667E2" w:rsidRPr="00D15A2F">
        <w:rPr>
          <w:lang w:val="pl-PL"/>
        </w:rPr>
        <w:t>, że</w:t>
      </w:r>
      <w:r w:rsidRPr="00D15A2F">
        <w:rPr>
          <w:lang w:val="pl-PL"/>
        </w:rPr>
        <w:t xml:space="preserve"> skarga może odwoływać się wyłącznie do obecnego etapu postępowania, tj. </w:t>
      </w:r>
      <w:r w:rsidR="000667E2" w:rsidRPr="00D15A2F">
        <w:rPr>
          <w:lang w:val="pl-PL"/>
        </w:rPr>
        <w:t xml:space="preserve">następującego </w:t>
      </w:r>
      <w:r w:rsidRPr="00D15A2F">
        <w:rPr>
          <w:lang w:val="pl-PL"/>
        </w:rPr>
        <w:t xml:space="preserve">po </w:t>
      </w:r>
      <w:r w:rsidR="00CC6585" w:rsidRPr="00D15A2F">
        <w:rPr>
          <w:lang w:val="pl-PL"/>
        </w:rPr>
        <w:t>skierowaniu</w:t>
      </w:r>
      <w:r w:rsidRPr="00D15A2F">
        <w:rPr>
          <w:lang w:val="pl-PL"/>
        </w:rPr>
        <w:t xml:space="preserve"> sprawy </w:t>
      </w:r>
      <w:r w:rsidR="000667E2" w:rsidRPr="00D15A2F">
        <w:rPr>
          <w:lang w:val="pl-PL"/>
        </w:rPr>
        <w:t>do</w:t>
      </w:r>
      <w:r w:rsidRPr="00D15A2F">
        <w:rPr>
          <w:lang w:val="pl-PL"/>
        </w:rPr>
        <w:t xml:space="preserve"> ponownego rozpatrzenia do Sądu Rejonowego w Lublinie przez Sąd Okręgowy w Lublinie i należy</w:t>
      </w:r>
      <w:r w:rsidR="00CC6585" w:rsidRPr="00D15A2F">
        <w:rPr>
          <w:lang w:val="pl-PL"/>
        </w:rPr>
        <w:t>tym przekazaniu akt</w:t>
      </w:r>
      <w:r w:rsidRPr="00D15A2F">
        <w:rPr>
          <w:lang w:val="pl-PL"/>
        </w:rPr>
        <w:t xml:space="preserve"> sprawy. W odniesieniu do okresu po </w:t>
      </w:r>
      <w:r w:rsidR="00CC6585" w:rsidRPr="00D15A2F">
        <w:rPr>
          <w:lang w:val="pl-PL"/>
        </w:rPr>
        <w:t>dniu 27 lutego 2009 roku</w:t>
      </w:r>
      <w:r w:rsidRPr="00D15A2F">
        <w:rPr>
          <w:lang w:val="pl-PL"/>
        </w:rPr>
        <w:t xml:space="preserve"> uznał, że postępowanie przed </w:t>
      </w:r>
      <w:r w:rsidR="00CC6585" w:rsidRPr="00D15A2F">
        <w:rPr>
          <w:lang w:val="pl-PL"/>
        </w:rPr>
        <w:t>s</w:t>
      </w:r>
      <w:r w:rsidRPr="00D15A2F">
        <w:rPr>
          <w:lang w:val="pl-PL"/>
        </w:rPr>
        <w:t xml:space="preserve">ądem </w:t>
      </w:r>
      <w:r w:rsidR="00CC6585" w:rsidRPr="00D15A2F">
        <w:rPr>
          <w:lang w:val="pl-PL"/>
        </w:rPr>
        <w:t>było prowadzone</w:t>
      </w:r>
      <w:r w:rsidRPr="00D15A2F">
        <w:rPr>
          <w:lang w:val="pl-PL"/>
        </w:rPr>
        <w:t xml:space="preserve"> we właściwym tempie, zwłaszcza biorąc pod uwagę złożoność sprawy. W szczególności, sąd zauważył, że </w:t>
      </w:r>
      <w:r w:rsidR="00CC6585" w:rsidRPr="00D15A2F">
        <w:rPr>
          <w:lang w:val="pl-PL"/>
        </w:rPr>
        <w:t xml:space="preserve">terminy </w:t>
      </w:r>
      <w:r w:rsidRPr="00D15A2F">
        <w:rPr>
          <w:lang w:val="pl-PL"/>
        </w:rPr>
        <w:t xml:space="preserve">rozprawy odbywały się często, w regularnych </w:t>
      </w:r>
      <w:r w:rsidR="00CC6585" w:rsidRPr="00D15A2F">
        <w:rPr>
          <w:lang w:val="pl-PL"/>
        </w:rPr>
        <w:t>odstępach</w:t>
      </w:r>
      <w:r w:rsidRPr="00D15A2F">
        <w:rPr>
          <w:lang w:val="pl-PL"/>
        </w:rPr>
        <w:t xml:space="preserve">, a jedynie </w:t>
      </w:r>
      <w:r w:rsidR="00CC6585" w:rsidRPr="00D15A2F">
        <w:rPr>
          <w:lang w:val="pl-PL"/>
        </w:rPr>
        <w:t>kilka</w:t>
      </w:r>
      <w:r w:rsidRPr="00D15A2F">
        <w:rPr>
          <w:lang w:val="pl-PL"/>
        </w:rPr>
        <w:t xml:space="preserve"> z nich został</w:t>
      </w:r>
      <w:r w:rsidR="00CC6585" w:rsidRPr="00D15A2F">
        <w:rPr>
          <w:lang w:val="pl-PL"/>
        </w:rPr>
        <w:t>o</w:t>
      </w:r>
      <w:r w:rsidRPr="00D15A2F">
        <w:rPr>
          <w:lang w:val="pl-PL"/>
        </w:rPr>
        <w:t xml:space="preserve"> odroczony</w:t>
      </w:r>
      <w:r w:rsidR="00CC6585" w:rsidRPr="00D15A2F">
        <w:rPr>
          <w:lang w:val="pl-PL"/>
        </w:rPr>
        <w:t>ch</w:t>
      </w:r>
      <w:r w:rsidRPr="00D15A2F">
        <w:rPr>
          <w:lang w:val="pl-PL"/>
        </w:rPr>
        <w:t xml:space="preserve"> z przyczyn nie leżących po stronie sądu. Zauważył ponadto, że na wniosek skarżącego, w dniu 24 maja 2010 roku wezwano czterech świadków, których stałe miejsce zamieszkania znajdowało się we Włoszech, celem złożenia </w:t>
      </w:r>
      <w:r w:rsidR="00CC6585" w:rsidRPr="00D15A2F">
        <w:rPr>
          <w:lang w:val="pl-PL"/>
        </w:rPr>
        <w:t>zeznań</w:t>
      </w:r>
      <w:r w:rsidRPr="00D15A2F">
        <w:rPr>
          <w:lang w:val="pl-PL"/>
        </w:rPr>
        <w:t xml:space="preserve"> na rozprawie w dniu 9 lipca 2010 roku. Cztery wezwania zostały zwrócone z adnotacją "adresat nieznany". W dniu 9 lipca 2010 roku skarżący wskazał polski adres jednego z owych czterech świadków. Sąd odroczył rozprawę do 25 sierpnia 2010 roku i ponownie wezwał świadków. W dniu 25 sierpnia sąd przesłuchał jednego świadka; pozostali trzej nie stawili się. Tego samego dnia skarżący wniósł do sądu o przesłuchanie kolejnego świadka, który </w:t>
      </w:r>
      <w:r w:rsidR="00C2536F" w:rsidRPr="00D15A2F">
        <w:rPr>
          <w:lang w:val="pl-PL"/>
        </w:rPr>
        <w:t xml:space="preserve">był pozbawiony </w:t>
      </w:r>
      <w:r w:rsidRPr="00D15A2F">
        <w:rPr>
          <w:lang w:val="pl-PL"/>
        </w:rPr>
        <w:t>wolności w Wielkiej Brytanii. Sąd przychylił się do wniosku i zdecydował o przesłuchaniu świadka za pośrednictwem urzędu konsularnego. Sąd stwierdził</w:t>
      </w:r>
      <w:r w:rsidR="00C2536F" w:rsidRPr="00D15A2F">
        <w:rPr>
          <w:lang w:val="pl-PL"/>
        </w:rPr>
        <w:t xml:space="preserve"> także</w:t>
      </w:r>
      <w:r w:rsidRPr="00D15A2F">
        <w:rPr>
          <w:lang w:val="pl-PL"/>
        </w:rPr>
        <w:t>, że miały miejsce obiektywne trudności w wyznaczeniu biegłych sądowych kilku specjalności, a niektóre z uzyskanych ekspertyz były niekompletne i musiały zostać zwrócone celem uzupełnienia.</w:t>
      </w:r>
    </w:p>
    <w:p w14:paraId="779E5895" w14:textId="77777777" w:rsidR="00234FC9" w:rsidRPr="001B508E" w:rsidRDefault="00234FC9" w:rsidP="008214F0">
      <w:pPr>
        <w:pStyle w:val="ECHRHeading2"/>
        <w:rPr>
          <w:lang w:val="pl-PL"/>
        </w:rPr>
      </w:pPr>
      <w:r w:rsidRPr="001B508E">
        <w:rPr>
          <w:lang w:val="pl-PL"/>
        </w:rPr>
        <w:t>D. Nadanie statusu "więźnia niebezpiecznego"</w:t>
      </w:r>
    </w:p>
    <w:p w14:paraId="10B93F5F" w14:textId="77777777" w:rsidR="00234FC9" w:rsidRPr="001B508E" w:rsidRDefault="00234FC9" w:rsidP="008214F0">
      <w:pPr>
        <w:pStyle w:val="ECHRHeading3"/>
        <w:rPr>
          <w:lang w:val="pl-PL"/>
        </w:rPr>
      </w:pPr>
      <w:r w:rsidRPr="001B508E">
        <w:rPr>
          <w:lang w:val="pl-PL"/>
        </w:rPr>
        <w:t>1. Fakty bezsporne</w:t>
      </w:r>
    </w:p>
    <w:p w14:paraId="2DC0E113" w14:textId="66E7361C"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30</w:t>
      </w:r>
      <w:r w:rsidRPr="00D15A2F">
        <w:rPr>
          <w:lang w:val="pl-PL"/>
        </w:rPr>
        <w:fldChar w:fldCharType="end"/>
      </w:r>
      <w:r w:rsidRPr="00D15A2F">
        <w:rPr>
          <w:lang w:val="pl-PL"/>
        </w:rPr>
        <w:t>. W dniu 3 stycznia 2007 roku Komisja Penitencjarna Aresztu Śledczego w Lublinie zakwalifikowała skarżącego jako "</w:t>
      </w:r>
      <w:r w:rsidR="00C2536F" w:rsidRPr="00D15A2F">
        <w:rPr>
          <w:lang w:val="pl-PL"/>
        </w:rPr>
        <w:t xml:space="preserve">więźnia </w:t>
      </w:r>
      <w:r w:rsidRPr="00D15A2F">
        <w:rPr>
          <w:lang w:val="pl-PL"/>
        </w:rPr>
        <w:t xml:space="preserve">niebezpiecznego". Komisja uznała, że jest to konieczne ze względu na fakt, iż skarżącemu postawiono liczne zarzuty popełnienia przestępstw przeciwko życiu i zdrowiu. Komisja </w:t>
      </w:r>
      <w:r w:rsidR="00C2536F" w:rsidRPr="00D15A2F">
        <w:rPr>
          <w:lang w:val="pl-PL"/>
        </w:rPr>
        <w:t>odwołała</w:t>
      </w:r>
      <w:r w:rsidRPr="00D15A2F">
        <w:rPr>
          <w:lang w:val="pl-PL"/>
        </w:rPr>
        <w:t xml:space="preserve"> się również do wysokiego stopnia demoralizacji skarżącego i fakt</w:t>
      </w:r>
      <w:r w:rsidR="00C2536F" w:rsidRPr="00D15A2F">
        <w:rPr>
          <w:lang w:val="pl-PL"/>
        </w:rPr>
        <w:t>u, że był recydywistą. Wreszc</w:t>
      </w:r>
      <w:r w:rsidR="00C2536F">
        <w:rPr>
          <w:lang w:val="pl-PL"/>
        </w:rPr>
        <w:t>ie</w:t>
      </w:r>
      <w:r w:rsidRPr="001B508E">
        <w:rPr>
          <w:lang w:val="pl-PL"/>
        </w:rPr>
        <w:t xml:space="preserve"> Komisja podkreśliła, </w:t>
      </w:r>
      <w:r w:rsidRPr="00D15A2F">
        <w:rPr>
          <w:lang w:val="pl-PL"/>
        </w:rPr>
        <w:t xml:space="preserve">że skarżący już dwukrotnie uciekł </w:t>
      </w:r>
      <w:r w:rsidR="00C2536F" w:rsidRPr="00D15A2F">
        <w:rPr>
          <w:lang w:val="pl-PL"/>
        </w:rPr>
        <w:t xml:space="preserve">z więzienia </w:t>
      </w:r>
      <w:r w:rsidRPr="00D15A2F">
        <w:rPr>
          <w:lang w:val="pl-PL"/>
        </w:rPr>
        <w:t>i ukrywał się przed policją przez kilka lat.</w:t>
      </w:r>
    </w:p>
    <w:p w14:paraId="5B876D44" w14:textId="1A1E8B9C"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31</w:t>
      </w:r>
      <w:r w:rsidRPr="00D15A2F">
        <w:rPr>
          <w:lang w:val="pl-PL"/>
        </w:rPr>
        <w:fldChar w:fldCharType="end"/>
      </w:r>
      <w:r w:rsidRPr="00D15A2F">
        <w:rPr>
          <w:lang w:val="pl-PL"/>
        </w:rPr>
        <w:t>. Co trzy miesiące komisja dokonywała weryfikacji decyzji w przedmiocie kwalifikacji skarżącego do kategorii “więźnia niebezpiecznego” i utrzymywała ją w mocy. Komisja podkreśl</w:t>
      </w:r>
      <w:r w:rsidR="0068329E" w:rsidRPr="00D15A2F">
        <w:rPr>
          <w:lang w:val="pl-PL"/>
        </w:rPr>
        <w:t>a</w:t>
      </w:r>
      <w:r w:rsidRPr="00D15A2F">
        <w:rPr>
          <w:lang w:val="pl-PL"/>
        </w:rPr>
        <w:t>ła, że początkowe przesłanki zastosowania środka izolacyjnego nie ustały.</w:t>
      </w:r>
    </w:p>
    <w:p w14:paraId="7577C1F6" w14:textId="6F4BF24D" w:rsidR="00234FC9" w:rsidRPr="00D15A2F" w:rsidRDefault="00234FC9" w:rsidP="008214F0">
      <w:pPr>
        <w:pStyle w:val="ECHRPara"/>
        <w:rPr>
          <w:lang w:val="pl-PL"/>
        </w:rPr>
      </w:pPr>
      <w:r w:rsidRPr="00D15A2F">
        <w:rPr>
          <w:lang w:val="pl-PL"/>
        </w:rPr>
        <w:lastRenderedPageBreak/>
        <w:fldChar w:fldCharType="begin"/>
      </w:r>
      <w:r w:rsidRPr="00D15A2F">
        <w:rPr>
          <w:lang w:val="pl-PL"/>
        </w:rPr>
        <w:instrText xml:space="preserve"> SEQ level0 \*arabic </w:instrText>
      </w:r>
      <w:r w:rsidRPr="00D15A2F">
        <w:rPr>
          <w:lang w:val="pl-PL"/>
        </w:rPr>
        <w:fldChar w:fldCharType="separate"/>
      </w:r>
      <w:r w:rsidR="003876CB">
        <w:rPr>
          <w:noProof/>
          <w:lang w:val="pl-PL"/>
        </w:rPr>
        <w:t>32</w:t>
      </w:r>
      <w:r w:rsidRPr="00D15A2F">
        <w:rPr>
          <w:lang w:val="pl-PL"/>
        </w:rPr>
        <w:fldChar w:fldCharType="end"/>
      </w:r>
      <w:r w:rsidR="0068329E" w:rsidRPr="00D15A2F">
        <w:rPr>
          <w:lang w:val="pl-PL"/>
        </w:rPr>
        <w:t>. Skarżący odwoływa</w:t>
      </w:r>
      <w:r w:rsidRPr="00D15A2F">
        <w:rPr>
          <w:lang w:val="pl-PL"/>
        </w:rPr>
        <w:t>ł się do Sądu Okręgowego w Lu</w:t>
      </w:r>
      <w:r w:rsidR="0068329E" w:rsidRPr="00D15A2F">
        <w:rPr>
          <w:lang w:val="pl-PL"/>
        </w:rPr>
        <w:t>blinie od decyzji przedłużających</w:t>
      </w:r>
      <w:r w:rsidRPr="00D15A2F">
        <w:rPr>
          <w:lang w:val="pl-PL"/>
        </w:rPr>
        <w:t xml:space="preserve"> status "więźnia niebezpiecznego". Wszystkie odwołania zostały oddalone. W szczególności, sąd wydał de</w:t>
      </w:r>
      <w:r w:rsidR="00A659FE" w:rsidRPr="00D15A2F">
        <w:rPr>
          <w:lang w:val="pl-PL"/>
        </w:rPr>
        <w:t>cyzje w dniach</w:t>
      </w:r>
      <w:r w:rsidRPr="00D15A2F">
        <w:rPr>
          <w:lang w:val="pl-PL"/>
        </w:rPr>
        <w:t xml:space="preserve"> 5 czerwca 2008 roku, 29 stycznia i 10 czerwca 2009 roku. </w:t>
      </w:r>
      <w:r w:rsidR="00A659FE" w:rsidRPr="00D15A2F">
        <w:rPr>
          <w:lang w:val="pl-PL"/>
        </w:rPr>
        <w:t>Władze</w:t>
      </w:r>
      <w:r w:rsidRPr="00D15A2F">
        <w:rPr>
          <w:lang w:val="pl-PL"/>
        </w:rPr>
        <w:t xml:space="preserve"> </w:t>
      </w:r>
      <w:r w:rsidR="00A659FE" w:rsidRPr="00D15A2F">
        <w:rPr>
          <w:lang w:val="pl-PL"/>
        </w:rPr>
        <w:t>odwoływały się do</w:t>
      </w:r>
      <w:r w:rsidRPr="00D15A2F">
        <w:rPr>
          <w:lang w:val="pl-PL"/>
        </w:rPr>
        <w:t xml:space="preserve"> przyczyn określonych w pierwotnej decyzji. Szczególny nacisk położ</w:t>
      </w:r>
      <w:r w:rsidR="00A659FE" w:rsidRPr="00D15A2F">
        <w:rPr>
          <w:lang w:val="pl-PL"/>
        </w:rPr>
        <w:t xml:space="preserve">yły </w:t>
      </w:r>
      <w:r w:rsidRPr="00D15A2F">
        <w:rPr>
          <w:lang w:val="pl-PL"/>
        </w:rPr>
        <w:t xml:space="preserve">na ryzyko </w:t>
      </w:r>
      <w:r w:rsidR="00A659FE" w:rsidRPr="00D15A2F">
        <w:rPr>
          <w:lang w:val="pl-PL"/>
        </w:rPr>
        <w:t>wynikające z wagi</w:t>
      </w:r>
      <w:r w:rsidRPr="00D15A2F">
        <w:rPr>
          <w:lang w:val="pl-PL"/>
        </w:rPr>
        <w:t xml:space="preserve"> przestępstw oraz fakt</w:t>
      </w:r>
      <w:r w:rsidR="00A659FE" w:rsidRPr="00D15A2F">
        <w:rPr>
          <w:lang w:val="pl-PL"/>
        </w:rPr>
        <w:t>u, że skarżący dwukrotnie uciek</w:t>
      </w:r>
      <w:r w:rsidRPr="00D15A2F">
        <w:rPr>
          <w:lang w:val="pl-PL"/>
        </w:rPr>
        <w:t xml:space="preserve">ł już </w:t>
      </w:r>
      <w:r w:rsidR="00A659FE" w:rsidRPr="00D15A2F">
        <w:rPr>
          <w:lang w:val="pl-PL"/>
        </w:rPr>
        <w:t>z więzienia</w:t>
      </w:r>
      <w:r w:rsidRPr="00D15A2F">
        <w:rPr>
          <w:lang w:val="pl-PL"/>
        </w:rPr>
        <w:t xml:space="preserve"> i ukrywał się przez kilka lat.</w:t>
      </w:r>
    </w:p>
    <w:p w14:paraId="0E58E8AA" w14:textId="10C58A6B"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33</w:t>
      </w:r>
      <w:r w:rsidRPr="00D15A2F">
        <w:rPr>
          <w:lang w:val="pl-PL"/>
        </w:rPr>
        <w:fldChar w:fldCharType="end"/>
      </w:r>
      <w:r w:rsidRPr="00D15A2F">
        <w:rPr>
          <w:lang w:val="pl-PL"/>
        </w:rPr>
        <w:t xml:space="preserve">. W dniu 17 lipca 2009 roku Dyrektor Aresztu Śledczego w Lublinie </w:t>
      </w:r>
      <w:r w:rsidR="00A659FE" w:rsidRPr="00D15A2F">
        <w:rPr>
          <w:lang w:val="pl-PL"/>
        </w:rPr>
        <w:t>nakazał</w:t>
      </w:r>
      <w:r w:rsidRPr="00D15A2F">
        <w:rPr>
          <w:lang w:val="pl-PL"/>
        </w:rPr>
        <w:t xml:space="preserve"> umieszczenie skarżącego w izolatce na okres 14 dni w ramach kary dyscyplinarnej</w:t>
      </w:r>
      <w:r w:rsidR="00A659FE" w:rsidRPr="00D15A2F">
        <w:rPr>
          <w:lang w:val="pl-PL"/>
        </w:rPr>
        <w:t>, nałożonej po tym jak</w:t>
      </w:r>
      <w:r w:rsidRPr="00D15A2F">
        <w:rPr>
          <w:lang w:val="pl-PL"/>
        </w:rPr>
        <w:t xml:space="preserve"> </w:t>
      </w:r>
      <w:r w:rsidR="00A659FE" w:rsidRPr="00D15A2F">
        <w:rPr>
          <w:lang w:val="pl-PL"/>
        </w:rPr>
        <w:t xml:space="preserve">odmówił </w:t>
      </w:r>
      <w:r w:rsidRPr="00D15A2F">
        <w:rPr>
          <w:lang w:val="pl-PL"/>
        </w:rPr>
        <w:t xml:space="preserve">poddania się kontroli osobistej. Skarżący zwrócił się do Dyrektora Aresztu Śledczego w Lublinie o ponowne </w:t>
      </w:r>
      <w:r w:rsidR="00A659FE" w:rsidRPr="00D15A2F">
        <w:rPr>
          <w:lang w:val="pl-PL"/>
        </w:rPr>
        <w:t>rozważenie</w:t>
      </w:r>
      <w:r w:rsidRPr="00D15A2F">
        <w:rPr>
          <w:lang w:val="pl-PL"/>
        </w:rPr>
        <w:t xml:space="preserve"> swojej decyzji. Kara została wykonana w dniach 18 lipca – 1 sierpnia 2009 roku.</w:t>
      </w:r>
    </w:p>
    <w:p w14:paraId="03E283A0"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34</w:t>
      </w:r>
      <w:r w:rsidRPr="00D15A2F">
        <w:rPr>
          <w:lang w:val="pl-PL"/>
        </w:rPr>
        <w:fldChar w:fldCharType="end"/>
      </w:r>
      <w:r w:rsidRPr="00D15A2F">
        <w:rPr>
          <w:lang w:val="pl-PL"/>
        </w:rPr>
        <w:t>. W dniu 24 sierpnia 2009 roku Dyrektor Aresztu Śledczego w Lublinie podtrzymał swoją pierwotną decyzję, stwierdzając iż była ona uzasadniona z uwagi na odmowę poddania się przeszukaniu przez skarżącego oraz jego agresywne zachowanie wobec strażników, którzy mieli przeprowadzić kontrolę osobistą. Skarżący złożył odwołanie.</w:t>
      </w:r>
    </w:p>
    <w:p w14:paraId="23E037A4" w14:textId="27C9E0EB"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35</w:t>
      </w:r>
      <w:r w:rsidRPr="00D15A2F">
        <w:rPr>
          <w:lang w:val="pl-PL"/>
        </w:rPr>
        <w:fldChar w:fldCharType="end"/>
      </w:r>
      <w:r w:rsidRPr="00D15A2F">
        <w:rPr>
          <w:lang w:val="pl-PL"/>
        </w:rPr>
        <w:t>. W dniu 23 września 2009 roku Sąd Okręgowy w Lublinie oddalił odwołanie skarżącego argumentując</w:t>
      </w:r>
      <w:r w:rsidR="00724A85" w:rsidRPr="00D15A2F">
        <w:rPr>
          <w:lang w:val="pl-PL"/>
        </w:rPr>
        <w:t>,</w:t>
      </w:r>
      <w:r w:rsidRPr="00D15A2F">
        <w:rPr>
          <w:lang w:val="pl-PL"/>
        </w:rPr>
        <w:t xml:space="preserve"> ż</w:t>
      </w:r>
      <w:r w:rsidR="00724A85" w:rsidRPr="00D15A2F">
        <w:rPr>
          <w:lang w:val="pl-PL"/>
        </w:rPr>
        <w:t>e</w:t>
      </w:r>
      <w:r w:rsidRPr="00D15A2F">
        <w:rPr>
          <w:lang w:val="pl-PL"/>
        </w:rPr>
        <w:t xml:space="preserve"> zaskarżona decyzja była zgodna z prawem i jako taka nie </w:t>
      </w:r>
      <w:r w:rsidR="00724A85" w:rsidRPr="00D15A2F">
        <w:rPr>
          <w:lang w:val="pl-PL"/>
        </w:rPr>
        <w:t>może być kwestionowana</w:t>
      </w:r>
      <w:r w:rsidRPr="00D15A2F">
        <w:rPr>
          <w:lang w:val="pl-PL"/>
        </w:rPr>
        <w:t xml:space="preserve"> przed sądem.</w:t>
      </w:r>
    </w:p>
    <w:p w14:paraId="6BC34FFD" w14:textId="77777777" w:rsidR="00234FC9" w:rsidRPr="001B508E"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36</w:t>
      </w:r>
      <w:r w:rsidRPr="00D15A2F">
        <w:rPr>
          <w:lang w:val="pl-PL"/>
        </w:rPr>
        <w:fldChar w:fldCharType="end"/>
      </w:r>
      <w:r w:rsidRPr="00D15A2F">
        <w:rPr>
          <w:lang w:val="pl-PL"/>
        </w:rPr>
        <w:t xml:space="preserve">. W dniu 17 grudnia 2009 roku nałożona została na skarżącego kolejna </w:t>
      </w:r>
      <w:r w:rsidRPr="001B508E">
        <w:rPr>
          <w:lang w:val="pl-PL"/>
        </w:rPr>
        <w:t>kara dyscyplinarna: odmówiono mu uprawnienia do otrzymywania jakichkolwiek paczek żywnościowych. Kara została nałożona na skarżącego za rzekome agresywne zachowanie poprzedzające kontrolę osobistą w dniu 13 grudnia 2009 roku.</w:t>
      </w:r>
    </w:p>
    <w:p w14:paraId="3EE08CB4" w14:textId="0196A879"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37</w:t>
      </w:r>
      <w:r w:rsidRPr="001B508E">
        <w:rPr>
          <w:lang w:val="pl-PL"/>
        </w:rPr>
        <w:fldChar w:fldCharType="end"/>
      </w:r>
      <w:r w:rsidR="00724A85">
        <w:rPr>
          <w:lang w:val="pl-PL"/>
        </w:rPr>
        <w:t>. Jako “więzień niebezpieczny”</w:t>
      </w:r>
      <w:r w:rsidRPr="001B508E">
        <w:rPr>
          <w:lang w:val="pl-PL"/>
        </w:rPr>
        <w:t xml:space="preserve"> skarżący poddawany był kontroli osobistej każdorazowo przy opuszczeniu i powrocie do celi, co oznaczało, że musi rozebrać się do naga w obecności trzech funkcjonariuszy Służby Więziennej oraz wykonywać głębokie przysiady przynajmniej dwa razy w ciągu dnia. </w:t>
      </w:r>
    </w:p>
    <w:p w14:paraId="4782AF87" w14:textId="13CA56BF" w:rsidR="00234FC9" w:rsidRPr="001B508E" w:rsidRDefault="00234FC9" w:rsidP="008214F0">
      <w:pPr>
        <w:pStyle w:val="ECHRPara"/>
        <w:rPr>
          <w:spacing w:val="-4"/>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38</w:t>
      </w:r>
      <w:r w:rsidRPr="001B508E">
        <w:rPr>
          <w:lang w:val="pl-PL"/>
        </w:rPr>
        <w:fldChar w:fldCharType="end"/>
      </w:r>
      <w:r w:rsidRPr="001B508E">
        <w:rPr>
          <w:lang w:val="pl-PL"/>
        </w:rPr>
        <w:t>. Skarżący kilkukrotnie składał skargi na kontrole osobiste.</w:t>
      </w:r>
      <w:r w:rsidRPr="001B508E">
        <w:rPr>
          <w:spacing w:val="-4"/>
          <w:lang w:val="pl-PL"/>
        </w:rPr>
        <w:t xml:space="preserve"> W szczególności, w dniu 19 października 2010 roku</w:t>
      </w:r>
      <w:r w:rsidR="00724A85">
        <w:rPr>
          <w:spacing w:val="-4"/>
          <w:lang w:val="pl-PL"/>
        </w:rPr>
        <w:t>,</w:t>
      </w:r>
      <w:r w:rsidRPr="001B508E">
        <w:rPr>
          <w:spacing w:val="-4"/>
          <w:lang w:val="pl-PL"/>
        </w:rPr>
        <w:t xml:space="preserve"> zaskarżył kontrolę osobistą przeprowadzoną w </w:t>
      </w:r>
      <w:r w:rsidR="00724A85">
        <w:rPr>
          <w:spacing w:val="-4"/>
          <w:lang w:val="pl-PL"/>
        </w:rPr>
        <w:t>dniu 13 października 2010 roku. W odpowiedzi</w:t>
      </w:r>
      <w:r w:rsidRPr="001B508E">
        <w:rPr>
          <w:spacing w:val="-4"/>
          <w:lang w:val="pl-PL"/>
        </w:rPr>
        <w:t xml:space="preserve"> Okręgowy Inspektorat Służby Więziennej w Lublinie, po sprawdzeniu okoliczności tej kontroli, potwierdził, że została ona przeprowadzona zgodnie z odpowiednimi procedurami.</w:t>
      </w:r>
    </w:p>
    <w:p w14:paraId="7B94BB96" w14:textId="33E5BD8A" w:rsidR="00234FC9" w:rsidRPr="00D15A2F" w:rsidRDefault="00234FC9" w:rsidP="008214F0">
      <w:pPr>
        <w:pStyle w:val="ECHRPara"/>
        <w:rPr>
          <w:szCs w:val="24"/>
          <w:lang w:val="pl-PL"/>
        </w:rPr>
      </w:pPr>
      <w:r w:rsidRPr="001B508E">
        <w:rPr>
          <w:szCs w:val="24"/>
          <w:lang w:val="pl-PL"/>
        </w:rPr>
        <w:fldChar w:fldCharType="begin"/>
      </w:r>
      <w:r w:rsidRPr="001B508E">
        <w:rPr>
          <w:szCs w:val="24"/>
          <w:lang w:val="pl-PL"/>
        </w:rPr>
        <w:instrText xml:space="preserve"> SEQ level0 \*arabic </w:instrText>
      </w:r>
      <w:r w:rsidRPr="001B508E">
        <w:rPr>
          <w:szCs w:val="24"/>
          <w:lang w:val="pl-PL"/>
        </w:rPr>
        <w:fldChar w:fldCharType="separate"/>
      </w:r>
      <w:r w:rsidR="003876CB">
        <w:rPr>
          <w:noProof/>
          <w:szCs w:val="24"/>
          <w:lang w:val="pl-PL"/>
        </w:rPr>
        <w:t>39</w:t>
      </w:r>
      <w:r w:rsidRPr="001B508E">
        <w:rPr>
          <w:szCs w:val="24"/>
          <w:lang w:val="pl-PL"/>
        </w:rPr>
        <w:fldChar w:fldCharType="end"/>
      </w:r>
      <w:r w:rsidRPr="00D15A2F">
        <w:rPr>
          <w:szCs w:val="24"/>
          <w:lang w:val="pl-PL"/>
        </w:rPr>
        <w:t xml:space="preserve">. Przysługujące skarżącemu prawo do odwiedzin również zostało poważnie ograniczone. Według listy wizyt przedstawionej przez Rząd, która nie </w:t>
      </w:r>
      <w:r w:rsidR="00724A85" w:rsidRPr="00D15A2F">
        <w:rPr>
          <w:szCs w:val="24"/>
          <w:lang w:val="pl-PL"/>
        </w:rPr>
        <w:t>była kwestionowana</w:t>
      </w:r>
      <w:r w:rsidRPr="00D15A2F">
        <w:rPr>
          <w:szCs w:val="24"/>
          <w:lang w:val="pl-PL"/>
        </w:rPr>
        <w:t xml:space="preserve"> przez skarżącego, </w:t>
      </w:r>
      <w:r w:rsidR="00724A85" w:rsidRPr="00D15A2F">
        <w:rPr>
          <w:szCs w:val="24"/>
          <w:lang w:val="pl-PL"/>
        </w:rPr>
        <w:t>po</w:t>
      </w:r>
      <w:r w:rsidRPr="00D15A2F">
        <w:rPr>
          <w:szCs w:val="24"/>
          <w:lang w:val="pl-PL"/>
        </w:rPr>
        <w:t xml:space="preserve">między </w:t>
      </w:r>
      <w:r w:rsidRPr="00D15A2F">
        <w:rPr>
          <w:lang w:val="pl-PL"/>
        </w:rPr>
        <w:t xml:space="preserve">22 grudnia 2006 roku i czerwcem 2012 roku skarżący </w:t>
      </w:r>
      <w:r w:rsidR="00724A85" w:rsidRPr="00D15A2F">
        <w:rPr>
          <w:lang w:val="pl-PL"/>
        </w:rPr>
        <w:t>otrzymał</w:t>
      </w:r>
      <w:r w:rsidRPr="00D15A2F">
        <w:rPr>
          <w:lang w:val="pl-PL"/>
        </w:rPr>
        <w:t xml:space="preserve"> 94 widzenia. Jednakże między dniem 22 grudnia 2006 roku</w:t>
      </w:r>
      <w:r w:rsidR="00724A85" w:rsidRPr="00D15A2F">
        <w:rPr>
          <w:lang w:val="pl-PL"/>
        </w:rPr>
        <w:t>,</w:t>
      </w:r>
      <w:r w:rsidRPr="00D15A2F">
        <w:rPr>
          <w:lang w:val="pl-PL"/>
        </w:rPr>
        <w:t xml:space="preserve"> a 10 grudnia 2007 roku skarżący nie </w:t>
      </w:r>
      <w:r w:rsidR="00724A85" w:rsidRPr="00D15A2F">
        <w:rPr>
          <w:lang w:val="pl-PL"/>
        </w:rPr>
        <w:t>otrzymał</w:t>
      </w:r>
      <w:r w:rsidRPr="00D15A2F">
        <w:rPr>
          <w:lang w:val="pl-PL"/>
        </w:rPr>
        <w:t xml:space="preserve"> żadnych widzeń. W dniu 11 grudnia 2007 roku </w:t>
      </w:r>
      <w:r w:rsidR="00A572F4" w:rsidRPr="00D15A2F">
        <w:rPr>
          <w:lang w:val="pl-PL"/>
        </w:rPr>
        <w:t>otrzymał</w:t>
      </w:r>
      <w:r w:rsidRPr="00D15A2F">
        <w:rPr>
          <w:lang w:val="pl-PL"/>
        </w:rPr>
        <w:t xml:space="preserve"> widzenie ze swoim obrońcą. Od 14 kwietnia 2008 roku odwiedzany był przez swoje siostry, </w:t>
      </w:r>
      <w:r w:rsidRPr="00D15A2F">
        <w:rPr>
          <w:lang w:val="pl-PL"/>
        </w:rPr>
        <w:lastRenderedPageBreak/>
        <w:t>początkowo raz w miesiącu, a od sierpnia 2008 roku – dwa razy w miesiącu. Ponadto, skarżący mógł opuścić celę na jedną godzinę dziennie w ramach ćwiczeń na świeżym powietrzu odbywających się na otoczonym murami dziedzińcu o powierzchni 16m².</w:t>
      </w:r>
    </w:p>
    <w:p w14:paraId="13ED58C4" w14:textId="6A21709D" w:rsidR="00234FC9" w:rsidRPr="00D15A2F" w:rsidRDefault="00234FC9" w:rsidP="008214F0">
      <w:pPr>
        <w:pStyle w:val="ECHRPara"/>
        <w:rPr>
          <w:szCs w:val="24"/>
          <w:lang w:val="pl-PL"/>
        </w:rPr>
      </w:pPr>
      <w:r w:rsidRPr="00D15A2F">
        <w:rPr>
          <w:szCs w:val="24"/>
          <w:lang w:val="pl-PL"/>
        </w:rPr>
        <w:fldChar w:fldCharType="begin"/>
      </w:r>
      <w:r w:rsidRPr="00D15A2F">
        <w:rPr>
          <w:szCs w:val="24"/>
          <w:lang w:val="pl-PL"/>
        </w:rPr>
        <w:instrText xml:space="preserve"> SEQ level0 \*arabic </w:instrText>
      </w:r>
      <w:r w:rsidRPr="00D15A2F">
        <w:rPr>
          <w:szCs w:val="24"/>
          <w:lang w:val="pl-PL"/>
        </w:rPr>
        <w:fldChar w:fldCharType="separate"/>
      </w:r>
      <w:r w:rsidR="003876CB">
        <w:rPr>
          <w:noProof/>
          <w:szCs w:val="24"/>
          <w:lang w:val="pl-PL"/>
        </w:rPr>
        <w:t>40</w:t>
      </w:r>
      <w:r w:rsidRPr="00D15A2F">
        <w:rPr>
          <w:szCs w:val="24"/>
          <w:lang w:val="pl-PL"/>
        </w:rPr>
        <w:fldChar w:fldCharType="end"/>
      </w:r>
      <w:r w:rsidR="00A572F4" w:rsidRPr="00D15A2F">
        <w:rPr>
          <w:szCs w:val="24"/>
          <w:lang w:val="pl-PL"/>
        </w:rPr>
        <w:t xml:space="preserve">. W latach </w:t>
      </w:r>
      <w:r w:rsidRPr="00D15A2F">
        <w:rPr>
          <w:szCs w:val="24"/>
          <w:lang w:val="pl-PL"/>
        </w:rPr>
        <w:t xml:space="preserve">2007 </w:t>
      </w:r>
      <w:r w:rsidR="00A572F4" w:rsidRPr="00D15A2F">
        <w:rPr>
          <w:szCs w:val="24"/>
          <w:lang w:val="pl-PL"/>
        </w:rPr>
        <w:t xml:space="preserve">- </w:t>
      </w:r>
      <w:r w:rsidRPr="00D15A2F">
        <w:rPr>
          <w:szCs w:val="24"/>
          <w:lang w:val="pl-PL"/>
        </w:rPr>
        <w:t xml:space="preserve">2010 skarżący wniósł do władz penitencjarnych wiele </w:t>
      </w:r>
      <w:r w:rsidR="00A572F4" w:rsidRPr="00D15A2F">
        <w:rPr>
          <w:szCs w:val="24"/>
          <w:lang w:val="pl-PL"/>
        </w:rPr>
        <w:t>próśb dotyczących ze</w:t>
      </w:r>
      <w:r w:rsidRPr="00D15A2F">
        <w:rPr>
          <w:szCs w:val="24"/>
          <w:lang w:val="pl-PL"/>
        </w:rPr>
        <w:t>zwolenia na uczestnictwo w szkoleniach, warsztatach, kursach i innych zajęciach sportowych organizowanych dla innych więźniów.  Wszystkie te wnioski zostały odrzucone.</w:t>
      </w:r>
    </w:p>
    <w:p w14:paraId="137300A4" w14:textId="1AF2AB71" w:rsidR="00234FC9" w:rsidRPr="001B508E"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41</w:t>
      </w:r>
      <w:r w:rsidRPr="00D15A2F">
        <w:rPr>
          <w:lang w:val="pl-PL"/>
        </w:rPr>
        <w:fldChar w:fldCharType="end"/>
      </w:r>
      <w:r w:rsidRPr="00D15A2F">
        <w:rPr>
          <w:lang w:val="pl-PL"/>
        </w:rPr>
        <w:t xml:space="preserve">. W dniu 25 listopada 2010 roku </w:t>
      </w:r>
      <w:r w:rsidR="00A572F4" w:rsidRPr="00D15A2F">
        <w:rPr>
          <w:lang w:val="pl-PL"/>
        </w:rPr>
        <w:t>status</w:t>
      </w:r>
      <w:r w:rsidRPr="00D15A2F">
        <w:rPr>
          <w:lang w:val="pl-PL"/>
        </w:rPr>
        <w:t xml:space="preserve"> "więźnia niebezpi</w:t>
      </w:r>
      <w:r w:rsidRPr="001B508E">
        <w:rPr>
          <w:lang w:val="pl-PL"/>
        </w:rPr>
        <w:t>ecznego" został</w:t>
      </w:r>
      <w:r w:rsidR="00A572F4">
        <w:rPr>
          <w:lang w:val="pl-PL"/>
        </w:rPr>
        <w:t xml:space="preserve"> uchylony</w:t>
      </w:r>
      <w:r w:rsidRPr="001B508E">
        <w:rPr>
          <w:lang w:val="pl-PL"/>
        </w:rPr>
        <w:t>. Władze penitencjarne podkreśliły, że postawa skarżącego uległa znacznej poprawie i nie stanowi on zagrożenia w zakresie bezpieczeństwa.</w:t>
      </w:r>
    </w:p>
    <w:p w14:paraId="3DEC5837" w14:textId="77777777" w:rsidR="00234FC9" w:rsidRPr="001B508E" w:rsidRDefault="00234FC9" w:rsidP="008214F0">
      <w:pPr>
        <w:pStyle w:val="ECHRHeading3"/>
        <w:rPr>
          <w:lang w:val="pl-PL"/>
        </w:rPr>
      </w:pPr>
      <w:r w:rsidRPr="001B508E">
        <w:rPr>
          <w:lang w:val="pl-PL"/>
        </w:rPr>
        <w:t>2. Fakty sporne</w:t>
      </w:r>
    </w:p>
    <w:p w14:paraId="2F00F825" w14:textId="15877B7C"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42</w:t>
      </w:r>
      <w:r w:rsidRPr="001B508E">
        <w:rPr>
          <w:lang w:val="pl-PL"/>
        </w:rPr>
        <w:fldChar w:fldCharType="end"/>
      </w:r>
      <w:r w:rsidRPr="001B508E">
        <w:rPr>
          <w:lang w:val="pl-PL"/>
        </w:rPr>
        <w:t xml:space="preserve">. W </w:t>
      </w:r>
      <w:r w:rsidRPr="00D15A2F">
        <w:rPr>
          <w:lang w:val="pl-PL"/>
        </w:rPr>
        <w:t>od</w:t>
      </w:r>
      <w:r w:rsidR="00A572F4" w:rsidRPr="00D15A2F">
        <w:rPr>
          <w:lang w:val="pl-PL"/>
        </w:rPr>
        <w:t xml:space="preserve">niesieniu do kontroli osobistej skarżący twierdził, </w:t>
      </w:r>
      <w:r w:rsidRPr="00D15A2F">
        <w:rPr>
          <w:lang w:val="pl-PL"/>
        </w:rPr>
        <w:t>ż</w:t>
      </w:r>
      <w:r w:rsidR="00A572F4" w:rsidRPr="00D15A2F">
        <w:rPr>
          <w:lang w:val="pl-PL"/>
        </w:rPr>
        <w:t>e</w:t>
      </w:r>
      <w:r w:rsidRPr="00D15A2F">
        <w:rPr>
          <w:lang w:val="pl-PL"/>
        </w:rPr>
        <w:t xml:space="preserve"> w czasie kiedy był </w:t>
      </w:r>
      <w:r w:rsidR="00A572F4" w:rsidRPr="00D15A2F">
        <w:rPr>
          <w:lang w:val="pl-PL"/>
        </w:rPr>
        <w:t>osadzony</w:t>
      </w:r>
      <w:r w:rsidRPr="00D15A2F">
        <w:rPr>
          <w:lang w:val="pl-PL"/>
        </w:rPr>
        <w:t xml:space="preserve"> w celi z innym więźniem, rewizja osobista przeprowadzana była w celi, tym samym mając miejsce w obecności nie tylko trzech strażników, ale także w obecności innego więźnia.</w:t>
      </w:r>
    </w:p>
    <w:p w14:paraId="533C65D4" w14:textId="52614019"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43</w:t>
      </w:r>
      <w:r w:rsidRPr="00D15A2F">
        <w:rPr>
          <w:lang w:val="pl-PL"/>
        </w:rPr>
        <w:fldChar w:fldCharType="end"/>
      </w:r>
      <w:r w:rsidRPr="00D15A2F">
        <w:rPr>
          <w:lang w:val="pl-PL"/>
        </w:rPr>
        <w:t xml:space="preserve">. Rząd stwierdził, że kontrole osobiste </w:t>
      </w:r>
      <w:r w:rsidR="00A572F4" w:rsidRPr="00D15A2F">
        <w:rPr>
          <w:lang w:val="pl-PL"/>
        </w:rPr>
        <w:t>były przeprowadza</w:t>
      </w:r>
      <w:r w:rsidRPr="00D15A2F">
        <w:rPr>
          <w:lang w:val="pl-PL"/>
        </w:rPr>
        <w:t>ne w odpowiednio wyposażonym, oddzielnym pomieszczeniu</w:t>
      </w:r>
      <w:r w:rsidR="00A572F4" w:rsidRPr="00D15A2F">
        <w:rPr>
          <w:lang w:val="pl-PL"/>
        </w:rPr>
        <w:t>, które było monitorowane</w:t>
      </w:r>
      <w:r w:rsidRPr="00D15A2F">
        <w:rPr>
          <w:lang w:val="pl-PL"/>
        </w:rPr>
        <w:t>; nagranie było odtwarzane w pomieszczeniu dyżurnym. Wszelkie nagrania z systemu monitoringu były automatycznie usuwane po 7 dniach.</w:t>
      </w:r>
    </w:p>
    <w:p w14:paraId="4F1B4D4E" w14:textId="7836AAB5" w:rsidR="00234FC9" w:rsidRPr="00D15A2F" w:rsidRDefault="00234FC9" w:rsidP="008214F0">
      <w:pPr>
        <w:pStyle w:val="ECHRPara"/>
        <w:rPr>
          <w:szCs w:val="24"/>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44</w:t>
      </w:r>
      <w:r w:rsidRPr="00D15A2F">
        <w:rPr>
          <w:lang w:val="pl-PL"/>
        </w:rPr>
        <w:fldChar w:fldCharType="end"/>
      </w:r>
      <w:r w:rsidRPr="00D15A2F">
        <w:rPr>
          <w:lang w:val="pl-PL"/>
        </w:rPr>
        <w:t>. Skarżący utrzymywał ponadto, że gdy tylko przebywał poza celą, wliczając przesłuchania w trakcie rozpraw sądowych oraz wizyty lekarskie, był zmuszany d</w:t>
      </w:r>
      <w:r w:rsidR="001B508E" w:rsidRPr="00D15A2F">
        <w:rPr>
          <w:lang w:val="pl-PL"/>
        </w:rPr>
        <w:t>o noszenia tak zwanych "kajdan</w:t>
      </w:r>
      <w:r w:rsidRPr="00D15A2F">
        <w:rPr>
          <w:lang w:val="pl-PL"/>
        </w:rPr>
        <w:t xml:space="preserve"> zespolonych" na </w:t>
      </w:r>
      <w:r w:rsidR="006A68CF" w:rsidRPr="00D15A2F">
        <w:rPr>
          <w:lang w:val="pl-PL"/>
        </w:rPr>
        <w:t>rękach</w:t>
      </w:r>
      <w:r w:rsidRPr="00D15A2F">
        <w:rPr>
          <w:lang w:val="pl-PL"/>
        </w:rPr>
        <w:t xml:space="preserve"> i stopach.</w:t>
      </w:r>
    </w:p>
    <w:p w14:paraId="65719AA0"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45</w:t>
      </w:r>
      <w:r w:rsidRPr="001B508E">
        <w:rPr>
          <w:lang w:val="pl-PL"/>
        </w:rPr>
        <w:fldChar w:fldCharType="end"/>
      </w:r>
      <w:r w:rsidRPr="001B508E">
        <w:rPr>
          <w:lang w:val="pl-PL"/>
        </w:rPr>
        <w:t>. Rząd podniósł, że skarżący był zobowiązany do zakładania kajdan zespolonych tylko poza Aresztem Śledczym w Lublinie, a wewnątrz więzienia był jedynie zakuwany w kajdanki.</w:t>
      </w:r>
    </w:p>
    <w:p w14:paraId="5245DE8A" w14:textId="77777777" w:rsidR="00234FC9" w:rsidRPr="001B508E" w:rsidRDefault="00234FC9" w:rsidP="008214F0">
      <w:pPr>
        <w:pStyle w:val="ECHRHeading2"/>
        <w:rPr>
          <w:lang w:val="pl-PL"/>
        </w:rPr>
      </w:pPr>
      <w:r w:rsidRPr="001B508E">
        <w:rPr>
          <w:lang w:val="pl-PL"/>
        </w:rPr>
        <w:t>E. Udział w wyborach</w:t>
      </w:r>
    </w:p>
    <w:p w14:paraId="5D773BFB" w14:textId="3A03D4BF"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46</w:t>
      </w:r>
      <w:r w:rsidRPr="001B508E">
        <w:rPr>
          <w:lang w:val="pl-PL"/>
        </w:rPr>
        <w:fldChar w:fldCharType="end"/>
      </w:r>
      <w:r w:rsidRPr="001B508E">
        <w:rPr>
          <w:lang w:val="pl-PL"/>
        </w:rPr>
        <w:t xml:space="preserve">. W dniu 7 czerwca 2009 roku skarżący zwrócił się do władz penitencjarnych o umożliwienie mu głosowania w wyborach do Parlamentu Europejskiego w lokalu wyborczym utworzonym w tym celu na terenie zakładu. Po przeprowadzeniu podstawowej rewizji osobistej wykrywaczem </w:t>
      </w:r>
      <w:r w:rsidR="006A68CF">
        <w:rPr>
          <w:lang w:val="pl-PL"/>
        </w:rPr>
        <w:t>metalu</w:t>
      </w:r>
      <w:r w:rsidRPr="001B508E">
        <w:rPr>
          <w:lang w:val="pl-PL"/>
        </w:rPr>
        <w:t xml:space="preserve"> </w:t>
      </w:r>
      <w:r w:rsidRPr="00D15A2F">
        <w:rPr>
          <w:lang w:val="pl-PL"/>
        </w:rPr>
        <w:t xml:space="preserve">strażnik zaprowadził skarżącego do osobnego pokoju i nakazał rozebrać się do naga. </w:t>
      </w:r>
      <w:r w:rsidR="006A68CF" w:rsidRPr="00D15A2F">
        <w:rPr>
          <w:lang w:val="pl-PL"/>
        </w:rPr>
        <w:t>Kiedy s</w:t>
      </w:r>
      <w:r w:rsidRPr="00D15A2F">
        <w:rPr>
          <w:lang w:val="pl-PL"/>
        </w:rPr>
        <w:t>karżący odmówił, zwracając się do strażnika o umożliwienie głosowania bez przeprowadzania pełnej kontroli osobistej, został odprowadzony do celi bez zezwolenia na głosowanie.</w:t>
      </w:r>
    </w:p>
    <w:p w14:paraId="424502F2" w14:textId="5037836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47</w:t>
      </w:r>
      <w:r w:rsidRPr="00D15A2F">
        <w:rPr>
          <w:lang w:val="pl-PL"/>
        </w:rPr>
        <w:fldChar w:fldCharType="end"/>
      </w:r>
      <w:r w:rsidRPr="00D15A2F">
        <w:rPr>
          <w:lang w:val="pl-PL"/>
        </w:rPr>
        <w:t>. W dniu 8 czerwca 2009 roku skarżący złożył skarg</w:t>
      </w:r>
      <w:r w:rsidR="006A68CF" w:rsidRPr="00D15A2F">
        <w:rPr>
          <w:lang w:val="pl-PL"/>
        </w:rPr>
        <w:t>ę do Sądu Okręgowego w Lublinie na to, że</w:t>
      </w:r>
      <w:r w:rsidRPr="00D15A2F">
        <w:rPr>
          <w:lang w:val="pl-PL"/>
        </w:rPr>
        <w:t xml:space="preserve"> musiał </w:t>
      </w:r>
      <w:r w:rsidR="006A68CF" w:rsidRPr="00D15A2F">
        <w:rPr>
          <w:lang w:val="pl-PL"/>
        </w:rPr>
        <w:t>poddać się kontroli osobistej</w:t>
      </w:r>
      <w:r w:rsidRPr="00D15A2F">
        <w:rPr>
          <w:lang w:val="pl-PL"/>
        </w:rPr>
        <w:t xml:space="preserve"> i w </w:t>
      </w:r>
      <w:r w:rsidRPr="00D15A2F">
        <w:rPr>
          <w:lang w:val="pl-PL"/>
        </w:rPr>
        <w:lastRenderedPageBreak/>
        <w:t xml:space="preserve">związku z tym nie został dopuszczony do głosowania. Jego skarga została </w:t>
      </w:r>
      <w:r w:rsidR="006A68CF" w:rsidRPr="00D15A2F">
        <w:rPr>
          <w:lang w:val="pl-PL"/>
        </w:rPr>
        <w:t>przekazana</w:t>
      </w:r>
      <w:r w:rsidRPr="00D15A2F">
        <w:rPr>
          <w:lang w:val="pl-PL"/>
        </w:rPr>
        <w:t xml:space="preserve"> do Dyrektora Aresztu Śledczego w Lublinie.</w:t>
      </w:r>
    </w:p>
    <w:p w14:paraId="6C8ED3EE" w14:textId="1521274E"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48</w:t>
      </w:r>
      <w:r w:rsidRPr="00D15A2F">
        <w:rPr>
          <w:lang w:val="pl-PL"/>
        </w:rPr>
        <w:fldChar w:fldCharType="end"/>
      </w:r>
      <w:r w:rsidRPr="00D15A2F">
        <w:rPr>
          <w:lang w:val="pl-PL"/>
        </w:rPr>
        <w:t>. W dniu 16 lipca 2009 roku Dyrektor Aresztu Śledczego w Lublinie oddalił skargę złożoną przez sk</w:t>
      </w:r>
      <w:r w:rsidR="006A68CF" w:rsidRPr="00D15A2F">
        <w:rPr>
          <w:lang w:val="pl-PL"/>
        </w:rPr>
        <w:t xml:space="preserve">arżącego. Dyrektor stwierdził, </w:t>
      </w:r>
      <w:r w:rsidRPr="00D15A2F">
        <w:rPr>
          <w:lang w:val="pl-PL"/>
        </w:rPr>
        <w:t>ż</w:t>
      </w:r>
      <w:r w:rsidR="006A68CF" w:rsidRPr="00D15A2F">
        <w:rPr>
          <w:lang w:val="pl-PL"/>
        </w:rPr>
        <w:t>e</w:t>
      </w:r>
      <w:r w:rsidRPr="00D15A2F">
        <w:rPr>
          <w:lang w:val="pl-PL"/>
        </w:rPr>
        <w:t xml:space="preserve"> </w:t>
      </w:r>
      <w:r w:rsidR="006A68CF" w:rsidRPr="00D15A2F">
        <w:rPr>
          <w:lang w:val="pl-PL"/>
        </w:rPr>
        <w:t>jako</w:t>
      </w:r>
      <w:r w:rsidRPr="00D15A2F">
        <w:rPr>
          <w:lang w:val="pl-PL"/>
        </w:rPr>
        <w:t xml:space="preserve"> "wię</w:t>
      </w:r>
      <w:r w:rsidR="006A68CF" w:rsidRPr="00D15A2F">
        <w:rPr>
          <w:lang w:val="pl-PL"/>
        </w:rPr>
        <w:t>zień niebezpieczny</w:t>
      </w:r>
      <w:r w:rsidRPr="00D15A2F">
        <w:rPr>
          <w:lang w:val="pl-PL"/>
        </w:rPr>
        <w:t xml:space="preserve">", skarżący musiał być poddawany kontroli osobistej przy każdym wyjściu i powrocie do celi. Ponieważ w dniu 7 czerwca 2009 roku skarżący odmówił poddania się pełnej kontroli osobistej podczas przejścia do lokalu wyborczego w areszcie, strażnicy </w:t>
      </w:r>
      <w:r w:rsidR="00434590" w:rsidRPr="00D15A2F">
        <w:rPr>
          <w:lang w:val="pl-PL"/>
        </w:rPr>
        <w:t>musieli</w:t>
      </w:r>
      <w:r w:rsidRPr="00D15A2F">
        <w:rPr>
          <w:lang w:val="pl-PL"/>
        </w:rPr>
        <w:t xml:space="preserve"> odprowadz</w:t>
      </w:r>
      <w:r w:rsidR="00434590" w:rsidRPr="00D15A2F">
        <w:rPr>
          <w:lang w:val="pl-PL"/>
        </w:rPr>
        <w:t>ić</w:t>
      </w:r>
      <w:r w:rsidRPr="00D15A2F">
        <w:rPr>
          <w:lang w:val="pl-PL"/>
        </w:rPr>
        <w:t xml:space="preserve"> go </w:t>
      </w:r>
      <w:r w:rsidR="00434590" w:rsidRPr="00D15A2F">
        <w:rPr>
          <w:lang w:val="pl-PL"/>
        </w:rPr>
        <w:t xml:space="preserve">z powrotem </w:t>
      </w:r>
      <w:r w:rsidRPr="00D15A2F">
        <w:rPr>
          <w:lang w:val="pl-PL"/>
        </w:rPr>
        <w:t>do celi. Jeszcze tego samego dnia skarżący został ponownie zapytany o chęć udziału w wyborach, lecz odmówił stwierdzając</w:t>
      </w:r>
      <w:r w:rsidR="00434590" w:rsidRPr="00D15A2F">
        <w:rPr>
          <w:lang w:val="pl-PL"/>
        </w:rPr>
        <w:t xml:space="preserve">, </w:t>
      </w:r>
      <w:r w:rsidRPr="00D15A2F">
        <w:rPr>
          <w:lang w:val="pl-PL"/>
        </w:rPr>
        <w:t>ż</w:t>
      </w:r>
      <w:r w:rsidR="00434590" w:rsidRPr="00D15A2F">
        <w:rPr>
          <w:lang w:val="pl-PL"/>
        </w:rPr>
        <w:t>e</w:t>
      </w:r>
      <w:r w:rsidRPr="00D15A2F">
        <w:rPr>
          <w:lang w:val="pl-PL"/>
        </w:rPr>
        <w:t xml:space="preserve"> nie podda się pełnej kontroli osobistej.</w:t>
      </w:r>
    </w:p>
    <w:p w14:paraId="3E653F62" w14:textId="2D8B4A19"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49</w:t>
      </w:r>
      <w:r w:rsidRPr="00D15A2F">
        <w:rPr>
          <w:lang w:val="pl-PL"/>
        </w:rPr>
        <w:fldChar w:fldCharType="end"/>
      </w:r>
      <w:r w:rsidRPr="00D15A2F">
        <w:rPr>
          <w:lang w:val="pl-PL"/>
        </w:rPr>
        <w:t xml:space="preserve">. W dniu 16 lipca 2009 roku Dyrektor Aresztu Śledczego w Lublinie potwierdził, że </w:t>
      </w:r>
      <w:r w:rsidR="00434590" w:rsidRPr="00D15A2F">
        <w:rPr>
          <w:lang w:val="pl-PL"/>
        </w:rPr>
        <w:t>wszyscy osadzeni, którzy chcieli brać udział w wyborach parlamentarnych w dniu 21 października 2007 roku zagłosowali.</w:t>
      </w:r>
    </w:p>
    <w:p w14:paraId="4D3D580F" w14:textId="77777777" w:rsidR="00234FC9" w:rsidRPr="00D15A2F" w:rsidRDefault="00234FC9" w:rsidP="008214F0">
      <w:pPr>
        <w:pStyle w:val="ECHRHeading2"/>
        <w:rPr>
          <w:lang w:val="pl-PL"/>
        </w:rPr>
      </w:pPr>
      <w:r w:rsidRPr="00D15A2F">
        <w:rPr>
          <w:lang w:val="pl-PL"/>
        </w:rPr>
        <w:t>F. Warunki zatrzymania skarżącego i opieka medyczna</w:t>
      </w:r>
    </w:p>
    <w:p w14:paraId="45681FE6" w14:textId="39CAAFFE"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50</w:t>
      </w:r>
      <w:r w:rsidRPr="001B508E">
        <w:rPr>
          <w:lang w:val="pl-PL"/>
        </w:rPr>
        <w:fldChar w:fldCharType="end"/>
      </w:r>
      <w:r w:rsidRPr="001B508E">
        <w:rPr>
          <w:lang w:val="pl-PL"/>
        </w:rPr>
        <w:t xml:space="preserve">. W dniu 21 grudnia 2006 roku </w:t>
      </w:r>
      <w:r w:rsidRPr="00D15A2F">
        <w:rPr>
          <w:lang w:val="pl-PL"/>
        </w:rPr>
        <w:t xml:space="preserve">skarżący został przeniesiony </w:t>
      </w:r>
      <w:r w:rsidR="00434590" w:rsidRPr="00D15A2F">
        <w:rPr>
          <w:lang w:val="pl-PL"/>
        </w:rPr>
        <w:t xml:space="preserve">do </w:t>
      </w:r>
      <w:r w:rsidRPr="00D15A2F">
        <w:rPr>
          <w:lang w:val="pl-PL"/>
        </w:rPr>
        <w:t xml:space="preserve">Aresztu Śledczego w Warszawie. Od 3 stycznia 2007 roku skarżący przebywał w Areszcie </w:t>
      </w:r>
      <w:r w:rsidR="00434590" w:rsidRPr="00D15A2F">
        <w:rPr>
          <w:lang w:val="pl-PL"/>
        </w:rPr>
        <w:t xml:space="preserve">Śledczym w Lublinie. Następnie </w:t>
      </w:r>
      <w:r w:rsidRPr="00D15A2F">
        <w:rPr>
          <w:lang w:val="pl-PL"/>
        </w:rPr>
        <w:t>przebywał w Areszcie Śledczym w Radomiu i ponownie w Areszcie Śledczym w Lublinie.</w:t>
      </w:r>
    </w:p>
    <w:p w14:paraId="469C9C56" w14:textId="6C5CE6F6" w:rsidR="00234FC9" w:rsidRPr="00D15A2F" w:rsidRDefault="00234FC9" w:rsidP="008214F0">
      <w:pPr>
        <w:pStyle w:val="ECHRPara"/>
        <w:rPr>
          <w:bCs/>
          <w:lang w:val="pl-PL"/>
        </w:rPr>
      </w:pPr>
      <w:r w:rsidRPr="00D15A2F">
        <w:rPr>
          <w:bCs/>
          <w:lang w:val="pl-PL"/>
        </w:rPr>
        <w:fldChar w:fldCharType="begin"/>
      </w:r>
      <w:r w:rsidRPr="00D15A2F">
        <w:rPr>
          <w:bCs/>
          <w:lang w:val="pl-PL"/>
        </w:rPr>
        <w:instrText xml:space="preserve"> SEQ level0 \*arabic </w:instrText>
      </w:r>
      <w:r w:rsidRPr="00D15A2F">
        <w:rPr>
          <w:bCs/>
          <w:lang w:val="pl-PL"/>
        </w:rPr>
        <w:fldChar w:fldCharType="separate"/>
      </w:r>
      <w:r w:rsidR="003876CB">
        <w:rPr>
          <w:bCs/>
          <w:noProof/>
          <w:lang w:val="pl-PL"/>
        </w:rPr>
        <w:t>51</w:t>
      </w:r>
      <w:r w:rsidRPr="00D15A2F">
        <w:rPr>
          <w:bCs/>
          <w:lang w:val="pl-PL"/>
        </w:rPr>
        <w:fldChar w:fldCharType="end"/>
      </w:r>
      <w:r w:rsidRPr="00D15A2F">
        <w:rPr>
          <w:bCs/>
          <w:lang w:val="pl-PL"/>
        </w:rPr>
        <w:t>. Skarżący cierpi na nadczynność tarczycy, astmę, silne bóle pleców, dwustronną torbiel najądrza i nadciśnienie tętnicze</w:t>
      </w:r>
      <w:r w:rsidRPr="00D15A2F">
        <w:rPr>
          <w:rFonts w:ascii="Arial" w:hAnsi="Arial" w:cs="Arial"/>
          <w:lang w:val="pl-PL"/>
        </w:rPr>
        <w:t xml:space="preserve">. </w:t>
      </w:r>
      <w:r w:rsidRPr="00D15A2F">
        <w:rPr>
          <w:lang w:val="pl-PL"/>
        </w:rPr>
        <w:t xml:space="preserve">Podczas pobytu w Areszcie Śledczym w Lublinie był </w:t>
      </w:r>
      <w:r w:rsidR="00434590" w:rsidRPr="00D15A2F">
        <w:rPr>
          <w:lang w:val="pl-PL"/>
        </w:rPr>
        <w:t xml:space="preserve">poddany </w:t>
      </w:r>
      <w:r w:rsidRPr="00D15A2F">
        <w:rPr>
          <w:lang w:val="pl-PL"/>
        </w:rPr>
        <w:t>leczeniu farmakologicznemu. Przeszedł również badanie ultrasonograficzne tarczycy (w dniu 13 maja 2008 roku) oraz USG jąder. Konsultował się również z lekarzami specjalistami.</w:t>
      </w:r>
    </w:p>
    <w:p w14:paraId="01266AA9" w14:textId="4FD0B9AA"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52</w:t>
      </w:r>
      <w:r w:rsidRPr="00D15A2F">
        <w:rPr>
          <w:lang w:val="pl-PL"/>
        </w:rPr>
        <w:fldChar w:fldCharType="end"/>
      </w:r>
      <w:r w:rsidRPr="00D15A2F">
        <w:rPr>
          <w:lang w:val="pl-PL"/>
        </w:rPr>
        <w:t xml:space="preserve">. Kilkukrotnie skarżył się na opóźnienia w </w:t>
      </w:r>
      <w:r w:rsidR="008A6740" w:rsidRPr="00D15A2F">
        <w:rPr>
          <w:lang w:val="pl-PL"/>
        </w:rPr>
        <w:t>uzyskaniu wizyt u</w:t>
      </w:r>
      <w:r w:rsidRPr="00D15A2F">
        <w:rPr>
          <w:lang w:val="pl-PL"/>
        </w:rPr>
        <w:t xml:space="preserve"> specjalistów. W </w:t>
      </w:r>
      <w:r w:rsidR="008A6740" w:rsidRPr="00D15A2F">
        <w:rPr>
          <w:lang w:val="pl-PL"/>
        </w:rPr>
        <w:t>odpowiedzi, w dniu</w:t>
      </w:r>
      <w:r w:rsidRPr="00D15A2F">
        <w:rPr>
          <w:lang w:val="pl-PL"/>
        </w:rPr>
        <w:t xml:space="preserve"> 5 lutego 2009 roku został poinformowany, że czas oczekiwania na konsultację ze sp</w:t>
      </w:r>
      <w:r w:rsidR="008A6740" w:rsidRPr="00D15A2F">
        <w:rPr>
          <w:lang w:val="pl-PL"/>
        </w:rPr>
        <w:t>ecjalistą jest podobny do czasu</w:t>
      </w:r>
      <w:r w:rsidRPr="00D15A2F">
        <w:rPr>
          <w:lang w:val="pl-PL"/>
        </w:rPr>
        <w:t xml:space="preserve"> oczekiwania ogółu społeczeństwa.</w:t>
      </w:r>
    </w:p>
    <w:p w14:paraId="39D67996" w14:textId="53FBE2C3"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53</w:t>
      </w:r>
      <w:r w:rsidRPr="00D15A2F">
        <w:rPr>
          <w:lang w:val="pl-PL"/>
        </w:rPr>
        <w:fldChar w:fldCharType="end"/>
      </w:r>
      <w:r w:rsidRPr="00D15A2F">
        <w:rPr>
          <w:lang w:val="pl-PL"/>
        </w:rPr>
        <w:t xml:space="preserve">. Skarżący </w:t>
      </w:r>
      <w:r w:rsidR="008A6740" w:rsidRPr="00D15A2F">
        <w:rPr>
          <w:lang w:val="pl-PL"/>
        </w:rPr>
        <w:t xml:space="preserve">podniósł, </w:t>
      </w:r>
      <w:r w:rsidRPr="00D15A2F">
        <w:rPr>
          <w:lang w:val="pl-PL"/>
        </w:rPr>
        <w:t>ż</w:t>
      </w:r>
      <w:r w:rsidR="008A6740" w:rsidRPr="00D15A2F">
        <w:rPr>
          <w:lang w:val="pl-PL"/>
        </w:rPr>
        <w:t>e</w:t>
      </w:r>
      <w:r w:rsidRPr="00D15A2F">
        <w:rPr>
          <w:lang w:val="pl-PL"/>
        </w:rPr>
        <w:t xml:space="preserve"> podczas </w:t>
      </w:r>
      <w:r w:rsidR="008A6740" w:rsidRPr="00D15A2F">
        <w:rPr>
          <w:lang w:val="pl-PL"/>
        </w:rPr>
        <w:t>osadzenia</w:t>
      </w:r>
      <w:r w:rsidRPr="00D15A2F">
        <w:rPr>
          <w:lang w:val="pl-PL"/>
        </w:rPr>
        <w:t xml:space="preserve"> był on przetrzymywany w warunkach </w:t>
      </w:r>
      <w:r w:rsidR="008A6740" w:rsidRPr="00D15A2F">
        <w:rPr>
          <w:lang w:val="pl-PL"/>
        </w:rPr>
        <w:t>poniżej</w:t>
      </w:r>
      <w:r w:rsidRPr="00D15A2F">
        <w:rPr>
          <w:lang w:val="pl-PL"/>
        </w:rPr>
        <w:t xml:space="preserve"> podstawowy</w:t>
      </w:r>
      <w:r w:rsidR="008A6740" w:rsidRPr="00D15A2F">
        <w:rPr>
          <w:lang w:val="pl-PL"/>
        </w:rPr>
        <w:t>ch</w:t>
      </w:r>
      <w:r w:rsidRPr="00D15A2F">
        <w:rPr>
          <w:lang w:val="pl-PL"/>
        </w:rPr>
        <w:t xml:space="preserve"> zasad higieny. </w:t>
      </w:r>
      <w:r w:rsidR="008A6740" w:rsidRPr="00D15A2F">
        <w:rPr>
          <w:lang w:val="pl-PL"/>
        </w:rPr>
        <w:t>Zarzucił</w:t>
      </w:r>
      <w:r w:rsidRPr="00D15A2F">
        <w:rPr>
          <w:lang w:val="pl-PL"/>
        </w:rPr>
        <w:t xml:space="preserve"> również, że jego cela w Areszcie Śledczym w Lublinie nie miała wentylacji, miała niewielki dostęp do naturalnego światła, niewłaściwe sztuczne oświetlenie i była źle </w:t>
      </w:r>
      <w:r w:rsidR="008A6740" w:rsidRPr="00D15A2F">
        <w:rPr>
          <w:lang w:val="pl-PL"/>
        </w:rPr>
        <w:t>wyposażona</w:t>
      </w:r>
      <w:r w:rsidRPr="00D15A2F">
        <w:rPr>
          <w:lang w:val="pl-PL"/>
        </w:rPr>
        <w:t>.</w:t>
      </w:r>
    </w:p>
    <w:p w14:paraId="74033F10" w14:textId="77777777" w:rsidR="00234FC9" w:rsidRPr="00D15A2F" w:rsidRDefault="00234FC9" w:rsidP="008214F0">
      <w:pPr>
        <w:pStyle w:val="ECHRHeading2"/>
        <w:rPr>
          <w:lang w:val="pl-PL"/>
        </w:rPr>
      </w:pPr>
      <w:r w:rsidRPr="00D15A2F">
        <w:rPr>
          <w:lang w:val="pl-PL"/>
        </w:rPr>
        <w:t>G. Kontrola korespondencji skarżącego</w:t>
      </w:r>
    </w:p>
    <w:p w14:paraId="3B9750BC" w14:textId="468498B3"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54</w:t>
      </w:r>
      <w:r w:rsidRPr="00D15A2F">
        <w:rPr>
          <w:lang w:val="pl-PL"/>
        </w:rPr>
        <w:fldChar w:fldCharType="end"/>
      </w:r>
      <w:r w:rsidRPr="00D15A2F">
        <w:rPr>
          <w:lang w:val="pl-PL"/>
        </w:rPr>
        <w:t>. Skarżący przedstawił trzy koperty zawierające korespondencję otrzymaną od swojej siostry, opatrzone nieczytelnym podpisem i pieczęcią, odpowiednio</w:t>
      </w:r>
      <w:r w:rsidR="00240587" w:rsidRPr="00D15A2F">
        <w:rPr>
          <w:lang w:val="pl-PL"/>
        </w:rPr>
        <w:t>:</w:t>
      </w:r>
      <w:r w:rsidRPr="00D15A2F">
        <w:rPr>
          <w:lang w:val="pl-PL"/>
        </w:rPr>
        <w:t xml:space="preserve"> "ocenzurowano 1 lipca 2010 roku", "ocenzurowano 12 lipca 2010 r</w:t>
      </w:r>
      <w:r w:rsidR="00240587" w:rsidRPr="00D15A2F">
        <w:rPr>
          <w:lang w:val="pl-PL"/>
        </w:rPr>
        <w:t>oku</w:t>
      </w:r>
      <w:r w:rsidRPr="00D15A2F">
        <w:rPr>
          <w:lang w:val="pl-PL"/>
        </w:rPr>
        <w:t>" oraz "ocenzurowano 6 sierpnia 2010 r</w:t>
      </w:r>
      <w:r w:rsidR="00240587" w:rsidRPr="00D15A2F">
        <w:rPr>
          <w:lang w:val="pl-PL"/>
        </w:rPr>
        <w:t>oku</w:t>
      </w:r>
      <w:r w:rsidRPr="00D15A2F">
        <w:rPr>
          <w:lang w:val="pl-PL"/>
        </w:rPr>
        <w:t xml:space="preserve">". W odniesieniu do </w:t>
      </w:r>
      <w:r w:rsidRPr="00D15A2F">
        <w:rPr>
          <w:lang w:val="pl-PL"/>
        </w:rPr>
        <w:lastRenderedPageBreak/>
        <w:t xml:space="preserve">listu ocenzurowanego w dniu 12 lipca 2010 roku zezwolenie na otrzymanie przesyłki zawierającej kopie </w:t>
      </w:r>
      <w:r w:rsidR="00240587" w:rsidRPr="00D15A2F">
        <w:rPr>
          <w:lang w:val="pl-PL"/>
        </w:rPr>
        <w:t>z akt sądowych</w:t>
      </w:r>
      <w:r w:rsidRPr="00D15A2F">
        <w:rPr>
          <w:lang w:val="pl-PL"/>
        </w:rPr>
        <w:t xml:space="preserve"> i dokumentacji medycznej skarżącego zostało wydane przez Kierownika Działu Penitencjarnego Areszt</w:t>
      </w:r>
      <w:r w:rsidR="00240587" w:rsidRPr="00D15A2F">
        <w:rPr>
          <w:lang w:val="pl-PL"/>
        </w:rPr>
        <w:t>u Śledczego w Lublinie i zostało</w:t>
      </w:r>
      <w:r w:rsidRPr="00D15A2F">
        <w:rPr>
          <w:lang w:val="pl-PL"/>
        </w:rPr>
        <w:t xml:space="preserve"> dołączon</w:t>
      </w:r>
      <w:r w:rsidR="00240587" w:rsidRPr="00D15A2F">
        <w:rPr>
          <w:lang w:val="pl-PL"/>
        </w:rPr>
        <w:t>e</w:t>
      </w:r>
      <w:r w:rsidRPr="00D15A2F">
        <w:rPr>
          <w:lang w:val="pl-PL"/>
        </w:rPr>
        <w:t xml:space="preserve"> do koperty. Podobne zezwolenie na otrzymanie kopii </w:t>
      </w:r>
      <w:r w:rsidR="00240587" w:rsidRPr="00D15A2F">
        <w:rPr>
          <w:lang w:val="pl-PL"/>
        </w:rPr>
        <w:t xml:space="preserve">z </w:t>
      </w:r>
      <w:r w:rsidRPr="00D15A2F">
        <w:rPr>
          <w:lang w:val="pl-PL"/>
        </w:rPr>
        <w:t xml:space="preserve">akt </w:t>
      </w:r>
      <w:r w:rsidR="00240587" w:rsidRPr="00D15A2F">
        <w:rPr>
          <w:lang w:val="pl-PL"/>
        </w:rPr>
        <w:t xml:space="preserve">sądowych </w:t>
      </w:r>
      <w:r w:rsidRPr="00D15A2F">
        <w:rPr>
          <w:lang w:val="pl-PL"/>
        </w:rPr>
        <w:t>zostało wydane w odniesieniu do listu ocenzurowanego w dniu 6 sierpnia 2010 roku i również zostało dołączone do koperty.</w:t>
      </w:r>
    </w:p>
    <w:p w14:paraId="370102F5" w14:textId="77777777" w:rsidR="00234FC9" w:rsidRPr="00D15A2F" w:rsidRDefault="00234FC9" w:rsidP="008214F0">
      <w:pPr>
        <w:pStyle w:val="ECHRHeading2"/>
        <w:rPr>
          <w:lang w:val="pl-PL"/>
        </w:rPr>
      </w:pPr>
      <w:r w:rsidRPr="00D15A2F">
        <w:rPr>
          <w:lang w:val="pl-PL"/>
        </w:rPr>
        <w:t>H. Postępowanie karne przeciwko personelowi medycznemu i pielęgniarskiemu oddziału szpitalnego Aresztu Śledczego w Lublinie</w:t>
      </w:r>
    </w:p>
    <w:p w14:paraId="3CDB2F7F" w14:textId="7F74479F"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55</w:t>
      </w:r>
      <w:r w:rsidRPr="00D15A2F">
        <w:rPr>
          <w:lang w:val="pl-PL"/>
        </w:rPr>
        <w:fldChar w:fldCharType="end"/>
      </w:r>
      <w:r w:rsidRPr="00D15A2F">
        <w:rPr>
          <w:lang w:val="pl-PL"/>
        </w:rPr>
        <w:t xml:space="preserve">. W dniu 6 września 2010 roku Prokuratura Rejonowa w Lublinie wszczęła postępowanie karne przeciwko personelowi medycznemu i pielęgniarskiemu oddziału szpitalnego Aresztu Śledczego w Lublinie z powodu składania fałszywych oświadczeń i </w:t>
      </w:r>
      <w:r w:rsidR="00E204E0" w:rsidRPr="00D15A2F">
        <w:rPr>
          <w:lang w:val="pl-PL"/>
        </w:rPr>
        <w:t>s</w:t>
      </w:r>
      <w:r w:rsidRPr="00D15A2F">
        <w:rPr>
          <w:lang w:val="pl-PL"/>
        </w:rPr>
        <w:t>fałszowania podpisu skarżącego.</w:t>
      </w:r>
    </w:p>
    <w:p w14:paraId="3FB9E158" w14:textId="7570B24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56</w:t>
      </w:r>
      <w:r w:rsidRPr="00D15A2F">
        <w:rPr>
          <w:lang w:val="pl-PL"/>
        </w:rPr>
        <w:fldChar w:fldCharType="end"/>
      </w:r>
      <w:r w:rsidRPr="00D15A2F">
        <w:rPr>
          <w:lang w:val="pl-PL"/>
        </w:rPr>
        <w:t xml:space="preserve">. W dniu 29 kwietnia 2011 roku Prokuratura </w:t>
      </w:r>
      <w:r w:rsidR="00E204E0" w:rsidRPr="00D15A2F">
        <w:rPr>
          <w:lang w:val="pl-PL"/>
        </w:rPr>
        <w:t>Rejonowa</w:t>
      </w:r>
      <w:r w:rsidRPr="00D15A2F">
        <w:rPr>
          <w:lang w:val="pl-PL"/>
        </w:rPr>
        <w:t xml:space="preserve"> w Lublinie umorzyła postępowanie.</w:t>
      </w:r>
    </w:p>
    <w:p w14:paraId="5906CE60" w14:textId="77777777" w:rsidR="00234FC9" w:rsidRPr="00D15A2F" w:rsidRDefault="00234FC9" w:rsidP="008214F0">
      <w:pPr>
        <w:pStyle w:val="ECHRHeading1"/>
        <w:rPr>
          <w:lang w:val="pl-PL"/>
        </w:rPr>
      </w:pPr>
      <w:r w:rsidRPr="00D15A2F">
        <w:rPr>
          <w:lang w:val="pl-PL"/>
        </w:rPr>
        <w:t>II. WŁAŚCIWE PRAWO KRAJOWE I PRAKTYKA</w:t>
      </w:r>
    </w:p>
    <w:p w14:paraId="752817CE" w14:textId="77777777" w:rsidR="00234FC9" w:rsidRPr="00D15A2F" w:rsidRDefault="00234FC9" w:rsidP="008214F0">
      <w:pPr>
        <w:pStyle w:val="ECHRHeading2"/>
        <w:rPr>
          <w:lang w:val="pl-PL"/>
        </w:rPr>
      </w:pPr>
      <w:r w:rsidRPr="00D15A2F">
        <w:rPr>
          <w:lang w:val="pl-PL"/>
        </w:rPr>
        <w:t>A. Środki zapobiegawcze, w tym tymczasowe aresztowanie</w:t>
      </w:r>
    </w:p>
    <w:p w14:paraId="1E263F5C" w14:textId="0CDCAD89"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57</w:t>
      </w:r>
      <w:r w:rsidRPr="00D15A2F">
        <w:rPr>
          <w:lang w:val="pl-PL"/>
        </w:rPr>
        <w:fldChar w:fldCharType="end"/>
      </w:r>
      <w:r w:rsidRPr="00D15A2F">
        <w:rPr>
          <w:lang w:val="pl-PL"/>
        </w:rPr>
        <w:t>. Właściwe prawo krajowe i praktyka w zakresie stosowania tymczasowego aresztowania, przesłanek jego przedłużenia, uchylenia tymcz</w:t>
      </w:r>
      <w:r w:rsidR="00E204E0" w:rsidRPr="00D15A2F">
        <w:rPr>
          <w:lang w:val="pl-PL"/>
        </w:rPr>
        <w:t>asowego aresztowania oraz zasad</w:t>
      </w:r>
      <w:r w:rsidRPr="00D15A2F">
        <w:rPr>
          <w:lang w:val="pl-PL"/>
        </w:rPr>
        <w:t xml:space="preserve"> stosowania innych tzw. środków zapobiegawczych zostały </w:t>
      </w:r>
      <w:r w:rsidR="00E204E0" w:rsidRPr="00D15A2F">
        <w:rPr>
          <w:lang w:val="pl-PL"/>
        </w:rPr>
        <w:t>przedstawione</w:t>
      </w:r>
      <w:r w:rsidRPr="00D15A2F">
        <w:rPr>
          <w:lang w:val="pl-PL"/>
        </w:rPr>
        <w:t xml:space="preserve"> w wyrokach wydanych przez Trybunał w sprawach</w:t>
      </w:r>
      <w:r w:rsidRPr="00D15A2F">
        <w:rPr>
          <w:i/>
          <w:lang w:val="pl-PL"/>
        </w:rPr>
        <w:t xml:space="preserve"> Kudła przeciwko Polsce</w:t>
      </w:r>
      <w:r w:rsidRPr="00D15A2F">
        <w:rPr>
          <w:lang w:val="pl-PL"/>
        </w:rPr>
        <w:t xml:space="preserve"> [Wielka</w:t>
      </w:r>
      <w:r w:rsidR="00E204E0" w:rsidRPr="00D15A2F">
        <w:rPr>
          <w:lang w:val="pl-PL"/>
        </w:rPr>
        <w:t xml:space="preserve"> Izba], skarga nr 30210/96, pkt 75-79, ECHR 2000-XI,</w:t>
      </w:r>
      <w:r w:rsidRPr="00D15A2F">
        <w:rPr>
          <w:lang w:val="pl-PL"/>
        </w:rPr>
        <w:t xml:space="preserve"> </w:t>
      </w:r>
      <w:r w:rsidRPr="00D15A2F">
        <w:rPr>
          <w:i/>
          <w:lang w:val="pl-PL"/>
        </w:rPr>
        <w:t>Bagiński przeciwko Polsce</w:t>
      </w:r>
      <w:r w:rsidR="00E204E0" w:rsidRPr="00D15A2F">
        <w:rPr>
          <w:lang w:val="pl-PL"/>
        </w:rPr>
        <w:t>, skarga nr 37444/97, pkt</w:t>
      </w:r>
      <w:r w:rsidRPr="00D15A2F">
        <w:rPr>
          <w:lang w:val="pl-PL"/>
        </w:rPr>
        <w:t xml:space="preserve"> 42-46, z</w:t>
      </w:r>
      <w:r w:rsidR="00E204E0" w:rsidRPr="00D15A2F">
        <w:rPr>
          <w:lang w:val="pl-PL"/>
        </w:rPr>
        <w:t xml:space="preserve"> dnia 11 października 2005 roku</w:t>
      </w:r>
      <w:r w:rsidRPr="00D15A2F">
        <w:rPr>
          <w:lang w:val="pl-PL"/>
        </w:rPr>
        <w:t xml:space="preserve"> oraz </w:t>
      </w:r>
      <w:proofErr w:type="spellStart"/>
      <w:r w:rsidRPr="00D15A2F">
        <w:rPr>
          <w:i/>
          <w:lang w:val="pl-PL"/>
        </w:rPr>
        <w:t>Celejewski</w:t>
      </w:r>
      <w:proofErr w:type="spellEnd"/>
      <w:r w:rsidRPr="00D15A2F">
        <w:rPr>
          <w:i/>
          <w:lang w:val="pl-PL"/>
        </w:rPr>
        <w:t xml:space="preserve"> przeciwko Polsce</w:t>
      </w:r>
      <w:r w:rsidRPr="00D15A2F">
        <w:rPr>
          <w:lang w:val="pl-PL"/>
        </w:rPr>
        <w:t>, skarga nr 17584/04, pkt 22-23, z dnia 4 maja 2006 roku.</w:t>
      </w:r>
    </w:p>
    <w:p w14:paraId="3C597A46" w14:textId="77777777" w:rsidR="00234FC9" w:rsidRPr="00D15A2F" w:rsidRDefault="00234FC9" w:rsidP="008214F0">
      <w:pPr>
        <w:pStyle w:val="ECHRHeading2"/>
        <w:rPr>
          <w:lang w:val="pl-PL"/>
        </w:rPr>
      </w:pPr>
      <w:r w:rsidRPr="00D15A2F">
        <w:rPr>
          <w:lang w:val="pl-PL"/>
        </w:rPr>
        <w:t>B. Warunki osadzenia</w:t>
      </w:r>
    </w:p>
    <w:p w14:paraId="4FB49EB4" w14:textId="5D6A0D3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58</w:t>
      </w:r>
      <w:r w:rsidRPr="00D15A2F">
        <w:rPr>
          <w:lang w:val="pl-PL"/>
        </w:rPr>
        <w:fldChar w:fldCharType="end"/>
      </w:r>
      <w:r w:rsidRPr="00D15A2F">
        <w:rPr>
          <w:lang w:val="pl-PL"/>
        </w:rPr>
        <w:t xml:space="preserve">. Szczegółowy opis właściwego prawa krajowego i praktyki w zakresie ogólnych zasad odnoszących się do warunków osadzenia w Polsce oraz środków odwoławczych dostępnych dla skarżących zarzucających, że warunki ich osadzenia są niewłaściwe, zostały </w:t>
      </w:r>
      <w:r w:rsidR="006F00FB" w:rsidRPr="00D15A2F">
        <w:rPr>
          <w:lang w:val="pl-PL"/>
        </w:rPr>
        <w:t>przedstawione</w:t>
      </w:r>
      <w:r w:rsidRPr="00D15A2F">
        <w:rPr>
          <w:lang w:val="pl-PL"/>
        </w:rPr>
        <w:t xml:space="preserve"> w wyrokach pilotażowych wydanych przez Trybunał w sprawach </w:t>
      </w:r>
      <w:r w:rsidRPr="00D15A2F">
        <w:rPr>
          <w:i/>
          <w:lang w:val="pl-PL"/>
        </w:rPr>
        <w:t>Orchowski przeciwko Polsce</w:t>
      </w:r>
      <w:r w:rsidRPr="00D15A2F">
        <w:rPr>
          <w:lang w:val="pl-PL"/>
        </w:rPr>
        <w:t xml:space="preserve"> (skarga nr 17885/04) oraz </w:t>
      </w:r>
      <w:r w:rsidRPr="00D15A2F">
        <w:rPr>
          <w:i/>
          <w:lang w:val="pl-PL"/>
        </w:rPr>
        <w:t>Norbert Sikorski przeciwko Polsce</w:t>
      </w:r>
      <w:r w:rsidRPr="00D15A2F">
        <w:rPr>
          <w:lang w:val="pl-PL"/>
        </w:rPr>
        <w:t xml:space="preserve"> (skarga nr 17599/05) z dnia 22 października 2009 roku (zob. odpowiednio pkt 75-85 oraz pkt 45-88). </w:t>
      </w:r>
      <w:r w:rsidR="008A6ECB" w:rsidRPr="00D15A2F">
        <w:rPr>
          <w:lang w:val="pl-PL"/>
        </w:rPr>
        <w:t>Ostatnie rozstrzygnięcia zostały</w:t>
      </w:r>
      <w:r w:rsidRPr="00D15A2F">
        <w:rPr>
          <w:lang w:val="pl-PL"/>
        </w:rPr>
        <w:t xml:space="preserve"> </w:t>
      </w:r>
      <w:r w:rsidR="008A6ECB" w:rsidRPr="00D15A2F">
        <w:rPr>
          <w:lang w:val="pl-PL"/>
        </w:rPr>
        <w:t>opisane</w:t>
      </w:r>
      <w:r w:rsidRPr="00D15A2F">
        <w:rPr>
          <w:lang w:val="pl-PL"/>
        </w:rPr>
        <w:t xml:space="preserve"> w decyzji </w:t>
      </w:r>
      <w:r w:rsidRPr="00D15A2F">
        <w:rPr>
          <w:lang w:val="pl-PL"/>
        </w:rPr>
        <w:lastRenderedPageBreak/>
        <w:t xml:space="preserve">Trybunału w sprawie </w:t>
      </w:r>
      <w:proofErr w:type="spellStart"/>
      <w:r w:rsidRPr="00D15A2F">
        <w:rPr>
          <w:i/>
          <w:lang w:val="pl-PL"/>
        </w:rPr>
        <w:t>Łatak</w:t>
      </w:r>
      <w:proofErr w:type="spellEnd"/>
      <w:r w:rsidRPr="00D15A2F">
        <w:rPr>
          <w:i/>
          <w:lang w:val="pl-PL"/>
        </w:rPr>
        <w:t xml:space="preserve"> przeciwko Polsce</w:t>
      </w:r>
      <w:r w:rsidRPr="00D15A2F">
        <w:rPr>
          <w:lang w:val="pl-PL"/>
        </w:rPr>
        <w:t xml:space="preserve"> (skarga nr 52070/08) z dnia 12 października 2010 roku (zob. pkt. 25-54).</w:t>
      </w:r>
    </w:p>
    <w:p w14:paraId="5F393FF9" w14:textId="77777777" w:rsidR="00234FC9" w:rsidRPr="00D15A2F" w:rsidRDefault="00234FC9" w:rsidP="008214F0">
      <w:pPr>
        <w:pStyle w:val="ECHRHeading2"/>
        <w:rPr>
          <w:lang w:val="pl-PL"/>
        </w:rPr>
      </w:pPr>
      <w:r w:rsidRPr="00D15A2F">
        <w:rPr>
          <w:lang w:val="pl-PL"/>
        </w:rPr>
        <w:t>C. Status "więźnia niebezpiecznego"</w:t>
      </w:r>
    </w:p>
    <w:p w14:paraId="32581278" w14:textId="6DC707FD"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59</w:t>
      </w:r>
      <w:r w:rsidRPr="00D15A2F">
        <w:rPr>
          <w:lang w:val="pl-PL"/>
        </w:rPr>
        <w:fldChar w:fldCharType="end"/>
      </w:r>
      <w:r w:rsidRPr="00D15A2F">
        <w:rPr>
          <w:lang w:val="pl-PL"/>
        </w:rPr>
        <w:t xml:space="preserve">. Właściwe prawo krajowe i praktyka w zakresie stosowania reżimu “więźnia niebezpiecznego” zostały </w:t>
      </w:r>
      <w:r w:rsidR="008A6ECB" w:rsidRPr="00D15A2F">
        <w:rPr>
          <w:lang w:val="pl-PL"/>
        </w:rPr>
        <w:t xml:space="preserve">przedstawione </w:t>
      </w:r>
      <w:r w:rsidRPr="00D15A2F">
        <w:rPr>
          <w:lang w:val="pl-PL"/>
        </w:rPr>
        <w:t xml:space="preserve">w wyrokach Trybunału w sprawach </w:t>
      </w:r>
      <w:r w:rsidRPr="00D15A2F">
        <w:rPr>
          <w:i/>
          <w:lang w:val="pl-PL"/>
        </w:rPr>
        <w:t>Piechowicz przeciwko Polsce</w:t>
      </w:r>
      <w:r w:rsidRPr="00D15A2F">
        <w:rPr>
          <w:lang w:val="pl-PL"/>
        </w:rPr>
        <w:t xml:space="preserve"> (skarga nr 20</w:t>
      </w:r>
      <w:r w:rsidRPr="001B508E">
        <w:rPr>
          <w:lang w:val="pl-PL"/>
        </w:rPr>
        <w:t xml:space="preserve">071/07, pkt 105-117, z dnia 17 kwietnia </w:t>
      </w:r>
      <w:r w:rsidRPr="00D15A2F">
        <w:rPr>
          <w:lang w:val="pl-PL"/>
        </w:rPr>
        <w:t xml:space="preserve">2012 roku) oraz </w:t>
      </w:r>
      <w:proofErr w:type="spellStart"/>
      <w:r w:rsidRPr="00D15A2F">
        <w:rPr>
          <w:i/>
          <w:lang w:val="pl-PL"/>
        </w:rPr>
        <w:t>Horych</w:t>
      </w:r>
      <w:proofErr w:type="spellEnd"/>
      <w:r w:rsidRPr="00D15A2F">
        <w:rPr>
          <w:i/>
          <w:lang w:val="pl-PL"/>
        </w:rPr>
        <w:t xml:space="preserve"> przeciwko Polsce</w:t>
      </w:r>
      <w:r w:rsidR="008A6ECB" w:rsidRPr="00D15A2F">
        <w:rPr>
          <w:lang w:val="pl-PL"/>
        </w:rPr>
        <w:t xml:space="preserve"> (skarga nr 13621/08, pkt</w:t>
      </w:r>
      <w:r w:rsidRPr="00D15A2F">
        <w:rPr>
          <w:lang w:val="pl-PL"/>
        </w:rPr>
        <w:t xml:space="preserve"> 44-56, z dnia 17 kwietnia 2012 roku).</w:t>
      </w:r>
    </w:p>
    <w:p w14:paraId="77C9455B" w14:textId="77777777" w:rsidR="00234FC9" w:rsidRPr="00D15A2F" w:rsidRDefault="00234FC9" w:rsidP="008214F0">
      <w:pPr>
        <w:pStyle w:val="ECHRHeading2"/>
        <w:rPr>
          <w:lang w:val="pl-PL"/>
        </w:rPr>
      </w:pPr>
      <w:r w:rsidRPr="00D15A2F">
        <w:rPr>
          <w:lang w:val="pl-PL"/>
        </w:rPr>
        <w:t>D. Kontrola korespondencji osadzonych</w:t>
      </w:r>
    </w:p>
    <w:p w14:paraId="7F76A3FF" w14:textId="606C9580" w:rsidR="00234FC9" w:rsidRPr="00D15A2F" w:rsidRDefault="00234FC9" w:rsidP="008214F0">
      <w:pPr>
        <w:pStyle w:val="ECHRPara"/>
        <w:rPr>
          <w:snapToGrid w:val="0"/>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60</w:t>
      </w:r>
      <w:r w:rsidRPr="00D15A2F">
        <w:rPr>
          <w:lang w:val="pl-PL"/>
        </w:rPr>
        <w:fldChar w:fldCharType="end"/>
      </w:r>
      <w:r w:rsidRPr="00D15A2F">
        <w:rPr>
          <w:lang w:val="pl-PL"/>
        </w:rPr>
        <w:t xml:space="preserve">. Właściwe prawo krajowe i praktyka w zakresie cenzury korespondencji </w:t>
      </w:r>
      <w:r w:rsidR="008A6ECB" w:rsidRPr="00D15A2F">
        <w:rPr>
          <w:lang w:val="pl-PL"/>
        </w:rPr>
        <w:t>więźniów</w:t>
      </w:r>
      <w:r w:rsidRPr="00D15A2F">
        <w:rPr>
          <w:lang w:val="pl-PL"/>
        </w:rPr>
        <w:t xml:space="preserve"> zostały </w:t>
      </w:r>
      <w:r w:rsidR="008A6ECB" w:rsidRPr="00D15A2F">
        <w:rPr>
          <w:lang w:val="pl-PL"/>
        </w:rPr>
        <w:t>przedstawione</w:t>
      </w:r>
      <w:r w:rsidRPr="00D15A2F">
        <w:rPr>
          <w:lang w:val="pl-PL"/>
        </w:rPr>
        <w:t xml:space="preserve"> w wyrokach Trybunału w sprawach </w:t>
      </w:r>
      <w:proofErr w:type="spellStart"/>
      <w:r w:rsidRPr="00D15A2F">
        <w:rPr>
          <w:i/>
          <w:lang w:val="pl-PL"/>
        </w:rPr>
        <w:t>Kliza</w:t>
      </w:r>
      <w:proofErr w:type="spellEnd"/>
      <w:r w:rsidRPr="00D15A2F">
        <w:rPr>
          <w:i/>
          <w:lang w:val="pl-PL"/>
        </w:rPr>
        <w:t xml:space="preserve"> przeciwko Polsce</w:t>
      </w:r>
      <w:r w:rsidRPr="00D15A2F">
        <w:rPr>
          <w:lang w:val="pl-PL"/>
        </w:rPr>
        <w:t xml:space="preserve">, skarga nr 8363/04, pkt 29-34, z dnia 6 września 2007 roku oraz </w:t>
      </w:r>
      <w:proofErr w:type="spellStart"/>
      <w:r w:rsidRPr="00D15A2F">
        <w:rPr>
          <w:i/>
          <w:lang w:val="pl-PL"/>
        </w:rPr>
        <w:t>Biśta</w:t>
      </w:r>
      <w:proofErr w:type="spellEnd"/>
      <w:r w:rsidRPr="00D15A2F">
        <w:rPr>
          <w:i/>
          <w:lang w:val="pl-PL"/>
        </w:rPr>
        <w:t xml:space="preserve"> przeciwko Polsce</w:t>
      </w:r>
      <w:r w:rsidRPr="00D15A2F">
        <w:rPr>
          <w:lang w:val="pl-PL"/>
        </w:rPr>
        <w:t>, skarga nr 22807/07, pkt 21, z dnia 12 stycznia 2010 roku.</w:t>
      </w:r>
    </w:p>
    <w:p w14:paraId="057E7C3B" w14:textId="77777777" w:rsidR="00234FC9" w:rsidRPr="00D15A2F" w:rsidRDefault="00234FC9" w:rsidP="008214F0">
      <w:pPr>
        <w:pStyle w:val="ECHRHeading2"/>
        <w:rPr>
          <w:snapToGrid w:val="0"/>
          <w:lang w:val="pl-PL"/>
        </w:rPr>
      </w:pPr>
      <w:r w:rsidRPr="00D15A2F">
        <w:rPr>
          <w:snapToGrid w:val="0"/>
          <w:lang w:val="pl-PL"/>
        </w:rPr>
        <w:t>E. Wybory do Parlamentu Europejskiego</w:t>
      </w:r>
    </w:p>
    <w:p w14:paraId="60708A05" w14:textId="567C7A55"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61</w:t>
      </w:r>
      <w:r w:rsidRPr="00D15A2F">
        <w:rPr>
          <w:lang w:val="pl-PL"/>
        </w:rPr>
        <w:fldChar w:fldCharType="end"/>
      </w:r>
      <w:r w:rsidRPr="00D15A2F">
        <w:rPr>
          <w:lang w:val="pl-PL"/>
        </w:rPr>
        <w:t xml:space="preserve">. W rzeczonym okresie procedura dotycząca wyborów do Parlamentu Europejskiego określona była w Ordynacji wyborczej do Parlamentu Europejskiego z dnia 23 stycznia 2004 roku </w:t>
      </w:r>
      <w:r w:rsidR="008A6ECB" w:rsidRPr="00D15A2F">
        <w:rPr>
          <w:lang w:val="pl-PL"/>
        </w:rPr>
        <w:t xml:space="preserve">(„Ordynacja wyborcza </w:t>
      </w:r>
      <w:r w:rsidRPr="00D15A2F">
        <w:rPr>
          <w:lang w:val="pl-PL"/>
        </w:rPr>
        <w:t>z 2004 r</w:t>
      </w:r>
      <w:r w:rsidR="008A6ECB" w:rsidRPr="00D15A2F">
        <w:rPr>
          <w:lang w:val="pl-PL"/>
        </w:rPr>
        <w:t>oku”</w:t>
      </w:r>
      <w:r w:rsidRPr="00D15A2F">
        <w:rPr>
          <w:lang w:val="pl-PL"/>
        </w:rPr>
        <w:t>). Została uchylona 1 sierpnia 2011 roku. Artykuł 134 Ordynacji wyborczej z 2004 roku stanowi:</w:t>
      </w:r>
    </w:p>
    <w:p w14:paraId="586BD08F" w14:textId="77777777" w:rsidR="00234FC9" w:rsidRPr="001B508E" w:rsidRDefault="00234FC9" w:rsidP="008214F0">
      <w:pPr>
        <w:pStyle w:val="ECHRParaQuote"/>
        <w:rPr>
          <w:rFonts w:eastAsia="Times New Roman"/>
        </w:rPr>
      </w:pPr>
      <w:r w:rsidRPr="00D15A2F">
        <w:rPr>
          <w:rFonts w:eastAsia="Times New Roman"/>
        </w:rPr>
        <w:t>“1. Przeciwko ważności wyborów, ważności wyborów w okręgu lub wyborowi posła do Parlamentu Europejskiego może być wniesiony pro</w:t>
      </w:r>
      <w:r w:rsidRPr="001B508E">
        <w:rPr>
          <w:rFonts w:eastAsia="Times New Roman"/>
        </w:rPr>
        <w:t>test z powodu:</w:t>
      </w:r>
    </w:p>
    <w:p w14:paraId="7576041A" w14:textId="77777777" w:rsidR="003876CB" w:rsidRDefault="00234FC9" w:rsidP="008A6ECB">
      <w:pPr>
        <w:pStyle w:val="ECHRParaQuote"/>
        <w:ind w:firstLine="0"/>
        <w:rPr>
          <w:rFonts w:eastAsia="Times New Roman"/>
        </w:rPr>
      </w:pPr>
      <w:r w:rsidRPr="001B508E">
        <w:rPr>
          <w:rFonts w:eastAsia="Times New Roman"/>
        </w:rPr>
        <w:t>(1) dopuszczenia się przestępstwa przeciwko wyborom, określonego w rozdziale XXXI Kodeksu karnego, mającego wpływ na przebieg głosowania, ustalenie wyników</w:t>
      </w:r>
      <w:r w:rsidR="008A6ECB">
        <w:rPr>
          <w:rFonts w:eastAsia="Times New Roman"/>
        </w:rPr>
        <w:t xml:space="preserve"> </w:t>
      </w:r>
      <w:r w:rsidRPr="001B508E">
        <w:rPr>
          <w:rFonts w:eastAsia="Times New Roman"/>
        </w:rPr>
        <w:t>głosowania</w:t>
      </w:r>
      <w:r w:rsidR="008A6ECB">
        <w:rPr>
          <w:rFonts w:eastAsia="Times New Roman"/>
        </w:rPr>
        <w:t xml:space="preserve"> </w:t>
      </w:r>
      <w:r w:rsidRPr="001B508E">
        <w:rPr>
          <w:rFonts w:eastAsia="Times New Roman"/>
        </w:rPr>
        <w:t>lub</w:t>
      </w:r>
      <w:r w:rsidR="008A6ECB">
        <w:rPr>
          <w:rFonts w:eastAsia="Times New Roman"/>
        </w:rPr>
        <w:t xml:space="preserve"> </w:t>
      </w:r>
      <w:r w:rsidRPr="001B508E">
        <w:rPr>
          <w:rFonts w:eastAsia="Times New Roman"/>
        </w:rPr>
        <w:t>wyników</w:t>
      </w:r>
      <w:r w:rsidR="008A6ECB">
        <w:rPr>
          <w:rFonts w:eastAsia="Times New Roman"/>
        </w:rPr>
        <w:t xml:space="preserve"> </w:t>
      </w:r>
      <w:r w:rsidRPr="001B508E">
        <w:rPr>
          <w:rFonts w:eastAsia="Times New Roman"/>
        </w:rPr>
        <w:t>wyborów</w:t>
      </w:r>
      <w:r w:rsidR="008A6ECB">
        <w:rPr>
          <w:rFonts w:eastAsia="Times New Roman"/>
        </w:rPr>
        <w:t xml:space="preserve"> </w:t>
      </w:r>
      <w:r w:rsidRPr="001B508E">
        <w:rPr>
          <w:rFonts w:eastAsia="Times New Roman"/>
        </w:rPr>
        <w:t xml:space="preserve">lub </w:t>
      </w:r>
    </w:p>
    <w:p w14:paraId="3B2CE99F" w14:textId="4B8851C8" w:rsidR="00234FC9" w:rsidRPr="001B508E" w:rsidRDefault="00234FC9" w:rsidP="008A6ECB">
      <w:pPr>
        <w:pStyle w:val="ECHRParaQuote"/>
        <w:ind w:firstLine="0"/>
        <w:rPr>
          <w:rFonts w:eastAsia="Times New Roman"/>
        </w:rPr>
      </w:pPr>
      <w:r w:rsidRPr="001B508E">
        <w:rPr>
          <w:rFonts w:eastAsia="Times New Roman"/>
        </w:rPr>
        <w:t>(2) naruszenia przepisów niniejszej ustawy dotyczących głosowania, ustalenia wyników głosowania lub wyników wyborów.</w:t>
      </w:r>
    </w:p>
    <w:p w14:paraId="450B5346" w14:textId="77777777" w:rsidR="00234FC9" w:rsidRPr="001B508E" w:rsidRDefault="00234FC9" w:rsidP="008214F0">
      <w:pPr>
        <w:pStyle w:val="ECHRParaQuote"/>
        <w:rPr>
          <w:rFonts w:eastAsia="Times New Roman"/>
        </w:rPr>
      </w:pPr>
      <w:r w:rsidRPr="001B508E">
        <w:rPr>
          <w:rFonts w:eastAsia="Times New Roman"/>
        </w:rPr>
        <w:t>2. Protesty rozpatruje i rozstrzyga o nieważności wyborów lub o nieważności wyboru posła do Parlamentu Europejskiego Sąd Najwyższy, w drodze uchwały."</w:t>
      </w:r>
    </w:p>
    <w:p w14:paraId="5E868E74"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62</w:t>
      </w:r>
      <w:r w:rsidRPr="001B508E">
        <w:rPr>
          <w:lang w:val="pl-PL"/>
        </w:rPr>
        <w:fldChar w:fldCharType="end"/>
      </w:r>
      <w:r w:rsidRPr="001B508E">
        <w:rPr>
          <w:lang w:val="pl-PL"/>
        </w:rPr>
        <w:t>. Protest przeciwko ważności wyborów został wniesiony do Sądu Najwyższego w ciągu siedmiu dni od ogłoszenia wyników wyborów w Dzienniku Ustaw Rzeczypospolitej Polskiej przez Państwową Komisję Wyborczą. Sąd Najwyższy następnie zbadał protest i wydał opinię w tej sprawie.</w:t>
      </w:r>
    </w:p>
    <w:p w14:paraId="6B13D2CD" w14:textId="77777777" w:rsidR="00234FC9" w:rsidRPr="001B508E" w:rsidRDefault="00234FC9" w:rsidP="008214F0">
      <w:pPr>
        <w:pStyle w:val="ECHRTitle1"/>
        <w:rPr>
          <w:lang w:val="pl-PL"/>
        </w:rPr>
      </w:pPr>
      <w:r w:rsidRPr="001B508E">
        <w:rPr>
          <w:lang w:val="pl-PL"/>
        </w:rPr>
        <w:lastRenderedPageBreak/>
        <w:t>PRAWO</w:t>
      </w:r>
    </w:p>
    <w:p w14:paraId="728AFA6E" w14:textId="77777777" w:rsidR="00234FC9" w:rsidRPr="001B508E" w:rsidRDefault="00234FC9" w:rsidP="008214F0">
      <w:pPr>
        <w:pStyle w:val="ECHRHeading1"/>
        <w:rPr>
          <w:lang w:val="pl-PL"/>
        </w:rPr>
      </w:pPr>
      <w:r w:rsidRPr="001B508E">
        <w:rPr>
          <w:lang w:val="pl-PL"/>
        </w:rPr>
        <w:t xml:space="preserve">I. ZARZUT NARUSZENIA ARTYKUŁU 3 KONWENCJI W ZWIĄZKU Z ZASTOSOWANIEM REŻIMU “WIĘŹNIA NIEBEZPIECZNEGO” </w:t>
      </w:r>
    </w:p>
    <w:p w14:paraId="58B646D2"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63</w:t>
      </w:r>
      <w:r w:rsidRPr="001B508E">
        <w:rPr>
          <w:lang w:val="pl-PL"/>
        </w:rPr>
        <w:fldChar w:fldCharType="end"/>
      </w:r>
      <w:r w:rsidRPr="001B508E">
        <w:rPr>
          <w:lang w:val="pl-PL"/>
        </w:rPr>
        <w:t>. Skarżący sformułował zarzut, że został bezprawnie zakwalifikowany do kategorii “więźnia niebezpiecznego” i poddany poniżającemu traktowaniu, określonemu w Artykule 3 Konwencji, który stanowi co następuje:</w:t>
      </w:r>
    </w:p>
    <w:p w14:paraId="63C7BFAD" w14:textId="77777777" w:rsidR="00234FC9" w:rsidRPr="001B508E" w:rsidRDefault="00234FC9" w:rsidP="008214F0">
      <w:pPr>
        <w:pStyle w:val="ECHRParaQuote"/>
      </w:pPr>
      <w:r w:rsidRPr="001B508E">
        <w:t>“Nikt nie może być poddany torturom ani nieludzkiemu lub poniżającemu traktowaniu albo karaniu.”</w:t>
      </w:r>
    </w:p>
    <w:p w14:paraId="01114471"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64</w:t>
      </w:r>
      <w:r w:rsidRPr="001B508E">
        <w:rPr>
          <w:lang w:val="pl-PL"/>
        </w:rPr>
        <w:fldChar w:fldCharType="end"/>
      </w:r>
      <w:r w:rsidRPr="001B508E">
        <w:rPr>
          <w:lang w:val="pl-PL"/>
        </w:rPr>
        <w:t>. Rząd zakwestionował to stanowisko.</w:t>
      </w:r>
    </w:p>
    <w:p w14:paraId="0E7B4871" w14:textId="77777777" w:rsidR="00234FC9" w:rsidRPr="001B508E" w:rsidRDefault="00234FC9" w:rsidP="008214F0">
      <w:pPr>
        <w:pStyle w:val="ECHRHeading2"/>
        <w:rPr>
          <w:lang w:val="pl-PL"/>
        </w:rPr>
      </w:pPr>
      <w:r w:rsidRPr="001B508E">
        <w:rPr>
          <w:lang w:val="pl-PL"/>
        </w:rPr>
        <w:t>A. Dopuszczalność skargi</w:t>
      </w:r>
    </w:p>
    <w:p w14:paraId="2A96E308" w14:textId="77777777" w:rsidR="00234FC9" w:rsidRPr="001B508E" w:rsidRDefault="00234FC9" w:rsidP="008214F0">
      <w:pPr>
        <w:pStyle w:val="ECHRHeading3"/>
        <w:rPr>
          <w:lang w:val="pl-PL"/>
        </w:rPr>
      </w:pPr>
      <w:r w:rsidRPr="001B508E">
        <w:rPr>
          <w:lang w:val="pl-PL"/>
        </w:rPr>
        <w:t>1. Stanowisko stron</w:t>
      </w:r>
    </w:p>
    <w:p w14:paraId="79906FEC" w14:textId="77777777"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65</w:t>
      </w:r>
      <w:r w:rsidRPr="001B508E">
        <w:rPr>
          <w:lang w:val="pl-PL"/>
        </w:rPr>
        <w:fldChar w:fldCharType="end"/>
      </w:r>
      <w:r w:rsidRPr="001B508E">
        <w:rPr>
          <w:lang w:val="pl-PL"/>
        </w:rPr>
        <w:t xml:space="preserve">. Rząd stwierdził, że skarżący nie wykorzystał środków o charakterze kompensacyjnym gwarantowanych przez Artykuły 23 i 24 Kodeksu cywilnego, w związku z Artykułami 445 lub 448 Kodeksu cywilnego i nie wniósł powództwa o zadośćuczynienie za domniemane szkody dla jego zdrowia poniesione w wyniku domniemanego nieludzkiego i upokarzającego traktowania </w:t>
      </w:r>
      <w:r w:rsidRPr="00D15A2F">
        <w:rPr>
          <w:lang w:val="pl-PL"/>
        </w:rPr>
        <w:t>w aresztach.</w:t>
      </w:r>
    </w:p>
    <w:p w14:paraId="3522BA44" w14:textId="4AB8D535" w:rsidR="00234FC9" w:rsidRPr="00D15A2F" w:rsidRDefault="00234FC9" w:rsidP="008214F0">
      <w:pPr>
        <w:pStyle w:val="ECHRPara"/>
        <w:rPr>
          <w:spacing w:val="-2"/>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66</w:t>
      </w:r>
      <w:r w:rsidRPr="00D15A2F">
        <w:rPr>
          <w:lang w:val="pl-PL"/>
        </w:rPr>
        <w:fldChar w:fldCharType="end"/>
      </w:r>
      <w:r w:rsidRPr="00D15A2F">
        <w:rPr>
          <w:lang w:val="pl-PL"/>
        </w:rPr>
        <w:t xml:space="preserve">. W tym względzie, odwołując się do spraw </w:t>
      </w:r>
      <w:proofErr w:type="spellStart"/>
      <w:r w:rsidRPr="00D15A2F">
        <w:rPr>
          <w:i/>
          <w:lang w:val="pl-PL"/>
        </w:rPr>
        <w:t>Łatak</w:t>
      </w:r>
      <w:proofErr w:type="spellEnd"/>
      <w:r w:rsidRPr="00D15A2F">
        <w:rPr>
          <w:lang w:val="pl-PL"/>
        </w:rPr>
        <w:t xml:space="preserve"> i </w:t>
      </w:r>
      <w:proofErr w:type="spellStart"/>
      <w:r w:rsidRPr="00D15A2F">
        <w:rPr>
          <w:i/>
          <w:lang w:val="pl-PL"/>
        </w:rPr>
        <w:t>Łomińsk</w:t>
      </w:r>
      <w:proofErr w:type="spellEnd"/>
      <w:r w:rsidRPr="00D15A2F">
        <w:rPr>
          <w:lang w:val="pl-PL"/>
        </w:rPr>
        <w:t xml:space="preserve"> (zob. </w:t>
      </w:r>
      <w:proofErr w:type="spellStart"/>
      <w:r w:rsidRPr="00D15A2F">
        <w:rPr>
          <w:i/>
          <w:lang w:val="pl-PL"/>
        </w:rPr>
        <w:t>Łatak</w:t>
      </w:r>
      <w:proofErr w:type="spellEnd"/>
      <w:r w:rsidRPr="00D15A2F">
        <w:rPr>
          <w:i/>
          <w:lang w:val="pl-PL"/>
        </w:rPr>
        <w:t xml:space="preserve"> przeciwko Polsce</w:t>
      </w:r>
      <w:r w:rsidRPr="00D15A2F">
        <w:rPr>
          <w:lang w:val="pl-PL"/>
        </w:rPr>
        <w:t xml:space="preserve">, cyt. powyżej i </w:t>
      </w:r>
      <w:proofErr w:type="spellStart"/>
      <w:r w:rsidRPr="00D15A2F">
        <w:rPr>
          <w:i/>
          <w:lang w:val="pl-PL"/>
        </w:rPr>
        <w:t>Łomiński</w:t>
      </w:r>
      <w:proofErr w:type="spellEnd"/>
      <w:r w:rsidRPr="00D15A2F">
        <w:rPr>
          <w:i/>
          <w:lang w:val="pl-PL"/>
        </w:rPr>
        <w:t xml:space="preserve"> przeciwko Polsce</w:t>
      </w:r>
      <w:bookmarkStart w:id="1" w:name="HIT29"/>
      <w:bookmarkEnd w:id="1"/>
      <w:r w:rsidRPr="00D15A2F">
        <w:rPr>
          <w:lang w:val="pl-PL"/>
        </w:rPr>
        <w:t xml:space="preserve">, skarga nr </w:t>
      </w:r>
      <w:bookmarkStart w:id="2" w:name="HIT30"/>
      <w:bookmarkEnd w:id="2"/>
      <w:r w:rsidRPr="00D15A2F">
        <w:rPr>
          <w:lang w:val="pl-PL"/>
        </w:rPr>
        <w:t>33502/</w:t>
      </w:r>
      <w:bookmarkStart w:id="3" w:name="HIT31"/>
      <w:bookmarkEnd w:id="3"/>
      <w:r w:rsidRPr="00D15A2F">
        <w:rPr>
          <w:lang w:val="pl-PL"/>
        </w:rPr>
        <w:t>09 (</w:t>
      </w:r>
      <w:proofErr w:type="spellStart"/>
      <w:r w:rsidRPr="00D15A2F">
        <w:rPr>
          <w:lang w:val="pl-PL"/>
        </w:rPr>
        <w:t>dec</w:t>
      </w:r>
      <w:proofErr w:type="spellEnd"/>
      <w:r w:rsidRPr="00D15A2F">
        <w:rPr>
          <w:lang w:val="pl-PL"/>
        </w:rPr>
        <w:t>), z dnia 12 października 2010 roku</w:t>
      </w:r>
      <w:r w:rsidR="00B7316E" w:rsidRPr="00D15A2F">
        <w:rPr>
          <w:lang w:val="pl-PL"/>
        </w:rPr>
        <w:t>)</w:t>
      </w:r>
      <w:r w:rsidRPr="00D15A2F">
        <w:rPr>
          <w:lang w:val="pl-PL"/>
        </w:rPr>
        <w:t>, Rząd zwrócił uwagę, iż Trybunał uzn</w:t>
      </w:r>
      <w:r w:rsidR="00B7316E" w:rsidRPr="00D15A2F">
        <w:rPr>
          <w:lang w:val="pl-PL"/>
        </w:rPr>
        <w:t xml:space="preserve">ał już, </w:t>
      </w:r>
      <w:r w:rsidRPr="00D15A2F">
        <w:rPr>
          <w:lang w:val="pl-PL"/>
        </w:rPr>
        <w:t>ż</w:t>
      </w:r>
      <w:r w:rsidR="00B7316E" w:rsidRPr="00D15A2F">
        <w:rPr>
          <w:lang w:val="pl-PL"/>
        </w:rPr>
        <w:t>e</w:t>
      </w:r>
      <w:r w:rsidRPr="00D15A2F">
        <w:rPr>
          <w:lang w:val="pl-PL"/>
        </w:rPr>
        <w:t xml:space="preserve"> powództwo cywilne w trybie Artykułu 24 w z</w:t>
      </w:r>
      <w:r w:rsidR="00B7316E" w:rsidRPr="00D15A2F">
        <w:rPr>
          <w:lang w:val="pl-PL"/>
        </w:rPr>
        <w:t>wiązku z Artykułem 448 Kodeksu c</w:t>
      </w:r>
      <w:r w:rsidRPr="00D15A2F">
        <w:rPr>
          <w:lang w:val="pl-PL"/>
        </w:rPr>
        <w:t>ywilnego można uznać za skuteczny środek w rozumieniu Artykułu 35 ust. 1 Konwencji.</w:t>
      </w:r>
    </w:p>
    <w:p w14:paraId="105098CD"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67</w:t>
      </w:r>
      <w:r w:rsidRPr="00D15A2F">
        <w:rPr>
          <w:lang w:val="pl-PL"/>
        </w:rPr>
        <w:fldChar w:fldCharType="end"/>
      </w:r>
      <w:r w:rsidRPr="00D15A2F">
        <w:rPr>
          <w:lang w:val="pl-PL"/>
        </w:rPr>
        <w:t>. Skarżący nie zgodził się.</w:t>
      </w:r>
    </w:p>
    <w:p w14:paraId="7F0298A1" w14:textId="77777777" w:rsidR="00234FC9" w:rsidRPr="00D15A2F" w:rsidRDefault="00234FC9" w:rsidP="008214F0">
      <w:pPr>
        <w:pStyle w:val="ECHRHeading3"/>
        <w:rPr>
          <w:lang w:val="pl-PL"/>
        </w:rPr>
      </w:pPr>
      <w:r w:rsidRPr="00D15A2F">
        <w:rPr>
          <w:lang w:val="pl-PL"/>
        </w:rPr>
        <w:t>2. Ocena Trybunału</w:t>
      </w:r>
    </w:p>
    <w:p w14:paraId="21A6667B" w14:textId="12CFEA04"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68</w:t>
      </w:r>
      <w:r w:rsidRPr="00D15A2F">
        <w:rPr>
          <w:lang w:val="pl-PL"/>
        </w:rPr>
        <w:fldChar w:fldCharType="end"/>
      </w:r>
      <w:r w:rsidRPr="00D15A2F">
        <w:rPr>
          <w:lang w:val="pl-PL"/>
        </w:rPr>
        <w:t>. Trybunał podkreśla, że chociaż Artykuł 35 ust. 1 Konwencji wymaga, aby skargi, które mają następnie zostać przedstawione Trybunałowi</w:t>
      </w:r>
      <w:r w:rsidR="00B7316E" w:rsidRPr="00D15A2F">
        <w:rPr>
          <w:lang w:val="pl-PL"/>
        </w:rPr>
        <w:t>,</w:t>
      </w:r>
      <w:r w:rsidRPr="00D15A2F">
        <w:rPr>
          <w:lang w:val="pl-PL"/>
        </w:rPr>
        <w:t xml:space="preserve"> </w:t>
      </w:r>
      <w:r w:rsidR="00B7316E" w:rsidRPr="00D15A2F">
        <w:rPr>
          <w:lang w:val="pl-PL"/>
        </w:rPr>
        <w:t>zostały</w:t>
      </w:r>
      <w:r w:rsidRPr="00D15A2F">
        <w:rPr>
          <w:lang w:val="pl-PL"/>
        </w:rPr>
        <w:t xml:space="preserve"> uprzednio przedstawione odpowiednim organom krajowym, nie wymaga aby korzystać ze środków, które są nieodpowiednie lub nieskuteczne (zob. </w:t>
      </w:r>
      <w:proofErr w:type="spellStart"/>
      <w:r w:rsidRPr="00D15A2F">
        <w:rPr>
          <w:i/>
          <w:lang w:val="pl-PL"/>
        </w:rPr>
        <w:t>Egmez</w:t>
      </w:r>
      <w:proofErr w:type="spellEnd"/>
      <w:r w:rsidRPr="00D15A2F">
        <w:rPr>
          <w:i/>
          <w:lang w:val="pl-PL"/>
        </w:rPr>
        <w:t xml:space="preserve"> przeciwko Turcji</w:t>
      </w:r>
      <w:r w:rsidR="00B7316E" w:rsidRPr="00D15A2F">
        <w:rPr>
          <w:i/>
          <w:lang w:val="pl-PL"/>
        </w:rPr>
        <w:t>,</w:t>
      </w:r>
      <w:r w:rsidRPr="00D15A2F">
        <w:rPr>
          <w:lang w:val="pl-PL"/>
        </w:rPr>
        <w:t xml:space="preserve"> skarga nr 30873/96, ECHR 2000-XII, pkt. 65 i nast.).</w:t>
      </w:r>
    </w:p>
    <w:p w14:paraId="07B63841" w14:textId="2A904988"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69</w:t>
      </w:r>
      <w:r w:rsidRPr="00D15A2F">
        <w:rPr>
          <w:lang w:val="pl-PL"/>
        </w:rPr>
        <w:fldChar w:fldCharType="end"/>
      </w:r>
      <w:r w:rsidRPr="00D15A2F">
        <w:rPr>
          <w:lang w:val="pl-PL"/>
        </w:rPr>
        <w:t xml:space="preserve">. W przedmiotowej sprawie Trybunał zauważa, że skarżący odwołał się do sądu penitencjarnego od decyzji przedłużających status "więźnia niebezpiecznego" (zob. pkt 32 powyżej). W związku z tym Trybunał nie uważa, aby musiał on – po oddaleniu tych </w:t>
      </w:r>
      <w:proofErr w:type="spellStart"/>
      <w:r w:rsidRPr="00D15A2F">
        <w:rPr>
          <w:lang w:val="pl-PL"/>
        </w:rPr>
        <w:t>odwołań</w:t>
      </w:r>
      <w:proofErr w:type="spellEnd"/>
      <w:r w:rsidRPr="00D15A2F">
        <w:rPr>
          <w:lang w:val="pl-PL"/>
        </w:rPr>
        <w:t xml:space="preserve"> – wnieść powództwo cywilne w trybie Artykułu 24 w z</w:t>
      </w:r>
      <w:r w:rsidR="00B7316E" w:rsidRPr="00D15A2F">
        <w:rPr>
          <w:lang w:val="pl-PL"/>
        </w:rPr>
        <w:t xml:space="preserve">wiązku z Artykułem 448 Kodeksu </w:t>
      </w:r>
      <w:r w:rsidR="00B7316E" w:rsidRPr="00D15A2F">
        <w:rPr>
          <w:lang w:val="pl-PL"/>
        </w:rPr>
        <w:lastRenderedPageBreak/>
        <w:t>c</w:t>
      </w:r>
      <w:r w:rsidRPr="00D15A2F">
        <w:rPr>
          <w:lang w:val="pl-PL"/>
        </w:rPr>
        <w:t xml:space="preserve">ywilnego w celu realizacji wymagań </w:t>
      </w:r>
      <w:r w:rsidR="00B7316E" w:rsidRPr="00D15A2F">
        <w:rPr>
          <w:lang w:val="pl-PL"/>
        </w:rPr>
        <w:t xml:space="preserve">z </w:t>
      </w:r>
      <w:r w:rsidRPr="00D15A2F">
        <w:rPr>
          <w:lang w:val="pl-PL"/>
        </w:rPr>
        <w:t xml:space="preserve">Artykułu 35 ust. 1 (zob. </w:t>
      </w:r>
      <w:r w:rsidRPr="00D15A2F">
        <w:rPr>
          <w:i/>
          <w:lang w:val="pl-PL"/>
        </w:rPr>
        <w:t>Głowacki przeciwko Polsce</w:t>
      </w:r>
      <w:r w:rsidRPr="00D15A2F">
        <w:rPr>
          <w:lang w:val="pl-PL"/>
        </w:rPr>
        <w:t>, skarga nr 1608/08, pkt 60-63, z dnia 30 października 2012 r</w:t>
      </w:r>
      <w:r w:rsidR="00B7316E" w:rsidRPr="00D15A2F">
        <w:rPr>
          <w:lang w:val="pl-PL"/>
        </w:rPr>
        <w:t>oku</w:t>
      </w:r>
      <w:r w:rsidRPr="00D15A2F">
        <w:rPr>
          <w:lang w:val="pl-PL"/>
        </w:rPr>
        <w:t>).</w:t>
      </w:r>
    </w:p>
    <w:p w14:paraId="7498D899" w14:textId="5EF74D34"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70</w:t>
      </w:r>
      <w:r w:rsidRPr="00D15A2F">
        <w:rPr>
          <w:lang w:val="pl-PL"/>
        </w:rPr>
        <w:fldChar w:fldCharType="end"/>
      </w:r>
      <w:r w:rsidRPr="00D15A2F">
        <w:rPr>
          <w:lang w:val="pl-PL"/>
        </w:rPr>
        <w:t xml:space="preserve">. W związku z </w:t>
      </w:r>
      <w:r w:rsidR="00B7316E" w:rsidRPr="00D15A2F">
        <w:rPr>
          <w:lang w:val="pl-PL"/>
        </w:rPr>
        <w:t xml:space="preserve">powyższym Trybunał uznaje, </w:t>
      </w:r>
      <w:r w:rsidRPr="00D15A2F">
        <w:rPr>
          <w:lang w:val="pl-PL"/>
        </w:rPr>
        <w:t>ż</w:t>
      </w:r>
      <w:r w:rsidR="00B7316E" w:rsidRPr="00D15A2F">
        <w:rPr>
          <w:lang w:val="pl-PL"/>
        </w:rPr>
        <w:t>e</w:t>
      </w:r>
      <w:r w:rsidRPr="00D15A2F">
        <w:rPr>
          <w:lang w:val="pl-PL"/>
        </w:rPr>
        <w:t xml:space="preserve"> po stronie skarżącego nie istniał wymóg skorzystania ze środka prawnego przywołanego w odpowi</w:t>
      </w:r>
      <w:r w:rsidR="00B7316E" w:rsidRPr="00D15A2F">
        <w:rPr>
          <w:lang w:val="pl-PL"/>
        </w:rPr>
        <w:t>edzi pozwanego Rządu. Tym samym</w:t>
      </w:r>
      <w:r w:rsidRPr="00D15A2F">
        <w:rPr>
          <w:lang w:val="pl-PL"/>
        </w:rPr>
        <w:t xml:space="preserve"> wstępny sprzeciw Rządu należy odrzucić.</w:t>
      </w:r>
    </w:p>
    <w:p w14:paraId="26BA4E42" w14:textId="77777777" w:rsidR="00234FC9" w:rsidRPr="00D15A2F" w:rsidRDefault="00234FC9" w:rsidP="008214F0">
      <w:pPr>
        <w:pStyle w:val="ECHRHeading2"/>
        <w:rPr>
          <w:lang w:val="pl-PL"/>
        </w:rPr>
      </w:pPr>
      <w:r w:rsidRPr="00D15A2F">
        <w:rPr>
          <w:lang w:val="pl-PL"/>
        </w:rPr>
        <w:t>B. Meritum skargi</w:t>
      </w:r>
    </w:p>
    <w:p w14:paraId="54590A60" w14:textId="77777777" w:rsidR="00234FC9" w:rsidRPr="00D15A2F" w:rsidRDefault="00234FC9" w:rsidP="008214F0">
      <w:pPr>
        <w:pStyle w:val="ECHRHeading3"/>
        <w:rPr>
          <w:lang w:val="pl-PL"/>
        </w:rPr>
      </w:pPr>
      <w:r w:rsidRPr="00D15A2F">
        <w:rPr>
          <w:lang w:val="pl-PL"/>
        </w:rPr>
        <w:t>1. Skarżący</w:t>
      </w:r>
    </w:p>
    <w:p w14:paraId="76EFDAE4"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71</w:t>
      </w:r>
      <w:r w:rsidRPr="00D15A2F">
        <w:rPr>
          <w:lang w:val="pl-PL"/>
        </w:rPr>
        <w:fldChar w:fldCharType="end"/>
      </w:r>
      <w:r w:rsidRPr="00D15A2F">
        <w:rPr>
          <w:lang w:val="pl-PL"/>
        </w:rPr>
        <w:t xml:space="preserve">. Skarżący stwierdził, że długotrwałe stosowanie wobec niego reżimu “więźnia niebezpiecznego” stanowiło naruszenie Artykułu 3 Konwencji. </w:t>
      </w:r>
    </w:p>
    <w:p w14:paraId="6AAD4ABF" w14:textId="37940746"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72</w:t>
      </w:r>
      <w:r w:rsidRPr="00D15A2F">
        <w:rPr>
          <w:lang w:val="pl-PL"/>
        </w:rPr>
        <w:fldChar w:fldCharType="end"/>
      </w:r>
      <w:r w:rsidRPr="00D15A2F">
        <w:rPr>
          <w:lang w:val="pl-PL"/>
        </w:rPr>
        <w:t xml:space="preserve">. Skarżący odniósł się w szczególności do </w:t>
      </w:r>
      <w:r w:rsidR="009F598A" w:rsidRPr="00D15A2F">
        <w:rPr>
          <w:lang w:val="pl-PL"/>
        </w:rPr>
        <w:t>umieszczenia</w:t>
      </w:r>
      <w:r w:rsidRPr="00D15A2F">
        <w:rPr>
          <w:lang w:val="pl-PL"/>
        </w:rPr>
        <w:t xml:space="preserve"> go w izolatce, długotrwałej i nadmiernej izolacji od rodziny, świata</w:t>
      </w:r>
      <w:r w:rsidR="009F598A" w:rsidRPr="00D15A2F">
        <w:rPr>
          <w:lang w:val="pl-PL"/>
        </w:rPr>
        <w:t xml:space="preserve"> zewnętrznego i innych więźniów oraz do innych ograniczeń takich jak </w:t>
      </w:r>
      <w:r w:rsidRPr="00D15A2F">
        <w:rPr>
          <w:lang w:val="pl-PL"/>
        </w:rPr>
        <w:t>zakł</w:t>
      </w:r>
      <w:r w:rsidR="009F598A" w:rsidRPr="00D15A2F">
        <w:rPr>
          <w:lang w:val="pl-PL"/>
        </w:rPr>
        <w:t>adanie kajdan zespolonych, rutynowe kontrole osobiste</w:t>
      </w:r>
      <w:r w:rsidRPr="00D15A2F">
        <w:rPr>
          <w:lang w:val="pl-PL"/>
        </w:rPr>
        <w:t>, który</w:t>
      </w:r>
      <w:r w:rsidR="009F598A" w:rsidRPr="00D15A2F">
        <w:rPr>
          <w:lang w:val="pl-PL"/>
        </w:rPr>
        <w:t>m był poddawany codziennie oraz</w:t>
      </w:r>
      <w:r w:rsidRPr="00D15A2F">
        <w:rPr>
          <w:lang w:val="pl-PL"/>
        </w:rPr>
        <w:t xml:space="preserve"> </w:t>
      </w:r>
      <w:r w:rsidR="009F598A" w:rsidRPr="00D15A2F">
        <w:rPr>
          <w:lang w:val="pl-PL"/>
        </w:rPr>
        <w:t>- w końcu - objęcie</w:t>
      </w:r>
      <w:r w:rsidRPr="00D15A2F">
        <w:rPr>
          <w:lang w:val="pl-PL"/>
        </w:rPr>
        <w:t xml:space="preserve"> jego celi (wraz z częścią przeznaczoną do celów higieniczno-sanitarnych) systemem stałego monitorowan</w:t>
      </w:r>
      <w:r w:rsidR="009F598A" w:rsidRPr="00D15A2F">
        <w:rPr>
          <w:lang w:val="pl-PL"/>
        </w:rPr>
        <w:t>i</w:t>
      </w:r>
      <w:r w:rsidRPr="00D15A2F">
        <w:rPr>
          <w:lang w:val="pl-PL"/>
        </w:rPr>
        <w:t>a przez</w:t>
      </w:r>
      <w:r w:rsidR="009F598A" w:rsidRPr="00D15A2F">
        <w:rPr>
          <w:lang w:val="pl-PL"/>
        </w:rPr>
        <w:t xml:space="preserve"> system telewizji przemysłowej.</w:t>
      </w:r>
    </w:p>
    <w:p w14:paraId="15196D36"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73</w:t>
      </w:r>
      <w:r w:rsidRPr="00D15A2F">
        <w:rPr>
          <w:lang w:val="pl-PL"/>
        </w:rPr>
        <w:fldChar w:fldCharType="end"/>
      </w:r>
      <w:r w:rsidRPr="00D15A2F">
        <w:rPr>
          <w:lang w:val="pl-PL"/>
        </w:rPr>
        <w:t>. Skarżący podkreślał, że całość jego pobytu w celi była stale monitorowana. Nagrania te były zapisywane i przechowywane przez co najmniej siedem dni.</w:t>
      </w:r>
    </w:p>
    <w:p w14:paraId="0B7F72B5" w14:textId="1498285C"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74</w:t>
      </w:r>
      <w:r w:rsidRPr="00D15A2F">
        <w:rPr>
          <w:lang w:val="pl-PL"/>
        </w:rPr>
        <w:fldChar w:fldCharType="end"/>
      </w:r>
      <w:r w:rsidRPr="00D15A2F">
        <w:rPr>
          <w:lang w:val="pl-PL"/>
        </w:rPr>
        <w:t xml:space="preserve">. Za każdym razem, gdy opuszczał lub wracał do celi, zwykle kilka razy w ciągu dnia, był poddawany poniżającej i wyjątkowo uciążliwej kontroli osobistej przez co najmniej trzech strażników. W okresach, gdy </w:t>
      </w:r>
      <w:r w:rsidR="009F598A" w:rsidRPr="00D15A2F">
        <w:rPr>
          <w:lang w:val="pl-PL"/>
        </w:rPr>
        <w:t>był osadzony</w:t>
      </w:r>
      <w:r w:rsidRPr="00D15A2F">
        <w:rPr>
          <w:lang w:val="pl-PL"/>
        </w:rPr>
        <w:t xml:space="preserve"> w celi z innym </w:t>
      </w:r>
      <w:r w:rsidR="009F598A" w:rsidRPr="00D15A2F">
        <w:rPr>
          <w:lang w:val="pl-PL"/>
        </w:rPr>
        <w:t>więźniem</w:t>
      </w:r>
      <w:r w:rsidRPr="00D15A2F">
        <w:rPr>
          <w:lang w:val="pl-PL"/>
        </w:rPr>
        <w:t xml:space="preserve">, kontrole osobiste przeprowadzane były w celi, a więc nie tylko w obecności przynajmniej 3 strażników, ale i innego </w:t>
      </w:r>
      <w:r w:rsidR="009F598A" w:rsidRPr="00D15A2F">
        <w:rPr>
          <w:lang w:val="pl-PL"/>
        </w:rPr>
        <w:t>więźnia</w:t>
      </w:r>
      <w:r w:rsidRPr="00D15A2F">
        <w:rPr>
          <w:lang w:val="pl-PL"/>
        </w:rPr>
        <w:t>.</w:t>
      </w:r>
    </w:p>
    <w:p w14:paraId="3360452C" w14:textId="1051A51E"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75</w:t>
      </w:r>
      <w:r w:rsidRPr="00D15A2F">
        <w:rPr>
          <w:lang w:val="pl-PL"/>
        </w:rPr>
        <w:fldChar w:fldCharType="end"/>
      </w:r>
      <w:r w:rsidRPr="00D15A2F">
        <w:rPr>
          <w:lang w:val="pl-PL"/>
        </w:rPr>
        <w:t xml:space="preserve">. Skarżący stwierdził dalej, że przez wiele miesięcy odmawiano mu kontaktu z najbliższą rodziną. W szczególności, w początkowej fazie </w:t>
      </w:r>
      <w:r w:rsidR="000767AE" w:rsidRPr="00D15A2F">
        <w:rPr>
          <w:lang w:val="pl-PL"/>
        </w:rPr>
        <w:t>tymczasowego aresztowania,</w:t>
      </w:r>
      <w:r w:rsidRPr="00D15A2F">
        <w:rPr>
          <w:lang w:val="pl-PL"/>
        </w:rPr>
        <w:t xml:space="preserve"> nie był w stanie zobaczyć się ze swoimi siostrami przez niemal 16 miesięcy. W jego opinii nie było uzasadnionych podstaw do stosowania takich środków.</w:t>
      </w:r>
    </w:p>
    <w:p w14:paraId="0F4A8466" w14:textId="27381A4F"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76</w:t>
      </w:r>
      <w:r w:rsidRPr="00D15A2F">
        <w:rPr>
          <w:lang w:val="pl-PL"/>
        </w:rPr>
        <w:fldChar w:fldCharType="end"/>
      </w:r>
      <w:r w:rsidRPr="00D15A2F">
        <w:rPr>
          <w:lang w:val="pl-PL"/>
        </w:rPr>
        <w:t>. Wreszcie skarżący utrzymywał, że Komisja Penitencjarna Aresztu Śledczego w Lublinie błędnie sklasyfikowała go jako "więźnia niebezpiecznego", ponieważ wyroki skazujące, do których odwoływała się komisja, zostały już skreślone z rejestru karnego skarżącego, ponieważ od chwili popełnienia czynów upłynęło 20 lat.</w:t>
      </w:r>
    </w:p>
    <w:p w14:paraId="38C6079C" w14:textId="77777777" w:rsidR="00234FC9" w:rsidRPr="00D15A2F" w:rsidRDefault="00234FC9" w:rsidP="008214F0">
      <w:pPr>
        <w:pStyle w:val="ECHRHeading3"/>
        <w:rPr>
          <w:lang w:val="pl-PL"/>
        </w:rPr>
      </w:pPr>
      <w:r w:rsidRPr="00D15A2F">
        <w:rPr>
          <w:lang w:val="pl-PL"/>
        </w:rPr>
        <w:lastRenderedPageBreak/>
        <w:t>2. Rząd</w:t>
      </w:r>
    </w:p>
    <w:p w14:paraId="201EBB3F"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77</w:t>
      </w:r>
      <w:r w:rsidRPr="00D15A2F">
        <w:rPr>
          <w:lang w:val="pl-PL"/>
        </w:rPr>
        <w:fldChar w:fldCharType="end"/>
      </w:r>
      <w:r w:rsidRPr="00D15A2F">
        <w:rPr>
          <w:lang w:val="pl-PL"/>
        </w:rPr>
        <w:t xml:space="preserve">. Rząd podkreślił, że w przedmiotowej sprawie traktowanie stanowiące przedmiot skargi nie osiągnęło minimalnego poziomu surowości, aby wejść w zakres Artykułu 3. </w:t>
      </w:r>
    </w:p>
    <w:p w14:paraId="560235FA" w14:textId="4B5E57FF"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78</w:t>
      </w:r>
      <w:r w:rsidRPr="00D15A2F">
        <w:rPr>
          <w:lang w:val="pl-PL"/>
        </w:rPr>
        <w:fldChar w:fldCharType="end"/>
      </w:r>
      <w:r w:rsidRPr="00D15A2F">
        <w:rPr>
          <w:lang w:val="pl-PL"/>
        </w:rPr>
        <w:t xml:space="preserve">. Rząd utrzymywał, że skarżący został zakwalifikowany </w:t>
      </w:r>
      <w:r w:rsidR="000767AE" w:rsidRPr="00D15A2F">
        <w:rPr>
          <w:lang w:val="pl-PL"/>
        </w:rPr>
        <w:t xml:space="preserve">jako </w:t>
      </w:r>
      <w:r w:rsidRPr="00D15A2F">
        <w:rPr>
          <w:lang w:val="pl-PL"/>
        </w:rPr>
        <w:t>osadzon</w:t>
      </w:r>
      <w:r w:rsidR="000767AE" w:rsidRPr="00D15A2F">
        <w:rPr>
          <w:lang w:val="pl-PL"/>
        </w:rPr>
        <w:t>y</w:t>
      </w:r>
      <w:r w:rsidRPr="00D15A2F">
        <w:rPr>
          <w:lang w:val="pl-PL"/>
        </w:rPr>
        <w:t xml:space="preserve"> niebezpieczn</w:t>
      </w:r>
      <w:r w:rsidR="000767AE" w:rsidRPr="00D15A2F">
        <w:rPr>
          <w:lang w:val="pl-PL"/>
        </w:rPr>
        <w:t>y</w:t>
      </w:r>
      <w:r w:rsidRPr="00D15A2F">
        <w:rPr>
          <w:lang w:val="pl-PL"/>
        </w:rPr>
        <w:t xml:space="preserve"> zgodnie z obowiązującymi przepisami prawa oraz w celu zapewnienia bezpieczeństwa innym osobom. Decyzja</w:t>
      </w:r>
      <w:r w:rsidR="000767AE" w:rsidRPr="00D15A2F">
        <w:rPr>
          <w:lang w:val="pl-PL"/>
        </w:rPr>
        <w:t xml:space="preserve"> została podjęta z następujących powodów</w:t>
      </w:r>
      <w:r w:rsidRPr="00D15A2F">
        <w:rPr>
          <w:lang w:val="pl-PL"/>
        </w:rPr>
        <w:t>: uciecz</w:t>
      </w:r>
      <w:r w:rsidR="000767AE" w:rsidRPr="00D15A2F">
        <w:rPr>
          <w:lang w:val="pl-PL"/>
        </w:rPr>
        <w:t>ek</w:t>
      </w:r>
      <w:r w:rsidRPr="00D15A2F">
        <w:rPr>
          <w:lang w:val="pl-PL"/>
        </w:rPr>
        <w:t xml:space="preserve"> skarżącego w latach 1985 i 1986 (podczas rozprawy sądowej i podczas transportu do innego zakładu penitencjarnego); faktu, ż</w:t>
      </w:r>
      <w:r w:rsidR="000767AE" w:rsidRPr="00D15A2F">
        <w:rPr>
          <w:lang w:val="pl-PL"/>
        </w:rPr>
        <w:t>e</w:t>
      </w:r>
      <w:r w:rsidRPr="00D15A2F">
        <w:rPr>
          <w:lang w:val="pl-PL"/>
        </w:rPr>
        <w:t xml:space="preserve"> w 1991 roku nie wrócił on do </w:t>
      </w:r>
      <w:r w:rsidR="000767AE" w:rsidRPr="00D15A2F">
        <w:rPr>
          <w:lang w:val="pl-PL"/>
        </w:rPr>
        <w:t xml:space="preserve">więzienia z przepustki; faktu, </w:t>
      </w:r>
      <w:r w:rsidRPr="00D15A2F">
        <w:rPr>
          <w:lang w:val="pl-PL"/>
        </w:rPr>
        <w:t>ż</w:t>
      </w:r>
      <w:r w:rsidR="000767AE" w:rsidRPr="00D15A2F">
        <w:rPr>
          <w:lang w:val="pl-PL"/>
        </w:rPr>
        <w:t>e</w:t>
      </w:r>
      <w:r w:rsidRPr="00D15A2F">
        <w:rPr>
          <w:lang w:val="pl-PL"/>
        </w:rPr>
        <w:t xml:space="preserve"> został skazany za wielokrotne rozb</w:t>
      </w:r>
      <w:r w:rsidR="000767AE" w:rsidRPr="00D15A2F">
        <w:rPr>
          <w:lang w:val="pl-PL"/>
        </w:rPr>
        <w:t xml:space="preserve">oje, włamania i gwałty; faktu, </w:t>
      </w:r>
      <w:r w:rsidRPr="00D15A2F">
        <w:rPr>
          <w:lang w:val="pl-PL"/>
        </w:rPr>
        <w:t>ż</w:t>
      </w:r>
      <w:r w:rsidR="000767AE" w:rsidRPr="00D15A2F">
        <w:rPr>
          <w:lang w:val="pl-PL"/>
        </w:rPr>
        <w:t>e</w:t>
      </w:r>
      <w:r w:rsidRPr="00D15A2F">
        <w:rPr>
          <w:lang w:val="pl-PL"/>
        </w:rPr>
        <w:t xml:space="preserve"> był poszukiwany międzynarodowym nakazem aresztowania i poddany ekstradycji z Włoch; faktu, iż popełnił szereg czynów zabronionych z użyciem broni i materiałów wybuchowych oraz, wreszcie, z uwagi na jego przywódczą rolę w strukturze grupy przestępczej i poważną demoralizację.</w:t>
      </w:r>
    </w:p>
    <w:p w14:paraId="2DDDACB6" w14:textId="65561F0C"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79</w:t>
      </w:r>
      <w:r w:rsidRPr="00D15A2F">
        <w:rPr>
          <w:lang w:val="pl-PL"/>
        </w:rPr>
        <w:fldChar w:fldCharType="end"/>
      </w:r>
      <w:r w:rsidR="003600B1" w:rsidRPr="00D15A2F">
        <w:rPr>
          <w:lang w:val="pl-PL"/>
        </w:rPr>
        <w:t>. S</w:t>
      </w:r>
      <w:r w:rsidRPr="00D15A2F">
        <w:rPr>
          <w:lang w:val="pl-PL"/>
        </w:rPr>
        <w:t xml:space="preserve">tosowanie statusu "więźnia niebezpiecznego" wobec skarżącego było weryfikowane co trzy miesiące. Kontrole wykazały stałą poprawę </w:t>
      </w:r>
      <w:r w:rsidR="003600B1" w:rsidRPr="00D15A2F">
        <w:rPr>
          <w:lang w:val="pl-PL"/>
        </w:rPr>
        <w:t>zachowania</w:t>
      </w:r>
      <w:r w:rsidRPr="00D15A2F">
        <w:rPr>
          <w:lang w:val="pl-PL"/>
        </w:rPr>
        <w:t xml:space="preserve"> skarżącego. </w:t>
      </w:r>
      <w:r w:rsidR="003600B1" w:rsidRPr="00D15A2F">
        <w:rPr>
          <w:lang w:val="pl-PL"/>
        </w:rPr>
        <w:t>Reżim</w:t>
      </w:r>
      <w:r w:rsidRPr="00D15A2F">
        <w:rPr>
          <w:lang w:val="pl-PL"/>
        </w:rPr>
        <w:t xml:space="preserve"> został zniesiony w dniu 25 listopada 2010 roku.</w:t>
      </w:r>
    </w:p>
    <w:p w14:paraId="2C378362" w14:textId="20C02AF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80</w:t>
      </w:r>
      <w:r w:rsidRPr="00D15A2F">
        <w:rPr>
          <w:lang w:val="pl-PL"/>
        </w:rPr>
        <w:fldChar w:fldCharType="end"/>
      </w:r>
      <w:r w:rsidRPr="00D15A2F">
        <w:rPr>
          <w:lang w:val="pl-PL"/>
        </w:rPr>
        <w:t>. Rząd podkreślił, że zgodnie z artykułem 212(b) Kodeksu karnego wykonawczego, władze miały obowiązek przeprowadz</w:t>
      </w:r>
      <w:r w:rsidR="003600B1" w:rsidRPr="00D15A2F">
        <w:rPr>
          <w:lang w:val="pl-PL"/>
        </w:rPr>
        <w:t>a</w:t>
      </w:r>
      <w:r w:rsidRPr="00D15A2F">
        <w:rPr>
          <w:lang w:val="pl-PL"/>
        </w:rPr>
        <w:t xml:space="preserve">nia “kontroli osobistej” skarżącego przy każdorazowym </w:t>
      </w:r>
      <w:r w:rsidR="003600B1" w:rsidRPr="00D15A2F">
        <w:rPr>
          <w:lang w:val="pl-PL"/>
        </w:rPr>
        <w:t xml:space="preserve">jego </w:t>
      </w:r>
      <w:r w:rsidRPr="00D15A2F">
        <w:rPr>
          <w:lang w:val="pl-PL"/>
        </w:rPr>
        <w:t>wyjściu i powrocie do celi.  Rząd twierdził ponadto, że godność skarżącego była zapewniona</w:t>
      </w:r>
      <w:r w:rsidR="003600B1" w:rsidRPr="00D15A2F">
        <w:rPr>
          <w:lang w:val="pl-PL"/>
        </w:rPr>
        <w:t xml:space="preserve"> faktem, </w:t>
      </w:r>
      <w:r w:rsidRPr="00D15A2F">
        <w:rPr>
          <w:lang w:val="pl-PL"/>
        </w:rPr>
        <w:t>ż</w:t>
      </w:r>
      <w:r w:rsidR="003600B1" w:rsidRPr="00D15A2F">
        <w:rPr>
          <w:lang w:val="pl-PL"/>
        </w:rPr>
        <w:t>e</w:t>
      </w:r>
      <w:r w:rsidRPr="00D15A2F">
        <w:rPr>
          <w:lang w:val="pl-PL"/>
        </w:rPr>
        <w:t xml:space="preserve"> kontrole osobiste przeprowadzane były przez maksymalnie trzech strażnik</w:t>
      </w:r>
      <w:r w:rsidR="003600B1" w:rsidRPr="00D15A2F">
        <w:rPr>
          <w:lang w:val="pl-PL"/>
        </w:rPr>
        <w:t>ów i w oddzielnym pomieszczeniu,</w:t>
      </w:r>
      <w:r w:rsidRPr="00D15A2F">
        <w:rPr>
          <w:lang w:val="pl-PL"/>
        </w:rPr>
        <w:t xml:space="preserve"> strażnicy korzystali z rękawiczek</w:t>
      </w:r>
      <w:r w:rsidR="003600B1" w:rsidRPr="00D15A2F">
        <w:rPr>
          <w:lang w:val="pl-PL"/>
        </w:rPr>
        <w:t>,</w:t>
      </w:r>
      <w:r w:rsidRPr="00D15A2F">
        <w:rPr>
          <w:lang w:val="pl-PL"/>
        </w:rPr>
        <w:t xml:space="preserve"> a wszelkie nagrania z monitoringu były automatycznie usuwane po siedmiu dniach. Zdaniem Rządu kontrole osobiste miały na celu zapobieżenie popełnieni</w:t>
      </w:r>
      <w:r w:rsidR="003600B1" w:rsidRPr="00D15A2F">
        <w:rPr>
          <w:lang w:val="pl-PL"/>
        </w:rPr>
        <w:t>u</w:t>
      </w:r>
      <w:r w:rsidRPr="00D15A2F">
        <w:rPr>
          <w:lang w:val="pl-PL"/>
        </w:rPr>
        <w:t xml:space="preserve"> przestępstwa przez skarżącego. Ze względu na kartotekę kryminalną skarżącego istniało wysokie prawdopodobieństwo popełnienia kolejnych czynów zabronionych </w:t>
      </w:r>
      <w:r w:rsidR="003600B1" w:rsidRPr="00D15A2F">
        <w:rPr>
          <w:lang w:val="pl-PL"/>
        </w:rPr>
        <w:t xml:space="preserve">podczas osadzenia </w:t>
      </w:r>
      <w:r w:rsidRPr="00D15A2F">
        <w:rPr>
          <w:lang w:val="pl-PL"/>
        </w:rPr>
        <w:t>lub transportu.</w:t>
      </w:r>
    </w:p>
    <w:p w14:paraId="68B80218" w14:textId="730A8574"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81</w:t>
      </w:r>
      <w:r w:rsidRPr="00D15A2F">
        <w:rPr>
          <w:lang w:val="pl-PL"/>
        </w:rPr>
        <w:fldChar w:fldCharType="end"/>
      </w:r>
      <w:r w:rsidRPr="00D15A2F">
        <w:rPr>
          <w:lang w:val="pl-PL"/>
        </w:rPr>
        <w:t xml:space="preserve">. Jeśli chodzi o liczbę i charakter widzeń członków rodziny i innych osób Rząd </w:t>
      </w:r>
      <w:r w:rsidR="00E12192" w:rsidRPr="00D15A2F">
        <w:rPr>
          <w:lang w:val="pl-PL"/>
        </w:rPr>
        <w:t>stwierdził</w:t>
      </w:r>
      <w:r w:rsidRPr="00D15A2F">
        <w:rPr>
          <w:lang w:val="pl-PL"/>
        </w:rPr>
        <w:t>, ż</w:t>
      </w:r>
      <w:r w:rsidR="00E12192" w:rsidRPr="00D15A2F">
        <w:rPr>
          <w:lang w:val="pl-PL"/>
        </w:rPr>
        <w:t>e</w:t>
      </w:r>
      <w:r w:rsidRPr="00D15A2F">
        <w:rPr>
          <w:lang w:val="pl-PL"/>
        </w:rPr>
        <w:t xml:space="preserve"> w okresie od 22 grudnia 2006 roku do 10 grudnia 2007 r</w:t>
      </w:r>
      <w:r w:rsidR="00E12192" w:rsidRPr="00D15A2F">
        <w:rPr>
          <w:lang w:val="pl-PL"/>
        </w:rPr>
        <w:t>oku skarżącego nikt nie odwiedzi</w:t>
      </w:r>
      <w:r w:rsidRPr="00D15A2F">
        <w:rPr>
          <w:lang w:val="pl-PL"/>
        </w:rPr>
        <w:t xml:space="preserve">ł. W dniu 11 grudnia 2007 roku </w:t>
      </w:r>
      <w:r w:rsidR="00E12192" w:rsidRPr="00D15A2F">
        <w:rPr>
          <w:lang w:val="pl-PL"/>
        </w:rPr>
        <w:t>otrzymał</w:t>
      </w:r>
      <w:r w:rsidRPr="00D15A2F">
        <w:rPr>
          <w:lang w:val="pl-PL"/>
        </w:rPr>
        <w:t xml:space="preserve"> widzenie ze swoim obrońcą. Od 14 kwietnia 2008 roku odwiedzany był przez swoje siostry, początkowo raz w miesiącu, a od sierpnia 2008 roku – dwa razy w miesiącu. </w:t>
      </w:r>
      <w:r w:rsidR="00E12192" w:rsidRPr="00D15A2F">
        <w:rPr>
          <w:lang w:val="pl-PL"/>
        </w:rPr>
        <w:t>Łącznie, w</w:t>
      </w:r>
      <w:r w:rsidRPr="00D15A2F">
        <w:rPr>
          <w:lang w:val="pl-PL"/>
        </w:rPr>
        <w:t xml:space="preserve"> okresie od 22 grudnia 2006 roku do </w:t>
      </w:r>
      <w:r w:rsidR="00E12192" w:rsidRPr="00D15A2F">
        <w:rPr>
          <w:lang w:val="pl-PL"/>
        </w:rPr>
        <w:t>czerwca</w:t>
      </w:r>
      <w:r w:rsidRPr="00D15A2F">
        <w:rPr>
          <w:lang w:val="pl-PL"/>
        </w:rPr>
        <w:t xml:space="preserve"> 2012 roku skarżący odbył 94 widzenia. </w:t>
      </w:r>
      <w:r w:rsidR="00E12192" w:rsidRPr="00D15A2F">
        <w:rPr>
          <w:lang w:val="pl-PL"/>
        </w:rPr>
        <w:t>Członkowie rodziny odwiedzili skarżącego 78 razy.</w:t>
      </w:r>
    </w:p>
    <w:p w14:paraId="76353519" w14:textId="75C8EAA6" w:rsidR="00234FC9" w:rsidRPr="00D15A2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82</w:t>
      </w:r>
      <w:r w:rsidRPr="001B508E">
        <w:rPr>
          <w:lang w:val="pl-PL"/>
        </w:rPr>
        <w:fldChar w:fldCharType="end"/>
      </w:r>
      <w:r w:rsidRPr="00D15A2F">
        <w:rPr>
          <w:lang w:val="pl-PL"/>
        </w:rPr>
        <w:t>. Mając na w</w:t>
      </w:r>
      <w:r w:rsidR="00E12192" w:rsidRPr="00D15A2F">
        <w:rPr>
          <w:lang w:val="pl-PL"/>
        </w:rPr>
        <w:t>zglę</w:t>
      </w:r>
      <w:r w:rsidRPr="00D15A2F">
        <w:rPr>
          <w:lang w:val="pl-PL"/>
        </w:rPr>
        <w:t xml:space="preserve">dzie kumulatywne skutki </w:t>
      </w:r>
      <w:r w:rsidR="00E12192" w:rsidRPr="00D15A2F">
        <w:rPr>
          <w:lang w:val="pl-PL"/>
        </w:rPr>
        <w:t xml:space="preserve">środków </w:t>
      </w:r>
      <w:r w:rsidRPr="00D15A2F">
        <w:rPr>
          <w:lang w:val="pl-PL"/>
        </w:rPr>
        <w:t xml:space="preserve">stosowanych w </w:t>
      </w:r>
      <w:r w:rsidR="00E12192" w:rsidRPr="00D15A2F">
        <w:rPr>
          <w:lang w:val="pl-PL"/>
        </w:rPr>
        <w:t>związku z objęciem</w:t>
      </w:r>
      <w:r w:rsidRPr="00D15A2F">
        <w:rPr>
          <w:lang w:val="pl-PL"/>
        </w:rPr>
        <w:t xml:space="preserve"> skarżącego reżimem “więźnia niebezpiecznego” oraz fakt, że były one niezbędne z uwagi na ochronę społeczeństwa, Rząd uznał w konkluzji, że traktowanie, jakiemu został poddany skarżący</w:t>
      </w:r>
      <w:r w:rsidR="00E12192" w:rsidRPr="00D15A2F">
        <w:rPr>
          <w:lang w:val="pl-PL"/>
        </w:rPr>
        <w:t>,</w:t>
      </w:r>
      <w:r w:rsidRPr="00D15A2F">
        <w:rPr>
          <w:lang w:val="pl-PL"/>
        </w:rPr>
        <w:t xml:space="preserve"> nie było </w:t>
      </w:r>
      <w:r w:rsidRPr="00D15A2F">
        <w:rPr>
          <w:lang w:val="pl-PL"/>
        </w:rPr>
        <w:lastRenderedPageBreak/>
        <w:t>sprzeczne z Artykułem 3 Konwencji. Rząd zwrócił się do Trybunału o stwierdzenie, że nie doszło do naruszenia tego postanowienia.</w:t>
      </w:r>
    </w:p>
    <w:p w14:paraId="7242ECE0" w14:textId="77777777" w:rsidR="00234FC9" w:rsidRPr="00D15A2F" w:rsidRDefault="00234FC9" w:rsidP="008214F0">
      <w:pPr>
        <w:pStyle w:val="ECHRHeading3"/>
        <w:rPr>
          <w:lang w:val="pl-PL"/>
        </w:rPr>
      </w:pPr>
      <w:r w:rsidRPr="00D15A2F">
        <w:rPr>
          <w:lang w:val="pl-PL"/>
        </w:rPr>
        <w:t>3. Stanowisko Trybunału</w:t>
      </w:r>
    </w:p>
    <w:p w14:paraId="0C8643B1" w14:textId="77777777" w:rsidR="00234FC9" w:rsidRPr="00D15A2F" w:rsidRDefault="00234FC9" w:rsidP="008214F0">
      <w:pPr>
        <w:pStyle w:val="ECHRHeading4"/>
        <w:rPr>
          <w:lang w:val="pl-PL"/>
        </w:rPr>
      </w:pPr>
      <w:r w:rsidRPr="00D15A2F">
        <w:rPr>
          <w:lang w:val="pl-PL"/>
        </w:rPr>
        <w:t>(a)  Zasady ogólne wynikające z orzecznictwa Trybunału</w:t>
      </w:r>
    </w:p>
    <w:p w14:paraId="15DF8996" w14:textId="298807AC"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83</w:t>
      </w:r>
      <w:r w:rsidRPr="00D15A2F">
        <w:rPr>
          <w:lang w:val="pl-PL"/>
        </w:rPr>
        <w:fldChar w:fldCharType="end"/>
      </w:r>
      <w:r w:rsidRPr="00D15A2F">
        <w:rPr>
          <w:lang w:val="pl-PL"/>
        </w:rPr>
        <w:t>. Odpowiednie zasady ogólne wynikające</w:t>
      </w:r>
      <w:r w:rsidR="001478CC" w:rsidRPr="00D15A2F">
        <w:rPr>
          <w:lang w:val="pl-PL"/>
        </w:rPr>
        <w:t xml:space="preserve"> z orzecznictwa zostały ostatnio</w:t>
      </w:r>
      <w:r w:rsidRPr="00D15A2F">
        <w:rPr>
          <w:lang w:val="pl-PL"/>
        </w:rPr>
        <w:t xml:space="preserve"> podsumowane w wyrokach Trybunału w sprawach </w:t>
      </w:r>
      <w:r w:rsidRPr="00D15A2F">
        <w:rPr>
          <w:i/>
          <w:lang w:val="pl-PL"/>
        </w:rPr>
        <w:t>Piechowicz przeciwko Polsce</w:t>
      </w:r>
      <w:r w:rsidRPr="00D15A2F">
        <w:rPr>
          <w:lang w:val="pl-PL"/>
        </w:rPr>
        <w:t xml:space="preserve"> (zob. </w:t>
      </w:r>
      <w:r w:rsidRPr="00D15A2F">
        <w:rPr>
          <w:i/>
          <w:lang w:val="pl-PL"/>
        </w:rPr>
        <w:t>Piechowicz</w:t>
      </w:r>
      <w:r w:rsidR="001478CC" w:rsidRPr="00D15A2F">
        <w:rPr>
          <w:lang w:val="pl-PL"/>
        </w:rPr>
        <w:t>, cytowany powyżej, pkt</w:t>
      </w:r>
      <w:r w:rsidRPr="00D15A2F">
        <w:rPr>
          <w:lang w:val="pl-PL"/>
        </w:rPr>
        <w:t xml:space="preserve"> 158-165) oraz </w:t>
      </w:r>
      <w:proofErr w:type="spellStart"/>
      <w:r w:rsidRPr="00D15A2F">
        <w:rPr>
          <w:i/>
          <w:lang w:val="pl-PL"/>
        </w:rPr>
        <w:t>Horych</w:t>
      </w:r>
      <w:proofErr w:type="spellEnd"/>
      <w:r w:rsidRPr="00D15A2F">
        <w:rPr>
          <w:i/>
          <w:lang w:val="pl-PL"/>
        </w:rPr>
        <w:t xml:space="preserve"> przeciwko Polsce</w:t>
      </w:r>
      <w:r w:rsidRPr="00D15A2F">
        <w:rPr>
          <w:lang w:val="pl-PL"/>
        </w:rPr>
        <w:t xml:space="preserve"> (</w:t>
      </w:r>
      <w:proofErr w:type="spellStart"/>
      <w:r w:rsidRPr="00D15A2F">
        <w:rPr>
          <w:i/>
          <w:lang w:val="pl-PL"/>
        </w:rPr>
        <w:t>Horych</w:t>
      </w:r>
      <w:proofErr w:type="spellEnd"/>
      <w:r w:rsidRPr="00D15A2F">
        <w:rPr>
          <w:lang w:val="pl-PL"/>
        </w:rPr>
        <w:t>,</w:t>
      </w:r>
      <w:r w:rsidRPr="00D15A2F">
        <w:rPr>
          <w:i/>
          <w:lang w:val="pl-PL"/>
        </w:rPr>
        <w:t xml:space="preserve"> </w:t>
      </w:r>
      <w:r w:rsidR="001478CC" w:rsidRPr="00D15A2F">
        <w:rPr>
          <w:lang w:val="pl-PL"/>
        </w:rPr>
        <w:t>cytowany powyżej, pkt</w:t>
      </w:r>
      <w:r w:rsidRPr="00D15A2F">
        <w:rPr>
          <w:lang w:val="pl-PL"/>
        </w:rPr>
        <w:t xml:space="preserve"> 85-92).</w:t>
      </w:r>
    </w:p>
    <w:p w14:paraId="3BAE0061" w14:textId="7635DCAF" w:rsidR="00234FC9" w:rsidRPr="00D15A2F" w:rsidRDefault="00234FC9" w:rsidP="008214F0">
      <w:pPr>
        <w:pStyle w:val="ECHRHeading4"/>
        <w:rPr>
          <w:lang w:val="pl-PL"/>
        </w:rPr>
      </w:pPr>
      <w:r w:rsidRPr="00D15A2F">
        <w:rPr>
          <w:lang w:val="pl-PL"/>
        </w:rPr>
        <w:t>(b) Ustaleni</w:t>
      </w:r>
      <w:r w:rsidR="001478CC" w:rsidRPr="00D15A2F">
        <w:rPr>
          <w:lang w:val="pl-PL"/>
        </w:rPr>
        <w:t>a</w:t>
      </w:r>
      <w:r w:rsidRPr="00D15A2F">
        <w:rPr>
          <w:lang w:val="pl-PL"/>
        </w:rPr>
        <w:t xml:space="preserve"> stanu faktycznego</w:t>
      </w:r>
    </w:p>
    <w:p w14:paraId="1D516E9E" w14:textId="6C311648"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84</w:t>
      </w:r>
      <w:r w:rsidRPr="00D15A2F">
        <w:rPr>
          <w:lang w:val="pl-PL"/>
        </w:rPr>
        <w:fldChar w:fldCharType="end"/>
      </w:r>
      <w:r w:rsidRPr="00D15A2F">
        <w:rPr>
          <w:lang w:val="pl-PL"/>
        </w:rPr>
        <w:t>. Trybunał zauważa, że stanowiska pozwanego Rządu oraz skarżącego różnią się w zakresie pewnych aspektów dotyczących osadzenia skarżącego, w szczególności w o</w:t>
      </w:r>
      <w:r w:rsidR="001478CC" w:rsidRPr="00D15A2F">
        <w:rPr>
          <w:lang w:val="pl-PL"/>
        </w:rPr>
        <w:t>dniesieniu do kontroli osobistych</w:t>
      </w:r>
      <w:r w:rsidRPr="00D15A2F">
        <w:rPr>
          <w:lang w:val="pl-PL"/>
        </w:rPr>
        <w:t xml:space="preserve"> oraz stosowania kajdan zespolonych.</w:t>
      </w:r>
    </w:p>
    <w:p w14:paraId="580D7405" w14:textId="3754E762"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85</w:t>
      </w:r>
      <w:r w:rsidRPr="00D15A2F">
        <w:rPr>
          <w:lang w:val="pl-PL"/>
        </w:rPr>
        <w:fldChar w:fldCharType="end"/>
      </w:r>
      <w:r w:rsidR="001478CC" w:rsidRPr="00D15A2F">
        <w:rPr>
          <w:lang w:val="pl-PL"/>
        </w:rPr>
        <w:t xml:space="preserve">. W odniesieniu do </w:t>
      </w:r>
      <w:r w:rsidRPr="00D15A2F">
        <w:rPr>
          <w:lang w:val="pl-PL"/>
        </w:rPr>
        <w:t>stosowania</w:t>
      </w:r>
      <w:r w:rsidR="001478CC" w:rsidRPr="00D15A2F">
        <w:rPr>
          <w:lang w:val="pl-PL"/>
        </w:rPr>
        <w:t xml:space="preserve"> kajdan zespolonych</w:t>
      </w:r>
      <w:r w:rsidRPr="00D15A2F">
        <w:rPr>
          <w:lang w:val="pl-PL"/>
        </w:rPr>
        <w:t xml:space="preserve"> Rząd zakwestionował zarzut sk</w:t>
      </w:r>
      <w:r w:rsidR="001478CC" w:rsidRPr="00D15A2F">
        <w:rPr>
          <w:lang w:val="pl-PL"/>
        </w:rPr>
        <w:t>arżącego, że musiał nosić tzw. kajdany zespolone</w:t>
      </w:r>
      <w:r w:rsidRPr="00D15A2F">
        <w:rPr>
          <w:lang w:val="pl-PL"/>
        </w:rPr>
        <w:t xml:space="preserve"> (kajdany zakładane na ręce </w:t>
      </w:r>
      <w:r w:rsidR="001478CC" w:rsidRPr="00D15A2F">
        <w:rPr>
          <w:lang w:val="pl-PL"/>
        </w:rPr>
        <w:t>i</w:t>
      </w:r>
      <w:r w:rsidRPr="00D15A2F">
        <w:rPr>
          <w:lang w:val="pl-PL"/>
        </w:rPr>
        <w:t xml:space="preserve"> nogi połączone łańcuchem) za każdym razem, kiedy opuszczał celę mieszkalną. Rząd przyznał jednakże, że zgodnie z artykułem 19 ust. 5 Ustawy o Służbie Więziennej skarżący musiał mieć założone kajdany każdorazowo przy opuszczeniu jed</w:t>
      </w:r>
      <w:r w:rsidR="001478CC" w:rsidRPr="00D15A2F">
        <w:rPr>
          <w:lang w:val="pl-PL"/>
        </w:rPr>
        <w:t xml:space="preserve">nostki penitencjarnej. </w:t>
      </w:r>
      <w:r w:rsidRPr="00D15A2F">
        <w:rPr>
          <w:lang w:val="pl-PL"/>
        </w:rPr>
        <w:t xml:space="preserve">Rząd </w:t>
      </w:r>
      <w:r w:rsidR="001478CC" w:rsidRPr="00D15A2F">
        <w:rPr>
          <w:lang w:val="pl-PL"/>
        </w:rPr>
        <w:t xml:space="preserve">jednakże </w:t>
      </w:r>
      <w:r w:rsidRPr="00D15A2F">
        <w:rPr>
          <w:lang w:val="pl-PL"/>
        </w:rPr>
        <w:t xml:space="preserve">utrzymywał, że na terenie Aresztu Śledczego w Lublinie skarżący miał tylko obowiązek noszenia kajdanek (zob. pkt 45 powyżej). W ocenie Trybunału zarzut skarżącego odnoszący się do stałego stosowania wobec niego kajdan zakładanych na ręce i nogi połączonych łańcuchem każdorazowo przy opuszczeniu celi mieszkalnej jest wiarygodny. W świetle dostępnego materiału dowodowego, takiego jak odpowiedni raport CPT (zob. </w:t>
      </w:r>
      <w:r w:rsidRPr="00D15A2F">
        <w:rPr>
          <w:i/>
          <w:lang w:val="pl-PL"/>
        </w:rPr>
        <w:t>Piechowicz</w:t>
      </w:r>
      <w:r w:rsidRPr="00D15A2F">
        <w:rPr>
          <w:lang w:val="pl-PL"/>
        </w:rPr>
        <w:t>, cytowany powyżej, pkt 80-81)</w:t>
      </w:r>
      <w:r w:rsidR="001478CC" w:rsidRPr="00D15A2F">
        <w:rPr>
          <w:lang w:val="pl-PL"/>
        </w:rPr>
        <w:t>,</w:t>
      </w:r>
      <w:r w:rsidRPr="00D15A2F">
        <w:rPr>
          <w:lang w:val="pl-PL"/>
        </w:rPr>
        <w:t xml:space="preserve"> nie może być żadnych wątpliwości, że w rzeczonym czasie istniała praktyka stosowania kajdan zespolonych lub kajdanek wobec więźniów niebezpie</w:t>
      </w:r>
      <w:r w:rsidR="001478CC" w:rsidRPr="00D15A2F">
        <w:rPr>
          <w:lang w:val="pl-PL"/>
        </w:rPr>
        <w:t>cznych każdorazowo przy opuszcza</w:t>
      </w:r>
      <w:r w:rsidRPr="00D15A2F">
        <w:rPr>
          <w:lang w:val="pl-PL"/>
        </w:rPr>
        <w:t>niu przez nich cel</w:t>
      </w:r>
      <w:r w:rsidR="001478CC" w:rsidRPr="00D15A2F">
        <w:rPr>
          <w:lang w:val="pl-PL"/>
        </w:rPr>
        <w:t xml:space="preserve"> mieszkalnych</w:t>
      </w:r>
      <w:r w:rsidRPr="00D15A2F">
        <w:rPr>
          <w:lang w:val="pl-PL"/>
        </w:rPr>
        <w:t>.</w:t>
      </w:r>
    </w:p>
    <w:p w14:paraId="1728CEBE" w14:textId="0F40A26D"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86</w:t>
      </w:r>
      <w:r w:rsidRPr="00D15A2F">
        <w:rPr>
          <w:lang w:val="pl-PL"/>
        </w:rPr>
        <w:fldChar w:fldCharType="end"/>
      </w:r>
      <w:r w:rsidRPr="00D15A2F">
        <w:rPr>
          <w:lang w:val="pl-PL"/>
        </w:rPr>
        <w:t xml:space="preserve">. Skarżący przedstawił ponadto, że za każdym razem gdy dzielił celę z innym </w:t>
      </w:r>
      <w:r w:rsidR="001478CC" w:rsidRPr="00D15A2F">
        <w:rPr>
          <w:lang w:val="pl-PL"/>
        </w:rPr>
        <w:t>więźniem</w:t>
      </w:r>
      <w:r w:rsidRPr="00D15A2F">
        <w:rPr>
          <w:lang w:val="pl-PL"/>
        </w:rPr>
        <w:t xml:space="preserve">, kontrole osobiste przeprowadzane były w celi, </w:t>
      </w:r>
      <w:r w:rsidR="001478CC" w:rsidRPr="00D15A2F">
        <w:rPr>
          <w:lang w:val="pl-PL"/>
        </w:rPr>
        <w:t>w</w:t>
      </w:r>
      <w:r w:rsidRPr="00D15A2F">
        <w:rPr>
          <w:lang w:val="pl-PL"/>
        </w:rPr>
        <w:t xml:space="preserve"> obecności drugiego </w:t>
      </w:r>
      <w:r w:rsidR="001478CC" w:rsidRPr="00D15A2F">
        <w:rPr>
          <w:lang w:val="pl-PL"/>
        </w:rPr>
        <w:t>więźnia</w:t>
      </w:r>
      <w:r w:rsidRPr="00D15A2F">
        <w:rPr>
          <w:lang w:val="pl-PL"/>
        </w:rPr>
        <w:t xml:space="preserve"> (zobacz pkt 42 powyżej).</w:t>
      </w:r>
    </w:p>
    <w:p w14:paraId="13900A38" w14:textId="04F9FAC9"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87</w:t>
      </w:r>
      <w:r w:rsidRPr="00D15A2F">
        <w:rPr>
          <w:lang w:val="pl-PL"/>
        </w:rPr>
        <w:fldChar w:fldCharType="end"/>
      </w:r>
      <w:r w:rsidR="001F0EE5" w:rsidRPr="00D15A2F">
        <w:rPr>
          <w:lang w:val="pl-PL"/>
        </w:rPr>
        <w:t>. Rząd utrzymywał, że</w:t>
      </w:r>
      <w:r w:rsidRPr="00D15A2F">
        <w:rPr>
          <w:lang w:val="pl-PL"/>
        </w:rPr>
        <w:t xml:space="preserve"> zgodnie z odpowiednimi przepisami, kontrole osobiste przeprowadzane były w oddzielnym pomieszczeniu (zobacz pkt. 43 i 80 powyżej).</w:t>
      </w:r>
    </w:p>
    <w:p w14:paraId="17E4CCDB" w14:textId="7FAAD710"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88</w:t>
      </w:r>
      <w:r w:rsidRPr="00D15A2F">
        <w:rPr>
          <w:lang w:val="pl-PL"/>
        </w:rPr>
        <w:fldChar w:fldCharType="end"/>
      </w:r>
      <w:r w:rsidRPr="00D15A2F">
        <w:rPr>
          <w:lang w:val="pl-PL"/>
        </w:rPr>
        <w:t xml:space="preserve">. Trybunał uważa, że choć niemożliwym jest ustalenie, czy w rzeczywistości niektóre z kontroli osobistych przeprowadzane były w obecności </w:t>
      </w:r>
      <w:r w:rsidR="001F0EE5" w:rsidRPr="00D15A2F">
        <w:rPr>
          <w:lang w:val="pl-PL"/>
        </w:rPr>
        <w:t>innego więźnia</w:t>
      </w:r>
      <w:r w:rsidRPr="00D15A2F">
        <w:rPr>
          <w:lang w:val="pl-PL"/>
        </w:rPr>
        <w:t xml:space="preserve">, bezspornym pozostaje fakt, że w okresie między 3 stycznia 2007 roku </w:t>
      </w:r>
      <w:r w:rsidR="001F0EE5" w:rsidRPr="00D15A2F">
        <w:rPr>
          <w:lang w:val="pl-PL"/>
        </w:rPr>
        <w:t>a</w:t>
      </w:r>
      <w:r w:rsidRPr="00D15A2F">
        <w:rPr>
          <w:lang w:val="pl-PL"/>
        </w:rPr>
        <w:t xml:space="preserve"> 25 listopada 2010 roku skarżący poddawany był rutynowym, codziennym kontrolom osobistym obejmującym głębokie przysiad</w:t>
      </w:r>
      <w:r w:rsidR="001F0EE5" w:rsidRPr="00D15A2F">
        <w:rPr>
          <w:lang w:val="pl-PL"/>
        </w:rPr>
        <w:t>y (zobacz pkt 74 i 80 powyżej).</w:t>
      </w:r>
    </w:p>
    <w:p w14:paraId="3F939E1D" w14:textId="77777777" w:rsidR="00234FC9" w:rsidRPr="00D15A2F" w:rsidRDefault="00234FC9" w:rsidP="008214F0">
      <w:pPr>
        <w:pStyle w:val="ECHRHeading4"/>
        <w:rPr>
          <w:lang w:val="pl-PL"/>
        </w:rPr>
      </w:pPr>
      <w:r w:rsidRPr="00D15A2F">
        <w:rPr>
          <w:lang w:val="pl-PL"/>
        </w:rPr>
        <w:lastRenderedPageBreak/>
        <w:t>(c) Meritum skargi</w:t>
      </w:r>
    </w:p>
    <w:p w14:paraId="1D258CFD" w14:textId="5359CE3F"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89</w:t>
      </w:r>
      <w:r w:rsidRPr="00D15A2F">
        <w:rPr>
          <w:lang w:val="pl-PL"/>
        </w:rPr>
        <w:fldChar w:fldCharType="end"/>
      </w:r>
      <w:r w:rsidRPr="00D15A2F">
        <w:rPr>
          <w:lang w:val="pl-PL"/>
        </w:rPr>
        <w:t xml:space="preserve">. Trybunał zauważa, że bezspornym jest fakt, że od dnia 3 stycznia 2007 roku do </w:t>
      </w:r>
      <w:r w:rsidR="001F0EE5" w:rsidRPr="00D15A2F">
        <w:rPr>
          <w:lang w:val="pl-PL"/>
        </w:rPr>
        <w:t xml:space="preserve">dnia </w:t>
      </w:r>
      <w:r w:rsidRPr="00D15A2F">
        <w:rPr>
          <w:lang w:val="pl-PL"/>
        </w:rPr>
        <w:t xml:space="preserve">25 listopada 2010 roku, to znaczy przez okres trzech lat i dziesięciu miesięcy skarżący, tymczasowo aresztowany, był </w:t>
      </w:r>
      <w:r w:rsidR="001F0EE5" w:rsidRPr="00D15A2F">
        <w:rPr>
          <w:lang w:val="pl-PL"/>
        </w:rPr>
        <w:t>nieprzerwanie klasyfikowany</w:t>
      </w:r>
      <w:r w:rsidRPr="00D15A2F">
        <w:rPr>
          <w:lang w:val="pl-PL"/>
        </w:rPr>
        <w:t xml:space="preserve"> </w:t>
      </w:r>
      <w:r w:rsidR="001F0EE5" w:rsidRPr="00D15A2F">
        <w:rPr>
          <w:lang w:val="pl-PL"/>
        </w:rPr>
        <w:t>jako tzw. więzień niebezpieczny</w:t>
      </w:r>
      <w:r w:rsidRPr="00D15A2F">
        <w:rPr>
          <w:lang w:val="pl-PL"/>
        </w:rPr>
        <w:t xml:space="preserve"> i w konsekwencji stosowano wobec niego środki podwyższonego bezpieczeństwa oraz różne ograniczen</w:t>
      </w:r>
      <w:r w:rsidR="001F0EE5" w:rsidRPr="00D15A2F">
        <w:rPr>
          <w:lang w:val="pl-PL"/>
        </w:rPr>
        <w:t>ia (zobacz pkt 30-41 powyżej).</w:t>
      </w:r>
    </w:p>
    <w:p w14:paraId="449E8034" w14:textId="340B0FB1"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90</w:t>
      </w:r>
      <w:r w:rsidRPr="00D15A2F">
        <w:rPr>
          <w:lang w:val="pl-PL"/>
        </w:rPr>
        <w:fldChar w:fldCharType="end"/>
      </w:r>
      <w:r w:rsidR="001F0EE5" w:rsidRPr="00D15A2F">
        <w:rPr>
          <w:lang w:val="pl-PL"/>
        </w:rPr>
        <w:t xml:space="preserve">. Środki </w:t>
      </w:r>
      <w:r w:rsidRPr="00D15A2F">
        <w:rPr>
          <w:lang w:val="pl-PL"/>
        </w:rPr>
        <w:t xml:space="preserve">stosowane w sprawie skarżącego obejmowały umieszczenie na specjalnym oddziale o podwyższonych standardach </w:t>
      </w:r>
      <w:r w:rsidR="001F0EE5" w:rsidRPr="00D15A2F">
        <w:rPr>
          <w:lang w:val="pl-PL"/>
        </w:rPr>
        <w:t>bezpieczeństwa</w:t>
      </w:r>
      <w:r w:rsidRPr="00D15A2F">
        <w:rPr>
          <w:lang w:val="pl-PL"/>
        </w:rPr>
        <w:t xml:space="preserve"> oraz wzmożony nadzór nad poruszaniem się skarżącego po terenie aresztu śledczego i poza nim, co oznaczało, że za każdym razem mus</w:t>
      </w:r>
      <w:r w:rsidR="003876CB">
        <w:rPr>
          <w:lang w:val="pl-PL"/>
        </w:rPr>
        <w:t xml:space="preserve">iał nosić „kajdany zespolone”. </w:t>
      </w:r>
      <w:r w:rsidRPr="00D15A2F">
        <w:rPr>
          <w:lang w:val="pl-PL"/>
        </w:rPr>
        <w:t>Środki te wiązały się z odseparowaniem skarżącego od społeczności więziennej oraz nałożeniem ograniczeń na kontakty z rodziną. Ponadto, przy każdorazowym opuszczeniu i powrocie do celi, skarżący był poddawany rut</w:t>
      </w:r>
      <w:r w:rsidR="001F0EE5" w:rsidRPr="00D15A2F">
        <w:rPr>
          <w:lang w:val="pl-PL"/>
        </w:rPr>
        <w:t>ynowej “kontroli osobistej” – prze</w:t>
      </w:r>
      <w:r w:rsidRPr="00D15A2F">
        <w:rPr>
          <w:lang w:val="pl-PL"/>
        </w:rPr>
        <w:t xml:space="preserve">szukanie z rozbieraniem wiązało się z dokonaniem szczegółowych oględzin ciała i sprawdzeniem odzieży oraz wymagało od skarżącego rozebrania się do naga i wykonania głębokich przysiadów w celu umożliwienia kontroli jego </w:t>
      </w:r>
      <w:r w:rsidR="006F1C78" w:rsidRPr="00D15A2F">
        <w:rPr>
          <w:lang w:val="pl-PL"/>
        </w:rPr>
        <w:t>odbytu (zobacz pkt 74 i 80 powyżej).</w:t>
      </w:r>
      <w:r w:rsidRPr="00D15A2F">
        <w:rPr>
          <w:lang w:val="pl-PL"/>
        </w:rPr>
        <w:t xml:space="preserve"> Co więcej, jego cela, z częścią przeznaczoną do celów higieniczno-sanitarnych, była stale monitorowana przez system telewizji przemysłowej.</w:t>
      </w:r>
    </w:p>
    <w:p w14:paraId="0FA930DF" w14:textId="77777777" w:rsidR="00234FC9" w:rsidRPr="00D15A2F"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91</w:t>
      </w:r>
      <w:r w:rsidRPr="00D15A2F">
        <w:rPr>
          <w:lang w:val="pl-PL"/>
        </w:rPr>
        <w:fldChar w:fldCharType="end"/>
      </w:r>
      <w:r w:rsidRPr="00D15A2F">
        <w:rPr>
          <w:lang w:val="pl-PL"/>
        </w:rPr>
        <w:t xml:space="preserve">. Strony nie zgadzały się jednak w kwestii tego, czy niekorzystne skutki stosowania powyższych środków wobec skarżącego były na tyle poważne, by osiągnąć minimalny poziom surowości, wchodzący w zakres Artykułu 3 Konwencji. </w:t>
      </w:r>
    </w:p>
    <w:p w14:paraId="68C496A7" w14:textId="067EF37B" w:rsidR="00234FC9" w:rsidRPr="006F1C78" w:rsidRDefault="00234FC9" w:rsidP="008214F0">
      <w:pPr>
        <w:pStyle w:val="ECHRPara"/>
        <w:rPr>
          <w:lang w:val="pl-PL"/>
        </w:rPr>
      </w:pPr>
      <w:r w:rsidRPr="00D15A2F">
        <w:rPr>
          <w:lang w:val="pl-PL"/>
        </w:rPr>
        <w:fldChar w:fldCharType="begin"/>
      </w:r>
      <w:r w:rsidRPr="00D15A2F">
        <w:rPr>
          <w:lang w:val="pl-PL"/>
        </w:rPr>
        <w:instrText xml:space="preserve"> SEQ level0 \*arabic </w:instrText>
      </w:r>
      <w:r w:rsidRPr="00D15A2F">
        <w:rPr>
          <w:lang w:val="pl-PL"/>
        </w:rPr>
        <w:fldChar w:fldCharType="separate"/>
      </w:r>
      <w:r w:rsidR="003876CB">
        <w:rPr>
          <w:noProof/>
          <w:lang w:val="pl-PL"/>
        </w:rPr>
        <w:t>92</w:t>
      </w:r>
      <w:r w:rsidRPr="00D15A2F">
        <w:rPr>
          <w:lang w:val="pl-PL"/>
        </w:rPr>
        <w:fldChar w:fldCharType="end"/>
      </w:r>
      <w:r w:rsidRPr="00D15A2F">
        <w:rPr>
          <w:lang w:val="pl-PL"/>
        </w:rPr>
        <w:t>. Trybunał zauważa, że decyzja z dnia 3 stycznia 2007 roku obejmująca skarżącego reżimem “więźnia niebezpiecznego” była środkiem prawnie uzasadnionym, gwarantowanym przez fakt, że skarżący został oskarżony o popełnienie szeregu przestępstw z użyciem przemocy (zo</w:t>
      </w:r>
      <w:r w:rsidR="003876CB">
        <w:rPr>
          <w:lang w:val="pl-PL"/>
        </w:rPr>
        <w:t>bacz pkt. 30 powyżej).</w:t>
      </w:r>
      <w:r w:rsidRPr="00D15A2F">
        <w:rPr>
          <w:lang w:val="pl-PL"/>
        </w:rPr>
        <w:t xml:space="preserve"> Władze uznały zatem w sposób właściwy, że w celu zachowania bezpieczeństwa w jednostce, skarżący powinien zostać poddany bardziej szczegółowej kontroli wiążącej się z wprowadzeniem wzmożonego i stałego nadzoru nad jego poruszaniem </w:t>
      </w:r>
      <w:r w:rsidRPr="006F1C78">
        <w:rPr>
          <w:lang w:val="pl-PL"/>
        </w:rPr>
        <w:t>się po celi i poza nią, ograniczeniem kontaktu i łączności ze światem zewnętrznym oraz pewną formą odseparowania go od społeczności więziennej.</w:t>
      </w:r>
    </w:p>
    <w:p w14:paraId="58D474FC" w14:textId="210DD7FC" w:rsidR="00234FC9" w:rsidRPr="00A70CC1"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93</w:t>
      </w:r>
      <w:r w:rsidRPr="001B508E">
        <w:rPr>
          <w:lang w:val="pl-PL"/>
        </w:rPr>
        <w:fldChar w:fldCharType="end"/>
      </w:r>
      <w:r w:rsidRPr="001B508E">
        <w:rPr>
          <w:lang w:val="pl-PL"/>
        </w:rPr>
        <w:t xml:space="preserve">. </w:t>
      </w:r>
      <w:r w:rsidRPr="00A70CC1">
        <w:rPr>
          <w:lang w:val="pl-PL"/>
        </w:rPr>
        <w:t xml:space="preserve">Jednakże, ze względów </w:t>
      </w:r>
      <w:r w:rsidRPr="001A30F3">
        <w:rPr>
          <w:lang w:val="pl-PL"/>
        </w:rPr>
        <w:t xml:space="preserve">przedstawionych poniżej, Trybunał nie może uznać, że nieprzerwane, rutynowe i </w:t>
      </w:r>
      <w:r w:rsidR="00A70CC1" w:rsidRPr="001A30F3">
        <w:rPr>
          <w:lang w:val="pl-PL"/>
        </w:rPr>
        <w:t>bezkrytyczne</w:t>
      </w:r>
      <w:r w:rsidRPr="001A30F3">
        <w:rPr>
          <w:lang w:val="pl-PL"/>
        </w:rPr>
        <w:t xml:space="preserve"> stosowanie pełnego zakresu środków, </w:t>
      </w:r>
      <w:r w:rsidR="00A70CC1" w:rsidRPr="001A30F3">
        <w:rPr>
          <w:lang w:val="pl-PL"/>
        </w:rPr>
        <w:t>możliwych do zastosowania przez władze</w:t>
      </w:r>
      <w:r w:rsidRPr="001A30F3">
        <w:rPr>
          <w:lang w:val="pl-PL"/>
        </w:rPr>
        <w:t xml:space="preserve"> w </w:t>
      </w:r>
      <w:r w:rsidR="00A70CC1" w:rsidRPr="001A30F3">
        <w:rPr>
          <w:lang w:val="pl-PL"/>
        </w:rPr>
        <w:t>ramach reżimu „</w:t>
      </w:r>
      <w:r w:rsidRPr="001A30F3">
        <w:rPr>
          <w:lang w:val="pl-PL"/>
        </w:rPr>
        <w:t>N</w:t>
      </w:r>
      <w:r w:rsidR="00A70CC1" w:rsidRPr="001A30F3">
        <w:rPr>
          <w:lang w:val="pl-PL"/>
        </w:rPr>
        <w:t>”</w:t>
      </w:r>
      <w:r w:rsidRPr="001A30F3">
        <w:rPr>
          <w:lang w:val="pl-PL"/>
        </w:rPr>
        <w:t xml:space="preserve">, przez okres </w:t>
      </w:r>
      <w:r w:rsidR="00A70CC1" w:rsidRPr="001A30F3">
        <w:rPr>
          <w:lang w:val="pl-PL"/>
        </w:rPr>
        <w:t>trzech lat i dziesięciu</w:t>
      </w:r>
      <w:r w:rsidR="001A30F3" w:rsidRPr="001A30F3">
        <w:rPr>
          <w:lang w:val="pl-PL"/>
        </w:rPr>
        <w:t xml:space="preserve"> miesięcy</w:t>
      </w:r>
      <w:r w:rsidRPr="001A30F3">
        <w:rPr>
          <w:lang w:val="pl-PL"/>
        </w:rPr>
        <w:t xml:space="preserve"> było </w:t>
      </w:r>
      <w:r w:rsidRPr="00A70CC1">
        <w:rPr>
          <w:lang w:val="pl-PL"/>
        </w:rPr>
        <w:t>konieczne w celu utrzymania bezpieczeństwa zakładu i zgodne z Artykułem 3 Konwencji.</w:t>
      </w:r>
    </w:p>
    <w:p w14:paraId="6998CC19" w14:textId="39BC4884" w:rsidR="00234FC9" w:rsidRPr="001A30F3"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94</w:t>
      </w:r>
      <w:r w:rsidRPr="001B508E">
        <w:rPr>
          <w:lang w:val="pl-PL"/>
        </w:rPr>
        <w:fldChar w:fldCharType="end"/>
      </w:r>
      <w:r w:rsidRPr="001B508E">
        <w:rPr>
          <w:lang w:val="pl-PL"/>
        </w:rPr>
        <w:t xml:space="preserve">. </w:t>
      </w:r>
      <w:r w:rsidR="00C16452" w:rsidRPr="00C16452">
        <w:rPr>
          <w:lang w:val="pl-PL"/>
        </w:rPr>
        <w:t>Wprawdzie</w:t>
      </w:r>
      <w:r w:rsidRPr="00C16452">
        <w:rPr>
          <w:lang w:val="pl-PL"/>
        </w:rPr>
        <w:t xml:space="preserve"> skarżący był okazjonalnie osadzony w celi izolacyjnej na specjalnym oddziale o podwyższonych </w:t>
      </w:r>
      <w:r w:rsidRPr="001A30F3">
        <w:rPr>
          <w:lang w:val="pl-PL"/>
        </w:rPr>
        <w:t xml:space="preserve">standardach </w:t>
      </w:r>
      <w:r w:rsidR="00C16452" w:rsidRPr="001A30F3">
        <w:rPr>
          <w:lang w:val="pl-PL"/>
        </w:rPr>
        <w:t>bezpieczeństwa,</w:t>
      </w:r>
      <w:r w:rsidRPr="001A30F3">
        <w:rPr>
          <w:lang w:val="pl-PL"/>
        </w:rPr>
        <w:t xml:space="preserve"> oddzielon</w:t>
      </w:r>
      <w:r w:rsidR="00C16452" w:rsidRPr="001A30F3">
        <w:rPr>
          <w:lang w:val="pl-PL"/>
        </w:rPr>
        <w:t>ym</w:t>
      </w:r>
      <w:r w:rsidRPr="001A30F3">
        <w:rPr>
          <w:lang w:val="pl-PL"/>
        </w:rPr>
        <w:t xml:space="preserve"> od reszty więzienia, to nie był on poddany kompletnej izolacji </w:t>
      </w:r>
      <w:r w:rsidRPr="001A30F3">
        <w:rPr>
          <w:lang w:val="pl-PL"/>
        </w:rPr>
        <w:lastRenderedPageBreak/>
        <w:t xml:space="preserve">na poziomie bodźców sensorycznych lub społecznych. </w:t>
      </w:r>
      <w:r w:rsidR="00C16452" w:rsidRPr="001A30F3">
        <w:rPr>
          <w:lang w:val="pl-PL"/>
        </w:rPr>
        <w:t>Z listy</w:t>
      </w:r>
      <w:r w:rsidRPr="001A30F3">
        <w:rPr>
          <w:lang w:val="pl-PL"/>
        </w:rPr>
        <w:t xml:space="preserve"> </w:t>
      </w:r>
      <w:r w:rsidR="00C16452" w:rsidRPr="001A30F3">
        <w:rPr>
          <w:lang w:val="pl-PL"/>
        </w:rPr>
        <w:t>widzeń otrzymanych</w:t>
      </w:r>
      <w:r w:rsidRPr="001A30F3">
        <w:rPr>
          <w:lang w:val="pl-PL"/>
        </w:rPr>
        <w:t xml:space="preserve"> przez skarżącego w areszcie </w:t>
      </w:r>
      <w:r w:rsidR="00C16452" w:rsidRPr="001A30F3">
        <w:rPr>
          <w:lang w:val="pl-PL"/>
        </w:rPr>
        <w:t>wynika</w:t>
      </w:r>
      <w:r w:rsidRPr="001A30F3">
        <w:rPr>
          <w:lang w:val="pl-PL"/>
        </w:rPr>
        <w:t xml:space="preserve">, że do czerwca 2012 roku skarżący </w:t>
      </w:r>
      <w:r w:rsidR="00C16452" w:rsidRPr="001A30F3">
        <w:rPr>
          <w:lang w:val="pl-PL"/>
        </w:rPr>
        <w:t>otrzymał</w:t>
      </w:r>
      <w:r w:rsidRPr="001A30F3">
        <w:rPr>
          <w:lang w:val="pl-PL"/>
        </w:rPr>
        <w:t xml:space="preserve"> 94 widzenia, z c</w:t>
      </w:r>
      <w:r w:rsidR="00C16452" w:rsidRPr="001A30F3">
        <w:rPr>
          <w:lang w:val="pl-PL"/>
        </w:rPr>
        <w:t xml:space="preserve">zego 31 miało miejsce podczas </w:t>
      </w:r>
      <w:r w:rsidRPr="001A30F3">
        <w:rPr>
          <w:lang w:val="pl-PL"/>
        </w:rPr>
        <w:t xml:space="preserve">stosowania szczególnego reżimu (zobacz pkt 39 powyżej). Niemniej, ze względu na charakter oraz zasięg innych ograniczeń, same widzenia </w:t>
      </w:r>
      <w:r w:rsidRPr="00C16452">
        <w:rPr>
          <w:lang w:val="pl-PL"/>
        </w:rPr>
        <w:t xml:space="preserve">z rodziną nie mogły w sposób wystarczający zniwelować kumulatywnych i niekorzystnych skutków stosowania wobec skarżącego reżimu „więźnia </w:t>
      </w:r>
      <w:r w:rsidRPr="001A30F3">
        <w:rPr>
          <w:lang w:val="pl-PL"/>
        </w:rPr>
        <w:t>niebezpiecznego".</w:t>
      </w:r>
    </w:p>
    <w:p w14:paraId="25DAD225" w14:textId="350B076D" w:rsidR="00234FC9" w:rsidRPr="001A30F3" w:rsidRDefault="00234FC9" w:rsidP="008214F0">
      <w:pPr>
        <w:pStyle w:val="ECHRPara"/>
        <w:rPr>
          <w:lang w:val="pl-PL"/>
        </w:rPr>
      </w:pPr>
      <w:r w:rsidRPr="001A30F3">
        <w:rPr>
          <w:lang w:val="pl-PL"/>
        </w:rPr>
        <w:t xml:space="preserve">Ponadto, Trybunał zauważa, iż przez rok (między 22 grudnia 2006 roku i 10 grudnia 2007 roku) skarżący nie był odwiedzany przez nikogo (zobacz pkt 39 powyżej). Trybunał nie pomija ciągłej potrzeby zapobiegania </w:t>
      </w:r>
      <w:r w:rsidR="00BC4AEE" w:rsidRPr="001A30F3">
        <w:rPr>
          <w:lang w:val="pl-PL"/>
        </w:rPr>
        <w:t xml:space="preserve">jakiemukolwiek </w:t>
      </w:r>
      <w:r w:rsidRPr="001A30F3">
        <w:rPr>
          <w:lang w:val="pl-PL"/>
        </w:rPr>
        <w:t>przepływowi materiałów nielegalnych. Jednakże, stwierdza również,</w:t>
      </w:r>
      <w:r w:rsidR="00BC4AEE" w:rsidRPr="001A30F3">
        <w:rPr>
          <w:lang w:val="pl-PL"/>
        </w:rPr>
        <w:t xml:space="preserve"> </w:t>
      </w:r>
      <w:r w:rsidRPr="001A30F3">
        <w:rPr>
          <w:lang w:val="pl-PL"/>
        </w:rPr>
        <w:t>ż</w:t>
      </w:r>
      <w:r w:rsidR="00BC4AEE" w:rsidRPr="001A30F3">
        <w:rPr>
          <w:lang w:val="pl-PL"/>
        </w:rPr>
        <w:t>e</w:t>
      </w:r>
      <w:r w:rsidRPr="001A30F3">
        <w:rPr>
          <w:lang w:val="pl-PL"/>
        </w:rPr>
        <w:t xml:space="preserve"> Rząd nie przedstawił żadnych argumentów </w:t>
      </w:r>
      <w:r w:rsidR="00BC4AEE" w:rsidRPr="001A30F3">
        <w:rPr>
          <w:lang w:val="pl-PL"/>
        </w:rPr>
        <w:t>uzasadniających konieczność</w:t>
      </w:r>
      <w:r w:rsidRPr="001A30F3">
        <w:rPr>
          <w:lang w:val="pl-PL"/>
        </w:rPr>
        <w:t xml:space="preserve"> ograniczeń stosowanych w przedmiotowej sprawie. Trybunał zauważa również, że długotrwały zakaz kontaktu z rodziną musiał mieć na skarżącego szczególnie poważny i negatywny wpływ.</w:t>
      </w:r>
    </w:p>
    <w:p w14:paraId="56BCA0F8" w14:textId="0AC47E8C" w:rsidR="00234FC9" w:rsidRPr="001A30F3"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95</w:t>
      </w:r>
      <w:r w:rsidRPr="001A30F3">
        <w:rPr>
          <w:lang w:val="pl-PL"/>
        </w:rPr>
        <w:fldChar w:fldCharType="end"/>
      </w:r>
      <w:r w:rsidRPr="001A30F3">
        <w:rPr>
          <w:lang w:val="pl-PL"/>
        </w:rPr>
        <w:t xml:space="preserve">. Nie wydaje się, aby władze penitencjarne dołożyły jakichkolwiek starań </w:t>
      </w:r>
      <w:r w:rsidR="00BC4AEE" w:rsidRPr="001A30F3">
        <w:rPr>
          <w:lang w:val="pl-PL"/>
        </w:rPr>
        <w:t>by przeciwdziałać</w:t>
      </w:r>
      <w:r w:rsidRPr="001A30F3">
        <w:rPr>
          <w:lang w:val="pl-PL"/>
        </w:rPr>
        <w:t xml:space="preserve"> skutkom izolacji skarżącego </w:t>
      </w:r>
      <w:r w:rsidRPr="001B508E">
        <w:rPr>
          <w:lang w:val="pl-PL"/>
        </w:rPr>
        <w:t xml:space="preserve">poprzez dostarczanie mu niezbędnej </w:t>
      </w:r>
      <w:r w:rsidRPr="001A30F3">
        <w:rPr>
          <w:lang w:val="pl-PL"/>
        </w:rPr>
        <w:t>stymulacji fizycznej i psychicznej</w:t>
      </w:r>
      <w:r w:rsidR="00BC4AEE" w:rsidRPr="001A30F3">
        <w:rPr>
          <w:lang w:val="pl-PL"/>
        </w:rPr>
        <w:t>, z wyjątkiem</w:t>
      </w:r>
      <w:r w:rsidRPr="001A30F3">
        <w:rPr>
          <w:lang w:val="pl-PL"/>
        </w:rPr>
        <w:t xml:space="preserve"> codziennego, samotnego spaceru po odseparowanym obszarze.</w:t>
      </w:r>
    </w:p>
    <w:p w14:paraId="1D782788" w14:textId="659E522B" w:rsidR="00234FC9" w:rsidRPr="001A30F3"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96</w:t>
      </w:r>
      <w:r w:rsidRPr="001A30F3">
        <w:rPr>
          <w:lang w:val="pl-PL"/>
        </w:rPr>
        <w:fldChar w:fldCharType="end"/>
      </w:r>
      <w:r w:rsidRPr="001A30F3">
        <w:rPr>
          <w:lang w:val="pl-PL"/>
        </w:rPr>
        <w:t>. Co więcej, Trybunał nie jest przekonany, że stosowanie kajdan wobec skarżącego było za każdym razem rzeczywiście konieczne.</w:t>
      </w:r>
    </w:p>
    <w:p w14:paraId="2591534A" w14:textId="4EAA71BB" w:rsidR="00234FC9" w:rsidRPr="001A30F3"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97</w:t>
      </w:r>
      <w:r w:rsidRPr="001A30F3">
        <w:rPr>
          <w:lang w:val="pl-PL"/>
        </w:rPr>
        <w:fldChar w:fldCharType="end"/>
      </w:r>
      <w:r w:rsidRPr="001A30F3">
        <w:rPr>
          <w:lang w:val="pl-PL"/>
        </w:rPr>
        <w:t xml:space="preserve">. Trybunał ma jeszcze poważniejsze wątpliwości odnośnie kontroli osobistej, której </w:t>
      </w:r>
      <w:r w:rsidR="00BC4AEE" w:rsidRPr="001A30F3">
        <w:rPr>
          <w:lang w:val="pl-PL"/>
        </w:rPr>
        <w:t xml:space="preserve">skarżący był </w:t>
      </w:r>
      <w:r w:rsidRPr="001A30F3">
        <w:rPr>
          <w:lang w:val="pl-PL"/>
        </w:rPr>
        <w:t xml:space="preserve">poddawany </w:t>
      </w:r>
      <w:r w:rsidR="00BC4AEE" w:rsidRPr="001A30F3">
        <w:rPr>
          <w:lang w:val="pl-PL"/>
        </w:rPr>
        <w:t xml:space="preserve">także </w:t>
      </w:r>
      <w:r w:rsidRPr="001A30F3">
        <w:rPr>
          <w:lang w:val="pl-PL"/>
        </w:rPr>
        <w:t>codziennie, a nawet kilkakrotnie w ciągu dnia przy każdorazowym opuszczeniu i powrocie do celi. Przeszukania z rozbieraniem były przeprowadzane rutynowo i nie wiązały się z żadną konkretną potrzebą podyktowaną względami bezpieczeństwa, ani żadnym konkretnym podejrzeniem dotyczącym zachowania skarżącego (zobacz pkt 74 oraz 80 powyżej).</w:t>
      </w:r>
    </w:p>
    <w:p w14:paraId="53351147" w14:textId="179EC759" w:rsidR="00234FC9" w:rsidRPr="001B508E"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98</w:t>
      </w:r>
      <w:r w:rsidRPr="001A30F3">
        <w:rPr>
          <w:lang w:val="pl-PL"/>
        </w:rPr>
        <w:fldChar w:fldCharType="end"/>
      </w:r>
      <w:r w:rsidRPr="001A30F3">
        <w:rPr>
          <w:lang w:val="pl-PL"/>
        </w:rPr>
        <w:t xml:space="preserve">. Trybunał uznał już w sprawie </w:t>
      </w:r>
      <w:r w:rsidRPr="001A30F3">
        <w:rPr>
          <w:i/>
          <w:lang w:val="pl-PL"/>
        </w:rPr>
        <w:t>Piechowicz</w:t>
      </w:r>
      <w:r w:rsidRPr="001A30F3">
        <w:rPr>
          <w:lang w:val="pl-PL"/>
        </w:rPr>
        <w:t xml:space="preserve"> (zobacz </w:t>
      </w:r>
      <w:r w:rsidRPr="001A30F3">
        <w:rPr>
          <w:i/>
          <w:lang w:val="pl-PL"/>
        </w:rPr>
        <w:t>Piechowicz</w:t>
      </w:r>
      <w:r w:rsidR="00303D41" w:rsidRPr="001A30F3">
        <w:rPr>
          <w:lang w:val="pl-PL"/>
        </w:rPr>
        <w:t>, cytowany powyżej, pkt</w:t>
      </w:r>
      <w:r w:rsidRPr="001A30F3">
        <w:rPr>
          <w:lang w:val="pl-PL"/>
        </w:rPr>
        <w:t xml:space="preserve"> 176), że chociaż przeszukanie z rozbieraniem może być konieczne w celu zapewnienia bezpieczeństwa jednostki lub ochrony porządku i zapobiegania przestępstwom, Trybunału </w:t>
      </w:r>
      <w:r w:rsidRPr="001B508E">
        <w:rPr>
          <w:lang w:val="pl-PL"/>
        </w:rPr>
        <w:t>nie przekonuje jednak argumentacja Rządu, że systematyczne, uciążliwe oraz wyjątkowo krępujące kontrole stosowane codziennie</w:t>
      </w:r>
      <w:r w:rsidR="00303D41">
        <w:rPr>
          <w:lang w:val="pl-PL"/>
        </w:rPr>
        <w:t>,</w:t>
      </w:r>
      <w:r w:rsidRPr="001B508E">
        <w:rPr>
          <w:lang w:val="pl-PL"/>
        </w:rPr>
        <w:t xml:space="preserve"> a nawet kilkakrotnie w ciągu dnia, były konieczne w celu zapewnienia bezpieczeństwa w jednostce.  </w:t>
      </w:r>
    </w:p>
    <w:p w14:paraId="35E4B100" w14:textId="1149BB52" w:rsidR="00234FC9" w:rsidRPr="001A30F3"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99</w:t>
      </w:r>
      <w:r w:rsidRPr="001B508E">
        <w:rPr>
          <w:lang w:val="pl-PL"/>
        </w:rPr>
        <w:fldChar w:fldCharType="end"/>
      </w:r>
      <w:r w:rsidRPr="001B508E">
        <w:rPr>
          <w:lang w:val="pl-PL"/>
        </w:rPr>
        <w:t xml:space="preserve">. Mając na uwadze fakt, że skarżący został już poddany innym surowym środkom nadzoru oraz że władze nie oparły się na żadnych konkretnych i przekonujących przesłankach podyktowanych względami bezpieczeństwa, Trybunał stwierdza, że praktyka codziennych przeszukań z rozbieraniem stosowana wobec skarżącego przez okres trzech lat i dziesięciu miesięcy musiała umniejszyć poczucie jego godności jako człowieka oraz wywołać w nim uczucia strachu, udręczenia i spotęgowanego bólu, wykraczające poza nieunikniony element cierpienia i </w:t>
      </w:r>
      <w:r w:rsidRPr="001B508E">
        <w:rPr>
          <w:lang w:val="pl-PL"/>
        </w:rPr>
        <w:lastRenderedPageBreak/>
        <w:t xml:space="preserve">poniżenia związany z tymczasowym aresztowaniem (zobacz </w:t>
      </w:r>
      <w:proofErr w:type="spellStart"/>
      <w:r w:rsidRPr="001B508E">
        <w:rPr>
          <w:i/>
          <w:lang w:val="pl-PL"/>
        </w:rPr>
        <w:t>Horych</w:t>
      </w:r>
      <w:proofErr w:type="spellEnd"/>
      <w:r w:rsidRPr="001B508E">
        <w:rPr>
          <w:lang w:val="pl-PL"/>
        </w:rPr>
        <w:t xml:space="preserve">, cytowany powyżej, pkt 101 oraz </w:t>
      </w:r>
      <w:r w:rsidRPr="001B508E">
        <w:rPr>
          <w:i/>
          <w:lang w:val="pl-PL"/>
        </w:rPr>
        <w:t>Piechowicz</w:t>
      </w:r>
      <w:r w:rsidRPr="001B508E">
        <w:rPr>
          <w:lang w:val="pl-PL"/>
        </w:rPr>
        <w:t xml:space="preserve">, cytowany powyżej, pkt 176 i por. </w:t>
      </w:r>
      <w:proofErr w:type="spellStart"/>
      <w:r w:rsidRPr="001B508E">
        <w:rPr>
          <w:i/>
          <w:lang w:val="pl-PL"/>
        </w:rPr>
        <w:t>Paolello</w:t>
      </w:r>
      <w:proofErr w:type="spellEnd"/>
      <w:r w:rsidRPr="001B508E">
        <w:rPr>
          <w:i/>
          <w:lang w:val="pl-PL"/>
        </w:rPr>
        <w:t xml:space="preserve"> przeciwko </w:t>
      </w:r>
      <w:r w:rsidRPr="001A30F3">
        <w:rPr>
          <w:i/>
          <w:lang w:val="pl-PL"/>
        </w:rPr>
        <w:t>Włochom</w:t>
      </w:r>
      <w:r w:rsidRPr="001A30F3">
        <w:rPr>
          <w:lang w:val="pl-PL"/>
        </w:rPr>
        <w:t xml:space="preserve"> (</w:t>
      </w:r>
      <w:proofErr w:type="spellStart"/>
      <w:r w:rsidRPr="001A30F3">
        <w:rPr>
          <w:lang w:val="pl-PL"/>
        </w:rPr>
        <w:t>dec</w:t>
      </w:r>
      <w:proofErr w:type="spellEnd"/>
      <w:r w:rsidRPr="001A30F3">
        <w:rPr>
          <w:lang w:val="pl-PL"/>
        </w:rPr>
        <w:t xml:space="preserve">.), nr skargi 37648/02 i </w:t>
      </w:r>
      <w:proofErr w:type="spellStart"/>
      <w:r w:rsidRPr="001A30F3">
        <w:rPr>
          <w:i/>
          <w:lang w:val="pl-PL"/>
        </w:rPr>
        <w:t>Alfano</w:t>
      </w:r>
      <w:proofErr w:type="spellEnd"/>
      <w:r w:rsidRPr="001A30F3">
        <w:rPr>
          <w:i/>
          <w:lang w:val="pl-PL"/>
        </w:rPr>
        <w:t xml:space="preserve"> przeciwko Włochom</w:t>
      </w:r>
      <w:r w:rsidRPr="001A30F3">
        <w:rPr>
          <w:lang w:val="pl-PL"/>
        </w:rPr>
        <w:t xml:space="preserve"> (</w:t>
      </w:r>
      <w:proofErr w:type="spellStart"/>
      <w:r w:rsidRPr="001A30F3">
        <w:rPr>
          <w:lang w:val="pl-PL"/>
        </w:rPr>
        <w:t>dec</w:t>
      </w:r>
      <w:proofErr w:type="spellEnd"/>
      <w:r w:rsidRPr="001A30F3">
        <w:rPr>
          <w:lang w:val="pl-PL"/>
        </w:rPr>
        <w:t>.)</w:t>
      </w:r>
      <w:r w:rsidR="00303D41" w:rsidRPr="001A30F3">
        <w:rPr>
          <w:lang w:val="pl-PL"/>
        </w:rPr>
        <w:t>,</w:t>
      </w:r>
      <w:r w:rsidRPr="001A30F3">
        <w:rPr>
          <w:lang w:val="pl-PL"/>
        </w:rPr>
        <w:t xml:space="preserve"> nr skargi 24426/03).</w:t>
      </w:r>
    </w:p>
    <w:p w14:paraId="21672F88" w14:textId="4F581ABA" w:rsidR="00234FC9" w:rsidRPr="001A30F3"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100</w:t>
      </w:r>
      <w:r w:rsidRPr="001A30F3">
        <w:rPr>
          <w:lang w:val="pl-PL"/>
        </w:rPr>
        <w:fldChar w:fldCharType="end"/>
      </w:r>
      <w:r w:rsidRPr="001A30F3">
        <w:rPr>
          <w:lang w:val="pl-PL"/>
        </w:rPr>
        <w:t xml:space="preserve">. Trybunał zauważa ponadto, że z powodu odmowy poddania się kontroli osobistej skarżący nie </w:t>
      </w:r>
      <w:r w:rsidR="00303D41" w:rsidRPr="001A30F3">
        <w:rPr>
          <w:lang w:val="pl-PL"/>
        </w:rPr>
        <w:t>mógł skorzystać ze</w:t>
      </w:r>
      <w:r w:rsidRPr="001A30F3">
        <w:rPr>
          <w:lang w:val="pl-PL"/>
        </w:rPr>
        <w:t xml:space="preserve"> swojego prawa do głosowania w wyborach do Parlamentu Europejskiego w dniu 7 czerwca 2009 roku (zobacz pkt 46 powyżej). Stanowiło to kolejny aspekt stosowania reżimu "więźnia niebezpiecznego" wobec skarżącego.</w:t>
      </w:r>
    </w:p>
    <w:p w14:paraId="0E9748C7" w14:textId="0FF12645" w:rsidR="00234FC9" w:rsidRPr="001A30F3"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101</w:t>
      </w:r>
      <w:r w:rsidRPr="001A30F3">
        <w:rPr>
          <w:lang w:val="pl-PL"/>
        </w:rPr>
        <w:fldChar w:fldCharType="end"/>
      </w:r>
      <w:r w:rsidR="00303D41" w:rsidRPr="001A30F3">
        <w:rPr>
          <w:lang w:val="pl-PL"/>
        </w:rPr>
        <w:t xml:space="preserve">. </w:t>
      </w:r>
      <w:r w:rsidRPr="001A30F3">
        <w:rPr>
          <w:lang w:val="pl-PL"/>
        </w:rPr>
        <w:t xml:space="preserve">Na koniec Trybunał dodaje, tak jak stwierdził wcześniej (zobacz </w:t>
      </w:r>
      <w:r w:rsidRPr="001A30F3">
        <w:rPr>
          <w:i/>
          <w:lang w:val="pl-PL"/>
        </w:rPr>
        <w:t>Piechowicz</w:t>
      </w:r>
      <w:r w:rsidRPr="001A30F3">
        <w:rPr>
          <w:lang w:val="pl-PL"/>
        </w:rPr>
        <w:t xml:space="preserve">, cytowany powyżej, pkt 177), że z uwagi na surowe i sztywne przepisy w zakresie stosowania specjalnego reżimu oraz niejasno </w:t>
      </w:r>
      <w:r w:rsidRPr="001B508E">
        <w:rPr>
          <w:lang w:val="pl-PL"/>
        </w:rPr>
        <w:t xml:space="preserve">określone “szczególne </w:t>
      </w:r>
      <w:r w:rsidRPr="001A30F3">
        <w:rPr>
          <w:lang w:val="pl-PL"/>
        </w:rPr>
        <w:t xml:space="preserve">okoliczności” uzasadniające jego przerwanie przewidziane w artykule 212a ust. 3 Kodeksu karnego wykonawczego władze, przedłużając okres stosowania tego rygoru, nie były </w:t>
      </w:r>
      <w:r w:rsidR="00EA43DE" w:rsidRPr="001A30F3">
        <w:rPr>
          <w:lang w:val="pl-PL"/>
        </w:rPr>
        <w:t>właściwie</w:t>
      </w:r>
      <w:r w:rsidRPr="001A30F3">
        <w:rPr>
          <w:lang w:val="pl-PL"/>
        </w:rPr>
        <w:t xml:space="preserve"> zobowiązane do uwzględnienia zmian w </w:t>
      </w:r>
      <w:r w:rsidR="00EA43DE" w:rsidRPr="001A30F3">
        <w:rPr>
          <w:lang w:val="pl-PL"/>
        </w:rPr>
        <w:t xml:space="preserve">osobistej </w:t>
      </w:r>
      <w:r w:rsidRPr="001A30F3">
        <w:rPr>
          <w:lang w:val="pl-PL"/>
        </w:rPr>
        <w:t>sytuacji skarżącego oraz, w szczególności, kumulatywnych skutków dalszego stosowania nałożonych środków.</w:t>
      </w:r>
    </w:p>
    <w:p w14:paraId="5CCFC1FF" w14:textId="35BFCEF1" w:rsidR="00234FC9" w:rsidRPr="001A30F3"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102</w:t>
      </w:r>
      <w:r w:rsidRPr="001A30F3">
        <w:rPr>
          <w:lang w:val="pl-PL"/>
        </w:rPr>
        <w:fldChar w:fldCharType="end"/>
      </w:r>
      <w:r w:rsidRPr="001A30F3">
        <w:rPr>
          <w:lang w:val="pl-PL"/>
        </w:rPr>
        <w:t xml:space="preserve">. W przedmiotowej sprawie z </w:t>
      </w:r>
      <w:r w:rsidR="00EA43DE" w:rsidRPr="001A30F3">
        <w:rPr>
          <w:lang w:val="pl-PL"/>
        </w:rPr>
        <w:t>odpowiednich</w:t>
      </w:r>
      <w:r w:rsidRPr="001A30F3">
        <w:rPr>
          <w:lang w:val="pl-PL"/>
        </w:rPr>
        <w:t xml:space="preserve"> decyzji wynika, że poza pierwotnymi przesłankami opierającymi się zasadniczo na </w:t>
      </w:r>
      <w:r w:rsidR="00EA43DE" w:rsidRPr="001A30F3">
        <w:rPr>
          <w:lang w:val="pl-PL"/>
        </w:rPr>
        <w:t>powadze</w:t>
      </w:r>
      <w:r w:rsidRPr="001A30F3">
        <w:rPr>
          <w:lang w:val="pl-PL"/>
        </w:rPr>
        <w:t xml:space="preserve"> </w:t>
      </w:r>
      <w:r w:rsidR="00EA43DE" w:rsidRPr="001A30F3">
        <w:rPr>
          <w:lang w:val="pl-PL"/>
        </w:rPr>
        <w:t xml:space="preserve">zarzutów stawianych skarżącemu i </w:t>
      </w:r>
      <w:r w:rsidRPr="001A30F3">
        <w:rPr>
          <w:lang w:val="pl-PL"/>
        </w:rPr>
        <w:t>„wysoki</w:t>
      </w:r>
      <w:r w:rsidR="00EA43DE" w:rsidRPr="001A30F3">
        <w:rPr>
          <w:lang w:val="pl-PL"/>
        </w:rPr>
        <w:t>m</w:t>
      </w:r>
      <w:r w:rsidRPr="001A30F3">
        <w:rPr>
          <w:lang w:val="pl-PL"/>
        </w:rPr>
        <w:t xml:space="preserve"> stop</w:t>
      </w:r>
      <w:r w:rsidR="00EA43DE" w:rsidRPr="001A30F3">
        <w:rPr>
          <w:lang w:val="pl-PL"/>
        </w:rPr>
        <w:t>niu</w:t>
      </w:r>
      <w:r w:rsidRPr="001A30F3">
        <w:rPr>
          <w:lang w:val="pl-PL"/>
        </w:rPr>
        <w:t xml:space="preserve"> demoralizacji” skarżącego, władze nie znalazły następnie innych podstaw </w:t>
      </w:r>
      <w:r w:rsidR="00EA43DE" w:rsidRPr="001A30F3">
        <w:rPr>
          <w:lang w:val="pl-PL"/>
        </w:rPr>
        <w:t>do</w:t>
      </w:r>
      <w:r w:rsidRPr="001A30F3">
        <w:rPr>
          <w:lang w:val="pl-PL"/>
        </w:rPr>
        <w:t xml:space="preserve"> kwalifikacji skarżącego </w:t>
      </w:r>
      <w:r w:rsidR="00EA43DE" w:rsidRPr="001A30F3">
        <w:rPr>
          <w:lang w:val="pl-PL"/>
        </w:rPr>
        <w:t>jako</w:t>
      </w:r>
      <w:r w:rsidRPr="001A30F3">
        <w:rPr>
          <w:lang w:val="pl-PL"/>
        </w:rPr>
        <w:t xml:space="preserve"> „więźnia niebezpiecznego” (zob. pkt. 30 oraz 32 powyżej). </w:t>
      </w:r>
      <w:r w:rsidR="00EA43DE" w:rsidRPr="001A30F3">
        <w:rPr>
          <w:lang w:val="pl-PL"/>
        </w:rPr>
        <w:t xml:space="preserve"> Podczas, gdy</w:t>
      </w:r>
      <w:r w:rsidRPr="001A30F3">
        <w:rPr>
          <w:lang w:val="pl-PL"/>
        </w:rPr>
        <w:t xml:space="preserve"> okolicznoś</w:t>
      </w:r>
      <w:r w:rsidR="00EA43DE" w:rsidRPr="001A30F3">
        <w:rPr>
          <w:lang w:val="pl-PL"/>
        </w:rPr>
        <w:t>ci te mogły uzasadnić stosowanie</w:t>
      </w:r>
      <w:r w:rsidRPr="001A30F3">
        <w:rPr>
          <w:lang w:val="pl-PL"/>
        </w:rPr>
        <w:t xml:space="preserve"> wobec skarżącego reżimu “N” przez pewien okres, nawet </w:t>
      </w:r>
      <w:r w:rsidR="00EA43DE" w:rsidRPr="001A30F3">
        <w:rPr>
          <w:lang w:val="pl-PL"/>
        </w:rPr>
        <w:t>stosunkowo</w:t>
      </w:r>
      <w:r w:rsidRPr="001A30F3">
        <w:rPr>
          <w:lang w:val="pl-PL"/>
        </w:rPr>
        <w:t xml:space="preserve"> długi, nie były wystarczające, jako jedyna przesłanka, do jego dalszego przedłużenia. Wraz z upływem czasu procedura weryfikacji statusu “więźnia niebezpiecznego” </w:t>
      </w:r>
      <w:r w:rsidR="00EA43DE" w:rsidRPr="001A30F3">
        <w:rPr>
          <w:lang w:val="pl-PL"/>
        </w:rPr>
        <w:t>stała</w:t>
      </w:r>
      <w:r w:rsidRPr="001A30F3">
        <w:rPr>
          <w:lang w:val="pl-PL"/>
        </w:rPr>
        <w:t xml:space="preserve"> się czystą formalnością, która ograniczała się do powtórzenia tych samych przesłanek w każdej kolejnej decyzji.</w:t>
      </w:r>
    </w:p>
    <w:p w14:paraId="29524D52" w14:textId="77777777" w:rsidR="00234FC9" w:rsidRPr="001B508E" w:rsidRDefault="00234FC9" w:rsidP="008214F0">
      <w:pPr>
        <w:pStyle w:val="ECHRPara"/>
        <w:rPr>
          <w:lang w:val="pl-PL"/>
        </w:rPr>
      </w:pPr>
      <w:r w:rsidRPr="001A30F3">
        <w:rPr>
          <w:lang w:val="pl-PL"/>
        </w:rPr>
        <w:fldChar w:fldCharType="begin"/>
      </w:r>
      <w:r w:rsidRPr="001A30F3">
        <w:rPr>
          <w:lang w:val="pl-PL"/>
        </w:rPr>
        <w:instrText xml:space="preserve"> SEQ level0 \*arabic </w:instrText>
      </w:r>
      <w:r w:rsidRPr="001A30F3">
        <w:rPr>
          <w:lang w:val="pl-PL"/>
        </w:rPr>
        <w:fldChar w:fldCharType="separate"/>
      </w:r>
      <w:r w:rsidR="003876CB">
        <w:rPr>
          <w:noProof/>
          <w:lang w:val="pl-PL"/>
        </w:rPr>
        <w:t>103</w:t>
      </w:r>
      <w:r w:rsidRPr="001A30F3">
        <w:rPr>
          <w:lang w:val="pl-PL"/>
        </w:rPr>
        <w:fldChar w:fldCharType="end"/>
      </w:r>
      <w:r w:rsidRPr="001A30F3">
        <w:rPr>
          <w:lang w:val="pl-PL"/>
        </w:rPr>
        <w:t xml:space="preserve">. W konkluzji, oceniając stan faktyczny sprawy jako całość oraz uwzględniając kumulatywny wpływ reżimu “więźnia niebezpiecznego” na skarżącego, Trybunał stwierdza, że okres trwania oraz surowość </w:t>
      </w:r>
      <w:r w:rsidRPr="001B508E">
        <w:rPr>
          <w:lang w:val="pl-PL"/>
        </w:rPr>
        <w:t xml:space="preserve">nałożonych środków wykraczała poza uzasadnione wymogi bezpieczeństwa w jednostce penitencjarnej oraz nie była w całości konieczna do osiągnięcia przez władze słusznego celu. </w:t>
      </w:r>
    </w:p>
    <w:p w14:paraId="556D1C07"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104</w:t>
      </w:r>
      <w:r w:rsidRPr="001B508E">
        <w:rPr>
          <w:lang w:val="pl-PL"/>
        </w:rPr>
        <w:fldChar w:fldCharType="end"/>
      </w:r>
      <w:r w:rsidRPr="001B508E">
        <w:rPr>
          <w:lang w:val="pl-PL"/>
        </w:rPr>
        <w:t xml:space="preserve"> Doszło zatem do naruszenia Artykułu 3 Konwencji.</w:t>
      </w:r>
    </w:p>
    <w:p w14:paraId="55D91F32" w14:textId="49B4FA51" w:rsidR="00234FC9" w:rsidRPr="001B508E" w:rsidRDefault="00234FC9" w:rsidP="008214F0">
      <w:pPr>
        <w:pStyle w:val="ECHRHeading1"/>
        <w:rPr>
          <w:lang w:val="pl-PL"/>
        </w:rPr>
      </w:pPr>
      <w:r w:rsidRPr="001B508E">
        <w:rPr>
          <w:lang w:val="pl-PL"/>
        </w:rPr>
        <w:t>II. ZARZUT NARUSZENIA ARTYKUŁU 5 UST. 3 KONWENCJI W ZWIĄZKU Z DŁUGOŚCIĄ STOSOWANIA WOBEC SKARŻĄ</w:t>
      </w:r>
      <w:r w:rsidR="005A397E">
        <w:rPr>
          <w:lang w:val="pl-PL"/>
        </w:rPr>
        <w:t xml:space="preserve">CEGO TYMCZASOWEGO ARESZTOWANIA </w:t>
      </w:r>
    </w:p>
    <w:p w14:paraId="058E952A" w14:textId="2C6E5DD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105</w:t>
      </w:r>
      <w:r w:rsidRPr="001B508E">
        <w:rPr>
          <w:lang w:val="pl-PL"/>
        </w:rPr>
        <w:fldChar w:fldCharType="end"/>
      </w:r>
      <w:r w:rsidRPr="001B508E">
        <w:rPr>
          <w:lang w:val="pl-PL"/>
        </w:rPr>
        <w:t xml:space="preserve"> Opierając się</w:t>
      </w:r>
      <w:r w:rsidR="005A397E">
        <w:rPr>
          <w:lang w:val="pl-PL"/>
        </w:rPr>
        <w:t xml:space="preserve"> na Artykule 5 ust. 3 Konwencji</w:t>
      </w:r>
      <w:r w:rsidRPr="001B508E">
        <w:rPr>
          <w:lang w:val="pl-PL"/>
        </w:rPr>
        <w:t xml:space="preserve"> skarżący sformułował zarzut przewlekłości tymczasowego aresztowania.</w:t>
      </w:r>
    </w:p>
    <w:p w14:paraId="49FD111F" w14:textId="77777777" w:rsidR="00234FC9" w:rsidRPr="001B508E" w:rsidRDefault="00234FC9" w:rsidP="008214F0">
      <w:pPr>
        <w:pStyle w:val="ECHRPara"/>
        <w:rPr>
          <w:lang w:val="pl-PL"/>
        </w:rPr>
      </w:pPr>
      <w:r w:rsidRPr="001B508E">
        <w:rPr>
          <w:lang w:val="pl-PL"/>
        </w:rPr>
        <w:t>Artykuł 5 ust. 3, w istotnym dla sprawy zakresie, stanowi co następuje:</w:t>
      </w:r>
    </w:p>
    <w:p w14:paraId="0C86BA31" w14:textId="77777777" w:rsidR="00234FC9" w:rsidRPr="001B508E" w:rsidRDefault="00234FC9" w:rsidP="008214F0">
      <w:pPr>
        <w:pStyle w:val="ECHRParaQuote"/>
      </w:pPr>
      <w:r w:rsidRPr="001B508E">
        <w:lastRenderedPageBreak/>
        <w:t>“Każdy zatrzymany lub aresztowany zgodnie z postanowieniami ustępu 1 lit. c) niniejszego Artykułu …ma prawo być sądzony w rozsądnym terminie albo zwolniony na czas postępowania. Zwolnienie może zostać uzależnione od udzielenia gwarancji zapewniających stawienie się na rozprawę.”</w:t>
      </w:r>
    </w:p>
    <w:p w14:paraId="27A19ACE" w14:textId="6EBA94BD" w:rsidR="00234FC9" w:rsidRPr="003876CB" w:rsidRDefault="00234FC9" w:rsidP="008214F0">
      <w:pPr>
        <w:pStyle w:val="ECHRPara"/>
        <w:rPr>
          <w:lang w:val="pl-PL"/>
        </w:rPr>
      </w:pPr>
      <w:r w:rsidRPr="00F26930">
        <w:rPr>
          <w:lang w:val="pl-PL"/>
        </w:rPr>
        <w:fldChar w:fldCharType="begin"/>
      </w:r>
      <w:r w:rsidRPr="00F26930">
        <w:rPr>
          <w:lang w:val="pl-PL"/>
        </w:rPr>
        <w:instrText xml:space="preserve"> SEQ level0 \*arabic </w:instrText>
      </w:r>
      <w:r w:rsidRPr="00F26930">
        <w:rPr>
          <w:lang w:val="pl-PL"/>
        </w:rPr>
        <w:fldChar w:fldCharType="separate"/>
      </w:r>
      <w:r w:rsidR="003876CB">
        <w:rPr>
          <w:noProof/>
          <w:lang w:val="pl-PL"/>
        </w:rPr>
        <w:t>106</w:t>
      </w:r>
      <w:r w:rsidRPr="00F26930">
        <w:rPr>
          <w:lang w:val="pl-PL"/>
        </w:rPr>
        <w:fldChar w:fldCharType="end"/>
      </w:r>
      <w:r w:rsidRPr="00F26930">
        <w:rPr>
          <w:lang w:val="pl-PL"/>
        </w:rPr>
        <w:t xml:space="preserve">. </w:t>
      </w:r>
      <w:r w:rsidR="00F26930" w:rsidRPr="00F26930">
        <w:rPr>
          <w:lang w:val="pl-PL"/>
        </w:rPr>
        <w:t>Rząd zakwestionował to stanowisko.</w:t>
      </w:r>
    </w:p>
    <w:p w14:paraId="7DBCA2BB" w14:textId="77777777" w:rsidR="00234FC9" w:rsidRPr="003876CB" w:rsidRDefault="00234FC9" w:rsidP="008214F0">
      <w:pPr>
        <w:pStyle w:val="ECHRHeading2"/>
        <w:rPr>
          <w:lang w:val="pl-PL"/>
        </w:rPr>
      </w:pPr>
      <w:r w:rsidRPr="003876CB">
        <w:rPr>
          <w:lang w:val="pl-PL"/>
        </w:rPr>
        <w:t>A. Dopuszczalność skargi</w:t>
      </w:r>
    </w:p>
    <w:p w14:paraId="48BBCE3A" w14:textId="77777777" w:rsidR="00234FC9" w:rsidRPr="003876CB" w:rsidRDefault="00234FC9" w:rsidP="008214F0">
      <w:pPr>
        <w:pStyle w:val="ECHRPara"/>
        <w:rPr>
          <w:lang w:val="pl-PL"/>
        </w:rPr>
      </w:pPr>
      <w:r w:rsidRPr="003876CB">
        <w:rPr>
          <w:lang w:val="pl-PL"/>
        </w:rPr>
        <w:fldChar w:fldCharType="begin"/>
      </w:r>
      <w:r w:rsidRPr="003876CB">
        <w:rPr>
          <w:lang w:val="pl-PL"/>
        </w:rPr>
        <w:instrText xml:space="preserve"> SEQ level0 \*arabic </w:instrText>
      </w:r>
      <w:r w:rsidRPr="003876CB">
        <w:rPr>
          <w:lang w:val="pl-PL"/>
        </w:rPr>
        <w:fldChar w:fldCharType="separate"/>
      </w:r>
      <w:r w:rsidR="003876CB" w:rsidRPr="003876CB">
        <w:rPr>
          <w:noProof/>
          <w:lang w:val="pl-PL"/>
        </w:rPr>
        <w:t>107</w:t>
      </w:r>
      <w:r w:rsidRPr="003876CB">
        <w:rPr>
          <w:lang w:val="pl-PL"/>
        </w:rPr>
        <w:fldChar w:fldCharType="end"/>
      </w:r>
      <w:r w:rsidRPr="003876CB">
        <w:rPr>
          <w:lang w:val="pl-PL"/>
        </w:rPr>
        <w:t>. Rząd nie zakwestionował dopuszczalności przedmiotowej skargi.</w:t>
      </w:r>
    </w:p>
    <w:p w14:paraId="67E36F4B" w14:textId="33F545D8" w:rsidR="00234FC9" w:rsidRPr="00E258FF" w:rsidRDefault="00234FC9" w:rsidP="008214F0">
      <w:pPr>
        <w:pStyle w:val="ECHRPara"/>
        <w:rPr>
          <w:lang w:val="pl-PL"/>
        </w:rPr>
      </w:pPr>
      <w:r w:rsidRPr="003876CB">
        <w:rPr>
          <w:lang w:val="pl-PL"/>
        </w:rPr>
        <w:fldChar w:fldCharType="begin"/>
      </w:r>
      <w:r w:rsidRPr="003876CB">
        <w:rPr>
          <w:lang w:val="pl-PL"/>
        </w:rPr>
        <w:instrText xml:space="preserve"> SEQ level0 \*arabic </w:instrText>
      </w:r>
      <w:r w:rsidRPr="003876CB">
        <w:rPr>
          <w:lang w:val="pl-PL"/>
        </w:rPr>
        <w:fldChar w:fldCharType="separate"/>
      </w:r>
      <w:r w:rsidR="003876CB" w:rsidRPr="003876CB">
        <w:rPr>
          <w:noProof/>
          <w:lang w:val="pl-PL"/>
        </w:rPr>
        <w:t>108</w:t>
      </w:r>
      <w:r w:rsidRPr="003876CB">
        <w:rPr>
          <w:lang w:val="pl-PL"/>
        </w:rPr>
        <w:fldChar w:fldCharType="end"/>
      </w:r>
      <w:r w:rsidRPr="003876CB">
        <w:rPr>
          <w:lang w:val="pl-PL"/>
        </w:rPr>
        <w:t xml:space="preserve">. Trybunał stwierdza, że skarga nie jest oczywiście </w:t>
      </w:r>
      <w:r w:rsidRPr="00E258FF">
        <w:rPr>
          <w:lang w:val="pl-PL"/>
        </w:rPr>
        <w:t xml:space="preserve">bezzasadna w rozumieniu Artykułu 35 ust. 3 </w:t>
      </w:r>
      <w:r w:rsidR="005A397E" w:rsidRPr="00E258FF">
        <w:rPr>
          <w:lang w:val="pl-PL"/>
        </w:rPr>
        <w:t>(</w:t>
      </w:r>
      <w:r w:rsidRPr="00E258FF">
        <w:rPr>
          <w:lang w:val="pl-PL"/>
        </w:rPr>
        <w:t>a</w:t>
      </w:r>
      <w:r w:rsidR="005A397E" w:rsidRPr="00E258FF">
        <w:rPr>
          <w:lang w:val="pl-PL"/>
        </w:rPr>
        <w:t>)</w:t>
      </w:r>
      <w:r w:rsidRPr="00E258FF">
        <w:rPr>
          <w:lang w:val="pl-PL"/>
        </w:rPr>
        <w:t xml:space="preserve"> Konwencji. Trybunał stwierdza ponadto, że nie jest niedopuszczalna z jakichkolwiek innych przyczyn. Musi zatem zostać uznana za dopuszczalną.</w:t>
      </w:r>
    </w:p>
    <w:p w14:paraId="1B31837D" w14:textId="77777777" w:rsidR="00234FC9" w:rsidRPr="001B508E" w:rsidRDefault="00234FC9" w:rsidP="008214F0">
      <w:pPr>
        <w:pStyle w:val="ECHRHeading2"/>
        <w:rPr>
          <w:lang w:val="pl-PL"/>
        </w:rPr>
      </w:pPr>
      <w:r w:rsidRPr="001B508E">
        <w:rPr>
          <w:lang w:val="pl-PL"/>
        </w:rPr>
        <w:t>B. Meritum skargi</w:t>
      </w:r>
    </w:p>
    <w:p w14:paraId="558E13D2" w14:textId="77777777" w:rsidR="00234FC9" w:rsidRPr="001B508E" w:rsidRDefault="00234FC9" w:rsidP="008214F0">
      <w:pPr>
        <w:pStyle w:val="ECHRHeading3"/>
        <w:rPr>
          <w:lang w:val="pl-PL"/>
        </w:rPr>
      </w:pPr>
      <w:r w:rsidRPr="001B508E">
        <w:rPr>
          <w:lang w:val="pl-PL"/>
        </w:rPr>
        <w:t>1. Rozpatrywany okres</w:t>
      </w:r>
    </w:p>
    <w:p w14:paraId="469B4F15" w14:textId="0AC793F8" w:rsidR="00234FC9" w:rsidRPr="00E258FF"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109</w:t>
      </w:r>
      <w:r w:rsidRPr="001B508E">
        <w:rPr>
          <w:lang w:val="pl-PL"/>
        </w:rPr>
        <w:fldChar w:fldCharType="end"/>
      </w:r>
      <w:r w:rsidRPr="001B508E">
        <w:rPr>
          <w:lang w:val="pl-PL"/>
        </w:rPr>
        <w:t xml:space="preserve">. Areszt tymczasowy </w:t>
      </w:r>
      <w:r w:rsidRPr="00E258FF">
        <w:rPr>
          <w:lang w:val="pl-PL"/>
        </w:rPr>
        <w:t xml:space="preserve">skarżącego </w:t>
      </w:r>
      <w:r w:rsidR="005A397E" w:rsidRPr="00E258FF">
        <w:rPr>
          <w:lang w:val="pl-PL"/>
        </w:rPr>
        <w:t xml:space="preserve">w Polsce </w:t>
      </w:r>
      <w:r w:rsidRPr="00E258FF">
        <w:rPr>
          <w:lang w:val="pl-PL"/>
        </w:rPr>
        <w:t xml:space="preserve">rozpoczął się w dniu 21 grudnia 2006 roku, gdy został on przekazany polskim władzom. W dniu 7 marca 2008 roku Sąd Rejonowy w Lublinie </w:t>
      </w:r>
      <w:r w:rsidR="005A397E" w:rsidRPr="00E258FF">
        <w:rPr>
          <w:lang w:val="pl-PL"/>
        </w:rPr>
        <w:t>uznał go winnym</w:t>
      </w:r>
      <w:r w:rsidRPr="00E258FF">
        <w:rPr>
          <w:lang w:val="pl-PL"/>
        </w:rPr>
        <w:t xml:space="preserve"> </w:t>
      </w:r>
      <w:r w:rsidR="005A397E" w:rsidRPr="00E258FF">
        <w:rPr>
          <w:lang w:val="pl-PL"/>
        </w:rPr>
        <w:t xml:space="preserve">popełnienia </w:t>
      </w:r>
      <w:r w:rsidRPr="00E258FF">
        <w:rPr>
          <w:lang w:val="pl-PL"/>
        </w:rPr>
        <w:t xml:space="preserve">licznych rozbojów, wymuszeń, </w:t>
      </w:r>
      <w:r w:rsidR="005A397E" w:rsidRPr="00E258FF">
        <w:rPr>
          <w:lang w:val="pl-PL"/>
        </w:rPr>
        <w:t>ustnych</w:t>
      </w:r>
      <w:r w:rsidRPr="00E258FF">
        <w:rPr>
          <w:lang w:val="pl-PL"/>
        </w:rPr>
        <w:t xml:space="preserve"> gróźb karalnych, spowodowania uszkodzenia ciała</w:t>
      </w:r>
      <w:r w:rsidR="005A397E" w:rsidRPr="00E258FF">
        <w:rPr>
          <w:lang w:val="pl-PL"/>
        </w:rPr>
        <w:t>, popełnionych przez niego jako członka zorganizowanej grupy</w:t>
      </w:r>
      <w:r w:rsidRPr="00E258FF">
        <w:rPr>
          <w:lang w:val="pl-PL"/>
        </w:rPr>
        <w:t xml:space="preserve"> przestępczej (zob. pkt 10 i 15 powyżej). Od tego dnia </w:t>
      </w:r>
      <w:r w:rsidR="005A397E" w:rsidRPr="00E258FF">
        <w:rPr>
          <w:lang w:val="pl-PL"/>
        </w:rPr>
        <w:t>był</w:t>
      </w:r>
      <w:r w:rsidRPr="00E258FF">
        <w:rPr>
          <w:lang w:val="pl-PL"/>
        </w:rPr>
        <w:t xml:space="preserve"> </w:t>
      </w:r>
      <w:r w:rsidR="005A397E" w:rsidRPr="00E258FF">
        <w:rPr>
          <w:lang w:val="pl-PL"/>
        </w:rPr>
        <w:t>osadzony</w:t>
      </w:r>
      <w:r w:rsidRPr="00E258FF">
        <w:rPr>
          <w:lang w:val="pl-PL"/>
        </w:rPr>
        <w:t xml:space="preserve"> "po skazaniu przez właściwy sąd" w rozumieniu Artykułu 5 ust. 1 (a) i w związku z tym okres po 7 marca 2008 roku nie wchodzi w zakres Artykułu 5 ust. 3 (por. </w:t>
      </w:r>
      <w:r w:rsidRPr="00E258FF">
        <w:rPr>
          <w:i/>
          <w:lang w:val="pl-PL"/>
        </w:rPr>
        <w:t>Kudła</w:t>
      </w:r>
      <w:r w:rsidRPr="00E258FF">
        <w:rPr>
          <w:lang w:val="pl-PL"/>
        </w:rPr>
        <w:t>, cytowany powyżej, pkt 104).</w:t>
      </w:r>
    </w:p>
    <w:p w14:paraId="4F35B2C4" w14:textId="72DB321F" w:rsidR="00234FC9" w:rsidRPr="00E258FF" w:rsidRDefault="00234FC9" w:rsidP="008214F0">
      <w:pPr>
        <w:pStyle w:val="ECHRPara"/>
        <w:rPr>
          <w:lang w:val="pl-PL"/>
        </w:rPr>
      </w:pPr>
      <w:r w:rsidRPr="00E258FF">
        <w:rPr>
          <w:lang w:val="pl-PL"/>
        </w:rPr>
        <w:fldChar w:fldCharType="begin"/>
      </w:r>
      <w:r w:rsidRPr="00E258FF">
        <w:rPr>
          <w:lang w:val="pl-PL"/>
        </w:rPr>
        <w:instrText xml:space="preserve"> SEQ level0 \*arabic </w:instrText>
      </w:r>
      <w:r w:rsidRPr="00E258FF">
        <w:rPr>
          <w:lang w:val="pl-PL"/>
        </w:rPr>
        <w:fldChar w:fldCharType="separate"/>
      </w:r>
      <w:r w:rsidR="003876CB">
        <w:rPr>
          <w:noProof/>
          <w:lang w:val="pl-PL"/>
        </w:rPr>
        <w:t>110</w:t>
      </w:r>
      <w:r w:rsidRPr="00E258FF">
        <w:rPr>
          <w:lang w:val="pl-PL"/>
        </w:rPr>
        <w:fldChar w:fldCharType="end"/>
      </w:r>
      <w:r w:rsidRPr="00E258FF">
        <w:rPr>
          <w:lang w:val="pl-PL"/>
        </w:rPr>
        <w:t xml:space="preserve">. W dniu 30 stycznia 2009 roku Sąd Okręgowy w Lublinie uchylił wyrok </w:t>
      </w:r>
      <w:r w:rsidR="0069481C" w:rsidRPr="00E258FF">
        <w:rPr>
          <w:lang w:val="pl-PL"/>
        </w:rPr>
        <w:t>skazujący</w:t>
      </w:r>
      <w:r w:rsidRPr="00E258FF">
        <w:rPr>
          <w:lang w:val="pl-PL"/>
        </w:rPr>
        <w:t xml:space="preserve"> (zob. pkt 17 powyżej). Po tej dacie jego </w:t>
      </w:r>
      <w:r w:rsidR="0069481C" w:rsidRPr="00E258FF">
        <w:rPr>
          <w:lang w:val="pl-PL"/>
        </w:rPr>
        <w:t>tymczasowe aresztowanie</w:t>
      </w:r>
      <w:r w:rsidRPr="00E258FF">
        <w:rPr>
          <w:lang w:val="pl-PL"/>
        </w:rPr>
        <w:t xml:space="preserve"> ponownie objęte było Artykułem 5 ust. 3. Sytuacja ta trwała do dnia 5 maja 2011 roku, gdy skarżący został skazany ponownie.</w:t>
      </w:r>
    </w:p>
    <w:p w14:paraId="5A17F6BF" w14:textId="48936081" w:rsidR="00234FC9" w:rsidRPr="001B508E" w:rsidRDefault="00234FC9" w:rsidP="008214F0">
      <w:pPr>
        <w:pStyle w:val="ECHRPara"/>
        <w:rPr>
          <w:lang w:val="pl-PL"/>
        </w:rPr>
      </w:pPr>
      <w:r w:rsidRPr="00E258FF">
        <w:rPr>
          <w:lang w:val="pl-PL"/>
        </w:rPr>
        <w:fldChar w:fldCharType="begin"/>
      </w:r>
      <w:r w:rsidRPr="00E258FF">
        <w:rPr>
          <w:lang w:val="pl-PL"/>
        </w:rPr>
        <w:instrText xml:space="preserve"> SEQ level0 \*arabic </w:instrText>
      </w:r>
      <w:r w:rsidRPr="00E258FF">
        <w:rPr>
          <w:lang w:val="pl-PL"/>
        </w:rPr>
        <w:fldChar w:fldCharType="separate"/>
      </w:r>
      <w:r w:rsidR="003876CB">
        <w:rPr>
          <w:noProof/>
          <w:lang w:val="pl-PL"/>
        </w:rPr>
        <w:t>111</w:t>
      </w:r>
      <w:r w:rsidRPr="00E258FF">
        <w:rPr>
          <w:lang w:val="pl-PL"/>
        </w:rPr>
        <w:fldChar w:fldCharType="end"/>
      </w:r>
      <w:r w:rsidR="0069481C" w:rsidRPr="00E258FF">
        <w:rPr>
          <w:lang w:val="pl-PL"/>
        </w:rPr>
        <w:t>. Jednakże</w:t>
      </w:r>
      <w:r w:rsidRPr="00E258FF">
        <w:rPr>
          <w:lang w:val="pl-PL"/>
        </w:rPr>
        <w:t xml:space="preserve"> od dnia 17 grudnia 2010 roku, skarżący odbywał karę </w:t>
      </w:r>
      <w:r w:rsidR="0069481C" w:rsidRPr="00E258FF">
        <w:rPr>
          <w:lang w:val="pl-PL"/>
        </w:rPr>
        <w:t>pozbawienia wolności</w:t>
      </w:r>
      <w:r w:rsidRPr="00E258FF">
        <w:rPr>
          <w:lang w:val="pl-PL"/>
        </w:rPr>
        <w:t xml:space="preserve"> </w:t>
      </w:r>
      <w:r w:rsidR="0069481C" w:rsidRPr="00E258FF">
        <w:rPr>
          <w:lang w:val="pl-PL"/>
        </w:rPr>
        <w:t>orzeczoną</w:t>
      </w:r>
      <w:r w:rsidRPr="00E258FF">
        <w:rPr>
          <w:lang w:val="pl-PL"/>
        </w:rPr>
        <w:t xml:space="preserve"> w innym postępowaniu karnym (zob. pkt 27 powyżej). </w:t>
      </w:r>
      <w:r w:rsidR="0069481C" w:rsidRPr="00E258FF">
        <w:rPr>
          <w:lang w:val="pl-PL"/>
        </w:rPr>
        <w:t>Okres</w:t>
      </w:r>
      <w:r w:rsidRPr="00E258FF">
        <w:rPr>
          <w:lang w:val="pl-PL"/>
        </w:rPr>
        <w:t xml:space="preserve"> ten, objęty Artykułem 5 ust. 1 (a), musi więc zostać odjęty od okresu pobytu skarżącego w areszcie tymczasowym </w:t>
      </w:r>
      <w:r w:rsidRPr="001B508E">
        <w:rPr>
          <w:lang w:val="pl-PL"/>
        </w:rPr>
        <w:t>dla celów Artykułu 5 ust. 3.</w:t>
      </w:r>
    </w:p>
    <w:p w14:paraId="6461ECA7" w14:textId="0DCEC389"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112</w:t>
      </w:r>
      <w:r w:rsidRPr="001B508E">
        <w:rPr>
          <w:lang w:val="pl-PL"/>
        </w:rPr>
        <w:fldChar w:fldCharType="end"/>
      </w:r>
      <w:r w:rsidR="0069481C">
        <w:rPr>
          <w:lang w:val="pl-PL"/>
        </w:rPr>
        <w:t>. W związku z powyższym</w:t>
      </w:r>
      <w:r w:rsidRPr="001B508E">
        <w:rPr>
          <w:lang w:val="pl-PL"/>
        </w:rPr>
        <w:t xml:space="preserve"> okres</w:t>
      </w:r>
      <w:r w:rsidR="0069481C">
        <w:rPr>
          <w:lang w:val="pl-PL"/>
        </w:rPr>
        <w:t>,</w:t>
      </w:r>
      <w:r w:rsidRPr="001B508E">
        <w:rPr>
          <w:lang w:val="pl-PL"/>
        </w:rPr>
        <w:t xml:space="preserve"> jaki należy wziąć pod uwagę</w:t>
      </w:r>
      <w:r w:rsidR="0069481C">
        <w:rPr>
          <w:lang w:val="pl-PL"/>
        </w:rPr>
        <w:t>,</w:t>
      </w:r>
      <w:r w:rsidRPr="001B508E">
        <w:rPr>
          <w:lang w:val="pl-PL"/>
        </w:rPr>
        <w:t xml:space="preserve"> wynosi trzy lata, jeden miesiąc i trzy dni.</w:t>
      </w:r>
    </w:p>
    <w:p w14:paraId="1BC0B8C2" w14:textId="77777777" w:rsidR="00234FC9" w:rsidRPr="001B508E" w:rsidRDefault="00234FC9" w:rsidP="008214F0">
      <w:pPr>
        <w:pStyle w:val="ECHRHeading3"/>
        <w:rPr>
          <w:lang w:val="pl-PL"/>
        </w:rPr>
      </w:pPr>
      <w:r w:rsidRPr="001B508E">
        <w:rPr>
          <w:lang w:val="pl-PL"/>
        </w:rPr>
        <w:t>2. Stanowisko stron</w:t>
      </w:r>
    </w:p>
    <w:p w14:paraId="4B7CA824" w14:textId="77777777" w:rsidR="00234FC9" w:rsidRPr="00E258FF" w:rsidRDefault="00234FC9" w:rsidP="008214F0">
      <w:pPr>
        <w:pStyle w:val="ECHRHeading4"/>
        <w:rPr>
          <w:lang w:val="pl-PL"/>
        </w:rPr>
      </w:pPr>
      <w:r w:rsidRPr="00E258FF">
        <w:rPr>
          <w:lang w:val="pl-PL"/>
        </w:rPr>
        <w:t>(a) Skarżący</w:t>
      </w:r>
    </w:p>
    <w:p w14:paraId="084B59BA" w14:textId="5246DF7C" w:rsidR="00234FC9" w:rsidRPr="00E258FF" w:rsidRDefault="00234FC9" w:rsidP="008214F0">
      <w:pPr>
        <w:pStyle w:val="ECHRPara"/>
        <w:rPr>
          <w:lang w:val="pl-PL"/>
        </w:rPr>
      </w:pPr>
      <w:r w:rsidRPr="00E258FF">
        <w:rPr>
          <w:lang w:val="pl-PL"/>
        </w:rPr>
        <w:fldChar w:fldCharType="begin"/>
      </w:r>
      <w:r w:rsidRPr="00E258FF">
        <w:rPr>
          <w:lang w:val="pl-PL"/>
        </w:rPr>
        <w:instrText xml:space="preserve"> SEQ level0 \*arabic </w:instrText>
      </w:r>
      <w:r w:rsidRPr="00E258FF">
        <w:rPr>
          <w:lang w:val="pl-PL"/>
        </w:rPr>
        <w:fldChar w:fldCharType="separate"/>
      </w:r>
      <w:r w:rsidR="003876CB">
        <w:rPr>
          <w:noProof/>
          <w:lang w:val="pl-PL"/>
        </w:rPr>
        <w:t>113</w:t>
      </w:r>
      <w:r w:rsidRPr="00E258FF">
        <w:rPr>
          <w:lang w:val="pl-PL"/>
        </w:rPr>
        <w:fldChar w:fldCharType="end"/>
      </w:r>
      <w:r w:rsidRPr="00E258FF">
        <w:rPr>
          <w:lang w:val="pl-PL"/>
        </w:rPr>
        <w:t xml:space="preserve">. Skarżący </w:t>
      </w:r>
      <w:r w:rsidR="0069481C" w:rsidRPr="00E258FF">
        <w:rPr>
          <w:lang w:val="pl-PL"/>
        </w:rPr>
        <w:t>utrzymywał, że okres jego</w:t>
      </w:r>
      <w:r w:rsidRPr="00E258FF">
        <w:rPr>
          <w:lang w:val="pl-PL"/>
        </w:rPr>
        <w:t xml:space="preserve"> tymczasowego aresztowania </w:t>
      </w:r>
      <w:r w:rsidR="0069481C" w:rsidRPr="00E258FF">
        <w:rPr>
          <w:lang w:val="pl-PL"/>
        </w:rPr>
        <w:t>był nadmierny i niezasadny</w:t>
      </w:r>
      <w:r w:rsidR="00E258FF" w:rsidRPr="00E258FF">
        <w:rPr>
          <w:lang w:val="pl-PL"/>
        </w:rPr>
        <w:t xml:space="preserve">. </w:t>
      </w:r>
    </w:p>
    <w:p w14:paraId="4DBDF695" w14:textId="77777777" w:rsidR="00234FC9" w:rsidRPr="00E258FF" w:rsidRDefault="00234FC9" w:rsidP="008214F0">
      <w:pPr>
        <w:pStyle w:val="ECHRHeading4"/>
        <w:rPr>
          <w:lang w:val="pl-PL"/>
        </w:rPr>
      </w:pPr>
      <w:r w:rsidRPr="00E258FF">
        <w:rPr>
          <w:lang w:val="pl-PL"/>
        </w:rPr>
        <w:lastRenderedPageBreak/>
        <w:t>(b) Rząd</w:t>
      </w:r>
    </w:p>
    <w:p w14:paraId="0BA98CF2" w14:textId="793DEBFC" w:rsidR="00234FC9" w:rsidRPr="001B508E" w:rsidRDefault="00234FC9" w:rsidP="008214F0">
      <w:pPr>
        <w:pStyle w:val="ECHRPara"/>
        <w:rPr>
          <w:lang w:val="pl-PL"/>
        </w:rPr>
      </w:pPr>
      <w:r w:rsidRPr="00E258FF">
        <w:rPr>
          <w:lang w:val="pl-PL"/>
        </w:rPr>
        <w:fldChar w:fldCharType="begin"/>
      </w:r>
      <w:r w:rsidRPr="00E258FF">
        <w:rPr>
          <w:lang w:val="pl-PL"/>
        </w:rPr>
        <w:instrText xml:space="preserve"> SEQ level0 \*arabic </w:instrText>
      </w:r>
      <w:r w:rsidRPr="00E258FF">
        <w:rPr>
          <w:lang w:val="pl-PL"/>
        </w:rPr>
        <w:fldChar w:fldCharType="separate"/>
      </w:r>
      <w:r w:rsidR="003876CB">
        <w:rPr>
          <w:noProof/>
          <w:lang w:val="pl-PL"/>
        </w:rPr>
        <w:t>114</w:t>
      </w:r>
      <w:r w:rsidRPr="00E258FF">
        <w:rPr>
          <w:lang w:val="pl-PL"/>
        </w:rPr>
        <w:fldChar w:fldCharType="end"/>
      </w:r>
      <w:r w:rsidRPr="00E258FF">
        <w:rPr>
          <w:lang w:val="pl-PL"/>
        </w:rPr>
        <w:t xml:space="preserve">. Rząd </w:t>
      </w:r>
      <w:r w:rsidR="00E24848" w:rsidRPr="00E258FF">
        <w:rPr>
          <w:lang w:val="pl-PL"/>
        </w:rPr>
        <w:t>podniósł</w:t>
      </w:r>
      <w:r w:rsidRPr="00E258FF">
        <w:rPr>
          <w:lang w:val="pl-PL"/>
        </w:rPr>
        <w:t xml:space="preserve">, że w przedmiotowej sprawie wszystkie kryteria zastosowania i przedłużenia aresztu tymczasowego zostały spełnione. </w:t>
      </w:r>
      <w:r w:rsidR="00E24848" w:rsidRPr="00E258FF">
        <w:rPr>
          <w:lang w:val="pl-PL"/>
        </w:rPr>
        <w:t>Tymczasowe aresztowanie</w:t>
      </w:r>
      <w:r w:rsidRPr="00E258FF">
        <w:rPr>
          <w:lang w:val="pl-PL"/>
        </w:rPr>
        <w:t xml:space="preserve"> </w:t>
      </w:r>
      <w:r w:rsidRPr="001B508E">
        <w:rPr>
          <w:lang w:val="pl-PL"/>
        </w:rPr>
        <w:t>skarżącego zostało umotywowane uzasadnionym podejrzeniem, że popełnił on przestępstwa, o które został oskarżony.</w:t>
      </w:r>
    </w:p>
    <w:p w14:paraId="0290D917" w14:textId="77777777" w:rsidR="00234FC9" w:rsidRPr="001B508E" w:rsidRDefault="00234FC9" w:rsidP="008214F0">
      <w:pPr>
        <w:pStyle w:val="ECHRHeading3"/>
        <w:rPr>
          <w:lang w:val="pl-PL"/>
        </w:rPr>
      </w:pPr>
      <w:r w:rsidRPr="001B508E">
        <w:rPr>
          <w:lang w:val="pl-PL"/>
        </w:rPr>
        <w:t>3. Stanowisko Trybunału</w:t>
      </w:r>
    </w:p>
    <w:p w14:paraId="09E4EB2D" w14:textId="77777777" w:rsidR="00234FC9" w:rsidRPr="001B508E" w:rsidRDefault="00234FC9" w:rsidP="008214F0">
      <w:pPr>
        <w:pStyle w:val="ECHRHeading4"/>
        <w:rPr>
          <w:lang w:val="pl-PL"/>
        </w:rPr>
      </w:pPr>
      <w:r w:rsidRPr="001B508E">
        <w:rPr>
          <w:lang w:val="pl-PL"/>
        </w:rPr>
        <w:t>(a) Zasady ogólne</w:t>
      </w:r>
    </w:p>
    <w:p w14:paraId="2E1ECA15" w14:textId="66599A36"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115</w:t>
      </w:r>
      <w:r w:rsidRPr="001B508E">
        <w:rPr>
          <w:lang w:val="pl-PL"/>
        </w:rPr>
        <w:fldChar w:fldCharType="end"/>
      </w:r>
      <w:r w:rsidRPr="001B508E">
        <w:rPr>
          <w:lang w:val="pl-PL"/>
        </w:rPr>
        <w:t xml:space="preserve">. </w:t>
      </w:r>
      <w:r w:rsidRPr="00E258FF">
        <w:rPr>
          <w:lang w:val="pl-PL"/>
        </w:rPr>
        <w:t>Trybunał przypomina, że ogólne zasady dotyczące prawa do “bycia sądzonym w rozsądnym terminie</w:t>
      </w:r>
      <w:r w:rsidR="00E24848" w:rsidRPr="00E258FF">
        <w:rPr>
          <w:lang w:val="pl-PL"/>
        </w:rPr>
        <w:t>”</w:t>
      </w:r>
      <w:r w:rsidRPr="00E258FF">
        <w:rPr>
          <w:lang w:val="pl-PL"/>
        </w:rPr>
        <w:t xml:space="preserve"> albo zwolnionym na czas postępowania, gwarantowanego na mocy Artykułu 5 ust. 3 Konwencji</w:t>
      </w:r>
      <w:r w:rsidR="00E24848" w:rsidRPr="00E258FF">
        <w:rPr>
          <w:lang w:val="pl-PL"/>
        </w:rPr>
        <w:t>,</w:t>
      </w:r>
      <w:r w:rsidRPr="00E258FF">
        <w:rPr>
          <w:lang w:val="pl-PL"/>
        </w:rPr>
        <w:t xml:space="preserve"> zostały </w:t>
      </w:r>
      <w:r w:rsidR="00E24848" w:rsidRPr="00E258FF">
        <w:rPr>
          <w:lang w:val="pl-PL"/>
        </w:rPr>
        <w:t>przedstawione</w:t>
      </w:r>
      <w:r w:rsidRPr="00E258FF">
        <w:rPr>
          <w:lang w:val="pl-PL"/>
        </w:rPr>
        <w:t xml:space="preserve"> w kilku wydanych wcześniej wyrokach (zob., między innymi, </w:t>
      </w:r>
      <w:r w:rsidRPr="00E258FF">
        <w:rPr>
          <w:i/>
          <w:lang w:val="pl-PL"/>
        </w:rPr>
        <w:t>Kudła przeciwko Polsce</w:t>
      </w:r>
      <w:r w:rsidRPr="00E258FF">
        <w:rPr>
          <w:lang w:val="pl-PL"/>
        </w:rPr>
        <w:t xml:space="preserve">, cyt. wyż., pkt </w:t>
      </w:r>
      <w:r w:rsidRPr="001B508E">
        <w:rPr>
          <w:lang w:val="pl-PL"/>
        </w:rPr>
        <w:t xml:space="preserve">110 </w:t>
      </w:r>
      <w:r w:rsidRPr="001B508E">
        <w:rPr>
          <w:i/>
          <w:lang w:val="pl-PL"/>
        </w:rPr>
        <w:t xml:space="preserve">et </w:t>
      </w:r>
      <w:proofErr w:type="spellStart"/>
      <w:r w:rsidRPr="001B508E">
        <w:rPr>
          <w:i/>
          <w:lang w:val="pl-PL"/>
        </w:rPr>
        <w:t>seq</w:t>
      </w:r>
      <w:proofErr w:type="spellEnd"/>
      <w:r w:rsidR="00E24848">
        <w:rPr>
          <w:lang w:val="pl-PL"/>
        </w:rPr>
        <w:t>.</w:t>
      </w:r>
      <w:r w:rsidRPr="001B508E">
        <w:rPr>
          <w:lang w:val="pl-PL"/>
        </w:rPr>
        <w:t xml:space="preserve"> oraz </w:t>
      </w:r>
      <w:proofErr w:type="spellStart"/>
      <w:r w:rsidRPr="001B508E">
        <w:rPr>
          <w:i/>
          <w:lang w:val="pl-PL"/>
        </w:rPr>
        <w:t>McKay</w:t>
      </w:r>
      <w:proofErr w:type="spellEnd"/>
      <w:r w:rsidRPr="001B508E">
        <w:rPr>
          <w:i/>
          <w:lang w:val="pl-PL"/>
        </w:rPr>
        <w:t xml:space="preserve"> przeciwko Wielkiej Brytanii</w:t>
      </w:r>
      <w:r w:rsidRPr="001B508E">
        <w:rPr>
          <w:lang w:val="pl-PL"/>
        </w:rPr>
        <w:t xml:space="preserve"> [Wielka Izba], skarga nr 543/03, pkt 41-44, ECHR 2006-..., z kolejnymi odniesieniami).</w:t>
      </w:r>
    </w:p>
    <w:p w14:paraId="6E3B62F4" w14:textId="77777777" w:rsidR="00234FC9" w:rsidRPr="001B508E" w:rsidRDefault="00234FC9" w:rsidP="008214F0">
      <w:pPr>
        <w:pStyle w:val="ECHRHeading4"/>
        <w:rPr>
          <w:lang w:val="pl-PL"/>
        </w:rPr>
      </w:pPr>
      <w:r w:rsidRPr="001B508E">
        <w:rPr>
          <w:lang w:val="pl-PL"/>
        </w:rPr>
        <w:t>(b) Zastosowanie powyższych zasad w przedmiotowej sprawie</w:t>
      </w:r>
    </w:p>
    <w:p w14:paraId="77502BB4" w14:textId="03F86F31"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116</w:t>
      </w:r>
      <w:r w:rsidRPr="001B508E">
        <w:rPr>
          <w:lang w:val="pl-PL"/>
        </w:rPr>
        <w:fldChar w:fldCharType="end"/>
      </w:r>
      <w:r w:rsidRPr="001B508E">
        <w:rPr>
          <w:lang w:val="pl-PL"/>
        </w:rPr>
        <w:t xml:space="preserve">. Władze, wydając decyzje w przedmiocie tymczasowego aresztowania </w:t>
      </w:r>
      <w:r w:rsidR="00E24848">
        <w:rPr>
          <w:lang w:val="pl-PL"/>
        </w:rPr>
        <w:t>w postepowaniach przeciwko skarżącemu</w:t>
      </w:r>
      <w:r w:rsidRPr="001B508E">
        <w:rPr>
          <w:lang w:val="pl-PL"/>
        </w:rPr>
        <w:t>, oprócz uzasadnionego podejrzenia wobec niego, oparły się na trzech głównych przesłankach, mianowicie</w:t>
      </w:r>
      <w:r w:rsidR="00E24848">
        <w:rPr>
          <w:lang w:val="pl-PL"/>
        </w:rPr>
        <w:t>:</w:t>
      </w:r>
      <w:r w:rsidRPr="001B508E">
        <w:rPr>
          <w:lang w:val="pl-PL"/>
        </w:rPr>
        <w:t xml:space="preserve"> (1) poważnym charakterze przestępstw, które mu zarzucono, (2) surowości grożącej mu kary, (3) konieczności zabezpieczenia prawidłowego toku postępowania ze względu na obawę, że skarżący może próbow</w:t>
      </w:r>
      <w:r w:rsidR="00E24848">
        <w:rPr>
          <w:lang w:val="pl-PL"/>
        </w:rPr>
        <w:t xml:space="preserve">ać ucieczki (zob. pkt. 11 oraz </w:t>
      </w:r>
      <w:r w:rsidR="00E24848" w:rsidRPr="00E258FF">
        <w:rPr>
          <w:lang w:val="pl-PL"/>
        </w:rPr>
        <w:t>1</w:t>
      </w:r>
      <w:r w:rsidRPr="00E258FF">
        <w:rPr>
          <w:lang w:val="pl-PL"/>
        </w:rPr>
        <w:t>4</w:t>
      </w:r>
      <w:r w:rsidRPr="00E24848">
        <w:rPr>
          <w:color w:val="FF0000"/>
          <w:lang w:val="pl-PL"/>
        </w:rPr>
        <w:t xml:space="preserve"> </w:t>
      </w:r>
      <w:r w:rsidRPr="001B508E">
        <w:rPr>
          <w:lang w:val="pl-PL"/>
        </w:rPr>
        <w:t>powyżej).</w:t>
      </w:r>
    </w:p>
    <w:p w14:paraId="59A980C4" w14:textId="7B42275F"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117</w:t>
      </w:r>
      <w:r w:rsidRPr="001B508E">
        <w:rPr>
          <w:lang w:val="pl-PL"/>
        </w:rPr>
        <w:fldChar w:fldCharType="end"/>
      </w:r>
      <w:r w:rsidRPr="001B508E">
        <w:rPr>
          <w:lang w:val="pl-PL"/>
        </w:rPr>
        <w:t>. Skarżącemu zarzucono</w:t>
      </w:r>
      <w:r w:rsidR="00E24848">
        <w:rPr>
          <w:lang w:val="pl-PL"/>
        </w:rPr>
        <w:t xml:space="preserve"> popełnienie</w:t>
      </w:r>
      <w:r w:rsidRPr="001B508E">
        <w:rPr>
          <w:lang w:val="pl-PL"/>
        </w:rPr>
        <w:t xml:space="preserve"> szereg</w:t>
      </w:r>
      <w:r w:rsidR="00E24848">
        <w:rPr>
          <w:lang w:val="pl-PL"/>
        </w:rPr>
        <w:t>u</w:t>
      </w:r>
      <w:r w:rsidRPr="001B508E">
        <w:rPr>
          <w:lang w:val="pl-PL"/>
        </w:rPr>
        <w:t xml:space="preserve"> </w:t>
      </w:r>
      <w:r w:rsidR="00E24848">
        <w:rPr>
          <w:lang w:val="pl-PL"/>
        </w:rPr>
        <w:t>przestępstw</w:t>
      </w:r>
      <w:r w:rsidRPr="001B508E">
        <w:rPr>
          <w:lang w:val="pl-PL"/>
        </w:rPr>
        <w:t xml:space="preserve"> w tym, między innymi,</w:t>
      </w:r>
      <w:r w:rsidR="00E24848">
        <w:rPr>
          <w:lang w:val="pl-PL"/>
        </w:rPr>
        <w:t xml:space="preserve"> kilku rozbojów</w:t>
      </w:r>
      <w:r w:rsidRPr="001B508E">
        <w:rPr>
          <w:lang w:val="pl-PL"/>
        </w:rPr>
        <w:t>, wymusze</w:t>
      </w:r>
      <w:r w:rsidR="00E24848">
        <w:rPr>
          <w:lang w:val="pl-PL"/>
        </w:rPr>
        <w:t>ń</w:t>
      </w:r>
      <w:r w:rsidRPr="001B508E">
        <w:rPr>
          <w:lang w:val="pl-PL"/>
        </w:rPr>
        <w:t xml:space="preserve">, </w:t>
      </w:r>
      <w:r w:rsidR="00E24848">
        <w:rPr>
          <w:lang w:val="pl-PL"/>
        </w:rPr>
        <w:t>wypowiadania</w:t>
      </w:r>
      <w:r w:rsidRPr="001B508E">
        <w:rPr>
          <w:lang w:val="pl-PL"/>
        </w:rPr>
        <w:t xml:space="preserve"> gróźb karalnych, </w:t>
      </w:r>
      <w:r w:rsidR="00E24848">
        <w:rPr>
          <w:lang w:val="pl-PL"/>
        </w:rPr>
        <w:t>spowodowania</w:t>
      </w:r>
      <w:r w:rsidRPr="001B508E">
        <w:rPr>
          <w:lang w:val="pl-PL"/>
        </w:rPr>
        <w:t xml:space="preserve"> uszkodzenia ciała oraz podłożenia ładunku wybuchowego </w:t>
      </w:r>
      <w:r w:rsidR="00E24848">
        <w:rPr>
          <w:lang w:val="pl-PL"/>
        </w:rPr>
        <w:t>w celu</w:t>
      </w:r>
      <w:r w:rsidRPr="001B508E">
        <w:rPr>
          <w:lang w:val="pl-PL"/>
        </w:rPr>
        <w:t xml:space="preserve"> uszkodzenia mienia, </w:t>
      </w:r>
      <w:r w:rsidR="00E24848">
        <w:rPr>
          <w:lang w:val="pl-PL"/>
        </w:rPr>
        <w:t>popełnionych</w:t>
      </w:r>
      <w:r w:rsidRPr="001B508E">
        <w:rPr>
          <w:lang w:val="pl-PL"/>
        </w:rPr>
        <w:t xml:space="preserve"> w zorganizowanej grupie przestępczej (zob. pkt 13 powyżej).</w:t>
      </w:r>
    </w:p>
    <w:p w14:paraId="56BDBA17" w14:textId="6F4745E5"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118</w:t>
      </w:r>
      <w:r w:rsidRPr="001B508E">
        <w:rPr>
          <w:lang w:val="pl-PL"/>
        </w:rPr>
        <w:fldChar w:fldCharType="end"/>
      </w:r>
      <w:r w:rsidRPr="001B508E">
        <w:rPr>
          <w:lang w:val="pl-PL"/>
        </w:rPr>
        <w:t xml:space="preserve">. Trybunał przyjmuje argument, że uzasadnione podejrzenie popełnienia przez skarżącego wyżej wymienionych poważnych przestępstw mogło początkowo stanowić podstawę jego tymczasowego aresztowania.  Ponadto, konieczność zabezpieczenia prawidłowego toku postępowania, </w:t>
      </w:r>
      <w:r w:rsidR="007C145A" w:rsidRPr="00E258FF">
        <w:rPr>
          <w:lang w:val="pl-PL"/>
        </w:rPr>
        <w:t xml:space="preserve">szczególnie gdy skarżący nie posiadał stałego miejsca zamieszkania w Polsce oraz ukrywał się przed policją, stanowiła </w:t>
      </w:r>
      <w:r w:rsidR="007C145A">
        <w:rPr>
          <w:lang w:val="pl-PL"/>
        </w:rPr>
        <w:t xml:space="preserve">początkowo uzasadnioną podstawę do </w:t>
      </w:r>
      <w:r w:rsidRPr="001B508E">
        <w:rPr>
          <w:lang w:val="pl-PL"/>
        </w:rPr>
        <w:t xml:space="preserve">stosowania wobec skarżącego tymczasowego aresztowania. </w:t>
      </w:r>
    </w:p>
    <w:p w14:paraId="4798EADB" w14:textId="23178BB3" w:rsidR="00234FC9" w:rsidRPr="001B508E" w:rsidRDefault="007C145A" w:rsidP="008214F0">
      <w:pPr>
        <w:pStyle w:val="ECHRPara"/>
        <w:rPr>
          <w:lang w:val="pl-PL"/>
        </w:rPr>
      </w:pPr>
      <w:r w:rsidRPr="00E258FF">
        <w:rPr>
          <w:lang w:val="pl-PL"/>
        </w:rPr>
        <w:t xml:space="preserve">119. </w:t>
      </w:r>
      <w:r w:rsidR="00234FC9" w:rsidRPr="00E258FF">
        <w:rPr>
          <w:lang w:val="pl-PL"/>
        </w:rPr>
        <w:fldChar w:fldCharType="begin"/>
      </w:r>
      <w:r w:rsidR="00234FC9" w:rsidRPr="00E258FF">
        <w:rPr>
          <w:lang w:val="pl-PL"/>
        </w:rPr>
        <w:instrText xml:space="preserve"> SEQ level0 \*arabic </w:instrText>
      </w:r>
      <w:r w:rsidR="00234FC9" w:rsidRPr="00E258FF">
        <w:rPr>
          <w:lang w:val="pl-PL"/>
        </w:rPr>
        <w:fldChar w:fldCharType="separate"/>
      </w:r>
      <w:r w:rsidR="003876CB">
        <w:rPr>
          <w:noProof/>
          <w:lang w:val="pl-PL"/>
        </w:rPr>
        <w:t>119</w:t>
      </w:r>
      <w:r w:rsidR="00234FC9" w:rsidRPr="00E258FF">
        <w:rPr>
          <w:lang w:val="pl-PL"/>
        </w:rPr>
        <w:fldChar w:fldCharType="end"/>
      </w:r>
      <w:r w:rsidR="00234FC9" w:rsidRPr="00E258FF">
        <w:rPr>
          <w:lang w:val="pl-PL"/>
        </w:rPr>
        <w:t xml:space="preserve"> Trybunał przypomina jednak, że, podczas gdy surowość grożące</w:t>
      </w:r>
      <w:r w:rsidRPr="00E258FF">
        <w:rPr>
          <w:lang w:val="pl-PL"/>
        </w:rPr>
        <w:t>j kary stanowi istotny element</w:t>
      </w:r>
      <w:r w:rsidR="00234FC9" w:rsidRPr="00E258FF">
        <w:rPr>
          <w:lang w:val="pl-PL"/>
        </w:rPr>
        <w:t xml:space="preserve"> </w:t>
      </w:r>
      <w:r w:rsidR="00234FC9" w:rsidRPr="001B508E">
        <w:rPr>
          <w:lang w:val="pl-PL"/>
        </w:rPr>
        <w:t xml:space="preserve">w ocenie ryzyka ucieczki lub ponownego popełnienia przestępstwa, waga zarzutów nie może uzasadniać sama w sobie długiego okresu stosowania tymczasowego aresztowania (zob. </w:t>
      </w:r>
      <w:r w:rsidR="00234FC9" w:rsidRPr="001B508E">
        <w:rPr>
          <w:i/>
          <w:lang w:val="pl-PL"/>
        </w:rPr>
        <w:t>Michta przeciwko Polsce</w:t>
      </w:r>
      <w:r w:rsidR="00234FC9" w:rsidRPr="001B508E">
        <w:rPr>
          <w:lang w:val="pl-PL"/>
        </w:rPr>
        <w:t>, skarga nr 13425/02, pkt 49, z dnia 4 maja 2006 roku).</w:t>
      </w:r>
    </w:p>
    <w:p w14:paraId="5076BFFB" w14:textId="4FC3DB0A" w:rsidR="00234FC9" w:rsidRPr="001B508E" w:rsidRDefault="00234FC9" w:rsidP="008214F0">
      <w:pPr>
        <w:pStyle w:val="ECHRPara"/>
        <w:rPr>
          <w:lang w:val="pl-PL"/>
        </w:rPr>
      </w:pPr>
      <w:r w:rsidRPr="001B508E">
        <w:rPr>
          <w:lang w:val="pl-PL"/>
        </w:rPr>
        <w:lastRenderedPageBreak/>
        <w:fldChar w:fldCharType="begin"/>
      </w:r>
      <w:r w:rsidRPr="001B508E">
        <w:rPr>
          <w:lang w:val="pl-PL"/>
        </w:rPr>
        <w:instrText xml:space="preserve"> SEQ level0 \*arabic </w:instrText>
      </w:r>
      <w:r w:rsidRPr="001B508E">
        <w:rPr>
          <w:lang w:val="pl-PL"/>
        </w:rPr>
        <w:fldChar w:fldCharType="separate"/>
      </w:r>
      <w:r w:rsidR="003876CB">
        <w:rPr>
          <w:noProof/>
          <w:lang w:val="pl-PL"/>
        </w:rPr>
        <w:t>120</w:t>
      </w:r>
      <w:r w:rsidRPr="001B508E">
        <w:rPr>
          <w:lang w:val="pl-PL"/>
        </w:rPr>
        <w:fldChar w:fldCharType="end"/>
      </w:r>
      <w:r w:rsidRPr="001B508E">
        <w:rPr>
          <w:lang w:val="pl-PL"/>
        </w:rPr>
        <w:t xml:space="preserve">. Trybunał przyjmuje również, że postępowanie obarczone było pewną </w:t>
      </w:r>
      <w:r w:rsidRPr="00E258FF">
        <w:rPr>
          <w:lang w:val="pl-PL"/>
        </w:rPr>
        <w:t xml:space="preserve">złożonością; w szczególności wiązało się ono z koniecznością uzyskania </w:t>
      </w:r>
      <w:r w:rsidR="007C145A" w:rsidRPr="00E258FF">
        <w:rPr>
          <w:lang w:val="pl-PL"/>
        </w:rPr>
        <w:t>opinii</w:t>
      </w:r>
      <w:r w:rsidRPr="00E258FF">
        <w:rPr>
          <w:lang w:val="pl-PL"/>
        </w:rPr>
        <w:t xml:space="preserve"> biegłych, co było czasochłonne, ponieważ, po pierwsze, biegłych nie było łatwo </w:t>
      </w:r>
      <w:r w:rsidR="007C145A" w:rsidRPr="00E258FF">
        <w:rPr>
          <w:lang w:val="pl-PL"/>
        </w:rPr>
        <w:t>znaleźć</w:t>
      </w:r>
      <w:r w:rsidRPr="00E258FF">
        <w:rPr>
          <w:lang w:val="pl-PL"/>
        </w:rPr>
        <w:t xml:space="preserve"> oraz, po drugie, ich ekspertyzy, po przedstawieniu okazały się niekompletne i musiały być uzupełnione. Skarżący wystąpił również do sądu </w:t>
      </w:r>
      <w:r w:rsidRPr="001B508E">
        <w:rPr>
          <w:lang w:val="pl-PL"/>
        </w:rPr>
        <w:t>o przesłuchanie świadków mieszkających za granicą (zob</w:t>
      </w:r>
      <w:r w:rsidRPr="00E258FF">
        <w:rPr>
          <w:lang w:val="pl-PL"/>
        </w:rPr>
        <w:t xml:space="preserve">. pkt 29 powyżej). Trybunał uważa jednak, że trudności związane z pozyskaniem dowodów od biegłych nie mogą usprawiedliwiać długiego okresu </w:t>
      </w:r>
      <w:r w:rsidR="007668E6" w:rsidRPr="00E258FF">
        <w:rPr>
          <w:lang w:val="pl-PL"/>
        </w:rPr>
        <w:t>tymczasowego aresztowania</w:t>
      </w:r>
      <w:r w:rsidRPr="00E258FF">
        <w:rPr>
          <w:lang w:val="pl-PL"/>
        </w:rPr>
        <w:t xml:space="preserve"> skarżącego. Trybunał nie widzi w okolicznościach niniejszej sprawy </w:t>
      </w:r>
      <w:r w:rsidR="007668E6" w:rsidRPr="00E258FF">
        <w:rPr>
          <w:lang w:val="pl-PL"/>
        </w:rPr>
        <w:t>podstaw do</w:t>
      </w:r>
      <w:r w:rsidRPr="00E258FF">
        <w:rPr>
          <w:lang w:val="pl-PL"/>
        </w:rPr>
        <w:t xml:space="preserve"> odstąpienia od zwyczajowej zasady, iż główna odpowiedzialność </w:t>
      </w:r>
      <w:r w:rsidRPr="001B508E">
        <w:rPr>
          <w:lang w:val="pl-PL"/>
        </w:rPr>
        <w:t xml:space="preserve">za opóźnienia wynikające z potrzeby uzyskania ekspertyz spoczywa na Państwie (zob., </w:t>
      </w:r>
      <w:r w:rsidRPr="001B508E">
        <w:rPr>
          <w:i/>
          <w:lang w:val="pl-PL"/>
        </w:rPr>
        <w:t xml:space="preserve">mutatis mutandis, </w:t>
      </w:r>
      <w:proofErr w:type="spellStart"/>
      <w:r w:rsidRPr="001B508E">
        <w:rPr>
          <w:i/>
          <w:lang w:val="pl-PL"/>
        </w:rPr>
        <w:t>Capuano</w:t>
      </w:r>
      <w:proofErr w:type="spellEnd"/>
      <w:r w:rsidRPr="001B508E">
        <w:rPr>
          <w:i/>
          <w:lang w:val="pl-PL"/>
        </w:rPr>
        <w:t xml:space="preserve"> przeciwko Włochom,</w:t>
      </w:r>
      <w:r w:rsidRPr="001B508E">
        <w:rPr>
          <w:lang w:val="pl-PL"/>
        </w:rPr>
        <w:t xml:space="preserve"> z dnia 25 czerwca 1987, pkt 32, Seria A nr 119; </w:t>
      </w:r>
      <w:r w:rsidRPr="001B508E">
        <w:rPr>
          <w:i/>
          <w:lang w:val="pl-PL"/>
        </w:rPr>
        <w:t>Musiał przeciwko Polsce</w:t>
      </w:r>
      <w:r w:rsidRPr="001B508E">
        <w:rPr>
          <w:lang w:val="pl-PL"/>
        </w:rPr>
        <w:t xml:space="preserve"> [Wielka Izba], skarga nr. 24557/94, pkt 46, ECHR 1999</w:t>
      </w:r>
      <w:r w:rsidRPr="001B508E">
        <w:rPr>
          <w:lang w:val="pl-PL"/>
        </w:rPr>
        <w:noBreakHyphen/>
        <w:t>II).</w:t>
      </w:r>
    </w:p>
    <w:p w14:paraId="76AFD3A7" w14:textId="4736791B" w:rsidR="00234FC9" w:rsidRPr="001B508E" w:rsidRDefault="00234FC9" w:rsidP="008214F0">
      <w:pPr>
        <w:pStyle w:val="ECHRPara"/>
        <w:rPr>
          <w:strike/>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121</w:t>
      </w:r>
      <w:r w:rsidRPr="001B508E">
        <w:rPr>
          <w:lang w:val="pl-PL"/>
        </w:rPr>
        <w:fldChar w:fldCharType="end"/>
      </w:r>
      <w:r w:rsidRPr="001B508E">
        <w:rPr>
          <w:lang w:val="pl-PL"/>
        </w:rPr>
        <w:t xml:space="preserve">. Trybunał zauważa również, że w </w:t>
      </w:r>
      <w:r w:rsidRPr="00E258FF">
        <w:rPr>
          <w:lang w:val="pl-PL"/>
        </w:rPr>
        <w:t xml:space="preserve">swoich decyzjach dotyczących przedłużenia </w:t>
      </w:r>
      <w:r w:rsidR="007668E6" w:rsidRPr="00E258FF">
        <w:rPr>
          <w:lang w:val="pl-PL"/>
        </w:rPr>
        <w:t>tymczasowego aresztowania</w:t>
      </w:r>
      <w:r w:rsidRPr="00E258FF">
        <w:rPr>
          <w:lang w:val="pl-PL"/>
        </w:rPr>
        <w:t xml:space="preserve"> skarżącego, sądy odwoływały się argumentów </w:t>
      </w:r>
      <w:r w:rsidRPr="001B508E">
        <w:rPr>
          <w:lang w:val="pl-PL"/>
        </w:rPr>
        <w:t>konwencyjnych skarżącego i utrzymywały, że łagodniejsze środki nie pozwoliłyby na zabezpieczenie właściwego toku postępowania (zob. pkt. 23 i 24 powyżej).</w:t>
      </w:r>
    </w:p>
    <w:p w14:paraId="525794D8" w14:textId="2DD43762" w:rsidR="00234FC9" w:rsidRPr="00EF4664"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122</w:t>
      </w:r>
      <w:r w:rsidRPr="001B508E">
        <w:rPr>
          <w:lang w:val="pl-PL"/>
        </w:rPr>
        <w:fldChar w:fldCharType="end"/>
      </w:r>
      <w:r w:rsidRPr="001B508E">
        <w:rPr>
          <w:lang w:val="pl-PL"/>
        </w:rPr>
        <w:t xml:space="preserve">. Podczas gdy </w:t>
      </w:r>
      <w:r w:rsidRPr="00E258FF">
        <w:rPr>
          <w:lang w:val="pl-PL"/>
        </w:rPr>
        <w:t xml:space="preserve">wszystkie wymienione powyżej czynniki </w:t>
      </w:r>
      <w:r w:rsidR="007668E6" w:rsidRPr="00E258FF">
        <w:rPr>
          <w:lang w:val="pl-PL"/>
        </w:rPr>
        <w:t xml:space="preserve">i podstawy, na których oparły się sady krajowe, </w:t>
      </w:r>
      <w:r w:rsidRPr="00E258FF">
        <w:rPr>
          <w:lang w:val="pl-PL"/>
        </w:rPr>
        <w:t xml:space="preserve">mogły uzasadniać nawet relatywnie długi okres tymczasowego aresztowania, nie dawały one sądom krajowym </w:t>
      </w:r>
      <w:r w:rsidRPr="003876CB">
        <w:rPr>
          <w:lang w:val="pl-PL"/>
        </w:rPr>
        <w:t>nieograniczonej władzy do przedłużania stosowan</w:t>
      </w:r>
      <w:r w:rsidR="0018502A" w:rsidRPr="003876CB">
        <w:rPr>
          <w:lang w:val="pl-PL"/>
        </w:rPr>
        <w:t>i</w:t>
      </w:r>
      <w:r w:rsidRPr="003876CB">
        <w:rPr>
          <w:lang w:val="pl-PL"/>
        </w:rPr>
        <w:t>a tego środka poza "rozsądny termin". Trybunał stwierdza ponadto, że całkowita długość postępowania przeciwko skarżą</w:t>
      </w:r>
      <w:r w:rsidRPr="00EF4664">
        <w:rPr>
          <w:lang w:val="pl-PL"/>
        </w:rPr>
        <w:t>cemu nie spełniła wymogów Artykułu 6 Konwencji (zob. pkt 135 poniżej). W związku z tym nie można uznać, ż</w:t>
      </w:r>
      <w:r w:rsidR="0018502A" w:rsidRPr="00EF4664">
        <w:rPr>
          <w:lang w:val="pl-PL"/>
        </w:rPr>
        <w:t>e</w:t>
      </w:r>
      <w:r w:rsidRPr="00EF4664">
        <w:rPr>
          <w:lang w:val="pl-PL"/>
        </w:rPr>
        <w:t xml:space="preserve"> postępowanie przeciwko skarżącemu zostało przeprowadzone z należytą starannością.</w:t>
      </w:r>
    </w:p>
    <w:p w14:paraId="04F600F5" w14:textId="564D1D4E" w:rsidR="00234FC9" w:rsidRPr="003876CB" w:rsidRDefault="00234FC9" w:rsidP="008214F0">
      <w:pPr>
        <w:pStyle w:val="ECHRPara"/>
        <w:rPr>
          <w:strike/>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123</w:t>
      </w:r>
      <w:r w:rsidRPr="001B508E">
        <w:rPr>
          <w:lang w:val="pl-PL"/>
        </w:rPr>
        <w:fldChar w:fldCharType="end"/>
      </w:r>
      <w:r w:rsidRPr="001B508E">
        <w:rPr>
          <w:lang w:val="pl-PL"/>
        </w:rPr>
        <w:t xml:space="preserve">.  Mając na uwadze powyższe oraz uwzględniając fakt, że sądy stały przed szczególnie trudnym zadaniem wydania rozstrzygnięcia w sprawie zorganizowanej grupy przestępczej, Trybunał stwierdza w </w:t>
      </w:r>
      <w:r w:rsidRPr="003876CB">
        <w:rPr>
          <w:lang w:val="pl-PL"/>
        </w:rPr>
        <w:t xml:space="preserve">konkluzji, że całkowity czas </w:t>
      </w:r>
      <w:r w:rsidR="0018502A" w:rsidRPr="003876CB">
        <w:rPr>
          <w:lang w:val="pl-PL"/>
        </w:rPr>
        <w:t>tymczasowego aresztowania</w:t>
      </w:r>
      <w:r w:rsidRPr="003876CB">
        <w:rPr>
          <w:lang w:val="pl-PL"/>
        </w:rPr>
        <w:t xml:space="preserve"> skarżącego był w niniejszej sprawie nadmierny.</w:t>
      </w:r>
    </w:p>
    <w:p w14:paraId="6C8F6C5A" w14:textId="77777777" w:rsidR="00234FC9" w:rsidRPr="003876CB" w:rsidRDefault="00234FC9" w:rsidP="008214F0">
      <w:pPr>
        <w:pStyle w:val="ECHRPara"/>
        <w:rPr>
          <w:lang w:val="pl-PL"/>
        </w:rPr>
      </w:pPr>
      <w:r w:rsidRPr="003876CB">
        <w:rPr>
          <w:lang w:val="pl-PL"/>
        </w:rPr>
        <w:fldChar w:fldCharType="begin"/>
      </w:r>
      <w:r w:rsidRPr="003876CB">
        <w:rPr>
          <w:lang w:val="pl-PL"/>
        </w:rPr>
        <w:instrText xml:space="preserve"> SEQ level0 \*arabic </w:instrText>
      </w:r>
      <w:r w:rsidRPr="003876CB">
        <w:rPr>
          <w:lang w:val="pl-PL"/>
        </w:rPr>
        <w:fldChar w:fldCharType="separate"/>
      </w:r>
      <w:r w:rsidR="003876CB" w:rsidRPr="003876CB">
        <w:rPr>
          <w:noProof/>
          <w:lang w:val="pl-PL"/>
        </w:rPr>
        <w:t>124</w:t>
      </w:r>
      <w:r w:rsidRPr="003876CB">
        <w:rPr>
          <w:lang w:val="pl-PL"/>
        </w:rPr>
        <w:fldChar w:fldCharType="end"/>
      </w:r>
      <w:r w:rsidRPr="003876CB">
        <w:rPr>
          <w:lang w:val="pl-PL"/>
        </w:rPr>
        <w:t>. Stwierdzono zatem naruszenie Artykułu 5 ust. 3 Konwencji.</w:t>
      </w:r>
    </w:p>
    <w:p w14:paraId="553C9F1F" w14:textId="5DA386BE" w:rsidR="00234FC9" w:rsidRPr="001B508E" w:rsidRDefault="00234FC9" w:rsidP="008214F0">
      <w:pPr>
        <w:pStyle w:val="ECHRHeading1"/>
        <w:rPr>
          <w:lang w:val="pl-PL"/>
        </w:rPr>
      </w:pPr>
      <w:r w:rsidRPr="003876CB">
        <w:rPr>
          <w:lang w:val="pl-PL"/>
        </w:rPr>
        <w:t xml:space="preserve">III. ZARZUT NARUSZENIA ARTYKUŁU 6 UST. 1 KONWENCJI W </w:t>
      </w:r>
      <w:r w:rsidRPr="001B508E">
        <w:rPr>
          <w:lang w:val="pl-PL"/>
        </w:rPr>
        <w:t xml:space="preserve">ZWIĄZKU Z </w:t>
      </w:r>
      <w:r w:rsidR="0018502A">
        <w:rPr>
          <w:lang w:val="pl-PL"/>
        </w:rPr>
        <w:t>DŁUGOŚCIĄ</w:t>
      </w:r>
      <w:r w:rsidRPr="001B508E">
        <w:rPr>
          <w:lang w:val="pl-PL"/>
        </w:rPr>
        <w:t xml:space="preserve"> POSTĘPOWANIA </w:t>
      </w:r>
    </w:p>
    <w:p w14:paraId="11B14DCB" w14:textId="349BB9FF"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125</w:t>
      </w:r>
      <w:r w:rsidRPr="001B508E">
        <w:rPr>
          <w:lang w:val="pl-PL"/>
        </w:rPr>
        <w:fldChar w:fldCharType="end"/>
      </w:r>
      <w:r w:rsidRPr="001B508E">
        <w:rPr>
          <w:lang w:val="pl-PL"/>
        </w:rPr>
        <w:t xml:space="preserve">. Skarżący podniósł następnie zarzut na podstawie Artykułu 6 ust. 1 Konwencji, że </w:t>
      </w:r>
      <w:r w:rsidR="0018502A" w:rsidRPr="00EF4664">
        <w:rPr>
          <w:lang w:val="pl-PL"/>
        </w:rPr>
        <w:t>długość</w:t>
      </w:r>
      <w:r w:rsidRPr="001B508E">
        <w:rPr>
          <w:lang w:val="pl-PL"/>
        </w:rPr>
        <w:t xml:space="preserve"> postępowania karnego przeciwko niemu przekroczył</w:t>
      </w:r>
      <w:r w:rsidR="0018502A">
        <w:rPr>
          <w:lang w:val="pl-PL"/>
        </w:rPr>
        <w:t>a</w:t>
      </w:r>
      <w:r w:rsidRPr="001B508E">
        <w:rPr>
          <w:lang w:val="pl-PL"/>
        </w:rPr>
        <w:t xml:space="preserve"> “rozsądny termin” w rozumieniu tego postanowienia.</w:t>
      </w:r>
    </w:p>
    <w:p w14:paraId="5A021CF1" w14:textId="77777777" w:rsidR="00234FC9" w:rsidRPr="001B508E" w:rsidRDefault="00234FC9" w:rsidP="008214F0">
      <w:pPr>
        <w:pStyle w:val="ECHRPara"/>
        <w:rPr>
          <w:lang w:val="pl-PL"/>
        </w:rPr>
      </w:pPr>
      <w:r w:rsidRPr="001B508E">
        <w:rPr>
          <w:lang w:val="pl-PL"/>
        </w:rPr>
        <w:t>Artykuł 6 ust. 1, w istotnym dla sprawy zakresie, stanowi:</w:t>
      </w:r>
    </w:p>
    <w:p w14:paraId="1E1D2C3C" w14:textId="77777777" w:rsidR="00234FC9" w:rsidRPr="001B508E" w:rsidRDefault="00234FC9" w:rsidP="008214F0">
      <w:pPr>
        <w:pStyle w:val="ECHRParaQuote"/>
      </w:pPr>
      <w:r w:rsidRPr="001B508E">
        <w:lastRenderedPageBreak/>
        <w:t>“Przy rozstrzyganiu o zasadności ... każdego oskarżenia w wytoczonej przeciwko niemu sprawie karnej, każdy ma prawo do  ... rozpatrzenia jego sprawy w rozsądnym terminie  ... przez sąd ...”</w:t>
      </w:r>
    </w:p>
    <w:p w14:paraId="6036B5BD" w14:textId="77777777" w:rsidR="00234FC9" w:rsidRPr="001B508E" w:rsidRDefault="00234FC9" w:rsidP="008214F0">
      <w:pPr>
        <w:pStyle w:val="ECHRHeading2"/>
        <w:rPr>
          <w:lang w:val="pl-PL"/>
        </w:rPr>
      </w:pPr>
      <w:r w:rsidRPr="001B508E">
        <w:rPr>
          <w:lang w:val="pl-PL"/>
        </w:rPr>
        <w:t>A. Rozpatrywany okres</w:t>
      </w:r>
    </w:p>
    <w:p w14:paraId="2DE6F97D" w14:textId="7A5B433A" w:rsidR="00234FC9" w:rsidRPr="00EF4664"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126</w:t>
      </w:r>
      <w:r w:rsidRPr="001B508E">
        <w:rPr>
          <w:lang w:val="pl-PL"/>
        </w:rPr>
        <w:fldChar w:fldCharType="end"/>
      </w:r>
      <w:r w:rsidRPr="001B508E">
        <w:rPr>
          <w:lang w:val="pl-PL"/>
        </w:rPr>
        <w:t xml:space="preserve">. Trybunał zauważa, że </w:t>
      </w:r>
      <w:r w:rsidR="0018502A">
        <w:rPr>
          <w:lang w:val="pl-PL"/>
        </w:rPr>
        <w:t xml:space="preserve">bramy pod </w:t>
      </w:r>
      <w:r w:rsidR="0018502A" w:rsidRPr="00EF4664">
        <w:rPr>
          <w:lang w:val="pl-PL"/>
        </w:rPr>
        <w:t>uwagę odnośnie Polski</w:t>
      </w:r>
      <w:r w:rsidRPr="00EF4664">
        <w:rPr>
          <w:lang w:val="pl-PL"/>
        </w:rPr>
        <w:t xml:space="preserve"> okres rozpoczął się</w:t>
      </w:r>
      <w:r w:rsidR="0018502A" w:rsidRPr="00EF4664">
        <w:rPr>
          <w:lang w:val="pl-PL"/>
        </w:rPr>
        <w:t xml:space="preserve"> </w:t>
      </w:r>
      <w:r w:rsidRPr="00EF4664">
        <w:rPr>
          <w:lang w:val="pl-PL"/>
        </w:rPr>
        <w:t>w dniu 21 grudnia 2006 roku, tj. w dniu przekaz</w:t>
      </w:r>
      <w:r w:rsidR="0018502A" w:rsidRPr="00EF4664">
        <w:rPr>
          <w:lang w:val="pl-PL"/>
        </w:rPr>
        <w:t>ania skarżącego władzom polskim</w:t>
      </w:r>
      <w:r w:rsidRPr="00EF4664">
        <w:rPr>
          <w:lang w:val="pl-PL"/>
        </w:rPr>
        <w:t xml:space="preserve"> i nie dobiegł jeszcze końca.</w:t>
      </w:r>
    </w:p>
    <w:p w14:paraId="10FE047C" w14:textId="3AA90ABF" w:rsidR="00234FC9" w:rsidRPr="00EF4664" w:rsidRDefault="00234FC9" w:rsidP="008214F0">
      <w:pPr>
        <w:pStyle w:val="ECHRPara"/>
        <w:rPr>
          <w:lang w:val="pl-PL"/>
        </w:rPr>
      </w:pPr>
      <w:r w:rsidRPr="00EF4664">
        <w:rPr>
          <w:lang w:val="pl-PL"/>
        </w:rPr>
        <w:fldChar w:fldCharType="begin"/>
      </w:r>
      <w:r w:rsidRPr="00EF4664">
        <w:rPr>
          <w:lang w:val="pl-PL"/>
        </w:rPr>
        <w:instrText xml:space="preserve"> SEQ level0 \*arabic </w:instrText>
      </w:r>
      <w:r w:rsidRPr="00EF4664">
        <w:rPr>
          <w:lang w:val="pl-PL"/>
        </w:rPr>
        <w:fldChar w:fldCharType="separate"/>
      </w:r>
      <w:r w:rsidR="003876CB">
        <w:rPr>
          <w:noProof/>
          <w:lang w:val="pl-PL"/>
        </w:rPr>
        <w:t>127</w:t>
      </w:r>
      <w:r w:rsidRPr="00EF4664">
        <w:rPr>
          <w:lang w:val="pl-PL"/>
        </w:rPr>
        <w:fldChar w:fldCharType="end"/>
      </w:r>
      <w:r w:rsidRPr="00EF4664">
        <w:rPr>
          <w:lang w:val="pl-PL"/>
        </w:rPr>
        <w:t xml:space="preserve">. Tym samym rzeczony okres trwa jak dotąd </w:t>
      </w:r>
      <w:r w:rsidR="0018502A" w:rsidRPr="00EF4664">
        <w:rPr>
          <w:lang w:val="pl-PL"/>
        </w:rPr>
        <w:t>osiem lat i osiem</w:t>
      </w:r>
      <w:r w:rsidRPr="00EF4664">
        <w:rPr>
          <w:lang w:val="pl-PL"/>
        </w:rPr>
        <w:t xml:space="preserve"> miesięcy </w:t>
      </w:r>
      <w:r w:rsidR="0018502A" w:rsidRPr="00EF4664">
        <w:rPr>
          <w:lang w:val="pl-PL"/>
        </w:rPr>
        <w:t>w dwóch instancjach</w:t>
      </w:r>
      <w:r w:rsidRPr="00EF4664">
        <w:rPr>
          <w:lang w:val="pl-PL"/>
        </w:rPr>
        <w:t>.</w:t>
      </w:r>
    </w:p>
    <w:p w14:paraId="7BFEB4E0" w14:textId="77777777" w:rsidR="00234FC9" w:rsidRPr="001B508E" w:rsidRDefault="00234FC9" w:rsidP="008214F0">
      <w:pPr>
        <w:pStyle w:val="ECHRHeading2"/>
        <w:rPr>
          <w:lang w:val="pl-PL"/>
        </w:rPr>
      </w:pPr>
      <w:r w:rsidRPr="001B508E">
        <w:rPr>
          <w:lang w:val="pl-PL"/>
        </w:rPr>
        <w:t>B. Dopuszczalność</w:t>
      </w:r>
    </w:p>
    <w:p w14:paraId="756DFF8A" w14:textId="1A8E5A13" w:rsidR="00234FC9" w:rsidRPr="001B508E" w:rsidRDefault="00234FC9" w:rsidP="0018502A">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128</w:t>
      </w:r>
      <w:r w:rsidRPr="001B508E">
        <w:rPr>
          <w:lang w:val="pl-PL"/>
        </w:rPr>
        <w:fldChar w:fldCharType="end"/>
      </w:r>
      <w:r w:rsidR="0018502A">
        <w:rPr>
          <w:lang w:val="pl-PL"/>
        </w:rPr>
        <w:t>.</w:t>
      </w:r>
      <w:r w:rsidRPr="001B508E">
        <w:rPr>
          <w:lang w:val="pl-PL"/>
        </w:rPr>
        <w:t xml:space="preserve"> Rząd nie zakwestionował dopuszczalności przedmiotowej skargi.</w:t>
      </w:r>
    </w:p>
    <w:p w14:paraId="17F14F3D" w14:textId="62224C2A" w:rsidR="00234FC9" w:rsidRPr="001B508E" w:rsidRDefault="00234FC9" w:rsidP="0018502A">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129</w:t>
      </w:r>
      <w:r w:rsidRPr="001B508E">
        <w:rPr>
          <w:lang w:val="pl-PL"/>
        </w:rPr>
        <w:fldChar w:fldCharType="end"/>
      </w:r>
      <w:r w:rsidR="0018502A">
        <w:rPr>
          <w:lang w:val="pl-PL"/>
        </w:rPr>
        <w:t>.</w:t>
      </w:r>
      <w:r w:rsidRPr="001B508E">
        <w:rPr>
          <w:lang w:val="pl-PL"/>
        </w:rPr>
        <w:t xml:space="preserve"> Trybunał stwierdza, że skarga nie jest oczywiście bezzasadna w rozumieniu Artykułu 35 ust. 3 </w:t>
      </w:r>
      <w:r w:rsidR="0018502A">
        <w:rPr>
          <w:lang w:val="pl-PL"/>
        </w:rPr>
        <w:t xml:space="preserve">(a) </w:t>
      </w:r>
      <w:r w:rsidRPr="001B508E">
        <w:rPr>
          <w:lang w:val="pl-PL"/>
        </w:rPr>
        <w:t>Konwencji. Trybunał stwierdza ponadto, że nie jest niedopuszczalna z jakichkolwiek innych przyczyn. Musi zatem zostać uznana za dopuszczalną.</w:t>
      </w:r>
    </w:p>
    <w:p w14:paraId="1F79A59D" w14:textId="77777777" w:rsidR="00234FC9" w:rsidRPr="001B508E" w:rsidRDefault="00234FC9" w:rsidP="008214F0">
      <w:pPr>
        <w:pStyle w:val="ECHRHeading2"/>
        <w:rPr>
          <w:lang w:val="pl-PL"/>
        </w:rPr>
      </w:pPr>
      <w:r w:rsidRPr="001B508E">
        <w:rPr>
          <w:lang w:val="pl-PL"/>
        </w:rPr>
        <w:t>C. Meritum skargi</w:t>
      </w:r>
    </w:p>
    <w:p w14:paraId="18D33255" w14:textId="77777777" w:rsidR="00234FC9" w:rsidRPr="001B508E" w:rsidRDefault="00234FC9" w:rsidP="008214F0">
      <w:pPr>
        <w:pStyle w:val="ECHRHeading3"/>
        <w:rPr>
          <w:lang w:val="pl-PL"/>
        </w:rPr>
      </w:pPr>
      <w:r w:rsidRPr="001B508E">
        <w:rPr>
          <w:lang w:val="pl-PL"/>
        </w:rPr>
        <w:t>1. Stanowisko stron</w:t>
      </w:r>
    </w:p>
    <w:p w14:paraId="793EA67D" w14:textId="77777777" w:rsidR="00234FC9" w:rsidRPr="0018502A" w:rsidRDefault="00234FC9" w:rsidP="008214F0">
      <w:pPr>
        <w:pStyle w:val="ECHRPara"/>
        <w:rPr>
          <w:lang w:val="pl-PL"/>
        </w:rPr>
      </w:pPr>
      <w:r w:rsidRPr="0018502A">
        <w:rPr>
          <w:lang w:val="pl-PL"/>
        </w:rPr>
        <w:fldChar w:fldCharType="begin"/>
      </w:r>
      <w:r w:rsidRPr="0018502A">
        <w:rPr>
          <w:lang w:val="pl-PL"/>
        </w:rPr>
        <w:instrText xml:space="preserve"> SEQ level0 \*arabic </w:instrText>
      </w:r>
      <w:r w:rsidRPr="0018502A">
        <w:rPr>
          <w:lang w:val="pl-PL"/>
        </w:rPr>
        <w:fldChar w:fldCharType="separate"/>
      </w:r>
      <w:r w:rsidR="003876CB">
        <w:rPr>
          <w:noProof/>
          <w:lang w:val="pl-PL"/>
        </w:rPr>
        <w:t>130</w:t>
      </w:r>
      <w:r w:rsidRPr="0018502A">
        <w:rPr>
          <w:lang w:val="pl-PL"/>
        </w:rPr>
        <w:fldChar w:fldCharType="end"/>
      </w:r>
      <w:r w:rsidRPr="0018502A">
        <w:rPr>
          <w:lang w:val="pl-PL"/>
        </w:rPr>
        <w:t xml:space="preserve">. Rząd powstrzymał się od przedstawienia uwag odnośnie meritum skargi. </w:t>
      </w:r>
    </w:p>
    <w:p w14:paraId="738611C7" w14:textId="0DE165F4"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131</w:t>
      </w:r>
      <w:r w:rsidRPr="001B508E">
        <w:rPr>
          <w:lang w:val="pl-PL"/>
        </w:rPr>
        <w:fldChar w:fldCharType="end"/>
      </w:r>
      <w:r w:rsidRPr="001B508E">
        <w:rPr>
          <w:lang w:val="pl-PL"/>
        </w:rPr>
        <w:t xml:space="preserve">. Skarżący utrzymywał, że długość </w:t>
      </w:r>
      <w:r w:rsidR="00BE21EF" w:rsidRPr="00EF4664">
        <w:rPr>
          <w:lang w:val="pl-PL"/>
        </w:rPr>
        <w:t>postępowania</w:t>
      </w:r>
      <w:r w:rsidR="00EF4664" w:rsidRPr="00EF4664">
        <w:rPr>
          <w:lang w:val="pl-PL"/>
        </w:rPr>
        <w:t xml:space="preserve"> </w:t>
      </w:r>
      <w:r w:rsidR="00BE21EF">
        <w:rPr>
          <w:lang w:val="pl-PL"/>
        </w:rPr>
        <w:t>była nadmierna.</w:t>
      </w:r>
    </w:p>
    <w:p w14:paraId="7964EF9B" w14:textId="77777777" w:rsidR="00234FC9" w:rsidRPr="001B508E" w:rsidRDefault="00234FC9" w:rsidP="008214F0">
      <w:pPr>
        <w:pStyle w:val="ECHRHeading3"/>
        <w:rPr>
          <w:lang w:val="pl-PL"/>
        </w:rPr>
      </w:pPr>
      <w:r w:rsidRPr="001B508E">
        <w:rPr>
          <w:lang w:val="pl-PL"/>
        </w:rPr>
        <w:t>2. Ocena Trybunału</w:t>
      </w:r>
    </w:p>
    <w:p w14:paraId="3049184D" w14:textId="0125AD6F"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132</w:t>
      </w:r>
      <w:r w:rsidRPr="001B508E">
        <w:rPr>
          <w:lang w:val="pl-PL"/>
        </w:rPr>
        <w:fldChar w:fldCharType="end"/>
      </w:r>
      <w:r w:rsidRPr="001B508E">
        <w:rPr>
          <w:lang w:val="pl-PL"/>
        </w:rPr>
        <w:t>. Trybunał przypomina, że zasadność długości postępowania należy oceniać w świetle konkretnych okoliczności sprawy i w odniesieniu do następujących kryteriów</w:t>
      </w:r>
      <w:r w:rsidRPr="00EF4664">
        <w:rPr>
          <w:lang w:val="pl-PL"/>
        </w:rPr>
        <w:t xml:space="preserve">: </w:t>
      </w:r>
      <w:r w:rsidR="00BE21EF" w:rsidRPr="00EF4664">
        <w:rPr>
          <w:lang w:val="pl-PL"/>
        </w:rPr>
        <w:t>złożoność</w:t>
      </w:r>
      <w:r w:rsidRPr="00EF4664">
        <w:rPr>
          <w:lang w:val="pl-PL"/>
        </w:rPr>
        <w:t xml:space="preserve"> sprawy, </w:t>
      </w:r>
      <w:r w:rsidRPr="001B508E">
        <w:rPr>
          <w:lang w:val="pl-PL"/>
        </w:rPr>
        <w:t xml:space="preserve">postępowanie skarżącego i odpowiednich władz oraz konsekwencje postępowania dla skarżącego  (zob., m. in., </w:t>
      </w:r>
      <w:proofErr w:type="spellStart"/>
      <w:r w:rsidRPr="001B508E">
        <w:rPr>
          <w:i/>
          <w:lang w:val="pl-PL"/>
        </w:rPr>
        <w:t>Frydlender</w:t>
      </w:r>
      <w:proofErr w:type="spellEnd"/>
      <w:r w:rsidRPr="001B508E">
        <w:rPr>
          <w:i/>
          <w:lang w:val="pl-PL"/>
        </w:rPr>
        <w:t xml:space="preserve"> przeciwko Francji [Wielka Izba], skarga nr 30979/96, pkt 43, ECHR 2000-VII).</w:t>
      </w:r>
    </w:p>
    <w:p w14:paraId="7F3619B6" w14:textId="4FA3D155" w:rsidR="00234FC9" w:rsidRPr="001B508E" w:rsidRDefault="00234FC9" w:rsidP="008214F0">
      <w:pPr>
        <w:pStyle w:val="ECHRPara"/>
        <w:keepNext/>
        <w:keepLines/>
        <w:rPr>
          <w:i/>
          <w:lang w:val="pl-PL"/>
        </w:rPr>
      </w:pPr>
      <w:r w:rsidRPr="001B508E">
        <w:rPr>
          <w:lang w:val="pl-PL"/>
        </w:rPr>
        <w:lastRenderedPageBreak/>
        <w:fldChar w:fldCharType="begin"/>
      </w:r>
      <w:r w:rsidRPr="001B508E">
        <w:rPr>
          <w:lang w:val="pl-PL"/>
        </w:rPr>
        <w:instrText xml:space="preserve"> SEQ level0 \*arabic </w:instrText>
      </w:r>
      <w:r w:rsidRPr="001B508E">
        <w:rPr>
          <w:lang w:val="pl-PL"/>
        </w:rPr>
        <w:fldChar w:fldCharType="separate"/>
      </w:r>
      <w:r w:rsidR="003876CB">
        <w:rPr>
          <w:noProof/>
          <w:lang w:val="pl-PL"/>
        </w:rPr>
        <w:t>133</w:t>
      </w:r>
      <w:r w:rsidRPr="001B508E">
        <w:rPr>
          <w:lang w:val="pl-PL"/>
        </w:rPr>
        <w:fldChar w:fldCharType="end"/>
      </w:r>
      <w:r w:rsidRPr="001B508E">
        <w:rPr>
          <w:lang w:val="pl-PL"/>
        </w:rPr>
        <w:t xml:space="preserve">. Trybunał zauważa, że </w:t>
      </w:r>
      <w:r w:rsidRPr="00EF4664">
        <w:rPr>
          <w:lang w:val="pl-PL"/>
        </w:rPr>
        <w:t xml:space="preserve">podczas </w:t>
      </w:r>
      <w:r w:rsidR="00BE21EF" w:rsidRPr="00EF4664">
        <w:rPr>
          <w:lang w:val="pl-PL"/>
        </w:rPr>
        <w:t xml:space="preserve">rozpoznawania </w:t>
      </w:r>
      <w:r w:rsidRPr="00EF4664">
        <w:rPr>
          <w:lang w:val="pl-PL"/>
        </w:rPr>
        <w:t>środka prawnego przeciw</w:t>
      </w:r>
      <w:r w:rsidR="00BE21EF" w:rsidRPr="00EF4664">
        <w:rPr>
          <w:lang w:val="pl-PL"/>
        </w:rPr>
        <w:t xml:space="preserve"> przewlekłości postępowania sąd krajowy</w:t>
      </w:r>
      <w:r w:rsidRPr="00EF4664">
        <w:rPr>
          <w:lang w:val="pl-PL"/>
        </w:rPr>
        <w:t xml:space="preserve"> </w:t>
      </w:r>
      <w:r w:rsidR="00BE21EF" w:rsidRPr="00EF4664">
        <w:rPr>
          <w:lang w:val="pl-PL"/>
        </w:rPr>
        <w:t>zidentyfikował</w:t>
      </w:r>
      <w:r w:rsidRPr="00EF4664">
        <w:rPr>
          <w:lang w:val="pl-PL"/>
        </w:rPr>
        <w:t xml:space="preserve"> szereg czynników, które przyczyniły się do długości postępowania, w szczególności była to złożoność sprawy, trudności z uzyskaniem ekspertyz od biegłych i trudności z przesłuchaniem świadków mieszkających za granicą (zob. pkt 29 powyżej). </w:t>
      </w:r>
      <w:r w:rsidR="00BE21EF" w:rsidRPr="00EF4664">
        <w:rPr>
          <w:lang w:val="pl-PL"/>
        </w:rPr>
        <w:t>Podczas rozpoznawania</w:t>
      </w:r>
      <w:r w:rsidRPr="00EF4664">
        <w:rPr>
          <w:lang w:val="pl-PL"/>
        </w:rPr>
        <w:t xml:space="preserve"> środka </w:t>
      </w:r>
      <w:r w:rsidR="00BE21EF" w:rsidRPr="00EF4664">
        <w:rPr>
          <w:lang w:val="pl-PL"/>
        </w:rPr>
        <w:t>krajowego</w:t>
      </w:r>
      <w:r w:rsidRPr="00EF4664">
        <w:rPr>
          <w:lang w:val="pl-PL"/>
        </w:rPr>
        <w:t xml:space="preserve"> sąd krajowy skupił się na pytaniu, czy sąd pierwszej instancji działał z należytą starannością w ramach istniejących ram prawnych, </w:t>
      </w:r>
      <w:r w:rsidR="00BE21EF" w:rsidRPr="00EF4664">
        <w:rPr>
          <w:lang w:val="pl-PL"/>
        </w:rPr>
        <w:t>podczas gdy</w:t>
      </w:r>
      <w:r w:rsidRPr="00EF4664">
        <w:rPr>
          <w:lang w:val="pl-PL"/>
        </w:rPr>
        <w:t xml:space="preserve"> opóźnienia w postępowaniu mogły wynikać </w:t>
      </w:r>
      <w:r w:rsidR="00BE21EF" w:rsidRPr="00EF4664">
        <w:rPr>
          <w:lang w:val="pl-PL"/>
        </w:rPr>
        <w:t xml:space="preserve">również </w:t>
      </w:r>
      <w:r w:rsidRPr="00EF4664">
        <w:rPr>
          <w:lang w:val="pl-PL"/>
        </w:rPr>
        <w:t>z innych czynników</w:t>
      </w:r>
      <w:r w:rsidRPr="001B508E">
        <w:rPr>
          <w:lang w:val="pl-PL"/>
        </w:rPr>
        <w:t xml:space="preserve">, takich jak problematyczne przepisy prawne, za które ostateczna odpowiedzialność spoczywa na pozwanym państwie (zob. </w:t>
      </w:r>
      <w:r w:rsidR="00BE21EF">
        <w:rPr>
          <w:i/>
          <w:lang w:val="pl-PL"/>
        </w:rPr>
        <w:t xml:space="preserve">Rutkowski i in. </w:t>
      </w:r>
      <w:r w:rsidRPr="001B508E">
        <w:rPr>
          <w:i/>
          <w:lang w:val="pl-PL"/>
        </w:rPr>
        <w:t>przeciwko Polsce</w:t>
      </w:r>
      <w:r w:rsidRPr="001B508E">
        <w:rPr>
          <w:lang w:val="pl-PL"/>
        </w:rPr>
        <w:t xml:space="preserve">, nr. 72287/10, 13927/11 i 46187/11, pkt 184, z dnia 7 </w:t>
      </w:r>
      <w:r w:rsidR="007B0078" w:rsidRPr="00EF4664">
        <w:rPr>
          <w:lang w:val="pl-PL"/>
        </w:rPr>
        <w:t>lipca</w:t>
      </w:r>
      <w:r w:rsidRPr="00EF4664">
        <w:rPr>
          <w:lang w:val="pl-PL"/>
        </w:rPr>
        <w:t xml:space="preserve"> </w:t>
      </w:r>
      <w:r w:rsidRPr="001B508E">
        <w:rPr>
          <w:lang w:val="pl-PL"/>
        </w:rPr>
        <w:t xml:space="preserve">2015 </w:t>
      </w:r>
      <w:r w:rsidRPr="00EF4664">
        <w:rPr>
          <w:lang w:val="pl-PL"/>
        </w:rPr>
        <w:t>r</w:t>
      </w:r>
      <w:r w:rsidR="007B0078" w:rsidRPr="00EF4664">
        <w:rPr>
          <w:lang w:val="pl-PL"/>
        </w:rPr>
        <w:t>oku</w:t>
      </w:r>
      <w:r w:rsidRPr="001B508E">
        <w:rPr>
          <w:lang w:val="pl-PL"/>
        </w:rPr>
        <w:t>).</w:t>
      </w:r>
    </w:p>
    <w:p w14:paraId="59854FDB" w14:textId="470C5823" w:rsidR="00234FC9" w:rsidRPr="00EF4664"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134</w:t>
      </w:r>
      <w:r w:rsidRPr="001B508E">
        <w:rPr>
          <w:lang w:val="pl-PL"/>
        </w:rPr>
        <w:fldChar w:fldCharType="end"/>
      </w:r>
      <w:r w:rsidRPr="001B508E">
        <w:rPr>
          <w:lang w:val="pl-PL"/>
        </w:rPr>
        <w:t xml:space="preserve">. Po zbadaniu całości przedstawionych </w:t>
      </w:r>
      <w:r w:rsidRPr="00EF4664">
        <w:rPr>
          <w:lang w:val="pl-PL"/>
        </w:rPr>
        <w:t>materiałów i wziąwszy pod u</w:t>
      </w:r>
      <w:r w:rsidR="007B0078" w:rsidRPr="00EF4664">
        <w:rPr>
          <w:lang w:val="pl-PL"/>
        </w:rPr>
        <w:t>wagę wszystkie istotne czynniki</w:t>
      </w:r>
      <w:r w:rsidRPr="00EF4664">
        <w:rPr>
          <w:lang w:val="pl-PL"/>
        </w:rPr>
        <w:t xml:space="preserve"> Trybunał stwierdza, że w niniejszym przypadku długość postępowania była nadmierna i nie </w:t>
      </w:r>
      <w:r w:rsidR="007B0078" w:rsidRPr="00EF4664">
        <w:rPr>
          <w:lang w:val="pl-PL"/>
        </w:rPr>
        <w:t>mieściła się w granicach</w:t>
      </w:r>
      <w:r w:rsidRPr="00EF4664">
        <w:rPr>
          <w:lang w:val="pl-PL"/>
        </w:rPr>
        <w:t xml:space="preserve"> "rozsądnego terminu". Trybunał zauważa również, że Rząd nie przedstawił żadnych faktów lub argumentów pozwalających wyciągnąć w przedmiotowej sprawie inne wnioski; wręcz przeciwnie, Rząd wstrzymał się od zajęcia stanowiska co do meritum niniejszej skargi (zob. pkt. 130 powyżej).</w:t>
      </w:r>
    </w:p>
    <w:p w14:paraId="6A555E65"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135</w:t>
      </w:r>
      <w:r w:rsidRPr="001B508E">
        <w:rPr>
          <w:lang w:val="pl-PL"/>
        </w:rPr>
        <w:fldChar w:fldCharType="end"/>
      </w:r>
      <w:r w:rsidRPr="001B508E">
        <w:rPr>
          <w:lang w:val="pl-PL"/>
        </w:rPr>
        <w:t>. Doszło zatem do naruszenia Artykułu 6 ust. 1 Konwencji.</w:t>
      </w:r>
    </w:p>
    <w:p w14:paraId="681340B9" w14:textId="77777777" w:rsidR="00234FC9" w:rsidRPr="001B508E" w:rsidRDefault="00234FC9" w:rsidP="008214F0">
      <w:pPr>
        <w:pStyle w:val="ECHRHeading1"/>
        <w:rPr>
          <w:lang w:val="pl-PL"/>
        </w:rPr>
      </w:pPr>
      <w:r w:rsidRPr="001B508E">
        <w:rPr>
          <w:lang w:val="pl-PL"/>
        </w:rPr>
        <w:t>IV. ZARZUT NARUSZENIA ARTYKUŁU 8 KONWENCJI W ZWIĄZKU Z CENZURĄ KORESPONDENCJI SKARŻĄCEGO</w:t>
      </w:r>
    </w:p>
    <w:p w14:paraId="45A6F8F6"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136</w:t>
      </w:r>
      <w:r w:rsidRPr="001B508E">
        <w:rPr>
          <w:lang w:val="pl-PL"/>
        </w:rPr>
        <w:fldChar w:fldCharType="end"/>
      </w:r>
      <w:r w:rsidRPr="001B508E">
        <w:rPr>
          <w:lang w:val="pl-PL"/>
        </w:rPr>
        <w:t>. Skarżący sformułował następnie zarzut naruszenia Artykułu 8 Konwencji w związku z cenzurą jego korespondencji ze swoimi siostrami.</w:t>
      </w:r>
    </w:p>
    <w:p w14:paraId="31A9C398"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137</w:t>
      </w:r>
      <w:r w:rsidRPr="001B508E">
        <w:rPr>
          <w:lang w:val="pl-PL"/>
        </w:rPr>
        <w:fldChar w:fldCharType="end"/>
      </w:r>
      <w:r w:rsidRPr="001B508E">
        <w:rPr>
          <w:lang w:val="pl-PL"/>
        </w:rPr>
        <w:t>. Artykuł 8, w istotnym dla sprawy zakresie, stanowi:</w:t>
      </w:r>
    </w:p>
    <w:p w14:paraId="58C169F8" w14:textId="77777777" w:rsidR="00234FC9" w:rsidRPr="001B508E" w:rsidRDefault="00234FC9" w:rsidP="008214F0">
      <w:pPr>
        <w:pStyle w:val="ECHRParaQuote"/>
      </w:pPr>
      <w:r w:rsidRPr="001B508E">
        <w:t xml:space="preserve">“1.  Każdy ma prawo do poszanowania … swojej korespondencji. </w:t>
      </w:r>
    </w:p>
    <w:p w14:paraId="0F0B4170" w14:textId="77777777" w:rsidR="00234FC9" w:rsidRPr="001B508E" w:rsidRDefault="00234FC9" w:rsidP="008214F0">
      <w:pPr>
        <w:pStyle w:val="ECHRParaQuote"/>
      </w:pPr>
      <w:r w:rsidRPr="001B508E">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14:paraId="3DDA2035" w14:textId="77777777" w:rsidR="00234FC9" w:rsidRPr="001B508E" w:rsidRDefault="00234FC9" w:rsidP="008214F0">
      <w:pPr>
        <w:pStyle w:val="ECHRHeading2"/>
        <w:rPr>
          <w:lang w:val="pl-PL"/>
        </w:rPr>
      </w:pPr>
      <w:r w:rsidRPr="001B508E">
        <w:rPr>
          <w:lang w:val="pl-PL"/>
        </w:rPr>
        <w:t xml:space="preserve">A. Zarzut wstępny Rządu dotyczący wyczerpania krajowych środków odwoławczych </w:t>
      </w:r>
    </w:p>
    <w:p w14:paraId="741265C5" w14:textId="6B8E782E"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138</w:t>
      </w:r>
      <w:r w:rsidRPr="001B508E">
        <w:rPr>
          <w:lang w:val="pl-PL"/>
        </w:rPr>
        <w:fldChar w:fldCharType="end"/>
      </w:r>
      <w:r w:rsidRPr="001B508E">
        <w:rPr>
          <w:lang w:val="pl-PL"/>
        </w:rPr>
        <w:t>. Rząd, podobnie jak w wielu poprzednich sprawach podnoszących zarzut</w:t>
      </w:r>
      <w:r w:rsidR="007B0078">
        <w:rPr>
          <w:lang w:val="pl-PL"/>
        </w:rPr>
        <w:t>y</w:t>
      </w:r>
      <w:r w:rsidRPr="001B508E">
        <w:rPr>
          <w:lang w:val="pl-PL"/>
        </w:rPr>
        <w:t xml:space="preserve"> rutynowej cenzury korespondencji osadzon</w:t>
      </w:r>
      <w:r w:rsidR="007B0078">
        <w:rPr>
          <w:lang w:val="pl-PL"/>
        </w:rPr>
        <w:t>ych</w:t>
      </w:r>
      <w:r w:rsidRPr="001B508E">
        <w:rPr>
          <w:lang w:val="pl-PL"/>
        </w:rPr>
        <w:t xml:space="preserve"> stwierdził, że skarżący nie spełnił wymogów określonych w Artykule 35 ust. 1, ponieważ nie wniósł powództwa o ochronę dóbr osobistych na podstawie artykułu 24 </w:t>
      </w:r>
      <w:r w:rsidRPr="001B508E">
        <w:rPr>
          <w:lang w:val="pl-PL"/>
        </w:rPr>
        <w:lastRenderedPageBreak/>
        <w:t xml:space="preserve">w związku z artykułem 448 Kodeksu cywilnego. Rząd powtórzył zasadniczo uwagi przedstawione już w innych sprawach (zobacz, na przykład, </w:t>
      </w:r>
      <w:r w:rsidRPr="001B508E">
        <w:rPr>
          <w:i/>
          <w:lang w:val="pl-PL"/>
        </w:rPr>
        <w:t>Lewak przeciwko Polsce</w:t>
      </w:r>
      <w:r w:rsidRPr="001B508E">
        <w:rPr>
          <w:lang w:val="pl-PL"/>
        </w:rPr>
        <w:t xml:space="preserve">, skarga nr 218990/03, z dnia 6 września 2007 roku, pkt 21–22; </w:t>
      </w:r>
      <w:r w:rsidRPr="001B508E">
        <w:rPr>
          <w:i/>
          <w:lang w:val="pl-PL"/>
        </w:rPr>
        <w:t>Misiak przeciwko Polsce</w:t>
      </w:r>
      <w:r w:rsidRPr="001B508E">
        <w:rPr>
          <w:lang w:val="pl-PL"/>
        </w:rPr>
        <w:t xml:space="preserve">, skarga nr 43837/06, z dnia 3 czerwca 2008 roku, pkt 15–16; </w:t>
      </w:r>
      <w:r w:rsidRPr="001B508E">
        <w:rPr>
          <w:i/>
          <w:lang w:val="pl-PL"/>
        </w:rPr>
        <w:t>Pasternak przeciwko Polsce</w:t>
      </w:r>
      <w:r w:rsidRPr="001B508E">
        <w:rPr>
          <w:lang w:val="pl-PL"/>
        </w:rPr>
        <w:t xml:space="preserve">, 42785/06, z dnia 16 lipca 2009 roku, pkt. 24–26; </w:t>
      </w:r>
      <w:proofErr w:type="spellStart"/>
      <w:r w:rsidRPr="001B508E">
        <w:rPr>
          <w:i/>
          <w:lang w:val="pl-PL"/>
        </w:rPr>
        <w:t>Biśta</w:t>
      </w:r>
      <w:proofErr w:type="spellEnd"/>
      <w:r w:rsidR="007B0078">
        <w:rPr>
          <w:lang w:val="pl-PL"/>
        </w:rPr>
        <w:t>, cytowany powyżej, pkt 26</w:t>
      </w:r>
      <w:r w:rsidRPr="001B508E">
        <w:rPr>
          <w:lang w:val="pl-PL"/>
        </w:rPr>
        <w:t xml:space="preserve"> oraz </w:t>
      </w:r>
      <w:r w:rsidRPr="001B508E">
        <w:rPr>
          <w:i/>
          <w:lang w:val="pl-PL"/>
        </w:rPr>
        <w:t>Piechowicz</w:t>
      </w:r>
      <w:r w:rsidRPr="001B508E">
        <w:rPr>
          <w:lang w:val="pl-PL"/>
        </w:rPr>
        <w:t>, cytowany powyżej, pkt 224) utrzymując, że skarżący mógł dochodzić zadośćuczynienia na szczeblu krajowym za pomocą tego środka odwoławczego.</w:t>
      </w:r>
    </w:p>
    <w:p w14:paraId="00D73294" w14:textId="77777777" w:rsidR="00234FC9" w:rsidRPr="001B508E" w:rsidRDefault="00234FC9" w:rsidP="008214F0">
      <w:pPr>
        <w:pStyle w:val="ECHRHeading2"/>
        <w:rPr>
          <w:lang w:val="pl-PL"/>
        </w:rPr>
      </w:pPr>
      <w:r w:rsidRPr="001B508E">
        <w:rPr>
          <w:lang w:val="pl-PL"/>
        </w:rPr>
        <w:t>B. Skarżący</w:t>
      </w:r>
    </w:p>
    <w:p w14:paraId="5ABBFC8E" w14:textId="2AAE1C3F" w:rsidR="00234FC9" w:rsidRPr="00EF4664"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139</w:t>
      </w:r>
      <w:r w:rsidRPr="001B508E">
        <w:rPr>
          <w:lang w:val="pl-PL"/>
        </w:rPr>
        <w:fldChar w:fldCharType="end"/>
      </w:r>
      <w:r w:rsidR="007B0078">
        <w:rPr>
          <w:lang w:val="pl-PL"/>
        </w:rPr>
        <w:t xml:space="preserve">. </w:t>
      </w:r>
      <w:r w:rsidR="007B0078" w:rsidRPr="00EF4664">
        <w:rPr>
          <w:lang w:val="pl-PL"/>
        </w:rPr>
        <w:t>Skarżący utrzymywał</w:t>
      </w:r>
      <w:r w:rsidRPr="00EF4664">
        <w:rPr>
          <w:lang w:val="pl-PL"/>
        </w:rPr>
        <w:t xml:space="preserve">, że skarżył się w związku z cenzurą swoich listów do różnych władz. Podkreślił ponadto, że nie mógł użyć środka </w:t>
      </w:r>
      <w:r w:rsidR="007B0078" w:rsidRPr="00EF4664">
        <w:rPr>
          <w:lang w:val="pl-PL"/>
        </w:rPr>
        <w:t>wskazanego</w:t>
      </w:r>
      <w:r w:rsidRPr="00EF4664">
        <w:rPr>
          <w:lang w:val="pl-PL"/>
        </w:rPr>
        <w:t xml:space="preserve"> przez Rząd, ponieważ upłynął już 3-letni termin do wniesienia taki</w:t>
      </w:r>
      <w:r w:rsidR="007B0078" w:rsidRPr="00EF4664">
        <w:rPr>
          <w:lang w:val="pl-PL"/>
        </w:rPr>
        <w:t>ej skargi.</w:t>
      </w:r>
    </w:p>
    <w:p w14:paraId="78D4B48B" w14:textId="77777777" w:rsidR="00234FC9" w:rsidRPr="00EF4664" w:rsidRDefault="00234FC9" w:rsidP="008214F0">
      <w:pPr>
        <w:pStyle w:val="ECHRHeading2"/>
        <w:rPr>
          <w:lang w:val="pl-PL"/>
        </w:rPr>
      </w:pPr>
      <w:r w:rsidRPr="00EF4664">
        <w:rPr>
          <w:lang w:val="pl-PL"/>
        </w:rPr>
        <w:t>C. Ocena Trybunału</w:t>
      </w:r>
    </w:p>
    <w:p w14:paraId="131F1F73" w14:textId="42976CDD" w:rsidR="00234FC9" w:rsidRPr="00EF4664"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140</w:t>
      </w:r>
      <w:r w:rsidRPr="001B508E">
        <w:rPr>
          <w:lang w:val="pl-PL"/>
        </w:rPr>
        <w:fldChar w:fldCharType="end"/>
      </w:r>
      <w:r w:rsidRPr="001B508E">
        <w:rPr>
          <w:lang w:val="pl-PL"/>
        </w:rPr>
        <w:t xml:space="preserve">. Zasada wyczerpania </w:t>
      </w:r>
      <w:r w:rsidRPr="00EF4664">
        <w:rPr>
          <w:lang w:val="pl-PL"/>
        </w:rPr>
        <w:t xml:space="preserve">krajowych środków odwoławczych zawarta w Artykule 35 ust. 1 Konwencji wymaga </w:t>
      </w:r>
      <w:r w:rsidR="007B0078" w:rsidRPr="00EF4664">
        <w:rPr>
          <w:lang w:val="pl-PL"/>
        </w:rPr>
        <w:t>użycia</w:t>
      </w:r>
      <w:r w:rsidRPr="00EF4664">
        <w:rPr>
          <w:lang w:val="pl-PL"/>
        </w:rPr>
        <w:t xml:space="preserve"> przez skarżącego </w:t>
      </w:r>
      <w:r w:rsidR="007B0078" w:rsidRPr="00EF4664">
        <w:rPr>
          <w:lang w:val="pl-PL"/>
        </w:rPr>
        <w:t>w pierwszej kolejności</w:t>
      </w:r>
      <w:r w:rsidRPr="00EF4664">
        <w:rPr>
          <w:lang w:val="pl-PL"/>
        </w:rPr>
        <w:t xml:space="preserve"> środków przewidzianych w krajowym systemie prawnym. Zasada ta opiera się na założeniu, że system krajowy przewiduje skuteczny środek odwoławczy w odniesieniu do zarzucanego naruszenia (zob. </w:t>
      </w:r>
      <w:proofErr w:type="spellStart"/>
      <w:r w:rsidRPr="00EF4664">
        <w:rPr>
          <w:i/>
          <w:lang w:val="pl-PL"/>
        </w:rPr>
        <w:t>Biśta</w:t>
      </w:r>
      <w:proofErr w:type="spellEnd"/>
      <w:r w:rsidRPr="00EF4664">
        <w:rPr>
          <w:lang w:val="pl-PL"/>
        </w:rPr>
        <w:t>, cyt. wyż. pkt 44, z kolejnymi odniesieniami).</w:t>
      </w:r>
    </w:p>
    <w:p w14:paraId="2C06486F" w14:textId="32004F1D" w:rsidR="00234FC9" w:rsidRPr="001B508E" w:rsidRDefault="00234FC9" w:rsidP="008214F0">
      <w:pPr>
        <w:pStyle w:val="ECHRPara"/>
        <w:rPr>
          <w:lang w:val="pl-PL"/>
        </w:rPr>
      </w:pPr>
      <w:r w:rsidRPr="00EF4664">
        <w:rPr>
          <w:lang w:val="pl-PL"/>
        </w:rPr>
        <w:fldChar w:fldCharType="begin"/>
      </w:r>
      <w:r w:rsidRPr="00EF4664">
        <w:rPr>
          <w:lang w:val="pl-PL"/>
        </w:rPr>
        <w:instrText xml:space="preserve"> SEQ level0 \*arabic </w:instrText>
      </w:r>
      <w:r w:rsidRPr="00EF4664">
        <w:rPr>
          <w:lang w:val="pl-PL"/>
        </w:rPr>
        <w:fldChar w:fldCharType="separate"/>
      </w:r>
      <w:r w:rsidR="003876CB">
        <w:rPr>
          <w:noProof/>
          <w:lang w:val="pl-PL"/>
        </w:rPr>
        <w:t>141</w:t>
      </w:r>
      <w:r w:rsidRPr="00EF4664">
        <w:rPr>
          <w:lang w:val="pl-PL"/>
        </w:rPr>
        <w:fldChar w:fldCharType="end"/>
      </w:r>
      <w:r w:rsidRPr="00EF4664">
        <w:rPr>
          <w:lang w:val="pl-PL"/>
        </w:rPr>
        <w:t xml:space="preserve">. Trybunał orzekł, że skarżący podnoszący podobne zarzuty </w:t>
      </w:r>
      <w:r w:rsidRPr="001B508E">
        <w:rPr>
          <w:lang w:val="pl-PL"/>
        </w:rPr>
        <w:t xml:space="preserve">w </w:t>
      </w:r>
      <w:r w:rsidR="00B367A1">
        <w:rPr>
          <w:lang w:val="pl-PL"/>
        </w:rPr>
        <w:t>zakresie naruszeń, które miały</w:t>
      </w:r>
      <w:r w:rsidRPr="001B508E">
        <w:rPr>
          <w:lang w:val="pl-PL"/>
        </w:rPr>
        <w:t xml:space="preserve"> miejsce po dniu 28 czerwca 2007 roku, zobowiązani są skorzystać z przepisów artykułu 23 i 24 ust. 1 w związku z artykułem 448 Kodeksu cywilnego, bowiem zaniechanie tego obowiązku będzie uznane za niedopełnienie wymogu wyczerpania krajowych środków odwoławczych w rozumieniu Artykułu 35 ust. 1 Konwencji (zobacz </w:t>
      </w:r>
      <w:proofErr w:type="spellStart"/>
      <w:r w:rsidRPr="001B508E">
        <w:rPr>
          <w:i/>
          <w:lang w:val="pl-PL"/>
        </w:rPr>
        <w:t>Biśta</w:t>
      </w:r>
      <w:proofErr w:type="spellEnd"/>
      <w:r w:rsidRPr="001B508E">
        <w:rPr>
          <w:i/>
          <w:lang w:val="pl-PL"/>
        </w:rPr>
        <w:t xml:space="preserve"> przeciwko Polsce</w:t>
      </w:r>
      <w:r w:rsidRPr="001B508E">
        <w:rPr>
          <w:lang w:val="pl-PL"/>
        </w:rPr>
        <w:t>, pkt 49, cytowany powyżej).</w:t>
      </w:r>
    </w:p>
    <w:p w14:paraId="08159302" w14:textId="62787FA6" w:rsidR="00234FC9" w:rsidRPr="003876CB"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142</w:t>
      </w:r>
      <w:r w:rsidRPr="001B508E">
        <w:rPr>
          <w:lang w:val="pl-PL"/>
        </w:rPr>
        <w:fldChar w:fldCharType="end"/>
      </w:r>
      <w:r w:rsidRPr="001B508E">
        <w:rPr>
          <w:lang w:val="pl-PL"/>
        </w:rPr>
        <w:t xml:space="preserve">. Trybunał zauważa następnie, że przedmiotowa sprawa </w:t>
      </w:r>
      <w:r w:rsidRPr="003876CB">
        <w:rPr>
          <w:lang w:val="pl-PL"/>
        </w:rPr>
        <w:t>nie dotyczyła “stałej cenzury” (zobacz</w:t>
      </w:r>
      <w:r w:rsidR="00B367A1" w:rsidRPr="003876CB">
        <w:rPr>
          <w:lang w:val="pl-PL"/>
        </w:rPr>
        <w:t>,</w:t>
      </w:r>
      <w:r w:rsidRPr="003876CB">
        <w:rPr>
          <w:lang w:val="pl-PL"/>
        </w:rPr>
        <w:t xml:space="preserve"> w przeciwieństwie</w:t>
      </w:r>
      <w:r w:rsidR="00B367A1" w:rsidRPr="003876CB">
        <w:rPr>
          <w:lang w:val="pl-PL"/>
        </w:rPr>
        <w:t xml:space="preserve">, </w:t>
      </w:r>
      <w:r w:rsidRPr="003876CB">
        <w:rPr>
          <w:i/>
          <w:spacing w:val="-2"/>
          <w:lang w:val="pl-PL"/>
        </w:rPr>
        <w:t>Piechowicz</w:t>
      </w:r>
      <w:r w:rsidRPr="003876CB">
        <w:rPr>
          <w:spacing w:val="-2"/>
          <w:lang w:val="pl-PL"/>
        </w:rPr>
        <w:t xml:space="preserve">, cytowany powyżej, pkt 223), lecz raczej </w:t>
      </w:r>
      <w:r w:rsidR="00B367A1" w:rsidRPr="003876CB">
        <w:rPr>
          <w:spacing w:val="-2"/>
          <w:lang w:val="pl-PL"/>
        </w:rPr>
        <w:t>trzech</w:t>
      </w:r>
      <w:r w:rsidR="00EF4664" w:rsidRPr="003876CB">
        <w:rPr>
          <w:spacing w:val="-2"/>
          <w:lang w:val="pl-PL"/>
        </w:rPr>
        <w:t xml:space="preserve"> </w:t>
      </w:r>
      <w:r w:rsidR="00385A0A" w:rsidRPr="003876CB">
        <w:rPr>
          <w:spacing w:val="-2"/>
          <w:lang w:val="pl-PL"/>
        </w:rPr>
        <w:t>przypadków naruszeń.</w:t>
      </w:r>
    </w:p>
    <w:p w14:paraId="3EB56E8C" w14:textId="48A9EEDD" w:rsidR="00234FC9" w:rsidRPr="001E7B72" w:rsidRDefault="00234FC9" w:rsidP="008214F0">
      <w:pPr>
        <w:pStyle w:val="ECHRPara"/>
        <w:rPr>
          <w:lang w:val="pl-PL"/>
        </w:rPr>
      </w:pPr>
      <w:r w:rsidRPr="003876CB">
        <w:rPr>
          <w:lang w:val="pl-PL"/>
        </w:rPr>
        <w:fldChar w:fldCharType="begin"/>
      </w:r>
      <w:r w:rsidRPr="003876CB">
        <w:rPr>
          <w:lang w:val="pl-PL"/>
        </w:rPr>
        <w:instrText xml:space="preserve"> SEQ level0 \*arabic </w:instrText>
      </w:r>
      <w:r w:rsidRPr="003876CB">
        <w:rPr>
          <w:lang w:val="pl-PL"/>
        </w:rPr>
        <w:fldChar w:fldCharType="separate"/>
      </w:r>
      <w:r w:rsidR="003876CB" w:rsidRPr="003876CB">
        <w:rPr>
          <w:noProof/>
          <w:lang w:val="pl-PL"/>
        </w:rPr>
        <w:t>143</w:t>
      </w:r>
      <w:r w:rsidRPr="003876CB">
        <w:rPr>
          <w:lang w:val="pl-PL"/>
        </w:rPr>
        <w:fldChar w:fldCharType="end"/>
      </w:r>
      <w:r w:rsidRPr="003876CB">
        <w:rPr>
          <w:lang w:val="pl-PL"/>
        </w:rPr>
        <w:t xml:space="preserve">. Trybunał zauważa, że pierwsza </w:t>
      </w:r>
      <w:r w:rsidR="00B367A1" w:rsidRPr="003876CB">
        <w:rPr>
          <w:lang w:val="pl-PL"/>
        </w:rPr>
        <w:t>zarzucana</w:t>
      </w:r>
      <w:r w:rsidRPr="003876CB">
        <w:rPr>
          <w:lang w:val="pl-PL"/>
        </w:rPr>
        <w:t xml:space="preserve"> ingerencja w </w:t>
      </w:r>
      <w:bookmarkStart w:id="4" w:name="_GoBack"/>
      <w:bookmarkEnd w:id="4"/>
      <w:r w:rsidRPr="003876CB">
        <w:rPr>
          <w:lang w:val="pl-PL"/>
        </w:rPr>
        <w:t>korespondencję skarżącego miała miejsce w dniu 1 lipca 2010 roku, druga w dniu 12 lipca 2010 roku, a trzecia w dniu 6 sierpnia 2010 r</w:t>
      </w:r>
      <w:r w:rsidR="00B367A1" w:rsidRPr="003876CB">
        <w:rPr>
          <w:lang w:val="pl-PL"/>
        </w:rPr>
        <w:t>oku</w:t>
      </w:r>
      <w:r w:rsidRPr="003876CB">
        <w:rPr>
          <w:lang w:val="pl-PL"/>
        </w:rPr>
        <w:t xml:space="preserve"> (zobacz </w:t>
      </w:r>
      <w:r w:rsidRPr="001E7B72">
        <w:rPr>
          <w:lang w:val="pl-PL"/>
        </w:rPr>
        <w:t xml:space="preserve">pkt 54 powyżej), to znaczy po dacie (28 czerwca 2007 roku) wyznaczonej w wyroku </w:t>
      </w:r>
      <w:proofErr w:type="spellStart"/>
      <w:r w:rsidRPr="001E7B72">
        <w:rPr>
          <w:i/>
          <w:lang w:val="pl-PL"/>
        </w:rPr>
        <w:t>Biśta</w:t>
      </w:r>
      <w:proofErr w:type="spellEnd"/>
      <w:r w:rsidRPr="001E7B72">
        <w:rPr>
          <w:lang w:val="pl-PL"/>
        </w:rPr>
        <w:t>.</w:t>
      </w:r>
    </w:p>
    <w:p w14:paraId="515EBAE3" w14:textId="7A9E8EBD" w:rsidR="00234FC9" w:rsidRPr="00B367A1"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144</w:t>
      </w:r>
      <w:r w:rsidRPr="001B508E">
        <w:rPr>
          <w:lang w:val="pl-PL"/>
        </w:rPr>
        <w:fldChar w:fldCharType="end"/>
      </w:r>
      <w:r w:rsidRPr="001B508E">
        <w:rPr>
          <w:lang w:val="pl-PL"/>
        </w:rPr>
        <w:t xml:space="preserve">. </w:t>
      </w:r>
      <w:r w:rsidRPr="00B367A1">
        <w:rPr>
          <w:lang w:val="pl-PL"/>
        </w:rPr>
        <w:t xml:space="preserve">W tej sytuacji Trybunał stwierdza, że skarżący powinien, zgodnie w wymogiem określonym w Artykule 35 ust. 1, podnieść istotę skargi konwencyjnej </w:t>
      </w:r>
      <w:r w:rsidR="00B367A1" w:rsidRPr="00B367A1">
        <w:rPr>
          <w:lang w:val="pl-PL"/>
        </w:rPr>
        <w:t xml:space="preserve">złożonej </w:t>
      </w:r>
      <w:r w:rsidRPr="00B367A1">
        <w:rPr>
          <w:lang w:val="pl-PL"/>
        </w:rPr>
        <w:t xml:space="preserve">na podstawie Artykułu 8 przed sądami krajowymi.  Wynika z tego, że skarga dotycząca cenzury korespondencji z dnia 17  </w:t>
      </w:r>
      <w:r w:rsidRPr="00B367A1">
        <w:rPr>
          <w:lang w:val="pl-PL"/>
        </w:rPr>
        <w:lastRenderedPageBreak/>
        <w:t xml:space="preserve">stycznia 2008 roku musi zostać odrzucona na podstawie Artykułu 35 ust. 1 oraz 4 Konwencji ze względu na niewyczerpanie krajowych środków odwoławczych. </w:t>
      </w:r>
    </w:p>
    <w:p w14:paraId="3A3481FD" w14:textId="77777777" w:rsidR="00234FC9" w:rsidRPr="001B508E" w:rsidRDefault="00234FC9" w:rsidP="008214F0">
      <w:pPr>
        <w:pStyle w:val="ECHRHeading1"/>
        <w:rPr>
          <w:lang w:val="pl-PL"/>
        </w:rPr>
      </w:pPr>
      <w:r w:rsidRPr="001B508E">
        <w:rPr>
          <w:lang w:val="pl-PL"/>
        </w:rPr>
        <w:t>V. ZARZUT NARUSZENIA ARTYKUŁU 8 KONWENCJI W ZWIĄZKU Z ZASTOSOWANIEM REŻIMU "WIĘŹNIA NIEBEZPIECZNEGO"</w:t>
      </w:r>
    </w:p>
    <w:p w14:paraId="0B6B937E" w14:textId="6536EFED" w:rsidR="00234FC9" w:rsidRPr="001B508E" w:rsidRDefault="00476BEE"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145</w:t>
      </w:r>
      <w:r w:rsidRPr="001B508E">
        <w:rPr>
          <w:noProof/>
          <w:lang w:val="pl-PL"/>
        </w:rPr>
        <w:fldChar w:fldCharType="end"/>
      </w:r>
      <w:r w:rsidR="00234FC9" w:rsidRPr="001B508E">
        <w:rPr>
          <w:lang w:val="pl-PL"/>
        </w:rPr>
        <w:t xml:space="preserve">. W odniesieniu do zastosowania reżimu “więźnia niebezpiecznego” wobec niego, skarżący podniósł także, że bez względu na fakt, iż stanowiło to traktowanie sprzeczne z Artykułem 3 Konwencji, naruszyło </w:t>
      </w:r>
      <w:r w:rsidR="00B367A1">
        <w:rPr>
          <w:lang w:val="pl-PL"/>
        </w:rPr>
        <w:t>także</w:t>
      </w:r>
      <w:r w:rsidR="00234FC9" w:rsidRPr="001B508E">
        <w:rPr>
          <w:lang w:val="pl-PL"/>
        </w:rPr>
        <w:t xml:space="preserve"> jego prawo do życia prywatnego</w:t>
      </w:r>
      <w:r w:rsidR="00B367A1">
        <w:rPr>
          <w:lang w:val="pl-PL"/>
        </w:rPr>
        <w:t>,</w:t>
      </w:r>
      <w:r w:rsidR="00234FC9" w:rsidRPr="001B508E">
        <w:rPr>
          <w:lang w:val="pl-PL"/>
        </w:rPr>
        <w:t xml:space="preserve"> chronione przez Artykuł 8 Konwencji.</w:t>
      </w:r>
    </w:p>
    <w:p w14:paraId="3905EE50" w14:textId="77777777" w:rsidR="00234FC9" w:rsidRPr="001B508E" w:rsidRDefault="00234FC9" w:rsidP="008214F0">
      <w:pPr>
        <w:pStyle w:val="ECHRPara"/>
        <w:rPr>
          <w:lang w:val="pl-PL"/>
        </w:rPr>
      </w:pPr>
      <w:r w:rsidRPr="001B508E">
        <w:rPr>
          <w:lang w:val="pl-PL"/>
        </w:rPr>
        <w:t>Artykuł 8, w istotnym dla sprawy zakresie, stanowi co następuje:</w:t>
      </w:r>
    </w:p>
    <w:p w14:paraId="33944CFA" w14:textId="77777777" w:rsidR="00234FC9" w:rsidRPr="001B508E" w:rsidRDefault="00234FC9" w:rsidP="008214F0">
      <w:pPr>
        <w:pStyle w:val="ECHRParaQuote"/>
      </w:pPr>
      <w:r w:rsidRPr="001B508E">
        <w:t>“1.  Każdy ma prawo do poszanowania swojego życia  prywatnego … .</w:t>
      </w:r>
    </w:p>
    <w:p w14:paraId="5B59EB76" w14:textId="77777777" w:rsidR="00234FC9" w:rsidRPr="001B508E" w:rsidRDefault="00234FC9" w:rsidP="008214F0">
      <w:pPr>
        <w:pStyle w:val="ECHRParaQuote"/>
      </w:pPr>
      <w:r w:rsidRPr="001B508E">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14:paraId="23AAE323" w14:textId="77777777" w:rsidR="00234FC9" w:rsidRPr="001B508E" w:rsidRDefault="00234FC9" w:rsidP="008214F0">
      <w:pPr>
        <w:pStyle w:val="ECHRHeading2"/>
        <w:rPr>
          <w:lang w:val="pl-PL"/>
        </w:rPr>
      </w:pPr>
      <w:r w:rsidRPr="001B508E">
        <w:rPr>
          <w:lang w:val="pl-PL"/>
        </w:rPr>
        <w:t>A. Dopuszczalność skargi</w:t>
      </w:r>
    </w:p>
    <w:p w14:paraId="6DD88450" w14:textId="77777777" w:rsidR="00234FC9" w:rsidRPr="001B508E" w:rsidRDefault="00476BEE"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146</w:t>
      </w:r>
      <w:r w:rsidRPr="001B508E">
        <w:rPr>
          <w:noProof/>
          <w:lang w:val="pl-PL"/>
        </w:rPr>
        <w:fldChar w:fldCharType="end"/>
      </w:r>
      <w:r w:rsidR="00234FC9" w:rsidRPr="001B508E">
        <w:rPr>
          <w:lang w:val="pl-PL"/>
        </w:rPr>
        <w:t xml:space="preserve">. Trybunał zauważył, że skarga ta ma związek ze skargą wniesioną na podstawie Artykułu 3, która została rozparzona powyżej (zob. pkt 63 i 104 powyżej), a zatem musi zostać także uznana za dopuszczalną. </w:t>
      </w:r>
    </w:p>
    <w:p w14:paraId="2658DFA9" w14:textId="77777777" w:rsidR="00234FC9" w:rsidRPr="001B508E" w:rsidRDefault="00234FC9" w:rsidP="008214F0">
      <w:pPr>
        <w:pStyle w:val="ECHRHeading2"/>
        <w:rPr>
          <w:lang w:val="pl-PL"/>
        </w:rPr>
      </w:pPr>
      <w:r w:rsidRPr="001B508E">
        <w:rPr>
          <w:lang w:val="pl-PL"/>
        </w:rPr>
        <w:t>B. Meritum skargi</w:t>
      </w:r>
    </w:p>
    <w:p w14:paraId="3A890DC4" w14:textId="5F9DD5E1" w:rsidR="00234FC9" w:rsidRPr="001E7B72" w:rsidRDefault="00476BEE" w:rsidP="008214F0">
      <w:pPr>
        <w:pStyle w:val="JuParaLast"/>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147</w:t>
      </w:r>
      <w:r w:rsidRPr="001B508E">
        <w:rPr>
          <w:noProof/>
          <w:lang w:val="pl-PL"/>
        </w:rPr>
        <w:fldChar w:fldCharType="end"/>
      </w:r>
      <w:r w:rsidR="00234FC9" w:rsidRPr="001B508E">
        <w:rPr>
          <w:lang w:val="pl-PL"/>
        </w:rPr>
        <w:t>. Skarżący stwierdził, że zastosowanie wobec niego reżimu “N” naruszyło jego prawo do ży</w:t>
      </w:r>
      <w:r w:rsidR="00037A0B">
        <w:rPr>
          <w:lang w:val="pl-PL"/>
        </w:rPr>
        <w:t>cia prywatnego, w szczególności</w:t>
      </w:r>
      <w:r w:rsidR="00234FC9" w:rsidRPr="001B508E">
        <w:rPr>
          <w:lang w:val="pl-PL"/>
        </w:rPr>
        <w:t xml:space="preserve"> w związku z uciążliwym i stałym nadzorem jego celi, wraz </w:t>
      </w:r>
      <w:r w:rsidR="00234FC9" w:rsidRPr="001E7B72">
        <w:rPr>
          <w:lang w:val="pl-PL"/>
        </w:rPr>
        <w:t xml:space="preserve">z częścią przeznaczoną do celów sanitarno-higienicznych oraz niezmiernie poniżającymi przeszukaniami z rozbieraniem, które były dokonywane </w:t>
      </w:r>
      <w:r w:rsidR="00037A0B" w:rsidRPr="001E7B72">
        <w:rPr>
          <w:lang w:val="pl-PL"/>
        </w:rPr>
        <w:t>każdorazowo przy opuszczaniu i powrocie do celi</w:t>
      </w:r>
      <w:r w:rsidR="00234FC9" w:rsidRPr="001E7B72">
        <w:rPr>
          <w:lang w:val="pl-PL"/>
        </w:rPr>
        <w:t xml:space="preserve">, </w:t>
      </w:r>
      <w:r w:rsidR="00037A0B" w:rsidRPr="001E7B72">
        <w:rPr>
          <w:lang w:val="pl-PL"/>
        </w:rPr>
        <w:t>choć</w:t>
      </w:r>
      <w:r w:rsidR="00234FC9" w:rsidRPr="001E7B72">
        <w:rPr>
          <w:lang w:val="pl-PL"/>
        </w:rPr>
        <w:t xml:space="preserve"> nie były podyktowane żadnymi przekonującymi względami bezpieczeństwa.</w:t>
      </w:r>
    </w:p>
    <w:p w14:paraId="36E1FAF6" w14:textId="6DE79E1F" w:rsidR="00234FC9" w:rsidRPr="001E7B72" w:rsidRDefault="00476BEE"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148</w:t>
      </w:r>
      <w:r w:rsidRPr="001B508E">
        <w:rPr>
          <w:noProof/>
          <w:lang w:val="pl-PL"/>
        </w:rPr>
        <w:fldChar w:fldCharType="end"/>
      </w:r>
      <w:r w:rsidR="00234FC9" w:rsidRPr="001B508E">
        <w:rPr>
          <w:lang w:val="pl-PL"/>
        </w:rPr>
        <w:t xml:space="preserve">. Rząd utrzymywał, że prawa </w:t>
      </w:r>
      <w:r w:rsidR="00234FC9" w:rsidRPr="001E7B72">
        <w:rPr>
          <w:lang w:val="pl-PL"/>
        </w:rPr>
        <w:t xml:space="preserve">skarżącego wynikające z Artykułu 8 </w:t>
      </w:r>
      <w:r w:rsidR="00037A0B" w:rsidRPr="001E7B72">
        <w:rPr>
          <w:lang w:val="pl-PL"/>
        </w:rPr>
        <w:t>były</w:t>
      </w:r>
      <w:r w:rsidR="00234FC9" w:rsidRPr="001E7B72">
        <w:rPr>
          <w:lang w:val="pl-PL"/>
        </w:rPr>
        <w:t xml:space="preserve"> poszanowane, w szczególności z uwagi na fakt, że </w:t>
      </w:r>
      <w:r w:rsidR="00037A0B" w:rsidRPr="001E7B72">
        <w:rPr>
          <w:lang w:val="pl-PL"/>
        </w:rPr>
        <w:t>otrzymał</w:t>
      </w:r>
      <w:r w:rsidR="00234FC9" w:rsidRPr="001E7B72">
        <w:rPr>
          <w:lang w:val="pl-PL"/>
        </w:rPr>
        <w:t xml:space="preserve"> on szereg widzeń z członkami swojej rodziny. Rząd zwrócił się do Trybunału o stwierdzenie braku naruszenia Artykułu 8 Konwencji.</w:t>
      </w:r>
    </w:p>
    <w:p w14:paraId="16657248" w14:textId="3AFF8BFB" w:rsidR="00234FC9" w:rsidRPr="001B508E" w:rsidRDefault="00476BEE"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149</w:t>
      </w:r>
      <w:r w:rsidRPr="001B508E">
        <w:rPr>
          <w:noProof/>
          <w:lang w:val="pl-PL"/>
        </w:rPr>
        <w:fldChar w:fldCharType="end"/>
      </w:r>
      <w:r w:rsidR="00234FC9" w:rsidRPr="001B508E">
        <w:rPr>
          <w:lang w:val="pl-PL"/>
        </w:rPr>
        <w:t>. Trybunał zauważa, że długotrwałe stosowanie wobec skarżącego reżimu “więźnia niebezpiecznego” stanowi główny przedmiot skargi wniesionej na podstawie Artykułu 3 Konwencji. Kwestia ta została rozpatrzona, skutkując stwierdzeniem naruszenia tego postanowienia (zob. pkt. 104 p</w:t>
      </w:r>
      <w:r w:rsidR="00037A0B">
        <w:rPr>
          <w:lang w:val="pl-PL"/>
        </w:rPr>
        <w:t>owyżej). W tych okolicznościach</w:t>
      </w:r>
      <w:r w:rsidR="00234FC9" w:rsidRPr="001B508E">
        <w:rPr>
          <w:lang w:val="pl-PL"/>
        </w:rPr>
        <w:t xml:space="preserve"> Trybunał stoi na stanowisku, że </w:t>
      </w:r>
      <w:r w:rsidR="00234FC9" w:rsidRPr="001B508E">
        <w:rPr>
          <w:lang w:val="pl-PL"/>
        </w:rPr>
        <w:lastRenderedPageBreak/>
        <w:t xml:space="preserve">żadna odrębna kwestia nie wynika na gruncie Artykułu 8 Konwencji i nie przedstawia on odrębnych wniosków w tym zakresie. (zob. </w:t>
      </w:r>
      <w:r w:rsidR="00234FC9" w:rsidRPr="001B508E">
        <w:rPr>
          <w:i/>
          <w:lang w:val="pl-PL"/>
        </w:rPr>
        <w:t>Piechowicz</w:t>
      </w:r>
      <w:r w:rsidR="00234FC9" w:rsidRPr="001B508E">
        <w:rPr>
          <w:lang w:val="pl-PL"/>
        </w:rPr>
        <w:t>, cytowany powyżej, pkt. 245).</w:t>
      </w:r>
    </w:p>
    <w:p w14:paraId="4CDDEF80" w14:textId="77777777" w:rsidR="00234FC9" w:rsidRPr="001B508E" w:rsidRDefault="00234FC9" w:rsidP="008214F0">
      <w:pPr>
        <w:pStyle w:val="ECHRHeading1"/>
        <w:rPr>
          <w:lang w:val="pl-PL"/>
        </w:rPr>
      </w:pPr>
      <w:r w:rsidRPr="001B508E">
        <w:rPr>
          <w:lang w:val="pl-PL"/>
        </w:rPr>
        <w:t>VI. ZARZUT NARUSZENIA ARTYKUŁU 3 PROTOKOŁU NR 1 DO KONWENCJI</w:t>
      </w:r>
    </w:p>
    <w:p w14:paraId="7939D5F1"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150</w:t>
      </w:r>
      <w:r w:rsidRPr="001B508E">
        <w:rPr>
          <w:lang w:val="pl-PL"/>
        </w:rPr>
        <w:fldChar w:fldCharType="end"/>
      </w:r>
      <w:r w:rsidRPr="001B508E">
        <w:rPr>
          <w:lang w:val="pl-PL"/>
        </w:rPr>
        <w:t>. Skarżący podniósł, że nie był w stanie oddać głosu w wyborach do Parlamentu Europejskiego odbywających się w dniu 7 czerwca 2009 roku, ponieważ odmówił poddania się kontroli osobistej. Powołał się na Artykuł 3 Protokołu Nr 1 do Konwencji, który stanowi:</w:t>
      </w:r>
    </w:p>
    <w:p w14:paraId="3AD17397" w14:textId="77777777" w:rsidR="00234FC9" w:rsidRPr="001B508E" w:rsidRDefault="00234FC9" w:rsidP="008214F0">
      <w:pPr>
        <w:pStyle w:val="ECHRParaQuote"/>
      </w:pPr>
      <w:r w:rsidRPr="001B508E">
        <w:t>"Wysokie Układające się Strony zobowiązują się organizować w rozsądnych odstępach czasu wolne wybory, oparte na tajnym głosowaniu, w warunkach zapewniających swobodę wyrażania opinii ludności w wyborze ciała ustawodawczego."</w:t>
      </w:r>
    </w:p>
    <w:p w14:paraId="104C3735" w14:textId="77777777" w:rsidR="00234FC9" w:rsidRPr="001B508E" w:rsidRDefault="00234FC9" w:rsidP="008214F0">
      <w:pPr>
        <w:pStyle w:val="ECHRHeading2"/>
        <w:rPr>
          <w:lang w:val="pl-PL"/>
        </w:rPr>
      </w:pPr>
      <w:r w:rsidRPr="001B508E">
        <w:rPr>
          <w:lang w:val="pl-PL"/>
        </w:rPr>
        <w:t>A. Dopuszczalność skargi</w:t>
      </w:r>
    </w:p>
    <w:p w14:paraId="56EEAD71" w14:textId="78A9F771"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151</w:t>
      </w:r>
      <w:r w:rsidRPr="001B508E">
        <w:rPr>
          <w:lang w:val="pl-PL"/>
        </w:rPr>
        <w:fldChar w:fldCharType="end"/>
      </w:r>
      <w:r w:rsidRPr="001B508E">
        <w:rPr>
          <w:lang w:val="pl-PL"/>
        </w:rPr>
        <w:t>. Trybunał zauważył, że skarga ta ma związek ze skargą wniesioną na podstawie Artykułu 3</w:t>
      </w:r>
      <w:r w:rsidR="00037A0B">
        <w:rPr>
          <w:lang w:val="pl-PL"/>
        </w:rPr>
        <w:t>,</w:t>
      </w:r>
      <w:r w:rsidRPr="001B508E">
        <w:rPr>
          <w:lang w:val="pl-PL"/>
        </w:rPr>
        <w:t xml:space="preserve"> która została rozparzona powyżej (zob. pkt 63 i 104 powyżej), a zatem musi zostać także uznana za dopuszczalną. </w:t>
      </w:r>
    </w:p>
    <w:p w14:paraId="1D80A2F1" w14:textId="77777777" w:rsidR="00234FC9" w:rsidRPr="001E7B72" w:rsidRDefault="00234FC9" w:rsidP="008214F0">
      <w:pPr>
        <w:pStyle w:val="ECHRHeading2"/>
        <w:rPr>
          <w:lang w:val="pl-PL"/>
        </w:rPr>
      </w:pPr>
      <w:r w:rsidRPr="001B508E">
        <w:rPr>
          <w:lang w:val="pl-PL"/>
        </w:rPr>
        <w:t>B. Meritum skargi</w:t>
      </w:r>
    </w:p>
    <w:p w14:paraId="6AF7B7B0" w14:textId="47528D71" w:rsidR="00234FC9" w:rsidRPr="001B508E" w:rsidRDefault="00234FC9" w:rsidP="008214F0">
      <w:pPr>
        <w:pStyle w:val="ECHRPara"/>
        <w:rPr>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152</w:t>
      </w:r>
      <w:r w:rsidRPr="001E7B72">
        <w:rPr>
          <w:lang w:val="pl-PL"/>
        </w:rPr>
        <w:fldChar w:fldCharType="end"/>
      </w:r>
      <w:r w:rsidRPr="001E7B72">
        <w:rPr>
          <w:lang w:val="pl-PL"/>
        </w:rPr>
        <w:t xml:space="preserve">. Po ustaleniu, że niemożność </w:t>
      </w:r>
      <w:r w:rsidR="00037A0B" w:rsidRPr="001E7B72">
        <w:rPr>
          <w:lang w:val="pl-PL"/>
        </w:rPr>
        <w:t>skorzystania z</w:t>
      </w:r>
      <w:r w:rsidRPr="001E7B72">
        <w:rPr>
          <w:lang w:val="pl-PL"/>
        </w:rPr>
        <w:t xml:space="preserve"> prawa do głosowania wynikająca z odmowy poddania się kontroli osobistej stanowiła element statusu więźnia niebezpiecznego (zob. pkt 100 powyżej), którego poszczególne aspekty i czas trwania doprowadziły </w:t>
      </w:r>
      <w:r w:rsidRPr="001B508E">
        <w:rPr>
          <w:lang w:val="pl-PL"/>
        </w:rPr>
        <w:t>Trybunał do stwierdzenia naruszenia Artykułu 3 Konwencji (zob. pkt 103 powyżej), Trybunał stwierdza, że nie ma potrzeby badania tej skargi oddzielnie w trybie Artykułu 3 Protokołu Nr 1 do Konwencji.</w:t>
      </w:r>
    </w:p>
    <w:p w14:paraId="3C4EC75C" w14:textId="77777777" w:rsidR="00234FC9" w:rsidRPr="001B508E" w:rsidRDefault="00234FC9" w:rsidP="008214F0">
      <w:pPr>
        <w:pStyle w:val="ECHRHeading1"/>
        <w:rPr>
          <w:lang w:val="pl-PL"/>
        </w:rPr>
      </w:pPr>
      <w:r w:rsidRPr="001B508E">
        <w:rPr>
          <w:lang w:val="pl-PL"/>
        </w:rPr>
        <w:t>VII. POZOSTAŁE ZARZUTY NARUSZENIA KONWENCJI</w:t>
      </w:r>
    </w:p>
    <w:p w14:paraId="3542E7F8"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153</w:t>
      </w:r>
      <w:r w:rsidRPr="001B508E">
        <w:rPr>
          <w:lang w:val="pl-PL"/>
        </w:rPr>
        <w:fldChar w:fldCharType="end"/>
      </w:r>
      <w:r w:rsidRPr="001B508E">
        <w:rPr>
          <w:lang w:val="pl-PL"/>
        </w:rPr>
        <w:t>. Skarżący sformułował następnie zarzut na mocy Artykułu 3 Konwencji dotyczący nieodpowiednich warunków osadzenia oraz braku odpowiedniej opieki medycznej w Areszcie Śledczym w Lublinie.</w:t>
      </w:r>
    </w:p>
    <w:p w14:paraId="62C9DCE0" w14:textId="4E9A0922" w:rsidR="00234FC9" w:rsidRPr="001E7B72"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154</w:t>
      </w:r>
      <w:r w:rsidRPr="001B508E">
        <w:rPr>
          <w:lang w:val="pl-PL"/>
        </w:rPr>
        <w:fldChar w:fldCharType="end"/>
      </w:r>
      <w:r w:rsidRPr="001B508E">
        <w:rPr>
          <w:lang w:val="pl-PL"/>
        </w:rPr>
        <w:t xml:space="preserve">. </w:t>
      </w:r>
      <w:r w:rsidRPr="001E7B72">
        <w:rPr>
          <w:lang w:val="pl-PL"/>
        </w:rPr>
        <w:t xml:space="preserve">Trybunał zauważa, że w omawianej sprawie skarżący był przez większość czasu </w:t>
      </w:r>
      <w:r w:rsidR="00037A0B" w:rsidRPr="001E7B72">
        <w:rPr>
          <w:lang w:val="pl-PL"/>
        </w:rPr>
        <w:t>osadzony</w:t>
      </w:r>
      <w:r w:rsidRPr="001E7B72">
        <w:rPr>
          <w:lang w:val="pl-PL"/>
        </w:rPr>
        <w:t xml:space="preserve"> w Areszcie Śledczym w Lublinie (zob. pkt 50 powyżej).</w:t>
      </w:r>
    </w:p>
    <w:p w14:paraId="752B57A9" w14:textId="77777777" w:rsidR="00234FC9" w:rsidRPr="001B508E" w:rsidRDefault="00234FC9" w:rsidP="008214F0">
      <w:pPr>
        <w:pStyle w:val="ECHRPara"/>
        <w:rPr>
          <w:rFonts w:eastAsia="Times New Roman"/>
          <w:szCs w:val="24"/>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155</w:t>
      </w:r>
      <w:r w:rsidRPr="001E7B72">
        <w:rPr>
          <w:lang w:val="pl-PL"/>
        </w:rPr>
        <w:fldChar w:fldCharType="end"/>
      </w:r>
      <w:r w:rsidRPr="001E7B72">
        <w:rPr>
          <w:lang w:val="pl-PL"/>
        </w:rPr>
        <w:t>. W zakresie, w jakim skarżący sformułował zarzut dotyczący nieodpowiednich warunków osadzenia, Trybunał</w:t>
      </w:r>
      <w:r w:rsidRPr="001E7B72">
        <w:rPr>
          <w:rFonts w:eastAsia="Times New Roman"/>
          <w:szCs w:val="24"/>
          <w:lang w:val="pl-PL"/>
        </w:rPr>
        <w:t xml:space="preserve"> zauważa, że nie podniósł istoty skargi przed żadnym organem krajowym i </w:t>
      </w:r>
      <w:r w:rsidRPr="001E7B72">
        <w:rPr>
          <w:rFonts w:eastAsia="Times New Roman"/>
          <w:lang w:val="pl-PL"/>
        </w:rPr>
        <w:t xml:space="preserve">nie złożył nawet skargi na mocy Artykułu 110 Kodeksu karnego wykonawczego </w:t>
      </w:r>
      <w:r w:rsidRPr="001E7B72">
        <w:rPr>
          <w:rFonts w:eastAsia="Times New Roman"/>
          <w:szCs w:val="24"/>
          <w:lang w:val="pl-PL"/>
        </w:rPr>
        <w:t xml:space="preserve">(zob. </w:t>
      </w:r>
      <w:proofErr w:type="spellStart"/>
      <w:r w:rsidRPr="001E7B72">
        <w:rPr>
          <w:i/>
          <w:szCs w:val="24"/>
          <w:lang w:val="pl-PL"/>
        </w:rPr>
        <w:t>Łatak</w:t>
      </w:r>
      <w:proofErr w:type="spellEnd"/>
      <w:r w:rsidRPr="001E7B72">
        <w:rPr>
          <w:i/>
          <w:szCs w:val="24"/>
          <w:lang w:val="pl-PL"/>
        </w:rPr>
        <w:t xml:space="preserve"> </w:t>
      </w:r>
      <w:r w:rsidRPr="001E7B72">
        <w:rPr>
          <w:i/>
          <w:szCs w:val="24"/>
          <w:lang w:val="pl-PL"/>
        </w:rPr>
        <w:lastRenderedPageBreak/>
        <w:t xml:space="preserve">przeciwko </w:t>
      </w:r>
      <w:bookmarkStart w:id="5" w:name="HIT9"/>
      <w:bookmarkEnd w:id="5"/>
      <w:r w:rsidRPr="001E7B72">
        <w:rPr>
          <w:i/>
          <w:szCs w:val="24"/>
          <w:lang w:val="pl-PL"/>
        </w:rPr>
        <w:t>Polsce</w:t>
      </w:r>
      <w:r w:rsidRPr="001E7B72">
        <w:rPr>
          <w:rFonts w:eastAsia="Times New Roman"/>
          <w:szCs w:val="24"/>
          <w:lang w:val="pl-PL"/>
        </w:rPr>
        <w:t xml:space="preserve">, cytowany powyżej, pkt 43 i </w:t>
      </w:r>
      <w:proofErr w:type="spellStart"/>
      <w:r w:rsidRPr="001E7B72">
        <w:rPr>
          <w:i/>
          <w:szCs w:val="24"/>
          <w:lang w:val="pl-PL"/>
        </w:rPr>
        <w:t>Łomiński</w:t>
      </w:r>
      <w:proofErr w:type="spellEnd"/>
      <w:r w:rsidRPr="001E7B72">
        <w:rPr>
          <w:i/>
          <w:szCs w:val="24"/>
          <w:lang w:val="pl-PL"/>
        </w:rPr>
        <w:t xml:space="preserve"> </w:t>
      </w:r>
      <w:r w:rsidRPr="001B508E">
        <w:rPr>
          <w:i/>
          <w:szCs w:val="24"/>
          <w:lang w:val="pl-PL"/>
        </w:rPr>
        <w:t>przeciwko Polsce</w:t>
      </w:r>
      <w:r w:rsidRPr="001B508E">
        <w:rPr>
          <w:rFonts w:eastAsia="Times New Roman"/>
          <w:szCs w:val="24"/>
          <w:lang w:val="pl-PL"/>
        </w:rPr>
        <w:t>, cytowany powyżej, pkt 35).</w:t>
      </w:r>
    </w:p>
    <w:p w14:paraId="1ACEE9E1" w14:textId="77777777" w:rsidR="00234FC9" w:rsidRPr="001E7B72" w:rsidRDefault="00234FC9" w:rsidP="008214F0">
      <w:pPr>
        <w:pStyle w:val="ECHRPara"/>
        <w:rPr>
          <w:rFonts w:eastAsia="Times New Roman"/>
          <w:szCs w:val="24"/>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156</w:t>
      </w:r>
      <w:r w:rsidRPr="001B508E">
        <w:rPr>
          <w:lang w:val="pl-PL"/>
        </w:rPr>
        <w:fldChar w:fldCharType="end"/>
      </w:r>
      <w:r w:rsidRPr="001B508E">
        <w:rPr>
          <w:lang w:val="pl-PL"/>
        </w:rPr>
        <w:t xml:space="preserve">. Wynika z tego, że ta część skargi na mocy Artykułu 3 Konwencji </w:t>
      </w:r>
      <w:r w:rsidRPr="001B508E">
        <w:rPr>
          <w:b/>
          <w:lang w:val="pl-PL"/>
        </w:rPr>
        <w:t xml:space="preserve"> </w:t>
      </w:r>
      <w:r w:rsidRPr="001B508E">
        <w:rPr>
          <w:lang w:val="pl-PL"/>
        </w:rPr>
        <w:t xml:space="preserve">musi zostać odrzucona zgodnie z Artykułem 35 ust. 1 i 4 Konwencji z </w:t>
      </w:r>
      <w:r w:rsidRPr="001E7B72">
        <w:rPr>
          <w:lang w:val="pl-PL"/>
        </w:rPr>
        <w:t>powodu niewyczerpania środków odwoławczych przewidzianych prawem wewnętrznym.</w:t>
      </w:r>
    </w:p>
    <w:p w14:paraId="0EEF1D68" w14:textId="734B576E" w:rsidR="00234FC9" w:rsidRPr="001B508E" w:rsidRDefault="00234FC9" w:rsidP="008214F0">
      <w:pPr>
        <w:pStyle w:val="ECHRPara"/>
        <w:rPr>
          <w:rFonts w:eastAsia="Times New Roman"/>
          <w:lang w:val="pl-PL"/>
        </w:rPr>
      </w:pPr>
      <w:r w:rsidRPr="001E7B72">
        <w:rPr>
          <w:rFonts w:eastAsia="Times New Roman"/>
          <w:szCs w:val="24"/>
          <w:lang w:val="pl-PL"/>
        </w:rPr>
        <w:fldChar w:fldCharType="begin"/>
      </w:r>
      <w:r w:rsidRPr="001E7B72">
        <w:rPr>
          <w:rFonts w:eastAsia="Times New Roman"/>
          <w:szCs w:val="24"/>
          <w:lang w:val="pl-PL"/>
        </w:rPr>
        <w:instrText xml:space="preserve"> SEQ level0 \*arabic </w:instrText>
      </w:r>
      <w:r w:rsidRPr="001E7B72">
        <w:rPr>
          <w:rFonts w:eastAsia="Times New Roman"/>
          <w:szCs w:val="24"/>
          <w:lang w:val="pl-PL"/>
        </w:rPr>
        <w:fldChar w:fldCharType="separate"/>
      </w:r>
      <w:r w:rsidR="003876CB">
        <w:rPr>
          <w:rFonts w:eastAsia="Times New Roman"/>
          <w:noProof/>
          <w:szCs w:val="24"/>
          <w:lang w:val="pl-PL"/>
        </w:rPr>
        <w:t>157</w:t>
      </w:r>
      <w:r w:rsidRPr="001E7B72">
        <w:rPr>
          <w:rFonts w:eastAsia="Times New Roman"/>
          <w:szCs w:val="24"/>
          <w:lang w:val="pl-PL"/>
        </w:rPr>
        <w:fldChar w:fldCharType="end"/>
      </w:r>
      <w:r w:rsidRPr="001E7B72">
        <w:rPr>
          <w:rFonts w:eastAsia="Times New Roman"/>
          <w:szCs w:val="24"/>
          <w:lang w:val="pl-PL"/>
        </w:rPr>
        <w:t>. W odniesieniu do skargi dotyczącej nie</w:t>
      </w:r>
      <w:r w:rsidR="007D1050" w:rsidRPr="001E7B72">
        <w:rPr>
          <w:rFonts w:eastAsia="Times New Roman"/>
          <w:szCs w:val="24"/>
          <w:lang w:val="pl-PL"/>
        </w:rPr>
        <w:t>wystarczającej opieki medycznej</w:t>
      </w:r>
      <w:r w:rsidRPr="001E7B72">
        <w:rPr>
          <w:rFonts w:eastAsia="Times New Roman"/>
          <w:szCs w:val="24"/>
          <w:lang w:val="pl-PL"/>
        </w:rPr>
        <w:t xml:space="preserve"> </w:t>
      </w:r>
      <w:r w:rsidRPr="001E7B72">
        <w:rPr>
          <w:rFonts w:eastAsia="Times New Roman"/>
          <w:lang w:val="pl-PL"/>
        </w:rPr>
        <w:t>Trybunał podtrzymuje, że Artykułu 3 Konwencji nie można</w:t>
      </w:r>
      <w:r w:rsidR="007D1050" w:rsidRPr="001E7B72">
        <w:rPr>
          <w:rFonts w:eastAsia="Times New Roman"/>
          <w:lang w:val="pl-PL"/>
        </w:rPr>
        <w:t xml:space="preserve"> interpretować jako ustanawiającego ogólny</w:t>
      </w:r>
      <w:r w:rsidRPr="001E7B72">
        <w:rPr>
          <w:rFonts w:eastAsia="Times New Roman"/>
          <w:lang w:val="pl-PL"/>
        </w:rPr>
        <w:t xml:space="preserve"> obowiąz</w:t>
      </w:r>
      <w:r w:rsidR="007D1050" w:rsidRPr="001E7B72">
        <w:rPr>
          <w:rFonts w:eastAsia="Times New Roman"/>
          <w:lang w:val="pl-PL"/>
        </w:rPr>
        <w:t>ek</w:t>
      </w:r>
      <w:r w:rsidRPr="001E7B72">
        <w:rPr>
          <w:rFonts w:eastAsia="Times New Roman"/>
          <w:lang w:val="pl-PL"/>
        </w:rPr>
        <w:t xml:space="preserve"> zwolnienia </w:t>
      </w:r>
      <w:r w:rsidR="007D1050" w:rsidRPr="001E7B72">
        <w:rPr>
          <w:rFonts w:eastAsia="Times New Roman"/>
          <w:lang w:val="pl-PL"/>
        </w:rPr>
        <w:t>osadzonego</w:t>
      </w:r>
      <w:r w:rsidRPr="001E7B72">
        <w:rPr>
          <w:rFonts w:eastAsia="Times New Roman"/>
          <w:lang w:val="pl-PL"/>
        </w:rPr>
        <w:t xml:space="preserve"> z przyczyn zdrowotnych lub przeniesienia go do cywilnego szpitala, nawet jeśli cierpi z powodu szczególnie trudnej do wyleczenia choroby (zob. </w:t>
      </w:r>
      <w:proofErr w:type="spellStart"/>
      <w:r w:rsidRPr="001E7B72">
        <w:rPr>
          <w:rFonts w:eastAsia="Times New Roman"/>
          <w:i/>
          <w:lang w:val="pl-PL"/>
        </w:rPr>
        <w:t>Mouisel</w:t>
      </w:r>
      <w:proofErr w:type="spellEnd"/>
      <w:r w:rsidRPr="001E7B72">
        <w:rPr>
          <w:rFonts w:eastAsia="Times New Roman"/>
          <w:i/>
          <w:lang w:val="pl-PL"/>
        </w:rPr>
        <w:t xml:space="preserve"> przeciwko </w:t>
      </w:r>
      <w:r w:rsidRPr="001B508E">
        <w:rPr>
          <w:rFonts w:eastAsia="Times New Roman"/>
          <w:i/>
          <w:lang w:val="pl-PL"/>
        </w:rPr>
        <w:t>Francji</w:t>
      </w:r>
      <w:r w:rsidRPr="001B508E">
        <w:rPr>
          <w:rFonts w:eastAsia="Times New Roman"/>
          <w:lang w:val="pl-PL"/>
        </w:rPr>
        <w:t>, skarga nr 67263/01, pkt 40, ECHR 2002</w:t>
      </w:r>
      <w:r w:rsidRPr="001B508E">
        <w:rPr>
          <w:rFonts w:eastAsia="Times New Roman"/>
          <w:lang w:val="pl-PL"/>
        </w:rPr>
        <w:noBreakHyphen/>
        <w:t>IX).</w:t>
      </w:r>
    </w:p>
    <w:p w14:paraId="0647C8E5" w14:textId="77777777" w:rsidR="00234FC9" w:rsidRPr="001E7B72" w:rsidRDefault="00234FC9" w:rsidP="008214F0">
      <w:pPr>
        <w:pStyle w:val="ECHRPara"/>
        <w:rPr>
          <w:rFonts w:eastAsia="Times New Roman"/>
          <w:lang w:val="pl-PL"/>
        </w:rPr>
      </w:pPr>
      <w:r w:rsidRPr="001B508E">
        <w:rPr>
          <w:rFonts w:eastAsia="Times New Roman"/>
          <w:lang w:val="pl-PL"/>
        </w:rPr>
        <w:fldChar w:fldCharType="begin"/>
      </w:r>
      <w:r w:rsidRPr="001B508E">
        <w:rPr>
          <w:rFonts w:eastAsia="Times New Roman"/>
          <w:lang w:val="pl-PL"/>
        </w:rPr>
        <w:instrText xml:space="preserve"> SEQ level0 \*arabic </w:instrText>
      </w:r>
      <w:r w:rsidRPr="001B508E">
        <w:rPr>
          <w:rFonts w:eastAsia="Times New Roman"/>
          <w:lang w:val="pl-PL"/>
        </w:rPr>
        <w:fldChar w:fldCharType="separate"/>
      </w:r>
      <w:r w:rsidR="003876CB">
        <w:rPr>
          <w:rFonts w:eastAsia="Times New Roman"/>
          <w:noProof/>
          <w:lang w:val="pl-PL"/>
        </w:rPr>
        <w:t>158</w:t>
      </w:r>
      <w:r w:rsidRPr="001B508E">
        <w:rPr>
          <w:rFonts w:eastAsia="Times New Roman"/>
          <w:lang w:val="pl-PL"/>
        </w:rPr>
        <w:fldChar w:fldCharType="end"/>
      </w:r>
      <w:r w:rsidRPr="001B508E">
        <w:rPr>
          <w:rFonts w:eastAsia="Times New Roman"/>
          <w:lang w:val="pl-PL"/>
        </w:rPr>
        <w:t xml:space="preserve">. Trybunał zauważa, że skarżący cierpi na </w:t>
      </w:r>
      <w:r w:rsidRPr="001B508E">
        <w:rPr>
          <w:bCs/>
          <w:lang w:val="pl-PL"/>
        </w:rPr>
        <w:t xml:space="preserve">nadczynność tarczycy, astmę, silne bóle pleców, </w:t>
      </w:r>
      <w:r w:rsidRPr="001B508E">
        <w:rPr>
          <w:bCs/>
          <w:color w:val="222222"/>
          <w:lang w:val="pl-PL"/>
        </w:rPr>
        <w:t>dwustronną torbiel najądrza i nadciśnienie tętnicze</w:t>
      </w:r>
      <w:r w:rsidRPr="001B508E">
        <w:rPr>
          <w:rFonts w:eastAsia="Times New Roman"/>
          <w:lang w:val="pl-PL"/>
        </w:rPr>
        <w:t xml:space="preserve"> (zob. pkt 51 powyżej) i z tego powodu wymaga specjalistycznej opieki medycznej.</w:t>
      </w:r>
    </w:p>
    <w:p w14:paraId="0AF2AFD1" w14:textId="5E7D8444" w:rsidR="00234FC9" w:rsidRPr="001E7B72" w:rsidRDefault="00234FC9" w:rsidP="008214F0">
      <w:pPr>
        <w:pStyle w:val="ECHRPara"/>
        <w:rPr>
          <w:rFonts w:eastAsia="Times New Roman"/>
          <w:lang w:val="pl-PL"/>
        </w:rPr>
      </w:pPr>
      <w:r w:rsidRPr="001E7B72">
        <w:rPr>
          <w:rFonts w:eastAsia="Times New Roman"/>
          <w:lang w:val="pl-PL"/>
        </w:rPr>
        <w:fldChar w:fldCharType="begin"/>
      </w:r>
      <w:r w:rsidRPr="001E7B72">
        <w:rPr>
          <w:rFonts w:eastAsia="Times New Roman"/>
          <w:lang w:val="pl-PL"/>
        </w:rPr>
        <w:instrText xml:space="preserve"> SEQ level0 \*arabic </w:instrText>
      </w:r>
      <w:r w:rsidRPr="001E7B72">
        <w:rPr>
          <w:rFonts w:eastAsia="Times New Roman"/>
          <w:lang w:val="pl-PL"/>
        </w:rPr>
        <w:fldChar w:fldCharType="separate"/>
      </w:r>
      <w:r w:rsidR="003876CB">
        <w:rPr>
          <w:rFonts w:eastAsia="Times New Roman"/>
          <w:noProof/>
          <w:lang w:val="pl-PL"/>
        </w:rPr>
        <w:t>159</w:t>
      </w:r>
      <w:r w:rsidRPr="001E7B72">
        <w:rPr>
          <w:rFonts w:eastAsia="Times New Roman"/>
          <w:lang w:val="pl-PL"/>
        </w:rPr>
        <w:fldChar w:fldCharType="end"/>
      </w:r>
      <w:r w:rsidRPr="001E7B72">
        <w:rPr>
          <w:rFonts w:eastAsia="Times New Roman"/>
          <w:lang w:val="pl-PL"/>
        </w:rPr>
        <w:t xml:space="preserve">. Trybunał zauważa następnie, że sądy krajowe powtarzały, odnosząc się do raportów medycznych, że </w:t>
      </w:r>
      <w:r w:rsidR="007D1050" w:rsidRPr="001E7B72">
        <w:rPr>
          <w:rFonts w:eastAsia="Times New Roman"/>
          <w:lang w:val="pl-PL"/>
        </w:rPr>
        <w:t>tymczasowe aresztowanie</w:t>
      </w:r>
      <w:r w:rsidRPr="001E7B72">
        <w:rPr>
          <w:rFonts w:eastAsia="Times New Roman"/>
          <w:lang w:val="pl-PL"/>
        </w:rPr>
        <w:t xml:space="preserve"> skarżącego było możliwe</w:t>
      </w:r>
      <w:r w:rsidRPr="001E7B72">
        <w:rPr>
          <w:lang w:val="pl-PL"/>
        </w:rPr>
        <w:t xml:space="preserve"> oraz że </w:t>
      </w:r>
      <w:r w:rsidR="007D1050" w:rsidRPr="001E7B72">
        <w:rPr>
          <w:lang w:val="pl-PL"/>
        </w:rPr>
        <w:t>mógł</w:t>
      </w:r>
      <w:r w:rsidRPr="001E7B72">
        <w:rPr>
          <w:lang w:val="pl-PL"/>
        </w:rPr>
        <w:t xml:space="preserve"> on być leczony na terenie zakładu penitencjarnego (zob. pkt 22 powyżej). </w:t>
      </w:r>
      <w:r w:rsidRPr="001E7B72">
        <w:rPr>
          <w:rFonts w:eastAsia="Times New Roman"/>
          <w:lang w:val="pl-PL"/>
        </w:rPr>
        <w:t>W odniesieniu do adekwatności zapewnionej opieki zdrowotnej, Trybunał odnotowuje, że w okresie pozbawienia wolności skarżący regularnie odbywał konsultacje lekarskie i przeszedł szereg badań. Otrzymał również leczenie farmakologiczne (zob. pkt 51 powyżej</w:t>
      </w:r>
      <w:r w:rsidRPr="001B508E">
        <w:rPr>
          <w:rFonts w:eastAsia="Times New Roman"/>
          <w:lang w:val="pl-PL"/>
        </w:rPr>
        <w:t xml:space="preserve">). </w:t>
      </w:r>
      <w:r w:rsidR="007D1050">
        <w:rPr>
          <w:rFonts w:eastAsia="Times New Roman"/>
          <w:lang w:val="pl-PL"/>
        </w:rPr>
        <w:t>Bazując na posiadanych dowodach</w:t>
      </w:r>
      <w:r w:rsidRPr="001B508E">
        <w:rPr>
          <w:rFonts w:eastAsia="Times New Roman"/>
          <w:lang w:val="pl-PL"/>
        </w:rPr>
        <w:t xml:space="preserve"> Trybunał nie znajduje </w:t>
      </w:r>
      <w:r w:rsidR="007D1050">
        <w:rPr>
          <w:rFonts w:eastAsia="Times New Roman"/>
          <w:lang w:val="pl-PL"/>
        </w:rPr>
        <w:t xml:space="preserve">żadnego </w:t>
      </w:r>
      <w:r w:rsidRPr="001B508E">
        <w:rPr>
          <w:rFonts w:eastAsia="Times New Roman"/>
          <w:lang w:val="pl-PL"/>
        </w:rPr>
        <w:t xml:space="preserve">wskazania, </w:t>
      </w:r>
      <w:r w:rsidR="007D1050">
        <w:rPr>
          <w:rFonts w:eastAsia="Times New Roman"/>
          <w:lang w:val="pl-PL"/>
        </w:rPr>
        <w:t>że</w:t>
      </w:r>
      <w:r w:rsidRPr="001B508E">
        <w:rPr>
          <w:rFonts w:eastAsia="Times New Roman"/>
          <w:lang w:val="pl-PL"/>
        </w:rPr>
        <w:t xml:space="preserve"> opieka zdrowotna zapewniona skarżącemu była niewystarczająca lub poniżej poziomu opieki zdrowotnej dostępnej ogółowi populacji (zob. </w:t>
      </w:r>
      <w:r w:rsidRPr="001B508E">
        <w:rPr>
          <w:rFonts w:eastAsia="Times New Roman"/>
          <w:i/>
          <w:lang w:val="pl-PL"/>
        </w:rPr>
        <w:t xml:space="preserve">Nitecki </w:t>
      </w:r>
      <w:r w:rsidRPr="001E7B72">
        <w:rPr>
          <w:rFonts w:eastAsia="Times New Roman"/>
          <w:i/>
          <w:lang w:val="pl-PL"/>
        </w:rPr>
        <w:t>przeciwko Polsce</w:t>
      </w:r>
      <w:r w:rsidRPr="001E7B72">
        <w:rPr>
          <w:rFonts w:eastAsia="Times New Roman"/>
          <w:lang w:val="pl-PL"/>
        </w:rPr>
        <w:t xml:space="preserve"> (</w:t>
      </w:r>
      <w:proofErr w:type="spellStart"/>
      <w:r w:rsidRPr="001E7B72">
        <w:rPr>
          <w:rFonts w:eastAsia="Times New Roman"/>
          <w:lang w:val="pl-PL"/>
        </w:rPr>
        <w:t>dec</w:t>
      </w:r>
      <w:proofErr w:type="spellEnd"/>
      <w:r w:rsidRPr="001E7B72">
        <w:rPr>
          <w:rFonts w:eastAsia="Times New Roman"/>
          <w:lang w:val="pl-PL"/>
        </w:rPr>
        <w:t>.), skarga nr </w:t>
      </w:r>
      <w:hyperlink r:id="rId11" w:anchor="{&quot;appno&quot;:[&quot;65653/01&quot;]}" w:tgtFrame="_blank" w:history="1">
        <w:r w:rsidRPr="001E7B72">
          <w:rPr>
            <w:rFonts w:eastAsia="Times New Roman"/>
            <w:lang w:val="pl-PL"/>
          </w:rPr>
          <w:t>65653/01</w:t>
        </w:r>
      </w:hyperlink>
      <w:r w:rsidRPr="001E7B72">
        <w:rPr>
          <w:rFonts w:eastAsia="Times New Roman"/>
          <w:lang w:val="pl-PL"/>
        </w:rPr>
        <w:t>, z dnia 21 March 2002).</w:t>
      </w:r>
    </w:p>
    <w:p w14:paraId="1B4FA85D" w14:textId="1A58C297" w:rsidR="00234FC9" w:rsidRPr="001E7B72" w:rsidRDefault="00234FC9" w:rsidP="008214F0">
      <w:pPr>
        <w:pStyle w:val="ECHRPara"/>
        <w:rPr>
          <w:rFonts w:eastAsia="Times New Roman"/>
          <w:lang w:val="pl-PL"/>
        </w:rPr>
      </w:pPr>
      <w:r w:rsidRPr="001E7B72">
        <w:rPr>
          <w:rFonts w:eastAsia="Times New Roman"/>
          <w:lang w:val="pl-PL"/>
        </w:rPr>
        <w:fldChar w:fldCharType="begin"/>
      </w:r>
      <w:r w:rsidRPr="001E7B72">
        <w:rPr>
          <w:rFonts w:eastAsia="Times New Roman"/>
          <w:lang w:val="pl-PL"/>
        </w:rPr>
        <w:instrText xml:space="preserve"> SEQ level0 \*arabic </w:instrText>
      </w:r>
      <w:r w:rsidRPr="001E7B72">
        <w:rPr>
          <w:rFonts w:eastAsia="Times New Roman"/>
          <w:lang w:val="pl-PL"/>
        </w:rPr>
        <w:fldChar w:fldCharType="separate"/>
      </w:r>
      <w:r w:rsidR="003876CB">
        <w:rPr>
          <w:rFonts w:eastAsia="Times New Roman"/>
          <w:noProof/>
          <w:lang w:val="pl-PL"/>
        </w:rPr>
        <w:t>160</w:t>
      </w:r>
      <w:r w:rsidRPr="001E7B72">
        <w:rPr>
          <w:rFonts w:eastAsia="Times New Roman"/>
          <w:lang w:val="pl-PL"/>
        </w:rPr>
        <w:fldChar w:fldCharType="end"/>
      </w:r>
      <w:r w:rsidRPr="001E7B72">
        <w:rPr>
          <w:rFonts w:eastAsia="Times New Roman"/>
          <w:lang w:val="pl-PL"/>
        </w:rPr>
        <w:t>. Wynika z tego, że ta część skargi na mocy Artykułu 3 Konwencji jest oczywiście bezzasadna i musi zostać odrzucona zgodnie z Artykułem 35 ust. 3</w:t>
      </w:r>
      <w:r w:rsidR="007D1050" w:rsidRPr="001E7B72">
        <w:rPr>
          <w:rFonts w:eastAsia="Times New Roman"/>
          <w:lang w:val="pl-PL"/>
        </w:rPr>
        <w:t>(</w:t>
      </w:r>
      <w:r w:rsidRPr="001E7B72">
        <w:rPr>
          <w:rFonts w:eastAsia="Times New Roman"/>
          <w:lang w:val="pl-PL"/>
        </w:rPr>
        <w:t>a</w:t>
      </w:r>
      <w:r w:rsidR="007D1050" w:rsidRPr="001E7B72">
        <w:rPr>
          <w:rFonts w:eastAsia="Times New Roman"/>
          <w:lang w:val="pl-PL"/>
        </w:rPr>
        <w:t>)</w:t>
      </w:r>
      <w:r w:rsidRPr="001E7B72">
        <w:rPr>
          <w:rFonts w:eastAsia="Times New Roman"/>
          <w:lang w:val="pl-PL"/>
        </w:rPr>
        <w:t xml:space="preserve"> i ust. 4 Konwencji.</w:t>
      </w:r>
    </w:p>
    <w:p w14:paraId="59FABD8B" w14:textId="77777777" w:rsidR="00234FC9" w:rsidRPr="001E7B72" w:rsidRDefault="00234FC9" w:rsidP="008214F0">
      <w:pPr>
        <w:pStyle w:val="ECHRPara"/>
        <w:rPr>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161</w:t>
      </w:r>
      <w:r w:rsidRPr="001E7B72">
        <w:rPr>
          <w:lang w:val="pl-PL"/>
        </w:rPr>
        <w:fldChar w:fldCharType="end"/>
      </w:r>
      <w:r w:rsidRPr="001E7B72">
        <w:rPr>
          <w:lang w:val="pl-PL"/>
        </w:rPr>
        <w:t>. Skarżący podnosi również zarzut, że nie został on niezwłocznie postawiony przed sędzią po przetransportowaniu do Polski.</w:t>
      </w:r>
    </w:p>
    <w:p w14:paraId="03465B76" w14:textId="6694789F" w:rsidR="00234FC9" w:rsidRPr="001E7B72" w:rsidRDefault="00234FC9" w:rsidP="008214F0">
      <w:pPr>
        <w:pStyle w:val="ECHRPara"/>
        <w:rPr>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162</w:t>
      </w:r>
      <w:r w:rsidRPr="001E7B72">
        <w:rPr>
          <w:lang w:val="pl-PL"/>
        </w:rPr>
        <w:fldChar w:fldCharType="end"/>
      </w:r>
      <w:r w:rsidRPr="001E7B72">
        <w:rPr>
          <w:lang w:val="pl-PL"/>
        </w:rPr>
        <w:t xml:space="preserve">. Trybunał uważa, że skargę </w:t>
      </w:r>
      <w:r w:rsidRPr="001B508E">
        <w:rPr>
          <w:lang w:val="pl-PL"/>
        </w:rPr>
        <w:t xml:space="preserve">tę należy rozpatrywać w trybie Artykułu 5 ust. 3 Konwencji. Trybunał zauważa następnie, że skarżący został przekazany władzom polskim w dniu 21 grudnia 2006 roku i doprowadzony przed Sąd Rejonowy w </w:t>
      </w:r>
      <w:r w:rsidRPr="001E7B72">
        <w:rPr>
          <w:lang w:val="pl-PL"/>
        </w:rPr>
        <w:t xml:space="preserve">Lublinie, który </w:t>
      </w:r>
      <w:r w:rsidR="007D1050" w:rsidRPr="001E7B72">
        <w:rPr>
          <w:lang w:val="pl-PL"/>
        </w:rPr>
        <w:t>zastosował tymczasowe aresztowanie</w:t>
      </w:r>
      <w:r w:rsidRPr="001E7B72">
        <w:rPr>
          <w:lang w:val="pl-PL"/>
        </w:rPr>
        <w:t xml:space="preserve"> w dniu 28 grudnia 2006 roku. Jednakże obecna skarga została przedstawiona dopiero 4 lutego 2008 roku. Wynika z tego, że skarga ta została </w:t>
      </w:r>
      <w:r w:rsidR="007D1050" w:rsidRPr="001E7B72">
        <w:rPr>
          <w:lang w:val="pl-PL"/>
        </w:rPr>
        <w:t>złożona</w:t>
      </w:r>
      <w:r w:rsidRPr="001E7B72">
        <w:rPr>
          <w:lang w:val="pl-PL"/>
        </w:rPr>
        <w:t xml:space="preserve"> po terminie i musi zostać odrzucona zgodnie z Artykułem 35 ust. 1 i 4 Konwencji.</w:t>
      </w:r>
    </w:p>
    <w:p w14:paraId="3D2F68CD" w14:textId="02F9BEF1"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163</w:t>
      </w:r>
      <w:r w:rsidRPr="001B508E">
        <w:rPr>
          <w:lang w:val="pl-PL"/>
        </w:rPr>
        <w:fldChar w:fldCharType="end"/>
      </w:r>
      <w:r w:rsidRPr="001B508E">
        <w:rPr>
          <w:lang w:val="pl-PL"/>
        </w:rPr>
        <w:t>. Skarżący podniósł następnie zarzut</w:t>
      </w:r>
      <w:r w:rsidRPr="001E7B72">
        <w:rPr>
          <w:lang w:val="pl-PL"/>
        </w:rPr>
        <w:t xml:space="preserve">, </w:t>
      </w:r>
      <w:r w:rsidR="007D1050" w:rsidRPr="001E7B72">
        <w:rPr>
          <w:lang w:val="pl-PL"/>
        </w:rPr>
        <w:t>bez odniesienia</w:t>
      </w:r>
      <w:r w:rsidRPr="001E7B72">
        <w:rPr>
          <w:lang w:val="pl-PL"/>
        </w:rPr>
        <w:t xml:space="preserve"> się </w:t>
      </w:r>
      <w:r w:rsidR="007D1050" w:rsidRPr="001E7B72">
        <w:rPr>
          <w:lang w:val="pl-PL"/>
        </w:rPr>
        <w:t>do jakichkolwiek postanowień</w:t>
      </w:r>
      <w:r w:rsidRPr="001E7B72">
        <w:rPr>
          <w:lang w:val="pl-PL"/>
        </w:rPr>
        <w:t xml:space="preserve"> Konwencji, dotyczący umorzenia postępowania </w:t>
      </w:r>
      <w:r w:rsidRPr="001E7B72">
        <w:rPr>
          <w:lang w:val="pl-PL"/>
        </w:rPr>
        <w:lastRenderedPageBreak/>
        <w:t>karnego przeciwko personelowi medycznemu i pielęgniarskiemu</w:t>
      </w:r>
      <w:r w:rsidRPr="001B508E">
        <w:rPr>
          <w:lang w:val="pl-PL"/>
        </w:rPr>
        <w:t xml:space="preserve"> oddziału szpitalnego Aresztu Śledczego w Lublinie.</w:t>
      </w:r>
    </w:p>
    <w:p w14:paraId="5ED45D62" w14:textId="0C59B798"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164</w:t>
      </w:r>
      <w:r w:rsidRPr="001B508E">
        <w:rPr>
          <w:lang w:val="pl-PL"/>
        </w:rPr>
        <w:fldChar w:fldCharType="end"/>
      </w:r>
      <w:r w:rsidRPr="001B508E">
        <w:rPr>
          <w:lang w:val="pl-PL"/>
        </w:rPr>
        <w:t xml:space="preserve">. Trybunał </w:t>
      </w:r>
      <w:r w:rsidR="00453A7B">
        <w:rPr>
          <w:lang w:val="pl-PL"/>
        </w:rPr>
        <w:t>powtarza</w:t>
      </w:r>
      <w:r w:rsidRPr="001B508E">
        <w:rPr>
          <w:lang w:val="pl-PL"/>
        </w:rPr>
        <w:t xml:space="preserve">, że Konwencja nie obejmuje prawa do pociągania do odpowiedzialności karnej osób trzecich ani ich skazywania. Wynika z tego, że zarzut </w:t>
      </w:r>
      <w:r w:rsidRPr="001E7B72">
        <w:rPr>
          <w:lang w:val="pl-PL"/>
        </w:rPr>
        <w:t xml:space="preserve">ten </w:t>
      </w:r>
      <w:r w:rsidR="00453A7B" w:rsidRPr="001E7B72">
        <w:rPr>
          <w:lang w:val="pl-PL"/>
        </w:rPr>
        <w:t xml:space="preserve">jest </w:t>
      </w:r>
      <w:proofErr w:type="spellStart"/>
      <w:r w:rsidRPr="001E7B72">
        <w:rPr>
          <w:i/>
          <w:lang w:val="pl-PL"/>
        </w:rPr>
        <w:t>ratione</w:t>
      </w:r>
      <w:proofErr w:type="spellEnd"/>
      <w:r w:rsidRPr="001E7B72">
        <w:rPr>
          <w:i/>
          <w:lang w:val="pl-PL"/>
        </w:rPr>
        <w:t xml:space="preserve"> </w:t>
      </w:r>
      <w:proofErr w:type="spellStart"/>
      <w:r w:rsidRPr="001E7B72">
        <w:rPr>
          <w:i/>
          <w:lang w:val="pl-PL"/>
        </w:rPr>
        <w:t>materiae</w:t>
      </w:r>
      <w:proofErr w:type="spellEnd"/>
      <w:r w:rsidR="00453A7B" w:rsidRPr="001E7B72">
        <w:rPr>
          <w:lang w:val="pl-PL"/>
        </w:rPr>
        <w:t xml:space="preserve"> niezgodny</w:t>
      </w:r>
      <w:r w:rsidRPr="001E7B72">
        <w:rPr>
          <w:lang w:val="pl-PL"/>
        </w:rPr>
        <w:t xml:space="preserve"> z postanowieniami Konwencji w rozumieniu Artykułu 35 ust. 3 </w:t>
      </w:r>
      <w:r w:rsidR="00453A7B" w:rsidRPr="001E7B72">
        <w:rPr>
          <w:lang w:val="pl-PL"/>
        </w:rPr>
        <w:t>(a)</w:t>
      </w:r>
      <w:r w:rsidRPr="001E7B72">
        <w:rPr>
          <w:lang w:val="pl-PL"/>
        </w:rPr>
        <w:t xml:space="preserve"> </w:t>
      </w:r>
      <w:r w:rsidRPr="001B508E">
        <w:rPr>
          <w:lang w:val="pl-PL"/>
        </w:rPr>
        <w:t xml:space="preserve">i w myśl Artykułu 35 ust. 4 </w:t>
      </w:r>
      <w:r w:rsidR="00453A7B">
        <w:rPr>
          <w:lang w:val="pl-PL"/>
        </w:rPr>
        <w:t xml:space="preserve">skarga w tym zakresie </w:t>
      </w:r>
      <w:r w:rsidRPr="001B508E">
        <w:rPr>
          <w:lang w:val="pl-PL"/>
        </w:rPr>
        <w:t>musi zostać odrzucon</w:t>
      </w:r>
      <w:r w:rsidR="00453A7B">
        <w:rPr>
          <w:lang w:val="pl-PL"/>
        </w:rPr>
        <w:t>a</w:t>
      </w:r>
      <w:r w:rsidRPr="001B508E">
        <w:rPr>
          <w:lang w:val="pl-PL"/>
        </w:rPr>
        <w:t>.</w:t>
      </w:r>
    </w:p>
    <w:p w14:paraId="140F7270" w14:textId="3B60E88B"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165</w:t>
      </w:r>
      <w:r w:rsidRPr="001B508E">
        <w:rPr>
          <w:lang w:val="pl-PL"/>
        </w:rPr>
        <w:fldChar w:fldCharType="end"/>
      </w:r>
      <w:r w:rsidR="00453A7B">
        <w:rPr>
          <w:lang w:val="pl-PL"/>
        </w:rPr>
        <w:t>. Wreszcie</w:t>
      </w:r>
      <w:r w:rsidRPr="001B508E">
        <w:rPr>
          <w:lang w:val="pl-PL"/>
        </w:rPr>
        <w:t xml:space="preserve"> skarżący twierdzi, że korespondencja od jego adwokata była cenzurowana.</w:t>
      </w:r>
    </w:p>
    <w:p w14:paraId="2FA5F380" w14:textId="6A3149A9"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166</w:t>
      </w:r>
      <w:r w:rsidRPr="001B508E">
        <w:rPr>
          <w:lang w:val="pl-PL"/>
        </w:rPr>
        <w:fldChar w:fldCharType="end"/>
      </w:r>
      <w:r w:rsidRPr="001B508E">
        <w:rPr>
          <w:lang w:val="pl-PL"/>
        </w:rPr>
        <w:t xml:space="preserve">. Trybunał zauważa, że skarżący nie przedstawił żadnych dokumentów, ani </w:t>
      </w:r>
      <w:r w:rsidR="00453A7B" w:rsidRPr="001E7B72">
        <w:rPr>
          <w:lang w:val="pl-PL"/>
        </w:rPr>
        <w:t>kopert</w:t>
      </w:r>
      <w:r w:rsidRPr="001B508E">
        <w:rPr>
          <w:lang w:val="pl-PL"/>
        </w:rPr>
        <w:t xml:space="preserve"> na poparcie swojej skargi. Trybunał stwierdza zatem, że zarzut ten jest bezpodstawny i powinien być odrzucony zgodnie z Artykułem 35 ust. 3 </w:t>
      </w:r>
      <w:r w:rsidR="00453A7B">
        <w:rPr>
          <w:lang w:val="pl-PL"/>
        </w:rPr>
        <w:t>(</w:t>
      </w:r>
      <w:r w:rsidRPr="001B508E">
        <w:rPr>
          <w:lang w:val="pl-PL"/>
        </w:rPr>
        <w:t>a</w:t>
      </w:r>
      <w:r w:rsidR="00453A7B">
        <w:rPr>
          <w:lang w:val="pl-PL"/>
        </w:rPr>
        <w:t>)</w:t>
      </w:r>
      <w:r w:rsidRPr="001B508E">
        <w:rPr>
          <w:lang w:val="pl-PL"/>
        </w:rPr>
        <w:t xml:space="preserve"> i ust. 4 Konwencji.</w:t>
      </w:r>
    </w:p>
    <w:p w14:paraId="0C7B53EA" w14:textId="77777777" w:rsidR="00234FC9" w:rsidRPr="001B508E" w:rsidRDefault="00234FC9" w:rsidP="008214F0">
      <w:pPr>
        <w:pStyle w:val="ECHRHeading1"/>
        <w:rPr>
          <w:lang w:val="pl-PL"/>
        </w:rPr>
      </w:pPr>
      <w:r w:rsidRPr="001B508E">
        <w:rPr>
          <w:lang w:val="pl-PL"/>
        </w:rPr>
        <w:t>VIII. ZASTOSOWANIE ARTYKUŁU 41 KONWENCJI</w:t>
      </w:r>
    </w:p>
    <w:p w14:paraId="724EE663"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167</w:t>
      </w:r>
      <w:r w:rsidRPr="001B508E">
        <w:rPr>
          <w:lang w:val="pl-PL"/>
        </w:rPr>
        <w:fldChar w:fldCharType="end"/>
      </w:r>
      <w:r w:rsidRPr="001B508E">
        <w:rPr>
          <w:lang w:val="pl-PL"/>
        </w:rPr>
        <w:t>. Artykuł 41 Konwencji stanowi:</w:t>
      </w:r>
    </w:p>
    <w:p w14:paraId="57E94E83" w14:textId="77777777" w:rsidR="00234FC9" w:rsidRPr="001B508E" w:rsidRDefault="00234FC9" w:rsidP="008214F0">
      <w:pPr>
        <w:pStyle w:val="ECHRParaQuote"/>
      </w:pPr>
      <w:r w:rsidRPr="001B508E">
        <w:t>“Trybunał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C75DCD2" w14:textId="77777777" w:rsidR="00234FC9" w:rsidRPr="001B508E" w:rsidRDefault="00234FC9" w:rsidP="008214F0">
      <w:pPr>
        <w:pStyle w:val="ECHRHeading2"/>
        <w:rPr>
          <w:lang w:val="pl-PL"/>
        </w:rPr>
      </w:pPr>
      <w:r w:rsidRPr="001B508E">
        <w:rPr>
          <w:lang w:val="pl-PL"/>
        </w:rPr>
        <w:t>A. Szkoda</w:t>
      </w:r>
    </w:p>
    <w:p w14:paraId="40A526FA" w14:textId="6D174925" w:rsidR="00234FC9" w:rsidRPr="001E7B72" w:rsidRDefault="00234FC9" w:rsidP="008214F0">
      <w:pPr>
        <w:pStyle w:val="ECHRPara"/>
        <w:rPr>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168</w:t>
      </w:r>
      <w:r w:rsidRPr="001E7B72">
        <w:rPr>
          <w:lang w:val="pl-PL"/>
        </w:rPr>
        <w:fldChar w:fldCharType="end"/>
      </w:r>
      <w:r w:rsidRPr="001E7B72">
        <w:rPr>
          <w:lang w:val="pl-PL"/>
        </w:rPr>
        <w:t>. Skarżący domagał się kwoty 55</w:t>
      </w:r>
      <w:r w:rsidR="00453A7B" w:rsidRPr="001E7B72">
        <w:rPr>
          <w:lang w:val="pl-PL"/>
        </w:rPr>
        <w:t xml:space="preserve"> </w:t>
      </w:r>
      <w:r w:rsidRPr="001E7B72">
        <w:rPr>
          <w:lang w:val="pl-PL"/>
        </w:rPr>
        <w:t>000 euro (EUR) z tytułu d</w:t>
      </w:r>
      <w:r w:rsidR="00453A7B" w:rsidRPr="001E7B72">
        <w:rPr>
          <w:lang w:val="pl-PL"/>
        </w:rPr>
        <w:t>oznanej szkody niemajątkowej.</w:t>
      </w:r>
    </w:p>
    <w:p w14:paraId="1AD511A0" w14:textId="62B70E8B" w:rsidR="00234FC9" w:rsidRPr="001E7B72" w:rsidRDefault="00234FC9" w:rsidP="008214F0">
      <w:pPr>
        <w:pStyle w:val="ECHRPara"/>
        <w:rPr>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169</w:t>
      </w:r>
      <w:r w:rsidRPr="001E7B72">
        <w:rPr>
          <w:lang w:val="pl-PL"/>
        </w:rPr>
        <w:fldChar w:fldCharType="end"/>
      </w:r>
      <w:r w:rsidRPr="001E7B72">
        <w:rPr>
          <w:lang w:val="pl-PL"/>
        </w:rPr>
        <w:t xml:space="preserve">. Rząd </w:t>
      </w:r>
      <w:r w:rsidR="00453A7B" w:rsidRPr="001E7B72">
        <w:rPr>
          <w:lang w:val="pl-PL"/>
        </w:rPr>
        <w:t>stwierdził, że kwota żądana jako zadośćuczynienie za szkodę niemajątkową jest wygórowana i niezgodna</w:t>
      </w:r>
      <w:r w:rsidRPr="001E7B72">
        <w:rPr>
          <w:lang w:val="pl-PL"/>
        </w:rPr>
        <w:t xml:space="preserve"> z kwot</w:t>
      </w:r>
      <w:r w:rsidR="00453A7B" w:rsidRPr="001E7B72">
        <w:rPr>
          <w:lang w:val="pl-PL"/>
        </w:rPr>
        <w:t>ami przyznawanymi</w:t>
      </w:r>
      <w:r w:rsidRPr="001E7B72">
        <w:rPr>
          <w:lang w:val="pl-PL"/>
        </w:rPr>
        <w:t xml:space="preserve"> przez</w:t>
      </w:r>
      <w:r w:rsidR="0017250C" w:rsidRPr="001E7B72">
        <w:rPr>
          <w:lang w:val="pl-PL"/>
        </w:rPr>
        <w:t xml:space="preserve"> Trybunał w podobnych sprawach.</w:t>
      </w:r>
    </w:p>
    <w:p w14:paraId="7B11E191" w14:textId="10CC3C04" w:rsidR="00234FC9" w:rsidRPr="001E7B72" w:rsidRDefault="00234FC9" w:rsidP="008214F0">
      <w:pPr>
        <w:pStyle w:val="ECHRPara"/>
        <w:rPr>
          <w:lang w:val="pl-PL"/>
        </w:rPr>
      </w:pPr>
      <w:r w:rsidRPr="001E7B72">
        <w:rPr>
          <w:lang w:val="pl-PL"/>
        </w:rPr>
        <w:fldChar w:fldCharType="begin"/>
      </w:r>
      <w:r w:rsidRPr="001E7B72">
        <w:rPr>
          <w:lang w:val="pl-PL"/>
        </w:rPr>
        <w:instrText xml:space="preserve"> SEQ level0 \*arabic </w:instrText>
      </w:r>
      <w:r w:rsidRPr="001E7B72">
        <w:rPr>
          <w:lang w:val="pl-PL"/>
        </w:rPr>
        <w:fldChar w:fldCharType="separate"/>
      </w:r>
      <w:r w:rsidR="003876CB">
        <w:rPr>
          <w:noProof/>
          <w:lang w:val="pl-PL"/>
        </w:rPr>
        <w:t>170</w:t>
      </w:r>
      <w:r w:rsidRPr="001E7B72">
        <w:rPr>
          <w:lang w:val="pl-PL"/>
        </w:rPr>
        <w:fldChar w:fldCharType="end"/>
      </w:r>
      <w:r w:rsidRPr="001E7B72">
        <w:rPr>
          <w:lang w:val="pl-PL"/>
        </w:rPr>
        <w:t>. Trybunał przyznaje skarż</w:t>
      </w:r>
      <w:r w:rsidR="00453A7B" w:rsidRPr="001E7B72">
        <w:rPr>
          <w:lang w:val="pl-PL"/>
        </w:rPr>
        <w:t xml:space="preserve">ącemu kwotę 14 </w:t>
      </w:r>
      <w:r w:rsidRPr="001E7B72">
        <w:rPr>
          <w:lang w:val="pl-PL"/>
        </w:rPr>
        <w:t xml:space="preserve">000 euro z tytułu doznanej szkody </w:t>
      </w:r>
      <w:r w:rsidR="00453A7B" w:rsidRPr="001E7B72">
        <w:rPr>
          <w:lang w:val="pl-PL"/>
        </w:rPr>
        <w:t>niemajątkowej.</w:t>
      </w:r>
    </w:p>
    <w:p w14:paraId="78076B96" w14:textId="77777777" w:rsidR="00234FC9" w:rsidRPr="001B508E" w:rsidRDefault="00234FC9" w:rsidP="008214F0">
      <w:pPr>
        <w:pStyle w:val="ECHRHeading2"/>
        <w:rPr>
          <w:lang w:val="pl-PL"/>
        </w:rPr>
      </w:pPr>
      <w:r w:rsidRPr="001B508E">
        <w:rPr>
          <w:lang w:val="pl-PL"/>
        </w:rPr>
        <w:t>B. Koszty i wydatki</w:t>
      </w:r>
    </w:p>
    <w:p w14:paraId="4FB759B2" w14:textId="4469D331"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171</w:t>
      </w:r>
      <w:r w:rsidRPr="001B508E">
        <w:rPr>
          <w:lang w:val="pl-PL"/>
        </w:rPr>
        <w:fldChar w:fldCharType="end"/>
      </w:r>
      <w:r w:rsidRPr="001B508E">
        <w:rPr>
          <w:lang w:val="pl-PL"/>
        </w:rPr>
        <w:t>. Skarżący zażądał również 6</w:t>
      </w:r>
      <w:r w:rsidR="00453A7B">
        <w:rPr>
          <w:lang w:val="pl-PL"/>
        </w:rPr>
        <w:t xml:space="preserve"> </w:t>
      </w:r>
      <w:r w:rsidRPr="001B508E">
        <w:rPr>
          <w:lang w:val="pl-PL"/>
        </w:rPr>
        <w:t xml:space="preserve">150 polskich złotych </w:t>
      </w:r>
      <w:r w:rsidR="00453A7B">
        <w:rPr>
          <w:lang w:val="pl-PL"/>
        </w:rPr>
        <w:t>tytułem kosztów i wydatków</w:t>
      </w:r>
      <w:r w:rsidRPr="001B508E">
        <w:rPr>
          <w:lang w:val="pl-PL"/>
        </w:rPr>
        <w:t xml:space="preserve"> poniesionych w postępowaniu przed Trybunałem.</w:t>
      </w:r>
    </w:p>
    <w:p w14:paraId="47F8D369" w14:textId="3634568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172</w:t>
      </w:r>
      <w:r w:rsidRPr="001B508E">
        <w:rPr>
          <w:lang w:val="pl-PL"/>
        </w:rPr>
        <w:fldChar w:fldCharType="end"/>
      </w:r>
      <w:r w:rsidRPr="001B508E">
        <w:rPr>
          <w:lang w:val="pl-PL"/>
        </w:rPr>
        <w:t>. Rząd wystąpił do Trybunału o przyznanie kwoty tylko</w:t>
      </w:r>
      <w:r w:rsidR="00453A7B">
        <w:rPr>
          <w:lang w:val="pl-PL"/>
        </w:rPr>
        <w:t xml:space="preserve"> w przypadku, </w:t>
      </w:r>
      <w:r w:rsidRPr="001B508E">
        <w:rPr>
          <w:lang w:val="pl-PL"/>
        </w:rPr>
        <w:t>jeśli koszty i wydatki zostały fak</w:t>
      </w:r>
      <w:r w:rsidR="0017250C">
        <w:rPr>
          <w:lang w:val="pl-PL"/>
        </w:rPr>
        <w:t>tycznie i koniecznie poniesione oraz są rozsądne co do kwoty.</w:t>
      </w:r>
    </w:p>
    <w:p w14:paraId="2FD34381" w14:textId="061E3430" w:rsidR="00234FC9" w:rsidRPr="0016080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173</w:t>
      </w:r>
      <w:r w:rsidRPr="001B508E">
        <w:rPr>
          <w:lang w:val="pl-PL"/>
        </w:rPr>
        <w:fldChar w:fldCharType="end"/>
      </w:r>
      <w:r w:rsidRPr="001B508E">
        <w:rPr>
          <w:lang w:val="pl-PL"/>
        </w:rPr>
        <w:t xml:space="preserve">. </w:t>
      </w:r>
      <w:r w:rsidR="0017250C" w:rsidRPr="0017250C">
        <w:rPr>
          <w:lang w:val="pl-PL"/>
        </w:rPr>
        <w:t xml:space="preserve">Zgodnie z orzecznictwem Trybunału, skarżący jest uprawniony do zwrotu kosztów i wydatków jedynie w </w:t>
      </w:r>
      <w:r w:rsidR="0017250C" w:rsidRPr="0016080E">
        <w:rPr>
          <w:lang w:val="pl-PL"/>
        </w:rPr>
        <w:t xml:space="preserve">zakresie, w jakim zostało wykazane, że zostały one faktycznie i koniecznie poniesione oraz były rozsądne co do kwoty. </w:t>
      </w:r>
      <w:r w:rsidRPr="0016080E">
        <w:rPr>
          <w:lang w:val="pl-PL"/>
        </w:rPr>
        <w:t xml:space="preserve">W obecnej sprawie, po uwzględnieniu </w:t>
      </w:r>
      <w:r w:rsidR="00E83850" w:rsidRPr="0016080E">
        <w:rPr>
          <w:lang w:val="pl-PL"/>
        </w:rPr>
        <w:t xml:space="preserve">posiadanych </w:t>
      </w:r>
      <w:r w:rsidRPr="0016080E">
        <w:rPr>
          <w:lang w:val="pl-PL"/>
        </w:rPr>
        <w:t xml:space="preserve">dokumentów </w:t>
      </w:r>
      <w:r w:rsidRPr="0016080E">
        <w:rPr>
          <w:lang w:val="pl-PL"/>
        </w:rPr>
        <w:lastRenderedPageBreak/>
        <w:t>oraz powyższych kryteriów, Trybunał uznaje za</w:t>
      </w:r>
      <w:r w:rsidR="00E83850" w:rsidRPr="0016080E">
        <w:rPr>
          <w:lang w:val="pl-PL"/>
        </w:rPr>
        <w:t xml:space="preserve"> uzasadnione przyznanie kwoty 1 </w:t>
      </w:r>
      <w:r w:rsidRPr="0016080E">
        <w:rPr>
          <w:lang w:val="pl-PL"/>
        </w:rPr>
        <w:t>500 EUR na pokrycie kosztów postępowania przed Trybunałem.</w:t>
      </w:r>
    </w:p>
    <w:p w14:paraId="56D175F7" w14:textId="77777777" w:rsidR="00234FC9" w:rsidRPr="0016080E" w:rsidRDefault="00234FC9" w:rsidP="008214F0">
      <w:pPr>
        <w:pStyle w:val="ECHRHeading2"/>
        <w:rPr>
          <w:lang w:val="pl-PL"/>
        </w:rPr>
      </w:pPr>
      <w:r w:rsidRPr="0016080E">
        <w:rPr>
          <w:lang w:val="pl-PL"/>
        </w:rPr>
        <w:t>C. Odsetki za zwłokę</w:t>
      </w:r>
    </w:p>
    <w:p w14:paraId="3CA77739" w14:textId="77777777" w:rsidR="00234FC9" w:rsidRPr="001B508E" w:rsidRDefault="00234FC9" w:rsidP="008214F0">
      <w:pPr>
        <w:pStyle w:val="ECHRPara"/>
        <w:rPr>
          <w:lang w:val="pl-PL"/>
        </w:rPr>
      </w:pPr>
      <w:r w:rsidRPr="001B508E">
        <w:rPr>
          <w:lang w:val="pl-PL"/>
        </w:rPr>
        <w:fldChar w:fldCharType="begin"/>
      </w:r>
      <w:r w:rsidRPr="001B508E">
        <w:rPr>
          <w:lang w:val="pl-PL"/>
        </w:rPr>
        <w:instrText xml:space="preserve"> SEQ level0 \*arabic </w:instrText>
      </w:r>
      <w:r w:rsidRPr="001B508E">
        <w:rPr>
          <w:lang w:val="pl-PL"/>
        </w:rPr>
        <w:fldChar w:fldCharType="separate"/>
      </w:r>
      <w:r w:rsidR="003876CB">
        <w:rPr>
          <w:noProof/>
          <w:lang w:val="pl-PL"/>
        </w:rPr>
        <w:t>174</w:t>
      </w:r>
      <w:r w:rsidRPr="001B508E">
        <w:rPr>
          <w:lang w:val="pl-PL"/>
        </w:rPr>
        <w:fldChar w:fldCharType="end"/>
      </w:r>
      <w:r w:rsidRPr="001B508E">
        <w:rPr>
          <w:lang w:val="pl-PL"/>
        </w:rPr>
        <w:t>. Trybunał uznaje za właściwe, aby odsetki za zwłokę były oparte na marginalnej stopie procentowej Europejskiego Banku Centralnego, powiększonej o trzy punkty procentowe.</w:t>
      </w:r>
    </w:p>
    <w:p w14:paraId="7F958E29" w14:textId="77777777" w:rsidR="00234FC9" w:rsidRPr="001B508E" w:rsidRDefault="00234FC9" w:rsidP="008214F0">
      <w:pPr>
        <w:pStyle w:val="ECHRTitle1"/>
        <w:rPr>
          <w:lang w:val="pl-PL"/>
        </w:rPr>
      </w:pPr>
      <w:r w:rsidRPr="001B508E">
        <w:rPr>
          <w:lang w:val="pl-PL"/>
        </w:rPr>
        <w:t>Z TYCH WZGLĘDÓW TRYBUNAŁ JEDNOGŁOŚNIE</w:t>
      </w:r>
    </w:p>
    <w:p w14:paraId="277BAD89" w14:textId="56F631BD" w:rsidR="00234FC9" w:rsidRPr="0016080E" w:rsidRDefault="00234FC9" w:rsidP="008214F0">
      <w:pPr>
        <w:pStyle w:val="JuList"/>
      </w:pPr>
      <w:r w:rsidRPr="001B508E">
        <w:t xml:space="preserve">1. </w:t>
      </w:r>
      <w:r w:rsidRPr="001B508E">
        <w:rPr>
          <w:i/>
        </w:rPr>
        <w:t>Uznaje</w:t>
      </w:r>
      <w:r w:rsidRPr="001B508E">
        <w:t xml:space="preserve"> skargi na podstawie Artykułu 3 i 8 Konwencji oraz na </w:t>
      </w:r>
      <w:r w:rsidRPr="0016080E">
        <w:t>podstawie Artykułu 3 Protokołu nr 1 do Konwencji dotyczące zastosowania wobec skarżącego reżimu “więźnia niebezpiecznego”; skargę na po</w:t>
      </w:r>
      <w:r w:rsidR="00E83850" w:rsidRPr="0016080E">
        <w:t>d</w:t>
      </w:r>
      <w:r w:rsidRPr="0016080E">
        <w:t>stawie Artykułu 5 ust. 3 odnoszącą się do dłu</w:t>
      </w:r>
      <w:r w:rsidR="00E83850" w:rsidRPr="0016080E">
        <w:t>gości tymczasowego aresztowania oraz</w:t>
      </w:r>
      <w:r w:rsidRPr="0016080E">
        <w:t xml:space="preserve"> skargę na podstawie Artykułu 6 ust. 1 dotyczącą przewlekłości postępowania za dopuszczalne, a pozostałą część skargi za niedopuszczalną;</w:t>
      </w:r>
    </w:p>
    <w:p w14:paraId="4EBD3750" w14:textId="77777777" w:rsidR="00234FC9" w:rsidRPr="001B508E" w:rsidRDefault="00234FC9" w:rsidP="008214F0">
      <w:pPr>
        <w:pStyle w:val="JuList"/>
      </w:pPr>
    </w:p>
    <w:p w14:paraId="4BFFCA09" w14:textId="77777777" w:rsidR="00234FC9" w:rsidRPr="00E83850" w:rsidRDefault="00234FC9" w:rsidP="008214F0">
      <w:pPr>
        <w:pStyle w:val="JuList"/>
      </w:pPr>
      <w:r w:rsidRPr="001B508E">
        <w:t xml:space="preserve">2. </w:t>
      </w:r>
      <w:r w:rsidRPr="00E83850">
        <w:rPr>
          <w:i/>
        </w:rPr>
        <w:t>Stwierdza</w:t>
      </w:r>
      <w:r w:rsidRPr="00E83850">
        <w:t>, że nastąpiło naruszenie Artykułu 3 Konwencji;</w:t>
      </w:r>
    </w:p>
    <w:p w14:paraId="2EF68A2C" w14:textId="77777777" w:rsidR="00234FC9" w:rsidRPr="00E83850" w:rsidRDefault="00234FC9" w:rsidP="008214F0">
      <w:pPr>
        <w:ind w:left="340"/>
        <w:rPr>
          <w:lang w:val="pl-PL"/>
        </w:rPr>
      </w:pPr>
    </w:p>
    <w:p w14:paraId="431F77BA" w14:textId="77777777" w:rsidR="00234FC9" w:rsidRPr="00E83850" w:rsidRDefault="001B508E" w:rsidP="008214F0">
      <w:pPr>
        <w:pStyle w:val="JuList"/>
      </w:pPr>
      <w:r w:rsidRPr="00E83850">
        <w:t>3. </w:t>
      </w:r>
      <w:r w:rsidR="00234FC9" w:rsidRPr="00E83850">
        <w:rPr>
          <w:i/>
        </w:rPr>
        <w:t>Stwierdza</w:t>
      </w:r>
      <w:r w:rsidR="00234FC9" w:rsidRPr="00E83850">
        <w:t>, że nastąpiło naruszenie Artykułu 5 ust. 3 Konwencji;</w:t>
      </w:r>
    </w:p>
    <w:p w14:paraId="2940E7D3" w14:textId="77777777" w:rsidR="00234FC9" w:rsidRPr="00E83850" w:rsidRDefault="00234FC9" w:rsidP="008214F0">
      <w:pPr>
        <w:ind w:left="340"/>
        <w:rPr>
          <w:lang w:val="pl-PL"/>
        </w:rPr>
      </w:pPr>
    </w:p>
    <w:p w14:paraId="3A0A478B" w14:textId="77777777" w:rsidR="00234FC9" w:rsidRPr="00E83850" w:rsidRDefault="00234FC9" w:rsidP="008214F0">
      <w:pPr>
        <w:pStyle w:val="JuList"/>
      </w:pPr>
      <w:r w:rsidRPr="00E83850">
        <w:t xml:space="preserve">4. </w:t>
      </w:r>
      <w:r w:rsidR="001B508E" w:rsidRPr="00E83850">
        <w:rPr>
          <w:i/>
        </w:rPr>
        <w:t>Stwierdza</w:t>
      </w:r>
      <w:r w:rsidR="001B508E" w:rsidRPr="00E83850">
        <w:t>, że</w:t>
      </w:r>
      <w:r w:rsidRPr="00E83850">
        <w:t xml:space="preserve"> nastąpiło naruszenie Artykułu 6 ust. 1 Konwencji;</w:t>
      </w:r>
    </w:p>
    <w:p w14:paraId="37677AAF" w14:textId="77777777" w:rsidR="00234FC9" w:rsidRPr="00E83850" w:rsidRDefault="00234FC9" w:rsidP="008214F0">
      <w:pPr>
        <w:rPr>
          <w:lang w:val="pl-PL"/>
        </w:rPr>
      </w:pPr>
    </w:p>
    <w:p w14:paraId="17DA6797" w14:textId="77777777" w:rsidR="00234FC9" w:rsidRPr="001B508E" w:rsidRDefault="00234FC9" w:rsidP="008214F0">
      <w:pPr>
        <w:pStyle w:val="JuList"/>
      </w:pPr>
      <w:r w:rsidRPr="001B508E">
        <w:t xml:space="preserve">5. </w:t>
      </w:r>
      <w:r w:rsidRPr="001B508E">
        <w:rPr>
          <w:i/>
        </w:rPr>
        <w:t>Stwierdza</w:t>
      </w:r>
      <w:r w:rsidRPr="001B508E">
        <w:t>, że oddzielne badanie skargi na mocy Artykułu 3 Protokołu nr 1 do Konwencji nie jest potrzebne;</w:t>
      </w:r>
    </w:p>
    <w:p w14:paraId="30C4C16E" w14:textId="77777777" w:rsidR="00234FC9" w:rsidRPr="001B508E" w:rsidRDefault="00234FC9" w:rsidP="008214F0">
      <w:pPr>
        <w:pStyle w:val="JuList"/>
      </w:pPr>
    </w:p>
    <w:p w14:paraId="073D6DEF" w14:textId="77777777" w:rsidR="00234FC9" w:rsidRPr="001B508E" w:rsidRDefault="00234FC9" w:rsidP="008214F0">
      <w:pPr>
        <w:pStyle w:val="JuList"/>
      </w:pPr>
      <w:r w:rsidRPr="001B508E">
        <w:t xml:space="preserve">6. </w:t>
      </w:r>
      <w:r w:rsidRPr="001B508E">
        <w:rPr>
          <w:i/>
        </w:rPr>
        <w:t>Stwierdza</w:t>
      </w:r>
      <w:r w:rsidRPr="001B508E">
        <w:t>, że żadna odrębna kwestia nie wynika na gruncie Artykułu 8 Konwencji w odniesieniu do zastosowania wobec skarżącego reżimu “więźnia niebezpiecznego”;</w:t>
      </w:r>
    </w:p>
    <w:p w14:paraId="5AAF1C8D" w14:textId="77777777" w:rsidR="00234FC9" w:rsidRPr="001B508E" w:rsidRDefault="00234FC9" w:rsidP="008214F0">
      <w:pPr>
        <w:rPr>
          <w:lang w:val="pl-PL"/>
        </w:rPr>
      </w:pPr>
    </w:p>
    <w:p w14:paraId="0AE725F1" w14:textId="77777777" w:rsidR="00234FC9" w:rsidRPr="00E83850" w:rsidRDefault="00234FC9" w:rsidP="008214F0">
      <w:pPr>
        <w:pStyle w:val="JuList"/>
      </w:pPr>
      <w:r w:rsidRPr="00E83850">
        <w:t xml:space="preserve">7. </w:t>
      </w:r>
      <w:r w:rsidRPr="00E83850">
        <w:rPr>
          <w:i/>
        </w:rPr>
        <w:t>Stwierdza</w:t>
      </w:r>
    </w:p>
    <w:p w14:paraId="60A7446C" w14:textId="77777777" w:rsidR="00234FC9" w:rsidRPr="00E83850" w:rsidRDefault="00234FC9" w:rsidP="008214F0">
      <w:pPr>
        <w:pStyle w:val="JuLista"/>
      </w:pPr>
      <w:r w:rsidRPr="00E83850">
        <w:t>(a)   że pozwane państwo ma zapłacić skarżącemu w terminie trzech miesięcy od daty uprawomocnienia się wyroku zgodnie z Artykułem 44 ust. 2 Konwencji następujące kwoty, przeliczone na walutę polską po kursie obowiązującym w dniu wydania rozstrzygnięcia:</w:t>
      </w:r>
    </w:p>
    <w:p w14:paraId="0BF8D414" w14:textId="52114703" w:rsidR="00234FC9" w:rsidRPr="0016080E" w:rsidRDefault="00234FC9" w:rsidP="008214F0">
      <w:pPr>
        <w:pStyle w:val="JuListi"/>
        <w:rPr>
          <w:lang w:val="pl-PL"/>
        </w:rPr>
      </w:pPr>
      <w:r w:rsidRPr="00E83850">
        <w:rPr>
          <w:lang w:val="pl-PL"/>
        </w:rPr>
        <w:t>(i) 14</w:t>
      </w:r>
      <w:r w:rsidR="00E83850" w:rsidRPr="00E83850">
        <w:rPr>
          <w:lang w:val="pl-PL"/>
        </w:rPr>
        <w:t xml:space="preserve"> </w:t>
      </w:r>
      <w:r w:rsidRPr="00E83850">
        <w:rPr>
          <w:lang w:val="pl-PL"/>
        </w:rPr>
        <w:t xml:space="preserve">000 EUR (czternaście </w:t>
      </w:r>
      <w:r w:rsidRPr="0016080E">
        <w:rPr>
          <w:lang w:val="pl-PL"/>
        </w:rPr>
        <w:t xml:space="preserve">tysięcy euro), powiększoną o wszelkie podatki, które mogą zostać nałożone na tę kwotę, tytułem poniesionej szkody </w:t>
      </w:r>
      <w:r w:rsidR="00E83850" w:rsidRPr="0016080E">
        <w:rPr>
          <w:lang w:val="pl-PL"/>
        </w:rPr>
        <w:t>niemajątkowej</w:t>
      </w:r>
      <w:r w:rsidRPr="0016080E">
        <w:rPr>
          <w:lang w:val="pl-PL"/>
        </w:rPr>
        <w:t>;</w:t>
      </w:r>
    </w:p>
    <w:p w14:paraId="63ECCBDF" w14:textId="541E1712" w:rsidR="00234FC9" w:rsidRPr="0016080E" w:rsidRDefault="00E83850" w:rsidP="008214F0">
      <w:pPr>
        <w:pStyle w:val="JuListi"/>
        <w:rPr>
          <w:lang w:val="pl-PL"/>
        </w:rPr>
      </w:pPr>
      <w:r w:rsidRPr="0016080E">
        <w:rPr>
          <w:lang w:val="pl-PL"/>
        </w:rPr>
        <w:lastRenderedPageBreak/>
        <w:t xml:space="preserve">(ii) 1 </w:t>
      </w:r>
      <w:r w:rsidR="00234FC9" w:rsidRPr="0016080E">
        <w:rPr>
          <w:lang w:val="pl-PL"/>
        </w:rPr>
        <w:t>500 EUR (tysiąc pięćset euro), powiększoną o wszelkie podatki, które mogą zostać nałożone na tę kwotę, tytułem kosztów i wydatków;</w:t>
      </w:r>
    </w:p>
    <w:p w14:paraId="0E56043B" w14:textId="77777777" w:rsidR="00234FC9" w:rsidRPr="001B508E" w:rsidRDefault="00234FC9" w:rsidP="008214F0">
      <w:pPr>
        <w:pStyle w:val="JuLista"/>
      </w:pPr>
      <w:r w:rsidRPr="001B508E">
        <w:t>(b)  że po upływie powyższego trzymiesięcznego terminu do momentu zapłaty, winny zostać naliczone od tych kwot odsetki zwykłe według marginalnej stopy procentowej Europejskiego Banku Centralnego powiększonej o trzy punkty procentowe;</w:t>
      </w:r>
    </w:p>
    <w:p w14:paraId="14ECF339" w14:textId="77777777" w:rsidR="00234FC9" w:rsidRPr="001B508E" w:rsidRDefault="00234FC9" w:rsidP="008214F0">
      <w:pPr>
        <w:rPr>
          <w:lang w:val="pl-PL"/>
        </w:rPr>
      </w:pPr>
    </w:p>
    <w:p w14:paraId="613B967D" w14:textId="77777777" w:rsidR="00234FC9" w:rsidRPr="0016080E" w:rsidRDefault="00234FC9" w:rsidP="008214F0">
      <w:pPr>
        <w:pStyle w:val="JuList"/>
      </w:pPr>
      <w:r w:rsidRPr="001B508E">
        <w:t xml:space="preserve">8. </w:t>
      </w:r>
      <w:r w:rsidRPr="001B508E">
        <w:rPr>
          <w:i/>
        </w:rPr>
        <w:t>Oddala</w:t>
      </w:r>
      <w:r w:rsidRPr="001B508E">
        <w:t xml:space="preserve"> </w:t>
      </w:r>
      <w:r w:rsidRPr="0016080E">
        <w:t xml:space="preserve">pozostałą część roszczenia skarżącego o słuszne zadośćuczynienie. </w:t>
      </w:r>
    </w:p>
    <w:p w14:paraId="46092FDF" w14:textId="2EB16DA0" w:rsidR="00234FC9" w:rsidRPr="0016080E" w:rsidRDefault="00234FC9" w:rsidP="008214F0">
      <w:pPr>
        <w:pStyle w:val="JuParaLast"/>
        <w:rPr>
          <w:lang w:val="pl-PL"/>
        </w:rPr>
      </w:pPr>
      <w:r w:rsidRPr="0016080E">
        <w:rPr>
          <w:lang w:val="pl-PL"/>
        </w:rPr>
        <w:t xml:space="preserve">Sporządzono w języku angielskim i notyfikowano na piśmie w dniu </w:t>
      </w:r>
      <w:r w:rsidR="00E83850" w:rsidRPr="0016080E">
        <w:rPr>
          <w:lang w:val="pl-PL"/>
        </w:rPr>
        <w:t>3 listopada 2015 roku</w:t>
      </w:r>
      <w:r w:rsidRPr="0016080E">
        <w:rPr>
          <w:lang w:val="pl-PL"/>
        </w:rPr>
        <w:t>, zgodnie z Regułą 77 ust. 2 i 3 Regulaminu Trybunału.</w:t>
      </w:r>
    </w:p>
    <w:p w14:paraId="697E5E84" w14:textId="77777777" w:rsidR="00234FC9" w:rsidRPr="001B508E" w:rsidRDefault="00234FC9" w:rsidP="008214F0">
      <w:pPr>
        <w:pStyle w:val="JuSigned"/>
        <w:rPr>
          <w:lang w:val="pl-PL"/>
        </w:rPr>
      </w:pPr>
      <w:r w:rsidRPr="0016080E">
        <w:rPr>
          <w:lang w:val="pl-PL"/>
        </w:rPr>
        <w:tab/>
      </w:r>
      <w:proofErr w:type="spellStart"/>
      <w:r w:rsidRPr="0016080E">
        <w:rPr>
          <w:lang w:val="pl-PL"/>
        </w:rPr>
        <w:t>Françoise</w:t>
      </w:r>
      <w:proofErr w:type="spellEnd"/>
      <w:r w:rsidRPr="0016080E">
        <w:rPr>
          <w:lang w:val="pl-PL"/>
        </w:rPr>
        <w:t xml:space="preserve"> </w:t>
      </w:r>
      <w:proofErr w:type="spellStart"/>
      <w:r w:rsidRPr="0016080E">
        <w:rPr>
          <w:lang w:val="pl-PL"/>
        </w:rPr>
        <w:t>Elens</w:t>
      </w:r>
      <w:proofErr w:type="spellEnd"/>
      <w:r w:rsidRPr="0016080E">
        <w:rPr>
          <w:lang w:val="pl-PL"/>
        </w:rPr>
        <w:t>-Passos</w:t>
      </w:r>
      <w:r w:rsidRPr="0016080E">
        <w:rPr>
          <w:lang w:val="pl-PL"/>
        </w:rPr>
        <w:tab/>
      </w:r>
      <w:r w:rsidRPr="001B508E">
        <w:rPr>
          <w:lang w:val="pl-PL"/>
        </w:rPr>
        <w:t xml:space="preserve">Guido </w:t>
      </w:r>
      <w:proofErr w:type="spellStart"/>
      <w:r w:rsidRPr="001B508E">
        <w:rPr>
          <w:lang w:val="pl-PL"/>
        </w:rPr>
        <w:t>Raimondi</w:t>
      </w:r>
      <w:proofErr w:type="spellEnd"/>
      <w:r w:rsidRPr="001B508E">
        <w:rPr>
          <w:lang w:val="pl-PL"/>
        </w:rPr>
        <w:br/>
      </w:r>
      <w:r w:rsidRPr="001B508E">
        <w:rPr>
          <w:lang w:val="pl-PL"/>
        </w:rPr>
        <w:tab/>
      </w:r>
      <w:r w:rsidRPr="001B508E">
        <w:rPr>
          <w:iCs/>
          <w:lang w:val="pl-PL"/>
        </w:rPr>
        <w:t>Kanclerz</w:t>
      </w:r>
      <w:r w:rsidRPr="001B508E">
        <w:rPr>
          <w:lang w:val="pl-PL"/>
        </w:rPr>
        <w:tab/>
        <w:t>Przewodniczący</w:t>
      </w:r>
    </w:p>
    <w:sectPr w:rsidR="00234FC9" w:rsidRPr="001B508E" w:rsidSect="000F7413">
      <w:headerReference w:type="even" r:id="rId12"/>
      <w:headerReference w:type="default" r:id="rId13"/>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B99C3" w14:textId="77777777" w:rsidR="00671528" w:rsidRDefault="00671528" w:rsidP="00014566">
      <w:r>
        <w:separator/>
      </w:r>
    </w:p>
  </w:endnote>
  <w:endnote w:type="continuationSeparator" w:id="0">
    <w:p w14:paraId="14339203" w14:textId="77777777" w:rsidR="00671528" w:rsidRDefault="0067152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9A723B" w14:textId="2C546DE5" w:rsidR="00D15A2F" w:rsidRPr="00150BFA" w:rsidRDefault="00D15A2F" w:rsidP="000F7413">
    <w:pPr>
      <w:jc w:val="center"/>
    </w:pPr>
    <w:r>
      <w:rPr>
        <w:noProof/>
        <w:lang w:val="pl-PL" w:eastAsia="pl-PL"/>
      </w:rPr>
      <w:drawing>
        <wp:inline distT="0" distB="0" distL="0" distR="0" wp14:anchorId="0C993017" wp14:editId="71F703A9">
          <wp:extent cx="755650" cy="620395"/>
          <wp:effectExtent l="0" t="0" r="6350" b="8255"/>
          <wp:docPr id="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620395"/>
                  </a:xfrm>
                  <a:prstGeom prst="rect">
                    <a:avLst/>
                  </a:prstGeom>
                  <a:noFill/>
                  <a:ln>
                    <a:noFill/>
                  </a:ln>
                </pic:spPr>
              </pic:pic>
            </a:graphicData>
          </a:graphic>
        </wp:inline>
      </w:drawing>
    </w:r>
  </w:p>
  <w:p w14:paraId="4D1D344C" w14:textId="77777777" w:rsidR="00D15A2F" w:rsidRDefault="00D15A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82007" w14:textId="77777777" w:rsidR="00671528" w:rsidRDefault="00671528" w:rsidP="00014566">
      <w:r>
        <w:separator/>
      </w:r>
    </w:p>
  </w:footnote>
  <w:footnote w:type="continuationSeparator" w:id="0">
    <w:p w14:paraId="0C7FA793" w14:textId="77777777" w:rsidR="00671528" w:rsidRDefault="0067152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1BC6B" w14:textId="77777777" w:rsidR="00D15A2F" w:rsidRPr="000F7413" w:rsidRDefault="00D15A2F" w:rsidP="000F741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E1FA2" w14:textId="2B0037C6" w:rsidR="00D15A2F" w:rsidRPr="00A45145" w:rsidRDefault="00D15A2F" w:rsidP="000F7413">
    <w:pPr>
      <w:jc w:val="center"/>
    </w:pPr>
    <w:r>
      <w:rPr>
        <w:noProof/>
        <w:lang w:val="pl-PL" w:eastAsia="pl-PL"/>
      </w:rPr>
      <w:drawing>
        <wp:inline distT="0" distB="0" distL="0" distR="0" wp14:anchorId="6E92B0E5" wp14:editId="66B4391F">
          <wp:extent cx="2966085" cy="1224280"/>
          <wp:effectExtent l="0" t="0" r="5715" b="0"/>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6085" cy="1224280"/>
                  </a:xfrm>
                  <a:prstGeom prst="rect">
                    <a:avLst/>
                  </a:prstGeom>
                  <a:noFill/>
                  <a:ln>
                    <a:noFill/>
                  </a:ln>
                </pic:spPr>
              </pic:pic>
            </a:graphicData>
          </a:graphic>
        </wp:inline>
      </w:drawing>
    </w:r>
  </w:p>
  <w:p w14:paraId="2E6082DD" w14:textId="77777777" w:rsidR="00D15A2F" w:rsidRDefault="00D15A2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CAC2F" w14:textId="77777777" w:rsidR="00D15A2F" w:rsidRPr="00FF2306" w:rsidRDefault="00D15A2F" w:rsidP="00EE1DA9">
    <w:pPr>
      <w:pStyle w:val="ECHRHeader"/>
      <w:rPr>
        <w:lang w:val="pl-PL"/>
      </w:rPr>
    </w:pPr>
    <w:r>
      <w:rPr>
        <w:rStyle w:val="Numerstrony"/>
        <w:szCs w:val="18"/>
        <w:lang w:val="pl-PL"/>
      </w:rPr>
      <w:fldChar w:fldCharType="begin"/>
    </w:r>
    <w:r>
      <w:rPr>
        <w:rStyle w:val="Numerstrony"/>
        <w:szCs w:val="18"/>
        <w:lang w:val="pl-PL"/>
      </w:rPr>
      <w:instrText xml:space="preserve"> PAGE </w:instrText>
    </w:r>
    <w:r>
      <w:rPr>
        <w:rStyle w:val="Numerstrony"/>
        <w:szCs w:val="18"/>
        <w:lang w:val="pl-PL"/>
      </w:rPr>
      <w:fldChar w:fldCharType="separate"/>
    </w:r>
    <w:r w:rsidR="003876CB">
      <w:rPr>
        <w:rStyle w:val="Numerstrony"/>
        <w:noProof/>
        <w:szCs w:val="18"/>
        <w:lang w:val="pl-PL"/>
      </w:rPr>
      <w:t>28</w:t>
    </w:r>
    <w:r>
      <w:rPr>
        <w:rStyle w:val="Numerstrony"/>
        <w:szCs w:val="18"/>
        <w:lang w:val="pl-PL"/>
      </w:rPr>
      <w:fldChar w:fldCharType="end"/>
    </w:r>
    <w:r w:rsidRPr="00FF2306">
      <w:rPr>
        <w:lang w:val="pl-PL"/>
      </w:rPr>
      <w:tab/>
    </w:r>
    <w:r>
      <w:rPr>
        <w:lang w:val="pl-PL"/>
      </w:rPr>
      <w:t>WYROK CHYŁA przeciwko POLSCE</w:t>
    </w:r>
    <w:r w:rsidRPr="00FF2306">
      <w:rPr>
        <w:lang w:val="pl-PL"/>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60A5F" w14:textId="77777777" w:rsidR="00D15A2F" w:rsidRPr="00D60D87" w:rsidRDefault="00D15A2F" w:rsidP="00D60D87">
    <w:pPr>
      <w:pStyle w:val="ECHRHeader"/>
      <w:rPr>
        <w:lang w:val="pl-PL"/>
      </w:rPr>
    </w:pPr>
    <w:r w:rsidRPr="00D60D87">
      <w:rPr>
        <w:lang w:val="pl-PL"/>
      </w:rPr>
      <w:tab/>
    </w:r>
    <w:r>
      <w:rPr>
        <w:lang w:val="pl-PL"/>
      </w:rPr>
      <w:t>WYROK CHYŁA przeciwko POLSCE</w:t>
    </w:r>
    <w:r w:rsidRPr="00D60D87">
      <w:rPr>
        <w:lang w:val="pl-PL"/>
      </w:rPr>
      <w:t xml:space="preserve"> </w:t>
    </w:r>
    <w:r w:rsidRPr="00D60D87">
      <w:rPr>
        <w:lang w:val="pl-PL"/>
      </w:rPr>
      <w:tab/>
    </w:r>
    <w:r>
      <w:rPr>
        <w:rStyle w:val="Numerstrony"/>
        <w:szCs w:val="18"/>
        <w:lang w:val="pl-PL"/>
      </w:rPr>
      <w:fldChar w:fldCharType="begin"/>
    </w:r>
    <w:r>
      <w:rPr>
        <w:rStyle w:val="Numerstrony"/>
        <w:szCs w:val="18"/>
        <w:lang w:val="pl-PL"/>
      </w:rPr>
      <w:instrText xml:space="preserve"> PAGE </w:instrText>
    </w:r>
    <w:r>
      <w:rPr>
        <w:rStyle w:val="Numerstrony"/>
        <w:szCs w:val="18"/>
        <w:lang w:val="pl-PL"/>
      </w:rPr>
      <w:fldChar w:fldCharType="separate"/>
    </w:r>
    <w:r w:rsidR="003876CB">
      <w:rPr>
        <w:rStyle w:val="Numerstrony"/>
        <w:noProof/>
        <w:szCs w:val="18"/>
        <w:lang w:val="pl-PL"/>
      </w:rPr>
      <w:t>29</w:t>
    </w:r>
    <w:r>
      <w:rPr>
        <w:rStyle w:val="Numerstrony"/>
        <w:szCs w:val="18"/>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2"/>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anumerowana"/>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apunktowana5"/>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apunktowana4"/>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apunktowana2"/>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punktowana3"/>
      <w:lvlText w:val="%1."/>
      <w:lvlJc w:val="left"/>
      <w:pPr>
        <w:tabs>
          <w:tab w:val="num" w:pos="360"/>
        </w:tabs>
        <w:ind w:left="360" w:hanging="360"/>
      </w:pPr>
      <w:rPr>
        <w:rFonts w:cs="Times New Roman"/>
      </w:rPr>
    </w:lvl>
  </w:abstractNum>
  <w:abstractNum w:abstractNumId="9">
    <w:nsid w:val="FFFFFF89"/>
    <w:multiLevelType w:val="singleLevel"/>
    <w:tmpl w:val="3FCCEE78"/>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pStyle w:val="Listanumerowana5"/>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09BC1AB5"/>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F40304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63F153D"/>
    <w:multiLevelType w:val="multilevel"/>
    <w:tmpl w:val="040C001F"/>
    <w:styleLink w:val="111111"/>
    <w:lvl w:ilvl="0">
      <w:start w:val="1"/>
      <w:numFmt w:val="decimal"/>
      <w:pStyle w:val="Listanumerowana4"/>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EF7562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2133095"/>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8">
    <w:nsid w:val="7737461D"/>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9">
    <w:nsid w:val="780D65D7"/>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3"/>
  </w:num>
  <w:num w:numId="23">
    <w:abstractNumId w:val="10"/>
  </w:num>
  <w:num w:numId="24">
    <w:abstractNumId w:val="18"/>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7"/>
  </w:num>
  <w:num w:numId="35">
    <w:abstractNumId w:val="15"/>
  </w:num>
  <w:num w:numId="36">
    <w:abstractNumId w:val="19"/>
  </w:num>
  <w:num w:numId="37">
    <w:abstractNumId w:val="11"/>
  </w:num>
  <w:num w:numId="38">
    <w:abstractNumId w:val="14"/>
  </w:num>
  <w:num w:numId="3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4677D"/>
    <w:rsid w:val="000041F8"/>
    <w:rsid w:val="000042A8"/>
    <w:rsid w:val="00004308"/>
    <w:rsid w:val="00005BF0"/>
    <w:rsid w:val="00007154"/>
    <w:rsid w:val="000103AE"/>
    <w:rsid w:val="000106DA"/>
    <w:rsid w:val="00011B89"/>
    <w:rsid w:val="00011D69"/>
    <w:rsid w:val="00012AD3"/>
    <w:rsid w:val="00014566"/>
    <w:rsid w:val="00015C2D"/>
    <w:rsid w:val="00015F00"/>
    <w:rsid w:val="0001649F"/>
    <w:rsid w:val="00022C1D"/>
    <w:rsid w:val="00034987"/>
    <w:rsid w:val="00037A0B"/>
    <w:rsid w:val="000430C3"/>
    <w:rsid w:val="000450D7"/>
    <w:rsid w:val="000602DF"/>
    <w:rsid w:val="00061B05"/>
    <w:rsid w:val="00062973"/>
    <w:rsid w:val="000629EE"/>
    <w:rsid w:val="00062D5D"/>
    <w:rsid w:val="000632D5"/>
    <w:rsid w:val="000644EE"/>
    <w:rsid w:val="000667E2"/>
    <w:rsid w:val="000767AE"/>
    <w:rsid w:val="000925AD"/>
    <w:rsid w:val="0009757B"/>
    <w:rsid w:val="000A24EB"/>
    <w:rsid w:val="000B2D0A"/>
    <w:rsid w:val="000B6923"/>
    <w:rsid w:val="000C033C"/>
    <w:rsid w:val="000C5F3C"/>
    <w:rsid w:val="000C6DCC"/>
    <w:rsid w:val="000D47AA"/>
    <w:rsid w:val="000D61A7"/>
    <w:rsid w:val="000D721F"/>
    <w:rsid w:val="000E069B"/>
    <w:rsid w:val="000E0E82"/>
    <w:rsid w:val="000E1DC5"/>
    <w:rsid w:val="000E223F"/>
    <w:rsid w:val="000E7D45"/>
    <w:rsid w:val="000F7413"/>
    <w:rsid w:val="000F7851"/>
    <w:rsid w:val="00101195"/>
    <w:rsid w:val="00104E23"/>
    <w:rsid w:val="00111B0C"/>
    <w:rsid w:val="00117E44"/>
    <w:rsid w:val="00120D6C"/>
    <w:rsid w:val="001257EC"/>
    <w:rsid w:val="00132C6A"/>
    <w:rsid w:val="00133D33"/>
    <w:rsid w:val="00134D64"/>
    <w:rsid w:val="00135A30"/>
    <w:rsid w:val="0013612C"/>
    <w:rsid w:val="00136C52"/>
    <w:rsid w:val="00137FF6"/>
    <w:rsid w:val="00141650"/>
    <w:rsid w:val="001478CC"/>
    <w:rsid w:val="00150BFA"/>
    <w:rsid w:val="0016080E"/>
    <w:rsid w:val="00162A12"/>
    <w:rsid w:val="001635BD"/>
    <w:rsid w:val="00166530"/>
    <w:rsid w:val="0017250C"/>
    <w:rsid w:val="001832BD"/>
    <w:rsid w:val="0018502A"/>
    <w:rsid w:val="001943B5"/>
    <w:rsid w:val="00195134"/>
    <w:rsid w:val="001A145B"/>
    <w:rsid w:val="001A30F3"/>
    <w:rsid w:val="001A674C"/>
    <w:rsid w:val="001A70B9"/>
    <w:rsid w:val="001B3B24"/>
    <w:rsid w:val="001B508E"/>
    <w:rsid w:val="001B6319"/>
    <w:rsid w:val="001C0F98"/>
    <w:rsid w:val="001C2A42"/>
    <w:rsid w:val="001D63ED"/>
    <w:rsid w:val="001D7348"/>
    <w:rsid w:val="001D7559"/>
    <w:rsid w:val="001D7AD0"/>
    <w:rsid w:val="001E035B"/>
    <w:rsid w:val="001E0961"/>
    <w:rsid w:val="001E3EAE"/>
    <w:rsid w:val="001E6F32"/>
    <w:rsid w:val="001E7B72"/>
    <w:rsid w:val="001F0EE5"/>
    <w:rsid w:val="001F2145"/>
    <w:rsid w:val="001F6262"/>
    <w:rsid w:val="001F67B0"/>
    <w:rsid w:val="001F7B3D"/>
    <w:rsid w:val="00205F9F"/>
    <w:rsid w:val="00210338"/>
    <w:rsid w:val="002115FC"/>
    <w:rsid w:val="002133F8"/>
    <w:rsid w:val="0021423C"/>
    <w:rsid w:val="00220931"/>
    <w:rsid w:val="00230D00"/>
    <w:rsid w:val="00231DF7"/>
    <w:rsid w:val="00231FD1"/>
    <w:rsid w:val="002339E0"/>
    <w:rsid w:val="00233CF8"/>
    <w:rsid w:val="00234FC9"/>
    <w:rsid w:val="0023575D"/>
    <w:rsid w:val="00237148"/>
    <w:rsid w:val="00240587"/>
    <w:rsid w:val="0024222D"/>
    <w:rsid w:val="00244B0E"/>
    <w:rsid w:val="00244F6C"/>
    <w:rsid w:val="002532C5"/>
    <w:rsid w:val="00260C03"/>
    <w:rsid w:val="0026540E"/>
    <w:rsid w:val="00275123"/>
    <w:rsid w:val="00282240"/>
    <w:rsid w:val="0028572A"/>
    <w:rsid w:val="002948AD"/>
    <w:rsid w:val="00294C92"/>
    <w:rsid w:val="002975BF"/>
    <w:rsid w:val="002A01CC"/>
    <w:rsid w:val="002A61B1"/>
    <w:rsid w:val="002A663C"/>
    <w:rsid w:val="002B444B"/>
    <w:rsid w:val="002B5887"/>
    <w:rsid w:val="002C0692"/>
    <w:rsid w:val="002C0E27"/>
    <w:rsid w:val="002C3040"/>
    <w:rsid w:val="002D022D"/>
    <w:rsid w:val="002D24BB"/>
    <w:rsid w:val="002E1C03"/>
    <w:rsid w:val="002E2B55"/>
    <w:rsid w:val="002F2AF7"/>
    <w:rsid w:val="002F7E1C"/>
    <w:rsid w:val="00301A75"/>
    <w:rsid w:val="00302F70"/>
    <w:rsid w:val="0030336F"/>
    <w:rsid w:val="0030375E"/>
    <w:rsid w:val="00303D41"/>
    <w:rsid w:val="00312A30"/>
    <w:rsid w:val="00320F72"/>
    <w:rsid w:val="0032463E"/>
    <w:rsid w:val="00326224"/>
    <w:rsid w:val="00337EE4"/>
    <w:rsid w:val="003406D0"/>
    <w:rsid w:val="00340FFD"/>
    <w:rsid w:val="00344CCE"/>
    <w:rsid w:val="003506B1"/>
    <w:rsid w:val="00356AC7"/>
    <w:rsid w:val="003600B1"/>
    <w:rsid w:val="003609FA"/>
    <w:rsid w:val="00364EE9"/>
    <w:rsid w:val="003710C8"/>
    <w:rsid w:val="003750BE"/>
    <w:rsid w:val="00385A0A"/>
    <w:rsid w:val="003876CB"/>
    <w:rsid w:val="00387B9D"/>
    <w:rsid w:val="0039364F"/>
    <w:rsid w:val="00396686"/>
    <w:rsid w:val="0039778E"/>
    <w:rsid w:val="003A4299"/>
    <w:rsid w:val="003B4941"/>
    <w:rsid w:val="003C5714"/>
    <w:rsid w:val="003C6B9F"/>
    <w:rsid w:val="003C6E2A"/>
    <w:rsid w:val="003D0299"/>
    <w:rsid w:val="003E6D80"/>
    <w:rsid w:val="003F05FA"/>
    <w:rsid w:val="003F244A"/>
    <w:rsid w:val="003F30B8"/>
    <w:rsid w:val="003F4332"/>
    <w:rsid w:val="003F4C45"/>
    <w:rsid w:val="003F5F7B"/>
    <w:rsid w:val="003F7D64"/>
    <w:rsid w:val="00406A91"/>
    <w:rsid w:val="00414300"/>
    <w:rsid w:val="00425C67"/>
    <w:rsid w:val="00427E7A"/>
    <w:rsid w:val="00430C4A"/>
    <w:rsid w:val="00434590"/>
    <w:rsid w:val="00436307"/>
    <w:rsid w:val="00436C49"/>
    <w:rsid w:val="00441F8E"/>
    <w:rsid w:val="00445366"/>
    <w:rsid w:val="00447F5B"/>
    <w:rsid w:val="00453A7B"/>
    <w:rsid w:val="00461DB0"/>
    <w:rsid w:val="00463926"/>
    <w:rsid w:val="004646E0"/>
    <w:rsid w:val="00464C9A"/>
    <w:rsid w:val="00474F3D"/>
    <w:rsid w:val="00476BEE"/>
    <w:rsid w:val="00477E3A"/>
    <w:rsid w:val="00483E5F"/>
    <w:rsid w:val="00485FF9"/>
    <w:rsid w:val="004907F0"/>
    <w:rsid w:val="00491274"/>
    <w:rsid w:val="0049140B"/>
    <w:rsid w:val="004923A5"/>
    <w:rsid w:val="00496BFB"/>
    <w:rsid w:val="004A15C7"/>
    <w:rsid w:val="004B013B"/>
    <w:rsid w:val="004B112B"/>
    <w:rsid w:val="004C01E4"/>
    <w:rsid w:val="004C07CC"/>
    <w:rsid w:val="004C086C"/>
    <w:rsid w:val="004C1F56"/>
    <w:rsid w:val="004C27BC"/>
    <w:rsid w:val="004D15F3"/>
    <w:rsid w:val="004D5311"/>
    <w:rsid w:val="004D5DCC"/>
    <w:rsid w:val="004D769B"/>
    <w:rsid w:val="004E00D2"/>
    <w:rsid w:val="004E392F"/>
    <w:rsid w:val="004F10AF"/>
    <w:rsid w:val="004F11A4"/>
    <w:rsid w:val="004F2389"/>
    <w:rsid w:val="004F304D"/>
    <w:rsid w:val="004F4DD7"/>
    <w:rsid w:val="004F61BE"/>
    <w:rsid w:val="004F66B1"/>
    <w:rsid w:val="00511AD1"/>
    <w:rsid w:val="00511C07"/>
    <w:rsid w:val="005173A6"/>
    <w:rsid w:val="00520BAA"/>
    <w:rsid w:val="00525208"/>
    <w:rsid w:val="005257A5"/>
    <w:rsid w:val="005264C0"/>
    <w:rsid w:val="00526A8A"/>
    <w:rsid w:val="00531DF2"/>
    <w:rsid w:val="00533365"/>
    <w:rsid w:val="005442EE"/>
    <w:rsid w:val="00545FB2"/>
    <w:rsid w:val="00547353"/>
    <w:rsid w:val="005474E7"/>
    <w:rsid w:val="005512A3"/>
    <w:rsid w:val="005578CE"/>
    <w:rsid w:val="00562781"/>
    <w:rsid w:val="00563E83"/>
    <w:rsid w:val="005647B0"/>
    <w:rsid w:val="0057271C"/>
    <w:rsid w:val="00572845"/>
    <w:rsid w:val="00591F13"/>
    <w:rsid w:val="00592772"/>
    <w:rsid w:val="00595011"/>
    <w:rsid w:val="0059574A"/>
    <w:rsid w:val="005A1B9B"/>
    <w:rsid w:val="005A397E"/>
    <w:rsid w:val="005A6751"/>
    <w:rsid w:val="005A6C78"/>
    <w:rsid w:val="005B092E"/>
    <w:rsid w:val="005B0C9A"/>
    <w:rsid w:val="005B152C"/>
    <w:rsid w:val="005B1EE0"/>
    <w:rsid w:val="005B2B24"/>
    <w:rsid w:val="005B4425"/>
    <w:rsid w:val="005B4B94"/>
    <w:rsid w:val="005C03D8"/>
    <w:rsid w:val="005C3EE8"/>
    <w:rsid w:val="005D34F9"/>
    <w:rsid w:val="005D4190"/>
    <w:rsid w:val="005D5714"/>
    <w:rsid w:val="005D67A3"/>
    <w:rsid w:val="005E1929"/>
    <w:rsid w:val="005E2988"/>
    <w:rsid w:val="005E2A43"/>
    <w:rsid w:val="005E3085"/>
    <w:rsid w:val="005F51E1"/>
    <w:rsid w:val="00611C80"/>
    <w:rsid w:val="0061609C"/>
    <w:rsid w:val="00620692"/>
    <w:rsid w:val="006242CA"/>
    <w:rsid w:val="00627507"/>
    <w:rsid w:val="00633717"/>
    <w:rsid w:val="006344E1"/>
    <w:rsid w:val="006362BC"/>
    <w:rsid w:val="006419B8"/>
    <w:rsid w:val="00647720"/>
    <w:rsid w:val="006545C4"/>
    <w:rsid w:val="00661971"/>
    <w:rsid w:val="00661CE8"/>
    <w:rsid w:val="006623D9"/>
    <w:rsid w:val="00662B7E"/>
    <w:rsid w:val="0066550C"/>
    <w:rsid w:val="00671528"/>
    <w:rsid w:val="006716F2"/>
    <w:rsid w:val="00682BF2"/>
    <w:rsid w:val="0068329E"/>
    <w:rsid w:val="006859CE"/>
    <w:rsid w:val="00691270"/>
    <w:rsid w:val="0069481C"/>
    <w:rsid w:val="00694BA8"/>
    <w:rsid w:val="006A037C"/>
    <w:rsid w:val="006A36F4"/>
    <w:rsid w:val="006A406F"/>
    <w:rsid w:val="006A5D3A"/>
    <w:rsid w:val="006A68CF"/>
    <w:rsid w:val="006B6AFB"/>
    <w:rsid w:val="006C23D4"/>
    <w:rsid w:val="006C7AE8"/>
    <w:rsid w:val="006C7BB0"/>
    <w:rsid w:val="006D3237"/>
    <w:rsid w:val="006D600E"/>
    <w:rsid w:val="006D66BF"/>
    <w:rsid w:val="006E08F3"/>
    <w:rsid w:val="006E2E37"/>
    <w:rsid w:val="006E3CF1"/>
    <w:rsid w:val="006E7E80"/>
    <w:rsid w:val="006F00FB"/>
    <w:rsid w:val="006F0E3D"/>
    <w:rsid w:val="006F1C78"/>
    <w:rsid w:val="006F1DF9"/>
    <w:rsid w:val="006F24DB"/>
    <w:rsid w:val="006F48CA"/>
    <w:rsid w:val="006F64DD"/>
    <w:rsid w:val="00715127"/>
    <w:rsid w:val="00715E8E"/>
    <w:rsid w:val="00723580"/>
    <w:rsid w:val="00723755"/>
    <w:rsid w:val="00724A85"/>
    <w:rsid w:val="0073136C"/>
    <w:rsid w:val="00731F0F"/>
    <w:rsid w:val="00733250"/>
    <w:rsid w:val="00734883"/>
    <w:rsid w:val="00741404"/>
    <w:rsid w:val="007449E5"/>
    <w:rsid w:val="00746C5A"/>
    <w:rsid w:val="00747FF0"/>
    <w:rsid w:val="00764D4E"/>
    <w:rsid w:val="00765A1F"/>
    <w:rsid w:val="007668E6"/>
    <w:rsid w:val="00775B6D"/>
    <w:rsid w:val="00776D68"/>
    <w:rsid w:val="007850EE"/>
    <w:rsid w:val="00785B95"/>
    <w:rsid w:val="00790E96"/>
    <w:rsid w:val="00793366"/>
    <w:rsid w:val="00794E2B"/>
    <w:rsid w:val="00796218"/>
    <w:rsid w:val="007A716F"/>
    <w:rsid w:val="007B0078"/>
    <w:rsid w:val="007B270A"/>
    <w:rsid w:val="007B3F29"/>
    <w:rsid w:val="007B77A4"/>
    <w:rsid w:val="007C0695"/>
    <w:rsid w:val="007C145A"/>
    <w:rsid w:val="007C419A"/>
    <w:rsid w:val="007C4CC8"/>
    <w:rsid w:val="007C5426"/>
    <w:rsid w:val="007C5798"/>
    <w:rsid w:val="007D1050"/>
    <w:rsid w:val="007D4832"/>
    <w:rsid w:val="007E21B2"/>
    <w:rsid w:val="007E2C4E"/>
    <w:rsid w:val="007F1905"/>
    <w:rsid w:val="00801300"/>
    <w:rsid w:val="00802C64"/>
    <w:rsid w:val="00805E52"/>
    <w:rsid w:val="008061D0"/>
    <w:rsid w:val="00810B38"/>
    <w:rsid w:val="008204C7"/>
    <w:rsid w:val="00820992"/>
    <w:rsid w:val="008214F0"/>
    <w:rsid w:val="00823602"/>
    <w:rsid w:val="00823A4C"/>
    <w:rsid w:val="00824477"/>
    <w:rsid w:val="008255F5"/>
    <w:rsid w:val="0083014E"/>
    <w:rsid w:val="00830E62"/>
    <w:rsid w:val="0083214A"/>
    <w:rsid w:val="00834220"/>
    <w:rsid w:val="00845723"/>
    <w:rsid w:val="008477DD"/>
    <w:rsid w:val="00851EF9"/>
    <w:rsid w:val="008577FD"/>
    <w:rsid w:val="00857D4D"/>
    <w:rsid w:val="00860B03"/>
    <w:rsid w:val="0086497A"/>
    <w:rsid w:val="00870ED1"/>
    <w:rsid w:val="008713A1"/>
    <w:rsid w:val="008754AB"/>
    <w:rsid w:val="0088060C"/>
    <w:rsid w:val="00893576"/>
    <w:rsid w:val="00893E73"/>
    <w:rsid w:val="008A43C4"/>
    <w:rsid w:val="008A6740"/>
    <w:rsid w:val="008A6ECB"/>
    <w:rsid w:val="008B02DC"/>
    <w:rsid w:val="008B57CE"/>
    <w:rsid w:val="008B5A2B"/>
    <w:rsid w:val="008B659F"/>
    <w:rsid w:val="008C26DE"/>
    <w:rsid w:val="008D2225"/>
    <w:rsid w:val="008D4752"/>
    <w:rsid w:val="008E271C"/>
    <w:rsid w:val="008E418E"/>
    <w:rsid w:val="008E5BC6"/>
    <w:rsid w:val="008E6A25"/>
    <w:rsid w:val="008F4B4D"/>
    <w:rsid w:val="008F5193"/>
    <w:rsid w:val="009013A7"/>
    <w:rsid w:val="009017FB"/>
    <w:rsid w:val="009017FC"/>
    <w:rsid w:val="00903B43"/>
    <w:rsid w:val="0090506B"/>
    <w:rsid w:val="009050C9"/>
    <w:rsid w:val="0090599D"/>
    <w:rsid w:val="009066FC"/>
    <w:rsid w:val="00907307"/>
    <w:rsid w:val="009140A3"/>
    <w:rsid w:val="009144A2"/>
    <w:rsid w:val="0091510C"/>
    <w:rsid w:val="009259AC"/>
    <w:rsid w:val="00926F38"/>
    <w:rsid w:val="00934301"/>
    <w:rsid w:val="00936CD1"/>
    <w:rsid w:val="00941747"/>
    <w:rsid w:val="00941E4C"/>
    <w:rsid w:val="00941EFB"/>
    <w:rsid w:val="0094677D"/>
    <w:rsid w:val="00947AFB"/>
    <w:rsid w:val="00951D7D"/>
    <w:rsid w:val="009630C7"/>
    <w:rsid w:val="00972B55"/>
    <w:rsid w:val="009743B7"/>
    <w:rsid w:val="0098228B"/>
    <w:rsid w:val="009828DA"/>
    <w:rsid w:val="00985BAB"/>
    <w:rsid w:val="00991BA6"/>
    <w:rsid w:val="0099471E"/>
    <w:rsid w:val="00997F03"/>
    <w:rsid w:val="009A46DF"/>
    <w:rsid w:val="009A6296"/>
    <w:rsid w:val="009B1B5F"/>
    <w:rsid w:val="009B2EC2"/>
    <w:rsid w:val="009B6673"/>
    <w:rsid w:val="009C191B"/>
    <w:rsid w:val="009C25E3"/>
    <w:rsid w:val="009C2BD6"/>
    <w:rsid w:val="009E1F32"/>
    <w:rsid w:val="009E5829"/>
    <w:rsid w:val="009E7373"/>
    <w:rsid w:val="009E776C"/>
    <w:rsid w:val="009F598A"/>
    <w:rsid w:val="00A02568"/>
    <w:rsid w:val="00A131F1"/>
    <w:rsid w:val="00A1726E"/>
    <w:rsid w:val="00A204CF"/>
    <w:rsid w:val="00A23D49"/>
    <w:rsid w:val="00A27004"/>
    <w:rsid w:val="00A30C29"/>
    <w:rsid w:val="00A34DD6"/>
    <w:rsid w:val="00A36819"/>
    <w:rsid w:val="00A36989"/>
    <w:rsid w:val="00A43628"/>
    <w:rsid w:val="00A45145"/>
    <w:rsid w:val="00A52719"/>
    <w:rsid w:val="00A54192"/>
    <w:rsid w:val="00A572F4"/>
    <w:rsid w:val="00A6035E"/>
    <w:rsid w:val="00A60626"/>
    <w:rsid w:val="00A6144C"/>
    <w:rsid w:val="00A659FE"/>
    <w:rsid w:val="00A66617"/>
    <w:rsid w:val="00A671F8"/>
    <w:rsid w:val="00A673A4"/>
    <w:rsid w:val="00A70CC1"/>
    <w:rsid w:val="00A724AE"/>
    <w:rsid w:val="00A73329"/>
    <w:rsid w:val="00A82359"/>
    <w:rsid w:val="00A865D2"/>
    <w:rsid w:val="00A947FC"/>
    <w:rsid w:val="00A94C20"/>
    <w:rsid w:val="00A95068"/>
    <w:rsid w:val="00A96ED6"/>
    <w:rsid w:val="00AA227F"/>
    <w:rsid w:val="00AA3BC7"/>
    <w:rsid w:val="00AA754A"/>
    <w:rsid w:val="00AB099E"/>
    <w:rsid w:val="00AB4328"/>
    <w:rsid w:val="00AB5FA0"/>
    <w:rsid w:val="00AD6451"/>
    <w:rsid w:val="00AE0A2E"/>
    <w:rsid w:val="00AE354C"/>
    <w:rsid w:val="00AE6FC4"/>
    <w:rsid w:val="00AF4B07"/>
    <w:rsid w:val="00AF6186"/>
    <w:rsid w:val="00AF7A3A"/>
    <w:rsid w:val="00B160DB"/>
    <w:rsid w:val="00B20836"/>
    <w:rsid w:val="00B22A51"/>
    <w:rsid w:val="00B235BB"/>
    <w:rsid w:val="00B27A44"/>
    <w:rsid w:val="00B30BBF"/>
    <w:rsid w:val="00B33C03"/>
    <w:rsid w:val="00B367A1"/>
    <w:rsid w:val="00B37A28"/>
    <w:rsid w:val="00B42B45"/>
    <w:rsid w:val="00B44E56"/>
    <w:rsid w:val="00B46543"/>
    <w:rsid w:val="00B47D33"/>
    <w:rsid w:val="00B52BE0"/>
    <w:rsid w:val="00B54133"/>
    <w:rsid w:val="00B701ED"/>
    <w:rsid w:val="00B7316E"/>
    <w:rsid w:val="00B80140"/>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4AEE"/>
    <w:rsid w:val="00BC6BBF"/>
    <w:rsid w:val="00BD1572"/>
    <w:rsid w:val="00BE14E3"/>
    <w:rsid w:val="00BE21EF"/>
    <w:rsid w:val="00BE3774"/>
    <w:rsid w:val="00BE41E5"/>
    <w:rsid w:val="00BF0BBB"/>
    <w:rsid w:val="00BF4109"/>
    <w:rsid w:val="00BF4CC3"/>
    <w:rsid w:val="00C054C7"/>
    <w:rsid w:val="00C057B5"/>
    <w:rsid w:val="00C121CA"/>
    <w:rsid w:val="00C16452"/>
    <w:rsid w:val="00C179DE"/>
    <w:rsid w:val="00C22687"/>
    <w:rsid w:val="00C2536F"/>
    <w:rsid w:val="00C2583D"/>
    <w:rsid w:val="00C25BA8"/>
    <w:rsid w:val="00C32E4D"/>
    <w:rsid w:val="00C333A0"/>
    <w:rsid w:val="00C36A81"/>
    <w:rsid w:val="00C41974"/>
    <w:rsid w:val="00C447AD"/>
    <w:rsid w:val="00C5031E"/>
    <w:rsid w:val="00C53F4A"/>
    <w:rsid w:val="00C54125"/>
    <w:rsid w:val="00C55B54"/>
    <w:rsid w:val="00C6098E"/>
    <w:rsid w:val="00C6152C"/>
    <w:rsid w:val="00C621C2"/>
    <w:rsid w:val="00C74148"/>
    <w:rsid w:val="00C74810"/>
    <w:rsid w:val="00C90D68"/>
    <w:rsid w:val="00C939FE"/>
    <w:rsid w:val="00CA4BDA"/>
    <w:rsid w:val="00CB1F66"/>
    <w:rsid w:val="00CB2951"/>
    <w:rsid w:val="00CC6585"/>
    <w:rsid w:val="00CD282B"/>
    <w:rsid w:val="00CD4C35"/>
    <w:rsid w:val="00CD7369"/>
    <w:rsid w:val="00CE0B0E"/>
    <w:rsid w:val="00CE0DE2"/>
    <w:rsid w:val="00CE125B"/>
    <w:rsid w:val="00CE3831"/>
    <w:rsid w:val="00CF6BBC"/>
    <w:rsid w:val="00D00ABB"/>
    <w:rsid w:val="00D02EEC"/>
    <w:rsid w:val="00D03551"/>
    <w:rsid w:val="00D04119"/>
    <w:rsid w:val="00D06A63"/>
    <w:rsid w:val="00D07E0E"/>
    <w:rsid w:val="00D11478"/>
    <w:rsid w:val="00D15A2F"/>
    <w:rsid w:val="00D15ED0"/>
    <w:rsid w:val="00D21B3E"/>
    <w:rsid w:val="00D21FED"/>
    <w:rsid w:val="00D24251"/>
    <w:rsid w:val="00D25736"/>
    <w:rsid w:val="00D343E2"/>
    <w:rsid w:val="00D361A2"/>
    <w:rsid w:val="00D44C2E"/>
    <w:rsid w:val="00D45414"/>
    <w:rsid w:val="00D53C0F"/>
    <w:rsid w:val="00D566BD"/>
    <w:rsid w:val="00D57A4D"/>
    <w:rsid w:val="00D603D1"/>
    <w:rsid w:val="00D60AA7"/>
    <w:rsid w:val="00D60D87"/>
    <w:rsid w:val="00D6435F"/>
    <w:rsid w:val="00D75E28"/>
    <w:rsid w:val="00D75F34"/>
    <w:rsid w:val="00D772C2"/>
    <w:rsid w:val="00D8008E"/>
    <w:rsid w:val="00D80352"/>
    <w:rsid w:val="00D82C45"/>
    <w:rsid w:val="00D87D6F"/>
    <w:rsid w:val="00D908A8"/>
    <w:rsid w:val="00D977B6"/>
    <w:rsid w:val="00DA4A31"/>
    <w:rsid w:val="00DA7B04"/>
    <w:rsid w:val="00DB36C2"/>
    <w:rsid w:val="00DB7196"/>
    <w:rsid w:val="00DB778C"/>
    <w:rsid w:val="00DC169B"/>
    <w:rsid w:val="00DC2AB9"/>
    <w:rsid w:val="00DC63F0"/>
    <w:rsid w:val="00DD6715"/>
    <w:rsid w:val="00DD6EE5"/>
    <w:rsid w:val="00DE386C"/>
    <w:rsid w:val="00DE4D35"/>
    <w:rsid w:val="00DF0549"/>
    <w:rsid w:val="00DF098B"/>
    <w:rsid w:val="00DF11C4"/>
    <w:rsid w:val="00DF210C"/>
    <w:rsid w:val="00DF23E5"/>
    <w:rsid w:val="00DF4B6A"/>
    <w:rsid w:val="00E02C09"/>
    <w:rsid w:val="00E04D59"/>
    <w:rsid w:val="00E07DA1"/>
    <w:rsid w:val="00E103A9"/>
    <w:rsid w:val="00E12192"/>
    <w:rsid w:val="00E123CB"/>
    <w:rsid w:val="00E1557C"/>
    <w:rsid w:val="00E204E0"/>
    <w:rsid w:val="00E20E13"/>
    <w:rsid w:val="00E216FA"/>
    <w:rsid w:val="00E21DBC"/>
    <w:rsid w:val="00E24848"/>
    <w:rsid w:val="00E258FF"/>
    <w:rsid w:val="00E275D7"/>
    <w:rsid w:val="00E27DBE"/>
    <w:rsid w:val="00E31EE9"/>
    <w:rsid w:val="00E32AB1"/>
    <w:rsid w:val="00E3581F"/>
    <w:rsid w:val="00E36C71"/>
    <w:rsid w:val="00E40404"/>
    <w:rsid w:val="00E459C6"/>
    <w:rsid w:val="00E47589"/>
    <w:rsid w:val="00E47860"/>
    <w:rsid w:val="00E64915"/>
    <w:rsid w:val="00E661D4"/>
    <w:rsid w:val="00E70091"/>
    <w:rsid w:val="00E720F5"/>
    <w:rsid w:val="00E76D47"/>
    <w:rsid w:val="00E83850"/>
    <w:rsid w:val="00E849F7"/>
    <w:rsid w:val="00E86693"/>
    <w:rsid w:val="00E90302"/>
    <w:rsid w:val="00E9597F"/>
    <w:rsid w:val="00E97396"/>
    <w:rsid w:val="00EA185E"/>
    <w:rsid w:val="00EA407E"/>
    <w:rsid w:val="00EA43DE"/>
    <w:rsid w:val="00EA592A"/>
    <w:rsid w:val="00EB14E4"/>
    <w:rsid w:val="00EB32A5"/>
    <w:rsid w:val="00EB34ED"/>
    <w:rsid w:val="00EB6919"/>
    <w:rsid w:val="00EB7BE0"/>
    <w:rsid w:val="00EC0892"/>
    <w:rsid w:val="00EC0BE3"/>
    <w:rsid w:val="00EC315E"/>
    <w:rsid w:val="00ED077C"/>
    <w:rsid w:val="00ED1190"/>
    <w:rsid w:val="00ED6544"/>
    <w:rsid w:val="00EE0277"/>
    <w:rsid w:val="00EE1DA9"/>
    <w:rsid w:val="00EE3E00"/>
    <w:rsid w:val="00EE5DD2"/>
    <w:rsid w:val="00EF41F1"/>
    <w:rsid w:val="00EF4664"/>
    <w:rsid w:val="00EF4F08"/>
    <w:rsid w:val="00F00A79"/>
    <w:rsid w:val="00F00E86"/>
    <w:rsid w:val="00F05E26"/>
    <w:rsid w:val="00F07C1E"/>
    <w:rsid w:val="00F105DB"/>
    <w:rsid w:val="00F132BC"/>
    <w:rsid w:val="00F13D80"/>
    <w:rsid w:val="00F16AAA"/>
    <w:rsid w:val="00F21161"/>
    <w:rsid w:val="00F218EF"/>
    <w:rsid w:val="00F21BC7"/>
    <w:rsid w:val="00F22848"/>
    <w:rsid w:val="00F266A2"/>
    <w:rsid w:val="00F26930"/>
    <w:rsid w:val="00F30AE3"/>
    <w:rsid w:val="00F32269"/>
    <w:rsid w:val="00F3781D"/>
    <w:rsid w:val="00F54135"/>
    <w:rsid w:val="00F56A6F"/>
    <w:rsid w:val="00F5709C"/>
    <w:rsid w:val="00F62582"/>
    <w:rsid w:val="00F64EF1"/>
    <w:rsid w:val="00F8765F"/>
    <w:rsid w:val="00F90767"/>
    <w:rsid w:val="00F97EF5"/>
    <w:rsid w:val="00FA685B"/>
    <w:rsid w:val="00FB0C01"/>
    <w:rsid w:val="00FC18F2"/>
    <w:rsid w:val="00FC39E5"/>
    <w:rsid w:val="00FC3A78"/>
    <w:rsid w:val="00FC5FFE"/>
    <w:rsid w:val="00FD1005"/>
    <w:rsid w:val="00FD3180"/>
    <w:rsid w:val="00FD6C75"/>
    <w:rsid w:val="00FE71B3"/>
    <w:rsid w:val="00FF2306"/>
    <w:rsid w:val="00FF417A"/>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9B7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lsdException w:name="footer" w:locked="1" w:semiHidden="0" w:uiPriority="0"/>
    <w:lsdException w:name="caption" w:locked="1" w:semiHidden="0"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lsdException w:name="Subtitle" w:locked="1" w:semiHidden="0" w:uiPriority="0" w:unhideWhenUsed="0" w:qFormat="1"/>
    <w:lsdException w:name="Salutation" w:locked="1" w:semiHidden="0" w:uiPriority="0"/>
    <w:lsdException w:name="Date" w:locked="1" w:semiHidden="0" w:uiPriority="0"/>
    <w:lsdException w:name="Body Text First Indent" w:locked="1" w:semiHidden="0"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alny">
    <w:name w:val="Normal"/>
    <w:qFormat/>
    <w:rsid w:val="008214F0"/>
    <w:pPr>
      <w:jc w:val="both"/>
    </w:pPr>
    <w:rPr>
      <w:rFonts w:eastAsia="MS Mincho"/>
      <w:sz w:val="24"/>
      <w:szCs w:val="22"/>
      <w:lang w:val="en-US" w:eastAsia="en-US"/>
    </w:rPr>
  </w:style>
  <w:style w:type="paragraph" w:styleId="Nagwek1">
    <w:name w:val="heading 1"/>
    <w:basedOn w:val="Normalny"/>
    <w:next w:val="Normalny"/>
    <w:link w:val="Nagwek1Znak"/>
    <w:uiPriority w:val="99"/>
    <w:qFormat/>
    <w:rsid w:val="008214F0"/>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8214F0"/>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8214F0"/>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8214F0"/>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8214F0"/>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8214F0"/>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8214F0"/>
    <w:pPr>
      <w:outlineLvl w:val="6"/>
    </w:pPr>
    <w:rPr>
      <w:rFonts w:eastAsia="MS Gothic"/>
      <w:i/>
      <w:iCs/>
    </w:rPr>
  </w:style>
  <w:style w:type="paragraph" w:styleId="Nagwek8">
    <w:name w:val="heading 8"/>
    <w:basedOn w:val="Normalny"/>
    <w:next w:val="Normalny"/>
    <w:link w:val="Nagwek8Znak"/>
    <w:uiPriority w:val="99"/>
    <w:qFormat/>
    <w:rsid w:val="008214F0"/>
    <w:pPr>
      <w:outlineLvl w:val="7"/>
    </w:pPr>
    <w:rPr>
      <w:rFonts w:eastAsia="MS Gothic"/>
      <w:sz w:val="20"/>
      <w:szCs w:val="20"/>
    </w:rPr>
  </w:style>
  <w:style w:type="paragraph" w:styleId="Nagwek9">
    <w:name w:val="heading 9"/>
    <w:basedOn w:val="Normalny"/>
    <w:next w:val="Normalny"/>
    <w:link w:val="Nagwek9Znak"/>
    <w:uiPriority w:val="99"/>
    <w:qFormat/>
    <w:rsid w:val="008214F0"/>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8214F0"/>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8214F0"/>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8214F0"/>
    <w:rPr>
      <w:rFonts w:ascii="Times New Roman" w:eastAsia="MS Gothic" w:hAnsi="Times New Roman" w:cs="Times New Roman"/>
      <w:b/>
      <w:bCs/>
      <w:color w:val="5F5F5F"/>
      <w:sz w:val="24"/>
    </w:rPr>
  </w:style>
  <w:style w:type="character" w:customStyle="1" w:styleId="Nagwek4Znak">
    <w:name w:val="Nagłówek 4 Znak"/>
    <w:link w:val="Nagwek4"/>
    <w:uiPriority w:val="99"/>
    <w:semiHidden/>
    <w:locked/>
    <w:rsid w:val="008214F0"/>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locked/>
    <w:rsid w:val="008214F0"/>
    <w:rPr>
      <w:rFonts w:ascii="Times New Roman" w:eastAsia="MS Gothic" w:hAnsi="Times New Roman" w:cs="Times New Roman"/>
      <w:b/>
      <w:bCs/>
      <w:color w:val="808080"/>
      <w:sz w:val="24"/>
    </w:rPr>
  </w:style>
  <w:style w:type="character" w:customStyle="1" w:styleId="Nagwek6Znak">
    <w:name w:val="Nagłówek 6 Znak"/>
    <w:link w:val="Nagwek6"/>
    <w:uiPriority w:val="99"/>
    <w:semiHidden/>
    <w:locked/>
    <w:rsid w:val="008214F0"/>
    <w:rPr>
      <w:rFonts w:ascii="Times New Roman" w:eastAsia="MS Gothic" w:hAnsi="Times New Roman" w:cs="Times New Roman"/>
      <w:b/>
      <w:bCs/>
      <w:i/>
      <w:iCs/>
      <w:color w:val="7F7F7F"/>
      <w:sz w:val="24"/>
    </w:rPr>
  </w:style>
  <w:style w:type="character" w:customStyle="1" w:styleId="Nagwek7Znak">
    <w:name w:val="Nagłówek 7 Znak"/>
    <w:link w:val="Nagwek7"/>
    <w:uiPriority w:val="99"/>
    <w:semiHidden/>
    <w:locked/>
    <w:rsid w:val="008214F0"/>
    <w:rPr>
      <w:rFonts w:ascii="Times New Roman" w:eastAsia="MS Gothic" w:hAnsi="Times New Roman" w:cs="Times New Roman"/>
      <w:i/>
      <w:iCs/>
      <w:sz w:val="24"/>
    </w:rPr>
  </w:style>
  <w:style w:type="character" w:customStyle="1" w:styleId="Nagwek8Znak">
    <w:name w:val="Nagłówek 8 Znak"/>
    <w:link w:val="Nagwek8"/>
    <w:uiPriority w:val="99"/>
    <w:semiHidden/>
    <w:locked/>
    <w:rsid w:val="008214F0"/>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8214F0"/>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214F0"/>
    <w:rPr>
      <w:rFonts w:ascii="Tahoma" w:hAnsi="Tahoma" w:cs="Tahoma"/>
      <w:sz w:val="16"/>
      <w:szCs w:val="16"/>
    </w:rPr>
  </w:style>
  <w:style w:type="character" w:customStyle="1" w:styleId="TekstdymkaZnak">
    <w:name w:val="Tekst dymka Znak"/>
    <w:link w:val="Tekstdymka"/>
    <w:uiPriority w:val="99"/>
    <w:semiHidden/>
    <w:locked/>
    <w:rsid w:val="008214F0"/>
    <w:rPr>
      <w:rFonts w:ascii="Tahoma" w:eastAsia="MS Mincho" w:hAnsi="Tahoma" w:cs="Tahoma"/>
      <w:sz w:val="16"/>
      <w:szCs w:val="16"/>
    </w:rPr>
  </w:style>
  <w:style w:type="character" w:styleId="Tytuksiki">
    <w:name w:val="Book Title"/>
    <w:uiPriority w:val="99"/>
    <w:qFormat/>
    <w:rsid w:val="008214F0"/>
    <w:rPr>
      <w:i/>
      <w:smallCaps/>
      <w:spacing w:val="5"/>
    </w:rPr>
  </w:style>
  <w:style w:type="paragraph" w:customStyle="1" w:styleId="ECHRHeader">
    <w:name w:val="ECHR_Header"/>
    <w:aliases w:val="Ju_Header"/>
    <w:basedOn w:val="Nagwek"/>
    <w:uiPriority w:val="99"/>
    <w:rsid w:val="008214F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8214F0"/>
    <w:pPr>
      <w:jc w:val="left"/>
    </w:pPr>
    <w:rPr>
      <w:sz w:val="8"/>
    </w:rPr>
  </w:style>
  <w:style w:type="character" w:styleId="Pogrubienie">
    <w:name w:val="Strong"/>
    <w:uiPriority w:val="99"/>
    <w:qFormat/>
    <w:rsid w:val="008214F0"/>
    <w:rPr>
      <w:rFonts w:cs="Times New Roman"/>
      <w:b/>
    </w:rPr>
  </w:style>
  <w:style w:type="paragraph" w:styleId="Bezodstpw">
    <w:name w:val="No Spacing"/>
    <w:basedOn w:val="Normalny"/>
    <w:link w:val="BezodstpwZnak"/>
    <w:uiPriority w:val="99"/>
    <w:qFormat/>
    <w:rsid w:val="008214F0"/>
  </w:style>
  <w:style w:type="character" w:customStyle="1" w:styleId="BezodstpwZnak">
    <w:name w:val="Bez odstępów Znak"/>
    <w:link w:val="Bezodstpw"/>
    <w:uiPriority w:val="99"/>
    <w:semiHidden/>
    <w:locked/>
    <w:rsid w:val="008214F0"/>
    <w:rPr>
      <w:rFonts w:eastAsia="MS Mincho" w:cs="Times New Roman"/>
      <w:sz w:val="24"/>
    </w:rPr>
  </w:style>
  <w:style w:type="paragraph" w:customStyle="1" w:styleId="ECHRFooterLine">
    <w:name w:val="ECHR_Footer_Line"/>
    <w:aliases w:val="Footer_Line"/>
    <w:basedOn w:val="Normalny"/>
    <w:next w:val="ECHRFooter"/>
    <w:uiPriority w:val="99"/>
    <w:semiHidden/>
    <w:rsid w:val="008214F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8214F0"/>
    <w:pPr>
      <w:numPr>
        <w:numId w:val="34"/>
      </w:numPr>
      <w:jc w:val="left"/>
    </w:pPr>
    <w:rPr>
      <w:b/>
    </w:rPr>
  </w:style>
  <w:style w:type="paragraph" w:customStyle="1" w:styleId="OpiPara">
    <w:name w:val="Opi_Para"/>
    <w:basedOn w:val="ECHRPara"/>
    <w:uiPriority w:val="99"/>
    <w:semiHidden/>
    <w:rsid w:val="008214F0"/>
  </w:style>
  <w:style w:type="paragraph" w:customStyle="1" w:styleId="JuParaSub">
    <w:name w:val="Ju_Para_Sub"/>
    <w:basedOn w:val="ECHRPara"/>
    <w:uiPriority w:val="99"/>
    <w:rsid w:val="008214F0"/>
    <w:pPr>
      <w:ind w:left="284"/>
    </w:pPr>
  </w:style>
  <w:style w:type="paragraph" w:customStyle="1" w:styleId="ECHRTitleCentre3">
    <w:name w:val="ECHR_Title_Centre_3"/>
    <w:aliases w:val="Ju_H_Article"/>
    <w:basedOn w:val="Normalny"/>
    <w:next w:val="ECHRParaQuote"/>
    <w:uiPriority w:val="99"/>
    <w:rsid w:val="008214F0"/>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8214F0"/>
    <w:pPr>
      <w:keepNext/>
      <w:keepLines/>
      <w:spacing w:after="240"/>
      <w:jc w:val="center"/>
      <w:outlineLvl w:val="0"/>
    </w:pPr>
    <w:rPr>
      <w:sz w:val="28"/>
    </w:rPr>
  </w:style>
  <w:style w:type="paragraph" w:customStyle="1" w:styleId="OpiParaSub">
    <w:name w:val="Opi_Para_Sub"/>
    <w:basedOn w:val="JuParaSub"/>
    <w:uiPriority w:val="99"/>
    <w:semiHidden/>
    <w:rsid w:val="008214F0"/>
  </w:style>
  <w:style w:type="paragraph" w:customStyle="1" w:styleId="OpiQuot">
    <w:name w:val="Opi_Quot"/>
    <w:basedOn w:val="ECHRParaQuote"/>
    <w:uiPriority w:val="99"/>
    <w:semiHidden/>
    <w:rsid w:val="008214F0"/>
  </w:style>
  <w:style w:type="paragraph" w:customStyle="1" w:styleId="OpiQuotSub">
    <w:name w:val="Opi_Quot_Sub"/>
    <w:basedOn w:val="JuQuotSub"/>
    <w:uiPriority w:val="99"/>
    <w:semiHidden/>
    <w:rsid w:val="008214F0"/>
  </w:style>
  <w:style w:type="paragraph" w:customStyle="1" w:styleId="ECHRTitleCentre2">
    <w:name w:val="ECHR_Title_Centre_2"/>
    <w:aliases w:val="Dec_H_Case"/>
    <w:basedOn w:val="Normalny"/>
    <w:next w:val="ECHRPara"/>
    <w:uiPriority w:val="99"/>
    <w:rsid w:val="008214F0"/>
    <w:pPr>
      <w:spacing w:after="240"/>
      <w:jc w:val="center"/>
      <w:outlineLvl w:val="0"/>
    </w:pPr>
  </w:style>
  <w:style w:type="paragraph" w:customStyle="1" w:styleId="JuTitle">
    <w:name w:val="Ju_Title"/>
    <w:basedOn w:val="Normalny"/>
    <w:next w:val="ECHRPara"/>
    <w:uiPriority w:val="99"/>
    <w:rsid w:val="008214F0"/>
    <w:pPr>
      <w:spacing w:before="720" w:after="240"/>
      <w:jc w:val="center"/>
      <w:outlineLvl w:val="0"/>
    </w:pPr>
    <w:rPr>
      <w:b/>
      <w:caps/>
    </w:rPr>
  </w:style>
  <w:style w:type="paragraph" w:styleId="Tytu">
    <w:name w:val="Title"/>
    <w:basedOn w:val="Normalny"/>
    <w:next w:val="Normalny"/>
    <w:link w:val="TytuZnak"/>
    <w:uiPriority w:val="99"/>
    <w:qFormat/>
    <w:rsid w:val="008214F0"/>
    <w:pPr>
      <w:pBdr>
        <w:bottom w:val="single" w:sz="4" w:space="1" w:color="auto"/>
      </w:pBdr>
      <w:contextualSpacing/>
    </w:pPr>
    <w:rPr>
      <w:rFonts w:eastAsia="MS Gothic"/>
      <w:spacing w:val="5"/>
      <w:sz w:val="52"/>
      <w:szCs w:val="52"/>
    </w:rPr>
  </w:style>
  <w:style w:type="character" w:customStyle="1" w:styleId="TytuZnak">
    <w:name w:val="Tytuł Znak"/>
    <w:link w:val="Tytu"/>
    <w:uiPriority w:val="99"/>
    <w:semiHidden/>
    <w:locked/>
    <w:rsid w:val="008214F0"/>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8214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8214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8214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8214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8214F0"/>
    <w:pPr>
      <w:keepNext/>
      <w:keepLines/>
      <w:spacing w:before="240" w:after="120"/>
      <w:ind w:left="1236"/>
    </w:pPr>
    <w:rPr>
      <w:sz w:val="20"/>
    </w:rPr>
  </w:style>
  <w:style w:type="paragraph" w:customStyle="1" w:styleId="JuQuotSub">
    <w:name w:val="Ju_Quot_Sub"/>
    <w:basedOn w:val="ECHRParaQuote"/>
    <w:uiPriority w:val="99"/>
    <w:rsid w:val="008214F0"/>
    <w:pPr>
      <w:ind w:left="567"/>
    </w:pPr>
  </w:style>
  <w:style w:type="paragraph" w:customStyle="1" w:styleId="JuInitialled">
    <w:name w:val="Ju_Initialled"/>
    <w:basedOn w:val="Normalny"/>
    <w:uiPriority w:val="99"/>
    <w:rsid w:val="008214F0"/>
    <w:pPr>
      <w:tabs>
        <w:tab w:val="center" w:pos="6407"/>
      </w:tabs>
      <w:spacing w:before="720"/>
      <w:jc w:val="right"/>
    </w:pPr>
  </w:style>
  <w:style w:type="paragraph" w:customStyle="1" w:styleId="OpiHA">
    <w:name w:val="Opi_H_A"/>
    <w:basedOn w:val="ECHRHeading1"/>
    <w:next w:val="OpiPara"/>
    <w:uiPriority w:val="99"/>
    <w:semiHidden/>
    <w:rsid w:val="008214F0"/>
    <w:pPr>
      <w:tabs>
        <w:tab w:val="clear" w:pos="357"/>
      </w:tabs>
      <w:outlineLvl w:val="1"/>
    </w:pPr>
    <w:rPr>
      <w:b/>
    </w:rPr>
  </w:style>
  <w:style w:type="paragraph" w:styleId="Nagwek">
    <w:name w:val="header"/>
    <w:basedOn w:val="Normalny"/>
    <w:link w:val="NagwekZnak"/>
    <w:uiPriority w:val="99"/>
    <w:semiHidden/>
    <w:rsid w:val="008214F0"/>
    <w:pPr>
      <w:tabs>
        <w:tab w:val="center" w:pos="4536"/>
        <w:tab w:val="right" w:pos="9072"/>
      </w:tabs>
    </w:pPr>
    <w:rPr>
      <w:rFonts w:eastAsia="Times New Roman"/>
    </w:rPr>
  </w:style>
  <w:style w:type="character" w:customStyle="1" w:styleId="NagwekZnak">
    <w:name w:val="Nagłówek Znak"/>
    <w:link w:val="Nagwek"/>
    <w:uiPriority w:val="99"/>
    <w:semiHidden/>
    <w:locked/>
    <w:rsid w:val="008214F0"/>
    <w:rPr>
      <w:rFonts w:cs="Times New Roman"/>
      <w:sz w:val="24"/>
    </w:rPr>
  </w:style>
  <w:style w:type="paragraph" w:customStyle="1" w:styleId="ECHRHeading1">
    <w:name w:val="ECHR_Heading_1"/>
    <w:aliases w:val="Ju_H_I_Roman"/>
    <w:basedOn w:val="Nagwek1"/>
    <w:next w:val="ECHRPara"/>
    <w:uiPriority w:val="99"/>
    <w:rsid w:val="008214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99"/>
    <w:rsid w:val="008214F0"/>
    <w:pPr>
      <w:keepNext/>
      <w:keepLines/>
      <w:tabs>
        <w:tab w:val="left" w:pos="584"/>
      </w:tabs>
      <w:spacing w:before="360" w:after="240"/>
      <w:ind w:left="584" w:hanging="352"/>
    </w:pPr>
    <w:rPr>
      <w:color w:val="auto"/>
      <w:sz w:val="24"/>
    </w:rPr>
  </w:style>
  <w:style w:type="character" w:customStyle="1" w:styleId="JUNAMES">
    <w:name w:val="JU_NAMES"/>
    <w:uiPriority w:val="99"/>
    <w:rsid w:val="008214F0"/>
    <w:rPr>
      <w:smallCaps/>
    </w:rPr>
  </w:style>
  <w:style w:type="paragraph" w:customStyle="1" w:styleId="JuCase">
    <w:name w:val="Ju_Case"/>
    <w:basedOn w:val="Normalny"/>
    <w:next w:val="ECHRPara"/>
    <w:uiPriority w:val="99"/>
    <w:rsid w:val="008214F0"/>
    <w:pPr>
      <w:ind w:firstLine="284"/>
    </w:pPr>
    <w:rPr>
      <w:b/>
    </w:rPr>
  </w:style>
  <w:style w:type="character" w:styleId="Wyrnieniedelikatne">
    <w:name w:val="Subtle Emphasis"/>
    <w:uiPriority w:val="99"/>
    <w:qFormat/>
    <w:rsid w:val="008214F0"/>
    <w:rPr>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8214F0"/>
    <w:pPr>
      <w:keepNext/>
      <w:keepLines/>
      <w:spacing w:before="720" w:after="240"/>
      <w:outlineLvl w:val="0"/>
    </w:pPr>
    <w:rPr>
      <w:sz w:val="28"/>
    </w:rPr>
  </w:style>
  <w:style w:type="character" w:styleId="Uwydatnienie">
    <w:name w:val="Emphasis"/>
    <w:uiPriority w:val="99"/>
    <w:qFormat/>
    <w:rsid w:val="008214F0"/>
    <w:rPr>
      <w:rFonts w:cs="Times New Roman"/>
      <w:b/>
      <w:i/>
      <w:spacing w:val="10"/>
      <w:shd w:val="clear" w:color="auto" w:fill="auto"/>
    </w:rPr>
  </w:style>
  <w:style w:type="paragraph" w:styleId="Stopka">
    <w:name w:val="footer"/>
    <w:basedOn w:val="Normalny"/>
    <w:link w:val="StopkaZnak"/>
    <w:uiPriority w:val="99"/>
    <w:semiHidden/>
    <w:rsid w:val="008214F0"/>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8214F0"/>
    <w:rPr>
      <w:rFonts w:cs="Times New Roman"/>
      <w:sz w:val="24"/>
    </w:rPr>
  </w:style>
  <w:style w:type="character" w:styleId="Odwoanieprzypisudolnego">
    <w:name w:val="footnote reference"/>
    <w:uiPriority w:val="99"/>
    <w:semiHidden/>
    <w:rsid w:val="008214F0"/>
    <w:rPr>
      <w:rFonts w:cs="Times New Roman"/>
      <w:vertAlign w:val="superscript"/>
    </w:rPr>
  </w:style>
  <w:style w:type="paragraph" w:styleId="Tekstprzypisudolnego">
    <w:name w:val="footnote text"/>
    <w:basedOn w:val="Normalny"/>
    <w:link w:val="TekstprzypisudolnegoZnak"/>
    <w:uiPriority w:val="99"/>
    <w:semiHidden/>
    <w:rsid w:val="008214F0"/>
    <w:rPr>
      <w:sz w:val="20"/>
      <w:szCs w:val="20"/>
    </w:rPr>
  </w:style>
  <w:style w:type="character" w:customStyle="1" w:styleId="TekstprzypisudolnegoZnak">
    <w:name w:val="Tekst przypisu dolnego Znak"/>
    <w:link w:val="Tekstprzypisudolnego"/>
    <w:uiPriority w:val="99"/>
    <w:semiHidden/>
    <w:locked/>
    <w:rsid w:val="008214F0"/>
    <w:rPr>
      <w:rFonts w:eastAsia="MS Mincho" w:cs="Times New Roman"/>
      <w:sz w:val="20"/>
      <w:szCs w:val="20"/>
    </w:rPr>
  </w:style>
  <w:style w:type="character" w:styleId="Hipercze">
    <w:name w:val="Hyperlink"/>
    <w:uiPriority w:val="99"/>
    <w:rsid w:val="008214F0"/>
    <w:rPr>
      <w:rFonts w:cs="Times New Roman"/>
      <w:color w:val="0072BC"/>
      <w:u w:val="single"/>
    </w:rPr>
  </w:style>
  <w:style w:type="character" w:styleId="Wyrnienieintensywne">
    <w:name w:val="Intense Emphasis"/>
    <w:uiPriority w:val="99"/>
    <w:qFormat/>
    <w:rsid w:val="008214F0"/>
    <w:rPr>
      <w:b/>
    </w:rPr>
  </w:style>
  <w:style w:type="paragraph" w:styleId="Cytatintensywny">
    <w:name w:val="Intense Quote"/>
    <w:basedOn w:val="Normalny"/>
    <w:next w:val="Normalny"/>
    <w:link w:val="CytatintensywnyZnak"/>
    <w:uiPriority w:val="99"/>
    <w:qFormat/>
    <w:rsid w:val="008214F0"/>
    <w:pPr>
      <w:pBdr>
        <w:bottom w:val="single" w:sz="4" w:space="1" w:color="auto"/>
      </w:pBdr>
      <w:spacing w:before="200" w:after="280"/>
      <w:ind w:left="1008" w:right="1152"/>
    </w:pPr>
    <w:rPr>
      <w:b/>
      <w:bCs/>
      <w:i/>
      <w:iCs/>
    </w:rPr>
  </w:style>
  <w:style w:type="character" w:customStyle="1" w:styleId="CytatintensywnyZnak">
    <w:name w:val="Cytat intensywny Znak"/>
    <w:link w:val="Cytatintensywny"/>
    <w:uiPriority w:val="99"/>
    <w:semiHidden/>
    <w:locked/>
    <w:rsid w:val="008214F0"/>
    <w:rPr>
      <w:rFonts w:eastAsia="MS Mincho" w:cs="Times New Roman"/>
      <w:b/>
      <w:bCs/>
      <w:i/>
      <w:iCs/>
      <w:sz w:val="24"/>
    </w:rPr>
  </w:style>
  <w:style w:type="character" w:styleId="Odwoanieintensywne">
    <w:name w:val="Intense Reference"/>
    <w:uiPriority w:val="99"/>
    <w:qFormat/>
    <w:rsid w:val="008214F0"/>
    <w:rPr>
      <w:smallCaps/>
      <w:spacing w:val="5"/>
      <w:u w:val="single"/>
    </w:rPr>
  </w:style>
  <w:style w:type="paragraph" w:styleId="Akapitzlist">
    <w:name w:val="List Paragraph"/>
    <w:basedOn w:val="Normalny"/>
    <w:uiPriority w:val="99"/>
    <w:qFormat/>
    <w:rsid w:val="008214F0"/>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8214F0"/>
    <w:pPr>
      <w:spacing w:before="200"/>
      <w:ind w:left="360" w:right="360"/>
    </w:pPr>
    <w:rPr>
      <w:i/>
      <w:iCs/>
    </w:rPr>
  </w:style>
  <w:style w:type="character" w:customStyle="1" w:styleId="CytatZnak">
    <w:name w:val="Cytat Znak"/>
    <w:link w:val="Cytat"/>
    <w:uiPriority w:val="99"/>
    <w:semiHidden/>
    <w:locked/>
    <w:rsid w:val="008214F0"/>
    <w:rPr>
      <w:rFonts w:eastAsia="MS Mincho" w:cs="Times New Roman"/>
      <w:i/>
      <w:iCs/>
      <w:sz w:val="24"/>
    </w:rPr>
  </w:style>
  <w:style w:type="character" w:styleId="Odwoaniedelikatne">
    <w:name w:val="Subtle Reference"/>
    <w:uiPriority w:val="99"/>
    <w:qFormat/>
    <w:rsid w:val="008214F0"/>
    <w:rPr>
      <w:smallCaps/>
    </w:rPr>
  </w:style>
  <w:style w:type="table" w:styleId="Tabela-Siatka">
    <w:name w:val="Table Grid"/>
    <w:basedOn w:val="Standardowy"/>
    <w:uiPriority w:val="99"/>
    <w:rsid w:val="008214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8214F0"/>
    <w:pPr>
      <w:spacing w:before="120" w:after="60"/>
      <w:ind w:left="340" w:right="340" w:hanging="340"/>
    </w:pPr>
    <w:rPr>
      <w:color w:val="0D0D0D"/>
    </w:rPr>
  </w:style>
  <w:style w:type="paragraph" w:styleId="Spistreci2">
    <w:name w:val="toc 2"/>
    <w:basedOn w:val="Normalny"/>
    <w:next w:val="Normalny"/>
    <w:autoRedefine/>
    <w:uiPriority w:val="99"/>
    <w:rsid w:val="008214F0"/>
    <w:pPr>
      <w:spacing w:after="60"/>
      <w:ind w:left="680" w:right="340" w:hanging="340"/>
    </w:pPr>
  </w:style>
  <w:style w:type="paragraph" w:styleId="Spistreci3">
    <w:name w:val="toc 3"/>
    <w:basedOn w:val="Normalny"/>
    <w:next w:val="Normalny"/>
    <w:autoRedefine/>
    <w:uiPriority w:val="99"/>
    <w:rsid w:val="008214F0"/>
    <w:pPr>
      <w:spacing w:after="60"/>
      <w:ind w:left="1020" w:right="340" w:hanging="340"/>
    </w:pPr>
  </w:style>
  <w:style w:type="paragraph" w:styleId="Spistreci4">
    <w:name w:val="toc 4"/>
    <w:basedOn w:val="Normalny"/>
    <w:next w:val="Normalny"/>
    <w:autoRedefine/>
    <w:uiPriority w:val="99"/>
    <w:rsid w:val="008214F0"/>
    <w:pPr>
      <w:tabs>
        <w:tab w:val="right" w:leader="dot" w:pos="9017"/>
      </w:tabs>
      <w:spacing w:after="60"/>
      <w:ind w:left="1361" w:right="340" w:hanging="340"/>
    </w:pPr>
  </w:style>
  <w:style w:type="paragraph" w:styleId="Spistreci5">
    <w:name w:val="toc 5"/>
    <w:basedOn w:val="Normalny"/>
    <w:next w:val="Normalny"/>
    <w:autoRedefine/>
    <w:uiPriority w:val="99"/>
    <w:semiHidden/>
    <w:rsid w:val="008214F0"/>
    <w:pPr>
      <w:spacing w:after="60"/>
      <w:ind w:left="1701" w:right="340" w:hanging="340"/>
    </w:pPr>
  </w:style>
  <w:style w:type="paragraph" w:styleId="Nagwekspisutreci">
    <w:name w:val="TOC Heading"/>
    <w:basedOn w:val="Nagwek1"/>
    <w:next w:val="Normalny"/>
    <w:uiPriority w:val="99"/>
    <w:qFormat/>
    <w:rsid w:val="008214F0"/>
    <w:pPr>
      <w:outlineLvl w:val="9"/>
    </w:pPr>
    <w:rPr>
      <w:color w:val="474747"/>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214F0"/>
    <w:pPr>
      <w:spacing w:before="120"/>
    </w:pPr>
    <w:rPr>
      <w:rFonts w:eastAsia="MS Gothic"/>
      <w:b/>
      <w:bCs/>
      <w:color w:val="474747"/>
      <w:szCs w:val="24"/>
    </w:rPr>
  </w:style>
  <w:style w:type="paragraph" w:customStyle="1" w:styleId="ECHRParaQuote">
    <w:name w:val="ECHR_Para_Quote"/>
    <w:aliases w:val="Ju_Quot"/>
    <w:basedOn w:val="Normalny"/>
    <w:link w:val="JuQuotChar"/>
    <w:uiPriority w:val="99"/>
    <w:rsid w:val="008214F0"/>
    <w:pPr>
      <w:spacing w:before="120" w:after="120"/>
      <w:ind w:left="425" w:firstLine="142"/>
    </w:pPr>
    <w:rPr>
      <w:sz w:val="20"/>
      <w:szCs w:val="20"/>
      <w:lang w:val="pl-PL" w:eastAsia="pl-PL"/>
    </w:rPr>
  </w:style>
  <w:style w:type="paragraph" w:customStyle="1" w:styleId="ECHRPara">
    <w:name w:val="ECHR_Para"/>
    <w:aliases w:val="Ju_Para"/>
    <w:basedOn w:val="Normalny"/>
    <w:link w:val="ECHRParaChar"/>
    <w:uiPriority w:val="99"/>
    <w:rsid w:val="008214F0"/>
    <w:pPr>
      <w:ind w:firstLine="284"/>
    </w:p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8214F0"/>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8214F0"/>
    <w:pPr>
      <w:tabs>
        <w:tab w:val="left" w:pos="567"/>
        <w:tab w:val="left" w:pos="1134"/>
      </w:tabs>
      <w:jc w:val="left"/>
    </w:p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List">
    <w:name w:val="Ju_List"/>
    <w:basedOn w:val="Normalny"/>
    <w:link w:val="JuListChar"/>
    <w:uiPriority w:val="99"/>
    <w:rsid w:val="008214F0"/>
    <w:pPr>
      <w:ind w:left="340" w:hanging="340"/>
    </w:pPr>
    <w:rPr>
      <w:szCs w:val="20"/>
      <w:lang w:val="pl-PL" w:eastAsia="pl-PL"/>
    </w:rPr>
  </w:style>
  <w:style w:type="paragraph" w:customStyle="1" w:styleId="JuSigned">
    <w:name w:val="Ju_Signed"/>
    <w:basedOn w:val="Normalny"/>
    <w:next w:val="JuParaLast"/>
    <w:uiPriority w:val="99"/>
    <w:rsid w:val="008214F0"/>
    <w:pPr>
      <w:tabs>
        <w:tab w:val="center" w:pos="851"/>
        <w:tab w:val="center" w:pos="6407"/>
      </w:tabs>
      <w:spacing w:before="720"/>
      <w:jc w:val="left"/>
    </w:pPr>
  </w:style>
  <w:style w:type="paragraph" w:customStyle="1" w:styleId="JuParaLast">
    <w:name w:val="Ju_Para_Last"/>
    <w:basedOn w:val="Normalny"/>
    <w:next w:val="ECHRPara"/>
    <w:uiPriority w:val="99"/>
    <w:rsid w:val="008214F0"/>
    <w:pPr>
      <w:keepNext/>
      <w:keepLines/>
      <w:spacing w:before="240"/>
      <w:ind w:firstLine="284"/>
    </w:pPr>
  </w:style>
  <w:style w:type="character" w:customStyle="1" w:styleId="JuITMark">
    <w:name w:val="Ju_ITMark"/>
    <w:uiPriority w:val="99"/>
    <w:rsid w:val="008214F0"/>
    <w:rPr>
      <w:rFonts w:cs="Times New Roman"/>
      <w:color w:val="auto"/>
      <w:sz w:val="14"/>
    </w:rPr>
  </w:style>
  <w:style w:type="character" w:styleId="Numerstrony">
    <w:name w:val="page number"/>
    <w:uiPriority w:val="99"/>
    <w:semiHidden/>
    <w:rsid w:val="00014566"/>
    <w:rPr>
      <w:rFonts w:cs="Times New Roman"/>
      <w:sz w:val="18"/>
    </w:rPr>
  </w:style>
  <w:style w:type="paragraph" w:customStyle="1" w:styleId="JuLista">
    <w:name w:val="Ju_List_a"/>
    <w:basedOn w:val="JuList"/>
    <w:uiPriority w:val="99"/>
    <w:rsid w:val="008214F0"/>
    <w:pPr>
      <w:ind w:left="346" w:firstLine="0"/>
    </w:pPr>
  </w:style>
  <w:style w:type="paragraph" w:customStyle="1" w:styleId="JuListi">
    <w:name w:val="Ju_List_i"/>
    <w:basedOn w:val="Normalny"/>
    <w:next w:val="JuLista"/>
    <w:uiPriority w:val="99"/>
    <w:rsid w:val="008214F0"/>
    <w:pPr>
      <w:ind w:left="794"/>
    </w:pPr>
  </w:style>
  <w:style w:type="character" w:styleId="Odwoaniedokomentarza">
    <w:name w:val="annotation reference"/>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cs="Times New Roman"/>
      <w:b/>
      <w:bCs/>
      <w:sz w:val="20"/>
    </w:rPr>
  </w:style>
  <w:style w:type="character" w:styleId="Odwoanieprzypisukocowego">
    <w:name w:val="endnote reference"/>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locked/>
    <w:rsid w:val="00014566"/>
    <w:rPr>
      <w:rFonts w:eastAsia="MS Mincho" w:cs="Times New Roman"/>
      <w:sz w:val="20"/>
    </w:rPr>
  </w:style>
  <w:style w:type="character" w:styleId="UyteHipercze">
    <w:name w:val="FollowedHyperlink"/>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014566"/>
    <w:rPr>
      <w:rFonts w:ascii="Tahoma" w:eastAsia="MS Mincho" w:hAnsi="Tahoma" w:cs="Tahoma"/>
      <w:sz w:val="20"/>
      <w:shd w:val="clear" w:color="auto" w:fill="000080"/>
    </w:rPr>
  </w:style>
  <w:style w:type="paragraph" w:customStyle="1" w:styleId="OpiTranslation">
    <w:name w:val="Opi_Translation"/>
    <w:basedOn w:val="Normalny"/>
    <w:next w:val="OpiPara"/>
    <w:uiPriority w:val="99"/>
    <w:semiHidden/>
    <w:rsid w:val="008214F0"/>
    <w:pPr>
      <w:jc w:val="center"/>
      <w:outlineLvl w:val="0"/>
    </w:pPr>
    <w:rPr>
      <w:i/>
    </w:rPr>
  </w:style>
  <w:style w:type="paragraph" w:styleId="Listapunktowana">
    <w:name w:val="List Bullet"/>
    <w:basedOn w:val="Normalny"/>
    <w:uiPriority w:val="99"/>
    <w:semiHidden/>
    <w:rsid w:val="00014566"/>
    <w:pPr>
      <w:numPr>
        <w:numId w:val="21"/>
      </w:numPr>
    </w:pPr>
  </w:style>
  <w:style w:type="paragraph" w:customStyle="1" w:styleId="DecHTitle">
    <w:name w:val="Dec_H_Title"/>
    <w:basedOn w:val="ECHRTitleCentre1"/>
    <w:uiPriority w:val="99"/>
    <w:rsid w:val="008214F0"/>
  </w:style>
  <w:style w:type="paragraph" w:styleId="Podtytu">
    <w:name w:val="Subtitle"/>
    <w:basedOn w:val="Normalny"/>
    <w:next w:val="Normalny"/>
    <w:link w:val="PodtytuZnak"/>
    <w:uiPriority w:val="99"/>
    <w:qFormat/>
    <w:rsid w:val="008214F0"/>
    <w:pPr>
      <w:spacing w:after="600"/>
    </w:pPr>
    <w:rPr>
      <w:rFonts w:eastAsia="MS Gothic"/>
      <w:i/>
      <w:iCs/>
      <w:spacing w:val="13"/>
      <w:szCs w:val="24"/>
    </w:rPr>
  </w:style>
  <w:style w:type="character" w:customStyle="1" w:styleId="PodtytuZnak">
    <w:name w:val="Podtytuł Znak"/>
    <w:link w:val="Podtytu"/>
    <w:uiPriority w:val="99"/>
    <w:semiHidden/>
    <w:locked/>
    <w:rsid w:val="008214F0"/>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cs="Times New Roman"/>
      <w:i/>
      <w:iCs/>
      <w:sz w:val="24"/>
    </w:rPr>
  </w:style>
  <w:style w:type="character" w:styleId="HTML-cytat">
    <w:name w:val="HTML Cite"/>
    <w:uiPriority w:val="99"/>
    <w:semiHidden/>
    <w:rsid w:val="00014566"/>
    <w:rPr>
      <w:rFonts w:cs="Times New Roman"/>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rFonts w:cs="Times New Roman"/>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5"/>
      </w:numPr>
      <w:tabs>
        <w:tab w:val="clear" w:pos="1492"/>
        <w:tab w:val="num" w:pos="643"/>
      </w:tabs>
      <w:ind w:left="643"/>
      <w:contextualSpacing/>
    </w:pPr>
  </w:style>
  <w:style w:type="paragraph" w:styleId="Listapunktowana3">
    <w:name w:val="List Bullet 3"/>
    <w:basedOn w:val="Normalny"/>
    <w:uiPriority w:val="99"/>
    <w:semiHidden/>
    <w:rsid w:val="00014566"/>
    <w:pPr>
      <w:numPr>
        <w:numId w:val="16"/>
      </w:numPr>
      <w:tabs>
        <w:tab w:val="clear" w:pos="360"/>
        <w:tab w:val="num" w:pos="926"/>
      </w:tabs>
      <w:ind w:left="926"/>
      <w:contextualSpacing/>
    </w:pPr>
  </w:style>
  <w:style w:type="paragraph" w:styleId="Listapunktowana4">
    <w:name w:val="List Bullet 4"/>
    <w:basedOn w:val="Normalny"/>
    <w:uiPriority w:val="99"/>
    <w:semiHidden/>
    <w:rsid w:val="00014566"/>
    <w:pPr>
      <w:numPr>
        <w:numId w:val="17"/>
      </w:numPr>
      <w:tabs>
        <w:tab w:val="clear" w:pos="643"/>
        <w:tab w:val="num" w:pos="1209"/>
      </w:tabs>
      <w:ind w:left="1209"/>
      <w:contextualSpacing/>
    </w:pPr>
  </w:style>
  <w:style w:type="paragraph" w:styleId="Listapunktowana5">
    <w:name w:val="List Bullet 5"/>
    <w:basedOn w:val="Normalny"/>
    <w:uiPriority w:val="99"/>
    <w:semiHidden/>
    <w:rsid w:val="00014566"/>
    <w:pPr>
      <w:numPr>
        <w:numId w:val="18"/>
      </w:numPr>
      <w:tabs>
        <w:tab w:val="clear" w:pos="926"/>
        <w:tab w:val="num" w:pos="1492"/>
      </w:tabs>
      <w:ind w:left="1492"/>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9"/>
      </w:numPr>
      <w:tabs>
        <w:tab w:val="clear" w:pos="1209"/>
        <w:tab w:val="num" w:pos="360"/>
      </w:tabs>
      <w:ind w:left="360"/>
      <w:contextualSpacing/>
    </w:pPr>
  </w:style>
  <w:style w:type="paragraph" w:styleId="Listanumerowana2">
    <w:name w:val="List Number 2"/>
    <w:basedOn w:val="Normalny"/>
    <w:uiPriority w:val="99"/>
    <w:semiHidden/>
    <w:rsid w:val="00014566"/>
    <w:pPr>
      <w:numPr>
        <w:numId w:val="20"/>
      </w:numPr>
      <w:tabs>
        <w:tab w:val="clear" w:pos="1492"/>
        <w:tab w:val="num" w:pos="643"/>
      </w:tabs>
      <w:ind w:left="643"/>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22"/>
      </w:numPr>
      <w:tabs>
        <w:tab w:val="num" w:pos="1209"/>
      </w:tabs>
      <w:ind w:left="1209"/>
      <w:contextualSpacing/>
    </w:pPr>
  </w:style>
  <w:style w:type="paragraph" w:styleId="Listanumerowana5">
    <w:name w:val="List Number 5"/>
    <w:basedOn w:val="Normalny"/>
    <w:uiPriority w:val="99"/>
    <w:semiHidden/>
    <w:rsid w:val="00014566"/>
    <w:pPr>
      <w:numPr>
        <w:numId w:val="23"/>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bidi="ar-SA"/>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cs="Times New Roman"/>
      <w:sz w:val="24"/>
    </w:rPr>
  </w:style>
  <w:style w:type="character" w:styleId="Tekstzastpczy">
    <w:name w:val="Placeholder Text"/>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99"/>
    <w:rsid w:val="008214F0"/>
    <w:pPr>
      <w:tabs>
        <w:tab w:val="left" w:pos="907"/>
        <w:tab w:val="left" w:pos="1701"/>
        <w:tab w:val="right" w:pos="7371"/>
      </w:tabs>
      <w:spacing w:before="240"/>
      <w:ind w:left="397" w:hanging="397"/>
      <w:jc w:val="left"/>
    </w:pPr>
  </w:style>
  <w:style w:type="paragraph" w:customStyle="1" w:styleId="DecList">
    <w:name w:val="Dec_List"/>
    <w:basedOn w:val="Normalny"/>
    <w:uiPriority w:val="99"/>
    <w:rsid w:val="008214F0"/>
    <w:pPr>
      <w:spacing w:before="240"/>
      <w:ind w:left="284"/>
    </w:pPr>
  </w:style>
  <w:style w:type="paragraph" w:customStyle="1" w:styleId="OpiH1">
    <w:name w:val="Opi_H_1"/>
    <w:basedOn w:val="ECHRHeading2"/>
    <w:uiPriority w:val="99"/>
    <w:semiHidden/>
    <w:rsid w:val="008214F0"/>
    <w:pPr>
      <w:ind w:left="635" w:hanging="357"/>
      <w:outlineLvl w:val="2"/>
    </w:pPr>
  </w:style>
  <w:style w:type="paragraph" w:customStyle="1" w:styleId="OpiHa0">
    <w:name w:val="Opi_H_a"/>
    <w:basedOn w:val="ECHRHeading3"/>
    <w:uiPriority w:val="99"/>
    <w:semiHidden/>
    <w:rsid w:val="008214F0"/>
    <w:pPr>
      <w:ind w:left="833" w:hanging="357"/>
      <w:outlineLvl w:val="3"/>
    </w:pPr>
    <w:rPr>
      <w:b/>
      <w:i w:val="0"/>
      <w:sz w:val="20"/>
    </w:rPr>
  </w:style>
  <w:style w:type="paragraph" w:customStyle="1" w:styleId="OpiHi">
    <w:name w:val="Opi_H_i"/>
    <w:basedOn w:val="ECHRHeading4"/>
    <w:uiPriority w:val="99"/>
    <w:semiHidden/>
    <w:rsid w:val="008214F0"/>
    <w:pPr>
      <w:ind w:left="1037" w:hanging="357"/>
      <w:outlineLvl w:val="4"/>
    </w:pPr>
    <w:rPr>
      <w:b w:val="0"/>
      <w:i/>
    </w:rPr>
  </w:style>
  <w:style w:type="paragraph" w:customStyle="1" w:styleId="DummyStyle">
    <w:name w:val="Dummy_Style"/>
    <w:basedOn w:val="Normalny"/>
    <w:uiPriority w:val="99"/>
    <w:semiHidden/>
    <w:rsid w:val="008214F0"/>
    <w:rPr>
      <w:color w:val="00B050"/>
    </w:rPr>
  </w:style>
  <w:style w:type="character" w:customStyle="1" w:styleId="ECHRParaChar">
    <w:name w:val="ECHR_Para Char"/>
    <w:aliases w:val="Ju_Para Char"/>
    <w:link w:val="ECHRPara"/>
    <w:uiPriority w:val="99"/>
    <w:locked/>
    <w:rsid w:val="009A6296"/>
    <w:rPr>
      <w:rFonts w:eastAsia="MS Mincho" w:cs="Times New Roman"/>
      <w:sz w:val="24"/>
    </w:rPr>
  </w:style>
  <w:style w:type="character" w:customStyle="1" w:styleId="JuH1Char">
    <w:name w:val="Ju_H_1. Char"/>
    <w:link w:val="ECHRHeading3"/>
    <w:uiPriority w:val="99"/>
    <w:locked/>
    <w:rsid w:val="009A6296"/>
    <w:rPr>
      <w:rFonts w:ascii="Times New Roman" w:eastAsia="MS Gothic" w:hAnsi="Times New Roman" w:cs="Times New Roman"/>
      <w:bCs/>
      <w:i/>
      <w:sz w:val="24"/>
    </w:rPr>
  </w:style>
  <w:style w:type="character" w:customStyle="1" w:styleId="JuHAChar">
    <w:name w:val="Ju_H_A Char"/>
    <w:link w:val="ECHRHeading2"/>
    <w:uiPriority w:val="99"/>
    <w:locked/>
    <w:rsid w:val="009A6296"/>
    <w:rPr>
      <w:rFonts w:ascii="Times New Roman" w:eastAsia="MS Gothic" w:hAnsi="Times New Roman" w:cs="Times New Roman"/>
      <w:b/>
      <w:bCs/>
      <w:sz w:val="26"/>
      <w:szCs w:val="26"/>
    </w:rPr>
  </w:style>
  <w:style w:type="character" w:customStyle="1" w:styleId="JuQuotChar">
    <w:name w:val="Ju_Quot Char"/>
    <w:link w:val="ECHRParaQuote"/>
    <w:uiPriority w:val="99"/>
    <w:locked/>
    <w:rsid w:val="009A6296"/>
    <w:rPr>
      <w:rFonts w:eastAsia="MS Mincho"/>
      <w:sz w:val="20"/>
    </w:rPr>
  </w:style>
  <w:style w:type="character" w:customStyle="1" w:styleId="JuListChar">
    <w:name w:val="Ju_List Char"/>
    <w:link w:val="JuList"/>
    <w:uiPriority w:val="99"/>
    <w:locked/>
    <w:rsid w:val="009A6296"/>
    <w:rPr>
      <w:rFonts w:eastAsia="MS Mincho"/>
      <w:sz w:val="24"/>
    </w:rPr>
  </w:style>
  <w:style w:type="numbering" w:styleId="1ai">
    <w:name w:val="Outline List 1"/>
    <w:basedOn w:val="Bezlisty"/>
    <w:uiPriority w:val="99"/>
    <w:semiHidden/>
    <w:unhideWhenUsed/>
    <w:rsid w:val="00C16779"/>
    <w:pPr>
      <w:numPr>
        <w:numId w:val="23"/>
      </w:numPr>
    </w:pPr>
  </w:style>
  <w:style w:type="numbering" w:styleId="111111">
    <w:name w:val="Outline List 2"/>
    <w:basedOn w:val="Bezlisty"/>
    <w:uiPriority w:val="99"/>
    <w:semiHidden/>
    <w:unhideWhenUsed/>
    <w:rsid w:val="00C16779"/>
    <w:pPr>
      <w:numPr>
        <w:numId w:val="22"/>
      </w:numPr>
    </w:pPr>
  </w:style>
  <w:style w:type="numbering" w:styleId="Artykusekcja">
    <w:name w:val="Outline List 3"/>
    <w:basedOn w:val="Bezlisty"/>
    <w:uiPriority w:val="99"/>
    <w:semiHidden/>
    <w:unhideWhenUsed/>
    <w:rsid w:val="00C16779"/>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lsdException w:name="footer" w:locked="1" w:semiHidden="0" w:uiPriority="0"/>
    <w:lsdException w:name="caption" w:locked="1" w:semiHidden="0"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lsdException w:name="Subtitle" w:locked="1" w:semiHidden="0" w:uiPriority="0" w:unhideWhenUsed="0" w:qFormat="1"/>
    <w:lsdException w:name="Salutation" w:locked="1" w:semiHidden="0" w:uiPriority="0"/>
    <w:lsdException w:name="Date" w:locked="1" w:semiHidden="0" w:uiPriority="0"/>
    <w:lsdException w:name="Body Text First Indent" w:locked="1" w:semiHidden="0"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Normalny">
    <w:name w:val="Normal"/>
    <w:qFormat/>
    <w:rsid w:val="008214F0"/>
    <w:pPr>
      <w:jc w:val="both"/>
    </w:pPr>
    <w:rPr>
      <w:rFonts w:eastAsia="MS Mincho"/>
      <w:sz w:val="24"/>
      <w:szCs w:val="22"/>
      <w:lang w:val="en-US" w:eastAsia="en-US"/>
    </w:rPr>
  </w:style>
  <w:style w:type="paragraph" w:styleId="Nagwek1">
    <w:name w:val="heading 1"/>
    <w:basedOn w:val="Normalny"/>
    <w:next w:val="Normalny"/>
    <w:link w:val="Nagwek1Znak"/>
    <w:uiPriority w:val="99"/>
    <w:qFormat/>
    <w:rsid w:val="008214F0"/>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8214F0"/>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8214F0"/>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8214F0"/>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8214F0"/>
    <w:pPr>
      <w:spacing w:before="200"/>
      <w:outlineLvl w:val="4"/>
    </w:pPr>
    <w:rPr>
      <w:rFonts w:eastAsia="MS Gothic"/>
      <w:b/>
      <w:bCs/>
      <w:color w:val="808080"/>
    </w:rPr>
  </w:style>
  <w:style w:type="paragraph" w:styleId="Nagwek6">
    <w:name w:val="heading 6"/>
    <w:basedOn w:val="Normalny"/>
    <w:next w:val="Normalny"/>
    <w:link w:val="Nagwek6Znak"/>
    <w:uiPriority w:val="99"/>
    <w:qFormat/>
    <w:rsid w:val="008214F0"/>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8214F0"/>
    <w:pPr>
      <w:outlineLvl w:val="6"/>
    </w:pPr>
    <w:rPr>
      <w:rFonts w:eastAsia="MS Gothic"/>
      <w:i/>
      <w:iCs/>
    </w:rPr>
  </w:style>
  <w:style w:type="paragraph" w:styleId="Nagwek8">
    <w:name w:val="heading 8"/>
    <w:basedOn w:val="Normalny"/>
    <w:next w:val="Normalny"/>
    <w:link w:val="Nagwek8Znak"/>
    <w:uiPriority w:val="99"/>
    <w:qFormat/>
    <w:rsid w:val="008214F0"/>
    <w:pPr>
      <w:outlineLvl w:val="7"/>
    </w:pPr>
    <w:rPr>
      <w:rFonts w:eastAsia="MS Gothic"/>
      <w:sz w:val="20"/>
      <w:szCs w:val="20"/>
    </w:rPr>
  </w:style>
  <w:style w:type="paragraph" w:styleId="Nagwek9">
    <w:name w:val="heading 9"/>
    <w:basedOn w:val="Normalny"/>
    <w:next w:val="Normalny"/>
    <w:link w:val="Nagwek9Znak"/>
    <w:uiPriority w:val="99"/>
    <w:qFormat/>
    <w:rsid w:val="008214F0"/>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8214F0"/>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8214F0"/>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8214F0"/>
    <w:rPr>
      <w:rFonts w:ascii="Times New Roman" w:eastAsia="MS Gothic" w:hAnsi="Times New Roman" w:cs="Times New Roman"/>
      <w:b/>
      <w:bCs/>
      <w:color w:val="5F5F5F"/>
      <w:sz w:val="24"/>
    </w:rPr>
  </w:style>
  <w:style w:type="character" w:customStyle="1" w:styleId="Nagwek4Znak">
    <w:name w:val="Nagłówek 4 Znak"/>
    <w:link w:val="Nagwek4"/>
    <w:uiPriority w:val="99"/>
    <w:semiHidden/>
    <w:locked/>
    <w:rsid w:val="008214F0"/>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locked/>
    <w:rsid w:val="008214F0"/>
    <w:rPr>
      <w:rFonts w:ascii="Times New Roman" w:eastAsia="MS Gothic" w:hAnsi="Times New Roman" w:cs="Times New Roman"/>
      <w:b/>
      <w:bCs/>
      <w:color w:val="808080"/>
      <w:sz w:val="24"/>
    </w:rPr>
  </w:style>
  <w:style w:type="character" w:customStyle="1" w:styleId="Nagwek6Znak">
    <w:name w:val="Nagłówek 6 Znak"/>
    <w:link w:val="Nagwek6"/>
    <w:uiPriority w:val="99"/>
    <w:semiHidden/>
    <w:locked/>
    <w:rsid w:val="008214F0"/>
    <w:rPr>
      <w:rFonts w:ascii="Times New Roman" w:eastAsia="MS Gothic" w:hAnsi="Times New Roman" w:cs="Times New Roman"/>
      <w:b/>
      <w:bCs/>
      <w:i/>
      <w:iCs/>
      <w:color w:val="7F7F7F"/>
      <w:sz w:val="24"/>
    </w:rPr>
  </w:style>
  <w:style w:type="character" w:customStyle="1" w:styleId="Nagwek7Znak">
    <w:name w:val="Nagłówek 7 Znak"/>
    <w:link w:val="Nagwek7"/>
    <w:uiPriority w:val="99"/>
    <w:semiHidden/>
    <w:locked/>
    <w:rsid w:val="008214F0"/>
    <w:rPr>
      <w:rFonts w:ascii="Times New Roman" w:eastAsia="MS Gothic" w:hAnsi="Times New Roman" w:cs="Times New Roman"/>
      <w:i/>
      <w:iCs/>
      <w:sz w:val="24"/>
    </w:rPr>
  </w:style>
  <w:style w:type="character" w:customStyle="1" w:styleId="Nagwek8Znak">
    <w:name w:val="Nagłówek 8 Znak"/>
    <w:link w:val="Nagwek8"/>
    <w:uiPriority w:val="99"/>
    <w:semiHidden/>
    <w:locked/>
    <w:rsid w:val="008214F0"/>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8214F0"/>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214F0"/>
    <w:rPr>
      <w:rFonts w:ascii="Tahoma" w:hAnsi="Tahoma" w:cs="Tahoma"/>
      <w:sz w:val="16"/>
      <w:szCs w:val="16"/>
    </w:rPr>
  </w:style>
  <w:style w:type="character" w:customStyle="1" w:styleId="TekstdymkaZnak">
    <w:name w:val="Tekst dymka Znak"/>
    <w:link w:val="Tekstdymka"/>
    <w:uiPriority w:val="99"/>
    <w:semiHidden/>
    <w:locked/>
    <w:rsid w:val="008214F0"/>
    <w:rPr>
      <w:rFonts w:ascii="Tahoma" w:eastAsia="MS Mincho" w:hAnsi="Tahoma" w:cs="Tahoma"/>
      <w:sz w:val="16"/>
      <w:szCs w:val="16"/>
    </w:rPr>
  </w:style>
  <w:style w:type="character" w:styleId="Tytuksiki">
    <w:name w:val="Book Title"/>
    <w:uiPriority w:val="99"/>
    <w:qFormat/>
    <w:rsid w:val="008214F0"/>
    <w:rPr>
      <w:i/>
      <w:smallCaps/>
      <w:spacing w:val="5"/>
    </w:rPr>
  </w:style>
  <w:style w:type="paragraph" w:customStyle="1" w:styleId="ECHRHeader">
    <w:name w:val="ECHR_Header"/>
    <w:aliases w:val="Ju_Header"/>
    <w:basedOn w:val="Nagwek"/>
    <w:uiPriority w:val="99"/>
    <w:rsid w:val="008214F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8214F0"/>
    <w:pPr>
      <w:jc w:val="left"/>
    </w:pPr>
    <w:rPr>
      <w:sz w:val="8"/>
    </w:rPr>
  </w:style>
  <w:style w:type="character" w:styleId="Pogrubienie">
    <w:name w:val="Strong"/>
    <w:uiPriority w:val="99"/>
    <w:qFormat/>
    <w:rsid w:val="008214F0"/>
    <w:rPr>
      <w:rFonts w:cs="Times New Roman"/>
      <w:b/>
    </w:rPr>
  </w:style>
  <w:style w:type="paragraph" w:styleId="Bezodstpw">
    <w:name w:val="No Spacing"/>
    <w:basedOn w:val="Normalny"/>
    <w:link w:val="BezodstpwZnak"/>
    <w:uiPriority w:val="99"/>
    <w:qFormat/>
    <w:rsid w:val="008214F0"/>
  </w:style>
  <w:style w:type="character" w:customStyle="1" w:styleId="BezodstpwZnak">
    <w:name w:val="Bez odstępów Znak"/>
    <w:link w:val="Bezodstpw"/>
    <w:uiPriority w:val="99"/>
    <w:semiHidden/>
    <w:locked/>
    <w:rsid w:val="008214F0"/>
    <w:rPr>
      <w:rFonts w:eastAsia="MS Mincho" w:cs="Times New Roman"/>
      <w:sz w:val="24"/>
    </w:rPr>
  </w:style>
  <w:style w:type="paragraph" w:customStyle="1" w:styleId="ECHRFooterLine">
    <w:name w:val="ECHR_Footer_Line"/>
    <w:aliases w:val="Footer_Line"/>
    <w:basedOn w:val="Normalny"/>
    <w:next w:val="ECHRFooter"/>
    <w:uiPriority w:val="99"/>
    <w:semiHidden/>
    <w:rsid w:val="008214F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8214F0"/>
    <w:pPr>
      <w:numPr>
        <w:numId w:val="34"/>
      </w:numPr>
      <w:jc w:val="left"/>
    </w:pPr>
    <w:rPr>
      <w:b/>
    </w:rPr>
  </w:style>
  <w:style w:type="paragraph" w:customStyle="1" w:styleId="OpiPara">
    <w:name w:val="Opi_Para"/>
    <w:basedOn w:val="ECHRPara"/>
    <w:uiPriority w:val="99"/>
    <w:semiHidden/>
    <w:rsid w:val="008214F0"/>
  </w:style>
  <w:style w:type="paragraph" w:customStyle="1" w:styleId="JuParaSub">
    <w:name w:val="Ju_Para_Sub"/>
    <w:basedOn w:val="ECHRPara"/>
    <w:uiPriority w:val="99"/>
    <w:rsid w:val="008214F0"/>
    <w:pPr>
      <w:ind w:left="284"/>
    </w:pPr>
  </w:style>
  <w:style w:type="paragraph" w:customStyle="1" w:styleId="ECHRTitleCentre3">
    <w:name w:val="ECHR_Title_Centre_3"/>
    <w:aliases w:val="Ju_H_Article"/>
    <w:basedOn w:val="Normalny"/>
    <w:next w:val="ECHRParaQuote"/>
    <w:uiPriority w:val="99"/>
    <w:rsid w:val="008214F0"/>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8214F0"/>
    <w:pPr>
      <w:keepNext/>
      <w:keepLines/>
      <w:spacing w:after="240"/>
      <w:jc w:val="center"/>
      <w:outlineLvl w:val="0"/>
    </w:pPr>
    <w:rPr>
      <w:sz w:val="28"/>
    </w:rPr>
  </w:style>
  <w:style w:type="paragraph" w:customStyle="1" w:styleId="OpiParaSub">
    <w:name w:val="Opi_Para_Sub"/>
    <w:basedOn w:val="JuParaSub"/>
    <w:uiPriority w:val="99"/>
    <w:semiHidden/>
    <w:rsid w:val="008214F0"/>
  </w:style>
  <w:style w:type="paragraph" w:customStyle="1" w:styleId="OpiQuot">
    <w:name w:val="Opi_Quot"/>
    <w:basedOn w:val="ECHRParaQuote"/>
    <w:uiPriority w:val="99"/>
    <w:semiHidden/>
    <w:rsid w:val="008214F0"/>
  </w:style>
  <w:style w:type="paragraph" w:customStyle="1" w:styleId="OpiQuotSub">
    <w:name w:val="Opi_Quot_Sub"/>
    <w:basedOn w:val="JuQuotSub"/>
    <w:uiPriority w:val="99"/>
    <w:semiHidden/>
    <w:rsid w:val="008214F0"/>
  </w:style>
  <w:style w:type="paragraph" w:customStyle="1" w:styleId="ECHRTitleCentre2">
    <w:name w:val="ECHR_Title_Centre_2"/>
    <w:aliases w:val="Dec_H_Case"/>
    <w:basedOn w:val="Normalny"/>
    <w:next w:val="ECHRPara"/>
    <w:uiPriority w:val="99"/>
    <w:rsid w:val="008214F0"/>
    <w:pPr>
      <w:spacing w:after="240"/>
      <w:jc w:val="center"/>
      <w:outlineLvl w:val="0"/>
    </w:pPr>
  </w:style>
  <w:style w:type="paragraph" w:customStyle="1" w:styleId="JuTitle">
    <w:name w:val="Ju_Title"/>
    <w:basedOn w:val="Normalny"/>
    <w:next w:val="ECHRPara"/>
    <w:uiPriority w:val="99"/>
    <w:rsid w:val="008214F0"/>
    <w:pPr>
      <w:spacing w:before="720" w:after="240"/>
      <w:jc w:val="center"/>
      <w:outlineLvl w:val="0"/>
    </w:pPr>
    <w:rPr>
      <w:b/>
      <w:caps/>
    </w:rPr>
  </w:style>
  <w:style w:type="paragraph" w:styleId="Tytu">
    <w:name w:val="Title"/>
    <w:basedOn w:val="Normalny"/>
    <w:next w:val="Normalny"/>
    <w:link w:val="TytuZnak"/>
    <w:uiPriority w:val="99"/>
    <w:qFormat/>
    <w:rsid w:val="008214F0"/>
    <w:pPr>
      <w:pBdr>
        <w:bottom w:val="single" w:sz="4" w:space="1" w:color="auto"/>
      </w:pBdr>
      <w:contextualSpacing/>
    </w:pPr>
    <w:rPr>
      <w:rFonts w:eastAsia="MS Gothic"/>
      <w:spacing w:val="5"/>
      <w:sz w:val="52"/>
      <w:szCs w:val="52"/>
    </w:rPr>
  </w:style>
  <w:style w:type="character" w:customStyle="1" w:styleId="TytuZnak">
    <w:name w:val="Tytuł Znak"/>
    <w:link w:val="Tytu"/>
    <w:uiPriority w:val="99"/>
    <w:semiHidden/>
    <w:locked/>
    <w:rsid w:val="008214F0"/>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8214F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8214F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8214F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8214F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99"/>
    <w:rsid w:val="008214F0"/>
    <w:pPr>
      <w:keepNext/>
      <w:keepLines/>
      <w:spacing w:before="240" w:after="120"/>
      <w:ind w:left="1236"/>
    </w:pPr>
    <w:rPr>
      <w:sz w:val="20"/>
    </w:rPr>
  </w:style>
  <w:style w:type="paragraph" w:customStyle="1" w:styleId="JuQuotSub">
    <w:name w:val="Ju_Quot_Sub"/>
    <w:basedOn w:val="ECHRParaQuote"/>
    <w:uiPriority w:val="99"/>
    <w:rsid w:val="008214F0"/>
    <w:pPr>
      <w:ind w:left="567"/>
    </w:pPr>
  </w:style>
  <w:style w:type="paragraph" w:customStyle="1" w:styleId="JuInitialled">
    <w:name w:val="Ju_Initialled"/>
    <w:basedOn w:val="Normalny"/>
    <w:uiPriority w:val="99"/>
    <w:rsid w:val="008214F0"/>
    <w:pPr>
      <w:tabs>
        <w:tab w:val="center" w:pos="6407"/>
      </w:tabs>
      <w:spacing w:before="720"/>
      <w:jc w:val="right"/>
    </w:pPr>
  </w:style>
  <w:style w:type="paragraph" w:customStyle="1" w:styleId="OpiHA">
    <w:name w:val="Opi_H_A"/>
    <w:basedOn w:val="ECHRHeading1"/>
    <w:next w:val="OpiPara"/>
    <w:uiPriority w:val="99"/>
    <w:semiHidden/>
    <w:rsid w:val="008214F0"/>
    <w:pPr>
      <w:tabs>
        <w:tab w:val="clear" w:pos="357"/>
      </w:tabs>
      <w:outlineLvl w:val="1"/>
    </w:pPr>
    <w:rPr>
      <w:b/>
    </w:rPr>
  </w:style>
  <w:style w:type="paragraph" w:styleId="Nagwek">
    <w:name w:val="header"/>
    <w:basedOn w:val="Normalny"/>
    <w:link w:val="NagwekZnak"/>
    <w:uiPriority w:val="99"/>
    <w:semiHidden/>
    <w:rsid w:val="008214F0"/>
    <w:pPr>
      <w:tabs>
        <w:tab w:val="center" w:pos="4536"/>
        <w:tab w:val="right" w:pos="9072"/>
      </w:tabs>
    </w:pPr>
    <w:rPr>
      <w:rFonts w:eastAsia="Times New Roman"/>
    </w:rPr>
  </w:style>
  <w:style w:type="character" w:customStyle="1" w:styleId="NagwekZnak">
    <w:name w:val="Nagłówek Znak"/>
    <w:link w:val="Nagwek"/>
    <w:uiPriority w:val="99"/>
    <w:semiHidden/>
    <w:locked/>
    <w:rsid w:val="008214F0"/>
    <w:rPr>
      <w:rFonts w:cs="Times New Roman"/>
      <w:sz w:val="24"/>
    </w:rPr>
  </w:style>
  <w:style w:type="paragraph" w:customStyle="1" w:styleId="ECHRHeading1">
    <w:name w:val="ECHR_Heading_1"/>
    <w:aliases w:val="Ju_H_I_Roman"/>
    <w:basedOn w:val="Nagwek1"/>
    <w:next w:val="ECHRPara"/>
    <w:uiPriority w:val="99"/>
    <w:rsid w:val="008214F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99"/>
    <w:rsid w:val="008214F0"/>
    <w:pPr>
      <w:keepNext/>
      <w:keepLines/>
      <w:tabs>
        <w:tab w:val="left" w:pos="584"/>
      </w:tabs>
      <w:spacing w:before="360" w:after="240"/>
      <w:ind w:left="584" w:hanging="352"/>
    </w:pPr>
    <w:rPr>
      <w:color w:val="auto"/>
      <w:sz w:val="24"/>
    </w:rPr>
  </w:style>
  <w:style w:type="character" w:customStyle="1" w:styleId="JUNAMES">
    <w:name w:val="JU_NAMES"/>
    <w:uiPriority w:val="99"/>
    <w:rsid w:val="008214F0"/>
    <w:rPr>
      <w:smallCaps/>
    </w:rPr>
  </w:style>
  <w:style w:type="paragraph" w:customStyle="1" w:styleId="JuCase">
    <w:name w:val="Ju_Case"/>
    <w:basedOn w:val="Normalny"/>
    <w:next w:val="ECHRPara"/>
    <w:uiPriority w:val="99"/>
    <w:rsid w:val="008214F0"/>
    <w:pPr>
      <w:ind w:firstLine="284"/>
    </w:pPr>
    <w:rPr>
      <w:b/>
    </w:rPr>
  </w:style>
  <w:style w:type="character" w:styleId="Wyrnieniedelikatne">
    <w:name w:val="Subtle Emphasis"/>
    <w:uiPriority w:val="99"/>
    <w:qFormat/>
    <w:rsid w:val="008214F0"/>
    <w:rPr>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8214F0"/>
    <w:pPr>
      <w:keepNext/>
      <w:keepLines/>
      <w:spacing w:before="720" w:after="240"/>
      <w:outlineLvl w:val="0"/>
    </w:pPr>
    <w:rPr>
      <w:sz w:val="28"/>
    </w:rPr>
  </w:style>
  <w:style w:type="character" w:styleId="Uwydatnienie">
    <w:name w:val="Emphasis"/>
    <w:uiPriority w:val="99"/>
    <w:qFormat/>
    <w:rsid w:val="008214F0"/>
    <w:rPr>
      <w:rFonts w:cs="Times New Roman"/>
      <w:b/>
      <w:i/>
      <w:spacing w:val="10"/>
      <w:shd w:val="clear" w:color="auto" w:fill="auto"/>
    </w:rPr>
  </w:style>
  <w:style w:type="paragraph" w:styleId="Stopka">
    <w:name w:val="footer"/>
    <w:basedOn w:val="Normalny"/>
    <w:link w:val="StopkaZnak"/>
    <w:uiPriority w:val="99"/>
    <w:semiHidden/>
    <w:rsid w:val="008214F0"/>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8214F0"/>
    <w:rPr>
      <w:rFonts w:cs="Times New Roman"/>
      <w:sz w:val="24"/>
    </w:rPr>
  </w:style>
  <w:style w:type="character" w:styleId="Odwoanieprzypisudolnego">
    <w:name w:val="footnote reference"/>
    <w:uiPriority w:val="99"/>
    <w:semiHidden/>
    <w:rsid w:val="008214F0"/>
    <w:rPr>
      <w:rFonts w:cs="Times New Roman"/>
      <w:vertAlign w:val="superscript"/>
    </w:rPr>
  </w:style>
  <w:style w:type="paragraph" w:styleId="Tekstprzypisudolnego">
    <w:name w:val="footnote text"/>
    <w:basedOn w:val="Normalny"/>
    <w:link w:val="TekstprzypisudolnegoZnak"/>
    <w:uiPriority w:val="99"/>
    <w:semiHidden/>
    <w:rsid w:val="008214F0"/>
    <w:rPr>
      <w:sz w:val="20"/>
      <w:szCs w:val="20"/>
    </w:rPr>
  </w:style>
  <w:style w:type="character" w:customStyle="1" w:styleId="TekstprzypisudolnegoZnak">
    <w:name w:val="Tekst przypisu dolnego Znak"/>
    <w:link w:val="Tekstprzypisudolnego"/>
    <w:uiPriority w:val="99"/>
    <w:semiHidden/>
    <w:locked/>
    <w:rsid w:val="008214F0"/>
    <w:rPr>
      <w:rFonts w:eastAsia="MS Mincho" w:cs="Times New Roman"/>
      <w:sz w:val="20"/>
      <w:szCs w:val="20"/>
    </w:rPr>
  </w:style>
  <w:style w:type="character" w:styleId="Hipercze">
    <w:name w:val="Hyperlink"/>
    <w:uiPriority w:val="99"/>
    <w:rsid w:val="008214F0"/>
    <w:rPr>
      <w:rFonts w:cs="Times New Roman"/>
      <w:color w:val="0072BC"/>
      <w:u w:val="single"/>
    </w:rPr>
  </w:style>
  <w:style w:type="character" w:styleId="Wyrnienieintensywne">
    <w:name w:val="Intense Emphasis"/>
    <w:uiPriority w:val="99"/>
    <w:qFormat/>
    <w:rsid w:val="008214F0"/>
    <w:rPr>
      <w:b/>
    </w:rPr>
  </w:style>
  <w:style w:type="paragraph" w:styleId="Cytatintensywny">
    <w:name w:val="Intense Quote"/>
    <w:basedOn w:val="Normalny"/>
    <w:next w:val="Normalny"/>
    <w:link w:val="CytatintensywnyZnak"/>
    <w:uiPriority w:val="99"/>
    <w:qFormat/>
    <w:rsid w:val="008214F0"/>
    <w:pPr>
      <w:pBdr>
        <w:bottom w:val="single" w:sz="4" w:space="1" w:color="auto"/>
      </w:pBdr>
      <w:spacing w:before="200" w:after="280"/>
      <w:ind w:left="1008" w:right="1152"/>
    </w:pPr>
    <w:rPr>
      <w:b/>
      <w:bCs/>
      <w:i/>
      <w:iCs/>
    </w:rPr>
  </w:style>
  <w:style w:type="character" w:customStyle="1" w:styleId="CytatintensywnyZnak">
    <w:name w:val="Cytat intensywny Znak"/>
    <w:link w:val="Cytatintensywny"/>
    <w:uiPriority w:val="99"/>
    <w:semiHidden/>
    <w:locked/>
    <w:rsid w:val="008214F0"/>
    <w:rPr>
      <w:rFonts w:eastAsia="MS Mincho" w:cs="Times New Roman"/>
      <w:b/>
      <w:bCs/>
      <w:i/>
      <w:iCs/>
      <w:sz w:val="24"/>
    </w:rPr>
  </w:style>
  <w:style w:type="character" w:styleId="Odwoanieintensywne">
    <w:name w:val="Intense Reference"/>
    <w:uiPriority w:val="99"/>
    <w:qFormat/>
    <w:rsid w:val="008214F0"/>
    <w:rPr>
      <w:smallCaps/>
      <w:spacing w:val="5"/>
      <w:u w:val="single"/>
    </w:rPr>
  </w:style>
  <w:style w:type="paragraph" w:styleId="Akapitzlist">
    <w:name w:val="List Paragraph"/>
    <w:basedOn w:val="Normalny"/>
    <w:uiPriority w:val="99"/>
    <w:qFormat/>
    <w:rsid w:val="008214F0"/>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8214F0"/>
    <w:pPr>
      <w:spacing w:before="200"/>
      <w:ind w:left="360" w:right="360"/>
    </w:pPr>
    <w:rPr>
      <w:i/>
      <w:iCs/>
    </w:rPr>
  </w:style>
  <w:style w:type="character" w:customStyle="1" w:styleId="CytatZnak">
    <w:name w:val="Cytat Znak"/>
    <w:link w:val="Cytat"/>
    <w:uiPriority w:val="99"/>
    <w:semiHidden/>
    <w:locked/>
    <w:rsid w:val="008214F0"/>
    <w:rPr>
      <w:rFonts w:eastAsia="MS Mincho" w:cs="Times New Roman"/>
      <w:i/>
      <w:iCs/>
      <w:sz w:val="24"/>
    </w:rPr>
  </w:style>
  <w:style w:type="character" w:styleId="Odwoaniedelikatne">
    <w:name w:val="Subtle Reference"/>
    <w:uiPriority w:val="99"/>
    <w:qFormat/>
    <w:rsid w:val="008214F0"/>
    <w:rPr>
      <w:smallCaps/>
    </w:rPr>
  </w:style>
  <w:style w:type="table" w:styleId="Tabela-Siatka">
    <w:name w:val="Table Grid"/>
    <w:basedOn w:val="Standardowy"/>
    <w:uiPriority w:val="99"/>
    <w:rsid w:val="008214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8214F0"/>
    <w:pPr>
      <w:spacing w:before="120" w:after="60"/>
      <w:ind w:left="340" w:right="340" w:hanging="340"/>
    </w:pPr>
    <w:rPr>
      <w:color w:val="0D0D0D"/>
    </w:rPr>
  </w:style>
  <w:style w:type="paragraph" w:styleId="Spistreci2">
    <w:name w:val="toc 2"/>
    <w:basedOn w:val="Normalny"/>
    <w:next w:val="Normalny"/>
    <w:autoRedefine/>
    <w:uiPriority w:val="99"/>
    <w:rsid w:val="008214F0"/>
    <w:pPr>
      <w:spacing w:after="60"/>
      <w:ind w:left="680" w:right="340" w:hanging="340"/>
    </w:pPr>
  </w:style>
  <w:style w:type="paragraph" w:styleId="Spistreci3">
    <w:name w:val="toc 3"/>
    <w:basedOn w:val="Normalny"/>
    <w:next w:val="Normalny"/>
    <w:autoRedefine/>
    <w:uiPriority w:val="99"/>
    <w:rsid w:val="008214F0"/>
    <w:pPr>
      <w:spacing w:after="60"/>
      <w:ind w:left="1020" w:right="340" w:hanging="340"/>
    </w:pPr>
  </w:style>
  <w:style w:type="paragraph" w:styleId="Spistreci4">
    <w:name w:val="toc 4"/>
    <w:basedOn w:val="Normalny"/>
    <w:next w:val="Normalny"/>
    <w:autoRedefine/>
    <w:uiPriority w:val="99"/>
    <w:rsid w:val="008214F0"/>
    <w:pPr>
      <w:tabs>
        <w:tab w:val="right" w:leader="dot" w:pos="9017"/>
      </w:tabs>
      <w:spacing w:after="60"/>
      <w:ind w:left="1361" w:right="340" w:hanging="340"/>
    </w:pPr>
  </w:style>
  <w:style w:type="paragraph" w:styleId="Spistreci5">
    <w:name w:val="toc 5"/>
    <w:basedOn w:val="Normalny"/>
    <w:next w:val="Normalny"/>
    <w:autoRedefine/>
    <w:uiPriority w:val="99"/>
    <w:semiHidden/>
    <w:rsid w:val="008214F0"/>
    <w:pPr>
      <w:spacing w:after="60"/>
      <w:ind w:left="1701" w:right="340" w:hanging="340"/>
    </w:pPr>
  </w:style>
  <w:style w:type="paragraph" w:styleId="Nagwekspisutreci">
    <w:name w:val="TOC Heading"/>
    <w:basedOn w:val="Nagwek1"/>
    <w:next w:val="Normalny"/>
    <w:uiPriority w:val="99"/>
    <w:qFormat/>
    <w:rsid w:val="008214F0"/>
    <w:pPr>
      <w:outlineLvl w:val="9"/>
    </w:pPr>
    <w:rPr>
      <w:color w:val="474747"/>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214F0"/>
    <w:pPr>
      <w:spacing w:before="120"/>
    </w:pPr>
    <w:rPr>
      <w:rFonts w:eastAsia="MS Gothic"/>
      <w:b/>
      <w:bCs/>
      <w:color w:val="474747"/>
      <w:szCs w:val="24"/>
    </w:rPr>
  </w:style>
  <w:style w:type="paragraph" w:customStyle="1" w:styleId="ECHRParaQuote">
    <w:name w:val="ECHR_Para_Quote"/>
    <w:aliases w:val="Ju_Quot"/>
    <w:basedOn w:val="Normalny"/>
    <w:link w:val="JuQuotChar"/>
    <w:uiPriority w:val="99"/>
    <w:rsid w:val="008214F0"/>
    <w:pPr>
      <w:spacing w:before="120" w:after="120"/>
      <w:ind w:left="425" w:firstLine="142"/>
    </w:pPr>
    <w:rPr>
      <w:sz w:val="20"/>
      <w:szCs w:val="20"/>
      <w:lang w:val="pl-PL" w:eastAsia="pl-PL"/>
    </w:rPr>
  </w:style>
  <w:style w:type="paragraph" w:customStyle="1" w:styleId="ECHRPara">
    <w:name w:val="ECHR_Para"/>
    <w:aliases w:val="Ju_Para"/>
    <w:basedOn w:val="Normalny"/>
    <w:link w:val="ECHRParaChar"/>
    <w:uiPriority w:val="99"/>
    <w:rsid w:val="008214F0"/>
    <w:pPr>
      <w:ind w:firstLine="284"/>
    </w:p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8214F0"/>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8214F0"/>
    <w:pPr>
      <w:tabs>
        <w:tab w:val="left" w:pos="567"/>
        <w:tab w:val="left" w:pos="1134"/>
      </w:tabs>
      <w:jc w:val="left"/>
    </w:p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List">
    <w:name w:val="Ju_List"/>
    <w:basedOn w:val="Normalny"/>
    <w:link w:val="JuListChar"/>
    <w:uiPriority w:val="99"/>
    <w:rsid w:val="008214F0"/>
    <w:pPr>
      <w:ind w:left="340" w:hanging="340"/>
    </w:pPr>
    <w:rPr>
      <w:szCs w:val="20"/>
      <w:lang w:val="pl-PL" w:eastAsia="pl-PL"/>
    </w:rPr>
  </w:style>
  <w:style w:type="paragraph" w:customStyle="1" w:styleId="JuSigned">
    <w:name w:val="Ju_Signed"/>
    <w:basedOn w:val="Normalny"/>
    <w:next w:val="JuParaLast"/>
    <w:uiPriority w:val="99"/>
    <w:rsid w:val="008214F0"/>
    <w:pPr>
      <w:tabs>
        <w:tab w:val="center" w:pos="851"/>
        <w:tab w:val="center" w:pos="6407"/>
      </w:tabs>
      <w:spacing w:before="720"/>
      <w:jc w:val="left"/>
    </w:pPr>
  </w:style>
  <w:style w:type="paragraph" w:customStyle="1" w:styleId="JuParaLast">
    <w:name w:val="Ju_Para_Last"/>
    <w:basedOn w:val="Normalny"/>
    <w:next w:val="ECHRPara"/>
    <w:uiPriority w:val="99"/>
    <w:rsid w:val="008214F0"/>
    <w:pPr>
      <w:keepNext/>
      <w:keepLines/>
      <w:spacing w:before="240"/>
      <w:ind w:firstLine="284"/>
    </w:pPr>
  </w:style>
  <w:style w:type="character" w:customStyle="1" w:styleId="JuITMark">
    <w:name w:val="Ju_ITMark"/>
    <w:uiPriority w:val="99"/>
    <w:rsid w:val="008214F0"/>
    <w:rPr>
      <w:rFonts w:cs="Times New Roman"/>
      <w:color w:val="auto"/>
      <w:sz w:val="14"/>
    </w:rPr>
  </w:style>
  <w:style w:type="character" w:styleId="Numerstrony">
    <w:name w:val="page number"/>
    <w:uiPriority w:val="99"/>
    <w:semiHidden/>
    <w:rsid w:val="00014566"/>
    <w:rPr>
      <w:rFonts w:cs="Times New Roman"/>
      <w:sz w:val="18"/>
    </w:rPr>
  </w:style>
  <w:style w:type="paragraph" w:customStyle="1" w:styleId="JuLista">
    <w:name w:val="Ju_List_a"/>
    <w:basedOn w:val="JuList"/>
    <w:uiPriority w:val="99"/>
    <w:rsid w:val="008214F0"/>
    <w:pPr>
      <w:ind w:left="346" w:firstLine="0"/>
    </w:pPr>
  </w:style>
  <w:style w:type="paragraph" w:customStyle="1" w:styleId="JuListi">
    <w:name w:val="Ju_List_i"/>
    <w:basedOn w:val="Normalny"/>
    <w:next w:val="JuLista"/>
    <w:uiPriority w:val="99"/>
    <w:rsid w:val="008214F0"/>
    <w:pPr>
      <w:ind w:left="794"/>
    </w:pPr>
  </w:style>
  <w:style w:type="character" w:styleId="Odwoaniedokomentarza">
    <w:name w:val="annotation reference"/>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cs="Times New Roman"/>
      <w:b/>
      <w:bCs/>
      <w:sz w:val="20"/>
    </w:rPr>
  </w:style>
  <w:style w:type="character" w:styleId="Odwoanieprzypisukocowego">
    <w:name w:val="endnote reference"/>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link w:val="Tekstprzypisukocowego"/>
    <w:uiPriority w:val="99"/>
    <w:semiHidden/>
    <w:locked/>
    <w:rsid w:val="00014566"/>
    <w:rPr>
      <w:rFonts w:eastAsia="MS Mincho" w:cs="Times New Roman"/>
      <w:sz w:val="20"/>
    </w:rPr>
  </w:style>
  <w:style w:type="character" w:styleId="UyteHipercze">
    <w:name w:val="FollowedHyperlink"/>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014566"/>
    <w:rPr>
      <w:rFonts w:ascii="Tahoma" w:eastAsia="MS Mincho" w:hAnsi="Tahoma" w:cs="Tahoma"/>
      <w:sz w:val="20"/>
      <w:shd w:val="clear" w:color="auto" w:fill="000080"/>
    </w:rPr>
  </w:style>
  <w:style w:type="paragraph" w:customStyle="1" w:styleId="OpiTranslation">
    <w:name w:val="Opi_Translation"/>
    <w:basedOn w:val="Normalny"/>
    <w:next w:val="OpiPara"/>
    <w:uiPriority w:val="99"/>
    <w:semiHidden/>
    <w:rsid w:val="008214F0"/>
    <w:pPr>
      <w:jc w:val="center"/>
      <w:outlineLvl w:val="0"/>
    </w:pPr>
    <w:rPr>
      <w:i/>
    </w:rPr>
  </w:style>
  <w:style w:type="paragraph" w:styleId="Listapunktowana">
    <w:name w:val="List Bullet"/>
    <w:basedOn w:val="Normalny"/>
    <w:uiPriority w:val="99"/>
    <w:semiHidden/>
    <w:rsid w:val="00014566"/>
    <w:pPr>
      <w:numPr>
        <w:numId w:val="21"/>
      </w:numPr>
    </w:pPr>
  </w:style>
  <w:style w:type="paragraph" w:customStyle="1" w:styleId="DecHTitle">
    <w:name w:val="Dec_H_Title"/>
    <w:basedOn w:val="ECHRTitleCentre1"/>
    <w:uiPriority w:val="99"/>
    <w:rsid w:val="008214F0"/>
  </w:style>
  <w:style w:type="paragraph" w:styleId="Podtytu">
    <w:name w:val="Subtitle"/>
    <w:basedOn w:val="Normalny"/>
    <w:next w:val="Normalny"/>
    <w:link w:val="PodtytuZnak"/>
    <w:uiPriority w:val="99"/>
    <w:qFormat/>
    <w:rsid w:val="008214F0"/>
    <w:pPr>
      <w:spacing w:after="600"/>
    </w:pPr>
    <w:rPr>
      <w:rFonts w:eastAsia="MS Gothic"/>
      <w:i/>
      <w:iCs/>
      <w:spacing w:val="13"/>
      <w:szCs w:val="24"/>
    </w:rPr>
  </w:style>
  <w:style w:type="character" w:customStyle="1" w:styleId="PodtytuZnak">
    <w:name w:val="Podtytuł Znak"/>
    <w:link w:val="Podtytu"/>
    <w:uiPriority w:val="99"/>
    <w:semiHidden/>
    <w:locked/>
    <w:rsid w:val="008214F0"/>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locked/>
    <w:rsid w:val="00014566"/>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014566"/>
    <w:rPr>
      <w:rFonts w:eastAsia="MS Mincho" w:cs="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character" w:customStyle="1" w:styleId="DataZnak">
    <w:name w:val="Data Znak"/>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uiPriority w:val="99"/>
    <w:semiHidden/>
    <w:rsid w:val="00014566"/>
    <w:rPr>
      <w:rFonts w:cs="Times New Roman"/>
    </w:rPr>
  </w:style>
  <w:style w:type="paragraph" w:styleId="HTML-adres">
    <w:name w:val="HTML Address"/>
    <w:basedOn w:val="Normalny"/>
    <w:link w:val="HTML-adresZnak"/>
    <w:uiPriority w:val="99"/>
    <w:semiHidden/>
    <w:rsid w:val="00014566"/>
    <w:rPr>
      <w:i/>
      <w:iCs/>
    </w:rPr>
  </w:style>
  <w:style w:type="character" w:customStyle="1" w:styleId="HTML-adresZnak">
    <w:name w:val="HTML - adres Znak"/>
    <w:link w:val="HTML-adres"/>
    <w:uiPriority w:val="99"/>
    <w:semiHidden/>
    <w:locked/>
    <w:rsid w:val="00014566"/>
    <w:rPr>
      <w:rFonts w:eastAsia="MS Mincho" w:cs="Times New Roman"/>
      <w:i/>
      <w:iCs/>
      <w:sz w:val="24"/>
    </w:rPr>
  </w:style>
  <w:style w:type="character" w:styleId="HTML-cytat">
    <w:name w:val="HTML Cite"/>
    <w:uiPriority w:val="99"/>
    <w:semiHidden/>
    <w:rsid w:val="00014566"/>
    <w:rPr>
      <w:rFonts w:cs="Times New Roman"/>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rFonts w:cs="Times New Roman"/>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rFonts w:cs="Times New Roman"/>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5"/>
      </w:numPr>
      <w:tabs>
        <w:tab w:val="clear" w:pos="1492"/>
        <w:tab w:val="num" w:pos="643"/>
      </w:tabs>
      <w:ind w:left="643"/>
      <w:contextualSpacing/>
    </w:pPr>
  </w:style>
  <w:style w:type="paragraph" w:styleId="Listapunktowana3">
    <w:name w:val="List Bullet 3"/>
    <w:basedOn w:val="Normalny"/>
    <w:uiPriority w:val="99"/>
    <w:semiHidden/>
    <w:rsid w:val="00014566"/>
    <w:pPr>
      <w:numPr>
        <w:numId w:val="16"/>
      </w:numPr>
      <w:tabs>
        <w:tab w:val="clear" w:pos="360"/>
        <w:tab w:val="num" w:pos="926"/>
      </w:tabs>
      <w:ind w:left="926"/>
      <w:contextualSpacing/>
    </w:pPr>
  </w:style>
  <w:style w:type="paragraph" w:styleId="Listapunktowana4">
    <w:name w:val="List Bullet 4"/>
    <w:basedOn w:val="Normalny"/>
    <w:uiPriority w:val="99"/>
    <w:semiHidden/>
    <w:rsid w:val="00014566"/>
    <w:pPr>
      <w:numPr>
        <w:numId w:val="17"/>
      </w:numPr>
      <w:tabs>
        <w:tab w:val="clear" w:pos="643"/>
        <w:tab w:val="num" w:pos="1209"/>
      </w:tabs>
      <w:ind w:left="1209"/>
      <w:contextualSpacing/>
    </w:pPr>
  </w:style>
  <w:style w:type="paragraph" w:styleId="Listapunktowana5">
    <w:name w:val="List Bullet 5"/>
    <w:basedOn w:val="Normalny"/>
    <w:uiPriority w:val="99"/>
    <w:semiHidden/>
    <w:rsid w:val="00014566"/>
    <w:pPr>
      <w:numPr>
        <w:numId w:val="18"/>
      </w:numPr>
      <w:tabs>
        <w:tab w:val="clear" w:pos="926"/>
        <w:tab w:val="num" w:pos="1492"/>
      </w:tabs>
      <w:ind w:left="1492"/>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9"/>
      </w:numPr>
      <w:tabs>
        <w:tab w:val="clear" w:pos="1209"/>
        <w:tab w:val="num" w:pos="360"/>
      </w:tabs>
      <w:ind w:left="360"/>
      <w:contextualSpacing/>
    </w:pPr>
  </w:style>
  <w:style w:type="paragraph" w:styleId="Listanumerowana2">
    <w:name w:val="List Number 2"/>
    <w:basedOn w:val="Normalny"/>
    <w:uiPriority w:val="99"/>
    <w:semiHidden/>
    <w:rsid w:val="00014566"/>
    <w:pPr>
      <w:numPr>
        <w:numId w:val="20"/>
      </w:numPr>
      <w:tabs>
        <w:tab w:val="clear" w:pos="1492"/>
        <w:tab w:val="num" w:pos="643"/>
      </w:tabs>
      <w:ind w:left="643"/>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22"/>
      </w:numPr>
      <w:tabs>
        <w:tab w:val="num" w:pos="1209"/>
      </w:tabs>
      <w:ind w:left="1209"/>
      <w:contextualSpacing/>
    </w:pPr>
  </w:style>
  <w:style w:type="paragraph" w:styleId="Listanumerowana5">
    <w:name w:val="List Number 5"/>
    <w:basedOn w:val="Normalny"/>
    <w:uiPriority w:val="99"/>
    <w:semiHidden/>
    <w:rsid w:val="00014566"/>
    <w:pPr>
      <w:numPr>
        <w:numId w:val="23"/>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bidi="ar-SA"/>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link w:val="Nagweknotatki"/>
    <w:uiPriority w:val="99"/>
    <w:semiHidden/>
    <w:locked/>
    <w:rsid w:val="00014566"/>
    <w:rPr>
      <w:rFonts w:eastAsia="MS Mincho" w:cs="Times New Roman"/>
      <w:sz w:val="24"/>
    </w:rPr>
  </w:style>
  <w:style w:type="character" w:styleId="Tekstzastpczy">
    <w:name w:val="Placeholder Text"/>
    <w:uiPriority w:val="99"/>
    <w:semiHidden/>
    <w:rsid w:val="00014566"/>
    <w:rPr>
      <w:rFonts w:cs="Times New Roman"/>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99"/>
    <w:rsid w:val="008214F0"/>
    <w:pPr>
      <w:tabs>
        <w:tab w:val="left" w:pos="907"/>
        <w:tab w:val="left" w:pos="1701"/>
        <w:tab w:val="right" w:pos="7371"/>
      </w:tabs>
      <w:spacing w:before="240"/>
      <w:ind w:left="397" w:hanging="397"/>
      <w:jc w:val="left"/>
    </w:pPr>
  </w:style>
  <w:style w:type="paragraph" w:customStyle="1" w:styleId="DecList">
    <w:name w:val="Dec_List"/>
    <w:basedOn w:val="Normalny"/>
    <w:uiPriority w:val="99"/>
    <w:rsid w:val="008214F0"/>
    <w:pPr>
      <w:spacing w:before="240"/>
      <w:ind w:left="284"/>
    </w:pPr>
  </w:style>
  <w:style w:type="paragraph" w:customStyle="1" w:styleId="OpiH1">
    <w:name w:val="Opi_H_1"/>
    <w:basedOn w:val="ECHRHeading2"/>
    <w:uiPriority w:val="99"/>
    <w:semiHidden/>
    <w:rsid w:val="008214F0"/>
    <w:pPr>
      <w:ind w:left="635" w:hanging="357"/>
      <w:outlineLvl w:val="2"/>
    </w:pPr>
  </w:style>
  <w:style w:type="paragraph" w:customStyle="1" w:styleId="OpiHa0">
    <w:name w:val="Opi_H_a"/>
    <w:basedOn w:val="ECHRHeading3"/>
    <w:uiPriority w:val="99"/>
    <w:semiHidden/>
    <w:rsid w:val="008214F0"/>
    <w:pPr>
      <w:ind w:left="833" w:hanging="357"/>
      <w:outlineLvl w:val="3"/>
    </w:pPr>
    <w:rPr>
      <w:b/>
      <w:i w:val="0"/>
      <w:sz w:val="20"/>
    </w:rPr>
  </w:style>
  <w:style w:type="paragraph" w:customStyle="1" w:styleId="OpiHi">
    <w:name w:val="Opi_H_i"/>
    <w:basedOn w:val="ECHRHeading4"/>
    <w:uiPriority w:val="99"/>
    <w:semiHidden/>
    <w:rsid w:val="008214F0"/>
    <w:pPr>
      <w:ind w:left="1037" w:hanging="357"/>
      <w:outlineLvl w:val="4"/>
    </w:pPr>
    <w:rPr>
      <w:b w:val="0"/>
      <w:i/>
    </w:rPr>
  </w:style>
  <w:style w:type="paragraph" w:customStyle="1" w:styleId="DummyStyle">
    <w:name w:val="Dummy_Style"/>
    <w:basedOn w:val="Normalny"/>
    <w:uiPriority w:val="99"/>
    <w:semiHidden/>
    <w:rsid w:val="008214F0"/>
    <w:rPr>
      <w:color w:val="00B050"/>
    </w:rPr>
  </w:style>
  <w:style w:type="character" w:customStyle="1" w:styleId="ECHRParaChar">
    <w:name w:val="ECHR_Para Char"/>
    <w:aliases w:val="Ju_Para Char"/>
    <w:link w:val="ECHRPara"/>
    <w:uiPriority w:val="99"/>
    <w:locked/>
    <w:rsid w:val="009A6296"/>
    <w:rPr>
      <w:rFonts w:eastAsia="MS Mincho" w:cs="Times New Roman"/>
      <w:sz w:val="24"/>
    </w:rPr>
  </w:style>
  <w:style w:type="character" w:customStyle="1" w:styleId="JuH1Char">
    <w:name w:val="Ju_H_1. Char"/>
    <w:link w:val="ECHRHeading3"/>
    <w:uiPriority w:val="99"/>
    <w:locked/>
    <w:rsid w:val="009A6296"/>
    <w:rPr>
      <w:rFonts w:ascii="Times New Roman" w:eastAsia="MS Gothic" w:hAnsi="Times New Roman" w:cs="Times New Roman"/>
      <w:bCs/>
      <w:i/>
      <w:sz w:val="24"/>
    </w:rPr>
  </w:style>
  <w:style w:type="character" w:customStyle="1" w:styleId="JuHAChar">
    <w:name w:val="Ju_H_A Char"/>
    <w:link w:val="ECHRHeading2"/>
    <w:uiPriority w:val="99"/>
    <w:locked/>
    <w:rsid w:val="009A6296"/>
    <w:rPr>
      <w:rFonts w:ascii="Times New Roman" w:eastAsia="MS Gothic" w:hAnsi="Times New Roman" w:cs="Times New Roman"/>
      <w:b/>
      <w:bCs/>
      <w:sz w:val="26"/>
      <w:szCs w:val="26"/>
    </w:rPr>
  </w:style>
  <w:style w:type="character" w:customStyle="1" w:styleId="JuQuotChar">
    <w:name w:val="Ju_Quot Char"/>
    <w:link w:val="ECHRParaQuote"/>
    <w:uiPriority w:val="99"/>
    <w:locked/>
    <w:rsid w:val="009A6296"/>
    <w:rPr>
      <w:rFonts w:eastAsia="MS Mincho"/>
      <w:sz w:val="20"/>
    </w:rPr>
  </w:style>
  <w:style w:type="character" w:customStyle="1" w:styleId="JuListChar">
    <w:name w:val="Ju_List Char"/>
    <w:link w:val="JuList"/>
    <w:uiPriority w:val="99"/>
    <w:locked/>
    <w:rsid w:val="009A6296"/>
    <w:rPr>
      <w:rFonts w:eastAsia="MS Mincho"/>
      <w:sz w:val="24"/>
    </w:rPr>
  </w:style>
  <w:style w:type="numbering" w:styleId="1ai">
    <w:name w:val="Outline List 1"/>
    <w:basedOn w:val="Bezlisty"/>
    <w:uiPriority w:val="99"/>
    <w:semiHidden/>
    <w:unhideWhenUsed/>
    <w:rsid w:val="00C16779"/>
    <w:pPr>
      <w:numPr>
        <w:numId w:val="23"/>
      </w:numPr>
    </w:pPr>
  </w:style>
  <w:style w:type="numbering" w:styleId="111111">
    <w:name w:val="Outline List 2"/>
    <w:basedOn w:val="Bezlisty"/>
    <w:uiPriority w:val="99"/>
    <w:semiHidden/>
    <w:unhideWhenUsed/>
    <w:rsid w:val="00C16779"/>
    <w:pPr>
      <w:numPr>
        <w:numId w:val="22"/>
      </w:numPr>
    </w:pPr>
  </w:style>
  <w:style w:type="numbering" w:styleId="Artykusekcja">
    <w:name w:val="Outline List 3"/>
    <w:basedOn w:val="Bezlisty"/>
    <w:uiPriority w:val="99"/>
    <w:semiHidden/>
    <w:unhideWhenUsed/>
    <w:rsid w:val="00C16779"/>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89201">
      <w:marLeft w:val="0"/>
      <w:marRight w:val="0"/>
      <w:marTop w:val="0"/>
      <w:marBottom w:val="0"/>
      <w:divBdr>
        <w:top w:val="none" w:sz="0" w:space="0" w:color="auto"/>
        <w:left w:val="none" w:sz="0" w:space="0" w:color="auto"/>
        <w:bottom w:val="none" w:sz="0" w:space="0" w:color="auto"/>
        <w:right w:val="none" w:sz="0" w:space="0" w:color="auto"/>
      </w:divBdr>
    </w:div>
    <w:div w:id="2072389205">
      <w:marLeft w:val="0"/>
      <w:marRight w:val="0"/>
      <w:marTop w:val="0"/>
      <w:marBottom w:val="0"/>
      <w:divBdr>
        <w:top w:val="none" w:sz="0" w:space="0" w:color="auto"/>
        <w:left w:val="none" w:sz="0" w:space="0" w:color="auto"/>
        <w:bottom w:val="none" w:sz="0" w:space="0" w:color="auto"/>
        <w:right w:val="none" w:sz="0" w:space="0" w:color="auto"/>
      </w:divBdr>
    </w:div>
    <w:div w:id="2072389208">
      <w:marLeft w:val="0"/>
      <w:marRight w:val="0"/>
      <w:marTop w:val="0"/>
      <w:marBottom w:val="0"/>
      <w:divBdr>
        <w:top w:val="none" w:sz="0" w:space="0" w:color="auto"/>
        <w:left w:val="none" w:sz="0" w:space="0" w:color="auto"/>
        <w:bottom w:val="none" w:sz="0" w:space="0" w:color="auto"/>
        <w:right w:val="none" w:sz="0" w:space="0" w:color="auto"/>
      </w:divBdr>
      <w:divsChild>
        <w:div w:id="2072389209">
          <w:marLeft w:val="0"/>
          <w:marRight w:val="0"/>
          <w:marTop w:val="0"/>
          <w:marBottom w:val="0"/>
          <w:divBdr>
            <w:top w:val="none" w:sz="0" w:space="0" w:color="auto"/>
            <w:left w:val="none" w:sz="0" w:space="0" w:color="auto"/>
            <w:bottom w:val="none" w:sz="0" w:space="0" w:color="auto"/>
            <w:right w:val="none" w:sz="0" w:space="0" w:color="auto"/>
          </w:divBdr>
          <w:divsChild>
            <w:div w:id="2072389202">
              <w:marLeft w:val="0"/>
              <w:marRight w:val="0"/>
              <w:marTop w:val="0"/>
              <w:marBottom w:val="0"/>
              <w:divBdr>
                <w:top w:val="none" w:sz="0" w:space="0" w:color="auto"/>
                <w:left w:val="none" w:sz="0" w:space="0" w:color="auto"/>
                <w:bottom w:val="none" w:sz="0" w:space="0" w:color="auto"/>
                <w:right w:val="none" w:sz="0" w:space="0" w:color="auto"/>
              </w:divBdr>
              <w:divsChild>
                <w:div w:id="2072389203">
                  <w:marLeft w:val="0"/>
                  <w:marRight w:val="0"/>
                  <w:marTop w:val="0"/>
                  <w:marBottom w:val="0"/>
                  <w:divBdr>
                    <w:top w:val="none" w:sz="0" w:space="0" w:color="auto"/>
                    <w:left w:val="none" w:sz="0" w:space="0" w:color="auto"/>
                    <w:bottom w:val="none" w:sz="0" w:space="0" w:color="auto"/>
                    <w:right w:val="none" w:sz="0" w:space="0" w:color="auto"/>
                  </w:divBdr>
                  <w:divsChild>
                    <w:div w:id="2072389204">
                      <w:marLeft w:val="0"/>
                      <w:marRight w:val="0"/>
                      <w:marTop w:val="0"/>
                      <w:marBottom w:val="0"/>
                      <w:divBdr>
                        <w:top w:val="none" w:sz="0" w:space="0" w:color="auto"/>
                        <w:left w:val="none" w:sz="0" w:space="0" w:color="auto"/>
                        <w:bottom w:val="none" w:sz="0" w:space="0" w:color="auto"/>
                        <w:right w:val="none" w:sz="0" w:space="0" w:color="auto"/>
                      </w:divBdr>
                      <w:divsChild>
                        <w:div w:id="2072389207">
                          <w:marLeft w:val="0"/>
                          <w:marRight w:val="0"/>
                          <w:marTop w:val="0"/>
                          <w:marBottom w:val="0"/>
                          <w:divBdr>
                            <w:top w:val="none" w:sz="0" w:space="0" w:color="auto"/>
                            <w:left w:val="none" w:sz="0" w:space="0" w:color="auto"/>
                            <w:bottom w:val="none" w:sz="0" w:space="0" w:color="auto"/>
                            <w:right w:val="none" w:sz="0" w:space="0" w:color="auto"/>
                          </w:divBdr>
                          <w:divsChild>
                            <w:div w:id="207238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udoc.echr.coe.int/sites/eng/Pages/search.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10137</Words>
  <Characters>60823</Characters>
  <Application>Microsoft Office Word</Application>
  <DocSecurity>0</DocSecurity>
  <Lines>506</Lines>
  <Paragraphs>141</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70819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2016-02-10T12:34:00Z</dcterms:created>
  <dcterms:modified xsi:type="dcterms:W3CDTF">2016-02-10T12:34:00Z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