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1CBB" w:rsidRPr="00C00F0F" w:rsidRDefault="00971CBB" w:rsidP="00971CBB">
      <w:pPr>
        <w:pStyle w:val="Nagwek"/>
        <w:jc w:val="center"/>
        <w:rPr>
          <w:sz w:val="4"/>
          <w:szCs w:val="4"/>
        </w:rPr>
      </w:pPr>
      <w:r>
        <w:rPr>
          <w:noProof/>
          <w:sz w:val="4"/>
          <w:szCs w:val="4"/>
          <w:lang w:val="pl-PL" w:eastAsia="pl-PL"/>
        </w:rPr>
        <w:drawing>
          <wp:inline distT="0" distB="0" distL="0" distR="0" wp14:anchorId="47EB2623" wp14:editId="2322E775">
            <wp:extent cx="4476750" cy="1724025"/>
            <wp:effectExtent l="0" t="0" r="0" b="0"/>
            <wp:docPr id="3" name="Picture 1" descr="TranspDocHeaderBig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nspDocHeaderBigBlack"/>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478139" cy="1724560"/>
                    </a:xfrm>
                    <a:prstGeom prst="rect">
                      <a:avLst/>
                    </a:prstGeom>
                    <a:noFill/>
                    <a:ln>
                      <a:noFill/>
                    </a:ln>
                  </pic:spPr>
                </pic:pic>
              </a:graphicData>
            </a:graphic>
          </wp:inline>
        </w:drawing>
      </w:r>
    </w:p>
    <w:p w:rsidR="00B7637E" w:rsidRPr="00B7637E" w:rsidRDefault="00B7637E" w:rsidP="00B7637E">
      <w:pPr>
        <w:pStyle w:val="DecHTitle"/>
        <w:spacing w:after="120"/>
        <w:rPr>
          <w:rStyle w:val="s4f807e54"/>
          <w:sz w:val="24"/>
          <w:szCs w:val="24"/>
        </w:rPr>
      </w:pPr>
      <w:r w:rsidRPr="00B7637E">
        <w:rPr>
          <w:rStyle w:val="s4f807e54"/>
          <w:sz w:val="24"/>
          <w:szCs w:val="24"/>
          <w:lang w:val="en-US"/>
        </w:rPr>
        <w:t xml:space="preserve">© </w:t>
      </w:r>
      <w:proofErr w:type="spellStart"/>
      <w:r w:rsidRPr="00B7637E">
        <w:rPr>
          <w:rStyle w:val="s4f807e54"/>
          <w:sz w:val="24"/>
          <w:szCs w:val="24"/>
          <w:lang w:val="en-US"/>
        </w:rPr>
        <w:t>Trybunał</w:t>
      </w:r>
      <w:proofErr w:type="spellEnd"/>
      <w:r w:rsidRPr="00B7637E">
        <w:rPr>
          <w:rStyle w:val="s4f807e54"/>
          <w:sz w:val="24"/>
          <w:szCs w:val="24"/>
          <w:lang w:val="en-US"/>
        </w:rPr>
        <w:t xml:space="preserve"> </w:t>
      </w:r>
      <w:proofErr w:type="spellStart"/>
      <w:r w:rsidRPr="00B7637E">
        <w:rPr>
          <w:rStyle w:val="s4f807e54"/>
          <w:sz w:val="24"/>
          <w:szCs w:val="24"/>
          <w:lang w:val="en-US"/>
        </w:rPr>
        <w:t>Konstytucyjny</w:t>
      </w:r>
      <w:proofErr w:type="spellEnd"/>
    </w:p>
    <w:p w:rsidR="00B7637E" w:rsidRPr="00B7637E" w:rsidRDefault="00B7637E" w:rsidP="00B7637E">
      <w:pPr>
        <w:spacing w:after="120"/>
        <w:jc w:val="center"/>
        <w:rPr>
          <w:szCs w:val="24"/>
        </w:rPr>
      </w:pPr>
      <w:r w:rsidRPr="00B7637E">
        <w:rPr>
          <w:rStyle w:val="s4f807e54"/>
          <w:szCs w:val="24"/>
        </w:rPr>
        <w:t xml:space="preserve">© </w:t>
      </w:r>
      <w:r w:rsidRPr="00B7637E">
        <w:rPr>
          <w:szCs w:val="24"/>
        </w:rPr>
        <w:t xml:space="preserve">Copyright for the Polish translation by the Polish Constitutional Tribunal </w:t>
      </w:r>
    </w:p>
    <w:p w:rsidR="00B7637E" w:rsidRPr="00B7637E" w:rsidRDefault="00B7637E" w:rsidP="00B7637E">
      <w:pPr>
        <w:pStyle w:val="DecHTitle"/>
        <w:spacing w:after="120"/>
        <w:rPr>
          <w:sz w:val="24"/>
          <w:szCs w:val="24"/>
          <w:lang w:val="pl-PL"/>
        </w:rPr>
      </w:pPr>
      <w:r w:rsidRPr="00B7637E">
        <w:rPr>
          <w:sz w:val="24"/>
          <w:szCs w:val="24"/>
          <w:lang w:val="pl-PL"/>
        </w:rPr>
        <w:t>Warszawa 2014</w:t>
      </w:r>
      <w:bookmarkStart w:id="0" w:name="_GoBack"/>
      <w:bookmarkEnd w:id="0"/>
    </w:p>
    <w:p w:rsidR="00B7637E" w:rsidRDefault="00B7637E" w:rsidP="008008C0">
      <w:pPr>
        <w:pStyle w:val="Nagwek1"/>
        <w:rPr>
          <w:lang w:val="pl-PL"/>
        </w:rPr>
      </w:pPr>
    </w:p>
    <w:p w:rsidR="003960A7" w:rsidRPr="0001543F" w:rsidRDefault="003960A7" w:rsidP="008008C0">
      <w:pPr>
        <w:pStyle w:val="Nagwek1"/>
        <w:rPr>
          <w:lang w:val="pl-PL"/>
        </w:rPr>
      </w:pPr>
      <w:r w:rsidRPr="0001543F">
        <w:rPr>
          <w:lang w:val="pl-PL"/>
        </w:rPr>
        <w:t>PIERWSZA SEKCJA</w:t>
      </w:r>
    </w:p>
    <w:p w:rsidR="003960A7" w:rsidRPr="0001543F" w:rsidRDefault="003960A7" w:rsidP="003960A7">
      <w:pPr>
        <w:jc w:val="center"/>
        <w:rPr>
          <w:lang w:val="pl-PL"/>
        </w:rPr>
      </w:pPr>
    </w:p>
    <w:p w:rsidR="003960A7" w:rsidRPr="0001543F" w:rsidRDefault="003960A7" w:rsidP="003960A7">
      <w:pPr>
        <w:jc w:val="center"/>
        <w:rPr>
          <w:lang w:val="pl-PL"/>
        </w:rPr>
      </w:pPr>
    </w:p>
    <w:p w:rsidR="003960A7" w:rsidRPr="0001543F" w:rsidRDefault="003960A7" w:rsidP="00861EA4">
      <w:pPr>
        <w:pStyle w:val="Nagwek2"/>
        <w:jc w:val="center"/>
        <w:rPr>
          <w:lang w:val="pl-PL"/>
        </w:rPr>
      </w:pPr>
      <w:bookmarkStart w:id="1" w:name="To"/>
      <w:r w:rsidRPr="0001543F">
        <w:rPr>
          <w:lang w:val="pl-PL"/>
        </w:rPr>
        <w:t xml:space="preserve">SPRAWA </w:t>
      </w:r>
      <w:bookmarkEnd w:id="1"/>
      <w:r w:rsidRPr="0001543F">
        <w:rPr>
          <w:lang w:val="pl-PL"/>
        </w:rPr>
        <w:t>JEFIMENKO przeciwko ROSJI</w:t>
      </w:r>
    </w:p>
    <w:p w:rsidR="003960A7" w:rsidRPr="0001543F" w:rsidRDefault="003960A7" w:rsidP="00861EA4">
      <w:pPr>
        <w:pStyle w:val="Tekstpodstawowy"/>
        <w:jc w:val="center"/>
        <w:rPr>
          <w:i/>
          <w:lang w:val="pl-PL"/>
        </w:rPr>
      </w:pPr>
      <w:r w:rsidRPr="0001543F">
        <w:rPr>
          <w:i/>
          <w:lang w:val="pl-PL"/>
        </w:rPr>
        <w:t>(Skarga nr 152/04)</w:t>
      </w:r>
    </w:p>
    <w:p w:rsidR="003960A7" w:rsidRDefault="003960A7" w:rsidP="003960A7">
      <w:pPr>
        <w:jc w:val="center"/>
        <w:rPr>
          <w:szCs w:val="24"/>
          <w:lang w:val="pl-PL"/>
        </w:rPr>
      </w:pPr>
    </w:p>
    <w:p w:rsidR="00B7637E" w:rsidRPr="0001543F" w:rsidRDefault="00B7637E" w:rsidP="003960A7">
      <w:pPr>
        <w:jc w:val="center"/>
        <w:rPr>
          <w:szCs w:val="24"/>
          <w:lang w:val="pl-PL"/>
        </w:rPr>
      </w:pPr>
    </w:p>
    <w:p w:rsidR="003960A7" w:rsidRPr="0001543F" w:rsidRDefault="003960A7" w:rsidP="008008C0">
      <w:pPr>
        <w:pStyle w:val="Nagwek1"/>
        <w:rPr>
          <w:lang w:val="pl-PL"/>
        </w:rPr>
      </w:pPr>
      <w:r w:rsidRPr="0001543F">
        <w:rPr>
          <w:lang w:val="pl-PL"/>
        </w:rPr>
        <w:t>WYROK</w:t>
      </w:r>
    </w:p>
    <w:p w:rsidR="003960A7" w:rsidRPr="0001543F" w:rsidRDefault="003960A7" w:rsidP="003960A7">
      <w:pPr>
        <w:pStyle w:val="JuCase"/>
        <w:ind w:firstLine="0"/>
        <w:jc w:val="center"/>
        <w:rPr>
          <w:b w:val="0"/>
          <w:lang w:val="pl-PL"/>
        </w:rPr>
      </w:pPr>
    </w:p>
    <w:p w:rsidR="003960A7" w:rsidRPr="0001543F" w:rsidRDefault="003960A7" w:rsidP="003960A7">
      <w:pPr>
        <w:pStyle w:val="JuCase"/>
        <w:ind w:firstLine="0"/>
        <w:jc w:val="center"/>
        <w:rPr>
          <w:b w:val="0"/>
          <w:lang w:val="pl-PL"/>
        </w:rPr>
      </w:pPr>
      <w:r w:rsidRPr="0001543F">
        <w:rPr>
          <w:b w:val="0"/>
          <w:lang w:val="pl-PL"/>
        </w:rPr>
        <w:t>STRASBOURG</w:t>
      </w:r>
    </w:p>
    <w:p w:rsidR="003960A7" w:rsidRPr="0001543F" w:rsidRDefault="003960A7" w:rsidP="003960A7">
      <w:pPr>
        <w:pStyle w:val="JuCase"/>
        <w:ind w:firstLine="0"/>
        <w:jc w:val="center"/>
        <w:rPr>
          <w:b w:val="0"/>
          <w:lang w:val="pl-PL"/>
        </w:rPr>
      </w:pPr>
      <w:r w:rsidRPr="0001543F">
        <w:rPr>
          <w:b w:val="0"/>
          <w:lang w:val="pl-PL"/>
        </w:rPr>
        <w:t>12 lutego 2013 r</w:t>
      </w:r>
      <w:r w:rsidR="00F9651E" w:rsidRPr="0001543F">
        <w:rPr>
          <w:b w:val="0"/>
          <w:lang w:val="pl-PL"/>
        </w:rPr>
        <w:t>oku</w:t>
      </w:r>
      <w:r w:rsidRPr="0001543F">
        <w:rPr>
          <w:b w:val="0"/>
          <w:lang w:val="pl-PL"/>
        </w:rPr>
        <w:t>.</w:t>
      </w:r>
    </w:p>
    <w:p w:rsidR="003960A7" w:rsidRPr="0001543F" w:rsidRDefault="003960A7" w:rsidP="003960A7">
      <w:pPr>
        <w:pStyle w:val="JuPara"/>
        <w:rPr>
          <w:lang w:val="pl-PL"/>
        </w:rPr>
      </w:pPr>
    </w:p>
    <w:p w:rsidR="003960A7" w:rsidRPr="0001543F" w:rsidRDefault="003960A7" w:rsidP="003960A7">
      <w:pPr>
        <w:pStyle w:val="jucase0"/>
        <w:ind w:firstLine="0"/>
        <w:jc w:val="center"/>
        <w:rPr>
          <w:color w:val="FF0000"/>
          <w:sz w:val="28"/>
          <w:szCs w:val="28"/>
          <w:u w:val="single"/>
          <w:lang w:val="pl-PL"/>
        </w:rPr>
      </w:pPr>
      <w:r w:rsidRPr="0001543F">
        <w:rPr>
          <w:color w:val="FF0000"/>
          <w:sz w:val="28"/>
          <w:szCs w:val="28"/>
          <w:u w:val="single"/>
          <w:lang w:val="pl-PL"/>
        </w:rPr>
        <w:t>OSTATECZNY</w:t>
      </w:r>
    </w:p>
    <w:p w:rsidR="003960A7" w:rsidRPr="0001543F" w:rsidRDefault="003960A7" w:rsidP="003960A7">
      <w:pPr>
        <w:pStyle w:val="jupara0"/>
        <w:ind w:firstLine="0"/>
        <w:jc w:val="center"/>
        <w:rPr>
          <w:color w:val="FF0000"/>
          <w:sz w:val="28"/>
          <w:szCs w:val="28"/>
          <w:lang w:val="pl-PL"/>
        </w:rPr>
      </w:pPr>
      <w:r w:rsidRPr="0001543F">
        <w:rPr>
          <w:color w:val="FF0000"/>
          <w:sz w:val="28"/>
          <w:szCs w:val="28"/>
          <w:lang w:val="pl-PL"/>
        </w:rPr>
        <w:t>8</w:t>
      </w:r>
      <w:r w:rsidR="00F9651E" w:rsidRPr="0001543F">
        <w:rPr>
          <w:color w:val="FF0000"/>
          <w:sz w:val="28"/>
          <w:szCs w:val="28"/>
          <w:lang w:val="pl-PL"/>
        </w:rPr>
        <w:t xml:space="preserve"> lipca </w:t>
      </w:r>
      <w:r w:rsidRPr="0001543F">
        <w:rPr>
          <w:color w:val="FF0000"/>
          <w:sz w:val="28"/>
          <w:szCs w:val="28"/>
          <w:lang w:val="pl-PL"/>
        </w:rPr>
        <w:t>2013</w:t>
      </w:r>
      <w:r w:rsidR="00F9651E" w:rsidRPr="0001543F">
        <w:rPr>
          <w:color w:val="FF0000"/>
          <w:sz w:val="28"/>
          <w:szCs w:val="28"/>
          <w:lang w:val="pl-PL"/>
        </w:rPr>
        <w:t xml:space="preserve"> roku</w:t>
      </w:r>
    </w:p>
    <w:p w:rsidR="003960A7" w:rsidRPr="0001543F" w:rsidRDefault="003960A7" w:rsidP="003960A7">
      <w:pPr>
        <w:pStyle w:val="jupara0"/>
        <w:ind w:firstLine="0"/>
        <w:jc w:val="center"/>
        <w:rPr>
          <w:lang w:val="pl-PL"/>
        </w:rPr>
      </w:pPr>
    </w:p>
    <w:p w:rsidR="003960A7" w:rsidRPr="0001543F" w:rsidRDefault="003960A7" w:rsidP="00D8619A">
      <w:pPr>
        <w:pStyle w:val="Tekstpodstawowy"/>
        <w:rPr>
          <w:i/>
          <w:lang w:val="pl-PL"/>
        </w:rPr>
      </w:pPr>
      <w:r w:rsidRPr="0001543F">
        <w:rPr>
          <w:i/>
          <w:lang w:val="pl-PL"/>
        </w:rPr>
        <w:t>Niniejszy wyrok stanie się ostateczny zgod</w:t>
      </w:r>
      <w:r w:rsidR="009A5DC2">
        <w:rPr>
          <w:i/>
          <w:lang w:val="pl-PL"/>
        </w:rPr>
        <w:t>n</w:t>
      </w:r>
      <w:r w:rsidRPr="0001543F">
        <w:rPr>
          <w:i/>
          <w:lang w:val="pl-PL"/>
        </w:rPr>
        <w:t xml:space="preserve">ie z warunkami </w:t>
      </w:r>
      <w:r w:rsidR="0031211C" w:rsidRPr="0001543F">
        <w:rPr>
          <w:i/>
          <w:lang w:val="pl-PL"/>
        </w:rPr>
        <w:t xml:space="preserve">określonymi </w:t>
      </w:r>
      <w:r w:rsidR="009A5DC2">
        <w:rPr>
          <w:i/>
          <w:lang w:val="pl-PL"/>
        </w:rPr>
        <w:br/>
      </w:r>
      <w:r w:rsidR="0031211C" w:rsidRPr="0001543F">
        <w:rPr>
          <w:i/>
          <w:lang w:val="pl-PL"/>
        </w:rPr>
        <w:t>w</w:t>
      </w:r>
      <w:r w:rsidRPr="0001543F">
        <w:rPr>
          <w:i/>
          <w:lang w:val="pl-PL"/>
        </w:rPr>
        <w:t xml:space="preserve"> </w:t>
      </w:r>
      <w:r w:rsidR="00F9651E" w:rsidRPr="0001543F">
        <w:rPr>
          <w:i/>
          <w:lang w:val="pl-PL"/>
        </w:rPr>
        <w:t>arty</w:t>
      </w:r>
      <w:r w:rsidRPr="0001543F">
        <w:rPr>
          <w:i/>
          <w:lang w:val="pl-PL"/>
        </w:rPr>
        <w:t>kule 44 ust. 2 Konwencji</w:t>
      </w:r>
      <w:r w:rsidR="002179BB" w:rsidRPr="0001543F">
        <w:rPr>
          <w:i/>
          <w:lang w:val="pl-PL"/>
        </w:rPr>
        <w:t xml:space="preserve">. </w:t>
      </w:r>
      <w:r w:rsidRPr="0001543F">
        <w:rPr>
          <w:i/>
          <w:lang w:val="pl-PL"/>
        </w:rPr>
        <w:t>Wyrok może podlegać korekcie edycyjnej.</w:t>
      </w:r>
    </w:p>
    <w:p w:rsidR="00971CBB" w:rsidRDefault="00971CBB" w:rsidP="003960A7">
      <w:pPr>
        <w:pStyle w:val="JuCase"/>
        <w:rPr>
          <w:bCs/>
          <w:lang w:val="pl-PL"/>
        </w:rPr>
      </w:pPr>
    </w:p>
    <w:p w:rsidR="00B7637E" w:rsidRDefault="00B7637E" w:rsidP="00B7637E">
      <w:pPr>
        <w:pStyle w:val="JuPara"/>
        <w:rPr>
          <w:lang w:val="pl-PL"/>
        </w:rPr>
      </w:pPr>
    </w:p>
    <w:p w:rsidR="00B7637E" w:rsidRDefault="00B7637E" w:rsidP="00B7637E">
      <w:pPr>
        <w:pStyle w:val="JuPara"/>
        <w:rPr>
          <w:lang w:val="pl-PL"/>
        </w:rPr>
      </w:pPr>
    </w:p>
    <w:p w:rsidR="00B7637E" w:rsidRDefault="00B7637E" w:rsidP="00B7637E">
      <w:pPr>
        <w:pStyle w:val="JuPara"/>
        <w:rPr>
          <w:lang w:val="pl-PL"/>
        </w:rPr>
      </w:pPr>
    </w:p>
    <w:p w:rsidR="00B7637E" w:rsidRPr="00B7637E" w:rsidRDefault="00B7637E" w:rsidP="00B7637E">
      <w:pPr>
        <w:pStyle w:val="JuPara"/>
        <w:rPr>
          <w:lang w:val="pl-PL"/>
        </w:rPr>
      </w:pPr>
    </w:p>
    <w:p w:rsidR="003960A7" w:rsidRPr="0001543F" w:rsidRDefault="003960A7" w:rsidP="003960A7">
      <w:pPr>
        <w:pStyle w:val="JuCase"/>
        <w:rPr>
          <w:lang w:val="pl-PL"/>
        </w:rPr>
      </w:pPr>
      <w:r w:rsidRPr="0001543F">
        <w:rPr>
          <w:bCs/>
          <w:lang w:val="pl-PL"/>
        </w:rPr>
        <w:t xml:space="preserve">W sprawie </w:t>
      </w:r>
      <w:proofErr w:type="spellStart"/>
      <w:r w:rsidRPr="0001543F">
        <w:rPr>
          <w:bCs/>
          <w:lang w:val="pl-PL"/>
        </w:rPr>
        <w:t>Jefimenko</w:t>
      </w:r>
      <w:proofErr w:type="spellEnd"/>
      <w:r w:rsidRPr="0001543F">
        <w:rPr>
          <w:bCs/>
          <w:lang w:val="pl-PL"/>
        </w:rPr>
        <w:t xml:space="preserve"> przeciwko Rosji,</w:t>
      </w:r>
    </w:p>
    <w:p w:rsidR="003960A7" w:rsidRPr="0001543F" w:rsidRDefault="003960A7" w:rsidP="003960A7">
      <w:pPr>
        <w:pStyle w:val="JuPara"/>
        <w:rPr>
          <w:lang w:val="pl-PL"/>
        </w:rPr>
      </w:pPr>
      <w:r w:rsidRPr="0001543F">
        <w:rPr>
          <w:lang w:val="pl-PL"/>
        </w:rPr>
        <w:t>Europejski Trybunał Praw Człowieka (Pierwsza Sekcja), zasiadając jako Izba składająca się z następujących sędziów:</w:t>
      </w:r>
    </w:p>
    <w:p w:rsidR="003960A7" w:rsidRPr="0001543F" w:rsidRDefault="003960A7" w:rsidP="003960A7">
      <w:pPr>
        <w:pStyle w:val="JuJudges"/>
        <w:rPr>
          <w:lang w:val="pl-PL"/>
        </w:rPr>
      </w:pPr>
      <w:r w:rsidRPr="0001543F">
        <w:rPr>
          <w:lang w:val="pl-PL"/>
        </w:rPr>
        <w:tab/>
        <w:t>Isabelle Berro-Lefèvre,</w:t>
      </w:r>
      <w:r w:rsidRPr="0001543F">
        <w:rPr>
          <w:i/>
          <w:iCs/>
          <w:lang w:val="pl-PL"/>
        </w:rPr>
        <w:t xml:space="preserve"> Przewodnicząca,</w:t>
      </w:r>
      <w:r w:rsidRPr="0001543F">
        <w:rPr>
          <w:lang w:val="pl-PL"/>
        </w:rPr>
        <w:br/>
      </w:r>
      <w:r w:rsidRPr="0001543F">
        <w:rPr>
          <w:lang w:val="pl-PL"/>
        </w:rPr>
        <w:tab/>
        <w:t>Elisabeth Steiner,</w:t>
      </w:r>
      <w:r w:rsidRPr="0001543F">
        <w:rPr>
          <w:lang w:val="pl-PL"/>
        </w:rPr>
        <w:br/>
      </w:r>
      <w:r w:rsidRPr="0001543F">
        <w:rPr>
          <w:lang w:val="pl-PL"/>
        </w:rPr>
        <w:tab/>
        <w:t>Khanlar Hajiyev,</w:t>
      </w:r>
      <w:r w:rsidRPr="0001543F">
        <w:rPr>
          <w:lang w:val="pl-PL"/>
        </w:rPr>
        <w:br/>
      </w:r>
      <w:r w:rsidRPr="0001543F">
        <w:rPr>
          <w:lang w:val="pl-PL"/>
        </w:rPr>
        <w:tab/>
        <w:t>Mirjana Lazarova Trajkovska,</w:t>
      </w:r>
      <w:r w:rsidRPr="0001543F">
        <w:rPr>
          <w:lang w:val="pl-PL"/>
        </w:rPr>
        <w:br/>
      </w:r>
      <w:r w:rsidRPr="0001543F">
        <w:rPr>
          <w:lang w:val="pl-PL"/>
        </w:rPr>
        <w:tab/>
        <w:t>Julia Laffranque,</w:t>
      </w:r>
      <w:r w:rsidRPr="0001543F">
        <w:rPr>
          <w:lang w:val="pl-PL"/>
        </w:rPr>
        <w:br/>
      </w:r>
      <w:r w:rsidRPr="0001543F">
        <w:rPr>
          <w:lang w:val="pl-PL"/>
        </w:rPr>
        <w:tab/>
        <w:t>Ksenija Turković,</w:t>
      </w:r>
      <w:r w:rsidRPr="0001543F">
        <w:rPr>
          <w:lang w:val="pl-PL"/>
        </w:rPr>
        <w:br/>
      </w:r>
      <w:r w:rsidRPr="0001543F">
        <w:rPr>
          <w:lang w:val="pl-PL"/>
        </w:rPr>
        <w:tab/>
        <w:t>Dmitry Dedov,</w:t>
      </w:r>
      <w:r w:rsidRPr="0001543F">
        <w:rPr>
          <w:i/>
          <w:iCs/>
          <w:lang w:val="pl-PL"/>
        </w:rPr>
        <w:t xml:space="preserve"> sędziowie,</w:t>
      </w:r>
      <w:r w:rsidRPr="0001543F">
        <w:rPr>
          <w:lang w:val="pl-PL"/>
        </w:rPr>
        <w:br/>
        <w:t>oraz Søren Nielsen</w:t>
      </w:r>
      <w:r w:rsidRPr="0001543F">
        <w:rPr>
          <w:rStyle w:val="JuJudgesChar"/>
          <w:lang w:val="pl-PL"/>
        </w:rPr>
        <w:t xml:space="preserve">, </w:t>
      </w:r>
      <w:r w:rsidRPr="0001543F">
        <w:rPr>
          <w:i/>
          <w:iCs/>
          <w:lang w:val="pl-PL"/>
        </w:rPr>
        <w:t>Kanclerz Sekcji,</w:t>
      </w:r>
    </w:p>
    <w:p w:rsidR="003960A7" w:rsidRPr="0001543F" w:rsidRDefault="0031211C" w:rsidP="003960A7">
      <w:pPr>
        <w:pStyle w:val="JuPara"/>
        <w:rPr>
          <w:lang w:val="pl-PL"/>
        </w:rPr>
      </w:pPr>
      <w:r w:rsidRPr="0001543F">
        <w:rPr>
          <w:lang w:val="pl-PL"/>
        </w:rPr>
        <w:t>obradując na posiedzeniu zamkniętym w dniu 22 stycznia 2013 roku,</w:t>
      </w:r>
    </w:p>
    <w:p w:rsidR="003960A7" w:rsidRPr="0001543F" w:rsidRDefault="003960A7" w:rsidP="003960A7">
      <w:pPr>
        <w:pStyle w:val="JuPara"/>
        <w:rPr>
          <w:lang w:val="pl-PL"/>
        </w:rPr>
      </w:pPr>
      <w:r w:rsidRPr="0001543F">
        <w:rPr>
          <w:lang w:val="pl-PL"/>
        </w:rPr>
        <w:t>wydaje następujący wyrok, który został przyjęty w tym dniu:</w:t>
      </w:r>
    </w:p>
    <w:p w:rsidR="003960A7" w:rsidRPr="0001543F" w:rsidRDefault="003960A7" w:rsidP="003960A7">
      <w:pPr>
        <w:pStyle w:val="JuHHead"/>
        <w:rPr>
          <w:lang w:val="pl-PL"/>
        </w:rPr>
      </w:pPr>
      <w:r w:rsidRPr="0001543F">
        <w:rPr>
          <w:lang w:val="pl-PL"/>
        </w:rPr>
        <w:t>POSTĘPOWANIE</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1</w:t>
      </w:r>
      <w:r w:rsidRPr="0001543F">
        <w:rPr>
          <w:lang w:val="pl-PL"/>
        </w:rPr>
        <w:fldChar w:fldCharType="end"/>
      </w:r>
      <w:r w:rsidR="00506AD7" w:rsidRPr="0001543F">
        <w:rPr>
          <w:lang w:val="pl-PL"/>
        </w:rPr>
        <w:t>.  Sprawa wywodzi się ze skargi (nr 152/04) przeciwko Federacji Rosyjskiej wniesionej do Trybunału na podstawie artykułu 34 Konwencji o Ochronie Praw Człowieka i Podstawowych Wolności („Konwencja”) przez obywatela rosyjskiego, pana Siergieja Aleksandrowicza Jefimenko („skarżący”), w dniu 30 października 2003 r.</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2</w:t>
      </w:r>
      <w:r w:rsidRPr="0001543F">
        <w:rPr>
          <w:lang w:val="pl-PL"/>
        </w:rPr>
        <w:fldChar w:fldCharType="end"/>
      </w:r>
      <w:r w:rsidR="0031211C" w:rsidRPr="0001543F">
        <w:rPr>
          <w:lang w:val="pl-PL"/>
        </w:rPr>
        <w:t>.  Skarżący, któremu przyznano pomoc prawną</w:t>
      </w:r>
      <w:r w:rsidR="00506AD7" w:rsidRPr="0001543F">
        <w:rPr>
          <w:lang w:val="pl-PL"/>
        </w:rPr>
        <w:t xml:space="preserve">, reprezentowany był przez Panią Annę Borisowną Polozową, adwokat praktykującą w Moskwie. Rząd rosyjski („Rząd”) reprezentowany był przez swojego Przedstawiciela, pana G. Matiuszkina, przedstawiciela Federacji Rosyjskiej przy </w:t>
      </w:r>
      <w:r w:rsidR="0031211C" w:rsidRPr="0001543F">
        <w:rPr>
          <w:lang w:val="pl-PL"/>
        </w:rPr>
        <w:t>Europejskim</w:t>
      </w:r>
      <w:r w:rsidR="00506AD7" w:rsidRPr="0001543F">
        <w:rPr>
          <w:lang w:val="pl-PL"/>
        </w:rPr>
        <w:t xml:space="preserve"> Trybunale Praw Człowieka.</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3</w:t>
      </w:r>
      <w:r w:rsidRPr="0001543F">
        <w:rPr>
          <w:lang w:val="pl-PL"/>
        </w:rPr>
        <w:fldChar w:fldCharType="end"/>
      </w:r>
      <w:r w:rsidR="00506AD7" w:rsidRPr="0001543F">
        <w:rPr>
          <w:lang w:val="pl-PL"/>
        </w:rPr>
        <w:t>.  W dniu</w:t>
      </w:r>
      <w:r w:rsidR="00506AD7" w:rsidRPr="0001543F">
        <w:rPr>
          <w:szCs w:val="24"/>
          <w:lang w:val="pl-PL"/>
        </w:rPr>
        <w:t>16 czerwca 2008 roku</w:t>
      </w:r>
      <w:r w:rsidR="00506AD7" w:rsidRPr="0001543F">
        <w:rPr>
          <w:lang w:val="pl-PL"/>
        </w:rPr>
        <w:t xml:space="preserve"> skarga została zakomunikowana Rządowi. Zdecydowano również o jednoczesnym rozpatrzeniu kwestii dopuszczalności i meritum skargi (artykuł 29 § 1).</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4</w:t>
      </w:r>
      <w:r w:rsidRPr="0001543F">
        <w:rPr>
          <w:lang w:val="pl-PL"/>
        </w:rPr>
        <w:fldChar w:fldCharType="end"/>
      </w:r>
      <w:r w:rsidR="00506AD7" w:rsidRPr="0001543F">
        <w:rPr>
          <w:lang w:val="pl-PL"/>
        </w:rPr>
        <w:t xml:space="preserve">.  W dniach 28 września 2009 r. i 14 września 2011 r. poproszono strony o przedstawienie dodatkowych </w:t>
      </w:r>
      <w:r w:rsidR="0031211C" w:rsidRPr="0001543F">
        <w:rPr>
          <w:lang w:val="pl-PL"/>
        </w:rPr>
        <w:t>oświadczeń</w:t>
      </w:r>
      <w:r w:rsidR="00506AD7" w:rsidRPr="0001543F">
        <w:rPr>
          <w:lang w:val="pl-PL"/>
        </w:rPr>
        <w:t xml:space="preserve"> zgodnie </w:t>
      </w:r>
      <w:r w:rsidR="009A5DC2">
        <w:rPr>
          <w:lang w:val="pl-PL"/>
        </w:rPr>
        <w:br/>
      </w:r>
      <w:r w:rsidR="00506AD7" w:rsidRPr="0001543F">
        <w:rPr>
          <w:lang w:val="pl-PL"/>
        </w:rPr>
        <w:t>z postanowieniami art. 54 § 2</w:t>
      </w:r>
      <w:r w:rsidR="00F9651E" w:rsidRPr="0001543F">
        <w:rPr>
          <w:lang w:val="pl-PL"/>
        </w:rPr>
        <w:t xml:space="preserve"> </w:t>
      </w:r>
      <w:r w:rsidR="003028FC" w:rsidRPr="0001543F">
        <w:rPr>
          <w:lang w:val="pl-PL"/>
        </w:rPr>
        <w:t xml:space="preserve">lit. </w:t>
      </w:r>
      <w:r w:rsidR="00F9651E" w:rsidRPr="0001543F">
        <w:rPr>
          <w:lang w:val="pl-PL"/>
        </w:rPr>
        <w:t>(c)</w:t>
      </w:r>
      <w:r w:rsidR="00506AD7" w:rsidRPr="0001543F">
        <w:rPr>
          <w:lang w:val="pl-PL"/>
        </w:rPr>
        <w:t xml:space="preserve"> Regulaminu Trybunału.</w:t>
      </w:r>
    </w:p>
    <w:p w:rsidR="003960A7" w:rsidRPr="0001543F" w:rsidRDefault="003960A7" w:rsidP="003960A7">
      <w:pPr>
        <w:pStyle w:val="JuHHead"/>
        <w:rPr>
          <w:lang w:val="pl-PL"/>
        </w:rPr>
      </w:pPr>
      <w:r w:rsidRPr="0001543F">
        <w:rPr>
          <w:lang w:val="pl-PL"/>
        </w:rPr>
        <w:t>FAKTY</w:t>
      </w:r>
    </w:p>
    <w:p w:rsidR="003960A7" w:rsidRPr="0001543F" w:rsidRDefault="003960A7" w:rsidP="003960A7">
      <w:pPr>
        <w:pStyle w:val="JuHIRoman"/>
        <w:outlineLvl w:val="0"/>
        <w:rPr>
          <w:lang w:val="pl-PL"/>
        </w:rPr>
      </w:pPr>
      <w:r w:rsidRPr="0001543F">
        <w:rPr>
          <w:lang w:val="pl-PL"/>
        </w:rPr>
        <w:t>I.  OKOLICZNOŚCI SPRAWY</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5</w:t>
      </w:r>
      <w:r w:rsidRPr="0001543F">
        <w:rPr>
          <w:lang w:val="pl-PL"/>
        </w:rPr>
        <w:fldChar w:fldCharType="end"/>
      </w:r>
      <w:r w:rsidR="00506AD7" w:rsidRPr="0001543F">
        <w:rPr>
          <w:lang w:val="pl-PL"/>
        </w:rPr>
        <w:t>.  Skarżący urodził się w 1969 r. i odbywa wyrok pozbawienia wolności w obwodzie czelabińskim.</w:t>
      </w:r>
    </w:p>
    <w:p w:rsidR="003960A7" w:rsidRPr="0001543F" w:rsidRDefault="003960A7" w:rsidP="003960A7">
      <w:pPr>
        <w:pStyle w:val="JuHA"/>
        <w:rPr>
          <w:lang w:val="pl-PL"/>
        </w:rPr>
      </w:pPr>
      <w:r w:rsidRPr="0001543F">
        <w:rPr>
          <w:bCs/>
          <w:lang w:val="pl-PL"/>
        </w:rPr>
        <w:lastRenderedPageBreak/>
        <w:t>A.  Postępowanie karne przeciwko skarżącemu</w:t>
      </w:r>
    </w:p>
    <w:p w:rsidR="003960A7" w:rsidRPr="0001543F" w:rsidRDefault="003960A7" w:rsidP="003960A7">
      <w:pPr>
        <w:pStyle w:val="JuH1"/>
        <w:rPr>
          <w:lang w:val="pl-PL"/>
        </w:rPr>
      </w:pPr>
      <w:r w:rsidRPr="0001543F">
        <w:rPr>
          <w:iCs/>
          <w:lang w:val="pl-PL"/>
        </w:rPr>
        <w:t>1.  Zatrzymanie i proces skarżącego w latach 2001</w:t>
      </w:r>
      <w:r w:rsidR="002D6A84" w:rsidRPr="0001543F">
        <w:rPr>
          <w:iCs/>
          <w:lang w:val="pl-PL"/>
        </w:rPr>
        <w:t xml:space="preserve"> </w:t>
      </w:r>
      <w:r w:rsidRPr="0001543F">
        <w:rPr>
          <w:iCs/>
          <w:lang w:val="pl-PL"/>
        </w:rPr>
        <w:t>-</w:t>
      </w:r>
      <w:r w:rsidR="002D6A84" w:rsidRPr="0001543F">
        <w:rPr>
          <w:iCs/>
          <w:lang w:val="pl-PL"/>
        </w:rPr>
        <w:t xml:space="preserve"> 20</w:t>
      </w:r>
      <w:r w:rsidRPr="0001543F">
        <w:rPr>
          <w:iCs/>
          <w:lang w:val="pl-PL"/>
        </w:rPr>
        <w:t>03.</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6</w:t>
      </w:r>
      <w:r w:rsidRPr="0001543F">
        <w:rPr>
          <w:lang w:val="pl-PL"/>
        </w:rPr>
        <w:fldChar w:fldCharType="end"/>
      </w:r>
      <w:r w:rsidR="00506AD7" w:rsidRPr="0001543F">
        <w:rPr>
          <w:lang w:val="pl-PL"/>
        </w:rPr>
        <w:t>.  </w:t>
      </w:r>
      <w:r w:rsidR="0031211C" w:rsidRPr="0001543F">
        <w:rPr>
          <w:lang w:val="pl-PL"/>
        </w:rPr>
        <w:t>Skarżący</w:t>
      </w:r>
      <w:r w:rsidR="00506AD7" w:rsidRPr="0001543F">
        <w:rPr>
          <w:lang w:val="pl-PL"/>
        </w:rPr>
        <w:t xml:space="preserve"> został zatrzymany w dniu 13 marca 2001 r. na podstawie podejrzenia zabójstwa ciotki. Odmówił składania zeznań do czasu wyznaczenia obrońcy z urzędu</w:t>
      </w:r>
      <w:r w:rsidR="006C4115" w:rsidRPr="0001543F">
        <w:rPr>
          <w:lang w:val="pl-PL"/>
        </w:rPr>
        <w:t>.</w:t>
      </w:r>
      <w:r w:rsidR="00506AD7" w:rsidRPr="0001543F">
        <w:rPr>
          <w:lang w:val="pl-PL"/>
        </w:rPr>
        <w:t> </w:t>
      </w:r>
      <w:r w:rsidR="00EB62FB" w:rsidRPr="0001543F">
        <w:rPr>
          <w:lang w:val="pl-PL"/>
        </w:rPr>
        <w:t xml:space="preserve">W dniu 16 marca 2001 r. skarżący został oskarżony o niezgodne z prawem </w:t>
      </w:r>
      <w:r w:rsidR="00506AD7" w:rsidRPr="0001543F">
        <w:rPr>
          <w:lang w:val="pl-PL"/>
        </w:rPr>
        <w:t>pozbawieni</w:t>
      </w:r>
      <w:r w:rsidR="00EB62FB" w:rsidRPr="0001543F">
        <w:rPr>
          <w:lang w:val="pl-PL"/>
        </w:rPr>
        <w:t>e</w:t>
      </w:r>
      <w:r w:rsidR="00506AD7" w:rsidRPr="0001543F">
        <w:rPr>
          <w:lang w:val="pl-PL"/>
        </w:rPr>
        <w:t xml:space="preserve"> wolności </w:t>
      </w:r>
      <w:r w:rsidR="00EB62FB" w:rsidRPr="0001543F">
        <w:rPr>
          <w:lang w:val="pl-PL"/>
        </w:rPr>
        <w:t>pana</w:t>
      </w:r>
      <w:r w:rsidR="00506AD7" w:rsidRPr="0001543F">
        <w:rPr>
          <w:lang w:val="pl-PL"/>
        </w:rPr>
        <w:t xml:space="preserve"> P. Następnie skarżący zatrudnił jako swego adwokata pana </w:t>
      </w:r>
      <w:r w:rsidR="000C568B" w:rsidRPr="0001543F">
        <w:rPr>
          <w:lang w:val="pl-PL"/>
        </w:rPr>
        <w:t>M. W</w:t>
      </w:r>
      <w:r w:rsidR="00506AD7" w:rsidRPr="0001543F">
        <w:rPr>
          <w:lang w:val="pl-PL"/>
        </w:rPr>
        <w:t xml:space="preserve"> terminie późniejszym skarżący zrezygnował z usług pana M. bez podawania przyczyny. </w:t>
      </w:r>
      <w:r w:rsidR="009A5DC2">
        <w:rPr>
          <w:lang w:val="pl-PL"/>
        </w:rPr>
        <w:br/>
      </w:r>
      <w:r w:rsidR="00506AD7" w:rsidRPr="0001543F">
        <w:rPr>
          <w:lang w:val="pl-PL"/>
        </w:rPr>
        <w:t>W nieoznaczonym terminie skarżącemu wyznaczono obrońcę z urzędu, D. Skarżącemu i współoskarżonym przedstawiono zarzuty popełnienia oszustwa, uprowadzenia oraz kilkakrotnego popełnienia zabójstwa. Skarżący zapoznał się z aktami sprawy</w:t>
      </w:r>
      <w:r w:rsidR="002D6A84" w:rsidRPr="0001543F">
        <w:rPr>
          <w:lang w:val="pl-PL"/>
        </w:rPr>
        <w:t xml:space="preserve"> pomiędzy </w:t>
      </w:r>
      <w:r w:rsidR="00506AD7" w:rsidRPr="0001543F">
        <w:rPr>
          <w:lang w:val="pl-PL"/>
        </w:rPr>
        <w:t>październik</w:t>
      </w:r>
      <w:r w:rsidR="002D6A84" w:rsidRPr="0001543F">
        <w:rPr>
          <w:lang w:val="pl-PL"/>
        </w:rPr>
        <w:t xml:space="preserve">iem </w:t>
      </w:r>
      <w:r w:rsidR="009A5DC2">
        <w:rPr>
          <w:lang w:val="pl-PL"/>
        </w:rPr>
        <w:br/>
      </w:r>
      <w:r w:rsidR="002D6A84" w:rsidRPr="0001543F">
        <w:rPr>
          <w:lang w:val="pl-PL"/>
        </w:rPr>
        <w:t xml:space="preserve">a grudniem </w:t>
      </w:r>
      <w:r w:rsidR="00506AD7" w:rsidRPr="0001543F">
        <w:rPr>
          <w:lang w:val="pl-PL"/>
        </w:rPr>
        <w:t>2001 r.</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7</w:t>
      </w:r>
      <w:r w:rsidRPr="0001543F">
        <w:rPr>
          <w:lang w:val="pl-PL"/>
        </w:rPr>
        <w:fldChar w:fldCharType="end"/>
      </w:r>
      <w:r w:rsidR="00506AD7" w:rsidRPr="0001543F">
        <w:rPr>
          <w:lang w:val="pl-PL"/>
        </w:rPr>
        <w:t xml:space="preserve">.  W grudniu 2001 r. sprawa została skierowana do sądu okręgowego </w:t>
      </w:r>
      <w:r w:rsidR="009A5DC2">
        <w:rPr>
          <w:lang w:val="pl-PL"/>
        </w:rPr>
        <w:br/>
      </w:r>
      <w:r w:rsidR="00506AD7" w:rsidRPr="0001543F">
        <w:rPr>
          <w:lang w:val="pl-PL"/>
        </w:rPr>
        <w:t>w Czelabińsku celem przeprowadzenia postępowania. Wniosek skarżącego o przeprowadzenie procesu z udziałem ławy przysięgłych został odrzucony. Do rozpoznawania w sprawie wyznaczono sędziego zawodowego oraz dwóch ławników (pani G. i pani Y).</w:t>
      </w:r>
    </w:p>
    <w:bookmarkStart w:id="2" w:name="lay1"/>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8</w:t>
      </w:r>
      <w:r w:rsidRPr="0001543F">
        <w:rPr>
          <w:lang w:val="pl-PL"/>
        </w:rPr>
        <w:fldChar w:fldCharType="end"/>
      </w:r>
      <w:bookmarkEnd w:id="2"/>
      <w:r w:rsidR="00506AD7" w:rsidRPr="0001543F">
        <w:rPr>
          <w:lang w:val="pl-PL"/>
        </w:rPr>
        <w:t>.  Przez okres postępowania skarżący przebywał w areszcie. Sąd pierwszej instancji kilkakrotnie podejmował decyzje o przedłużeniu tymczasowego aresztowania. Skarżący składał odwołania, twierdząc, że fakt, iż w składzie orzekającym w jego sprawie zasiadali ławnicy, był niezgodny z prawem, ponieważ - pr</w:t>
      </w:r>
      <w:r w:rsidR="002D6A84" w:rsidRPr="0001543F">
        <w:rPr>
          <w:lang w:val="pl-PL"/>
        </w:rPr>
        <w:t xml:space="preserve">zeciwnie do postanowień ustawy </w:t>
      </w:r>
      <w:r w:rsidR="009A5DC2">
        <w:rPr>
          <w:lang w:val="pl-PL"/>
        </w:rPr>
        <w:br/>
      </w:r>
      <w:r w:rsidR="002D6A84" w:rsidRPr="0001543F">
        <w:rPr>
          <w:lang w:val="pl-PL"/>
        </w:rPr>
        <w:t>o</w:t>
      </w:r>
      <w:r w:rsidR="00506AD7" w:rsidRPr="0001543F">
        <w:rPr>
          <w:lang w:val="pl-PL"/>
        </w:rPr>
        <w:t xml:space="preserve"> ławnikach</w:t>
      </w:r>
      <w:r w:rsidR="002D6A84" w:rsidRPr="0001543F">
        <w:rPr>
          <w:lang w:val="pl-PL"/>
        </w:rPr>
        <w:t xml:space="preserve"> -</w:t>
      </w:r>
      <w:r w:rsidR="00506AD7" w:rsidRPr="0001543F">
        <w:rPr>
          <w:lang w:val="pl-PL"/>
        </w:rPr>
        <w:t xml:space="preserve"> w okresie pomiędzy rokiem 1998 a rokiem 2002 pełnili funkcję </w:t>
      </w:r>
      <w:r w:rsidR="002D6A84" w:rsidRPr="0001543F">
        <w:rPr>
          <w:lang w:val="pl-PL"/>
        </w:rPr>
        <w:t>ł</w:t>
      </w:r>
      <w:r w:rsidR="00506AD7" w:rsidRPr="0001543F">
        <w:rPr>
          <w:lang w:val="pl-PL"/>
        </w:rPr>
        <w:t>awników przez okres dłuższy niż jeden rok. Sąd Najwyższy Federacji Rosyjskiej oddalił odwołania skarżącego</w:t>
      </w:r>
      <w:r w:rsidR="00125F7C" w:rsidRPr="0001543F">
        <w:rPr>
          <w:lang w:val="pl-PL"/>
        </w:rPr>
        <w:t xml:space="preserve"> dotyczące postanowień </w:t>
      </w:r>
      <w:r w:rsidR="009A5DC2">
        <w:rPr>
          <w:lang w:val="pl-PL"/>
        </w:rPr>
        <w:br/>
      </w:r>
      <w:r w:rsidR="00125F7C" w:rsidRPr="0001543F">
        <w:rPr>
          <w:lang w:val="pl-PL"/>
        </w:rPr>
        <w:t xml:space="preserve">o </w:t>
      </w:r>
      <w:r w:rsidR="00506AD7" w:rsidRPr="0001543F">
        <w:rPr>
          <w:lang w:val="pl-PL"/>
        </w:rPr>
        <w:t>tymczasow</w:t>
      </w:r>
      <w:r w:rsidR="00125F7C" w:rsidRPr="0001543F">
        <w:rPr>
          <w:lang w:val="pl-PL"/>
        </w:rPr>
        <w:t>ym</w:t>
      </w:r>
      <w:r w:rsidR="00506AD7" w:rsidRPr="0001543F">
        <w:rPr>
          <w:lang w:val="pl-PL"/>
        </w:rPr>
        <w:t xml:space="preserve"> aresztowani</w:t>
      </w:r>
      <w:r w:rsidR="00125F7C" w:rsidRPr="0001543F">
        <w:rPr>
          <w:lang w:val="pl-PL"/>
        </w:rPr>
        <w:t>u</w:t>
      </w:r>
      <w:r w:rsidR="00506AD7" w:rsidRPr="0001543F">
        <w:rPr>
          <w:lang w:val="pl-PL"/>
        </w:rPr>
        <w:t xml:space="preserve">. W szczególności w dniu 22 listopada 2002 r. Sąd Najwyższy utrzymał w mocy nakaz przedłużenia tymczasowego aresztowania z dnia 1 października 2002 r. wydany przez </w:t>
      </w:r>
      <w:r w:rsidR="0031211C" w:rsidRPr="0001543F">
        <w:rPr>
          <w:lang w:val="pl-PL"/>
        </w:rPr>
        <w:t xml:space="preserve">sędziego przewodniczącego </w:t>
      </w:r>
      <w:r w:rsidR="00506AD7" w:rsidRPr="0001543F">
        <w:rPr>
          <w:lang w:val="pl-PL"/>
        </w:rPr>
        <w:t>i ławników. Sąd apelacyjny stwierdził, co następuje:</w:t>
      </w:r>
    </w:p>
    <w:p w:rsidR="003960A7" w:rsidRPr="0001543F" w:rsidRDefault="003960A7" w:rsidP="003960A7">
      <w:pPr>
        <w:pStyle w:val="JuQuot"/>
        <w:rPr>
          <w:lang w:val="pl-PL"/>
        </w:rPr>
      </w:pPr>
      <w:r w:rsidRPr="0001543F">
        <w:rPr>
          <w:lang w:val="pl-PL"/>
        </w:rPr>
        <w:t>„Z pisma przedłożonego przez Sąd Okręgowy wynika, iż w terminie, na który wyznaczono datę procesu [skarżącego] nowa lista ławników w okręgu nie została jeszcze sporządzona ...”</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9</w:t>
      </w:r>
      <w:r w:rsidRPr="0001543F">
        <w:rPr>
          <w:lang w:val="pl-PL"/>
        </w:rPr>
        <w:fldChar w:fldCharType="end"/>
      </w:r>
      <w:r w:rsidR="00506AD7" w:rsidRPr="0001543F">
        <w:rPr>
          <w:lang w:val="pl-PL"/>
        </w:rPr>
        <w:t>.  W nieoznac</w:t>
      </w:r>
      <w:r w:rsidR="0031211C" w:rsidRPr="0001543F">
        <w:rPr>
          <w:lang w:val="pl-PL"/>
        </w:rPr>
        <w:t>zonym terminie skarżący zatrudnił</w:t>
      </w:r>
      <w:r w:rsidR="00506AD7" w:rsidRPr="0001543F">
        <w:rPr>
          <w:lang w:val="pl-PL"/>
        </w:rPr>
        <w:t xml:space="preserve"> pana Z. jako obrońcę w postępowaniu karnym.</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10</w:t>
      </w:r>
      <w:r w:rsidRPr="0001543F">
        <w:rPr>
          <w:lang w:val="pl-PL"/>
        </w:rPr>
        <w:fldChar w:fldCharType="end"/>
      </w:r>
      <w:r w:rsidR="00506AD7" w:rsidRPr="0001543F">
        <w:rPr>
          <w:lang w:val="pl-PL"/>
        </w:rPr>
        <w:t xml:space="preserve">.  Badanie sprawy rozpoczęło się w lutym 2003 r. Podczas rozprawy </w:t>
      </w:r>
      <w:r w:rsidR="009A5DC2">
        <w:rPr>
          <w:lang w:val="pl-PL"/>
        </w:rPr>
        <w:br/>
      </w:r>
      <w:r w:rsidR="00506AD7" w:rsidRPr="0001543F">
        <w:rPr>
          <w:lang w:val="pl-PL"/>
        </w:rPr>
        <w:t xml:space="preserve">w dniu 13 lutego 2003 r. skarżący bezskutecznie </w:t>
      </w:r>
      <w:r w:rsidR="0031211C" w:rsidRPr="0001543F">
        <w:rPr>
          <w:lang w:val="pl-PL"/>
        </w:rPr>
        <w:t>zgłaszał</w:t>
      </w:r>
      <w:r w:rsidR="00506AD7" w:rsidRPr="0001543F">
        <w:rPr>
          <w:lang w:val="pl-PL"/>
        </w:rPr>
        <w:t xml:space="preserve"> sprzeciw wobec udziału ławników w jego sprawie i wnosił o przeprowadzenie procesu </w:t>
      </w:r>
      <w:r w:rsidR="009A5DC2">
        <w:rPr>
          <w:lang w:val="pl-PL"/>
        </w:rPr>
        <w:br/>
      </w:r>
      <w:r w:rsidR="00506AD7" w:rsidRPr="0001543F">
        <w:rPr>
          <w:lang w:val="pl-PL"/>
        </w:rPr>
        <w:t>z udziałem ławy przysięgłych. W terminie późniejszym, z nieokreślonych przyczyn, pani Ch. zastąpiła panią Y. w składzie sądu pierwszej instancji.</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11</w:t>
      </w:r>
      <w:r w:rsidRPr="0001543F">
        <w:rPr>
          <w:lang w:val="pl-PL"/>
        </w:rPr>
        <w:fldChar w:fldCharType="end"/>
      </w:r>
      <w:r w:rsidR="00506AD7" w:rsidRPr="0001543F">
        <w:rPr>
          <w:lang w:val="pl-PL"/>
        </w:rPr>
        <w:t xml:space="preserve">.  W dniu 18 lutego 2003 r. sędzia przewodniczący nakazał zastępstwo adwokata Zh. </w:t>
      </w:r>
      <w:r w:rsidR="002D6A84" w:rsidRPr="0001543F">
        <w:rPr>
          <w:lang w:val="pl-PL"/>
        </w:rPr>
        <w:t xml:space="preserve">z powodu </w:t>
      </w:r>
      <w:r w:rsidR="00506AD7" w:rsidRPr="0001543F">
        <w:rPr>
          <w:lang w:val="pl-PL"/>
        </w:rPr>
        <w:t>chorob</w:t>
      </w:r>
      <w:r w:rsidR="002D6A84" w:rsidRPr="0001543F">
        <w:rPr>
          <w:lang w:val="pl-PL"/>
        </w:rPr>
        <w:t>y</w:t>
      </w:r>
      <w:r w:rsidR="00506AD7" w:rsidRPr="0001543F">
        <w:rPr>
          <w:lang w:val="pl-PL"/>
        </w:rPr>
        <w:t xml:space="preserve">. Począwszy od dnia 20 lutego 2003 r. </w:t>
      </w:r>
      <w:r w:rsidR="00506AD7" w:rsidRPr="0001543F">
        <w:rPr>
          <w:lang w:val="pl-PL"/>
        </w:rPr>
        <w:lastRenderedPageBreak/>
        <w:t xml:space="preserve">skarżącego reprezentował obrońca wyznaczony z urzędu, adwokat Z. </w:t>
      </w:r>
      <w:r w:rsidR="002D6A84" w:rsidRPr="0001543F">
        <w:rPr>
          <w:lang w:val="pl-PL"/>
        </w:rPr>
        <w:t>N</w:t>
      </w:r>
      <w:r w:rsidR="00506AD7" w:rsidRPr="0001543F">
        <w:rPr>
          <w:lang w:val="pl-PL"/>
        </w:rPr>
        <w:t xml:space="preserve">a pewnych etapach postępowania skarżącego </w:t>
      </w:r>
      <w:r w:rsidR="0031211C" w:rsidRPr="0001543F">
        <w:rPr>
          <w:lang w:val="pl-PL"/>
        </w:rPr>
        <w:t>reprezentował</w:t>
      </w:r>
      <w:r w:rsidR="00506AD7" w:rsidRPr="0001543F">
        <w:rPr>
          <w:lang w:val="pl-PL"/>
        </w:rPr>
        <w:t xml:space="preserve"> obrońca wyznaczony z urzędu, adwokat P. Sąd pierwszej instancji odmówił dopuszczenia pani K. do udziału w procesie w charakterze </w:t>
      </w:r>
      <w:r w:rsidR="000C568B" w:rsidRPr="0001543F">
        <w:rPr>
          <w:lang w:val="pl-PL"/>
        </w:rPr>
        <w:t>pełnomocnika niezawodowego</w:t>
      </w:r>
      <w:r w:rsidR="00506AD7" w:rsidRPr="0001543F">
        <w:rPr>
          <w:lang w:val="pl-PL"/>
        </w:rPr>
        <w:t>.</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12</w:t>
      </w:r>
      <w:r w:rsidRPr="0001543F">
        <w:rPr>
          <w:lang w:val="pl-PL"/>
        </w:rPr>
        <w:fldChar w:fldCharType="end"/>
      </w:r>
      <w:r w:rsidR="00506AD7" w:rsidRPr="0001543F">
        <w:rPr>
          <w:lang w:val="pl-PL"/>
        </w:rPr>
        <w:t>.  Wyrokiem z dnia 24 kwietnia 2003 r. sąd pierwszej instancji (sędzia przewodniczący i ławnicy, pani G. i pani Ch.) uznał skarżącego winnym popełnienia przestępstw (oszustwo, uprowadzenie, wymuszenie, kradzież i kilkakrotne popełnienie zabójstwa) i skazał go na wyrok dwudziestu dwóch lat pozbawienia wolności.</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13</w:t>
      </w:r>
      <w:r w:rsidRPr="0001543F">
        <w:rPr>
          <w:lang w:val="pl-PL"/>
        </w:rPr>
        <w:fldChar w:fldCharType="end"/>
      </w:r>
      <w:r w:rsidR="00506AD7" w:rsidRPr="0001543F">
        <w:rPr>
          <w:lang w:val="pl-PL"/>
        </w:rPr>
        <w:t>.  Ostatni dzień procesu był nadawany i komentowany w lokalnej telewizji w kwietniu, sierpniu i wrześniu 2003 r.</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14</w:t>
      </w:r>
      <w:r w:rsidRPr="0001543F">
        <w:rPr>
          <w:lang w:val="pl-PL"/>
        </w:rPr>
        <w:fldChar w:fldCharType="end"/>
      </w:r>
      <w:r w:rsidR="00506AD7" w:rsidRPr="0001543F">
        <w:rPr>
          <w:lang w:val="pl-PL"/>
        </w:rPr>
        <w:t xml:space="preserve">.  Skarżący złożył apelację od wyroku sądu pierwszej instancji do </w:t>
      </w:r>
      <w:r w:rsidR="002D6A84" w:rsidRPr="0001543F">
        <w:rPr>
          <w:lang w:val="pl-PL"/>
        </w:rPr>
        <w:t>r</w:t>
      </w:r>
      <w:r w:rsidR="00506AD7" w:rsidRPr="0001543F">
        <w:rPr>
          <w:lang w:val="pl-PL"/>
        </w:rPr>
        <w:t>osyjskiego Sądu Najwyższego. Twierdził, między innymi, że Z., „mimo wcześniejszych obietnic” nie złożył apelacji oraz że skład sądu pierwszej instancji był niezgodny z prawem. Prokuratura także złożyła apelację od wyroku sądu pierwszej instancji.</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15</w:t>
      </w:r>
      <w:r w:rsidRPr="0001543F">
        <w:rPr>
          <w:lang w:val="pl-PL"/>
        </w:rPr>
        <w:fldChar w:fldCharType="end"/>
      </w:r>
      <w:r w:rsidR="00506AD7" w:rsidRPr="0001543F">
        <w:rPr>
          <w:lang w:val="pl-PL"/>
        </w:rPr>
        <w:t xml:space="preserve">.  W dniu 19 września 2003 r. skarżący składał zeznania przed sądem </w:t>
      </w:r>
      <w:r w:rsidR="0031211C" w:rsidRPr="0001543F">
        <w:rPr>
          <w:lang w:val="pl-PL"/>
        </w:rPr>
        <w:t>apelacyjnym</w:t>
      </w:r>
      <w:r w:rsidR="00506AD7" w:rsidRPr="0001543F">
        <w:rPr>
          <w:lang w:val="pl-PL"/>
        </w:rPr>
        <w:t xml:space="preserve"> za pośrednictwem połączenia </w:t>
      </w:r>
      <w:r w:rsidR="004B43D3" w:rsidRPr="0001543F">
        <w:rPr>
          <w:lang w:val="pl-PL"/>
        </w:rPr>
        <w:t>audiowizualnego</w:t>
      </w:r>
      <w:r w:rsidR="00506AD7" w:rsidRPr="0001543F">
        <w:rPr>
          <w:lang w:val="pl-PL"/>
        </w:rPr>
        <w:t>. Zdaniem skarżącego, rozprawa przed sądem apelacyjnym tr</w:t>
      </w:r>
      <w:r w:rsidR="004B43D3" w:rsidRPr="0001543F">
        <w:rPr>
          <w:lang w:val="pl-PL"/>
        </w:rPr>
        <w:t xml:space="preserve">wała siedem minut, </w:t>
      </w:r>
      <w:r w:rsidR="009A5DC2">
        <w:rPr>
          <w:lang w:val="pl-PL"/>
        </w:rPr>
        <w:br/>
      </w:r>
      <w:r w:rsidR="004B43D3" w:rsidRPr="0001543F">
        <w:rPr>
          <w:lang w:val="pl-PL"/>
        </w:rPr>
        <w:t>a obrady sądu</w:t>
      </w:r>
      <w:r w:rsidR="00506AD7" w:rsidRPr="0001543F">
        <w:rPr>
          <w:lang w:val="pl-PL"/>
        </w:rPr>
        <w:t xml:space="preserve"> - jedynie dwie minuty. Sąd apelacyjny zmienił wyrok, wobec którego wniesiono apelację, skracając okres pozbawienia skarżącego wolności do dwud</w:t>
      </w:r>
      <w:r w:rsidR="006C4115" w:rsidRPr="0001543F">
        <w:rPr>
          <w:lang w:val="pl-PL"/>
        </w:rPr>
        <w:t xml:space="preserve">ziestu lat i sześciu miesięcy. </w:t>
      </w:r>
      <w:r w:rsidR="00506AD7" w:rsidRPr="0001543F">
        <w:rPr>
          <w:lang w:val="pl-PL"/>
        </w:rPr>
        <w:t>Sąd apelacyjny nie przedstawił szczegółowych ustaleń dotyczących składu sędziowskiego w sądzie pierwszej instancji oraz przestrzegania prawa skarżącego do obrony w postępowaniu apelacyjnym.</w:t>
      </w:r>
    </w:p>
    <w:p w:rsidR="003960A7" w:rsidRPr="0001543F" w:rsidRDefault="003960A7" w:rsidP="003960A7">
      <w:pPr>
        <w:pStyle w:val="JuH1"/>
        <w:rPr>
          <w:lang w:val="pl-PL"/>
        </w:rPr>
      </w:pPr>
      <w:r w:rsidRPr="0001543F">
        <w:rPr>
          <w:iCs/>
          <w:lang w:val="pl-PL"/>
        </w:rPr>
        <w:t>2.  Dalsze wydarzenia w latach 2004 -2007</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16</w:t>
      </w:r>
      <w:r w:rsidRPr="0001543F">
        <w:rPr>
          <w:lang w:val="pl-PL"/>
        </w:rPr>
        <w:fldChar w:fldCharType="end"/>
      </w:r>
      <w:r w:rsidR="00506AD7" w:rsidRPr="0001543F">
        <w:rPr>
          <w:lang w:val="pl-PL"/>
        </w:rPr>
        <w:t xml:space="preserve">.  W pismach datowanych </w:t>
      </w:r>
      <w:r w:rsidR="004B43D3" w:rsidRPr="0001543F">
        <w:rPr>
          <w:lang w:val="pl-PL"/>
        </w:rPr>
        <w:t xml:space="preserve">na dzień </w:t>
      </w:r>
      <w:r w:rsidR="00506AD7" w:rsidRPr="0001543F">
        <w:rPr>
          <w:lang w:val="pl-PL"/>
        </w:rPr>
        <w:t>19 marca i 12 kwietnia 2004 r. Prezes Okręgowej Rady Adwokackiej odrzucił skargi skarżącego na adwokata Z.</w:t>
      </w:r>
    </w:p>
    <w:p w:rsidR="003960A7" w:rsidRPr="00370411"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17</w:t>
      </w:r>
      <w:r w:rsidRPr="0001543F">
        <w:rPr>
          <w:lang w:val="pl-PL"/>
        </w:rPr>
        <w:fldChar w:fldCharType="end"/>
      </w:r>
      <w:r w:rsidR="00506AD7" w:rsidRPr="0001543F">
        <w:rPr>
          <w:lang w:val="pl-PL"/>
        </w:rPr>
        <w:t xml:space="preserve">.  W październiku 2005 r., a następnie w dniu 21 grudnia 2006 r. </w:t>
      </w:r>
      <w:r w:rsidR="00506AD7" w:rsidRPr="00370411">
        <w:rPr>
          <w:lang w:val="pl-PL"/>
        </w:rPr>
        <w:t xml:space="preserve">rosyjski Sąd Najwyższy skrócił wyrok pozbawienia wolności skarżącego do dwudziestu </w:t>
      </w:r>
      <w:r w:rsidR="0031211C" w:rsidRPr="00370411">
        <w:rPr>
          <w:lang w:val="pl-PL"/>
        </w:rPr>
        <w:t>lat i</w:t>
      </w:r>
      <w:r w:rsidR="00506AD7" w:rsidRPr="00370411">
        <w:rPr>
          <w:lang w:val="pl-PL"/>
        </w:rPr>
        <w:t xml:space="preserve"> sześciu miesięcy.</w:t>
      </w:r>
    </w:p>
    <w:bookmarkStart w:id="3" w:name="lay2"/>
    <w:p w:rsidR="003960A7" w:rsidRPr="00370411" w:rsidRDefault="00F559B3" w:rsidP="003960A7">
      <w:pPr>
        <w:pStyle w:val="JuPara"/>
        <w:rPr>
          <w:lang w:val="pl-PL"/>
        </w:rPr>
      </w:pPr>
      <w:r w:rsidRPr="00370411">
        <w:rPr>
          <w:lang w:val="pl-PL"/>
        </w:rPr>
        <w:fldChar w:fldCharType="begin"/>
      </w:r>
      <w:r w:rsidR="00506AD7" w:rsidRPr="00370411">
        <w:rPr>
          <w:lang w:val="pl-PL"/>
        </w:rPr>
        <w:instrText xml:space="preserve"> SEQ level0 \*arabic </w:instrText>
      </w:r>
      <w:r w:rsidRPr="00370411">
        <w:rPr>
          <w:lang w:val="pl-PL"/>
        </w:rPr>
        <w:fldChar w:fldCharType="separate"/>
      </w:r>
      <w:r w:rsidR="00746F08" w:rsidRPr="00370411">
        <w:rPr>
          <w:noProof/>
          <w:lang w:val="pl-PL"/>
        </w:rPr>
        <w:t>18</w:t>
      </w:r>
      <w:r w:rsidRPr="00370411">
        <w:rPr>
          <w:lang w:val="pl-PL"/>
        </w:rPr>
        <w:fldChar w:fldCharType="end"/>
      </w:r>
      <w:bookmarkEnd w:id="3"/>
      <w:r w:rsidR="00506AD7" w:rsidRPr="00370411">
        <w:rPr>
          <w:lang w:val="pl-PL"/>
        </w:rPr>
        <w:t xml:space="preserve">.  W odpowiedzi na prośbę skarżącego o udzielenie informacji, Sąd Okręgowy i </w:t>
      </w:r>
      <w:r w:rsidR="004B43D3" w:rsidRPr="00370411">
        <w:rPr>
          <w:lang w:val="pl-PL"/>
        </w:rPr>
        <w:t xml:space="preserve">Zgromadzenie </w:t>
      </w:r>
      <w:r w:rsidR="00370411" w:rsidRPr="00370411">
        <w:rPr>
          <w:lang w:val="pl-PL"/>
        </w:rPr>
        <w:t xml:space="preserve">Obwodu </w:t>
      </w:r>
      <w:r w:rsidR="00506AD7" w:rsidRPr="00370411">
        <w:rPr>
          <w:lang w:val="pl-PL"/>
        </w:rPr>
        <w:t xml:space="preserve">stwierdzili, że nie posiadają informacji dotyczących list ławników ani też, czy listy takie zostały zniszczone (zob. także par. </w:t>
      </w:r>
      <w:r w:rsidRPr="00370411">
        <w:rPr>
          <w:lang w:val="pl-PL"/>
        </w:rPr>
        <w:fldChar w:fldCharType="begin"/>
      </w:r>
      <w:r w:rsidR="00506AD7" w:rsidRPr="00370411">
        <w:rPr>
          <w:lang w:val="pl-PL"/>
        </w:rPr>
        <w:instrText xml:space="preserve"> REF  Presidium2010 \h </w:instrText>
      </w:r>
      <w:r w:rsidR="00370411">
        <w:rPr>
          <w:lang w:val="pl-PL"/>
        </w:rPr>
        <w:instrText xml:space="preserve"> \* MERGEFORMAT </w:instrText>
      </w:r>
      <w:r w:rsidRPr="00370411">
        <w:rPr>
          <w:lang w:val="pl-PL"/>
        </w:rPr>
      </w:r>
      <w:r w:rsidRPr="00370411">
        <w:rPr>
          <w:lang w:val="pl-PL"/>
        </w:rPr>
        <w:fldChar w:fldCharType="separate"/>
      </w:r>
      <w:r w:rsidR="00746F08" w:rsidRPr="00370411">
        <w:rPr>
          <w:noProof/>
          <w:lang w:val="pl-PL"/>
        </w:rPr>
        <w:t>24</w:t>
      </w:r>
      <w:r w:rsidRPr="00370411">
        <w:rPr>
          <w:lang w:val="pl-PL"/>
        </w:rPr>
        <w:fldChar w:fldCharType="end"/>
      </w:r>
      <w:r w:rsidR="00506AD7" w:rsidRPr="00370411">
        <w:rPr>
          <w:lang w:val="pl-PL"/>
        </w:rPr>
        <w:t xml:space="preserve"> poniżej).</w:t>
      </w:r>
    </w:p>
    <w:p w:rsidR="003960A7" w:rsidRPr="0001543F" w:rsidRDefault="00F559B3" w:rsidP="003960A7">
      <w:pPr>
        <w:pStyle w:val="JuPara"/>
        <w:rPr>
          <w:lang w:val="pl-PL"/>
        </w:rPr>
      </w:pPr>
      <w:r w:rsidRPr="00370411">
        <w:rPr>
          <w:lang w:val="pl-PL"/>
        </w:rPr>
        <w:fldChar w:fldCharType="begin"/>
      </w:r>
      <w:r w:rsidR="00506AD7" w:rsidRPr="00370411">
        <w:rPr>
          <w:lang w:val="pl-PL"/>
        </w:rPr>
        <w:instrText xml:space="preserve"> SEQ level0 \*arabic </w:instrText>
      </w:r>
      <w:r w:rsidRPr="00370411">
        <w:rPr>
          <w:lang w:val="pl-PL"/>
        </w:rPr>
        <w:fldChar w:fldCharType="separate"/>
      </w:r>
      <w:r w:rsidR="00746F08" w:rsidRPr="00370411">
        <w:rPr>
          <w:noProof/>
          <w:lang w:val="pl-PL"/>
        </w:rPr>
        <w:t>19</w:t>
      </w:r>
      <w:r w:rsidRPr="00370411">
        <w:rPr>
          <w:lang w:val="pl-PL"/>
        </w:rPr>
        <w:fldChar w:fldCharType="end"/>
      </w:r>
      <w:r w:rsidR="00506AD7" w:rsidRPr="00370411">
        <w:rPr>
          <w:lang w:val="pl-PL"/>
        </w:rPr>
        <w:t>.  W dniu 8 lutego</w:t>
      </w:r>
      <w:r w:rsidR="00506AD7" w:rsidRPr="0001543F">
        <w:rPr>
          <w:lang w:val="pl-PL"/>
        </w:rPr>
        <w:t xml:space="preserve"> 2007 r. Trybunał </w:t>
      </w:r>
      <w:r w:rsidR="0031211C" w:rsidRPr="0001543F">
        <w:rPr>
          <w:lang w:val="pl-PL"/>
        </w:rPr>
        <w:t>Konstytucyjny</w:t>
      </w:r>
      <w:r w:rsidR="00506AD7" w:rsidRPr="0001543F">
        <w:rPr>
          <w:lang w:val="pl-PL"/>
        </w:rPr>
        <w:t xml:space="preserve"> Federacji Rosyjskiej rozpoznał złożoną przez skarżącego skargę i nakazał wyznaczenie obrońcy z urzędu w związku z postępowaniem apelacyjnym. Mimo uznania skargi konstytucyjnej skarżącego za niedopuszczalną, Trybunał Konstytucyjny ustalił, co następuje:</w:t>
      </w:r>
    </w:p>
    <w:p w:rsidR="003960A7" w:rsidRPr="0001543F" w:rsidRDefault="003960A7" w:rsidP="003960A7">
      <w:pPr>
        <w:pStyle w:val="JuQuot"/>
        <w:rPr>
          <w:lang w:val="pl-PL"/>
        </w:rPr>
      </w:pPr>
      <w:r w:rsidRPr="0001543F">
        <w:rPr>
          <w:lang w:val="pl-PL"/>
        </w:rPr>
        <w:lastRenderedPageBreak/>
        <w:t xml:space="preserve">„...2.  Decyzje podejmowane w sprawie [skarżącego], które zostały podjęte na podstawie niezgodnej z Konstytucją interpretacji art. 50 § 1 (1) i (5) oraz § 3, powinny zostać ponownie rozpoznane w sposób zgodny z obowiązującą procedurą, jeżeli brak </w:t>
      </w:r>
      <w:r w:rsidR="004B43D3" w:rsidRPr="0001543F">
        <w:rPr>
          <w:lang w:val="pl-PL"/>
        </w:rPr>
        <w:t xml:space="preserve">innych </w:t>
      </w:r>
      <w:r w:rsidRPr="0001543F">
        <w:rPr>
          <w:lang w:val="pl-PL"/>
        </w:rPr>
        <w:t>przeszkód w tym zakresie.</w:t>
      </w:r>
    </w:p>
    <w:bookmarkStart w:id="4" w:name="lay3"/>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20</w:t>
      </w:r>
      <w:r w:rsidRPr="0001543F">
        <w:rPr>
          <w:lang w:val="pl-PL"/>
        </w:rPr>
        <w:fldChar w:fldCharType="end"/>
      </w:r>
      <w:bookmarkEnd w:id="4"/>
      <w:r w:rsidR="00506AD7" w:rsidRPr="0001543F">
        <w:rPr>
          <w:lang w:val="pl-PL"/>
        </w:rPr>
        <w:t>.  W dniu 13 czerwca 2007 r. Wice-Prezes Sądu Najwyższego odrzucił ponowną skargę skarżącego dotyczącą wyroku skazującego, twierdząc, że „sam fakt, iż ławnicy wchodzili w skład składu sędziowskiego częściej niż raz do roku</w:t>
      </w:r>
      <w:r w:rsidR="004B43D3" w:rsidRPr="0001543F">
        <w:rPr>
          <w:lang w:val="pl-PL"/>
        </w:rPr>
        <w:t>,</w:t>
      </w:r>
      <w:r w:rsidR="00506AD7" w:rsidRPr="0001543F">
        <w:rPr>
          <w:lang w:val="pl-PL"/>
        </w:rPr>
        <w:t xml:space="preserve"> nie może </w:t>
      </w:r>
      <w:r w:rsidR="0031211C" w:rsidRPr="0001543F">
        <w:rPr>
          <w:lang w:val="pl-PL"/>
        </w:rPr>
        <w:t>budzić</w:t>
      </w:r>
      <w:r w:rsidR="00506AD7" w:rsidRPr="0001543F">
        <w:rPr>
          <w:lang w:val="pl-PL"/>
        </w:rPr>
        <w:t xml:space="preserve"> wątpliwości odnośnie do zgodności z prawem ich uprawnień, a poprzez dorozumienie do legalności składu orzekającego”.</w:t>
      </w:r>
    </w:p>
    <w:p w:rsidR="003960A7" w:rsidRPr="0001543F" w:rsidRDefault="003960A7" w:rsidP="003960A7">
      <w:pPr>
        <w:pStyle w:val="JuH1"/>
        <w:rPr>
          <w:lang w:val="pl-PL"/>
        </w:rPr>
      </w:pPr>
      <w:r w:rsidRPr="0001543F">
        <w:rPr>
          <w:iCs/>
          <w:lang w:val="pl-PL"/>
        </w:rPr>
        <w:t>3.  Dalsze wydarzenia w latach 2009-2011</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21</w:t>
      </w:r>
      <w:r w:rsidRPr="0001543F">
        <w:rPr>
          <w:lang w:val="pl-PL"/>
        </w:rPr>
        <w:fldChar w:fldCharType="end"/>
      </w:r>
      <w:r w:rsidR="00506AD7" w:rsidRPr="0001543F">
        <w:rPr>
          <w:lang w:val="pl-PL"/>
        </w:rPr>
        <w:t xml:space="preserve">.  W dniu 10 czerwca 2009 r. Prezydium Sądu Najwyższego ponownie rozpoznało sprawę karną przeciwko skarżącemu </w:t>
      </w:r>
      <w:r w:rsidR="0001543F" w:rsidRPr="0001543F">
        <w:rPr>
          <w:lang w:val="pl-PL"/>
        </w:rPr>
        <w:t xml:space="preserve">w ramach nadzorczej </w:t>
      </w:r>
      <w:r w:rsidR="00370411" w:rsidRPr="0001543F">
        <w:rPr>
          <w:lang w:val="pl-PL"/>
        </w:rPr>
        <w:t>procedury rewizyjnej</w:t>
      </w:r>
      <w:r w:rsidR="00506AD7" w:rsidRPr="0001543F">
        <w:rPr>
          <w:lang w:val="pl-PL"/>
        </w:rPr>
        <w:t xml:space="preserve">, uchylając decyzję w sprawie apelacji z dnia 19 września 2003 r. i zarządziło przeprowadzenie kolejnej rozprawy apelacyjnej. Powołując się na przepisy art. 97, 108 i 255 </w:t>
      </w:r>
      <w:r w:rsidR="004B43D3" w:rsidRPr="0001543F">
        <w:rPr>
          <w:lang w:val="pl-PL"/>
        </w:rPr>
        <w:t>k</w:t>
      </w:r>
      <w:r w:rsidR="00506AD7" w:rsidRPr="0001543F">
        <w:rPr>
          <w:lang w:val="pl-PL"/>
        </w:rPr>
        <w:t>odeksu postępowania karnego Prezydium zarządziło, by w okresie prowadzenia postępowania apelacyjnego skarżący przebywał w areszcie.</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22</w:t>
      </w:r>
      <w:r w:rsidRPr="0001543F">
        <w:rPr>
          <w:lang w:val="pl-PL"/>
        </w:rPr>
        <w:fldChar w:fldCharType="end"/>
      </w:r>
      <w:r w:rsidR="00506AD7" w:rsidRPr="0001543F">
        <w:rPr>
          <w:lang w:val="pl-PL"/>
        </w:rPr>
        <w:t xml:space="preserve">.  W dniu 3 września 2009 r. odbyła się rozprawa apelacyjna przed Sądem Najwyższym, który uchylił wyrok sądu pierwszej instancji z dnia 24 kwietnia 2003 r. Sąd apelacyjny uznał, między innymi, że </w:t>
      </w:r>
      <w:r w:rsidR="009A5DC2">
        <w:rPr>
          <w:lang w:val="pl-PL"/>
        </w:rPr>
        <w:br/>
      </w:r>
      <w:r w:rsidR="00506AD7" w:rsidRPr="0001543F">
        <w:rPr>
          <w:lang w:val="pl-PL"/>
        </w:rPr>
        <w:t xml:space="preserve">w przedmiotowym czasie Sąd Okręgowy nie posiadał listy ławników; że ławnicy znajdowali się w składach sędziowskich w innych sprawach </w:t>
      </w:r>
      <w:r w:rsidR="009A5DC2">
        <w:rPr>
          <w:lang w:val="pl-PL"/>
        </w:rPr>
        <w:br/>
      </w:r>
      <w:r w:rsidR="00506AD7" w:rsidRPr="0001543F">
        <w:rPr>
          <w:lang w:val="pl-PL"/>
        </w:rPr>
        <w:t>w latach 2002</w:t>
      </w:r>
      <w:r w:rsidR="004B43D3" w:rsidRPr="0001543F">
        <w:rPr>
          <w:lang w:val="pl-PL"/>
        </w:rPr>
        <w:t xml:space="preserve"> </w:t>
      </w:r>
      <w:r w:rsidR="00506AD7" w:rsidRPr="0001543F">
        <w:rPr>
          <w:lang w:val="pl-PL"/>
        </w:rPr>
        <w:t>-</w:t>
      </w:r>
      <w:r w:rsidR="004B43D3" w:rsidRPr="0001543F">
        <w:rPr>
          <w:lang w:val="pl-PL"/>
        </w:rPr>
        <w:t xml:space="preserve"> </w:t>
      </w:r>
      <w:r w:rsidR="00506AD7" w:rsidRPr="0001543F">
        <w:rPr>
          <w:lang w:val="pl-PL"/>
        </w:rPr>
        <w:t xml:space="preserve">2003; oraz że doszło do „naruszenia prawa [skarżącego] do obrony oraz prawa do procesu z udziałem ławy przysięgłych”. Sąd apelacyjny nakazał rewizję procesu przed Sądem Okręgowym w Czelabińsku oraz </w:t>
      </w:r>
      <w:r w:rsidR="004B43D3" w:rsidRPr="0001543F">
        <w:rPr>
          <w:lang w:val="pl-PL"/>
        </w:rPr>
        <w:t>przedłużenie</w:t>
      </w:r>
      <w:r w:rsidR="00506AD7" w:rsidRPr="0001543F">
        <w:rPr>
          <w:lang w:val="pl-PL"/>
        </w:rPr>
        <w:t xml:space="preserve"> aresztowani</w:t>
      </w:r>
      <w:r w:rsidR="004B43D3" w:rsidRPr="0001543F">
        <w:rPr>
          <w:lang w:val="pl-PL"/>
        </w:rPr>
        <w:t>a</w:t>
      </w:r>
      <w:r w:rsidR="00506AD7" w:rsidRPr="0001543F">
        <w:rPr>
          <w:lang w:val="pl-PL"/>
        </w:rPr>
        <w:t xml:space="preserve"> skarżącego, w okresie rewizji procesu, do dnia 10 listopada 2009 r.</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23</w:t>
      </w:r>
      <w:r w:rsidRPr="0001543F">
        <w:rPr>
          <w:lang w:val="pl-PL"/>
        </w:rPr>
        <w:fldChar w:fldCharType="end"/>
      </w:r>
      <w:r w:rsidR="00506AD7" w:rsidRPr="0001543F">
        <w:rPr>
          <w:lang w:val="pl-PL"/>
        </w:rPr>
        <w:t xml:space="preserve">.  Rewizja procesu rozpoczęła się we wrześniu 2009 r. Jednakże </w:t>
      </w:r>
      <w:r w:rsidR="009A5DC2">
        <w:rPr>
          <w:lang w:val="pl-PL"/>
        </w:rPr>
        <w:br/>
      </w:r>
      <w:r w:rsidR="00506AD7" w:rsidRPr="0001543F">
        <w:rPr>
          <w:lang w:val="pl-PL"/>
        </w:rPr>
        <w:t>w dniu 6 kwiet</w:t>
      </w:r>
      <w:r w:rsidR="0001543F" w:rsidRPr="0001543F">
        <w:rPr>
          <w:lang w:val="pl-PL"/>
        </w:rPr>
        <w:t>nia 2010 r. rewizję wstrzymano ze względu na złożony do P</w:t>
      </w:r>
      <w:r w:rsidR="00506AD7" w:rsidRPr="0001543F">
        <w:rPr>
          <w:lang w:val="pl-PL"/>
        </w:rPr>
        <w:t>re</w:t>
      </w:r>
      <w:r w:rsidR="0001543F" w:rsidRPr="0001543F">
        <w:rPr>
          <w:lang w:val="pl-PL"/>
        </w:rPr>
        <w:t>zy</w:t>
      </w:r>
      <w:r w:rsidR="00506AD7" w:rsidRPr="0001543F">
        <w:rPr>
          <w:lang w:val="pl-PL"/>
        </w:rPr>
        <w:t xml:space="preserve">dium </w:t>
      </w:r>
      <w:r w:rsidR="0001543F" w:rsidRPr="0001543F">
        <w:rPr>
          <w:lang w:val="pl-PL"/>
        </w:rPr>
        <w:t xml:space="preserve">Sądu Najwyższego wniosek o przeprowadzenie nadzorczej </w:t>
      </w:r>
      <w:r w:rsidR="00370411" w:rsidRPr="0001543F">
        <w:rPr>
          <w:lang w:val="pl-PL"/>
        </w:rPr>
        <w:t>procedury rewizyjnej</w:t>
      </w:r>
      <w:r w:rsidR="00506AD7" w:rsidRPr="0001543F">
        <w:rPr>
          <w:lang w:val="pl-PL"/>
        </w:rPr>
        <w:t xml:space="preserve"> </w:t>
      </w:r>
      <w:r w:rsidR="00410066" w:rsidRPr="0001543F">
        <w:rPr>
          <w:lang w:val="pl-PL"/>
        </w:rPr>
        <w:t>w odniesieni</w:t>
      </w:r>
      <w:r w:rsidR="006C4115" w:rsidRPr="0001543F">
        <w:rPr>
          <w:lang w:val="pl-PL"/>
        </w:rPr>
        <w:t>u do decyzji w sprawie apelacji</w:t>
      </w:r>
      <w:r w:rsidR="00410066" w:rsidRPr="0001543F">
        <w:rPr>
          <w:lang w:val="pl-PL"/>
        </w:rPr>
        <w:t xml:space="preserve"> z dnia </w:t>
      </w:r>
      <w:r w:rsidR="00506AD7" w:rsidRPr="0001543F">
        <w:rPr>
          <w:lang w:val="pl-PL"/>
        </w:rPr>
        <w:t>3 września 2009.</w:t>
      </w:r>
    </w:p>
    <w:bookmarkStart w:id="5" w:name="Presidium2010"/>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24</w:t>
      </w:r>
      <w:r w:rsidRPr="0001543F">
        <w:rPr>
          <w:lang w:val="pl-PL"/>
        </w:rPr>
        <w:fldChar w:fldCharType="end"/>
      </w:r>
      <w:bookmarkEnd w:id="5"/>
      <w:r w:rsidR="00506AD7" w:rsidRPr="0001543F">
        <w:rPr>
          <w:lang w:val="pl-PL"/>
        </w:rPr>
        <w:t xml:space="preserve">.  W dniu 1 września 2010 r. Prezydium Sądu Najwyższego uchyliło decyzję w sprawie apelacji z dnia 3 września 2009 r. i zarządziło przeprowadzenie rewizji procesu. Jednakże, inaczej niż w decyzji sądu </w:t>
      </w:r>
      <w:r w:rsidR="009A5DC2">
        <w:rPr>
          <w:lang w:val="pl-PL"/>
        </w:rPr>
        <w:br/>
      </w:r>
      <w:r w:rsidR="00506AD7" w:rsidRPr="0001543F">
        <w:rPr>
          <w:lang w:val="pl-PL"/>
        </w:rPr>
        <w:t xml:space="preserve">z dnia 3 września 2009 r., Prezydium </w:t>
      </w:r>
      <w:r w:rsidR="0031211C" w:rsidRPr="0001543F">
        <w:rPr>
          <w:lang w:val="pl-PL"/>
        </w:rPr>
        <w:t>usunęło</w:t>
      </w:r>
      <w:r w:rsidR="00506AD7" w:rsidRPr="0001543F">
        <w:rPr>
          <w:lang w:val="pl-PL"/>
        </w:rPr>
        <w:t xml:space="preserve"> wszelkie odniesienia do (i) braku listy </w:t>
      </w:r>
      <w:r w:rsidR="0031211C" w:rsidRPr="0001543F">
        <w:rPr>
          <w:lang w:val="pl-PL"/>
        </w:rPr>
        <w:t>ławników</w:t>
      </w:r>
      <w:r w:rsidR="00506AD7" w:rsidRPr="0001543F">
        <w:rPr>
          <w:lang w:val="pl-PL"/>
        </w:rPr>
        <w:t xml:space="preserve"> w Sądzie Okręgowym; (ii) faktu, </w:t>
      </w:r>
      <w:r w:rsidR="0031211C" w:rsidRPr="0001543F">
        <w:rPr>
          <w:lang w:val="pl-PL"/>
        </w:rPr>
        <w:t>czy</w:t>
      </w:r>
      <w:r w:rsidR="00506AD7" w:rsidRPr="0001543F">
        <w:rPr>
          <w:lang w:val="pl-PL"/>
        </w:rPr>
        <w:t xml:space="preserve"> ławnicy znajdowali się w składach sędziowskich w innych sprawach w latach 2002-2003; oraz (iii) „naruszenia prawa [skarżącego] do obrony oraz prawa do procesu z udziałem ławy przysięgłych”. W rezultacie Prezydium uchyliło wyrok sądu pierwszej instancji z dnia 24 kwietnia 2003 r. w sposób następujący:</w:t>
      </w:r>
    </w:p>
    <w:p w:rsidR="003960A7" w:rsidRPr="0001543F" w:rsidRDefault="003960A7" w:rsidP="003960A7">
      <w:pPr>
        <w:pStyle w:val="JuQuot"/>
        <w:rPr>
          <w:lang w:val="pl-PL"/>
        </w:rPr>
      </w:pPr>
      <w:r w:rsidRPr="0001543F">
        <w:rPr>
          <w:lang w:val="pl-PL"/>
        </w:rPr>
        <w:lastRenderedPageBreak/>
        <w:t xml:space="preserve">„... Jak wynika z wyjaśnień Wice-Prezesa Sądu Okręgowego, listy ławników dla sądów rejonowych i miejskich w regionie były zatwierdzane pomiędzy 29 czerwca 2000 r. i 29 listopada 2001 r.... Listy dla ośmiu sądów rejonowych nie zostały przedłożone celem zatwierdzenia. Ławnicy w sprawie [skarżącego] byli zarejestrowani jako zamieszkali w Czelabińsku. Brak wskazań, że ich nazwiska zostały dopisane do listy ławników... Z względu na te okoliczności sąd pierwszej instancji nie był sądem ustanowionym ustawą. Zgodnie z art. 381 § 2 (2) </w:t>
      </w:r>
      <w:r w:rsidR="004B43D3" w:rsidRPr="0001543F">
        <w:rPr>
          <w:lang w:val="pl-PL"/>
        </w:rPr>
        <w:t>k</w:t>
      </w:r>
      <w:r w:rsidRPr="0001543F">
        <w:rPr>
          <w:lang w:val="pl-PL"/>
        </w:rPr>
        <w:t>odeksu postępowania karnego</w:t>
      </w:r>
      <w:r w:rsidR="00410066" w:rsidRPr="0001543F">
        <w:rPr>
          <w:lang w:val="pl-PL"/>
        </w:rPr>
        <w:t xml:space="preserve"> </w:t>
      </w:r>
      <w:r w:rsidRPr="0001543F">
        <w:rPr>
          <w:lang w:val="pl-PL"/>
        </w:rPr>
        <w:t>(kpk), niezgodny z przepisami prawa skład sądu stanowi podstawę uchylenia wyroku we wszystkich okolicznościach...”</w:t>
      </w:r>
    </w:p>
    <w:p w:rsidR="003960A7" w:rsidRPr="0001543F" w:rsidRDefault="003960A7" w:rsidP="003960A7">
      <w:pPr>
        <w:pStyle w:val="JuPara"/>
        <w:rPr>
          <w:lang w:val="pl-PL"/>
        </w:rPr>
      </w:pPr>
      <w:r w:rsidRPr="0001543F">
        <w:rPr>
          <w:lang w:val="pl-PL"/>
        </w:rPr>
        <w:t xml:space="preserve">Ponadto Prezydium uchyliło kilka nakazów tymczasowego aresztowania wydanych przez sąd pierwszej instancji w trakcie procesu w roku 2002. Wreszcie, powołując się na przepisy art. 108 i 255 </w:t>
      </w:r>
      <w:r w:rsidR="004B43D3" w:rsidRPr="0001543F">
        <w:rPr>
          <w:lang w:val="pl-PL"/>
        </w:rPr>
        <w:t>k</w:t>
      </w:r>
      <w:r w:rsidRPr="0001543F">
        <w:rPr>
          <w:lang w:val="pl-PL"/>
        </w:rPr>
        <w:t>odeksu postępowania karnego Prezydium zarządziło, by w okresie prowadzenia rewizji procesu skarżący przebywał w areszcie.</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25</w:t>
      </w:r>
      <w:r w:rsidRPr="0001543F">
        <w:rPr>
          <w:lang w:val="pl-PL"/>
        </w:rPr>
        <w:fldChar w:fldCharType="end"/>
      </w:r>
      <w:r w:rsidR="00506AD7" w:rsidRPr="0001543F">
        <w:rPr>
          <w:lang w:val="pl-PL"/>
        </w:rPr>
        <w:t>.  Rewizja procesu odbywała się od października 2010 r. do lutego 2011 r. Na etapie wstępnym rewizji skarżącego reprezentował</w:t>
      </w:r>
      <w:r w:rsidR="008008C0" w:rsidRPr="0001543F">
        <w:rPr>
          <w:lang w:val="pl-PL"/>
        </w:rPr>
        <w:t xml:space="preserve"> adwokat wyznaczony z urzędu, </w:t>
      </w:r>
      <w:r w:rsidR="00506AD7" w:rsidRPr="0001543F">
        <w:rPr>
          <w:lang w:val="pl-PL"/>
        </w:rPr>
        <w:t xml:space="preserve">B., a następnie </w:t>
      </w:r>
      <w:r w:rsidR="004B43D3" w:rsidRPr="0001543F">
        <w:rPr>
          <w:lang w:val="pl-PL"/>
        </w:rPr>
        <w:t>–</w:t>
      </w:r>
      <w:r w:rsidR="00506AD7" w:rsidRPr="0001543F">
        <w:rPr>
          <w:lang w:val="pl-PL"/>
        </w:rPr>
        <w:t xml:space="preserve"> na </w:t>
      </w:r>
      <w:r w:rsidR="008008C0" w:rsidRPr="0001543F">
        <w:rPr>
          <w:lang w:val="pl-PL"/>
        </w:rPr>
        <w:t>w</w:t>
      </w:r>
      <w:r w:rsidR="00506AD7" w:rsidRPr="0001543F">
        <w:rPr>
          <w:lang w:val="pl-PL"/>
        </w:rPr>
        <w:t xml:space="preserve">niosek </w:t>
      </w:r>
      <w:r w:rsidR="008008C0" w:rsidRPr="0001543F">
        <w:rPr>
          <w:lang w:val="pl-PL"/>
        </w:rPr>
        <w:t>skarżącego –</w:t>
      </w:r>
      <w:r w:rsidR="00506AD7" w:rsidRPr="0001543F">
        <w:rPr>
          <w:lang w:val="pl-PL"/>
        </w:rPr>
        <w:t xml:space="preserve"> </w:t>
      </w:r>
      <w:r w:rsidR="008008C0" w:rsidRPr="0001543F">
        <w:rPr>
          <w:lang w:val="pl-PL"/>
        </w:rPr>
        <w:t xml:space="preserve">adwokat wyznaczony z urzędu, </w:t>
      </w:r>
      <w:r w:rsidR="00506AD7" w:rsidRPr="0001543F">
        <w:rPr>
          <w:lang w:val="pl-PL"/>
        </w:rPr>
        <w:t>D. W międzyczasie, w grudniu 2010 r.</w:t>
      </w:r>
      <w:r w:rsidR="004B43D3" w:rsidRPr="0001543F">
        <w:rPr>
          <w:lang w:val="pl-PL"/>
        </w:rPr>
        <w:t>,</w:t>
      </w:r>
      <w:r w:rsidR="00506AD7" w:rsidRPr="0001543F">
        <w:rPr>
          <w:lang w:val="pl-PL"/>
        </w:rPr>
        <w:t xml:space="preserve"> po konsultacji ze swoim adwokatem skarżący zrezygnował z możliwości prowadzenia procesu z udziałem ławy </w:t>
      </w:r>
      <w:r w:rsidR="008008C0" w:rsidRPr="0001543F">
        <w:rPr>
          <w:lang w:val="pl-PL"/>
        </w:rPr>
        <w:t>przysięgłych</w:t>
      </w:r>
      <w:r w:rsidR="00506AD7" w:rsidRPr="0001543F">
        <w:rPr>
          <w:lang w:val="pl-PL"/>
        </w:rPr>
        <w:t xml:space="preserve"> i wyraził zgodę na rozpoznanie sprawy przez sędziego zawodowego.</w:t>
      </w:r>
    </w:p>
    <w:bookmarkStart w:id="6" w:name="t"/>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26</w:t>
      </w:r>
      <w:r w:rsidRPr="0001543F">
        <w:rPr>
          <w:lang w:val="pl-PL"/>
        </w:rPr>
        <w:fldChar w:fldCharType="end"/>
      </w:r>
      <w:bookmarkEnd w:id="6"/>
      <w:r w:rsidR="00506AD7" w:rsidRPr="0001543F">
        <w:rPr>
          <w:lang w:val="pl-PL"/>
        </w:rPr>
        <w:t xml:space="preserve">.  Nowy adwokat, K., został wyznaczony w styczniu 2011 r. celem zastąpienia adwokata D., który musiał wziąć udział w innym procesie. Na rozprawie w dniu 11 stycznia 2011 r., w odpowiedzi na pytanie sędziego przewodniczącego, skarżący stwierdził, że „nie omówił jeszcze w pełni </w:t>
      </w:r>
      <w:r w:rsidR="008008C0" w:rsidRPr="0001543F">
        <w:rPr>
          <w:lang w:val="pl-PL"/>
        </w:rPr>
        <w:t>linii obrony</w:t>
      </w:r>
      <w:r w:rsidR="00506AD7" w:rsidRPr="0001543F">
        <w:rPr>
          <w:lang w:val="pl-PL"/>
        </w:rPr>
        <w:t>” ze sw</w:t>
      </w:r>
      <w:r w:rsidR="002911AB" w:rsidRPr="0001543F">
        <w:rPr>
          <w:lang w:val="pl-PL"/>
        </w:rPr>
        <w:t>y</w:t>
      </w:r>
      <w:r w:rsidR="00506AD7" w:rsidRPr="0001543F">
        <w:rPr>
          <w:lang w:val="pl-PL"/>
        </w:rPr>
        <w:t xml:space="preserve">m obrońcą. Na rozprawie w dniu 12 stycznia 2011 r. skarżący stwierdził, że rozmawiał z adwokatem i omówił z nim </w:t>
      </w:r>
      <w:r w:rsidR="008008C0" w:rsidRPr="0001543F">
        <w:rPr>
          <w:lang w:val="pl-PL"/>
        </w:rPr>
        <w:t>lini</w:t>
      </w:r>
      <w:r w:rsidR="002911AB" w:rsidRPr="0001543F">
        <w:rPr>
          <w:lang w:val="pl-PL"/>
        </w:rPr>
        <w:t>ę</w:t>
      </w:r>
      <w:r w:rsidR="008008C0" w:rsidRPr="0001543F">
        <w:rPr>
          <w:lang w:val="pl-PL"/>
        </w:rPr>
        <w:t xml:space="preserve"> obrony</w:t>
      </w:r>
      <w:r w:rsidR="00506AD7" w:rsidRPr="0001543F">
        <w:rPr>
          <w:lang w:val="pl-PL"/>
        </w:rPr>
        <w:t xml:space="preserve">, a w konsekwencji postanowił zmienić strategię i przyznać się do popełnienia zabójstwa ciotki. </w:t>
      </w:r>
      <w:r w:rsidR="00410066" w:rsidRPr="0001543F">
        <w:rPr>
          <w:lang w:val="pl-PL"/>
        </w:rPr>
        <w:t xml:space="preserve">Wydaje się również, iż </w:t>
      </w:r>
      <w:r w:rsidR="00506AD7" w:rsidRPr="0001543F">
        <w:rPr>
          <w:lang w:val="pl-PL"/>
        </w:rPr>
        <w:t>(</w:t>
      </w:r>
      <w:r w:rsidR="00410066" w:rsidRPr="0001543F">
        <w:rPr>
          <w:lang w:val="pl-PL"/>
        </w:rPr>
        <w:t>podczas tej lub następnej rozpraw</w:t>
      </w:r>
      <w:r w:rsidR="002911AB" w:rsidRPr="0001543F">
        <w:rPr>
          <w:lang w:val="pl-PL"/>
        </w:rPr>
        <w:t>y</w:t>
      </w:r>
      <w:r w:rsidR="00506AD7" w:rsidRPr="0001543F">
        <w:rPr>
          <w:lang w:val="pl-PL"/>
        </w:rPr>
        <w:t xml:space="preserve">) </w:t>
      </w:r>
      <w:r w:rsidR="00410066" w:rsidRPr="0001543F">
        <w:rPr>
          <w:lang w:val="pl-PL"/>
        </w:rPr>
        <w:t xml:space="preserve">adwokat </w:t>
      </w:r>
      <w:r w:rsidR="00506AD7" w:rsidRPr="0001543F">
        <w:rPr>
          <w:lang w:val="pl-PL"/>
        </w:rPr>
        <w:t xml:space="preserve">K. </w:t>
      </w:r>
      <w:r w:rsidR="00410066" w:rsidRPr="0001543F">
        <w:rPr>
          <w:lang w:val="pl-PL"/>
        </w:rPr>
        <w:t>poparł wniosek s</w:t>
      </w:r>
      <w:r w:rsidR="00D463C6" w:rsidRPr="0001543F">
        <w:rPr>
          <w:lang w:val="pl-PL"/>
        </w:rPr>
        <w:t>karżąc</w:t>
      </w:r>
      <w:r w:rsidR="00410066" w:rsidRPr="0001543F">
        <w:rPr>
          <w:lang w:val="pl-PL"/>
        </w:rPr>
        <w:t xml:space="preserve">ego </w:t>
      </w:r>
      <w:r w:rsidR="009A5DC2">
        <w:rPr>
          <w:lang w:val="pl-PL"/>
        </w:rPr>
        <w:br/>
      </w:r>
      <w:r w:rsidR="00410066" w:rsidRPr="0001543F">
        <w:rPr>
          <w:lang w:val="pl-PL"/>
        </w:rPr>
        <w:t xml:space="preserve">i współoskarżonych o </w:t>
      </w:r>
      <w:r w:rsidR="00C42FE2" w:rsidRPr="0001543F">
        <w:rPr>
          <w:lang w:val="pl-PL"/>
        </w:rPr>
        <w:t xml:space="preserve">zaniechanie dochodzenia </w:t>
      </w:r>
      <w:r w:rsidR="00410066" w:rsidRPr="0001543F">
        <w:rPr>
          <w:lang w:val="pl-PL"/>
        </w:rPr>
        <w:t>ze względu na przedawnienie jednego z zarzutów</w:t>
      </w:r>
      <w:r w:rsidR="00506AD7" w:rsidRPr="0001543F">
        <w:rPr>
          <w:lang w:val="pl-PL"/>
        </w:rPr>
        <w:t xml:space="preserve">. Skarżący oświadczył także, iż </w:t>
      </w:r>
      <w:r w:rsidR="002911AB" w:rsidRPr="0001543F">
        <w:rPr>
          <w:lang w:val="pl-PL"/>
        </w:rPr>
        <w:t>–</w:t>
      </w:r>
      <w:r w:rsidR="00506AD7" w:rsidRPr="0001543F">
        <w:rPr>
          <w:lang w:val="pl-PL"/>
        </w:rPr>
        <w:t xml:space="preserve"> po rozmowie z adwokatem </w:t>
      </w:r>
      <w:r w:rsidR="002911AB" w:rsidRPr="0001543F">
        <w:rPr>
          <w:lang w:val="pl-PL"/>
        </w:rPr>
        <w:t>–</w:t>
      </w:r>
      <w:r w:rsidR="00506AD7" w:rsidRPr="0001543F">
        <w:rPr>
          <w:lang w:val="pl-PL"/>
        </w:rPr>
        <w:t xml:space="preserve"> przyjął do wiadomości, że nie ma potrzeby wzywania </w:t>
      </w:r>
      <w:r w:rsidR="002911AB" w:rsidRPr="0001543F">
        <w:rPr>
          <w:lang w:val="pl-PL"/>
        </w:rPr>
        <w:t xml:space="preserve">dalszych </w:t>
      </w:r>
      <w:r w:rsidR="00506AD7" w:rsidRPr="0001543F">
        <w:rPr>
          <w:lang w:val="pl-PL"/>
        </w:rPr>
        <w:t>świadków czy ofiar. Zatem skarżący potwierdził, iż właściwym będzie oprzeć się na odnośnych materiałach zawartych w aktach sprawy.</w:t>
      </w:r>
    </w:p>
    <w:bookmarkStart w:id="7" w:name="tt"/>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27</w:t>
      </w:r>
      <w:r w:rsidRPr="0001543F">
        <w:rPr>
          <w:lang w:val="pl-PL"/>
        </w:rPr>
        <w:fldChar w:fldCharType="end"/>
      </w:r>
      <w:bookmarkEnd w:id="7"/>
      <w:r w:rsidR="00506AD7" w:rsidRPr="0001543F">
        <w:rPr>
          <w:lang w:val="pl-PL"/>
        </w:rPr>
        <w:t xml:space="preserve">.  Podczas rozprawy w dniu 13 stycznia 2011 r. sędzia przewodniczący zauważył, że skarżący złożył odwołanie od wcześniejszego nakazu proceduralnego, wnosząc także o wyznaczenie na obrońcę pana D. </w:t>
      </w:r>
      <w:r w:rsidR="009A5DC2">
        <w:rPr>
          <w:lang w:val="pl-PL"/>
        </w:rPr>
        <w:br/>
      </w:r>
      <w:r w:rsidR="00506AD7" w:rsidRPr="0001543F">
        <w:rPr>
          <w:lang w:val="pl-PL"/>
        </w:rPr>
        <w:t>W związku z tym sędzia przewodniczący zapytał, czy skarżący był niezadowolony z adwokata K. Skarżący odpowiedział, że był zadowolony, że adwokat posiadał wystarczające kwalifikacje, by go bronić oraz że nie zamierzał go zastępować.</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28</w:t>
      </w:r>
      <w:r w:rsidRPr="0001543F">
        <w:rPr>
          <w:lang w:val="pl-PL"/>
        </w:rPr>
        <w:fldChar w:fldCharType="end"/>
      </w:r>
      <w:r w:rsidR="00506AD7" w:rsidRPr="0001543F">
        <w:rPr>
          <w:lang w:val="pl-PL"/>
        </w:rPr>
        <w:t xml:space="preserve">.  W dniu 1 lutego 2011 r. Sąd Okręgowy zakończył postępowanie </w:t>
      </w:r>
      <w:r w:rsidR="009A5DC2">
        <w:rPr>
          <w:lang w:val="pl-PL"/>
        </w:rPr>
        <w:br/>
      </w:r>
      <w:r w:rsidR="00506AD7" w:rsidRPr="0001543F">
        <w:rPr>
          <w:lang w:val="pl-PL"/>
        </w:rPr>
        <w:t xml:space="preserve">w odniesieniu do jednego z zarzutów. W dniu 16 lutego 2011 r. Sąd </w:t>
      </w:r>
      <w:r w:rsidR="00506AD7" w:rsidRPr="0001543F">
        <w:rPr>
          <w:lang w:val="pl-PL"/>
        </w:rPr>
        <w:lastRenderedPageBreak/>
        <w:t>Okręgowy uznał skarżącego winnym popełnienia zabójstwa, uprowadzenia i wymuszenia. Sąd skazał go na karę dziewiętnastu lat i sześciu miesięcy pozbawienia wolno</w:t>
      </w:r>
      <w:r w:rsidR="006C4115" w:rsidRPr="0001543F">
        <w:rPr>
          <w:lang w:val="pl-PL"/>
        </w:rPr>
        <w:t xml:space="preserve">ści. </w:t>
      </w:r>
      <w:r w:rsidR="00506AD7" w:rsidRPr="0001543F">
        <w:rPr>
          <w:lang w:val="pl-PL"/>
        </w:rPr>
        <w:t xml:space="preserve">Zgodnie z wymogami art. 72 rosyjskiego kodeksu karnego, okres ten </w:t>
      </w:r>
      <w:r w:rsidR="008008C0" w:rsidRPr="0001543F">
        <w:rPr>
          <w:lang w:val="pl-PL"/>
        </w:rPr>
        <w:t>powinien</w:t>
      </w:r>
      <w:r w:rsidR="00506AD7" w:rsidRPr="0001543F">
        <w:rPr>
          <w:lang w:val="pl-PL"/>
        </w:rPr>
        <w:t xml:space="preserve"> był biec począwszy od dnia 13 marca 2001 r., z uwzględnieniem </w:t>
      </w:r>
      <w:r w:rsidR="008008C0" w:rsidRPr="0001543F">
        <w:rPr>
          <w:lang w:val="pl-PL"/>
        </w:rPr>
        <w:t>wcześniejszych</w:t>
      </w:r>
      <w:r w:rsidR="00506AD7" w:rsidRPr="0001543F">
        <w:rPr>
          <w:lang w:val="pl-PL"/>
        </w:rPr>
        <w:t xml:space="preserve"> okresów tymczasowego aresztowania </w:t>
      </w:r>
      <w:r w:rsidR="008008C0" w:rsidRPr="0001543F">
        <w:rPr>
          <w:lang w:val="pl-PL"/>
        </w:rPr>
        <w:t>skarżącego</w:t>
      </w:r>
      <w:r w:rsidR="00506AD7" w:rsidRPr="0001543F">
        <w:rPr>
          <w:lang w:val="pl-PL"/>
        </w:rPr>
        <w:t xml:space="preserve"> w czasie trwania procesu oraz na mocy wyroku sądu pierwszej instancji z dnia 24 kwietnia 2003 r.</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29</w:t>
      </w:r>
      <w:r w:rsidRPr="0001543F">
        <w:rPr>
          <w:lang w:val="pl-PL"/>
        </w:rPr>
        <w:fldChar w:fldCharType="end"/>
      </w:r>
      <w:r w:rsidR="008008C0" w:rsidRPr="0001543F">
        <w:rPr>
          <w:lang w:val="pl-PL"/>
        </w:rPr>
        <w:t>.  Skarżący i adwokat</w:t>
      </w:r>
      <w:r w:rsidR="00506AD7" w:rsidRPr="0001543F">
        <w:rPr>
          <w:lang w:val="pl-PL"/>
        </w:rPr>
        <w:t xml:space="preserve"> K. złożyli odwołania do </w:t>
      </w:r>
      <w:r w:rsidR="002911AB" w:rsidRPr="0001543F">
        <w:rPr>
          <w:lang w:val="pl-PL"/>
        </w:rPr>
        <w:t>r</w:t>
      </w:r>
      <w:r w:rsidR="00506AD7" w:rsidRPr="0001543F">
        <w:rPr>
          <w:lang w:val="pl-PL"/>
        </w:rPr>
        <w:t>osyjskiego Sądu Najwyższego.</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30</w:t>
      </w:r>
      <w:r w:rsidRPr="0001543F">
        <w:rPr>
          <w:lang w:val="pl-PL"/>
        </w:rPr>
        <w:fldChar w:fldCharType="end"/>
      </w:r>
      <w:r w:rsidR="00506AD7" w:rsidRPr="0001543F">
        <w:rPr>
          <w:lang w:val="pl-PL"/>
        </w:rPr>
        <w:t xml:space="preserve">.  Skarżący złożył do Przewodniczącego miejscowej rady adwokackiej skargę na adwokata K. W odpowiedzi Przewodniczący stwierdził, że podczas procesu skarżący nie odnosił </w:t>
      </w:r>
      <w:r w:rsidR="008008C0" w:rsidRPr="0001543F">
        <w:rPr>
          <w:lang w:val="pl-PL"/>
        </w:rPr>
        <w:t>się</w:t>
      </w:r>
      <w:r w:rsidR="00506AD7" w:rsidRPr="0001543F">
        <w:rPr>
          <w:lang w:val="pl-PL"/>
        </w:rPr>
        <w:t xml:space="preserve"> do kwestii obecności adwokata </w:t>
      </w:r>
      <w:r w:rsidR="009A5DC2">
        <w:rPr>
          <w:lang w:val="pl-PL"/>
        </w:rPr>
        <w:br/>
      </w:r>
      <w:r w:rsidR="00506AD7" w:rsidRPr="0001543F">
        <w:rPr>
          <w:lang w:val="pl-PL"/>
        </w:rPr>
        <w:t>w areszcie śledczym oraz że kilkakrotnie omawiał</w:t>
      </w:r>
      <w:r w:rsidR="008008C0" w:rsidRPr="0001543F">
        <w:rPr>
          <w:lang w:val="pl-PL"/>
        </w:rPr>
        <w:t xml:space="preserve"> stanowisko obrony </w:t>
      </w:r>
      <w:r w:rsidR="009A5DC2">
        <w:rPr>
          <w:lang w:val="pl-PL"/>
        </w:rPr>
        <w:br/>
      </w:r>
      <w:r w:rsidR="00506AD7" w:rsidRPr="0001543F">
        <w:rPr>
          <w:lang w:val="pl-PL"/>
        </w:rPr>
        <w:t>z adwokatem przed rozpra</w:t>
      </w:r>
      <w:r w:rsidR="00076D6B" w:rsidRPr="0001543F">
        <w:rPr>
          <w:lang w:val="pl-PL"/>
        </w:rPr>
        <w:t xml:space="preserve">wami oraz w </w:t>
      </w:r>
      <w:r w:rsidR="00BF6C58" w:rsidRPr="0001543F">
        <w:rPr>
          <w:lang w:val="pl-PL"/>
        </w:rPr>
        <w:t xml:space="preserve">pomieszczeniu </w:t>
      </w:r>
      <w:r w:rsidR="00076D6B" w:rsidRPr="0001543F">
        <w:rPr>
          <w:lang w:val="pl-PL"/>
        </w:rPr>
        <w:t>w budynku sądu</w:t>
      </w:r>
      <w:r w:rsidR="00506AD7" w:rsidRPr="0001543F">
        <w:rPr>
          <w:lang w:val="pl-PL"/>
        </w:rPr>
        <w:t>.</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31</w:t>
      </w:r>
      <w:r w:rsidRPr="0001543F">
        <w:rPr>
          <w:lang w:val="pl-PL"/>
        </w:rPr>
        <w:fldChar w:fldCharType="end"/>
      </w:r>
      <w:r w:rsidR="00506AD7" w:rsidRPr="0001543F">
        <w:rPr>
          <w:lang w:val="pl-PL"/>
        </w:rPr>
        <w:t xml:space="preserve">.  W marcu 2011 r. Sąd Najwyższy wyznaczył na obrońcę panią Polozową. Zarówno pani Polozowa, jak i pan D. zostali </w:t>
      </w:r>
      <w:r w:rsidR="002911AB" w:rsidRPr="0001543F">
        <w:rPr>
          <w:lang w:val="pl-PL"/>
        </w:rPr>
        <w:t>za</w:t>
      </w:r>
      <w:r w:rsidR="00506AD7" w:rsidRPr="0001543F">
        <w:rPr>
          <w:lang w:val="pl-PL"/>
        </w:rPr>
        <w:t>wiadomieni o dacie i g</w:t>
      </w:r>
      <w:r w:rsidR="008008C0" w:rsidRPr="0001543F">
        <w:rPr>
          <w:lang w:val="pl-PL"/>
        </w:rPr>
        <w:t>odzinie rozprawy apelacyjnej. Pan</w:t>
      </w:r>
      <w:r w:rsidR="00506AD7" w:rsidRPr="0001543F">
        <w:rPr>
          <w:lang w:val="pl-PL"/>
        </w:rPr>
        <w:t xml:space="preserve"> D. </w:t>
      </w:r>
      <w:r w:rsidR="008008C0" w:rsidRPr="0001543F">
        <w:rPr>
          <w:lang w:val="pl-PL"/>
        </w:rPr>
        <w:t xml:space="preserve">powiadomił sąd, że nie </w:t>
      </w:r>
      <w:r w:rsidR="00410066" w:rsidRPr="0001543F">
        <w:rPr>
          <w:lang w:val="pl-PL"/>
        </w:rPr>
        <w:t xml:space="preserve">posiada uprawnień, by reprezentować </w:t>
      </w:r>
      <w:r w:rsidR="00D463C6" w:rsidRPr="0001543F">
        <w:rPr>
          <w:lang w:val="pl-PL"/>
        </w:rPr>
        <w:t>skarżąc</w:t>
      </w:r>
      <w:r w:rsidR="00410066" w:rsidRPr="0001543F">
        <w:rPr>
          <w:lang w:val="pl-PL"/>
        </w:rPr>
        <w:t>ego w postępowaniu apelacyjnym oraz że skarżący ani jego rodzina nie zatrudnili go w charakterze obrońcy</w:t>
      </w:r>
      <w:r w:rsidR="00506AD7" w:rsidRPr="0001543F">
        <w:rPr>
          <w:lang w:val="pl-PL"/>
        </w:rPr>
        <w:t xml:space="preserve">. Pani Polozova także </w:t>
      </w:r>
      <w:r w:rsidR="002911AB" w:rsidRPr="0001543F">
        <w:rPr>
          <w:lang w:val="pl-PL"/>
        </w:rPr>
        <w:t xml:space="preserve">poinformowała </w:t>
      </w:r>
      <w:r w:rsidR="00506AD7" w:rsidRPr="0001543F">
        <w:rPr>
          <w:lang w:val="pl-PL"/>
        </w:rPr>
        <w:t xml:space="preserve">sąd, iż nie zawarła umowy ze skarżącym, a ponadto jest zajęta i z tego względu nie może przyjąć sprawy w charakterze obrońcy z urzędu. W związku </w:t>
      </w:r>
      <w:r w:rsidR="009A5DC2">
        <w:rPr>
          <w:lang w:val="pl-PL"/>
        </w:rPr>
        <w:br/>
      </w:r>
      <w:r w:rsidR="00506AD7" w:rsidRPr="0001543F">
        <w:rPr>
          <w:lang w:val="pl-PL"/>
        </w:rPr>
        <w:t xml:space="preserve">z powyższym Sąd Najwyższy wyznaczył na obrońcę panią Chi. Jak wynika z </w:t>
      </w:r>
      <w:r w:rsidR="008008C0" w:rsidRPr="0001543F">
        <w:rPr>
          <w:lang w:val="pl-PL"/>
        </w:rPr>
        <w:t>odnośnego</w:t>
      </w:r>
      <w:r w:rsidR="00506AD7" w:rsidRPr="0001543F">
        <w:rPr>
          <w:lang w:val="pl-PL"/>
        </w:rPr>
        <w:t xml:space="preserve"> rejestru zapoznawała </w:t>
      </w:r>
      <w:r w:rsidR="008008C0" w:rsidRPr="0001543F">
        <w:rPr>
          <w:lang w:val="pl-PL"/>
        </w:rPr>
        <w:t>się</w:t>
      </w:r>
      <w:r w:rsidR="00506AD7" w:rsidRPr="0001543F">
        <w:rPr>
          <w:lang w:val="pl-PL"/>
        </w:rPr>
        <w:t xml:space="preserve"> ona z aktami sprawy w okresie </w:t>
      </w:r>
      <w:r w:rsidR="002911AB" w:rsidRPr="0001543F">
        <w:rPr>
          <w:lang w:val="pl-PL"/>
        </w:rPr>
        <w:t xml:space="preserve">od dnia </w:t>
      </w:r>
      <w:r w:rsidR="00506AD7" w:rsidRPr="0001543F">
        <w:rPr>
          <w:lang w:val="pl-PL"/>
        </w:rPr>
        <w:t xml:space="preserve">26 kwietnia </w:t>
      </w:r>
      <w:r w:rsidR="002911AB" w:rsidRPr="0001543F">
        <w:rPr>
          <w:lang w:val="pl-PL"/>
        </w:rPr>
        <w:t>do dni</w:t>
      </w:r>
      <w:r w:rsidR="00506AD7" w:rsidRPr="0001543F">
        <w:rPr>
          <w:lang w:val="pl-PL"/>
        </w:rPr>
        <w:t xml:space="preserve">a 5 maja 2011 r. Ponadto adwokat Chi. była obecna podczas rozprawy apelacyjnej w dniu 12 maja 2011 r. Podczas rozprawy apelacyjnej skarżący przebywał w jednostce </w:t>
      </w:r>
      <w:r w:rsidR="008008C0" w:rsidRPr="0001543F">
        <w:rPr>
          <w:lang w:val="pl-PL"/>
        </w:rPr>
        <w:t>penitencjarnej</w:t>
      </w:r>
      <w:r w:rsidR="00506AD7" w:rsidRPr="0001543F">
        <w:rPr>
          <w:lang w:val="pl-PL"/>
        </w:rPr>
        <w:t xml:space="preserve"> i uczestniczył </w:t>
      </w:r>
      <w:r w:rsidR="009A5DC2">
        <w:rPr>
          <w:lang w:val="pl-PL"/>
        </w:rPr>
        <w:br/>
      </w:r>
      <w:r w:rsidR="00506AD7" w:rsidRPr="0001543F">
        <w:rPr>
          <w:lang w:val="pl-PL"/>
        </w:rPr>
        <w:t xml:space="preserve">w rozprawie za pośrednictwem połączenia </w:t>
      </w:r>
      <w:r w:rsidR="000C568B" w:rsidRPr="0001543F">
        <w:rPr>
          <w:lang w:val="pl-PL"/>
        </w:rPr>
        <w:t>audiowizualnego</w:t>
      </w:r>
      <w:r w:rsidR="00506AD7" w:rsidRPr="0001543F">
        <w:rPr>
          <w:lang w:val="pl-PL"/>
        </w:rPr>
        <w:t>. Skarżący odmówił skorzystania z pomocy prawnej udzielanej przez panią Chi. Sąd apelacyjny oddalił sprzeciw skarżącego. Adwokat Chi. nadal reprezentowała skarżącego.</w:t>
      </w:r>
    </w:p>
    <w:bookmarkStart w:id="8" w:name="ttt"/>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32</w:t>
      </w:r>
      <w:r w:rsidRPr="0001543F">
        <w:rPr>
          <w:lang w:val="pl-PL"/>
        </w:rPr>
        <w:fldChar w:fldCharType="end"/>
      </w:r>
      <w:bookmarkEnd w:id="8"/>
      <w:r w:rsidR="00506AD7" w:rsidRPr="0001543F">
        <w:rPr>
          <w:lang w:val="pl-PL"/>
        </w:rPr>
        <w:t>.  W dniu 12 maja 2011 r. Sąd Najwyższy utrzymał w mocy wyrok z dnia 16 lutego 2011 r., względem którego złożono apelację. Sąd apelacyjny stwierdził, co następuje:</w:t>
      </w:r>
    </w:p>
    <w:p w:rsidR="003960A7" w:rsidRPr="0001543F" w:rsidRDefault="003960A7" w:rsidP="003960A7">
      <w:pPr>
        <w:pStyle w:val="JuQuot"/>
        <w:rPr>
          <w:lang w:val="pl-PL"/>
        </w:rPr>
      </w:pPr>
      <w:r w:rsidRPr="0001543F">
        <w:rPr>
          <w:lang w:val="pl-PL"/>
        </w:rPr>
        <w:t xml:space="preserve">„W trakcie rozprawy [skarżącego] reprezentowała adwokat K; nie złożono przeciwko niej skargi. Informacje zawarte w protokole z rozprawy są sprzeczne </w:t>
      </w:r>
      <w:r w:rsidR="009A5DC2">
        <w:rPr>
          <w:lang w:val="pl-PL"/>
        </w:rPr>
        <w:br/>
      </w:r>
      <w:r w:rsidRPr="0001543F">
        <w:rPr>
          <w:lang w:val="pl-PL"/>
        </w:rPr>
        <w:t xml:space="preserve">z twierdzeniem, że obrońca była nieskuteczna. Wskazano także, iż adwokat nie spotkała się [ze skarżącym] w areszcie śledczym. Jednakże przed sądem nie zwrócono uwagi na potrzebę takiego spotkania. Choć na początku procesu skarżący oświadczył, że linia obrony nie została w pełni omówiona, [skarżący] nie zwrócił się z prośbą o dodatkowy czas. W dalszej kolejności [skarżący] potwierdził, że adwokat </w:t>
      </w:r>
      <w:r w:rsidR="008008C0" w:rsidRPr="0001543F">
        <w:rPr>
          <w:lang w:val="pl-PL"/>
        </w:rPr>
        <w:t>wielokrotnie</w:t>
      </w:r>
      <w:r w:rsidRPr="0001543F">
        <w:rPr>
          <w:lang w:val="pl-PL"/>
        </w:rPr>
        <w:t xml:space="preserve"> </w:t>
      </w:r>
      <w:r w:rsidR="002911AB" w:rsidRPr="0001543F">
        <w:rPr>
          <w:lang w:val="pl-PL"/>
        </w:rPr>
        <w:t>udzielała mu porad i</w:t>
      </w:r>
      <w:r w:rsidRPr="0001543F">
        <w:rPr>
          <w:lang w:val="pl-PL"/>
        </w:rPr>
        <w:t xml:space="preserve"> omawiała z nim linię obrony... Podczas przesłuchania wstępnego sąd udzielił zgody na wniosek [skarżącego] dotyczący reprezentacji przez adwokata D. W trakcie procesu został on zastąpiony ze </w:t>
      </w:r>
      <w:r w:rsidR="008008C0" w:rsidRPr="0001543F">
        <w:rPr>
          <w:lang w:val="pl-PL"/>
        </w:rPr>
        <w:t>względu</w:t>
      </w:r>
      <w:r w:rsidRPr="0001543F">
        <w:rPr>
          <w:lang w:val="pl-PL"/>
        </w:rPr>
        <w:t xml:space="preserve"> na </w:t>
      </w:r>
      <w:r w:rsidR="008008C0" w:rsidRPr="0001543F">
        <w:rPr>
          <w:lang w:val="pl-PL"/>
        </w:rPr>
        <w:t>zaangażowanie</w:t>
      </w:r>
      <w:r w:rsidRPr="0001543F">
        <w:rPr>
          <w:lang w:val="pl-PL"/>
        </w:rPr>
        <w:t xml:space="preserve"> w proces w innej sprawie karnej...” </w:t>
      </w:r>
    </w:p>
    <w:p w:rsidR="003960A7" w:rsidRPr="0001543F" w:rsidRDefault="003960A7" w:rsidP="003960A7">
      <w:pPr>
        <w:pStyle w:val="JuHA"/>
        <w:rPr>
          <w:lang w:val="pl-PL"/>
        </w:rPr>
      </w:pPr>
      <w:r w:rsidRPr="0001543F">
        <w:rPr>
          <w:bCs/>
          <w:lang w:val="pl-PL"/>
        </w:rPr>
        <w:lastRenderedPageBreak/>
        <w:t>B.  Warunki tymczasowego aresztowania</w:t>
      </w:r>
    </w:p>
    <w:p w:rsidR="003960A7" w:rsidRPr="0001543F" w:rsidRDefault="003960A7" w:rsidP="003960A7">
      <w:pPr>
        <w:pStyle w:val="JuH1"/>
        <w:rPr>
          <w:lang w:val="pl-PL"/>
        </w:rPr>
      </w:pPr>
      <w:r w:rsidRPr="0001543F">
        <w:rPr>
          <w:iCs/>
          <w:lang w:val="pl-PL"/>
        </w:rPr>
        <w:t>1.  </w:t>
      </w:r>
      <w:r w:rsidR="002179BB" w:rsidRPr="0001543F">
        <w:rPr>
          <w:iCs/>
          <w:lang w:val="pl-PL"/>
        </w:rPr>
        <w:t>Zakład dla Tymczasowo Aresztowanych Dzielnicy Kurczatowskiej</w:t>
      </w:r>
    </w:p>
    <w:bookmarkStart w:id="9" w:name="a"/>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33</w:t>
      </w:r>
      <w:r w:rsidRPr="0001543F">
        <w:rPr>
          <w:lang w:val="pl-PL"/>
        </w:rPr>
        <w:fldChar w:fldCharType="end"/>
      </w:r>
      <w:bookmarkEnd w:id="9"/>
      <w:r w:rsidR="00506AD7" w:rsidRPr="0001543F">
        <w:rPr>
          <w:lang w:val="pl-PL"/>
        </w:rPr>
        <w:t xml:space="preserve">.  Skarżący twierdzi, iż w okresie od 13 do 30 marca 2001 r. przebywał w </w:t>
      </w:r>
      <w:r w:rsidR="002179BB" w:rsidRPr="0001543F">
        <w:rPr>
          <w:lang w:val="pl-PL"/>
        </w:rPr>
        <w:t xml:space="preserve">zakładzie dla tymczasowo aresztowanych dzielnicy </w:t>
      </w:r>
      <w:r w:rsidR="00506AD7" w:rsidRPr="0001543F">
        <w:rPr>
          <w:lang w:val="pl-PL"/>
        </w:rPr>
        <w:t>Kurc</w:t>
      </w:r>
      <w:r w:rsidR="002179BB" w:rsidRPr="0001543F">
        <w:rPr>
          <w:lang w:val="pl-PL"/>
        </w:rPr>
        <w:t>z</w:t>
      </w:r>
      <w:r w:rsidR="00506AD7" w:rsidRPr="0001543F">
        <w:rPr>
          <w:lang w:val="pl-PL"/>
        </w:rPr>
        <w:t>ato</w:t>
      </w:r>
      <w:r w:rsidR="002179BB" w:rsidRPr="0001543F">
        <w:rPr>
          <w:lang w:val="pl-PL"/>
        </w:rPr>
        <w:t xml:space="preserve">wskiej </w:t>
      </w:r>
      <w:r w:rsidR="00506AD7" w:rsidRPr="0001543F">
        <w:rPr>
          <w:lang w:val="pl-PL"/>
        </w:rPr>
        <w:t>na obszarze miasta Czelabińska (</w:t>
      </w:r>
      <w:r w:rsidR="00506AD7" w:rsidRPr="0001543F">
        <w:rPr>
          <w:i/>
          <w:iCs/>
          <w:lang w:val="pl-PL"/>
        </w:rPr>
        <w:t>ИВС Курчатовского района</w:t>
      </w:r>
      <w:r w:rsidR="00506AD7" w:rsidRPr="0001543F">
        <w:rPr>
          <w:lang w:val="pl-PL"/>
        </w:rPr>
        <w:t xml:space="preserve">). Nie otrzymał tam materaca, pościeli ani artykułów higieny osobistej i nie miał dostępu do prysznica. Cela była brudna, wilgotna i zimna, a także pozbawiona wentylacji. Skarżący nie miał żadnych zajęć poza celą, w której spędzał dwadzieścia cztery godziny na dobę. </w:t>
      </w:r>
    </w:p>
    <w:p w:rsidR="003960A7" w:rsidRPr="0001543F" w:rsidRDefault="003960A7" w:rsidP="003960A7">
      <w:pPr>
        <w:pStyle w:val="JuH1"/>
        <w:rPr>
          <w:lang w:val="pl-PL"/>
        </w:rPr>
      </w:pPr>
      <w:r w:rsidRPr="0001543F">
        <w:rPr>
          <w:iCs/>
          <w:lang w:val="pl-PL"/>
        </w:rPr>
        <w:t>2.  Areszt</w:t>
      </w:r>
      <w:r w:rsidR="00370411">
        <w:rPr>
          <w:iCs/>
          <w:lang w:val="pl-PL"/>
        </w:rPr>
        <w:t xml:space="preserve"> Ś</w:t>
      </w:r>
      <w:r w:rsidRPr="0001543F">
        <w:rPr>
          <w:iCs/>
          <w:lang w:val="pl-PL"/>
        </w:rPr>
        <w:t>ledczy</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34</w:t>
      </w:r>
      <w:r w:rsidRPr="0001543F">
        <w:rPr>
          <w:lang w:val="pl-PL"/>
        </w:rPr>
        <w:fldChar w:fldCharType="end"/>
      </w:r>
      <w:r w:rsidR="00506AD7" w:rsidRPr="0001543F">
        <w:rPr>
          <w:lang w:val="pl-PL"/>
        </w:rPr>
        <w:t>.  Od dnia 30 marca 2001 r. do dnia 28 października 2003 r. skarżący przebywał w areszcie śledczym w Czelabińsku nr 74/1 (</w:t>
      </w:r>
      <w:r w:rsidR="00506AD7" w:rsidRPr="0001543F">
        <w:rPr>
          <w:i/>
          <w:iCs/>
          <w:lang w:val="pl-PL"/>
        </w:rPr>
        <w:t>ФБУ ИЗ-74/1 ГУФСИН РФ по Челябинской области</w:t>
      </w:r>
      <w:r w:rsidR="00506AD7" w:rsidRPr="0001543F">
        <w:rPr>
          <w:lang w:val="pl-PL"/>
        </w:rPr>
        <w:t xml:space="preserve">). </w:t>
      </w:r>
      <w:r w:rsidR="002179BB" w:rsidRPr="0001543F">
        <w:rPr>
          <w:lang w:val="pl-PL"/>
        </w:rPr>
        <w:t xml:space="preserve">Najwyraźniej </w:t>
      </w:r>
      <w:r w:rsidR="00506AD7" w:rsidRPr="0001543F">
        <w:rPr>
          <w:lang w:val="pl-PL"/>
        </w:rPr>
        <w:t xml:space="preserve">przebywał w tymże areszcie śledczym </w:t>
      </w:r>
      <w:r w:rsidR="002179BB" w:rsidRPr="0001543F">
        <w:rPr>
          <w:lang w:val="pl-PL"/>
        </w:rPr>
        <w:t xml:space="preserve">również </w:t>
      </w:r>
      <w:r w:rsidR="00506AD7" w:rsidRPr="0001543F">
        <w:rPr>
          <w:lang w:val="pl-PL"/>
        </w:rPr>
        <w:t xml:space="preserve">przez </w:t>
      </w:r>
      <w:r w:rsidR="008008C0" w:rsidRPr="0001543F">
        <w:rPr>
          <w:lang w:val="pl-PL"/>
        </w:rPr>
        <w:t>pewien</w:t>
      </w:r>
      <w:r w:rsidR="00506AD7" w:rsidRPr="0001543F">
        <w:rPr>
          <w:lang w:val="pl-PL"/>
        </w:rPr>
        <w:t xml:space="preserve"> czas w roku 2005.</w:t>
      </w:r>
    </w:p>
    <w:p w:rsidR="003960A7" w:rsidRPr="0001543F" w:rsidRDefault="003960A7" w:rsidP="003960A7">
      <w:pPr>
        <w:pStyle w:val="JuHa0"/>
        <w:rPr>
          <w:lang w:val="pl-PL"/>
        </w:rPr>
      </w:pPr>
      <w:r w:rsidRPr="0001543F">
        <w:rPr>
          <w:bCs/>
          <w:lang w:val="pl-PL"/>
        </w:rPr>
        <w:t>(a) Oświadczenia skarżącego</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35</w:t>
      </w:r>
      <w:r w:rsidRPr="0001543F">
        <w:rPr>
          <w:lang w:val="pl-PL"/>
        </w:rPr>
        <w:fldChar w:fldCharType="end"/>
      </w:r>
      <w:r w:rsidR="00506AD7" w:rsidRPr="0001543F">
        <w:rPr>
          <w:lang w:val="pl-PL"/>
        </w:rPr>
        <w:t>.  Skarżący przedstawił następujący opis warunków pobytu w areszcie śledczym w latach 2001-2003 r.</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36</w:t>
      </w:r>
      <w:r w:rsidRPr="0001543F">
        <w:rPr>
          <w:lang w:val="pl-PL"/>
        </w:rPr>
        <w:fldChar w:fldCharType="end"/>
      </w:r>
      <w:r w:rsidR="00506AD7" w:rsidRPr="0001543F">
        <w:rPr>
          <w:lang w:val="pl-PL"/>
        </w:rPr>
        <w:t>.  Od dnia 17 kwietnia 2001 r. do dnia 29 kwietnia 2003 r. skarżący przebywał w celi nr 77 o wymiarach 7</w:t>
      </w:r>
      <w:r w:rsidR="002911AB" w:rsidRPr="0001543F">
        <w:rPr>
          <w:lang w:val="pl-PL"/>
        </w:rPr>
        <w:t xml:space="preserve"> </w:t>
      </w:r>
      <w:r w:rsidR="00506AD7" w:rsidRPr="0001543F">
        <w:rPr>
          <w:lang w:val="pl-PL"/>
        </w:rPr>
        <w:t>-</w:t>
      </w:r>
      <w:r w:rsidR="002911AB" w:rsidRPr="0001543F">
        <w:rPr>
          <w:lang w:val="pl-PL"/>
        </w:rPr>
        <w:t xml:space="preserve"> </w:t>
      </w:r>
      <w:r w:rsidR="00506AD7" w:rsidRPr="0001543F">
        <w:rPr>
          <w:lang w:val="pl-PL"/>
        </w:rPr>
        <w:t>8 metrów</w:t>
      </w:r>
      <w:r w:rsidR="002179BB" w:rsidRPr="0001543F">
        <w:rPr>
          <w:lang w:val="pl-PL"/>
        </w:rPr>
        <w:t xml:space="preserve"> </w:t>
      </w:r>
      <w:r w:rsidR="00506AD7" w:rsidRPr="0001543F">
        <w:rPr>
          <w:lang w:val="pl-PL"/>
        </w:rPr>
        <w:t>kwadratowych, przeznaczonej dla sześciu osadzonych („w terminie późniejszym” dla czterech osadzonych). W rzeczywistości w celi przebywało od trzech do siedmiu osadzonych, w związku z czym byli oni zmuszeni do spania na zmianę.</w:t>
      </w:r>
      <w:r w:rsidR="002179BB" w:rsidRPr="0001543F">
        <w:rPr>
          <w:lang w:val="pl-PL"/>
        </w:rPr>
        <w:t xml:space="preserve"> </w:t>
      </w:r>
      <w:r w:rsidR="00506AD7" w:rsidRPr="0001543F">
        <w:rPr>
          <w:lang w:val="pl-PL"/>
        </w:rPr>
        <w:t>W dzień i w nocy w celi włączone było sztuczne światło. W okresie od dnia 30 marca do dnia 20 kwietnia 2001 r. skarżący w areszcie śledczym nie otrzymał pościeli, dopiero pod koniec 2002 r. otrzymał koc. Nie zapewniono ręczników ani nakryć stołowych.</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37</w:t>
      </w:r>
      <w:r w:rsidRPr="0001543F">
        <w:rPr>
          <w:lang w:val="pl-PL"/>
        </w:rPr>
        <w:fldChar w:fldCharType="end"/>
      </w:r>
      <w:r w:rsidR="00506AD7" w:rsidRPr="0001543F">
        <w:rPr>
          <w:lang w:val="pl-PL"/>
        </w:rPr>
        <w:t>.  Od dnia 29 kwietnia do</w:t>
      </w:r>
      <w:r w:rsidR="008008C0" w:rsidRPr="0001543F">
        <w:rPr>
          <w:lang w:val="pl-PL"/>
        </w:rPr>
        <w:t xml:space="preserve"> dnia 28 października 2003 r. </w:t>
      </w:r>
      <w:r w:rsidR="00506AD7" w:rsidRPr="0001543F">
        <w:rPr>
          <w:lang w:val="pl-PL"/>
        </w:rPr>
        <w:t>skarżący przebywał w celi nr 80 o wymiarach 7</w:t>
      </w:r>
      <w:r w:rsidR="00114D93" w:rsidRPr="0001543F">
        <w:rPr>
          <w:lang w:val="pl-PL"/>
        </w:rPr>
        <w:t xml:space="preserve"> </w:t>
      </w:r>
      <w:r w:rsidR="00506AD7" w:rsidRPr="0001543F">
        <w:rPr>
          <w:lang w:val="pl-PL"/>
        </w:rPr>
        <w:t>-</w:t>
      </w:r>
      <w:r w:rsidR="00114D93" w:rsidRPr="0001543F">
        <w:rPr>
          <w:lang w:val="pl-PL"/>
        </w:rPr>
        <w:t xml:space="preserve"> </w:t>
      </w:r>
      <w:r w:rsidR="00506AD7" w:rsidRPr="0001543F">
        <w:rPr>
          <w:lang w:val="pl-PL"/>
        </w:rPr>
        <w:t>8 metrów</w:t>
      </w:r>
      <w:r w:rsidR="002179BB" w:rsidRPr="0001543F">
        <w:rPr>
          <w:lang w:val="pl-PL"/>
        </w:rPr>
        <w:t xml:space="preserve"> </w:t>
      </w:r>
      <w:r w:rsidR="00506AD7" w:rsidRPr="0001543F">
        <w:rPr>
          <w:lang w:val="pl-PL"/>
        </w:rPr>
        <w:t xml:space="preserve">kwadratowych, przeznaczonej dla czterech osadzonych. W rzeczywistości w celi przebywało do pięciu osadzonych, w związku z czym byli oni zmuszeni do spania na zmianę. </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38</w:t>
      </w:r>
      <w:r w:rsidRPr="0001543F">
        <w:rPr>
          <w:lang w:val="pl-PL"/>
        </w:rPr>
        <w:fldChar w:fldCharType="end"/>
      </w:r>
      <w:r w:rsidR="00506AD7" w:rsidRPr="0001543F">
        <w:rPr>
          <w:lang w:val="pl-PL"/>
        </w:rPr>
        <w:t xml:space="preserve">.  W odniesieniu do wszystkich cel skarżący stwierdził, że miska sedesowa znajdująca się w rogu oddzielona była od części mieszkalnej wyłącznie ścianką. </w:t>
      </w:r>
      <w:r w:rsidR="00114D93" w:rsidRPr="0001543F">
        <w:rPr>
          <w:lang w:val="pl-PL"/>
        </w:rPr>
        <w:t>W odległości jednego metra od sedesu</w:t>
      </w:r>
      <w:r w:rsidR="00506AD7" w:rsidRPr="0001543F">
        <w:rPr>
          <w:lang w:val="pl-PL"/>
        </w:rPr>
        <w:t xml:space="preserve"> usytuowany był</w:t>
      </w:r>
      <w:r w:rsidR="00114D93" w:rsidRPr="0001543F">
        <w:rPr>
          <w:lang w:val="pl-PL"/>
        </w:rPr>
        <w:t xml:space="preserve"> stół</w:t>
      </w:r>
      <w:r w:rsidR="00506AD7" w:rsidRPr="0001543F">
        <w:rPr>
          <w:lang w:val="pl-PL"/>
        </w:rPr>
        <w:t xml:space="preserve">. Cele nie posiadały wentylacji, a </w:t>
      </w:r>
      <w:r w:rsidR="00114D93" w:rsidRPr="0001543F">
        <w:rPr>
          <w:lang w:val="pl-PL"/>
        </w:rPr>
        <w:t xml:space="preserve">sytuację dodatkowo pogarszał </w:t>
      </w:r>
      <w:r w:rsidR="00506AD7" w:rsidRPr="0001543F">
        <w:rPr>
          <w:lang w:val="pl-PL"/>
        </w:rPr>
        <w:t>fakt, że wszyscy pozostali osadzeni palili papierosy</w:t>
      </w:r>
      <w:r w:rsidR="00114D93" w:rsidRPr="0001543F">
        <w:rPr>
          <w:lang w:val="pl-PL"/>
        </w:rPr>
        <w:t>.</w:t>
      </w:r>
      <w:r w:rsidR="00506AD7" w:rsidRPr="0001543F">
        <w:rPr>
          <w:lang w:val="pl-PL"/>
        </w:rPr>
        <w:t xml:space="preserve"> </w:t>
      </w:r>
      <w:r w:rsidR="008008C0" w:rsidRPr="0001543F">
        <w:rPr>
          <w:lang w:val="pl-PL"/>
        </w:rPr>
        <w:t xml:space="preserve">Do </w:t>
      </w:r>
      <w:r w:rsidR="00506AD7" w:rsidRPr="0001543F">
        <w:rPr>
          <w:lang w:val="pl-PL"/>
        </w:rPr>
        <w:t xml:space="preserve">stycznia 2003 r. </w:t>
      </w:r>
      <w:r w:rsidR="008008C0" w:rsidRPr="0001543F">
        <w:rPr>
          <w:lang w:val="pl-PL"/>
        </w:rPr>
        <w:t>okna</w:t>
      </w:r>
      <w:r w:rsidR="003A128D" w:rsidRPr="0001543F">
        <w:rPr>
          <w:lang w:val="pl-PL"/>
        </w:rPr>
        <w:t xml:space="preserve"> celi, prócz krat, wyposażone były w metalowe okiennice</w:t>
      </w:r>
      <w:r w:rsidR="00506AD7" w:rsidRPr="0001543F">
        <w:rPr>
          <w:lang w:val="pl-PL"/>
        </w:rPr>
        <w:t>. W celach nie było dostępu do ciepłej wody.</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39</w:t>
      </w:r>
      <w:r w:rsidRPr="0001543F">
        <w:rPr>
          <w:lang w:val="pl-PL"/>
        </w:rPr>
        <w:fldChar w:fldCharType="end"/>
      </w:r>
      <w:r w:rsidR="00506AD7" w:rsidRPr="0001543F">
        <w:rPr>
          <w:lang w:val="pl-PL"/>
        </w:rPr>
        <w:t xml:space="preserve">.  Przez cały okres osadzenia w areszcie śledczym skarżący nie miał żadnych zajęć poza celą, z wyłączeniem codziennego, jednogodzinnego </w:t>
      </w:r>
      <w:r w:rsidR="00506AD7" w:rsidRPr="0001543F">
        <w:rPr>
          <w:lang w:val="pl-PL"/>
        </w:rPr>
        <w:lastRenderedPageBreak/>
        <w:t>spaceru na dziedzińcu aresztu. Pozostałą część dnia spędzał w celi. Wyżywienie i usługi lekarskie nie były zadowalające. W okresie letnim skarżący nie miał dostępu do prysznica z ciepłą wodą.</w:t>
      </w:r>
    </w:p>
    <w:p w:rsidR="003960A7" w:rsidRPr="0001543F" w:rsidRDefault="003960A7" w:rsidP="003960A7">
      <w:pPr>
        <w:pStyle w:val="JuHa0"/>
        <w:rPr>
          <w:lang w:val="pl-PL"/>
        </w:rPr>
      </w:pPr>
      <w:r w:rsidRPr="0001543F">
        <w:rPr>
          <w:bCs/>
          <w:lang w:val="pl-PL"/>
        </w:rPr>
        <w:t>(b)  Oświadczenia Rządu</w:t>
      </w:r>
    </w:p>
    <w:bookmarkStart w:id="10" w:name="v"/>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40</w:t>
      </w:r>
      <w:r w:rsidRPr="0001543F">
        <w:rPr>
          <w:lang w:val="pl-PL"/>
        </w:rPr>
        <w:fldChar w:fldCharType="end"/>
      </w:r>
      <w:bookmarkEnd w:id="10"/>
      <w:r w:rsidR="00506AD7" w:rsidRPr="0001543F">
        <w:rPr>
          <w:lang w:val="pl-PL"/>
        </w:rPr>
        <w:t>.  Rząd przedstawił następujące dane dotyczące wymiarów cel i liczby osadzonych. Cela nr 77 miała wymiary 9,3 m. kw. i w przedmiotowym czasie przebywało w niej czterech osadzonych; cela nr 80 miała wymiary 9,3 m. kw. i była przeznaczona dla czterech osadzonych; cela nr 83 miała wymiary 9,3 m. kw. i była przeznaczona dla czterech osadzonych; cela nr 91 miała wymiary 30,2 m. kw. była przeznaczona dla dwunastu osadzonych; cela nr 96 miała wymiary 9,3 m. kw. i była przeznaczona dla czterech osadzonych; cela nr 154 miała wymiary 23,1 m. kw. i była przeznaczona dla ośmiu osadzonych; zaś cela nr 1 miała wymiary 20,8 m. kw. i była przeznaczona dla sześciu osadzonych.</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41</w:t>
      </w:r>
      <w:r w:rsidRPr="0001543F">
        <w:rPr>
          <w:lang w:val="pl-PL"/>
        </w:rPr>
        <w:fldChar w:fldCharType="end"/>
      </w:r>
      <w:r w:rsidR="00506AD7" w:rsidRPr="0001543F">
        <w:rPr>
          <w:lang w:val="pl-PL"/>
        </w:rPr>
        <w:t>.  Na podstawie powyższych danych Rząd stwierdza, iż ustawowy wymóg dotyczący powierzchni przypadającej na jednego osadzonego (wyrażonej w m. kw.) nie został spełnio</w:t>
      </w:r>
      <w:r w:rsidR="00114D93" w:rsidRPr="0001543F">
        <w:rPr>
          <w:lang w:val="pl-PL"/>
        </w:rPr>
        <w:t>ny w przypadku cel o numerach</w:t>
      </w:r>
      <w:r w:rsidR="002179BB" w:rsidRPr="0001543F">
        <w:rPr>
          <w:lang w:val="pl-PL"/>
        </w:rPr>
        <w:t xml:space="preserve"> </w:t>
      </w:r>
      <w:r w:rsidR="00506AD7" w:rsidRPr="0001543F">
        <w:rPr>
          <w:lang w:val="pl-PL"/>
        </w:rPr>
        <w:t xml:space="preserve">77, 80, 83 i 96. Pozostałe istotne warunki aresztowania (oświetlenie, wentylacja, łóżka i pościel, wyżywienie) były przyzwoite. </w:t>
      </w:r>
      <w:r w:rsidR="0070332B" w:rsidRPr="0001543F">
        <w:rPr>
          <w:lang w:val="pl-PL"/>
        </w:rPr>
        <w:t>W ok</w:t>
      </w:r>
      <w:r w:rsidR="0055589E" w:rsidRPr="0001543F">
        <w:rPr>
          <w:lang w:val="pl-PL"/>
        </w:rPr>
        <w:t>n</w:t>
      </w:r>
      <w:r w:rsidR="0070332B" w:rsidRPr="0001543F">
        <w:rPr>
          <w:lang w:val="pl-PL"/>
        </w:rPr>
        <w:t xml:space="preserve">ach celi nie było </w:t>
      </w:r>
      <w:r w:rsidR="00506AD7" w:rsidRPr="0001543F">
        <w:rPr>
          <w:lang w:val="pl-PL"/>
        </w:rPr>
        <w:t>metal</w:t>
      </w:r>
      <w:r w:rsidR="0070332B" w:rsidRPr="0001543F">
        <w:rPr>
          <w:lang w:val="pl-PL"/>
        </w:rPr>
        <w:t>owych</w:t>
      </w:r>
      <w:r w:rsidR="002179BB" w:rsidRPr="0001543F">
        <w:rPr>
          <w:lang w:val="pl-PL"/>
        </w:rPr>
        <w:t xml:space="preserve"> </w:t>
      </w:r>
      <w:r w:rsidR="0055589E" w:rsidRPr="0001543F">
        <w:rPr>
          <w:lang w:val="pl-PL"/>
        </w:rPr>
        <w:t xml:space="preserve">okiennic, lecz </w:t>
      </w:r>
      <w:r w:rsidR="00506AD7" w:rsidRPr="0001543F">
        <w:rPr>
          <w:lang w:val="pl-PL"/>
        </w:rPr>
        <w:t xml:space="preserve">metalowe kraty, które nie utrudniały dostępu światła naturalnego. Toalety były oddzielone od przestrzeni głównej ścianką, o przybliżonych wymiarach jeden metr na półtora metra wysokości. </w:t>
      </w:r>
    </w:p>
    <w:bookmarkStart w:id="11" w:name="GA3last"/>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42</w:t>
      </w:r>
      <w:r w:rsidRPr="0001543F">
        <w:rPr>
          <w:lang w:val="pl-PL"/>
        </w:rPr>
        <w:fldChar w:fldCharType="end"/>
      </w:r>
      <w:bookmarkEnd w:id="11"/>
      <w:r w:rsidR="00506AD7" w:rsidRPr="0001543F">
        <w:rPr>
          <w:lang w:val="pl-PL"/>
        </w:rPr>
        <w:t xml:space="preserve">.  Powyższe oświadczenia złożono na podstawie informacji podanych przez dyrektora jednostki penitencjarnej w 2008 r. oraz oświadczeń złożonych rzekomo przez pracowników więzienia (lecz podpisanych przez </w:t>
      </w:r>
      <w:r w:rsidR="008008C0" w:rsidRPr="0001543F">
        <w:rPr>
          <w:lang w:val="pl-PL"/>
        </w:rPr>
        <w:t>naczelnika więzienia</w:t>
      </w:r>
      <w:r w:rsidR="00506AD7" w:rsidRPr="0001543F">
        <w:rPr>
          <w:lang w:val="pl-PL"/>
        </w:rPr>
        <w:t xml:space="preserve">). Rząd przedłożył także kopie dokumentów dotyczących „środków sanitarnych” dotyczących osadzonych w latach 2001 - 2003. </w:t>
      </w:r>
    </w:p>
    <w:p w:rsidR="003960A7" w:rsidRPr="0001543F" w:rsidRDefault="003960A7" w:rsidP="003960A7">
      <w:pPr>
        <w:pStyle w:val="JuH1"/>
        <w:rPr>
          <w:lang w:val="pl-PL"/>
        </w:rPr>
      </w:pPr>
      <w:r w:rsidRPr="0001543F">
        <w:rPr>
          <w:iCs/>
          <w:lang w:val="pl-PL"/>
        </w:rPr>
        <w:t>3.  Skargi skarżącego</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43</w:t>
      </w:r>
      <w:r w:rsidRPr="0001543F">
        <w:rPr>
          <w:lang w:val="pl-PL"/>
        </w:rPr>
        <w:fldChar w:fldCharType="end"/>
      </w:r>
      <w:r w:rsidR="00506AD7" w:rsidRPr="0001543F">
        <w:rPr>
          <w:lang w:val="pl-PL"/>
        </w:rPr>
        <w:t xml:space="preserve">.  Skarżący składał skargi dotyczące </w:t>
      </w:r>
      <w:r w:rsidR="00114D93" w:rsidRPr="0001543F">
        <w:rPr>
          <w:lang w:val="pl-PL"/>
        </w:rPr>
        <w:t>warunków</w:t>
      </w:r>
      <w:r w:rsidR="00506AD7" w:rsidRPr="0001543F">
        <w:rPr>
          <w:lang w:val="pl-PL"/>
        </w:rPr>
        <w:t xml:space="preserve"> w areszcie do róż</w:t>
      </w:r>
      <w:r w:rsidR="00114D93" w:rsidRPr="0001543F">
        <w:rPr>
          <w:lang w:val="pl-PL"/>
        </w:rPr>
        <w:t>nych władz publicznych. W</w:t>
      </w:r>
      <w:r w:rsidR="00506AD7" w:rsidRPr="0001543F">
        <w:rPr>
          <w:lang w:val="pl-PL"/>
        </w:rPr>
        <w:t xml:space="preserve"> dniach 26, 28 marca i 2 kwietnia 2001 r. skarżący </w:t>
      </w:r>
      <w:r w:rsidR="005420F7">
        <w:rPr>
          <w:lang w:val="pl-PL"/>
        </w:rPr>
        <w:br/>
      </w:r>
      <w:r w:rsidR="00506AD7" w:rsidRPr="0001543F">
        <w:rPr>
          <w:lang w:val="pl-PL"/>
        </w:rPr>
        <w:t xml:space="preserve">i jego adwokat </w:t>
      </w:r>
      <w:r w:rsidR="00114D93" w:rsidRPr="0001543F">
        <w:rPr>
          <w:lang w:val="pl-PL"/>
        </w:rPr>
        <w:t xml:space="preserve">rzekomo </w:t>
      </w:r>
      <w:r w:rsidR="00506AD7" w:rsidRPr="0001543F">
        <w:rPr>
          <w:lang w:val="pl-PL"/>
        </w:rPr>
        <w:t xml:space="preserve">złożyli skargi do Prokuratury Okręgowej Obwodu Czelabińskiego, twierdząc, że warunki aresztowania w </w:t>
      </w:r>
      <w:r w:rsidR="0001543F" w:rsidRPr="0001543F">
        <w:rPr>
          <w:lang w:val="pl-PL"/>
        </w:rPr>
        <w:t>zakładzie dla tymczasowo aresztowanych</w:t>
      </w:r>
      <w:r w:rsidR="00506AD7" w:rsidRPr="0001543F">
        <w:rPr>
          <w:lang w:val="pl-PL"/>
        </w:rPr>
        <w:t xml:space="preserve"> są nie do przyjęcia. W dniu 10 września 2001 r. prokurator odmówił wszczęcia postępowania karnego w związku </w:t>
      </w:r>
      <w:r w:rsidR="005420F7">
        <w:rPr>
          <w:lang w:val="pl-PL"/>
        </w:rPr>
        <w:br/>
      </w:r>
      <w:r w:rsidR="00506AD7" w:rsidRPr="0001543F">
        <w:rPr>
          <w:lang w:val="pl-PL"/>
        </w:rPr>
        <w:t xml:space="preserve">z zarzutem niezgodnego z prawem osadzenia w </w:t>
      </w:r>
      <w:r w:rsidR="0001543F" w:rsidRPr="0001543F">
        <w:rPr>
          <w:lang w:val="pl-PL"/>
        </w:rPr>
        <w:t>zakładzie dla tymczasowo aresztowanych</w:t>
      </w:r>
      <w:r w:rsidR="00506AD7" w:rsidRPr="0001543F">
        <w:rPr>
          <w:lang w:val="pl-PL"/>
        </w:rPr>
        <w:t>.</w:t>
      </w:r>
    </w:p>
    <w:p w:rsidR="003960A7" w:rsidRPr="0001543F" w:rsidRDefault="003960A7" w:rsidP="003960A7">
      <w:pPr>
        <w:pStyle w:val="JuHA"/>
        <w:rPr>
          <w:lang w:val="pl-PL"/>
        </w:rPr>
      </w:pPr>
      <w:r w:rsidRPr="0001543F">
        <w:rPr>
          <w:bCs/>
          <w:lang w:val="pl-PL"/>
        </w:rPr>
        <w:lastRenderedPageBreak/>
        <w:t>C.  Korespondencja z Okręgową Radą Adwokacką, Centrum Międzynarodowej Pomocy Prawnej i Europejskim Trybunałem</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44</w:t>
      </w:r>
      <w:r w:rsidRPr="0001543F">
        <w:rPr>
          <w:lang w:val="pl-PL"/>
        </w:rPr>
        <w:fldChar w:fldCharType="end"/>
      </w:r>
      <w:r w:rsidR="00506AD7" w:rsidRPr="0001543F">
        <w:rPr>
          <w:lang w:val="pl-PL"/>
        </w:rPr>
        <w:t xml:space="preserve">.  Skarżący oświadczył, że pracownicy więzienia nr w Regionie </w:t>
      </w:r>
      <w:r w:rsidR="008008C0" w:rsidRPr="0001543F">
        <w:rPr>
          <w:lang w:val="pl-PL"/>
        </w:rPr>
        <w:t>Czelabińskim</w:t>
      </w:r>
      <w:r w:rsidR="00506AD7" w:rsidRPr="0001543F">
        <w:rPr>
          <w:lang w:val="pl-PL"/>
        </w:rPr>
        <w:t xml:space="preserve"> kontrolowali niektóre pisma Europejskiego Trybunału adresowane do skarżącego w latach 2004-2005. Większość spośród tych pism stanowiła standardową korespondencję </w:t>
      </w:r>
      <w:r w:rsidR="008008C0" w:rsidRPr="0001543F">
        <w:rPr>
          <w:lang w:val="pl-PL"/>
        </w:rPr>
        <w:t>dotyczącą</w:t>
      </w:r>
      <w:r w:rsidR="00370411">
        <w:rPr>
          <w:lang w:val="pl-PL"/>
        </w:rPr>
        <w:t xml:space="preserve"> pisma wstępnego </w:t>
      </w:r>
      <w:r w:rsidR="00506AD7" w:rsidRPr="0001543F">
        <w:rPr>
          <w:lang w:val="pl-PL"/>
        </w:rPr>
        <w:t xml:space="preserve">bądź potwierdzenie odbioru korespondencji skarżącego. Pismo z dnia 19 marca 2004 r. zawierało prośbę do skarżącego o dalsze uzasadnienie skargi dotyczącej warunków osadzenia w areszcie </w:t>
      </w:r>
      <w:r w:rsidR="008008C0" w:rsidRPr="0001543F">
        <w:rPr>
          <w:lang w:val="pl-PL"/>
        </w:rPr>
        <w:t>śledczym</w:t>
      </w:r>
      <w:r w:rsidR="00506AD7" w:rsidRPr="0001543F">
        <w:rPr>
          <w:lang w:val="pl-PL"/>
        </w:rPr>
        <w:t xml:space="preserve"> w Czelabińsku.</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45</w:t>
      </w:r>
      <w:r w:rsidRPr="0001543F">
        <w:rPr>
          <w:lang w:val="pl-PL"/>
        </w:rPr>
        <w:fldChar w:fldCharType="end"/>
      </w:r>
      <w:r w:rsidR="00506AD7" w:rsidRPr="0001543F">
        <w:rPr>
          <w:lang w:val="pl-PL"/>
        </w:rPr>
        <w:t xml:space="preserve">.  Każdy list opatrzony był pieczęcią zawierająca numer zarejestrowania oraz datę otrzymania przez jednostkę penitencjarną. </w:t>
      </w:r>
      <w:r w:rsidR="005420F7">
        <w:rPr>
          <w:lang w:val="pl-PL"/>
        </w:rPr>
        <w:br/>
      </w:r>
      <w:r w:rsidR="00506AD7" w:rsidRPr="0001543F">
        <w:rPr>
          <w:lang w:val="pl-PL"/>
        </w:rPr>
        <w:t xml:space="preserve">W dalszej kolejności </w:t>
      </w:r>
      <w:r w:rsidR="008008C0" w:rsidRPr="0001543F">
        <w:rPr>
          <w:lang w:val="pl-PL"/>
        </w:rPr>
        <w:t>skarżący</w:t>
      </w:r>
      <w:r w:rsidR="00506AD7" w:rsidRPr="0001543F">
        <w:rPr>
          <w:lang w:val="pl-PL"/>
        </w:rPr>
        <w:t xml:space="preserve"> stwierdził, że </w:t>
      </w:r>
      <w:r w:rsidR="00114D93" w:rsidRPr="0001543F">
        <w:rPr>
          <w:lang w:val="pl-PL"/>
        </w:rPr>
        <w:t xml:space="preserve">praktyka monitorowania korespondencji nadal miała </w:t>
      </w:r>
      <w:r w:rsidR="00506AD7" w:rsidRPr="0001543F">
        <w:rPr>
          <w:lang w:val="pl-PL"/>
        </w:rPr>
        <w:t xml:space="preserve">zastosowanie i przedłożył kopie listów Trybunału do skarżącego z okresu 2006 - 2008 opatrzonych podobnymi pieczęciami </w:t>
      </w:r>
      <w:r w:rsidR="008008C0" w:rsidRPr="0001543F">
        <w:rPr>
          <w:lang w:val="pl-PL"/>
        </w:rPr>
        <w:t>różnych</w:t>
      </w:r>
      <w:r w:rsidR="00506AD7" w:rsidRPr="0001543F">
        <w:rPr>
          <w:lang w:val="pl-PL"/>
        </w:rPr>
        <w:t xml:space="preserve"> jednostek penitencjarnych.</w:t>
      </w:r>
    </w:p>
    <w:bookmarkStart w:id="12" w:name="b"/>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46</w:t>
      </w:r>
      <w:r w:rsidRPr="0001543F">
        <w:rPr>
          <w:lang w:val="pl-PL"/>
        </w:rPr>
        <w:fldChar w:fldCharType="end"/>
      </w:r>
      <w:bookmarkEnd w:id="12"/>
      <w:r w:rsidR="00506AD7" w:rsidRPr="0001543F">
        <w:rPr>
          <w:lang w:val="pl-PL"/>
        </w:rPr>
        <w:t xml:space="preserve">.  Do korespondencji </w:t>
      </w:r>
      <w:r w:rsidR="008008C0" w:rsidRPr="0001543F">
        <w:rPr>
          <w:lang w:val="pl-PL"/>
        </w:rPr>
        <w:t>przesyłanej</w:t>
      </w:r>
      <w:r w:rsidR="00506AD7" w:rsidRPr="0001543F">
        <w:rPr>
          <w:lang w:val="pl-PL"/>
        </w:rPr>
        <w:t xml:space="preserve"> przez skarżącego do Trybunału Europejskiego w latach 2003-2008 dołączone były pisma przewodnie sporządzone przez pracowników różnych jednostek </w:t>
      </w:r>
      <w:r w:rsidR="008008C0" w:rsidRPr="0001543F">
        <w:rPr>
          <w:lang w:val="pl-PL"/>
        </w:rPr>
        <w:t>penitencjarnych</w:t>
      </w:r>
      <w:r w:rsidR="00506AD7" w:rsidRPr="0001543F">
        <w:rPr>
          <w:lang w:val="pl-PL"/>
        </w:rPr>
        <w:t xml:space="preserve">. </w:t>
      </w:r>
      <w:r w:rsidR="005420F7">
        <w:rPr>
          <w:lang w:val="pl-PL"/>
        </w:rPr>
        <w:br/>
      </w:r>
      <w:r w:rsidR="00506AD7" w:rsidRPr="0001543F">
        <w:rPr>
          <w:lang w:val="pl-PL"/>
        </w:rPr>
        <w:t xml:space="preserve">W niektórych spośród tych pism wskazywano na charakter korespondencji (przykładowo, przedłożenie materiałów </w:t>
      </w:r>
      <w:r w:rsidR="008008C0" w:rsidRPr="0001543F">
        <w:rPr>
          <w:lang w:val="pl-PL"/>
        </w:rPr>
        <w:t>dodatkowych</w:t>
      </w:r>
      <w:r w:rsidR="00506AD7" w:rsidRPr="0001543F">
        <w:rPr>
          <w:lang w:val="pl-PL"/>
        </w:rPr>
        <w:t xml:space="preserve">, powiadomienie </w:t>
      </w:r>
      <w:r w:rsidR="005420F7">
        <w:rPr>
          <w:lang w:val="pl-PL"/>
        </w:rPr>
        <w:br/>
      </w:r>
      <w:r w:rsidR="00506AD7" w:rsidRPr="0001543F">
        <w:rPr>
          <w:lang w:val="pl-PL"/>
        </w:rPr>
        <w:t xml:space="preserve">o zmianach w sprawie skarżącego) i/lub liczbie stron przekazanych przez skarżącego w celu wysłania. Niektóre spośród listów skarżącego opatrzone był także pieczęcią więzienia z datą przekazania listu do „jednostki specjalnej”. Przykładowo, pismem z </w:t>
      </w:r>
      <w:r w:rsidR="008008C0" w:rsidRPr="0001543F">
        <w:rPr>
          <w:lang w:val="pl-PL"/>
        </w:rPr>
        <w:t>dniem</w:t>
      </w:r>
      <w:r w:rsidR="00506AD7" w:rsidRPr="0001543F">
        <w:rPr>
          <w:lang w:val="pl-PL"/>
        </w:rPr>
        <w:t xml:space="preserve"> 7 czerwca 2011 r. skarżący </w:t>
      </w:r>
      <w:r w:rsidR="008008C0" w:rsidRPr="0001543F">
        <w:rPr>
          <w:lang w:val="pl-PL"/>
        </w:rPr>
        <w:t>informował</w:t>
      </w:r>
      <w:r w:rsidR="00506AD7" w:rsidRPr="0001543F">
        <w:rPr>
          <w:lang w:val="pl-PL"/>
        </w:rPr>
        <w:t xml:space="preserve"> Trybunał o nowych wydarzeniach w ramach postępowania na poziomie krajowym oraz o zamiarze złożenia skarg dotyczących dalszych naruszeń Konwencji. Pismo opatrzone było pieczęcią aresztu śledczego w Czelabińsku nr 74/3 i oznaczone datą otrzymania przez „jednostkę specjalną”. W lipcu 2011 r. Trybunał przekazał ten list adwokatowi reprezentującemu skarżącego przed Trybunałem. W sierpniu 2011 r. adwokat </w:t>
      </w:r>
      <w:r w:rsidR="008008C0" w:rsidRPr="0001543F">
        <w:rPr>
          <w:lang w:val="pl-PL"/>
        </w:rPr>
        <w:t>złożył</w:t>
      </w:r>
      <w:r w:rsidR="00506AD7" w:rsidRPr="0001543F">
        <w:rPr>
          <w:lang w:val="pl-PL"/>
        </w:rPr>
        <w:t xml:space="preserve"> do Trybunału skargę dotyczącą kontroli listu przez władze więzienne. W dalszej kolejności skarżący twierdził, że przekazał list z dnia 7 czerwca 2011 r. funkcjonariuszowi więziennemu z zamiarem poproszenia go o kopertę. </w:t>
      </w:r>
      <w:r w:rsidR="008008C0" w:rsidRPr="0001543F">
        <w:rPr>
          <w:lang w:val="pl-PL"/>
        </w:rPr>
        <w:t>Funkcjonariusz</w:t>
      </w:r>
      <w:r w:rsidR="00506AD7" w:rsidRPr="0001543F">
        <w:rPr>
          <w:lang w:val="pl-PL"/>
        </w:rPr>
        <w:t xml:space="preserve"> poinformował przełożonego, że </w:t>
      </w:r>
      <w:r w:rsidR="00114D93" w:rsidRPr="0001543F">
        <w:rPr>
          <w:lang w:val="pl-PL"/>
        </w:rPr>
        <w:t>–</w:t>
      </w:r>
      <w:r w:rsidR="00506AD7" w:rsidRPr="0001543F">
        <w:rPr>
          <w:lang w:val="pl-PL"/>
        </w:rPr>
        <w:t xml:space="preserve"> mimo iż poinstruowano skarżącego, że listy do Trybunału mają być </w:t>
      </w:r>
      <w:r w:rsidR="008008C0" w:rsidRPr="0001543F">
        <w:rPr>
          <w:lang w:val="pl-PL"/>
        </w:rPr>
        <w:t>przekazywane</w:t>
      </w:r>
      <w:r w:rsidR="00506AD7" w:rsidRPr="0001543F">
        <w:rPr>
          <w:lang w:val="pl-PL"/>
        </w:rPr>
        <w:t xml:space="preserve"> w </w:t>
      </w:r>
      <w:r w:rsidR="008008C0" w:rsidRPr="0001543F">
        <w:rPr>
          <w:lang w:val="pl-PL"/>
        </w:rPr>
        <w:t>zamkniętych</w:t>
      </w:r>
      <w:r w:rsidR="00506AD7" w:rsidRPr="0001543F">
        <w:rPr>
          <w:lang w:val="pl-PL"/>
        </w:rPr>
        <w:t xml:space="preserve"> kopertach</w:t>
      </w:r>
      <w:r w:rsidR="00114D93" w:rsidRPr="0001543F">
        <w:rPr>
          <w:lang w:val="pl-PL"/>
        </w:rPr>
        <w:t xml:space="preserve"> –</w:t>
      </w:r>
      <w:r w:rsidR="00506AD7" w:rsidRPr="0001543F">
        <w:rPr>
          <w:lang w:val="pl-PL"/>
        </w:rPr>
        <w:t xml:space="preserve"> skarżący naciskał, by list został wysłany i nie prosił o kopertę. Funkcjonariusz ten otrzymał naganę za streszczenie treści listu w </w:t>
      </w:r>
      <w:r w:rsidR="008008C0" w:rsidRPr="0001543F">
        <w:rPr>
          <w:lang w:val="pl-PL"/>
        </w:rPr>
        <w:t>piśmie</w:t>
      </w:r>
      <w:r w:rsidR="00506AD7" w:rsidRPr="0001543F">
        <w:rPr>
          <w:lang w:val="pl-PL"/>
        </w:rPr>
        <w:t xml:space="preserve"> przewodnim.</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47</w:t>
      </w:r>
      <w:r w:rsidRPr="0001543F">
        <w:rPr>
          <w:lang w:val="pl-PL"/>
        </w:rPr>
        <w:fldChar w:fldCharType="end"/>
      </w:r>
      <w:r w:rsidR="00506AD7" w:rsidRPr="0001543F">
        <w:rPr>
          <w:lang w:val="pl-PL"/>
        </w:rPr>
        <w:t xml:space="preserve">.  Skarżący pisał także do Centrum Międzynarodowej Pomocy Prawnej (CMPP), tj. organizacji pozarządowej w Moskwie, która zajmuje się między innymi udzielaniem informacji </w:t>
      </w:r>
      <w:r w:rsidR="008008C0" w:rsidRPr="0001543F">
        <w:rPr>
          <w:lang w:val="pl-PL"/>
        </w:rPr>
        <w:t>dotyczących</w:t>
      </w:r>
      <w:r w:rsidR="00506AD7" w:rsidRPr="0001543F">
        <w:rPr>
          <w:lang w:val="pl-PL"/>
        </w:rPr>
        <w:t xml:space="preserve"> postępowania </w:t>
      </w:r>
      <w:r w:rsidR="005420F7">
        <w:rPr>
          <w:lang w:val="pl-PL"/>
        </w:rPr>
        <w:br/>
      </w:r>
      <w:r w:rsidR="00506AD7" w:rsidRPr="0001543F">
        <w:rPr>
          <w:lang w:val="pl-PL"/>
        </w:rPr>
        <w:t xml:space="preserve">w związku z Konwencją i udziela skarżącym pomocy w związku </w:t>
      </w:r>
      <w:r w:rsidR="005420F7">
        <w:rPr>
          <w:lang w:val="pl-PL"/>
        </w:rPr>
        <w:br/>
      </w:r>
      <w:r w:rsidR="00506AD7" w:rsidRPr="0001543F">
        <w:rPr>
          <w:lang w:val="pl-PL"/>
        </w:rPr>
        <w:t xml:space="preserve">z postępowaniem przez Trybunałem. W odpowiedzi na pismo skarżącego, </w:t>
      </w:r>
      <w:r w:rsidR="00506AD7" w:rsidRPr="0001543F">
        <w:rPr>
          <w:lang w:val="pl-PL"/>
        </w:rPr>
        <w:lastRenderedPageBreak/>
        <w:t xml:space="preserve">w dniu 28 kwietnia 2004 r. CMPP poinformowało go o procedurze następującej po złożeniu skargi i udzieliło porady odnośnie do otrzymania kopii dokumentów </w:t>
      </w:r>
      <w:r w:rsidR="008008C0" w:rsidRPr="0001543F">
        <w:rPr>
          <w:lang w:val="pl-PL"/>
        </w:rPr>
        <w:t>uzasadniających</w:t>
      </w:r>
      <w:r w:rsidR="00506AD7" w:rsidRPr="0001543F">
        <w:rPr>
          <w:lang w:val="pl-PL"/>
        </w:rPr>
        <w:t xml:space="preserve"> </w:t>
      </w:r>
      <w:r w:rsidR="00114D93" w:rsidRPr="0001543F">
        <w:rPr>
          <w:lang w:val="pl-PL"/>
        </w:rPr>
        <w:t xml:space="preserve">skargę </w:t>
      </w:r>
      <w:r w:rsidR="00506AD7" w:rsidRPr="0001543F">
        <w:rPr>
          <w:lang w:val="pl-PL"/>
        </w:rPr>
        <w:t xml:space="preserve">wniesioną do Trybunału. Na </w:t>
      </w:r>
      <w:r w:rsidR="008008C0" w:rsidRPr="0001543F">
        <w:rPr>
          <w:lang w:val="pl-PL"/>
        </w:rPr>
        <w:t>piśmie</w:t>
      </w:r>
      <w:r w:rsidR="00506AD7" w:rsidRPr="0001543F">
        <w:rPr>
          <w:lang w:val="pl-PL"/>
        </w:rPr>
        <w:t xml:space="preserve"> CMPP znajdowała się pieczęć więzienia nr 1, zawierająca wewnętrzny numer </w:t>
      </w:r>
      <w:r w:rsidR="008008C0" w:rsidRPr="0001543F">
        <w:rPr>
          <w:lang w:val="pl-PL"/>
        </w:rPr>
        <w:t>ewidencyjny</w:t>
      </w:r>
      <w:r w:rsidR="00506AD7" w:rsidRPr="0001543F">
        <w:rPr>
          <w:lang w:val="pl-PL"/>
        </w:rPr>
        <w:t xml:space="preserve"> korespondencji oraz datę otrzymania.</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48</w:t>
      </w:r>
      <w:r w:rsidRPr="0001543F">
        <w:rPr>
          <w:lang w:val="pl-PL"/>
        </w:rPr>
        <w:fldChar w:fldCharType="end"/>
      </w:r>
      <w:r w:rsidR="00506AD7" w:rsidRPr="0001543F">
        <w:rPr>
          <w:lang w:val="pl-PL"/>
        </w:rPr>
        <w:t xml:space="preserve">.  Wreszcie skarżący skierował kilka pism do okręgowej rady adwokackiej. W pismach datowanych </w:t>
      </w:r>
      <w:r w:rsidR="00114D93" w:rsidRPr="0001543F">
        <w:rPr>
          <w:lang w:val="pl-PL"/>
        </w:rPr>
        <w:t xml:space="preserve">na dzień </w:t>
      </w:r>
      <w:r w:rsidR="00506AD7" w:rsidRPr="0001543F">
        <w:rPr>
          <w:lang w:val="pl-PL"/>
        </w:rPr>
        <w:t xml:space="preserve">19 marca i 12 kwietnia 2004 r. wiceprezes rady adwokackiej odniósł </w:t>
      </w:r>
      <w:r w:rsidR="008008C0" w:rsidRPr="0001543F">
        <w:rPr>
          <w:lang w:val="pl-PL"/>
        </w:rPr>
        <w:t>się</w:t>
      </w:r>
      <w:r w:rsidR="00506AD7" w:rsidRPr="0001543F">
        <w:rPr>
          <w:lang w:val="pl-PL"/>
        </w:rPr>
        <w:t xml:space="preserve"> do s</w:t>
      </w:r>
      <w:r w:rsidR="00114D93" w:rsidRPr="0001543F">
        <w:rPr>
          <w:lang w:val="pl-PL"/>
        </w:rPr>
        <w:t>kargi skarżącego na adwokata Z.</w:t>
      </w:r>
      <w:r w:rsidR="00506AD7" w:rsidRPr="0001543F">
        <w:rPr>
          <w:lang w:val="pl-PL"/>
        </w:rPr>
        <w:t xml:space="preserve"> </w:t>
      </w:r>
      <w:r w:rsidR="00114D93" w:rsidRPr="0001543F">
        <w:rPr>
          <w:lang w:val="pl-PL"/>
        </w:rPr>
        <w:t>w</w:t>
      </w:r>
      <w:r w:rsidR="00506AD7" w:rsidRPr="0001543F">
        <w:rPr>
          <w:lang w:val="pl-PL"/>
        </w:rPr>
        <w:t xml:space="preserve"> szczególności w kwestii braku wniesienia apelacji w 2003 r. Pismem z dnia 22 grudnia 2004 r. wiceprezes poinformował skarżącego, że nie ma możliwości udzielenia mu pomocy w charakterze adwokata ani dodatkowych konsultacji </w:t>
      </w:r>
      <w:r w:rsidR="008008C0" w:rsidRPr="0001543F">
        <w:rPr>
          <w:lang w:val="pl-PL"/>
        </w:rPr>
        <w:t>dotyczących</w:t>
      </w:r>
      <w:r w:rsidR="00506AD7" w:rsidRPr="0001543F">
        <w:rPr>
          <w:lang w:val="pl-PL"/>
        </w:rPr>
        <w:t xml:space="preserve"> przepisów prawa i postępowania karnego. Na wszystkich listach od rady adwokackiej znajdowały się pieczęcie więzienia nr 1, zawierające wewnętrzny numer </w:t>
      </w:r>
      <w:r w:rsidR="008008C0" w:rsidRPr="0001543F">
        <w:rPr>
          <w:lang w:val="pl-PL"/>
        </w:rPr>
        <w:t>ewidencyjny</w:t>
      </w:r>
      <w:r w:rsidR="00506AD7" w:rsidRPr="0001543F">
        <w:rPr>
          <w:lang w:val="pl-PL"/>
        </w:rPr>
        <w:t xml:space="preserve"> korespondencji oraz datę otrzymania.</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49</w:t>
      </w:r>
      <w:r w:rsidRPr="0001543F">
        <w:rPr>
          <w:lang w:val="pl-PL"/>
        </w:rPr>
        <w:fldChar w:fldCharType="end"/>
      </w:r>
      <w:r w:rsidR="00506AD7" w:rsidRPr="0001543F">
        <w:rPr>
          <w:lang w:val="pl-PL"/>
        </w:rPr>
        <w:t xml:space="preserve">.  Skarżący bezskutecznie składał skargi do prokuratury okręgowej, wskazując na fakt kontroli korespondencji z okręgową radą adwokacką </w:t>
      </w:r>
      <w:r w:rsidR="005420F7">
        <w:rPr>
          <w:lang w:val="pl-PL"/>
        </w:rPr>
        <w:br/>
      </w:r>
      <w:r w:rsidR="00506AD7" w:rsidRPr="0001543F">
        <w:rPr>
          <w:lang w:val="pl-PL"/>
        </w:rPr>
        <w:t>i CMPP przez administrację więzienia mimo uprzywilejowanego statusu takiej korespondencji.</w:t>
      </w:r>
    </w:p>
    <w:p w:rsidR="003960A7" w:rsidRPr="0001543F" w:rsidRDefault="003960A7" w:rsidP="003960A7">
      <w:pPr>
        <w:pStyle w:val="JuHIRoman"/>
        <w:outlineLvl w:val="0"/>
        <w:rPr>
          <w:lang w:val="pl-PL"/>
        </w:rPr>
      </w:pPr>
      <w:r w:rsidRPr="0001543F">
        <w:rPr>
          <w:lang w:val="pl-PL"/>
        </w:rPr>
        <w:t>II. WŁAŚCIWE PRAWO KRAJOWE I PRAKTYKA</w:t>
      </w:r>
    </w:p>
    <w:p w:rsidR="003960A7" w:rsidRPr="0001543F" w:rsidRDefault="003960A7" w:rsidP="003960A7">
      <w:pPr>
        <w:pStyle w:val="JuHA"/>
        <w:rPr>
          <w:lang w:val="pl-PL"/>
        </w:rPr>
      </w:pPr>
      <w:r w:rsidRPr="0001543F">
        <w:rPr>
          <w:bCs/>
          <w:lang w:val="pl-PL"/>
        </w:rPr>
        <w:t>A.  Ławnicy</w:t>
      </w:r>
    </w:p>
    <w:bookmarkStart w:id="13" w:name="lay"/>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50</w:t>
      </w:r>
      <w:r w:rsidRPr="0001543F">
        <w:rPr>
          <w:lang w:val="pl-PL"/>
        </w:rPr>
        <w:fldChar w:fldCharType="end"/>
      </w:r>
      <w:bookmarkEnd w:id="13"/>
      <w:r w:rsidR="00506AD7" w:rsidRPr="0001543F">
        <w:rPr>
          <w:lang w:val="pl-PL"/>
        </w:rPr>
        <w:t xml:space="preserve">.  Zgodnie z ustawą o ławnikach obowiązującą w przedmiotowym czasie, </w:t>
      </w:r>
      <w:r w:rsidR="008E0687" w:rsidRPr="0001543F">
        <w:rPr>
          <w:lang w:val="pl-PL"/>
        </w:rPr>
        <w:t xml:space="preserve">ławnicy </w:t>
      </w:r>
      <w:r w:rsidR="00506AD7" w:rsidRPr="0001543F">
        <w:rPr>
          <w:lang w:val="pl-PL"/>
        </w:rPr>
        <w:t xml:space="preserve">zasiadali </w:t>
      </w:r>
      <w:r w:rsidR="008E0687" w:rsidRPr="0001543F">
        <w:rPr>
          <w:lang w:val="pl-PL"/>
        </w:rPr>
        <w:t>w składach sędziowskich w charakterze sędziów niezawodowych w sprawach cywilnych i karnych (</w:t>
      </w:r>
      <w:r w:rsidR="00506AD7" w:rsidRPr="0001543F">
        <w:rPr>
          <w:lang w:val="pl-PL"/>
        </w:rPr>
        <w:t xml:space="preserve">art. 1(2) ustawy </w:t>
      </w:r>
      <w:r w:rsidR="005420F7">
        <w:rPr>
          <w:lang w:val="pl-PL"/>
        </w:rPr>
        <w:br/>
      </w:r>
      <w:r w:rsidR="00506AD7" w:rsidRPr="0001543F">
        <w:rPr>
          <w:lang w:val="pl-PL"/>
        </w:rPr>
        <w:t>o ławnikach). Listy ławników sądów rejonowych sporządzane były przez władze lokalne i zatwierdzane przez regional</w:t>
      </w:r>
      <w:r w:rsidR="00076D6B" w:rsidRPr="0001543F">
        <w:rPr>
          <w:lang w:val="pl-PL"/>
        </w:rPr>
        <w:t>ne organa ustawodawcze</w:t>
      </w:r>
      <w:r w:rsidR="00506AD7" w:rsidRPr="0001543F">
        <w:rPr>
          <w:lang w:val="pl-PL"/>
        </w:rPr>
        <w:t xml:space="preserve"> (art. 2). Prezes sądu okręgowego losowo wybierał z listy ławników osoby, które miały zostać powołane do składu sędziowskiego (art. 5). Ławnicy powoływani byli na okres czternastu dni bądź na okres prowadzenia postępowania w danej sprawie.</w:t>
      </w:r>
      <w:r w:rsidR="002179BB" w:rsidRPr="0001543F">
        <w:rPr>
          <w:lang w:val="pl-PL"/>
        </w:rPr>
        <w:t xml:space="preserve"> </w:t>
      </w:r>
      <w:r w:rsidR="00506AD7" w:rsidRPr="0001543F">
        <w:rPr>
          <w:lang w:val="pl-PL"/>
        </w:rPr>
        <w:t>Ławnicy mogli być powoływani nie częściej niż raz do roku (art. 9).</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51</w:t>
      </w:r>
      <w:r w:rsidRPr="0001543F">
        <w:rPr>
          <w:lang w:val="pl-PL"/>
        </w:rPr>
        <w:fldChar w:fldCharType="end"/>
      </w:r>
      <w:r w:rsidR="00506AD7" w:rsidRPr="0001543F">
        <w:rPr>
          <w:lang w:val="pl-PL"/>
        </w:rPr>
        <w:t xml:space="preserve">.  Nowy </w:t>
      </w:r>
      <w:r w:rsidR="00114D93" w:rsidRPr="0001543F">
        <w:rPr>
          <w:lang w:val="pl-PL"/>
        </w:rPr>
        <w:t>k</w:t>
      </w:r>
      <w:r w:rsidR="00506AD7" w:rsidRPr="0001543F">
        <w:rPr>
          <w:lang w:val="pl-PL"/>
        </w:rPr>
        <w:t>odeks postępowania karnego wszedł w życie w dniu 1 lipca 2002 r. Zgodnie z art. 30 § 2 (3) sprawy karne dotyczące przestępstw poważnych i szczególnie poważnych rozpoznawane są przez skład sędziowski składający się z trzech sędziów zawodowych.</w:t>
      </w:r>
      <w:r w:rsidR="002179BB" w:rsidRPr="0001543F">
        <w:rPr>
          <w:lang w:val="pl-PL"/>
        </w:rPr>
        <w:t xml:space="preserve"> </w:t>
      </w:r>
      <w:r w:rsidR="00506AD7" w:rsidRPr="0001543F">
        <w:rPr>
          <w:lang w:val="pl-PL"/>
        </w:rPr>
        <w:t>Jednakże na mocy przepisów przejściowych do dnia 1 stycznia 2003 r. sprawy karne tego typu miały być rozpoznawane przez jednego sędziego. Przepis ten został zmieniony w maju 2002 r. i stanowił, co następuje:</w:t>
      </w:r>
    </w:p>
    <w:p w:rsidR="003960A7" w:rsidRPr="0001543F" w:rsidRDefault="003960A7" w:rsidP="003960A7">
      <w:pPr>
        <w:pStyle w:val="JuQuot"/>
        <w:rPr>
          <w:lang w:val="pl-PL"/>
        </w:rPr>
      </w:pPr>
      <w:r w:rsidRPr="0001543F">
        <w:rPr>
          <w:lang w:val="pl-PL"/>
        </w:rPr>
        <w:t xml:space="preserve">„...do dnia 1 stycznia 2004 r. sprawy karne dotyczące przestępstw poważnych i szczególnie poważnych będą rozpoznawane przez jednego sędziego lub, na </w:t>
      </w:r>
      <w:r w:rsidR="00114D93" w:rsidRPr="0001543F">
        <w:rPr>
          <w:lang w:val="pl-PL"/>
        </w:rPr>
        <w:t xml:space="preserve">złożony </w:t>
      </w:r>
      <w:r w:rsidR="00114D93" w:rsidRPr="0001543F">
        <w:rPr>
          <w:lang w:val="pl-PL"/>
        </w:rPr>
        <w:lastRenderedPageBreak/>
        <w:t xml:space="preserve">przed rozprawą </w:t>
      </w:r>
      <w:r w:rsidRPr="0001543F">
        <w:rPr>
          <w:lang w:val="pl-PL"/>
        </w:rPr>
        <w:t>wniosek oskarżonego, przez sędziego [zawodowego] wspólnie z dwoma ławnikami.”</w:t>
      </w:r>
    </w:p>
    <w:p w:rsidR="003960A7" w:rsidRPr="0001543F" w:rsidRDefault="003960A7" w:rsidP="003960A7">
      <w:pPr>
        <w:pStyle w:val="JuHA"/>
        <w:rPr>
          <w:lang w:val="pl-PL"/>
        </w:rPr>
      </w:pPr>
      <w:r w:rsidRPr="0001543F">
        <w:rPr>
          <w:bCs/>
          <w:lang w:val="pl-PL"/>
        </w:rPr>
        <w:t>B.  </w:t>
      </w:r>
      <w:r w:rsidR="008008C0" w:rsidRPr="0001543F">
        <w:rPr>
          <w:bCs/>
          <w:lang w:val="pl-PL"/>
        </w:rPr>
        <w:t>Reprezentacja</w:t>
      </w:r>
      <w:r w:rsidRPr="0001543F">
        <w:rPr>
          <w:bCs/>
          <w:lang w:val="pl-PL"/>
        </w:rPr>
        <w:t xml:space="preserve"> prawna w postępowaniu karnym</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52</w:t>
      </w:r>
      <w:r w:rsidRPr="0001543F">
        <w:rPr>
          <w:lang w:val="pl-PL"/>
        </w:rPr>
        <w:fldChar w:fldCharType="end"/>
      </w:r>
      <w:r w:rsidR="00506AD7" w:rsidRPr="0001543F">
        <w:rPr>
          <w:lang w:val="pl-PL"/>
        </w:rPr>
        <w:t xml:space="preserve">.  Art. 48 Konstytucji Rosyjskiej stanowi, że każdy ma prawo do odpowiedniej pomocy prawnej. Zgodnie z obowiązującym w przedmiotowym czasie kodeksem postępowania karnego podejrzany bądź oskarżony miał prawo do samodzielnej obrony lub obrony przez adwokata i/lub swego </w:t>
      </w:r>
      <w:r w:rsidR="008008C0" w:rsidRPr="0001543F">
        <w:rPr>
          <w:lang w:val="pl-PL"/>
        </w:rPr>
        <w:t>pełnomocnika</w:t>
      </w:r>
      <w:r w:rsidR="00506AD7" w:rsidRPr="0001543F">
        <w:rPr>
          <w:lang w:val="pl-PL"/>
        </w:rPr>
        <w:t xml:space="preserve"> prawnego (</w:t>
      </w:r>
      <w:r w:rsidR="002179BB" w:rsidRPr="0001543F">
        <w:rPr>
          <w:lang w:val="pl-PL"/>
        </w:rPr>
        <w:t>art. 16). Sąd</w:t>
      </w:r>
      <w:r w:rsidR="00506AD7" w:rsidRPr="0001543F">
        <w:rPr>
          <w:lang w:val="pl-PL"/>
        </w:rPr>
        <w:t xml:space="preserve">, prokuratura lub </w:t>
      </w:r>
      <w:r w:rsidR="00076D6B" w:rsidRPr="0001543F">
        <w:rPr>
          <w:lang w:val="pl-PL"/>
        </w:rPr>
        <w:t xml:space="preserve">śledczy </w:t>
      </w:r>
      <w:r w:rsidR="00506AD7" w:rsidRPr="0001543F">
        <w:rPr>
          <w:lang w:val="pl-PL"/>
        </w:rPr>
        <w:t>powiadamia podejrzanego bądź oskarżonego o jego prawach. W niektórych przypadkach władze odpowiedzialne za prowadzenie sprawy zapewniają obowiązkową reprezentację podejrzanego lub oskarżonego pr</w:t>
      </w:r>
      <w:r w:rsidR="008008C0" w:rsidRPr="0001543F">
        <w:rPr>
          <w:lang w:val="pl-PL"/>
        </w:rPr>
        <w:t>zez adwokata lub pełnomocnika</w:t>
      </w:r>
      <w:r w:rsidR="00506AD7" w:rsidRPr="0001543F">
        <w:rPr>
          <w:lang w:val="pl-PL"/>
        </w:rPr>
        <w:t xml:space="preserve"> prawnego. W pewnych okolicznościach reprezentacja taka jest bezpłatna.</w:t>
      </w:r>
    </w:p>
    <w:bookmarkStart w:id="14" w:name="5001"/>
    <w:bookmarkEnd w:id="14"/>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53</w:t>
      </w:r>
      <w:r w:rsidRPr="0001543F">
        <w:rPr>
          <w:lang w:val="pl-PL"/>
        </w:rPr>
        <w:fldChar w:fldCharType="end"/>
      </w:r>
      <w:r w:rsidR="00506AD7" w:rsidRPr="0001543F">
        <w:rPr>
          <w:lang w:val="pl-PL"/>
        </w:rPr>
        <w:t>.  Podejrzany lub oskarżony lub jego pełnomocnik prawny bądź inna osoba działająca na zlecenie podejrz</w:t>
      </w:r>
      <w:r w:rsidR="00076D6B" w:rsidRPr="0001543F">
        <w:rPr>
          <w:lang w:val="pl-PL"/>
        </w:rPr>
        <w:t>anego lub oskarżonego ma prawo wynajęcia</w:t>
      </w:r>
      <w:r w:rsidR="00506AD7" w:rsidRPr="0001543F">
        <w:rPr>
          <w:lang w:val="pl-PL"/>
        </w:rPr>
        <w:t xml:space="preserve"> adwokata (art. 50). Podejrzany lub oskarżony ma prawo </w:t>
      </w:r>
      <w:r w:rsidR="00076D6B" w:rsidRPr="0001543F">
        <w:rPr>
          <w:lang w:val="pl-PL"/>
        </w:rPr>
        <w:t xml:space="preserve">zatrudnienia </w:t>
      </w:r>
      <w:r w:rsidR="00506AD7" w:rsidRPr="0001543F">
        <w:rPr>
          <w:lang w:val="pl-PL"/>
        </w:rPr>
        <w:t>kilku adwokatów. Na wniosek podejr</w:t>
      </w:r>
      <w:r w:rsidR="00076D6B" w:rsidRPr="0001543F">
        <w:rPr>
          <w:lang w:val="pl-PL"/>
        </w:rPr>
        <w:t>zanego lub oskarżonego śledczy</w:t>
      </w:r>
      <w:r w:rsidR="00506AD7" w:rsidRPr="0001543F">
        <w:rPr>
          <w:lang w:val="pl-PL"/>
        </w:rPr>
        <w:t xml:space="preserve"> lub sąd zapewni uczestnictwo obrońcy. W </w:t>
      </w:r>
      <w:r w:rsidR="008008C0" w:rsidRPr="0001543F">
        <w:rPr>
          <w:lang w:val="pl-PL"/>
        </w:rPr>
        <w:t>przypadku</w:t>
      </w:r>
      <w:r w:rsidR="00506AD7" w:rsidRPr="0001543F">
        <w:rPr>
          <w:lang w:val="pl-PL"/>
        </w:rPr>
        <w:t xml:space="preserve">, gdy adwokat </w:t>
      </w:r>
      <w:r w:rsidR="00114D93" w:rsidRPr="0001543F">
        <w:rPr>
          <w:lang w:val="pl-PL"/>
        </w:rPr>
        <w:t xml:space="preserve">nie </w:t>
      </w:r>
      <w:r w:rsidR="00506AD7" w:rsidRPr="0001543F">
        <w:rPr>
          <w:lang w:val="pl-PL"/>
        </w:rPr>
        <w:t>stawi się w terminie pięciu dni od dat</w:t>
      </w:r>
      <w:r w:rsidR="00076D6B" w:rsidRPr="0001543F">
        <w:rPr>
          <w:lang w:val="pl-PL"/>
        </w:rPr>
        <w:t>y złożenia wniosku, śledczy</w:t>
      </w:r>
      <w:r w:rsidR="00506AD7" w:rsidRPr="0001543F">
        <w:rPr>
          <w:lang w:val="pl-PL"/>
        </w:rPr>
        <w:t xml:space="preserve"> lub sąd mogą zaproponować podejrzanemu lub oskarżonemu zatrudnienie innego adwokata lub, w przypadku odmowy ze strony podejrzanego lub oskarżonego, </w:t>
      </w:r>
      <w:r w:rsidR="008008C0" w:rsidRPr="0001543F">
        <w:rPr>
          <w:lang w:val="pl-PL"/>
        </w:rPr>
        <w:t>wyznaczyć</w:t>
      </w:r>
      <w:r w:rsidR="00506AD7" w:rsidRPr="0001543F">
        <w:rPr>
          <w:lang w:val="pl-PL"/>
        </w:rPr>
        <w:t xml:space="preserve"> dla niego adwokata. Jeżeli adwokat zatrudniony prywatnie nie stawi się w terminie dwudziestu czterech godzin od chwili zatrzymania bądź aresztowania, </w:t>
      </w:r>
      <w:r w:rsidR="00076D6B" w:rsidRPr="0001543F">
        <w:rPr>
          <w:lang w:val="pl-PL"/>
        </w:rPr>
        <w:t xml:space="preserve">śledczy lub </w:t>
      </w:r>
      <w:r w:rsidR="00506AD7" w:rsidRPr="0001543F">
        <w:rPr>
          <w:lang w:val="pl-PL"/>
        </w:rPr>
        <w:t xml:space="preserve">sąd wyznaczy nowego adwokata. </w:t>
      </w:r>
      <w:r w:rsidR="00076D6B" w:rsidRPr="0001543F">
        <w:rPr>
          <w:lang w:val="pl-PL"/>
        </w:rPr>
        <w:t xml:space="preserve">Jeżeli osoba zainteresowana zrzekła się prawa do adwokata, </w:t>
      </w:r>
      <w:r w:rsidR="0055589E" w:rsidRPr="0001543F">
        <w:rPr>
          <w:lang w:val="pl-PL"/>
        </w:rPr>
        <w:t xml:space="preserve">czynność dochodzeniowa w toku </w:t>
      </w:r>
      <w:r w:rsidR="00506AD7" w:rsidRPr="0001543F">
        <w:rPr>
          <w:lang w:val="pl-PL"/>
        </w:rPr>
        <w:t>m</w:t>
      </w:r>
      <w:r w:rsidR="00076D6B" w:rsidRPr="0001543F">
        <w:rPr>
          <w:lang w:val="pl-PL"/>
        </w:rPr>
        <w:t>oże być prowadzon</w:t>
      </w:r>
      <w:r w:rsidR="0055589E" w:rsidRPr="0001543F">
        <w:rPr>
          <w:lang w:val="pl-PL"/>
        </w:rPr>
        <w:t>a</w:t>
      </w:r>
      <w:r w:rsidR="00076D6B" w:rsidRPr="0001543F">
        <w:rPr>
          <w:lang w:val="pl-PL"/>
        </w:rPr>
        <w:t xml:space="preserve"> bez adwokata, </w:t>
      </w:r>
      <w:r w:rsidR="005420F7">
        <w:rPr>
          <w:lang w:val="pl-PL"/>
        </w:rPr>
        <w:br/>
      </w:r>
      <w:r w:rsidR="00076D6B" w:rsidRPr="0001543F">
        <w:rPr>
          <w:lang w:val="pl-PL"/>
        </w:rPr>
        <w:t xml:space="preserve">z wyłączeniem </w:t>
      </w:r>
      <w:r w:rsidR="00114D93" w:rsidRPr="0001543F">
        <w:rPr>
          <w:lang w:val="pl-PL"/>
        </w:rPr>
        <w:t xml:space="preserve">pewnych </w:t>
      </w:r>
      <w:r w:rsidR="00076D6B" w:rsidRPr="0001543F">
        <w:rPr>
          <w:lang w:val="pl-PL"/>
        </w:rPr>
        <w:t>określonych okoliczności</w:t>
      </w:r>
      <w:r w:rsidR="00506AD7" w:rsidRPr="0001543F">
        <w:rPr>
          <w:lang w:val="pl-PL"/>
        </w:rPr>
        <w:t>.</w:t>
      </w:r>
      <w:bookmarkStart w:id="15" w:name="5005"/>
      <w:bookmarkEnd w:id="15"/>
      <w:r w:rsidR="00114D93" w:rsidRPr="0001543F">
        <w:rPr>
          <w:lang w:val="pl-PL"/>
        </w:rPr>
        <w:t xml:space="preserve"> W</w:t>
      </w:r>
      <w:r w:rsidR="00506AD7" w:rsidRPr="0001543F">
        <w:rPr>
          <w:lang w:val="pl-PL"/>
        </w:rPr>
        <w:t xml:space="preserve"> przypadku wyznaczenia adwokata przez </w:t>
      </w:r>
      <w:r w:rsidR="00076D6B" w:rsidRPr="0001543F">
        <w:rPr>
          <w:lang w:val="pl-PL"/>
        </w:rPr>
        <w:t>śledczego l</w:t>
      </w:r>
      <w:r w:rsidR="00506AD7" w:rsidRPr="0001543F">
        <w:rPr>
          <w:lang w:val="pl-PL"/>
        </w:rPr>
        <w:t xml:space="preserve">ub sąd koszty </w:t>
      </w:r>
      <w:r w:rsidR="00F93C64" w:rsidRPr="0001543F">
        <w:rPr>
          <w:lang w:val="pl-PL"/>
        </w:rPr>
        <w:t xml:space="preserve">jego </w:t>
      </w:r>
      <w:r w:rsidR="00506AD7" w:rsidRPr="0001543F">
        <w:rPr>
          <w:lang w:val="pl-PL"/>
        </w:rPr>
        <w:t>wynagrodzenia pokrywa Państwo.</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54</w:t>
      </w:r>
      <w:r w:rsidRPr="0001543F">
        <w:rPr>
          <w:lang w:val="pl-PL"/>
        </w:rPr>
        <w:fldChar w:fldCharType="end"/>
      </w:r>
      <w:r w:rsidR="00506AD7" w:rsidRPr="0001543F">
        <w:rPr>
          <w:lang w:val="pl-PL"/>
        </w:rPr>
        <w:t xml:space="preserve">.  Reprezentacja przez adwokata jest obowiązkowa, jeżeli podejrzany lub oskarżony nie zrzekł się prawa do reprezentacji prawnej (art. 51). Reprezentacja przez adwokata jest obowiązkowa, jeżeli podejrzany lub oskarżony nie osiągnął pełnoletności; nie jest zdolny reprezentować się samodzielnie ze względu na chorobę fizyczną lub psychiczną; nie posiada znajomości języka używanego podczas procesu; przedstawiono mu zarzuty karne podlegające karze powyżej piętnastu lat pozbawienia wolności, karze dożywocia bądź karze śmierci; </w:t>
      </w:r>
      <w:bookmarkStart w:id="16" w:name="510106"/>
      <w:bookmarkStart w:id="17" w:name="510104"/>
      <w:bookmarkEnd w:id="16"/>
      <w:bookmarkEnd w:id="17"/>
      <w:r w:rsidR="00506AD7" w:rsidRPr="0001543F">
        <w:rPr>
          <w:lang w:val="pl-PL"/>
        </w:rPr>
        <w:t xml:space="preserve">bądź proces prowadzony jest z udziałem ławy przysięgłych. </w:t>
      </w:r>
      <w:bookmarkStart w:id="18" w:name="5103"/>
      <w:bookmarkEnd w:id="18"/>
      <w:r w:rsidR="00506AD7" w:rsidRPr="0001543F">
        <w:rPr>
          <w:lang w:val="pl-PL"/>
        </w:rPr>
        <w:t xml:space="preserve">W </w:t>
      </w:r>
      <w:r w:rsidR="002C0F9F" w:rsidRPr="0001543F">
        <w:rPr>
          <w:lang w:val="pl-PL"/>
        </w:rPr>
        <w:t>przypadku</w:t>
      </w:r>
      <w:r w:rsidR="00506AD7" w:rsidRPr="0001543F">
        <w:rPr>
          <w:lang w:val="pl-PL"/>
        </w:rPr>
        <w:t xml:space="preserve">, gdy podejrzany lub oskarżony nie </w:t>
      </w:r>
      <w:r w:rsidR="00C90B52" w:rsidRPr="0001543F">
        <w:rPr>
          <w:lang w:val="pl-PL"/>
        </w:rPr>
        <w:t xml:space="preserve">wynajmie </w:t>
      </w:r>
      <w:r w:rsidR="00506AD7" w:rsidRPr="0001543F">
        <w:rPr>
          <w:lang w:val="pl-PL"/>
        </w:rPr>
        <w:t xml:space="preserve">adwokata, </w:t>
      </w:r>
      <w:r w:rsidR="002C0F9F" w:rsidRPr="0001543F">
        <w:rPr>
          <w:lang w:val="pl-PL"/>
        </w:rPr>
        <w:t>adwokata</w:t>
      </w:r>
      <w:r w:rsidR="00C90B52" w:rsidRPr="0001543F">
        <w:rPr>
          <w:lang w:val="pl-PL"/>
        </w:rPr>
        <w:t xml:space="preserve"> wyznacza śledczy </w:t>
      </w:r>
      <w:r w:rsidR="00506AD7" w:rsidRPr="0001543F">
        <w:rPr>
          <w:lang w:val="pl-PL"/>
        </w:rPr>
        <w:t>lub sąd.</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55</w:t>
      </w:r>
      <w:r w:rsidRPr="0001543F">
        <w:rPr>
          <w:lang w:val="pl-PL"/>
        </w:rPr>
        <w:fldChar w:fldCharType="end"/>
      </w:r>
      <w:r w:rsidR="00506AD7" w:rsidRPr="0001543F">
        <w:rPr>
          <w:lang w:val="pl-PL"/>
        </w:rPr>
        <w:t xml:space="preserve">.  W decyzji z dnia 18 grudnia 2003 r. (nr 497-O) Trybunał </w:t>
      </w:r>
      <w:r w:rsidR="008008C0" w:rsidRPr="0001543F">
        <w:rPr>
          <w:lang w:val="pl-PL"/>
        </w:rPr>
        <w:t>Konstytucyjny</w:t>
      </w:r>
      <w:r w:rsidR="00506AD7" w:rsidRPr="0001543F">
        <w:rPr>
          <w:lang w:val="pl-PL"/>
        </w:rPr>
        <w:t xml:space="preserve"> uznał, że żadne ze </w:t>
      </w:r>
      <w:r w:rsidR="008008C0" w:rsidRPr="0001543F">
        <w:rPr>
          <w:lang w:val="pl-PL"/>
        </w:rPr>
        <w:t>sformułowań</w:t>
      </w:r>
      <w:r w:rsidR="00506AD7" w:rsidRPr="0001543F">
        <w:rPr>
          <w:lang w:val="pl-PL"/>
        </w:rPr>
        <w:t xml:space="preserve"> zawartych w art. 51 nie sugeruje, iż przepis tego artykułu nie ma zastosowania do </w:t>
      </w:r>
      <w:r w:rsidR="008008C0" w:rsidRPr="0001543F">
        <w:rPr>
          <w:lang w:val="pl-PL"/>
        </w:rPr>
        <w:t>postępowania</w:t>
      </w:r>
      <w:r w:rsidR="00506AD7" w:rsidRPr="0001543F">
        <w:rPr>
          <w:lang w:val="pl-PL"/>
        </w:rPr>
        <w:t xml:space="preserve"> </w:t>
      </w:r>
      <w:r w:rsidR="00506AD7" w:rsidRPr="0001543F">
        <w:rPr>
          <w:lang w:val="pl-PL"/>
        </w:rPr>
        <w:lastRenderedPageBreak/>
        <w:t xml:space="preserve">apelacyjnego. Stanowisko to zostało następnie potwierdzone i </w:t>
      </w:r>
      <w:r w:rsidR="00F93C64" w:rsidRPr="0001543F">
        <w:rPr>
          <w:lang w:val="pl-PL"/>
        </w:rPr>
        <w:t>wyrażone</w:t>
      </w:r>
      <w:r w:rsidR="00C90B52" w:rsidRPr="0001543F">
        <w:rPr>
          <w:lang w:val="pl-PL"/>
        </w:rPr>
        <w:t xml:space="preserve"> </w:t>
      </w:r>
      <w:r w:rsidR="005420F7">
        <w:rPr>
          <w:lang w:val="pl-PL"/>
        </w:rPr>
        <w:br/>
      </w:r>
      <w:r w:rsidR="00506AD7" w:rsidRPr="0001543F">
        <w:rPr>
          <w:lang w:val="pl-PL"/>
        </w:rPr>
        <w:t>w siedmiu decyzjach (nr 251, 252, 253, 254, 255-О-П, 257-О-П, 276-O-П) wydanych przez Trybunał Konstytucyjny w dniu 8 lutego 2007 r. Trybunał Konstytucyjny stwierdził, że w przypadku postępowania apelacyjnego bezpłatna pomoc prawna powinna być udzielana na takich samych zasadach jak w przypadku wcześniejszych etapów postępowania. Jakiekolwiek ograniczenie prawa oskarżonego do pomocy prawnej możliwe jest wyłącznie w przypadku, gdy oskarżony zrzekł się prawa do reprezentacji prawnej.</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56</w:t>
      </w:r>
      <w:r w:rsidRPr="0001543F">
        <w:rPr>
          <w:lang w:val="pl-PL"/>
        </w:rPr>
        <w:fldChar w:fldCharType="end"/>
      </w:r>
      <w:r w:rsidR="00506AD7" w:rsidRPr="0001543F">
        <w:rPr>
          <w:lang w:val="pl-PL"/>
        </w:rPr>
        <w:t xml:space="preserve">.  Zgodnie z ustawą o adwokaturze z 2002 r., adwokat ma obowiązek przestrzegania przepisów prawnych dotyczących obowiązkowej reprezentacji przez adwokata w postępowaniu karnym w przypadku wyznaczenia przez </w:t>
      </w:r>
      <w:r w:rsidR="00C90B52" w:rsidRPr="0001543F">
        <w:rPr>
          <w:lang w:val="pl-PL"/>
        </w:rPr>
        <w:t>organa śledcze</w:t>
      </w:r>
      <w:r w:rsidR="00506AD7" w:rsidRPr="0001543F">
        <w:rPr>
          <w:lang w:val="pl-PL"/>
        </w:rPr>
        <w:t xml:space="preserve"> lub sąd (art. 7). Adwokat nie jest uprawniony do odwołania swojej zgody czy zlecenia reprezentowania danej osoby (art. 6(4)(6)).</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57</w:t>
      </w:r>
      <w:r w:rsidRPr="0001543F">
        <w:rPr>
          <w:lang w:val="pl-PL"/>
        </w:rPr>
        <w:fldChar w:fldCharType="end"/>
      </w:r>
      <w:r w:rsidR="00506AD7" w:rsidRPr="0001543F">
        <w:rPr>
          <w:lang w:val="pl-PL"/>
        </w:rPr>
        <w:t xml:space="preserve">.  Zgodnie z Kodeksem Etyki Zawodowej Adwokatów z 2003 r., adwokat ma obowiązek rozwiązać umowę dotyczącą reprezentowania klienta, jeżeli </w:t>
      </w:r>
      <w:r w:rsidR="00F93C64" w:rsidRPr="0001543F">
        <w:rPr>
          <w:lang w:val="pl-PL"/>
        </w:rPr>
        <w:t>–</w:t>
      </w:r>
      <w:r w:rsidR="00506AD7" w:rsidRPr="0001543F">
        <w:rPr>
          <w:lang w:val="pl-PL"/>
        </w:rPr>
        <w:t xml:space="preserve"> po uzgodnieniu, iż będzie reprezentować klienta (z wyłączeniem sytuacji w okresie prowadzenia wstępnego śledztwa oraz postępowania przed sądem) </w:t>
      </w:r>
      <w:r w:rsidR="00F93C64" w:rsidRPr="0001543F">
        <w:rPr>
          <w:lang w:val="pl-PL"/>
        </w:rPr>
        <w:t>–</w:t>
      </w:r>
      <w:r w:rsidR="00506AD7" w:rsidRPr="0001543F">
        <w:rPr>
          <w:lang w:val="pl-PL"/>
        </w:rPr>
        <w:t xml:space="preserve"> okaże się, że adwokat nie może reprezentować tego klienta. W takim przypadku, jeżeli jest to możliwe, adwokat musi </w:t>
      </w:r>
      <w:r w:rsidR="00F93C64" w:rsidRPr="0001543F">
        <w:rPr>
          <w:lang w:val="pl-PL"/>
        </w:rPr>
        <w:t xml:space="preserve">powiadomić klienta </w:t>
      </w:r>
      <w:r w:rsidR="00506AD7" w:rsidRPr="0001543F">
        <w:rPr>
          <w:lang w:val="pl-PL"/>
        </w:rPr>
        <w:t xml:space="preserve">z wyprzedzeniem (art. 10). Adwokat z urzędu lub </w:t>
      </w:r>
      <w:r w:rsidR="00D6766B" w:rsidRPr="0001543F">
        <w:rPr>
          <w:lang w:val="pl-PL"/>
        </w:rPr>
        <w:t>zatrudniony</w:t>
      </w:r>
      <w:r w:rsidR="00C90B52" w:rsidRPr="0001543F">
        <w:rPr>
          <w:lang w:val="pl-PL"/>
        </w:rPr>
        <w:t xml:space="preserve"> prywatnie </w:t>
      </w:r>
      <w:r w:rsidR="00506AD7" w:rsidRPr="0001543F">
        <w:rPr>
          <w:lang w:val="pl-PL"/>
        </w:rPr>
        <w:t xml:space="preserve">w postępowaniu karnym nie może odwołać swojej zgody na reprezentowanie klienta i ma obowiązek reprezentować klienta do czasu sporządzania i składania apelacji od wyroku (art. 13 § 2). Adwokat ma obowiązek </w:t>
      </w:r>
      <w:r w:rsidR="008008C0" w:rsidRPr="0001543F">
        <w:rPr>
          <w:lang w:val="pl-PL"/>
        </w:rPr>
        <w:t>wniesienia</w:t>
      </w:r>
      <w:r w:rsidR="00506AD7" w:rsidRPr="0001543F">
        <w:rPr>
          <w:lang w:val="pl-PL"/>
        </w:rPr>
        <w:t xml:space="preserve"> apelacji na żądanie klienta bądź jeżeli (i) istnieją podstawy prawne </w:t>
      </w:r>
      <w:r w:rsidR="00C90B52" w:rsidRPr="0001543F">
        <w:rPr>
          <w:lang w:val="pl-PL"/>
        </w:rPr>
        <w:t>skrócenia</w:t>
      </w:r>
      <w:r w:rsidR="00506AD7" w:rsidRPr="0001543F">
        <w:rPr>
          <w:lang w:val="pl-PL"/>
        </w:rPr>
        <w:t xml:space="preserve"> wyroku, lub (ii) klient jest osobą nieletnią lub niepełnosprawną umysłowo, a sąd pierwszej instancji wyrazi zdanie odmienne niż zdanie adwokata i nałoży surowszą karę lub </w:t>
      </w:r>
      <w:r w:rsidR="00F93C64" w:rsidRPr="0001543F">
        <w:rPr>
          <w:lang w:val="pl-PL"/>
        </w:rPr>
        <w:t>skaże</w:t>
      </w:r>
      <w:r w:rsidR="00506AD7" w:rsidRPr="0001543F">
        <w:rPr>
          <w:lang w:val="pl-PL"/>
        </w:rPr>
        <w:t xml:space="preserve"> klienta na podstawie poważniejszego przestępstwa (art. 13(4)). Co do zasady adwokat wniesie apelację, jeżeli (i) klient jest osobą nieletnią lub niepełnosprawną umysłowo; (ii) sąd pierwszej instancji wyrazi zdanie odmienne niż zdanie adwokata i nałoży surowszą karę; lub (iii) w opinii adwokata </w:t>
      </w:r>
      <w:r w:rsidR="008008C0" w:rsidRPr="0001543F">
        <w:rPr>
          <w:lang w:val="pl-PL"/>
        </w:rPr>
        <w:t>istnieją</w:t>
      </w:r>
      <w:r w:rsidR="00506AD7" w:rsidRPr="0001543F">
        <w:rPr>
          <w:lang w:val="pl-PL"/>
        </w:rPr>
        <w:t xml:space="preserve"> podstawy prawne </w:t>
      </w:r>
      <w:r w:rsidR="00C90B52" w:rsidRPr="0001543F">
        <w:rPr>
          <w:lang w:val="pl-PL"/>
        </w:rPr>
        <w:t xml:space="preserve">skrócenia </w:t>
      </w:r>
      <w:r w:rsidR="00506AD7" w:rsidRPr="0001543F">
        <w:rPr>
          <w:lang w:val="pl-PL"/>
        </w:rPr>
        <w:t xml:space="preserve">wyroku (art. 13(4) </w:t>
      </w:r>
      <w:r w:rsidR="00506AD7" w:rsidRPr="0001543F">
        <w:rPr>
          <w:i/>
          <w:iCs/>
          <w:lang w:val="pl-PL"/>
        </w:rPr>
        <w:t>in fine</w:t>
      </w:r>
      <w:r w:rsidR="00506AD7" w:rsidRPr="0001543F">
        <w:rPr>
          <w:lang w:val="pl-PL"/>
        </w:rPr>
        <w:t>). Przepisy te zostały zmienione w latach 2005 i 2007, i obecnie stanowią, co następuje:</w:t>
      </w:r>
    </w:p>
    <w:p w:rsidR="003960A7" w:rsidRPr="0001543F" w:rsidRDefault="003960A7" w:rsidP="003960A7">
      <w:pPr>
        <w:pStyle w:val="JuQuot"/>
        <w:rPr>
          <w:lang w:val="pl-PL"/>
        </w:rPr>
      </w:pPr>
      <w:r w:rsidRPr="0001543F">
        <w:rPr>
          <w:lang w:val="pl-PL"/>
        </w:rPr>
        <w:t xml:space="preserve">„2. Adwokat z urzędu lub </w:t>
      </w:r>
      <w:r w:rsidR="00C90B52" w:rsidRPr="0001543F">
        <w:rPr>
          <w:lang w:val="pl-PL"/>
        </w:rPr>
        <w:t>adwokat zatrudniony prywatnie</w:t>
      </w:r>
      <w:r w:rsidRPr="0001543F">
        <w:rPr>
          <w:lang w:val="pl-PL"/>
        </w:rPr>
        <w:t xml:space="preserve"> w postępowaniu karnym nie może odwołać swojej zgody na reprezentowanie klienta, z wyjątkiem przypadków </w:t>
      </w:r>
      <w:r w:rsidR="008008C0" w:rsidRPr="0001543F">
        <w:rPr>
          <w:lang w:val="pl-PL"/>
        </w:rPr>
        <w:t>określonych</w:t>
      </w:r>
      <w:r w:rsidRPr="0001543F">
        <w:rPr>
          <w:lang w:val="pl-PL"/>
        </w:rPr>
        <w:t xml:space="preserve"> przez prawo, i będzie bronić klienta, w tym także </w:t>
      </w:r>
      <w:r w:rsidR="00F93C64" w:rsidRPr="0001543F">
        <w:rPr>
          <w:lang w:val="pl-PL"/>
        </w:rPr>
        <w:t>–</w:t>
      </w:r>
      <w:r w:rsidRPr="0001543F">
        <w:rPr>
          <w:lang w:val="pl-PL"/>
        </w:rPr>
        <w:t xml:space="preserve"> jeżeli będzie to konieczne </w:t>
      </w:r>
      <w:r w:rsidR="00F93C64" w:rsidRPr="0001543F">
        <w:rPr>
          <w:lang w:val="pl-PL"/>
        </w:rPr>
        <w:t>–</w:t>
      </w:r>
      <w:r w:rsidRPr="0001543F">
        <w:rPr>
          <w:lang w:val="pl-PL"/>
        </w:rPr>
        <w:t xml:space="preserve"> na drodze sporządzenia i złożenia od wyroku apelacji dotyczącej zastosowania przepisów prawa ...</w:t>
      </w:r>
    </w:p>
    <w:p w:rsidR="003960A7" w:rsidRPr="0001543F" w:rsidRDefault="003960A7" w:rsidP="003960A7">
      <w:pPr>
        <w:pStyle w:val="JuQuot"/>
        <w:rPr>
          <w:lang w:val="pl-PL"/>
        </w:rPr>
      </w:pPr>
      <w:r w:rsidRPr="0001543F">
        <w:rPr>
          <w:lang w:val="pl-PL"/>
        </w:rPr>
        <w:t xml:space="preserve">4. Adwokat złoży apelację od wyroku sądu pierwszej instancji (i) na wniosek klienta; (ii) jeżeli istnieją podstawy uchylenia takiego wyroku lub jego zmiany na korzyść klienta, lub (iii) co do zasady, jeżeli sąd wyrazi zdanie odmienne niż zdanie </w:t>
      </w:r>
      <w:r w:rsidR="008008C0" w:rsidRPr="0001543F">
        <w:rPr>
          <w:lang w:val="pl-PL"/>
        </w:rPr>
        <w:lastRenderedPageBreak/>
        <w:t>adwokata</w:t>
      </w:r>
      <w:r w:rsidRPr="0001543F">
        <w:rPr>
          <w:lang w:val="pl-PL"/>
        </w:rPr>
        <w:t xml:space="preserve"> i nałoży surowszą karę lub </w:t>
      </w:r>
      <w:r w:rsidR="00F93C64" w:rsidRPr="0001543F">
        <w:rPr>
          <w:lang w:val="pl-PL"/>
        </w:rPr>
        <w:t>skaże</w:t>
      </w:r>
      <w:r w:rsidRPr="0001543F">
        <w:rPr>
          <w:lang w:val="pl-PL"/>
        </w:rPr>
        <w:t xml:space="preserve"> osobę nieletnią na podstawie poważniejszego przestępstwa...”</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58</w:t>
      </w:r>
      <w:r w:rsidRPr="0001543F">
        <w:rPr>
          <w:lang w:val="pl-PL"/>
        </w:rPr>
        <w:fldChar w:fldCharType="end"/>
      </w:r>
      <w:r w:rsidR="00506AD7" w:rsidRPr="0001543F">
        <w:rPr>
          <w:lang w:val="pl-PL"/>
        </w:rPr>
        <w:t xml:space="preserve">.  Obrońcy wyznaczeni z urzędu w sprawach karnych otrzymują wynagrodzenie dzienne w wysokości od 275 do 1.100 rubli rosyjskich (RUB) z tytułu świadczonych usług, w tym spotkań z klientami na terenie jednostek penitencjarnych (zarządzenie Federalnych Ministerstw Sprawiedliwości i Finansów nr 199/87н z dnia 15 października 2007 r.; decyzje Prezydium Sądu Najwyższego Federacji Rosyjskiej z dnia 16 marca oraz </w:t>
      </w:r>
      <w:r w:rsidR="00F93C64" w:rsidRPr="0001543F">
        <w:rPr>
          <w:lang w:val="pl-PL"/>
        </w:rPr>
        <w:t xml:space="preserve">z dnia </w:t>
      </w:r>
      <w:r w:rsidR="00506AD7" w:rsidRPr="0001543F">
        <w:rPr>
          <w:lang w:val="pl-PL"/>
        </w:rPr>
        <w:t>20 lipca 2011 r.).</w:t>
      </w:r>
    </w:p>
    <w:p w:rsidR="003960A7" w:rsidRPr="0001543F" w:rsidRDefault="003960A7" w:rsidP="003960A7">
      <w:pPr>
        <w:pStyle w:val="JuHA"/>
        <w:rPr>
          <w:lang w:val="pl-PL"/>
        </w:rPr>
      </w:pPr>
      <w:r w:rsidRPr="0001543F">
        <w:rPr>
          <w:bCs/>
          <w:lang w:val="pl-PL"/>
        </w:rPr>
        <w:t>C.  Warunki tymczasowego aresztowania</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59</w:t>
      </w:r>
      <w:r w:rsidRPr="0001543F">
        <w:rPr>
          <w:lang w:val="pl-PL"/>
        </w:rPr>
        <w:fldChar w:fldCharType="end"/>
      </w:r>
      <w:r w:rsidR="00506AD7" w:rsidRPr="0001543F">
        <w:rPr>
          <w:lang w:val="pl-PL"/>
        </w:rPr>
        <w:t xml:space="preserve">.  Zgodnie z wewnętrznym regulaminem </w:t>
      </w:r>
      <w:r w:rsidR="0001543F" w:rsidRPr="0001543F">
        <w:rPr>
          <w:lang w:val="pl-PL"/>
        </w:rPr>
        <w:t xml:space="preserve">zakładu dla tymczasowo aresztowanych </w:t>
      </w:r>
      <w:r w:rsidR="00506AD7" w:rsidRPr="0001543F">
        <w:rPr>
          <w:lang w:val="pl-PL"/>
        </w:rPr>
        <w:t>(Rozdział 3) obowiązującym w przedmiotowym czasie, każdy osadzony powinien mieć do dyspozycji oddzielne łóżko (</w:t>
      </w:r>
      <w:r w:rsidR="008008C0" w:rsidRPr="0001543F">
        <w:rPr>
          <w:lang w:val="pl-PL"/>
        </w:rPr>
        <w:t>jeśli</w:t>
      </w:r>
      <w:r w:rsidR="00506AD7" w:rsidRPr="0001543F">
        <w:rPr>
          <w:lang w:val="pl-PL"/>
        </w:rPr>
        <w:t xml:space="preserve"> to możliwe), pościel i zastawę stołową. W każdej celi powinny znajdować się stół, krzesło, sedes i dostęp do wody z kranu. Osadzeni muszą mieć możliwość skorzystania z prysznica przynajmniej raz w tygodniu. Na każdego osadzonego przypadać musi powierzchnia celi o wymiarach czterech metrów kwadratowych (</w:t>
      </w:r>
      <w:r w:rsidR="00D6766B" w:rsidRPr="0001543F">
        <w:rPr>
          <w:lang w:val="pl-PL"/>
        </w:rPr>
        <w:t>Reguła</w:t>
      </w:r>
      <w:r w:rsidR="00506AD7" w:rsidRPr="0001543F">
        <w:rPr>
          <w:lang w:val="pl-PL"/>
        </w:rPr>
        <w:t xml:space="preserve"> 3.3. </w:t>
      </w:r>
      <w:r w:rsidR="008008C0" w:rsidRPr="0001543F">
        <w:rPr>
          <w:lang w:val="pl-PL"/>
        </w:rPr>
        <w:t>Regulaminu</w:t>
      </w:r>
      <w:r w:rsidR="00506AD7" w:rsidRPr="0001543F">
        <w:rPr>
          <w:lang w:val="pl-PL"/>
        </w:rPr>
        <w:t>).</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60</w:t>
      </w:r>
      <w:r w:rsidRPr="0001543F">
        <w:rPr>
          <w:lang w:val="pl-PL"/>
        </w:rPr>
        <w:fldChar w:fldCharType="end"/>
      </w:r>
      <w:r w:rsidR="00506AD7" w:rsidRPr="0001543F">
        <w:rPr>
          <w:lang w:val="pl-PL"/>
        </w:rPr>
        <w:t>.  Zgodnie z obowiązującym w przedmiotowym czasie wewnętrznym regulaminem dla aresztów śledczy</w:t>
      </w:r>
      <w:r w:rsidR="00C90B52" w:rsidRPr="0001543F">
        <w:rPr>
          <w:lang w:val="pl-PL"/>
        </w:rPr>
        <w:t>ch z 2000 r.</w:t>
      </w:r>
      <w:r w:rsidR="00506AD7" w:rsidRPr="0001543F">
        <w:rPr>
          <w:lang w:val="pl-PL"/>
        </w:rPr>
        <w:t>, każdy osadzony powinien otrzymać bezpłatnie łóżko, pościel, ręcznik i zastawę stołową. (Reguła 42). W każdej celi powinny znajdować się stół, krzesło, sedes i dostęp do wody z kranu (Reguła 44). Osadzeni otrzymują bezpłatnie trzy gorące</w:t>
      </w:r>
      <w:r w:rsidR="00F93C64" w:rsidRPr="0001543F">
        <w:rPr>
          <w:lang w:val="pl-PL"/>
        </w:rPr>
        <w:t xml:space="preserve"> posiłki dziennie (Reguła 46). </w:t>
      </w:r>
      <w:r w:rsidR="00506AD7" w:rsidRPr="0001543F">
        <w:rPr>
          <w:lang w:val="pl-PL"/>
        </w:rPr>
        <w:t>Osadzeni muszą mieć możliwość skorzystania z prysznica przynajmniej raz w tygodniu, a pościel ma być zmieniana raz w tygodniu (Reguła 47). Osadzeni powinni spędzać jedną godzinę dziennie na spacerze na dziedzińcu aresztu śledczego (Reguła 138).</w:t>
      </w:r>
    </w:p>
    <w:p w:rsidR="003960A7" w:rsidRPr="0001543F" w:rsidRDefault="003960A7" w:rsidP="003960A7">
      <w:pPr>
        <w:pStyle w:val="JuHA"/>
        <w:rPr>
          <w:lang w:val="pl-PL"/>
        </w:rPr>
      </w:pPr>
      <w:r w:rsidRPr="0001543F">
        <w:rPr>
          <w:bCs/>
          <w:lang w:val="pl-PL"/>
        </w:rPr>
        <w:t>D.  Korespondencja skazanych</w:t>
      </w:r>
    </w:p>
    <w:bookmarkStart w:id="19" w:name="A91CES"/>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61</w:t>
      </w:r>
      <w:r w:rsidRPr="0001543F">
        <w:rPr>
          <w:lang w:val="pl-PL"/>
        </w:rPr>
        <w:fldChar w:fldCharType="end"/>
      </w:r>
      <w:bookmarkEnd w:id="19"/>
      <w:r w:rsidR="00506AD7" w:rsidRPr="0001543F">
        <w:rPr>
          <w:lang w:val="pl-PL"/>
        </w:rPr>
        <w:t xml:space="preserve">.  Przepis art. 91 § 2 kodeksu karnego wykonawczego, zmienionego w dniu </w:t>
      </w:r>
      <w:r w:rsidR="00506AD7" w:rsidRPr="0001543F">
        <w:rPr>
          <w:rStyle w:val="hd--char"/>
          <w:lang w:val="pl-PL"/>
        </w:rPr>
        <w:t>8 grudnia 2003 r.,</w:t>
      </w:r>
      <w:r w:rsidR="00506AD7" w:rsidRPr="0001543F">
        <w:rPr>
          <w:lang w:val="pl-PL"/>
        </w:rPr>
        <w:t xml:space="preserve"> stanowi, że korespondencja osadzonych podlega monitorowaniu przez władze więzienne. Przedmiotem kontroli nie jest korespondencja z sądami, prokuraturą, </w:t>
      </w:r>
      <w:r w:rsidR="008008C0" w:rsidRPr="0001543F">
        <w:rPr>
          <w:lang w:val="pl-PL"/>
        </w:rPr>
        <w:t>funkcjonariuszami</w:t>
      </w:r>
      <w:r w:rsidR="00506AD7" w:rsidRPr="0001543F">
        <w:rPr>
          <w:lang w:val="pl-PL"/>
        </w:rPr>
        <w:t xml:space="preserve"> więziennymi, Rzecznikiem Praw Obywatelskich, publiczną radą nadzorującą oraz Europejskim Trybunałem. Korespondencja pomiędzy skazanym a obrońcą (</w:t>
      </w:r>
      <w:r w:rsidR="008008C0" w:rsidRPr="0001543F">
        <w:rPr>
          <w:lang w:val="pl-PL"/>
        </w:rPr>
        <w:t>bądź</w:t>
      </w:r>
      <w:r w:rsidR="00506AD7" w:rsidRPr="0001543F">
        <w:rPr>
          <w:lang w:val="pl-PL"/>
        </w:rPr>
        <w:t xml:space="preserve"> innym upoważnionym pełnomocnikiem) nie podlega kontroli z wyłączeniem </w:t>
      </w:r>
      <w:r w:rsidR="008008C0" w:rsidRPr="0001543F">
        <w:rPr>
          <w:lang w:val="pl-PL"/>
        </w:rPr>
        <w:t>przypadków</w:t>
      </w:r>
      <w:r w:rsidR="00506AD7" w:rsidRPr="0001543F">
        <w:rPr>
          <w:lang w:val="pl-PL"/>
        </w:rPr>
        <w:t>, gdy administracja ma podstawy, by sądzić, że korespondencja tak</w:t>
      </w:r>
      <w:r w:rsidR="00F93C64" w:rsidRPr="0001543F">
        <w:rPr>
          <w:lang w:val="pl-PL"/>
        </w:rPr>
        <w:t>a</w:t>
      </w:r>
      <w:r w:rsidR="00506AD7" w:rsidRPr="0001543F">
        <w:rPr>
          <w:lang w:val="pl-PL"/>
        </w:rPr>
        <w:t xml:space="preserve"> prowadzona jest w zamiarach </w:t>
      </w:r>
      <w:r w:rsidR="008008C0" w:rsidRPr="0001543F">
        <w:rPr>
          <w:lang w:val="pl-PL"/>
        </w:rPr>
        <w:t>przestępczych</w:t>
      </w:r>
      <w:r w:rsidR="00506AD7" w:rsidRPr="0001543F">
        <w:rPr>
          <w:lang w:val="pl-PL"/>
        </w:rPr>
        <w:t>.</w:t>
      </w:r>
      <w:r w:rsidR="002179BB" w:rsidRPr="0001543F">
        <w:rPr>
          <w:lang w:val="pl-PL"/>
        </w:rPr>
        <w:t xml:space="preserve"> </w:t>
      </w:r>
      <w:r w:rsidR="00506AD7" w:rsidRPr="0001543F">
        <w:rPr>
          <w:lang w:val="pl-PL"/>
        </w:rPr>
        <w:t xml:space="preserve">W takim przypadku korespondencja </w:t>
      </w:r>
      <w:r w:rsidR="008008C0" w:rsidRPr="0001543F">
        <w:rPr>
          <w:lang w:val="pl-PL"/>
        </w:rPr>
        <w:t>kontrolowana</w:t>
      </w:r>
      <w:r w:rsidR="00506AD7" w:rsidRPr="0001543F">
        <w:rPr>
          <w:lang w:val="pl-PL"/>
        </w:rPr>
        <w:t xml:space="preserve"> jest na podstawie uzasadnionej decyzji naczelnika więzienia lub jego </w:t>
      </w:r>
      <w:r w:rsidR="008008C0" w:rsidRPr="0001543F">
        <w:rPr>
          <w:lang w:val="pl-PL"/>
        </w:rPr>
        <w:t>zastępcy</w:t>
      </w:r>
      <w:r w:rsidR="00506AD7" w:rsidRPr="0001543F">
        <w:rPr>
          <w:lang w:val="pl-PL"/>
        </w:rPr>
        <w:t>.</w:t>
      </w:r>
    </w:p>
    <w:bookmarkStart w:id="20" w:name="p"/>
    <w:p w:rsidR="003960A7" w:rsidRPr="0001543F" w:rsidRDefault="00F559B3" w:rsidP="003960A7">
      <w:pPr>
        <w:pStyle w:val="JuPara"/>
        <w:rPr>
          <w:lang w:val="pl-PL"/>
        </w:rPr>
      </w:pPr>
      <w:r w:rsidRPr="0001543F">
        <w:rPr>
          <w:lang w:val="pl-PL"/>
        </w:rPr>
        <w:lastRenderedPageBreak/>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62</w:t>
      </w:r>
      <w:r w:rsidRPr="0001543F">
        <w:rPr>
          <w:lang w:val="pl-PL"/>
        </w:rPr>
        <w:fldChar w:fldCharType="end"/>
      </w:r>
      <w:bookmarkEnd w:id="20"/>
      <w:r w:rsidR="00506AD7" w:rsidRPr="0001543F">
        <w:rPr>
          <w:lang w:val="pl-PL"/>
        </w:rPr>
        <w:t xml:space="preserve">.  Zgodnie z </w:t>
      </w:r>
      <w:r w:rsidR="008008C0" w:rsidRPr="0001543F">
        <w:rPr>
          <w:lang w:val="pl-PL"/>
        </w:rPr>
        <w:t>Wewnętrznym</w:t>
      </w:r>
      <w:r w:rsidR="00506AD7" w:rsidRPr="0001543F">
        <w:rPr>
          <w:lang w:val="pl-PL"/>
        </w:rPr>
        <w:t xml:space="preserve"> Regulaminem Więziennym z 2001 r.,</w:t>
      </w:r>
      <w:r w:rsidR="00F93C64" w:rsidRPr="0001543F">
        <w:rPr>
          <w:lang w:val="pl-PL"/>
        </w:rPr>
        <w:t xml:space="preserve"> zmienionym w</w:t>
      </w:r>
      <w:r w:rsidR="00506AD7" w:rsidRPr="0001543F">
        <w:rPr>
          <w:lang w:val="pl-PL"/>
        </w:rPr>
        <w:t xml:space="preserve"> 2004</w:t>
      </w:r>
      <w:r w:rsidR="00F93C64" w:rsidRPr="0001543F">
        <w:rPr>
          <w:lang w:val="pl-PL"/>
        </w:rPr>
        <w:t xml:space="preserve"> r.</w:t>
      </w:r>
      <w:r w:rsidR="00506AD7" w:rsidRPr="0001543F">
        <w:rPr>
          <w:lang w:val="pl-PL"/>
        </w:rPr>
        <w:t xml:space="preserve">, całość korespondencji osadzonych miała być </w:t>
      </w:r>
      <w:r w:rsidR="008008C0" w:rsidRPr="0001543F">
        <w:rPr>
          <w:lang w:val="pl-PL"/>
        </w:rPr>
        <w:t>obsługiwana</w:t>
      </w:r>
      <w:r w:rsidR="00506AD7" w:rsidRPr="0001543F">
        <w:rPr>
          <w:lang w:val="pl-PL"/>
        </w:rPr>
        <w:t xml:space="preserve"> przez władze więzienia. Korespondencja miała być umieszczana w skrzynkach pocztowych </w:t>
      </w:r>
      <w:r w:rsidR="008008C0" w:rsidRPr="0001543F">
        <w:rPr>
          <w:lang w:val="pl-PL"/>
        </w:rPr>
        <w:t>bądź</w:t>
      </w:r>
      <w:r w:rsidR="00506AD7" w:rsidRPr="0001543F">
        <w:rPr>
          <w:lang w:val="pl-PL"/>
        </w:rPr>
        <w:t xml:space="preserve"> przekazywana do rąk pracowników w niezaklejonych kopertach (Rozdział 12). W dniu 3 listopada 2005 r. przyjęty został nowy Regulamin. Zgodnie z Regułą 50 osadzeni mają obowiązek umieszczania listów w niezaklejonych kopertach w </w:t>
      </w:r>
      <w:r w:rsidR="008008C0" w:rsidRPr="0001543F">
        <w:rPr>
          <w:lang w:val="pl-PL"/>
        </w:rPr>
        <w:t>skrzynkach</w:t>
      </w:r>
      <w:r w:rsidR="00506AD7" w:rsidRPr="0001543F">
        <w:rPr>
          <w:lang w:val="pl-PL"/>
        </w:rPr>
        <w:t xml:space="preserve"> pocztowych lub przekazywania do rąk </w:t>
      </w:r>
      <w:r w:rsidR="008008C0" w:rsidRPr="0001543F">
        <w:rPr>
          <w:lang w:val="pl-PL"/>
        </w:rPr>
        <w:t>pracowników</w:t>
      </w:r>
      <w:r w:rsidR="00506AD7" w:rsidRPr="0001543F">
        <w:rPr>
          <w:lang w:val="pl-PL"/>
        </w:rPr>
        <w:t xml:space="preserve"> więzienia, z wyłączeniem korespondencji </w:t>
      </w:r>
      <w:r w:rsidR="008008C0" w:rsidRPr="0001543F">
        <w:rPr>
          <w:lang w:val="pl-PL"/>
        </w:rPr>
        <w:t>niepodlegającej</w:t>
      </w:r>
      <w:r w:rsidR="00506AD7" w:rsidRPr="0001543F">
        <w:rPr>
          <w:lang w:val="pl-PL"/>
        </w:rPr>
        <w:t xml:space="preserve"> monitorowaniu.</w:t>
      </w:r>
    </w:p>
    <w:p w:rsidR="003960A7" w:rsidRPr="0001543F" w:rsidRDefault="003960A7" w:rsidP="003960A7">
      <w:pPr>
        <w:pStyle w:val="JuHHead"/>
        <w:rPr>
          <w:lang w:val="pl-PL"/>
        </w:rPr>
      </w:pPr>
      <w:r w:rsidRPr="0001543F">
        <w:rPr>
          <w:lang w:val="pl-PL"/>
        </w:rPr>
        <w:t>PRAWO</w:t>
      </w:r>
    </w:p>
    <w:p w:rsidR="003960A7" w:rsidRPr="0001543F" w:rsidRDefault="003960A7" w:rsidP="003960A7">
      <w:pPr>
        <w:pStyle w:val="JuHIRoman"/>
        <w:rPr>
          <w:lang w:val="pl-PL"/>
        </w:rPr>
      </w:pPr>
      <w:r w:rsidRPr="0001543F">
        <w:rPr>
          <w:lang w:val="pl-PL"/>
        </w:rPr>
        <w:t>I.  ZARZUTY NARUSZENIA ARTYKUŁU 3 I ARTYKUŁU 13 KONWENCJI</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63</w:t>
      </w:r>
      <w:r w:rsidRPr="0001543F">
        <w:rPr>
          <w:lang w:val="pl-PL"/>
        </w:rPr>
        <w:fldChar w:fldCharType="end"/>
      </w:r>
      <w:r w:rsidR="00506AD7" w:rsidRPr="0001543F">
        <w:rPr>
          <w:lang w:val="pl-PL"/>
        </w:rPr>
        <w:t xml:space="preserve">.  Skarżący podniósł zarzut naruszenia artykułu 3 Konwencji w tym względzie, że od marca 2001 do października 2003 r. przebywał w bardzo </w:t>
      </w:r>
      <w:r w:rsidR="008008C0" w:rsidRPr="0001543F">
        <w:rPr>
          <w:lang w:val="pl-PL"/>
        </w:rPr>
        <w:t>ciężkich</w:t>
      </w:r>
      <w:r w:rsidR="00506AD7" w:rsidRPr="0001543F">
        <w:rPr>
          <w:lang w:val="pl-PL"/>
        </w:rPr>
        <w:t xml:space="preserve"> warunkach w </w:t>
      </w:r>
      <w:r w:rsidR="0001543F" w:rsidRPr="0001543F">
        <w:rPr>
          <w:lang w:val="pl-PL"/>
        </w:rPr>
        <w:t xml:space="preserve">zakładzie dla tymczasowo aresztowanych dzielnicy </w:t>
      </w:r>
      <w:r w:rsidR="00506AD7" w:rsidRPr="0001543F">
        <w:rPr>
          <w:lang w:val="pl-PL"/>
        </w:rPr>
        <w:t>Kurc</w:t>
      </w:r>
      <w:r w:rsidR="0001543F" w:rsidRPr="0001543F">
        <w:rPr>
          <w:lang w:val="pl-PL"/>
        </w:rPr>
        <w:t>z</w:t>
      </w:r>
      <w:r w:rsidR="00506AD7" w:rsidRPr="0001543F">
        <w:rPr>
          <w:lang w:val="pl-PL"/>
        </w:rPr>
        <w:t>ato</w:t>
      </w:r>
      <w:r w:rsidR="0001543F" w:rsidRPr="0001543F">
        <w:rPr>
          <w:lang w:val="pl-PL"/>
        </w:rPr>
        <w:t xml:space="preserve">wskiej </w:t>
      </w:r>
      <w:r w:rsidR="00506AD7" w:rsidRPr="0001543F">
        <w:rPr>
          <w:lang w:val="pl-PL"/>
        </w:rPr>
        <w:t>i areszcie śledczym w Czelabińsku nr 74/1.</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64</w:t>
      </w:r>
      <w:r w:rsidRPr="0001543F">
        <w:rPr>
          <w:lang w:val="pl-PL"/>
        </w:rPr>
        <w:fldChar w:fldCharType="end"/>
      </w:r>
      <w:r w:rsidR="00506AD7" w:rsidRPr="0001543F">
        <w:rPr>
          <w:lang w:val="pl-PL"/>
        </w:rPr>
        <w:t>.  Artykuł 3 Konwencji stanowi, co następuje:</w:t>
      </w:r>
    </w:p>
    <w:p w:rsidR="003960A7" w:rsidRPr="0001543F" w:rsidRDefault="003960A7" w:rsidP="003960A7">
      <w:pPr>
        <w:pStyle w:val="JuQuot"/>
        <w:rPr>
          <w:lang w:val="pl-PL"/>
        </w:rPr>
      </w:pPr>
      <w:r w:rsidRPr="0001543F">
        <w:rPr>
          <w:lang w:val="pl-PL"/>
        </w:rPr>
        <w:t>„Nikt nie może być poddany torturom ani nieludzkiemu lub poniżającemu traktowaniu albo karaniu.”</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65</w:t>
      </w:r>
      <w:r w:rsidRPr="0001543F">
        <w:rPr>
          <w:lang w:val="pl-PL"/>
        </w:rPr>
        <w:fldChar w:fldCharType="end"/>
      </w:r>
      <w:r w:rsidR="00506AD7" w:rsidRPr="0001543F">
        <w:rPr>
          <w:lang w:val="pl-PL"/>
        </w:rPr>
        <w:t xml:space="preserve">.  Skarżący </w:t>
      </w:r>
      <w:r w:rsidR="008008C0" w:rsidRPr="0001543F">
        <w:rPr>
          <w:lang w:val="pl-PL"/>
        </w:rPr>
        <w:t>oświadczył</w:t>
      </w:r>
      <w:r w:rsidR="00506AD7" w:rsidRPr="0001543F">
        <w:rPr>
          <w:lang w:val="pl-PL"/>
        </w:rPr>
        <w:t xml:space="preserve"> także, </w:t>
      </w:r>
      <w:r w:rsidR="008008C0" w:rsidRPr="0001543F">
        <w:rPr>
          <w:lang w:val="pl-PL"/>
        </w:rPr>
        <w:t>iż</w:t>
      </w:r>
      <w:r w:rsidR="00506AD7" w:rsidRPr="0001543F">
        <w:rPr>
          <w:lang w:val="pl-PL"/>
        </w:rPr>
        <w:t xml:space="preserve"> nie przysługiwały mu skuteczne środki odwoławcze w tym zakresie, co stanowił</w:t>
      </w:r>
      <w:r w:rsidR="00F93C64" w:rsidRPr="0001543F">
        <w:rPr>
          <w:lang w:val="pl-PL"/>
        </w:rPr>
        <w:t>o</w:t>
      </w:r>
      <w:r w:rsidR="00506AD7" w:rsidRPr="0001543F">
        <w:rPr>
          <w:lang w:val="pl-PL"/>
        </w:rPr>
        <w:t xml:space="preserve"> naruszenie artykułu 13 Konwencji:</w:t>
      </w:r>
    </w:p>
    <w:p w:rsidR="003960A7" w:rsidRPr="0001543F" w:rsidRDefault="003960A7" w:rsidP="003960A7">
      <w:pPr>
        <w:pStyle w:val="JuQuot"/>
        <w:rPr>
          <w:lang w:val="pl-PL"/>
        </w:rPr>
      </w:pPr>
      <w:r w:rsidRPr="0001543F">
        <w:rPr>
          <w:lang w:val="pl-PL"/>
        </w:rPr>
        <w:t>„Każdy czyje prawa i wolności zawarte w niniejszej Konwencji zostały naruszone, ma prawo do skutecznego środka odwoławczego do właściwego organu państwowego także wówczas, gdy naruszenia dokonały osoby wykonujące swoje funkcje urzędowe.</w:t>
      </w:r>
      <w:r w:rsidR="008008C0" w:rsidRPr="0001543F">
        <w:rPr>
          <w:lang w:val="pl-PL"/>
        </w:rPr>
        <w:t>”</w:t>
      </w:r>
    </w:p>
    <w:p w:rsidR="003960A7" w:rsidRPr="0001543F" w:rsidRDefault="003960A7" w:rsidP="003960A7">
      <w:pPr>
        <w:pStyle w:val="JuHA"/>
        <w:rPr>
          <w:lang w:val="pl-PL"/>
        </w:rPr>
      </w:pPr>
      <w:r w:rsidRPr="0001543F">
        <w:rPr>
          <w:bCs/>
          <w:lang w:val="pl-PL"/>
        </w:rPr>
        <w:t>A.  Oświadczenia stron</w:t>
      </w:r>
    </w:p>
    <w:p w:rsidR="003960A7" w:rsidRPr="0001543F" w:rsidRDefault="003960A7" w:rsidP="003960A7">
      <w:pPr>
        <w:pStyle w:val="JuH1"/>
        <w:rPr>
          <w:lang w:val="pl-PL"/>
        </w:rPr>
      </w:pPr>
      <w:r w:rsidRPr="0001543F">
        <w:rPr>
          <w:iCs/>
          <w:lang w:val="pl-PL"/>
        </w:rPr>
        <w:t>1.  Rząd</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66</w:t>
      </w:r>
      <w:r w:rsidRPr="0001543F">
        <w:rPr>
          <w:lang w:val="pl-PL"/>
        </w:rPr>
        <w:fldChar w:fldCharType="end"/>
      </w:r>
      <w:r w:rsidR="00506AD7" w:rsidRPr="0001543F">
        <w:rPr>
          <w:lang w:val="pl-PL"/>
        </w:rPr>
        <w:t xml:space="preserve">.  Rząd oświadczył, że skarżący przebywał w areszcie śledczym w marcu 2001 r., natomiast skarga do Trybunału </w:t>
      </w:r>
      <w:r w:rsidR="008008C0" w:rsidRPr="0001543F">
        <w:rPr>
          <w:lang w:val="pl-PL"/>
        </w:rPr>
        <w:t>została</w:t>
      </w:r>
      <w:r w:rsidR="00506AD7" w:rsidRPr="0001543F">
        <w:rPr>
          <w:lang w:val="pl-PL"/>
        </w:rPr>
        <w:t xml:space="preserve"> wniesiona w roku 2003. Zatem skarżący nie spełnił wy</w:t>
      </w:r>
      <w:r w:rsidR="00C90B52" w:rsidRPr="0001543F">
        <w:rPr>
          <w:lang w:val="pl-PL"/>
        </w:rPr>
        <w:t xml:space="preserve">mogów zasady sześciu miesięcy. </w:t>
      </w:r>
      <w:r w:rsidR="0001543F" w:rsidRPr="0001543F">
        <w:rPr>
          <w:lang w:val="pl-PL"/>
        </w:rPr>
        <w:t xml:space="preserve">Zakład dla tymczasowo aresztowanych </w:t>
      </w:r>
      <w:r w:rsidR="00C90B52" w:rsidRPr="0001543F">
        <w:rPr>
          <w:lang w:val="pl-PL"/>
        </w:rPr>
        <w:t xml:space="preserve">i areszt śledczy </w:t>
      </w:r>
      <w:r w:rsidR="00506AD7" w:rsidRPr="0001543F">
        <w:rPr>
          <w:lang w:val="pl-PL"/>
        </w:rPr>
        <w:t xml:space="preserve">podlegały innym władzom, a zatem nie było podstaw, by uznać, że osadzenie skarżącego w obu jednostkach stanowiło sytuację ciągłą. </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67</w:t>
      </w:r>
      <w:r w:rsidRPr="0001543F">
        <w:rPr>
          <w:lang w:val="pl-PL"/>
        </w:rPr>
        <w:fldChar w:fldCharType="end"/>
      </w:r>
      <w:r w:rsidR="00506AD7" w:rsidRPr="0001543F">
        <w:rPr>
          <w:lang w:val="pl-PL"/>
        </w:rPr>
        <w:t xml:space="preserve">.  Rząd stwierdził, że skarżący nie składał żadnych skarg dotyczących warunków osadzenia w </w:t>
      </w:r>
      <w:r w:rsidR="0001543F" w:rsidRPr="0001543F">
        <w:rPr>
          <w:lang w:val="pl-PL"/>
        </w:rPr>
        <w:t>zakładzie dla tymczasowo aresztowanych</w:t>
      </w:r>
      <w:r w:rsidR="00506AD7" w:rsidRPr="0001543F">
        <w:rPr>
          <w:lang w:val="pl-PL"/>
        </w:rPr>
        <w:t xml:space="preserve">. Skarżący </w:t>
      </w:r>
      <w:r w:rsidR="00506AD7" w:rsidRPr="0001543F">
        <w:rPr>
          <w:lang w:val="pl-PL"/>
        </w:rPr>
        <w:lastRenderedPageBreak/>
        <w:t xml:space="preserve">nie zakwestionował odpowiedzi władz dotyczących długotrwałego i jego </w:t>
      </w:r>
      <w:r w:rsidR="008008C0" w:rsidRPr="0001543F">
        <w:rPr>
          <w:lang w:val="pl-PL"/>
        </w:rPr>
        <w:t>zdaniem</w:t>
      </w:r>
      <w:r w:rsidR="00506AD7" w:rsidRPr="0001543F">
        <w:rPr>
          <w:lang w:val="pl-PL"/>
        </w:rPr>
        <w:t xml:space="preserve"> niezgodnego z prawem osadzenia w tejże jednostce. Podobnie nie złożył do </w:t>
      </w:r>
      <w:r w:rsidR="00370411">
        <w:rPr>
          <w:lang w:val="pl-PL"/>
        </w:rPr>
        <w:t xml:space="preserve">właściwej prokuratury </w:t>
      </w:r>
      <w:r w:rsidR="00506AD7" w:rsidRPr="0001543F">
        <w:rPr>
          <w:lang w:val="pl-PL"/>
        </w:rPr>
        <w:t xml:space="preserve">odwołania od decyzji z dnia 10 września 2001 r. dotyczącej odmowy wszczęcia postępowania karnego w związku z zarzutem niezgodnego z prawem osadzenia w </w:t>
      </w:r>
      <w:r w:rsidR="0001543F" w:rsidRPr="0001543F">
        <w:rPr>
          <w:lang w:val="pl-PL"/>
        </w:rPr>
        <w:t>zakładzie dla tymczasowo aresztowanych</w:t>
      </w:r>
      <w:r w:rsidR="00506AD7" w:rsidRPr="0001543F">
        <w:rPr>
          <w:lang w:val="pl-PL"/>
        </w:rPr>
        <w:t xml:space="preserve">. Następnie Rząd przyznał, że skarżący składał skargi dotyczące warunków osadzenia do </w:t>
      </w:r>
      <w:r w:rsidR="00370411">
        <w:rPr>
          <w:lang w:val="pl-PL"/>
        </w:rPr>
        <w:t xml:space="preserve">właściwej prokuratury. </w:t>
      </w:r>
      <w:r w:rsidR="00506AD7" w:rsidRPr="0001543F">
        <w:rPr>
          <w:lang w:val="pl-PL"/>
        </w:rPr>
        <w:t>Skarżący nie składał skarg dotyczących warunków osadzenia w</w:t>
      </w:r>
      <w:r w:rsidR="00D14B5D" w:rsidRPr="0001543F">
        <w:rPr>
          <w:lang w:val="pl-PL"/>
        </w:rPr>
        <w:t xml:space="preserve"> areszcie śledczym</w:t>
      </w:r>
      <w:r w:rsidR="00506AD7" w:rsidRPr="0001543F">
        <w:rPr>
          <w:lang w:val="pl-PL"/>
        </w:rPr>
        <w:t>.</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68</w:t>
      </w:r>
      <w:r w:rsidRPr="0001543F">
        <w:rPr>
          <w:lang w:val="pl-PL"/>
        </w:rPr>
        <w:fldChar w:fldCharType="end"/>
      </w:r>
      <w:r w:rsidR="00506AD7" w:rsidRPr="0001543F">
        <w:rPr>
          <w:lang w:val="pl-PL"/>
        </w:rPr>
        <w:t>.  W odniesieniu do zarzutu naruszenia artykułu 13 Konwencji Rząd stwierdził, że skarżący miał szansę powodzenia w przy</w:t>
      </w:r>
      <w:r w:rsidR="00F93C64" w:rsidRPr="0001543F">
        <w:rPr>
          <w:lang w:val="pl-PL"/>
        </w:rPr>
        <w:t xml:space="preserve">padku złożenia skargi cywilnej dotyczącej </w:t>
      </w:r>
      <w:r w:rsidR="00506AD7" w:rsidRPr="0001543F">
        <w:rPr>
          <w:lang w:val="pl-PL"/>
        </w:rPr>
        <w:t>nieodpowiednich warunków osadzenia. Zgodnie z prawem rosyjskim uprawnienia do podjęcia działań w tej kwestii posiadała także prokuratura.</w:t>
      </w:r>
    </w:p>
    <w:p w:rsidR="003960A7" w:rsidRPr="0001543F" w:rsidRDefault="00F559B3" w:rsidP="003960A7">
      <w:pPr>
        <w:pStyle w:val="JuPara"/>
        <w:rPr>
          <w:u w:val="single"/>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69</w:t>
      </w:r>
      <w:r w:rsidRPr="0001543F">
        <w:rPr>
          <w:lang w:val="pl-PL"/>
        </w:rPr>
        <w:fldChar w:fldCharType="end"/>
      </w:r>
      <w:r w:rsidR="00506AD7" w:rsidRPr="0001543F">
        <w:rPr>
          <w:lang w:val="pl-PL"/>
        </w:rPr>
        <w:t>.  Rząd przyznał, że w pewnych okresach osadzenia w areszcie śledczym ustawowy wymóg powierzchni czterech metrów na jednego osadzonego nie b</w:t>
      </w:r>
      <w:r w:rsidR="00F93C64" w:rsidRPr="0001543F">
        <w:rPr>
          <w:lang w:val="pl-PL"/>
        </w:rPr>
        <w:t>ył spełniony, p</w:t>
      </w:r>
      <w:r w:rsidR="00506AD7" w:rsidRPr="0001543F">
        <w:rPr>
          <w:lang w:val="pl-PL"/>
        </w:rPr>
        <w:t xml:space="preserve">rzy czym fakt ten nie musiał stanowić naruszenia artykułu 13 Konwencji. Pozostałe istotne warunki osadzenia (osobne łóżko, wentylacja, dostęp do naturalnego </w:t>
      </w:r>
      <w:r w:rsidR="00D14B5D" w:rsidRPr="0001543F">
        <w:rPr>
          <w:lang w:val="pl-PL"/>
        </w:rPr>
        <w:t>światła</w:t>
      </w:r>
      <w:r w:rsidR="00506AD7" w:rsidRPr="0001543F">
        <w:rPr>
          <w:lang w:val="pl-PL"/>
        </w:rPr>
        <w:t xml:space="preserve"> oraz wyżywienie) były zgodne z wymogami przepisów</w:t>
      </w:r>
      <w:r w:rsidR="00F93C64" w:rsidRPr="0001543F">
        <w:rPr>
          <w:lang w:val="pl-PL"/>
        </w:rPr>
        <w:t xml:space="preserve"> </w:t>
      </w:r>
      <w:r w:rsidR="00506AD7" w:rsidRPr="0001543F">
        <w:rPr>
          <w:lang w:val="pl-PL"/>
        </w:rPr>
        <w:t>prawa rosyjskiego (</w:t>
      </w:r>
      <w:r w:rsidR="00D14B5D" w:rsidRPr="0001543F">
        <w:rPr>
          <w:lang w:val="pl-PL"/>
        </w:rPr>
        <w:t>informacje</w:t>
      </w:r>
      <w:r w:rsidR="00506AD7" w:rsidRPr="0001543F">
        <w:rPr>
          <w:lang w:val="pl-PL"/>
        </w:rPr>
        <w:t xml:space="preserve"> szczegółowe, zob. par. </w:t>
      </w:r>
      <w:r w:rsidRPr="0001543F">
        <w:rPr>
          <w:lang w:val="pl-PL"/>
        </w:rPr>
        <w:fldChar w:fldCharType="begin"/>
      </w:r>
      <w:r w:rsidR="00506AD7" w:rsidRPr="0001543F">
        <w:rPr>
          <w:lang w:val="pl-PL"/>
        </w:rPr>
        <w:instrText xml:space="preserve"> REF  v \h </w:instrText>
      </w:r>
      <w:r w:rsidRPr="0001543F">
        <w:rPr>
          <w:lang w:val="pl-PL"/>
        </w:rPr>
      </w:r>
      <w:r w:rsidRPr="0001543F">
        <w:rPr>
          <w:lang w:val="pl-PL"/>
        </w:rPr>
        <w:fldChar w:fldCharType="separate"/>
      </w:r>
      <w:r w:rsidR="00746F08" w:rsidRPr="0001543F">
        <w:rPr>
          <w:noProof/>
          <w:lang w:val="pl-PL"/>
        </w:rPr>
        <w:t>40</w:t>
      </w:r>
      <w:r w:rsidRPr="0001543F">
        <w:rPr>
          <w:lang w:val="pl-PL"/>
        </w:rPr>
        <w:fldChar w:fldCharType="end"/>
      </w:r>
      <w:r w:rsidR="00506AD7" w:rsidRPr="0001543F">
        <w:rPr>
          <w:lang w:val="pl-PL"/>
        </w:rPr>
        <w:t>-</w:t>
      </w:r>
      <w:r w:rsidRPr="0001543F">
        <w:rPr>
          <w:lang w:val="pl-PL"/>
        </w:rPr>
        <w:fldChar w:fldCharType="begin"/>
      </w:r>
      <w:r w:rsidR="00506AD7" w:rsidRPr="0001543F">
        <w:rPr>
          <w:lang w:val="pl-PL"/>
        </w:rPr>
        <w:instrText xml:space="preserve"> REF  GA3last \h </w:instrText>
      </w:r>
      <w:r w:rsidRPr="0001543F">
        <w:rPr>
          <w:lang w:val="pl-PL"/>
        </w:rPr>
      </w:r>
      <w:r w:rsidRPr="0001543F">
        <w:rPr>
          <w:lang w:val="pl-PL"/>
        </w:rPr>
        <w:fldChar w:fldCharType="separate"/>
      </w:r>
      <w:r w:rsidR="00746F08" w:rsidRPr="0001543F">
        <w:rPr>
          <w:noProof/>
          <w:lang w:val="pl-PL"/>
        </w:rPr>
        <w:t>42</w:t>
      </w:r>
      <w:r w:rsidRPr="0001543F">
        <w:rPr>
          <w:lang w:val="pl-PL"/>
        </w:rPr>
        <w:fldChar w:fldCharType="end"/>
      </w:r>
      <w:r w:rsidR="00506AD7" w:rsidRPr="0001543F">
        <w:rPr>
          <w:lang w:val="pl-PL"/>
        </w:rPr>
        <w:t xml:space="preserve"> powyżej).</w:t>
      </w:r>
    </w:p>
    <w:p w:rsidR="003960A7" w:rsidRPr="0001543F" w:rsidRDefault="003960A7" w:rsidP="003960A7">
      <w:pPr>
        <w:pStyle w:val="JuH1"/>
        <w:rPr>
          <w:lang w:val="pl-PL"/>
        </w:rPr>
      </w:pPr>
      <w:r w:rsidRPr="0001543F">
        <w:rPr>
          <w:iCs/>
          <w:lang w:val="pl-PL"/>
        </w:rPr>
        <w:t>2.  Skarżący</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70</w:t>
      </w:r>
      <w:r w:rsidRPr="0001543F">
        <w:rPr>
          <w:lang w:val="pl-PL"/>
        </w:rPr>
        <w:fldChar w:fldCharType="end"/>
      </w:r>
      <w:r w:rsidR="00506AD7" w:rsidRPr="0001543F">
        <w:rPr>
          <w:lang w:val="pl-PL"/>
        </w:rPr>
        <w:t xml:space="preserve">.  Skarżący oświadczył, że warunki osadzenia w obu jednostkach były równie złe i z tego względu należy traktować sytuację jako ciągłą. Rząd nie przedstawił dowodów dotyczących </w:t>
      </w:r>
      <w:r w:rsidR="0001543F" w:rsidRPr="0001543F">
        <w:rPr>
          <w:lang w:val="pl-PL"/>
        </w:rPr>
        <w:t xml:space="preserve">zakładu dla tymczasowo aresztowanych </w:t>
      </w:r>
      <w:r w:rsidR="00506AD7" w:rsidRPr="0001543F">
        <w:rPr>
          <w:lang w:val="pl-PL"/>
        </w:rPr>
        <w:t xml:space="preserve">i nie powinien </w:t>
      </w:r>
      <w:r w:rsidR="00D14B5D" w:rsidRPr="0001543F">
        <w:rPr>
          <w:lang w:val="pl-PL"/>
        </w:rPr>
        <w:t>zostać</w:t>
      </w:r>
      <w:r w:rsidR="00506AD7" w:rsidRPr="0001543F">
        <w:rPr>
          <w:lang w:val="pl-PL"/>
        </w:rPr>
        <w:t xml:space="preserve"> zwolniony z odpowiedzialności wyłącznie ze względu na upływ okresu przechowywania odnośnej </w:t>
      </w:r>
      <w:r w:rsidR="00D14B5D" w:rsidRPr="0001543F">
        <w:rPr>
          <w:lang w:val="pl-PL"/>
        </w:rPr>
        <w:t>ewidencji</w:t>
      </w:r>
      <w:r w:rsidR="00506AD7" w:rsidRPr="0001543F">
        <w:rPr>
          <w:lang w:val="pl-PL"/>
        </w:rPr>
        <w:t xml:space="preserve"> i </w:t>
      </w:r>
      <w:r w:rsidR="00D14B5D" w:rsidRPr="0001543F">
        <w:rPr>
          <w:lang w:val="pl-PL"/>
        </w:rPr>
        <w:t>dzienników</w:t>
      </w:r>
      <w:r w:rsidR="00506AD7" w:rsidRPr="0001543F">
        <w:rPr>
          <w:lang w:val="pl-PL"/>
        </w:rPr>
        <w:t>.</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71</w:t>
      </w:r>
      <w:r w:rsidRPr="0001543F">
        <w:rPr>
          <w:lang w:val="pl-PL"/>
        </w:rPr>
        <w:fldChar w:fldCharType="end"/>
      </w:r>
      <w:r w:rsidR="00506AD7" w:rsidRPr="0001543F">
        <w:rPr>
          <w:lang w:val="pl-PL"/>
        </w:rPr>
        <w:t xml:space="preserve">.  Skarżący stwierdził, że </w:t>
      </w:r>
      <w:r w:rsidR="00D14B5D" w:rsidRPr="0001543F">
        <w:rPr>
          <w:lang w:val="pl-PL"/>
        </w:rPr>
        <w:t>prokuratura</w:t>
      </w:r>
      <w:r w:rsidR="00506AD7" w:rsidRPr="0001543F">
        <w:rPr>
          <w:lang w:val="pl-PL"/>
        </w:rPr>
        <w:t xml:space="preserve"> okręgowa nie podjęła działań w związku z jego skargami dotyczącymi warunków osadzenia w </w:t>
      </w:r>
      <w:r w:rsidR="0001543F" w:rsidRPr="0001543F">
        <w:rPr>
          <w:lang w:val="pl-PL"/>
        </w:rPr>
        <w:t>zakładzie dla tymczasowo aresztowanych</w:t>
      </w:r>
      <w:r w:rsidR="00506AD7" w:rsidRPr="0001543F">
        <w:rPr>
          <w:lang w:val="pl-PL"/>
        </w:rPr>
        <w:t xml:space="preserve">. Pozostałe skargi nie zostały przekazane pracownikom </w:t>
      </w:r>
      <w:r w:rsidR="00D14B5D" w:rsidRPr="0001543F">
        <w:rPr>
          <w:lang w:val="pl-PL"/>
        </w:rPr>
        <w:t>jednostki</w:t>
      </w:r>
      <w:r w:rsidR="00506AD7" w:rsidRPr="0001543F">
        <w:rPr>
          <w:lang w:val="pl-PL"/>
        </w:rPr>
        <w:t xml:space="preserve"> penitencjarnej.</w:t>
      </w:r>
    </w:p>
    <w:p w:rsidR="003960A7" w:rsidRPr="0001543F" w:rsidRDefault="003960A7" w:rsidP="003960A7">
      <w:pPr>
        <w:pStyle w:val="JuHA"/>
        <w:tabs>
          <w:tab w:val="clear" w:pos="584"/>
        </w:tabs>
        <w:ind w:left="232" w:firstLine="0"/>
        <w:rPr>
          <w:lang w:val="pl-PL"/>
        </w:rPr>
      </w:pPr>
      <w:r w:rsidRPr="0001543F">
        <w:rPr>
          <w:bCs/>
          <w:lang w:val="pl-PL"/>
        </w:rPr>
        <w:t>B.  Ocena Trybunału</w:t>
      </w:r>
    </w:p>
    <w:p w:rsidR="003960A7" w:rsidRPr="0001543F" w:rsidRDefault="003960A7" w:rsidP="003960A7">
      <w:pPr>
        <w:pStyle w:val="JuH1"/>
        <w:rPr>
          <w:lang w:val="pl-PL"/>
        </w:rPr>
      </w:pPr>
      <w:r w:rsidRPr="0001543F">
        <w:rPr>
          <w:iCs/>
          <w:lang w:val="pl-PL"/>
        </w:rPr>
        <w:t>1.  Dopuszczalność</w:t>
      </w:r>
    </w:p>
    <w:p w:rsidR="003960A7" w:rsidRPr="0001543F" w:rsidRDefault="00F559B3" w:rsidP="003960A7">
      <w:pPr>
        <w:pStyle w:val="JuPara"/>
        <w:rPr>
          <w:lang w:val="pl-PL"/>
        </w:rPr>
      </w:pPr>
      <w:r w:rsidRPr="0001543F">
        <w:rPr>
          <w:snapToGrid w:val="0"/>
          <w:lang w:val="pl-PL"/>
        </w:rPr>
        <w:fldChar w:fldCharType="begin"/>
      </w:r>
      <w:r w:rsidR="00506AD7" w:rsidRPr="0001543F">
        <w:rPr>
          <w:snapToGrid w:val="0"/>
          <w:lang w:val="pl-PL"/>
        </w:rPr>
        <w:instrText xml:space="preserve"> SEQ level0 \*arabic </w:instrText>
      </w:r>
      <w:r w:rsidRPr="0001543F">
        <w:rPr>
          <w:snapToGrid w:val="0"/>
          <w:lang w:val="pl-PL"/>
        </w:rPr>
        <w:fldChar w:fldCharType="separate"/>
      </w:r>
      <w:r w:rsidR="00746F08" w:rsidRPr="0001543F">
        <w:rPr>
          <w:noProof/>
          <w:snapToGrid w:val="0"/>
          <w:lang w:val="pl-PL"/>
        </w:rPr>
        <w:t>72</w:t>
      </w:r>
      <w:r w:rsidRPr="0001543F">
        <w:rPr>
          <w:snapToGrid w:val="0"/>
          <w:lang w:val="pl-PL"/>
        </w:rPr>
        <w:fldChar w:fldCharType="end"/>
      </w:r>
      <w:r w:rsidR="00506AD7" w:rsidRPr="0001543F">
        <w:rPr>
          <w:snapToGrid w:val="0"/>
          <w:lang w:val="pl-PL"/>
        </w:rPr>
        <w:t xml:space="preserve">.  Trybunał przypomina, że okres tymczasowego aresztowania skarżącego powinien być traktowany jako „sytuacja ciągła” pod warunkiem, że tymczasowe aresztowanie odbywa się w jednostce </w:t>
      </w:r>
      <w:r w:rsidR="00D14B5D" w:rsidRPr="0001543F">
        <w:rPr>
          <w:snapToGrid w:val="0"/>
          <w:lang w:val="pl-PL"/>
        </w:rPr>
        <w:t>penitencjarnej</w:t>
      </w:r>
      <w:r w:rsidR="00506AD7" w:rsidRPr="0001543F">
        <w:rPr>
          <w:snapToGrid w:val="0"/>
          <w:lang w:val="pl-PL"/>
        </w:rPr>
        <w:t xml:space="preserve"> tego samego typu i zasadniczo w tych samych warunkach (zob. </w:t>
      </w:r>
      <w:r w:rsidR="00506AD7" w:rsidRPr="0001543F">
        <w:rPr>
          <w:i/>
          <w:iCs/>
          <w:szCs w:val="22"/>
          <w:lang w:val="pl-PL"/>
        </w:rPr>
        <w:t>Ananyev i Inni przeciwko Rosji</w:t>
      </w:r>
      <w:r w:rsidR="00506AD7" w:rsidRPr="0001543F">
        <w:rPr>
          <w:szCs w:val="22"/>
          <w:lang w:val="pl-PL"/>
        </w:rPr>
        <w:t xml:space="preserve">, </w:t>
      </w:r>
      <w:r w:rsidR="00506AD7" w:rsidRPr="0001543F">
        <w:rPr>
          <w:lang w:val="pl-PL"/>
        </w:rPr>
        <w:t>nr 42525/07 i 60800/08</w:t>
      </w:r>
      <w:r w:rsidR="00506AD7" w:rsidRPr="0001543F">
        <w:rPr>
          <w:snapToGrid w:val="0"/>
          <w:szCs w:val="24"/>
          <w:lang w:val="pl-PL"/>
        </w:rPr>
        <w:t>, § 78, 10 stycznia 2012 r.)</w:t>
      </w:r>
      <w:r w:rsidR="00506AD7" w:rsidRPr="0001543F">
        <w:rPr>
          <w:snapToGrid w:val="0"/>
          <w:lang w:val="pl-PL"/>
        </w:rPr>
        <w:t>. Krótkie okresy nieobecności, podczas których skarżący opuszczał zakład w celu przesłuchania bądź innych czynności proceduralnych, nie miały wpływ</w:t>
      </w:r>
      <w:r w:rsidR="00F93C64" w:rsidRPr="0001543F">
        <w:rPr>
          <w:snapToGrid w:val="0"/>
          <w:lang w:val="pl-PL"/>
        </w:rPr>
        <w:t>u</w:t>
      </w:r>
      <w:r w:rsidR="00506AD7" w:rsidRPr="0001543F">
        <w:rPr>
          <w:snapToGrid w:val="0"/>
          <w:lang w:val="pl-PL"/>
        </w:rPr>
        <w:t xml:space="preserve"> na ciągły charakter tymczasowego aresztowania. Jednakże zwolnienie </w:t>
      </w:r>
      <w:r w:rsidR="00506AD7" w:rsidRPr="0001543F">
        <w:rPr>
          <w:snapToGrid w:val="0"/>
          <w:lang w:val="pl-PL"/>
        </w:rPr>
        <w:lastRenderedPageBreak/>
        <w:t xml:space="preserve">skarżącego lub przeniesienie do jednostki penitencjarnej innego typu, zarówno na, jak i poza terenem danego zakładu, oznaczałoby </w:t>
      </w:r>
      <w:r w:rsidR="00F93C64" w:rsidRPr="0001543F">
        <w:rPr>
          <w:snapToGrid w:val="0"/>
          <w:lang w:val="pl-PL"/>
        </w:rPr>
        <w:t>zakoń</w:t>
      </w:r>
      <w:r w:rsidR="00506AD7" w:rsidRPr="0001543F">
        <w:rPr>
          <w:snapToGrid w:val="0"/>
          <w:lang w:val="pl-PL"/>
        </w:rPr>
        <w:t>c</w:t>
      </w:r>
      <w:r w:rsidR="00F93C64" w:rsidRPr="0001543F">
        <w:rPr>
          <w:snapToGrid w:val="0"/>
          <w:lang w:val="pl-PL"/>
        </w:rPr>
        <w:t>zenie</w:t>
      </w:r>
      <w:r w:rsidR="00506AD7" w:rsidRPr="0001543F">
        <w:rPr>
          <w:snapToGrid w:val="0"/>
          <w:lang w:val="pl-PL"/>
        </w:rPr>
        <w:t xml:space="preserve"> „sytuacji ciągłej”. Skargi dotyczące warunków tymczasowego aresztowania muszą zostać złożone w terminie sześciu miesięcy od daty zakończenia sytuacji będącej przedmiotem skargi lub, jeżeli istnieje dostępny krajowy środek odwoławczy, </w:t>
      </w:r>
      <w:r w:rsidR="00506AD7" w:rsidRPr="0001543F">
        <w:rPr>
          <w:lang w:val="pl-PL"/>
        </w:rPr>
        <w:t xml:space="preserve">od daty wydania ostatecznej decyzji w związku z wyczerpaniem krajowych środków odwoławczych (ibid.). </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73</w:t>
      </w:r>
      <w:r w:rsidRPr="0001543F">
        <w:rPr>
          <w:lang w:val="pl-PL"/>
        </w:rPr>
        <w:fldChar w:fldCharType="end"/>
      </w:r>
      <w:r w:rsidR="00506AD7" w:rsidRPr="0001543F">
        <w:rPr>
          <w:lang w:val="pl-PL"/>
        </w:rPr>
        <w:t xml:space="preserve">.  Trybunał zauważa, że skarżący przebywał w </w:t>
      </w:r>
      <w:r w:rsidR="0001543F" w:rsidRPr="0001543F">
        <w:rPr>
          <w:lang w:val="pl-PL"/>
        </w:rPr>
        <w:t>zakładzie dla tymczasowo aresztowanych</w:t>
      </w:r>
      <w:r w:rsidR="00506AD7" w:rsidRPr="0001543F">
        <w:rPr>
          <w:lang w:val="pl-PL"/>
        </w:rPr>
        <w:t xml:space="preserve"> przez kilka dnia w marcu 2001 r. (zob. par. </w:t>
      </w:r>
      <w:r w:rsidRPr="0001543F">
        <w:rPr>
          <w:lang w:val="pl-PL"/>
        </w:rPr>
        <w:fldChar w:fldCharType="begin"/>
      </w:r>
      <w:r w:rsidR="00506AD7" w:rsidRPr="0001543F">
        <w:rPr>
          <w:lang w:val="pl-PL"/>
        </w:rPr>
        <w:instrText xml:space="preserve"> REF  a \h </w:instrText>
      </w:r>
      <w:r w:rsidRPr="0001543F">
        <w:rPr>
          <w:lang w:val="pl-PL"/>
        </w:rPr>
      </w:r>
      <w:r w:rsidRPr="0001543F">
        <w:rPr>
          <w:lang w:val="pl-PL"/>
        </w:rPr>
        <w:fldChar w:fldCharType="separate"/>
      </w:r>
      <w:r w:rsidR="00746F08" w:rsidRPr="0001543F">
        <w:rPr>
          <w:noProof/>
          <w:lang w:val="pl-PL"/>
        </w:rPr>
        <w:t>33</w:t>
      </w:r>
      <w:r w:rsidRPr="0001543F">
        <w:rPr>
          <w:lang w:val="pl-PL"/>
        </w:rPr>
        <w:fldChar w:fldCharType="end"/>
      </w:r>
      <w:r w:rsidR="00506AD7" w:rsidRPr="0001543F">
        <w:rPr>
          <w:lang w:val="pl-PL"/>
        </w:rPr>
        <w:t xml:space="preserve"> powyżej). Skargi dotyczące warunków osadzenia tamże oraz w areszcie śledczym, a także braku skutecznych środków odwoławczych zostały po raz pierwszy przedstawione Trybunałowi w skardze opatrzonej datą 2 lutego 2004 r.</w:t>
      </w:r>
    </w:p>
    <w:p w:rsidR="003960A7" w:rsidRPr="0001543F" w:rsidRDefault="00F559B3" w:rsidP="003960A7">
      <w:pPr>
        <w:pStyle w:val="JuPara"/>
        <w:rPr>
          <w:i/>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74</w:t>
      </w:r>
      <w:r w:rsidRPr="0001543F">
        <w:rPr>
          <w:lang w:val="pl-PL"/>
        </w:rPr>
        <w:fldChar w:fldCharType="end"/>
      </w:r>
      <w:r w:rsidR="00506AD7" w:rsidRPr="0001543F">
        <w:rPr>
          <w:lang w:val="pl-PL"/>
        </w:rPr>
        <w:t>.  </w:t>
      </w:r>
      <w:r w:rsidR="00D6766B" w:rsidRPr="0001543F">
        <w:rPr>
          <w:lang w:val="pl-PL"/>
        </w:rPr>
        <w:t>Nie wskaz</w:t>
      </w:r>
      <w:r w:rsidR="00506AD7" w:rsidRPr="0001543F">
        <w:rPr>
          <w:lang w:val="pl-PL"/>
        </w:rPr>
        <w:t xml:space="preserve">ano, że w okresie pobytu w </w:t>
      </w:r>
      <w:r w:rsidR="0001543F" w:rsidRPr="0001543F">
        <w:rPr>
          <w:lang w:val="pl-PL"/>
        </w:rPr>
        <w:t xml:space="preserve">zakładzie dla tymczasowo aresztowanych </w:t>
      </w:r>
      <w:r w:rsidR="00506AD7" w:rsidRPr="0001543F">
        <w:rPr>
          <w:lang w:val="pl-PL"/>
        </w:rPr>
        <w:t xml:space="preserve">i później skarżący miał </w:t>
      </w:r>
      <w:r w:rsidR="00D14B5D" w:rsidRPr="0001543F">
        <w:rPr>
          <w:lang w:val="pl-PL"/>
        </w:rPr>
        <w:t>dostęp</w:t>
      </w:r>
      <w:r w:rsidR="00506AD7" w:rsidRPr="0001543F">
        <w:rPr>
          <w:lang w:val="pl-PL"/>
        </w:rPr>
        <w:t xml:space="preserve"> do </w:t>
      </w:r>
      <w:r w:rsidR="00D14B5D" w:rsidRPr="0001543F">
        <w:rPr>
          <w:lang w:val="pl-PL"/>
        </w:rPr>
        <w:t>jakichkolwiek</w:t>
      </w:r>
      <w:r w:rsidR="00506AD7" w:rsidRPr="0001543F">
        <w:rPr>
          <w:lang w:val="pl-PL"/>
        </w:rPr>
        <w:t xml:space="preserve"> środków odwoławczych oferujących uzasadnione </w:t>
      </w:r>
      <w:r w:rsidR="00F93C64" w:rsidRPr="0001543F">
        <w:rPr>
          <w:lang w:val="pl-PL"/>
        </w:rPr>
        <w:t xml:space="preserve">szanse </w:t>
      </w:r>
      <w:r w:rsidR="00506AD7" w:rsidRPr="0001543F">
        <w:rPr>
          <w:lang w:val="pl-PL"/>
        </w:rPr>
        <w:t>powodzenia lub też działających na korzyść skarżącego w związku z zasadą sześciu miesięcy (por.</w:t>
      </w:r>
      <w:bookmarkStart w:id="21" w:name="File686"/>
      <w:r w:rsidR="00D14B5D" w:rsidRPr="0001543F">
        <w:rPr>
          <w:lang w:val="pl-PL"/>
        </w:rPr>
        <w:t xml:space="preserve"> </w:t>
      </w:r>
      <w:r w:rsidR="00506AD7" w:rsidRPr="0001543F">
        <w:rPr>
          <w:i/>
          <w:iCs/>
          <w:lang w:val="pl-PL"/>
        </w:rPr>
        <w:t xml:space="preserve">Pavlenko </w:t>
      </w:r>
      <w:r w:rsidR="00506AD7" w:rsidRPr="0001543F">
        <w:rPr>
          <w:i/>
          <w:iCs/>
          <w:szCs w:val="24"/>
          <w:lang w:val="pl-PL"/>
        </w:rPr>
        <w:t>przeciwko Rosji</w:t>
      </w:r>
      <w:r w:rsidR="00506AD7" w:rsidRPr="0001543F">
        <w:rPr>
          <w:szCs w:val="24"/>
          <w:lang w:val="pl-PL"/>
        </w:rPr>
        <w:t>, nr 42371/02</w:t>
      </w:r>
      <w:r w:rsidR="00506AD7" w:rsidRPr="0001543F">
        <w:rPr>
          <w:snapToGrid w:val="0"/>
          <w:szCs w:val="24"/>
          <w:lang w:val="pl-PL"/>
        </w:rPr>
        <w:t xml:space="preserve">, § 75, 1 kwietnia 2010 r.; </w:t>
      </w:r>
      <w:r w:rsidR="00506AD7" w:rsidRPr="0001543F">
        <w:rPr>
          <w:i/>
          <w:iCs/>
          <w:lang w:val="pl-PL"/>
        </w:rPr>
        <w:t>Roman</w:t>
      </w:r>
      <w:bookmarkEnd w:id="21"/>
      <w:r w:rsidR="00506AD7" w:rsidRPr="0001543F">
        <w:rPr>
          <w:i/>
          <w:iCs/>
          <w:lang w:val="pl-PL"/>
        </w:rPr>
        <w:t xml:space="preserve"> Karasev przeciwko Rosji</w:t>
      </w:r>
      <w:r w:rsidR="00506AD7" w:rsidRPr="0001543F">
        <w:rPr>
          <w:lang w:val="pl-PL"/>
        </w:rPr>
        <w:t>, nr 30251/03</w:t>
      </w:r>
      <w:r w:rsidR="00506AD7" w:rsidRPr="0001543F">
        <w:rPr>
          <w:snapToGrid w:val="0"/>
          <w:szCs w:val="24"/>
          <w:lang w:val="pl-PL"/>
        </w:rPr>
        <w:t>,</w:t>
      </w:r>
      <w:r w:rsidR="00F93C64" w:rsidRPr="0001543F">
        <w:rPr>
          <w:snapToGrid w:val="0"/>
          <w:szCs w:val="24"/>
          <w:lang w:val="pl-PL"/>
        </w:rPr>
        <w:t xml:space="preserve"> §§ 40-43, 25 listopada 2010 r.</w:t>
      </w:r>
      <w:r w:rsidR="00506AD7" w:rsidRPr="0001543F">
        <w:rPr>
          <w:snapToGrid w:val="0"/>
          <w:szCs w:val="24"/>
          <w:lang w:val="pl-PL"/>
        </w:rPr>
        <w:t xml:space="preserve"> oraz </w:t>
      </w:r>
      <w:r w:rsidR="00506AD7" w:rsidRPr="0001543F">
        <w:rPr>
          <w:i/>
          <w:iCs/>
          <w:szCs w:val="22"/>
          <w:lang w:val="pl-PL"/>
        </w:rPr>
        <w:t xml:space="preserve">Orlov </w:t>
      </w:r>
      <w:r w:rsidR="00506AD7" w:rsidRPr="0001543F">
        <w:rPr>
          <w:i/>
          <w:iCs/>
          <w:lang w:val="pl-PL"/>
        </w:rPr>
        <w:t>przeciwko Rosji</w:t>
      </w:r>
      <w:r w:rsidR="00506AD7" w:rsidRPr="0001543F">
        <w:rPr>
          <w:lang w:val="pl-PL"/>
        </w:rPr>
        <w:t>, nr 29652/04</w:t>
      </w:r>
      <w:r w:rsidR="00506AD7" w:rsidRPr="0001543F">
        <w:rPr>
          <w:snapToGrid w:val="0"/>
          <w:szCs w:val="24"/>
          <w:lang w:val="pl-PL"/>
        </w:rPr>
        <w:t xml:space="preserve">, §§ 64-65, 21 czerwca 2011 r.). Zauważono także, iż po </w:t>
      </w:r>
      <w:r w:rsidR="008B5D02" w:rsidRPr="0001543F">
        <w:rPr>
          <w:snapToGrid w:val="0"/>
          <w:szCs w:val="24"/>
          <w:lang w:val="pl-PL"/>
        </w:rPr>
        <w:t xml:space="preserve">osadzeniu </w:t>
      </w:r>
      <w:r w:rsidR="00506AD7" w:rsidRPr="0001543F">
        <w:rPr>
          <w:snapToGrid w:val="0"/>
          <w:szCs w:val="24"/>
          <w:lang w:val="pl-PL"/>
        </w:rPr>
        <w:t xml:space="preserve">w </w:t>
      </w:r>
      <w:r w:rsidR="0001543F" w:rsidRPr="0001543F">
        <w:rPr>
          <w:lang w:val="pl-PL"/>
        </w:rPr>
        <w:t xml:space="preserve">zakładzie dla tymczasowo aresztowanych </w:t>
      </w:r>
      <w:r w:rsidR="00506AD7" w:rsidRPr="0001543F">
        <w:rPr>
          <w:snapToGrid w:val="0"/>
          <w:szCs w:val="24"/>
          <w:lang w:val="pl-PL"/>
        </w:rPr>
        <w:t xml:space="preserve">skarżący został przeniesiony do jednostki penitencjarnej innego typu, tj. aresztu śledczego, w którym przebywał do października 2003 r. Zatem w niniejszej sprawie nie mamy do czynienia z sytuacją ciągłą. </w:t>
      </w:r>
      <w:r w:rsidR="00506AD7" w:rsidRPr="0001543F">
        <w:rPr>
          <w:lang w:val="pl-PL"/>
        </w:rPr>
        <w:t xml:space="preserve">Z powyższego wynika, iż skarga dotycząca </w:t>
      </w:r>
      <w:r w:rsidR="0001543F" w:rsidRPr="0001543F">
        <w:rPr>
          <w:lang w:val="pl-PL"/>
        </w:rPr>
        <w:t>zakładu dla tymczasowo aresztowanych</w:t>
      </w:r>
      <w:r w:rsidR="00506AD7" w:rsidRPr="0001543F">
        <w:rPr>
          <w:lang w:val="pl-PL"/>
        </w:rPr>
        <w:t xml:space="preserve"> została złożona po terminie i musi zostać odrzucona zgodnie z artykułem 35 ust. 1 i ust. 4 Konwencji (zob. także </w:t>
      </w:r>
      <w:r w:rsidR="00506AD7" w:rsidRPr="0001543F">
        <w:rPr>
          <w:i/>
          <w:iCs/>
          <w:szCs w:val="22"/>
          <w:lang w:val="pl-PL"/>
        </w:rPr>
        <w:t>Fetisov</w:t>
      </w:r>
      <w:r w:rsidR="00506AD7" w:rsidRPr="0001543F">
        <w:rPr>
          <w:i/>
          <w:iCs/>
          <w:lang w:val="pl-PL"/>
        </w:rPr>
        <w:t xml:space="preserve"> i Inni przeciwko Rosji</w:t>
      </w:r>
      <w:r w:rsidR="00506AD7" w:rsidRPr="0001543F">
        <w:rPr>
          <w:lang w:val="pl-PL"/>
        </w:rPr>
        <w:t>, nr. 43710/07, 6023/08, 11248/08, 27668/08, 31242/08 i 52133/08</w:t>
      </w:r>
      <w:r w:rsidR="00506AD7" w:rsidRPr="0001543F">
        <w:rPr>
          <w:snapToGrid w:val="0"/>
          <w:szCs w:val="24"/>
          <w:lang w:val="pl-PL"/>
        </w:rPr>
        <w:t>, §§ 73-79, 17 stycznia 2012 r.).</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75</w:t>
      </w:r>
      <w:r w:rsidRPr="0001543F">
        <w:rPr>
          <w:lang w:val="pl-PL"/>
        </w:rPr>
        <w:fldChar w:fldCharType="end"/>
      </w:r>
      <w:r w:rsidR="00506AD7" w:rsidRPr="0001543F">
        <w:rPr>
          <w:lang w:val="pl-PL"/>
        </w:rPr>
        <w:t>.  Odnośnie do warunków osadzenia w areszcie śledczym w latach 2001</w:t>
      </w:r>
      <w:r w:rsidR="00F93C64" w:rsidRPr="0001543F">
        <w:rPr>
          <w:lang w:val="pl-PL"/>
        </w:rPr>
        <w:t xml:space="preserve"> </w:t>
      </w:r>
      <w:r w:rsidR="00506AD7" w:rsidRPr="0001543F">
        <w:rPr>
          <w:lang w:val="pl-PL"/>
        </w:rPr>
        <w:t>-</w:t>
      </w:r>
      <w:r w:rsidR="00F93C64" w:rsidRPr="0001543F">
        <w:rPr>
          <w:lang w:val="pl-PL"/>
        </w:rPr>
        <w:t xml:space="preserve"> 20</w:t>
      </w:r>
      <w:r w:rsidR="00506AD7" w:rsidRPr="0001543F">
        <w:rPr>
          <w:lang w:val="pl-PL"/>
        </w:rPr>
        <w:t xml:space="preserve">03, Trybunał stwierdza, że kwestia wyczerpania krajowych środków odwoławczych jest ściśle powiązana z meritum skargi skarżącego, który twierdzi, że nie miał do dyspozycji skutecznego środka odwoławczego, z </w:t>
      </w:r>
      <w:r w:rsidR="00D14B5D" w:rsidRPr="0001543F">
        <w:rPr>
          <w:lang w:val="pl-PL"/>
        </w:rPr>
        <w:t>którego</w:t>
      </w:r>
      <w:r w:rsidR="00506AD7" w:rsidRPr="0001543F">
        <w:rPr>
          <w:lang w:val="pl-PL"/>
        </w:rPr>
        <w:t xml:space="preserve"> mógłby skorzystać w celu złożenia skargi na nieludzkie warunki osadzenia. Z tego względu Trybunał stwierdza, iż </w:t>
      </w:r>
      <w:r w:rsidR="00D14B5D" w:rsidRPr="0001543F">
        <w:rPr>
          <w:lang w:val="pl-PL"/>
        </w:rPr>
        <w:t>niezbędnym</w:t>
      </w:r>
      <w:r w:rsidR="00506AD7" w:rsidRPr="0001543F">
        <w:rPr>
          <w:lang w:val="pl-PL"/>
        </w:rPr>
        <w:t xml:space="preserve"> jest włączenie zastrzeżenia Rząd do meritum sprawy (zob.</w:t>
      </w:r>
      <w:r w:rsidR="00305D33" w:rsidRPr="0001543F">
        <w:rPr>
          <w:lang w:val="pl-PL"/>
        </w:rPr>
        <w:t xml:space="preserve"> </w:t>
      </w:r>
      <w:r w:rsidR="00506AD7" w:rsidRPr="0001543F">
        <w:rPr>
          <w:i/>
          <w:iCs/>
          <w:szCs w:val="22"/>
          <w:lang w:val="pl-PL"/>
        </w:rPr>
        <w:t>Ananyev i Inni</w:t>
      </w:r>
      <w:r w:rsidR="00506AD7" w:rsidRPr="0001543F">
        <w:rPr>
          <w:szCs w:val="22"/>
          <w:lang w:val="pl-PL"/>
        </w:rPr>
        <w:t xml:space="preserve">, cyt. powyżej, </w:t>
      </w:r>
      <w:r w:rsidR="00506AD7" w:rsidRPr="0001543F">
        <w:rPr>
          <w:snapToGrid w:val="0"/>
          <w:szCs w:val="24"/>
          <w:lang w:val="pl-PL"/>
        </w:rPr>
        <w:t>§ 70)</w:t>
      </w:r>
      <w:r w:rsidR="00506AD7" w:rsidRPr="0001543F">
        <w:rPr>
          <w:lang w:val="pl-PL"/>
        </w:rPr>
        <w:t xml:space="preserve">. W dalszej kolejności Trybunał uznaje, że w tej części niniejsza skarga nie jest oczywiście bezzasadna w rozumieniu </w:t>
      </w:r>
      <w:r w:rsidR="00F9651E" w:rsidRPr="0001543F">
        <w:rPr>
          <w:lang w:val="pl-PL"/>
        </w:rPr>
        <w:t>arty</w:t>
      </w:r>
      <w:r w:rsidR="00506AD7" w:rsidRPr="0001543F">
        <w:rPr>
          <w:lang w:val="pl-PL"/>
        </w:rPr>
        <w:t>kułu 35 ust. 3</w:t>
      </w:r>
      <w:r w:rsidR="00AE1B21" w:rsidRPr="0001543F">
        <w:rPr>
          <w:lang w:val="pl-PL"/>
        </w:rPr>
        <w:t xml:space="preserve"> lit.</w:t>
      </w:r>
      <w:r w:rsidR="00506AD7" w:rsidRPr="0001543F">
        <w:rPr>
          <w:lang w:val="pl-PL"/>
        </w:rPr>
        <w:t xml:space="preserve"> (a) Konwencji. Nie stwierdzono innych podstaw uznania skargi za niedopuszczalną. Z tego względu należy uznać ją za dopuszczalną.</w:t>
      </w:r>
    </w:p>
    <w:p w:rsidR="003960A7" w:rsidRPr="0001543F" w:rsidRDefault="003960A7" w:rsidP="003960A7">
      <w:pPr>
        <w:pStyle w:val="JuH1"/>
        <w:ind w:left="431" w:firstLine="0"/>
        <w:rPr>
          <w:lang w:val="pl-PL"/>
        </w:rPr>
      </w:pPr>
      <w:r w:rsidRPr="0001543F">
        <w:rPr>
          <w:iCs/>
          <w:lang w:val="pl-PL"/>
        </w:rPr>
        <w:lastRenderedPageBreak/>
        <w:t>2.  Meritum</w:t>
      </w:r>
    </w:p>
    <w:p w:rsidR="003960A7" w:rsidRPr="0001543F" w:rsidRDefault="003960A7" w:rsidP="003960A7">
      <w:pPr>
        <w:pStyle w:val="JuHa0"/>
        <w:rPr>
          <w:lang w:val="pl-PL"/>
        </w:rPr>
      </w:pPr>
      <w:r w:rsidRPr="0001543F">
        <w:rPr>
          <w:bCs/>
          <w:lang w:val="pl-PL"/>
        </w:rPr>
        <w:t>(a)  Artykuł 13 Konwencji</w:t>
      </w:r>
    </w:p>
    <w:p w:rsidR="003960A7" w:rsidRPr="0001543F" w:rsidRDefault="00F559B3" w:rsidP="003960A7">
      <w:pPr>
        <w:pStyle w:val="JuPara"/>
        <w:rPr>
          <w:szCs w:val="24"/>
          <w:lang w:val="pl-PL"/>
        </w:rPr>
      </w:pPr>
      <w:r w:rsidRPr="0001543F">
        <w:rPr>
          <w:szCs w:val="22"/>
          <w:lang w:val="pl-PL"/>
        </w:rPr>
        <w:fldChar w:fldCharType="begin"/>
      </w:r>
      <w:r w:rsidR="00506AD7" w:rsidRPr="0001543F">
        <w:rPr>
          <w:szCs w:val="22"/>
          <w:lang w:val="pl-PL"/>
        </w:rPr>
        <w:instrText xml:space="preserve"> SEQ level0 \*arabic </w:instrText>
      </w:r>
      <w:r w:rsidRPr="0001543F">
        <w:rPr>
          <w:szCs w:val="22"/>
          <w:lang w:val="pl-PL"/>
        </w:rPr>
        <w:fldChar w:fldCharType="separate"/>
      </w:r>
      <w:r w:rsidR="00746F08" w:rsidRPr="0001543F">
        <w:rPr>
          <w:noProof/>
          <w:szCs w:val="22"/>
          <w:lang w:val="pl-PL"/>
        </w:rPr>
        <w:t>76</w:t>
      </w:r>
      <w:r w:rsidRPr="0001543F">
        <w:rPr>
          <w:szCs w:val="22"/>
          <w:lang w:val="pl-PL"/>
        </w:rPr>
        <w:fldChar w:fldCharType="end"/>
      </w:r>
      <w:r w:rsidR="00506AD7" w:rsidRPr="0001543F">
        <w:rPr>
          <w:szCs w:val="22"/>
          <w:lang w:val="pl-PL"/>
        </w:rPr>
        <w:t xml:space="preserve">.  W sprawie </w:t>
      </w:r>
      <w:r w:rsidR="00506AD7" w:rsidRPr="0001543F">
        <w:rPr>
          <w:i/>
          <w:iCs/>
          <w:szCs w:val="22"/>
          <w:lang w:val="pl-PL"/>
        </w:rPr>
        <w:t xml:space="preserve">Ananyev i Inni </w:t>
      </w:r>
      <w:r w:rsidR="00506AD7" w:rsidRPr="0001543F">
        <w:rPr>
          <w:szCs w:val="22"/>
          <w:lang w:val="pl-PL"/>
        </w:rPr>
        <w:t>(cyt. powyżej,</w:t>
      </w:r>
      <w:r w:rsidR="00506AD7" w:rsidRPr="0001543F">
        <w:rPr>
          <w:lang w:val="pl-PL"/>
        </w:rPr>
        <w:t xml:space="preserve"> §§ 93-119) Trybunał przeprowadził szczegółową analizę krajowych środków odwoławczych w ramach rosyjskiego systemu prawnego w odniesieniu do skargi dotyczącej istotnych warunków tymczasowego aresztowania w areszcie śledczym. W sprawie tej Trybunał uznał, że nie wykazano, iż rosyjski system prawny oferuje skuteczne środki odwoławcze, z których </w:t>
      </w:r>
      <w:r w:rsidR="00506AD7" w:rsidRPr="0001543F">
        <w:rPr>
          <w:szCs w:val="24"/>
          <w:lang w:val="pl-PL"/>
        </w:rPr>
        <w:t xml:space="preserve">można skorzystać w celu zapobieżenia naruszeniu będącemu przedmiotem skargi bądź jego </w:t>
      </w:r>
      <w:r w:rsidR="00D14B5D" w:rsidRPr="0001543F">
        <w:rPr>
          <w:szCs w:val="24"/>
          <w:lang w:val="pl-PL"/>
        </w:rPr>
        <w:t>ciągłemu</w:t>
      </w:r>
      <w:r w:rsidR="00506AD7" w:rsidRPr="0001543F">
        <w:rPr>
          <w:szCs w:val="24"/>
          <w:lang w:val="pl-PL"/>
        </w:rPr>
        <w:t xml:space="preserve"> trwaniu oraz zapewnieniu skarżącemu </w:t>
      </w:r>
      <w:r w:rsidR="00D14B5D" w:rsidRPr="0001543F">
        <w:rPr>
          <w:szCs w:val="24"/>
          <w:lang w:val="pl-PL"/>
        </w:rPr>
        <w:t>właściwego</w:t>
      </w:r>
      <w:r w:rsidR="00506AD7" w:rsidRPr="0001543F">
        <w:rPr>
          <w:szCs w:val="24"/>
          <w:lang w:val="pl-PL"/>
        </w:rPr>
        <w:t xml:space="preserve"> </w:t>
      </w:r>
      <w:r w:rsidR="00506AD7" w:rsidRPr="0001543F">
        <w:rPr>
          <w:lang w:val="pl-PL"/>
        </w:rPr>
        <w:t xml:space="preserve">i wystarczającego </w:t>
      </w:r>
      <w:r w:rsidR="00506AD7" w:rsidRPr="0001543F">
        <w:rPr>
          <w:szCs w:val="24"/>
          <w:lang w:val="pl-PL"/>
        </w:rPr>
        <w:t xml:space="preserve">zadośćuczynienia w związku ze skargą na nieodpowiednie warunki osadzenia. W </w:t>
      </w:r>
      <w:r w:rsidR="00D14B5D" w:rsidRPr="0001543F">
        <w:rPr>
          <w:szCs w:val="24"/>
          <w:lang w:val="pl-PL"/>
        </w:rPr>
        <w:t>związku</w:t>
      </w:r>
      <w:r w:rsidR="00506AD7" w:rsidRPr="0001543F">
        <w:rPr>
          <w:szCs w:val="24"/>
          <w:lang w:val="pl-PL"/>
        </w:rPr>
        <w:t xml:space="preserve"> z powyższym Trybunał oddalił </w:t>
      </w:r>
      <w:r w:rsidR="00D14B5D" w:rsidRPr="0001543F">
        <w:rPr>
          <w:szCs w:val="24"/>
          <w:lang w:val="pl-PL"/>
        </w:rPr>
        <w:t>zastrzeżenie</w:t>
      </w:r>
      <w:r w:rsidR="00506AD7" w:rsidRPr="0001543F">
        <w:rPr>
          <w:szCs w:val="24"/>
          <w:lang w:val="pl-PL"/>
        </w:rPr>
        <w:t xml:space="preserve"> Rządu </w:t>
      </w:r>
      <w:r w:rsidR="00D14B5D" w:rsidRPr="0001543F">
        <w:rPr>
          <w:szCs w:val="24"/>
          <w:lang w:val="pl-PL"/>
        </w:rPr>
        <w:t>dotyczące</w:t>
      </w:r>
      <w:r w:rsidR="00506AD7" w:rsidRPr="0001543F">
        <w:rPr>
          <w:szCs w:val="24"/>
          <w:lang w:val="pl-PL"/>
        </w:rPr>
        <w:t xml:space="preserve"> niewyczerpania krajowych środków odwoławczych oraz stwierdził, że skarżący nie mieli do dyspozycji skutecznych krajowych środków odwoławczych </w:t>
      </w:r>
      <w:r w:rsidR="0055589E" w:rsidRPr="0001543F">
        <w:rPr>
          <w:szCs w:val="24"/>
          <w:lang w:val="pl-PL"/>
        </w:rPr>
        <w:t>dotyczących ich roszczeń</w:t>
      </w:r>
      <w:r w:rsidR="00506AD7" w:rsidRPr="0001543F">
        <w:rPr>
          <w:szCs w:val="24"/>
          <w:lang w:val="pl-PL"/>
        </w:rPr>
        <w:t>, co stanowiło naruszeni</w:t>
      </w:r>
      <w:r w:rsidR="00F93C64" w:rsidRPr="0001543F">
        <w:rPr>
          <w:szCs w:val="24"/>
          <w:lang w:val="pl-PL"/>
        </w:rPr>
        <w:t>e</w:t>
      </w:r>
      <w:r w:rsidR="00506AD7" w:rsidRPr="0001543F">
        <w:rPr>
          <w:szCs w:val="24"/>
          <w:lang w:val="pl-PL"/>
        </w:rPr>
        <w:t xml:space="preserve"> artykułu 13 Konwencji.</w:t>
      </w:r>
    </w:p>
    <w:p w:rsidR="003960A7" w:rsidRPr="0001543F" w:rsidRDefault="00F559B3" w:rsidP="003960A7">
      <w:pPr>
        <w:pStyle w:val="JuPara"/>
        <w:rPr>
          <w:szCs w:val="24"/>
          <w:lang w:val="pl-PL"/>
        </w:rPr>
      </w:pPr>
      <w:r w:rsidRPr="0001543F">
        <w:rPr>
          <w:szCs w:val="24"/>
          <w:lang w:val="pl-PL"/>
        </w:rPr>
        <w:fldChar w:fldCharType="begin"/>
      </w:r>
      <w:r w:rsidR="00506AD7" w:rsidRPr="0001543F">
        <w:rPr>
          <w:szCs w:val="24"/>
          <w:lang w:val="pl-PL"/>
        </w:rPr>
        <w:instrText xml:space="preserve"> SEQ level0 \*arabic </w:instrText>
      </w:r>
      <w:r w:rsidRPr="0001543F">
        <w:rPr>
          <w:szCs w:val="24"/>
          <w:lang w:val="pl-PL"/>
        </w:rPr>
        <w:fldChar w:fldCharType="separate"/>
      </w:r>
      <w:r w:rsidR="00746F08" w:rsidRPr="0001543F">
        <w:rPr>
          <w:noProof/>
          <w:szCs w:val="24"/>
          <w:lang w:val="pl-PL"/>
        </w:rPr>
        <w:t>77</w:t>
      </w:r>
      <w:r w:rsidRPr="0001543F">
        <w:rPr>
          <w:szCs w:val="24"/>
          <w:lang w:val="pl-PL"/>
        </w:rPr>
        <w:fldChar w:fldCharType="end"/>
      </w:r>
      <w:r w:rsidR="00506AD7" w:rsidRPr="0001543F">
        <w:rPr>
          <w:szCs w:val="24"/>
          <w:lang w:val="pl-PL"/>
        </w:rPr>
        <w:t>.  Po rozpoznaniu argumentów Rządu Trybunał nie dopatrzył się podstaw, by zmienić tę konkluzję w odniesieniu do niniejszej sprawy.</w:t>
      </w:r>
      <w:r w:rsidR="002179BB" w:rsidRPr="0001543F">
        <w:rPr>
          <w:szCs w:val="24"/>
          <w:lang w:val="pl-PL"/>
        </w:rPr>
        <w:t xml:space="preserve"> </w:t>
      </w:r>
      <w:r w:rsidR="00506AD7" w:rsidRPr="0001543F">
        <w:rPr>
          <w:szCs w:val="24"/>
          <w:lang w:val="pl-PL"/>
        </w:rPr>
        <w:t xml:space="preserve">Zauważając, że skarżący przedstawia „dający </w:t>
      </w:r>
      <w:r w:rsidR="00D14B5D" w:rsidRPr="0001543F">
        <w:rPr>
          <w:szCs w:val="24"/>
          <w:lang w:val="pl-PL"/>
        </w:rPr>
        <w:t>się</w:t>
      </w:r>
      <w:r w:rsidR="00506AD7" w:rsidRPr="0001543F">
        <w:rPr>
          <w:szCs w:val="24"/>
          <w:lang w:val="pl-PL"/>
        </w:rPr>
        <w:t xml:space="preserve"> uzasadnić” zarzut naruszenia artykułu 3 Konwencji, Trybunał uznaje, iż doszło do naruszenia artykułu 13 Konwencji.</w:t>
      </w:r>
    </w:p>
    <w:p w:rsidR="003960A7" w:rsidRPr="0001543F" w:rsidRDefault="003960A7" w:rsidP="003960A7">
      <w:pPr>
        <w:pStyle w:val="JuHa0"/>
        <w:rPr>
          <w:lang w:val="pl-PL"/>
        </w:rPr>
      </w:pPr>
      <w:r w:rsidRPr="0001543F">
        <w:rPr>
          <w:bCs/>
          <w:lang w:val="pl-PL"/>
        </w:rPr>
        <w:t>(b)  Artykuł 3 Konwencji</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78</w:t>
      </w:r>
      <w:r w:rsidRPr="0001543F">
        <w:rPr>
          <w:lang w:val="pl-PL"/>
        </w:rPr>
        <w:fldChar w:fldCharType="end"/>
      </w:r>
      <w:r w:rsidR="00506AD7" w:rsidRPr="0001543F">
        <w:rPr>
          <w:lang w:val="pl-PL"/>
        </w:rPr>
        <w:t xml:space="preserve">.  Trybunał wielokrotnie stwierdzał, że w sprawach dotyczących zarzutów nieodpowiednich warunków osadzenia nie ma konieczności rygorystycznego stosowania zasady </w:t>
      </w:r>
      <w:r w:rsidR="00506AD7" w:rsidRPr="0001543F">
        <w:rPr>
          <w:i/>
          <w:iCs/>
          <w:lang w:val="pl-PL"/>
        </w:rPr>
        <w:t>affirmanti incumbit probatio</w:t>
      </w:r>
      <w:r w:rsidR="00506AD7" w:rsidRPr="0001543F">
        <w:rPr>
          <w:lang w:val="pl-PL"/>
        </w:rPr>
        <w:t xml:space="preserve"> (ciężar dowodu spoczywa na twierdzącym), jako że w takich przypadkach</w:t>
      </w:r>
      <w:r w:rsidR="002179BB" w:rsidRPr="0001543F">
        <w:rPr>
          <w:lang w:val="pl-PL"/>
        </w:rPr>
        <w:t xml:space="preserve"> </w:t>
      </w:r>
      <w:r w:rsidR="00506AD7" w:rsidRPr="0001543F">
        <w:rPr>
          <w:lang w:val="pl-PL"/>
        </w:rPr>
        <w:t xml:space="preserve">dostęp do informacji, które mogłyby potwierdzić lub odeprzeć takie zarzuty, posiada wyłącznie pozwany Rząd. Zatem, po zakomunikowaniu skargi Rządowi przez Trybunał, ciężar zgromadzenia i przedstawienia odnośnych dokumentów spoczywa na Rządzie. Brak przedstawienia przez Rząd przekonujących dowodów dotyczących </w:t>
      </w:r>
      <w:r w:rsidR="0055589E" w:rsidRPr="0001543F">
        <w:rPr>
          <w:lang w:val="pl-PL"/>
        </w:rPr>
        <w:t xml:space="preserve">istotnych </w:t>
      </w:r>
      <w:r w:rsidR="00506AD7" w:rsidRPr="0001543F">
        <w:rPr>
          <w:lang w:val="pl-PL"/>
        </w:rPr>
        <w:t xml:space="preserve">warunków osadzenia może stanowić podstawę wyciagnięcia wniosków </w:t>
      </w:r>
      <w:r w:rsidR="00FD7AC6" w:rsidRPr="0001543F">
        <w:rPr>
          <w:lang w:val="pl-PL"/>
        </w:rPr>
        <w:t>uzasadni</w:t>
      </w:r>
      <w:r w:rsidR="00F93C64" w:rsidRPr="0001543F">
        <w:rPr>
          <w:lang w:val="pl-PL"/>
        </w:rPr>
        <w:t xml:space="preserve">ających </w:t>
      </w:r>
      <w:r w:rsidR="00506AD7" w:rsidRPr="0001543F">
        <w:rPr>
          <w:lang w:val="pl-PL"/>
        </w:rPr>
        <w:t>zarzut</w:t>
      </w:r>
      <w:r w:rsidR="00F93C64" w:rsidRPr="0001543F">
        <w:rPr>
          <w:lang w:val="pl-PL"/>
        </w:rPr>
        <w:t>y</w:t>
      </w:r>
      <w:r w:rsidR="00506AD7" w:rsidRPr="0001543F">
        <w:rPr>
          <w:lang w:val="pl-PL"/>
        </w:rPr>
        <w:t xml:space="preserve"> skarżącego (zob. </w:t>
      </w:r>
      <w:r w:rsidR="00506AD7" w:rsidRPr="0001543F">
        <w:rPr>
          <w:i/>
          <w:iCs/>
          <w:lang w:val="pl-PL"/>
        </w:rPr>
        <w:t>Ananyev i Inni</w:t>
      </w:r>
      <w:r w:rsidR="00506AD7" w:rsidRPr="0001543F">
        <w:rPr>
          <w:lang w:val="pl-PL"/>
        </w:rPr>
        <w:t>, cyt. powyżej, § 123).</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79</w:t>
      </w:r>
      <w:r w:rsidRPr="0001543F">
        <w:rPr>
          <w:lang w:val="pl-PL"/>
        </w:rPr>
        <w:fldChar w:fldCharType="end"/>
      </w:r>
      <w:r w:rsidR="00506AD7" w:rsidRPr="0001543F">
        <w:rPr>
          <w:lang w:val="pl-PL"/>
        </w:rPr>
        <w:t>.  Trybunał zauważa, że uwagi Rządu zawierają załączniki, w szczególności zaświadczenia wydane w 2008 r.</w:t>
      </w:r>
      <w:r w:rsidR="002179BB" w:rsidRPr="0001543F">
        <w:rPr>
          <w:lang w:val="pl-PL"/>
        </w:rPr>
        <w:t xml:space="preserve"> </w:t>
      </w:r>
      <w:r w:rsidR="00506AD7" w:rsidRPr="0001543F">
        <w:rPr>
          <w:lang w:val="pl-PL"/>
        </w:rPr>
        <w:t xml:space="preserve">Jednakże dokumenty te nie zawierają wyraźnych odniesień do oryginalnych </w:t>
      </w:r>
      <w:r w:rsidR="00F93C64" w:rsidRPr="0001543F">
        <w:rPr>
          <w:lang w:val="pl-PL"/>
        </w:rPr>
        <w:t xml:space="preserve">źródeł </w:t>
      </w:r>
      <w:r w:rsidR="00506AD7" w:rsidRPr="0001543F">
        <w:rPr>
          <w:lang w:val="pl-PL"/>
        </w:rPr>
        <w:t xml:space="preserve">służących określeniu projektowanej </w:t>
      </w:r>
      <w:r w:rsidR="00D14B5D" w:rsidRPr="0001543F">
        <w:rPr>
          <w:lang w:val="pl-PL"/>
        </w:rPr>
        <w:t>pojemności</w:t>
      </w:r>
      <w:r w:rsidR="00506AD7" w:rsidRPr="0001543F">
        <w:rPr>
          <w:lang w:val="pl-PL"/>
        </w:rPr>
        <w:t xml:space="preserve"> i faktycznej </w:t>
      </w:r>
      <w:r w:rsidR="00D14B5D" w:rsidRPr="0001543F">
        <w:rPr>
          <w:lang w:val="pl-PL"/>
        </w:rPr>
        <w:t>liczby</w:t>
      </w:r>
      <w:r w:rsidR="00506AD7" w:rsidRPr="0001543F">
        <w:rPr>
          <w:lang w:val="pl-PL"/>
        </w:rPr>
        <w:t xml:space="preserve"> osób przebywających w celach w </w:t>
      </w:r>
      <w:r w:rsidR="00D14B5D" w:rsidRPr="0001543F">
        <w:rPr>
          <w:lang w:val="pl-PL"/>
        </w:rPr>
        <w:t>odnośnych</w:t>
      </w:r>
      <w:r w:rsidR="00506AD7" w:rsidRPr="0001543F">
        <w:rPr>
          <w:lang w:val="pl-PL"/>
        </w:rPr>
        <w:t xml:space="preserve"> okresach w latach 2001-20013.</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80</w:t>
      </w:r>
      <w:r w:rsidRPr="0001543F">
        <w:rPr>
          <w:lang w:val="pl-PL"/>
        </w:rPr>
        <w:fldChar w:fldCharType="end"/>
      </w:r>
      <w:r w:rsidR="00506AD7" w:rsidRPr="0001543F">
        <w:rPr>
          <w:lang w:val="pl-PL"/>
        </w:rPr>
        <w:t xml:space="preserve">.  Jednakże, uwzględniając dane przedstawione przez Rząd, wydaje </w:t>
      </w:r>
      <w:r w:rsidR="00D14B5D" w:rsidRPr="0001543F">
        <w:rPr>
          <w:lang w:val="pl-PL"/>
        </w:rPr>
        <w:t>się</w:t>
      </w:r>
      <w:r w:rsidR="00506AD7" w:rsidRPr="0001543F">
        <w:rPr>
          <w:lang w:val="pl-PL"/>
        </w:rPr>
        <w:t xml:space="preserve">, że w </w:t>
      </w:r>
      <w:r w:rsidR="00D14B5D" w:rsidRPr="0001543F">
        <w:rPr>
          <w:lang w:val="pl-PL"/>
        </w:rPr>
        <w:t>pewnych</w:t>
      </w:r>
      <w:r w:rsidR="00506AD7" w:rsidRPr="0001543F">
        <w:rPr>
          <w:lang w:val="pl-PL"/>
        </w:rPr>
        <w:t xml:space="preserve"> okresach na jednego osadzonego w celi przypadała powierzchnia wielkości zaledwie dwóch metrów kwadratowych, </w:t>
      </w:r>
      <w:r w:rsidR="00D14B5D" w:rsidRPr="0001543F">
        <w:rPr>
          <w:lang w:val="pl-PL"/>
        </w:rPr>
        <w:t>obejmują</w:t>
      </w:r>
      <w:r w:rsidR="00F93C64" w:rsidRPr="0001543F">
        <w:rPr>
          <w:lang w:val="pl-PL"/>
        </w:rPr>
        <w:t>ca</w:t>
      </w:r>
      <w:r w:rsidR="00506AD7" w:rsidRPr="0001543F">
        <w:rPr>
          <w:lang w:val="pl-PL"/>
        </w:rPr>
        <w:t xml:space="preserve"> zarówno przestrzeń mieszkalną, jak i elementy wyposażenia </w:t>
      </w:r>
      <w:r w:rsidR="00506AD7" w:rsidRPr="0001543F">
        <w:rPr>
          <w:lang w:val="pl-PL"/>
        </w:rPr>
        <w:lastRenderedPageBreak/>
        <w:t>(meble czy deska sedesowa). Ponadto Rząd nie zakwestionował w sposób przekonujący zarzutu skarżącego w sprawie braku osobnych łóżek.</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81</w:t>
      </w:r>
      <w:r w:rsidRPr="0001543F">
        <w:rPr>
          <w:lang w:val="pl-PL"/>
        </w:rPr>
        <w:fldChar w:fldCharType="end"/>
      </w:r>
      <w:r w:rsidR="00506AD7" w:rsidRPr="0001543F">
        <w:rPr>
          <w:lang w:val="pl-PL"/>
        </w:rPr>
        <w:t xml:space="preserve">.  W świetle oświadczeń stron oraz dostępnych materiałów Trybunał stwierdza, iż ustalono następujące dodatkowe informacje. Wewnątrz cel znajdowały się zarówno stoły, jak i deski sedesowe, w niektórych przypadkach w odległości zaledwie jednego lub półtora metra. Toalety były oddzielone od przestrzeni mieszkalnej ścianką, o przybliżonych wymiarach jeden metr na półtora metra wysokości. </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82</w:t>
      </w:r>
      <w:r w:rsidRPr="0001543F">
        <w:rPr>
          <w:lang w:val="pl-PL"/>
        </w:rPr>
        <w:fldChar w:fldCharType="end"/>
      </w:r>
      <w:r w:rsidR="00506AD7" w:rsidRPr="0001543F">
        <w:rPr>
          <w:lang w:val="pl-PL"/>
        </w:rPr>
        <w:t xml:space="preserve">.  Ustalono zatem, </w:t>
      </w:r>
      <w:r w:rsidR="0092277E" w:rsidRPr="0001543F">
        <w:rPr>
          <w:lang w:val="pl-PL"/>
        </w:rPr>
        <w:t>i</w:t>
      </w:r>
      <w:r w:rsidR="00506AD7" w:rsidRPr="0001543F">
        <w:rPr>
          <w:lang w:val="pl-PL"/>
        </w:rPr>
        <w:t xml:space="preserve">ż przez znaczny okres czasu w latach 2001-2003 skarżący przebywał w złych warunkach. W tych warunkach musiał spożywać posiłki i załatwiać potrzeby fizjologiczne. Skarżący przez cały czas przebywał w celi, z wyłączeniem jednej godziny spaceru dziennie. Nie stwierdzono, by trudna sytuacja skarżącego była w znacznym stopniu złagodzona w </w:t>
      </w:r>
      <w:r w:rsidR="0092277E" w:rsidRPr="0001543F">
        <w:rPr>
          <w:lang w:val="pl-PL"/>
        </w:rPr>
        <w:t>jakikolwiek</w:t>
      </w:r>
      <w:r w:rsidR="00506AD7" w:rsidRPr="0001543F">
        <w:rPr>
          <w:lang w:val="pl-PL"/>
        </w:rPr>
        <w:t xml:space="preserve"> sposób, przykładowo ze względu na czas spędzony poza aresztem śledczym w trakcie procesu.</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83</w:t>
      </w:r>
      <w:r w:rsidRPr="0001543F">
        <w:rPr>
          <w:lang w:val="pl-PL"/>
        </w:rPr>
        <w:fldChar w:fldCharType="end"/>
      </w:r>
      <w:r w:rsidR="00506AD7" w:rsidRPr="0001543F">
        <w:rPr>
          <w:lang w:val="pl-PL"/>
        </w:rPr>
        <w:t>.  Z tego względu Trybunał stwierdza, że skarżący poddany był nieludzkiemu i poniżającemu traktowaniu, co stanowiło naruszenie artykułu 3 Konwencji. W związku z ustaleniami w odniesieniu do artykułu 13 Konwencji argument Rządu dotyczący wyczerpania krajowych środków odwoławczych powinien zostać oddalony.</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84</w:t>
      </w:r>
      <w:r w:rsidRPr="0001543F">
        <w:rPr>
          <w:lang w:val="pl-PL"/>
        </w:rPr>
        <w:fldChar w:fldCharType="end"/>
      </w:r>
      <w:r w:rsidR="00506AD7" w:rsidRPr="0001543F">
        <w:rPr>
          <w:lang w:val="pl-PL"/>
        </w:rPr>
        <w:t xml:space="preserve">.  W tych </w:t>
      </w:r>
      <w:r w:rsidR="00D14B5D" w:rsidRPr="0001543F">
        <w:rPr>
          <w:lang w:val="pl-PL"/>
        </w:rPr>
        <w:t>okolicznościach</w:t>
      </w:r>
      <w:r w:rsidR="00506AD7" w:rsidRPr="0001543F">
        <w:rPr>
          <w:lang w:val="pl-PL"/>
        </w:rPr>
        <w:t xml:space="preserve"> Trybunał uznaje, iż doszło do naruszenia artykułu 3 Konwencji.</w:t>
      </w:r>
    </w:p>
    <w:p w:rsidR="003960A7" w:rsidRPr="0001543F" w:rsidRDefault="003960A7" w:rsidP="003960A7">
      <w:pPr>
        <w:pStyle w:val="JuHIRoman"/>
        <w:rPr>
          <w:lang w:val="pl-PL"/>
        </w:rPr>
      </w:pPr>
      <w:r w:rsidRPr="0001543F">
        <w:rPr>
          <w:lang w:val="pl-PL"/>
        </w:rPr>
        <w:t>I.  ZARZUT NARUSZENIA ARTYKUŁU 5 UST. 1 KONWENCJI</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85</w:t>
      </w:r>
      <w:r w:rsidRPr="0001543F">
        <w:rPr>
          <w:lang w:val="pl-PL"/>
        </w:rPr>
        <w:fldChar w:fldCharType="end"/>
      </w:r>
      <w:r w:rsidR="00506AD7" w:rsidRPr="0001543F">
        <w:rPr>
          <w:lang w:val="pl-PL"/>
        </w:rPr>
        <w:t>.  </w:t>
      </w:r>
      <w:r w:rsidR="00D14B5D" w:rsidRPr="0001543F">
        <w:rPr>
          <w:lang w:val="pl-PL"/>
        </w:rPr>
        <w:t>Skarżący</w:t>
      </w:r>
      <w:r w:rsidR="00506AD7" w:rsidRPr="0001543F">
        <w:rPr>
          <w:lang w:val="pl-PL"/>
        </w:rPr>
        <w:t xml:space="preserve"> sformułował zarzut naruszenia artykułu 5 ust. 1 Konwencji na podstawie osadzenia po skazaniu na mocy wyroku z dnia 24 kwietnia 2003 r. wydanego przez sąd pierwszej instancji, który nie był „ustanowiony ustawą”. Artykuł 5 Konwencji we właściwym zakresie stanowi, co następuje:</w:t>
      </w:r>
    </w:p>
    <w:p w:rsidR="003960A7" w:rsidRPr="0001543F" w:rsidRDefault="003960A7" w:rsidP="003960A7">
      <w:pPr>
        <w:pStyle w:val="JuQuot"/>
        <w:rPr>
          <w:lang w:val="pl-PL"/>
        </w:rPr>
      </w:pPr>
      <w:r w:rsidRPr="0001543F">
        <w:rPr>
          <w:lang w:val="pl-PL"/>
        </w:rPr>
        <w:t>„1.  Każdy ma prawo do wolności i bezpieczeństwa osobistego. Nikt nie może być pozbawiony wolności, z wyjątkiem następujących przypadków i w trybie ustalonym przez prawo:</w:t>
      </w:r>
    </w:p>
    <w:p w:rsidR="003960A7" w:rsidRPr="0001543F" w:rsidRDefault="003960A7" w:rsidP="003960A7">
      <w:pPr>
        <w:pStyle w:val="JuQuot"/>
        <w:rPr>
          <w:lang w:val="pl-PL"/>
        </w:rPr>
      </w:pPr>
      <w:r w:rsidRPr="0001543F">
        <w:rPr>
          <w:lang w:val="pl-PL"/>
        </w:rPr>
        <w:t>(a) zgodnego z prawem pozbawienia wolności w wyniku skazania przez właściwy sąd...”</w:t>
      </w:r>
    </w:p>
    <w:p w:rsidR="003960A7" w:rsidRPr="0001543F" w:rsidRDefault="003960A7" w:rsidP="003960A7">
      <w:pPr>
        <w:pStyle w:val="JuHA"/>
        <w:rPr>
          <w:lang w:val="pl-PL"/>
        </w:rPr>
      </w:pPr>
      <w:r w:rsidRPr="0001543F">
        <w:rPr>
          <w:bCs/>
          <w:lang w:val="pl-PL"/>
        </w:rPr>
        <w:t>A.  Oświadczenia stron</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86</w:t>
      </w:r>
      <w:r w:rsidRPr="0001543F">
        <w:rPr>
          <w:lang w:val="pl-PL"/>
        </w:rPr>
        <w:fldChar w:fldCharType="end"/>
      </w:r>
      <w:r w:rsidR="00506AD7" w:rsidRPr="0001543F">
        <w:rPr>
          <w:lang w:val="pl-PL"/>
        </w:rPr>
        <w:t xml:space="preserve">.  Skarżący oświadczył, że Prezydium Sądu Najwyższego potwierdziło, iż skład sądu pierwszej instancji nie był zgodny z prawem. Wznowienie postępowania karnego, uchylenie wyroku z dnia 24 kwietnia 2003 r. oraz rewizja procesu skutkująca skazaniem skarżącego na mocy wyroku z dnia 16 lutego 2011 r. nie skorygowały nieprawidłowości pierwszego procesu i nie były wystarczające, by pozbawić skarżącego </w:t>
      </w:r>
      <w:r w:rsidR="00506AD7" w:rsidRPr="0001543F">
        <w:rPr>
          <w:lang w:val="pl-PL"/>
        </w:rPr>
        <w:lastRenderedPageBreak/>
        <w:t xml:space="preserve">statusu pokrzywdzonego. Skarżącemu nie wypłacono odszkodowania za okres osadzenia na mocy wyroku sądu pierwszej instancji z dnia 24 kwietnia 2003 r. do dnia 3 września 2009 r., kiedy wyrok </w:t>
      </w:r>
      <w:r w:rsidR="0092277E" w:rsidRPr="0001543F">
        <w:rPr>
          <w:lang w:val="pl-PL"/>
        </w:rPr>
        <w:t xml:space="preserve">ten </w:t>
      </w:r>
      <w:r w:rsidR="00506AD7" w:rsidRPr="0001543F">
        <w:rPr>
          <w:lang w:val="pl-PL"/>
        </w:rPr>
        <w:t xml:space="preserve">uchylono. Następnie, podczas rewizji procesu skarżący nadal przebywał w areszcie. Obliczenie kary pozbawienia wolności nałożonej </w:t>
      </w:r>
      <w:r w:rsidR="00D14B5D" w:rsidRPr="0001543F">
        <w:rPr>
          <w:lang w:val="pl-PL"/>
        </w:rPr>
        <w:t>wyrokiem</w:t>
      </w:r>
      <w:r w:rsidR="00506AD7" w:rsidRPr="0001543F">
        <w:rPr>
          <w:lang w:val="pl-PL"/>
        </w:rPr>
        <w:t xml:space="preserve"> z dnia 16 lutego 2011 r. odbyło </w:t>
      </w:r>
      <w:r w:rsidR="00D14B5D" w:rsidRPr="0001543F">
        <w:rPr>
          <w:lang w:val="pl-PL"/>
        </w:rPr>
        <w:t>się</w:t>
      </w:r>
      <w:r w:rsidR="00506AD7" w:rsidRPr="0001543F">
        <w:rPr>
          <w:lang w:val="pl-PL"/>
        </w:rPr>
        <w:t xml:space="preserve"> na podstawie ogólnych wymogów prawa i postępowania karnego, nie zaś na podstawie ustaleń </w:t>
      </w:r>
      <w:r w:rsidR="00D14B5D" w:rsidRPr="0001543F">
        <w:rPr>
          <w:lang w:val="pl-PL"/>
        </w:rPr>
        <w:t>dotyczących</w:t>
      </w:r>
      <w:r w:rsidR="00506AD7" w:rsidRPr="0001543F">
        <w:rPr>
          <w:lang w:val="pl-PL"/>
        </w:rPr>
        <w:t xml:space="preserve"> </w:t>
      </w:r>
      <w:r w:rsidR="00D14B5D" w:rsidRPr="0001543F">
        <w:rPr>
          <w:lang w:val="pl-PL"/>
        </w:rPr>
        <w:t>niezgodności</w:t>
      </w:r>
      <w:r w:rsidR="00506AD7" w:rsidRPr="0001543F">
        <w:rPr>
          <w:lang w:val="pl-PL"/>
        </w:rPr>
        <w:t xml:space="preserve"> z prawem. Nie mogło zatem stanowić zadośćuczynienia w związku z zarzutem naruszenia artykułu 5 ust. 1 Konwencji. Uwzględniając czynniki, o których mowa powyżej oraz długość rewizji procesu, skarżący podkreślał, że nie utracił statusu pokrzywdzonego w odniesieniu do niniejszej skargi.</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87</w:t>
      </w:r>
      <w:r w:rsidRPr="0001543F">
        <w:rPr>
          <w:lang w:val="pl-PL"/>
        </w:rPr>
        <w:fldChar w:fldCharType="end"/>
      </w:r>
      <w:r w:rsidR="00506AD7" w:rsidRPr="0001543F">
        <w:rPr>
          <w:lang w:val="pl-PL"/>
        </w:rPr>
        <w:t>.  Rząd w pierwszej kolejności stwierdził, że ławnicy zasiadali w składzie sędziowskim sądu pierwszej instancji w sprawie karnej przeciwko skarżącemu w latach 2002 -</w:t>
      </w:r>
      <w:r w:rsidR="0092277E" w:rsidRPr="0001543F">
        <w:rPr>
          <w:lang w:val="pl-PL"/>
        </w:rPr>
        <w:t xml:space="preserve"> </w:t>
      </w:r>
      <w:r w:rsidR="00506AD7" w:rsidRPr="0001543F">
        <w:rPr>
          <w:lang w:val="pl-PL"/>
        </w:rPr>
        <w:t xml:space="preserve">2003 w sposób zgodny z prawem. Po wznowieniu postępowania na poziomie krajowym Rząd twierdził, że uznano, </w:t>
      </w:r>
      <w:r w:rsidR="00D14B5D" w:rsidRPr="0001543F">
        <w:rPr>
          <w:lang w:val="pl-PL"/>
        </w:rPr>
        <w:t>iż</w:t>
      </w:r>
      <w:r w:rsidR="00506AD7" w:rsidRPr="0001543F">
        <w:rPr>
          <w:lang w:val="pl-PL"/>
        </w:rPr>
        <w:t xml:space="preserve"> </w:t>
      </w:r>
      <w:r w:rsidR="00D14B5D" w:rsidRPr="0001543F">
        <w:rPr>
          <w:lang w:val="pl-PL"/>
        </w:rPr>
        <w:t>doszło</w:t>
      </w:r>
      <w:r w:rsidR="00506AD7" w:rsidRPr="0001543F">
        <w:rPr>
          <w:lang w:val="pl-PL"/>
        </w:rPr>
        <w:t xml:space="preserve"> do naruszenia praw skarżącego i uchylono zakwestionowany wyrok z dnia 24 kwietnia 2003 r. Tymczasowe aresztowanie skarżącego od dnia 10 czerwca 2009 r. zostało nakazane w sposób zgodny z prawem i było przez władze krajowe przedłużane. Nowy, zgodny z prawem wyrok został wydany w lutym 2011 r. Nałożona na mocy nowego wyroku kara pozbawienia wolności uwzględniała okres osadzenia </w:t>
      </w:r>
      <w:r w:rsidR="00D14B5D" w:rsidRPr="0001543F">
        <w:rPr>
          <w:lang w:val="pl-PL"/>
        </w:rPr>
        <w:t>skarżącego</w:t>
      </w:r>
      <w:r w:rsidR="00506AD7" w:rsidRPr="0001543F">
        <w:rPr>
          <w:lang w:val="pl-PL"/>
        </w:rPr>
        <w:t xml:space="preserve"> na podstawie wyroku z dnia 24 kwietnia 2003 r. W ten sposób władze </w:t>
      </w:r>
      <w:r w:rsidR="00D14B5D" w:rsidRPr="0001543F">
        <w:rPr>
          <w:lang w:val="pl-PL"/>
        </w:rPr>
        <w:t>usunęły</w:t>
      </w:r>
      <w:r w:rsidR="00506AD7" w:rsidRPr="0001543F">
        <w:rPr>
          <w:lang w:val="pl-PL"/>
        </w:rPr>
        <w:t xml:space="preserve"> </w:t>
      </w:r>
      <w:r w:rsidR="00D14B5D" w:rsidRPr="0001543F">
        <w:rPr>
          <w:lang w:val="pl-PL"/>
        </w:rPr>
        <w:t>wszelkie</w:t>
      </w:r>
      <w:r w:rsidR="00506AD7" w:rsidRPr="0001543F">
        <w:rPr>
          <w:lang w:val="pl-PL"/>
        </w:rPr>
        <w:t xml:space="preserve"> negatywne skutki tego wyroku dla skarżącego. Zatem skarżący utracił status pokrzywdzonego w odniesieniu do niniejszej skargi.</w:t>
      </w:r>
    </w:p>
    <w:p w:rsidR="003960A7" w:rsidRPr="0001543F" w:rsidRDefault="003960A7" w:rsidP="003960A7">
      <w:pPr>
        <w:pStyle w:val="JuHA"/>
        <w:rPr>
          <w:lang w:val="pl-PL"/>
        </w:rPr>
      </w:pPr>
      <w:r w:rsidRPr="0001543F">
        <w:rPr>
          <w:bCs/>
          <w:lang w:val="pl-PL"/>
        </w:rPr>
        <w:t>B.  Ocena Trybunału</w:t>
      </w:r>
    </w:p>
    <w:p w:rsidR="003960A7" w:rsidRPr="0001543F" w:rsidRDefault="003960A7" w:rsidP="003960A7">
      <w:pPr>
        <w:pStyle w:val="JuH1"/>
        <w:rPr>
          <w:szCs w:val="24"/>
          <w:lang w:val="pl-PL"/>
        </w:rPr>
      </w:pPr>
      <w:r w:rsidRPr="0001543F">
        <w:rPr>
          <w:iCs/>
          <w:lang w:val="pl-PL"/>
        </w:rPr>
        <w:t>1.  Dopuszczalność</w:t>
      </w:r>
    </w:p>
    <w:p w:rsidR="003960A7" w:rsidRPr="0001543F" w:rsidRDefault="00F559B3" w:rsidP="0092277E">
      <w:pPr>
        <w:pStyle w:val="Tekstpodstawowy"/>
        <w:ind w:firstLine="284"/>
        <w:jc w:val="both"/>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88</w:t>
      </w:r>
      <w:r w:rsidRPr="0001543F">
        <w:rPr>
          <w:lang w:val="pl-PL"/>
        </w:rPr>
        <w:fldChar w:fldCharType="end"/>
      </w:r>
      <w:r w:rsidR="00506AD7" w:rsidRPr="0001543F">
        <w:rPr>
          <w:lang w:val="pl-PL"/>
        </w:rPr>
        <w:t>.  </w:t>
      </w:r>
      <w:r w:rsidR="0092277E" w:rsidRPr="0001543F">
        <w:rPr>
          <w:lang w:val="pl-PL"/>
        </w:rPr>
        <w:t>W</w:t>
      </w:r>
      <w:r w:rsidR="00305D33" w:rsidRPr="0001543F">
        <w:rPr>
          <w:lang w:val="pl-PL" w:eastAsia="ja-JP"/>
        </w:rPr>
        <w:t xml:space="preserve"> świetle </w:t>
      </w:r>
      <w:r w:rsidR="0092277E" w:rsidRPr="0001543F">
        <w:rPr>
          <w:lang w:val="pl-PL" w:eastAsia="ja-JP"/>
        </w:rPr>
        <w:t>oświadczeń st</w:t>
      </w:r>
      <w:r w:rsidR="00305D33" w:rsidRPr="0001543F">
        <w:rPr>
          <w:lang w:val="pl-PL" w:eastAsia="ja-JP"/>
        </w:rPr>
        <w:t>ron</w:t>
      </w:r>
      <w:r w:rsidR="0092277E" w:rsidRPr="0001543F">
        <w:rPr>
          <w:lang w:val="pl-PL" w:eastAsia="ja-JP"/>
        </w:rPr>
        <w:t xml:space="preserve"> </w:t>
      </w:r>
      <w:r w:rsidR="0092277E" w:rsidRPr="0001543F">
        <w:rPr>
          <w:lang w:val="pl-PL"/>
        </w:rPr>
        <w:t>Trybunał stwierdza</w:t>
      </w:r>
      <w:r w:rsidR="00305D33" w:rsidRPr="0001543F">
        <w:rPr>
          <w:lang w:val="pl-PL" w:eastAsia="ja-JP"/>
        </w:rPr>
        <w:t xml:space="preserve">, iż ze skargą wiążą się skomplikowane kwestie dotyczące faktów i prawa </w:t>
      </w:r>
      <w:r w:rsidR="00D6766B" w:rsidRPr="0001543F">
        <w:rPr>
          <w:lang w:val="pl-PL" w:eastAsia="ja-JP"/>
        </w:rPr>
        <w:t xml:space="preserve">w kontekście </w:t>
      </w:r>
      <w:r w:rsidR="00305D33" w:rsidRPr="0001543F">
        <w:rPr>
          <w:lang w:val="pl-PL" w:eastAsia="ja-JP"/>
        </w:rPr>
        <w:t>Konwencji, rozpatrzenie których wymaga rozstrzygnięcia co do meritum</w:t>
      </w:r>
      <w:r w:rsidR="00506AD7" w:rsidRPr="0001543F">
        <w:rPr>
          <w:lang w:val="pl-PL"/>
        </w:rPr>
        <w:t xml:space="preserve">. Z tego względu Trybunał uznaje, że w tej części niniejsza skarga nie jest oczywiście bezzasadna w rozumieniu </w:t>
      </w:r>
      <w:r w:rsidR="00F9651E" w:rsidRPr="0001543F">
        <w:rPr>
          <w:lang w:val="pl-PL"/>
        </w:rPr>
        <w:t>arty</w:t>
      </w:r>
      <w:r w:rsidR="00506AD7" w:rsidRPr="0001543F">
        <w:rPr>
          <w:lang w:val="pl-PL"/>
        </w:rPr>
        <w:t xml:space="preserve">kułu 35 ust. 3 </w:t>
      </w:r>
      <w:r w:rsidR="00AE1B21" w:rsidRPr="0001543F">
        <w:rPr>
          <w:lang w:val="pl-PL"/>
        </w:rPr>
        <w:t xml:space="preserve">lit. </w:t>
      </w:r>
      <w:r w:rsidR="00506AD7" w:rsidRPr="0001543F">
        <w:rPr>
          <w:lang w:val="pl-PL"/>
        </w:rPr>
        <w:t>(a) Konwencji. Nie stwierdzono innych podstaw uznania skargi za niedopuszczalną. W związku z tym musi zostać uznana za dopuszczalną.</w:t>
      </w:r>
    </w:p>
    <w:p w:rsidR="003960A7" w:rsidRPr="0001543F" w:rsidRDefault="003960A7" w:rsidP="003960A7">
      <w:pPr>
        <w:pStyle w:val="JuH1"/>
        <w:rPr>
          <w:lang w:val="pl-PL"/>
        </w:rPr>
      </w:pPr>
      <w:r w:rsidRPr="0001543F">
        <w:rPr>
          <w:iCs/>
          <w:lang w:val="pl-PL"/>
        </w:rPr>
        <w:t>2.  Meritum</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89</w:t>
      </w:r>
      <w:r w:rsidRPr="0001543F">
        <w:rPr>
          <w:lang w:val="pl-PL"/>
        </w:rPr>
        <w:fldChar w:fldCharType="end"/>
      </w:r>
      <w:r w:rsidR="00506AD7" w:rsidRPr="0001543F">
        <w:rPr>
          <w:lang w:val="pl-PL"/>
        </w:rPr>
        <w:t xml:space="preserve">.  Wyrokiem z dnia 24 kwietnia 2003 r. skarżący został skazany na karę dwudziestu dwóch lat pozbawienia wolności. W dniu 19 września 2003 r. sąd apelacyjny </w:t>
      </w:r>
      <w:r w:rsidR="00305D33" w:rsidRPr="0001543F">
        <w:rPr>
          <w:lang w:val="pl-PL"/>
        </w:rPr>
        <w:t>utrzymał w mocy wyrok skazujący</w:t>
      </w:r>
      <w:r w:rsidR="00506AD7" w:rsidRPr="0001543F">
        <w:rPr>
          <w:lang w:val="pl-PL"/>
        </w:rPr>
        <w:t xml:space="preserve"> i skrócił okres pozbawienia skarżącego wolności do dwudziestu jeden lat. W 2009 r. postępowanie karne zostało wznowione na drodze </w:t>
      </w:r>
      <w:r w:rsidR="00370411">
        <w:rPr>
          <w:lang w:val="pl-PL"/>
        </w:rPr>
        <w:t xml:space="preserve">nadzorczej procedury </w:t>
      </w:r>
      <w:r w:rsidR="00370411">
        <w:rPr>
          <w:lang w:val="pl-PL"/>
        </w:rPr>
        <w:lastRenderedPageBreak/>
        <w:t>rewizyjnej</w:t>
      </w:r>
      <w:r w:rsidR="00506AD7" w:rsidRPr="0001543F">
        <w:rPr>
          <w:lang w:val="pl-PL"/>
        </w:rPr>
        <w:t>. W dniu 3 września 2009 r. rosyjski Sąd Najwyższy uchylił wyrok z dnia 24 września 2003 r. i zarządził przeprowadzenie rewizji procesu. We wrześniu 2010 r. Prezydium Sądu Najwyższego zmieniło uzasadnienie decyzji z dnia 3 września 2009 r., jednocześnie potwierdzając uchylenie wyroku sądu pierwszej instancji z dnia 24 kwietnia 2003 r. W okresie rewizji procesu skarżący przebywał w areszcie. Rewizja procesu zakończyła się w 2011 r. Skarżący został skazany</w:t>
      </w:r>
      <w:r w:rsidR="0092277E" w:rsidRPr="0001543F">
        <w:rPr>
          <w:lang w:val="pl-PL"/>
        </w:rPr>
        <w:t xml:space="preserve"> na</w:t>
      </w:r>
      <w:r w:rsidR="00506AD7" w:rsidRPr="0001543F">
        <w:rPr>
          <w:lang w:val="pl-PL"/>
        </w:rPr>
        <w:t xml:space="preserve"> karę dziewiętnastu lat i sześciu miesięcy pozbawienia wolności. </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90</w:t>
      </w:r>
      <w:r w:rsidRPr="0001543F">
        <w:rPr>
          <w:lang w:val="pl-PL"/>
        </w:rPr>
        <w:fldChar w:fldCharType="end"/>
      </w:r>
      <w:r w:rsidR="00506AD7" w:rsidRPr="0001543F">
        <w:rPr>
          <w:lang w:val="pl-PL"/>
        </w:rPr>
        <w:t xml:space="preserve">.  W odniesieniu do wyroku sądu pierwszej instancji z dnia 24 kwietnia 2003 r. skarżący podniósł dwa odrębne zarzuty. Stwierdził, że sąd pierwszej instancji w sprawie karnej nie był „ustanowiony ustawą”, co stanowiło naruszenie artykułu 6 ust. 1 Konwencji (zob. par. </w:t>
      </w:r>
      <w:r w:rsidRPr="0001543F">
        <w:rPr>
          <w:lang w:val="pl-PL"/>
        </w:rPr>
        <w:fldChar w:fldCharType="begin"/>
      </w:r>
      <w:r w:rsidR="00506AD7" w:rsidRPr="0001543F">
        <w:rPr>
          <w:lang w:val="pl-PL"/>
        </w:rPr>
        <w:instrText xml:space="preserve"> REF  cc \h </w:instrText>
      </w:r>
      <w:r w:rsidRPr="0001543F">
        <w:rPr>
          <w:lang w:val="pl-PL"/>
        </w:rPr>
      </w:r>
      <w:r w:rsidRPr="0001543F">
        <w:rPr>
          <w:lang w:val="pl-PL"/>
        </w:rPr>
        <w:fldChar w:fldCharType="separate"/>
      </w:r>
      <w:r w:rsidR="00746F08" w:rsidRPr="0001543F">
        <w:rPr>
          <w:noProof/>
          <w:lang w:val="pl-PL"/>
        </w:rPr>
        <w:t>112</w:t>
      </w:r>
      <w:r w:rsidRPr="0001543F">
        <w:rPr>
          <w:lang w:val="pl-PL"/>
        </w:rPr>
        <w:fldChar w:fldCharType="end"/>
      </w:r>
      <w:r w:rsidR="00506AD7" w:rsidRPr="0001543F">
        <w:rPr>
          <w:lang w:val="pl-PL"/>
        </w:rPr>
        <w:t>-</w:t>
      </w:r>
      <w:r w:rsidRPr="0001543F">
        <w:rPr>
          <w:lang w:val="pl-PL"/>
        </w:rPr>
        <w:fldChar w:fldCharType="begin"/>
      </w:r>
      <w:r w:rsidR="00506AD7" w:rsidRPr="0001543F">
        <w:rPr>
          <w:lang w:val="pl-PL"/>
        </w:rPr>
        <w:instrText xml:space="preserve"> REF  ccc \h </w:instrText>
      </w:r>
      <w:r w:rsidRPr="0001543F">
        <w:rPr>
          <w:lang w:val="pl-PL"/>
        </w:rPr>
      </w:r>
      <w:r w:rsidRPr="0001543F">
        <w:rPr>
          <w:lang w:val="pl-PL"/>
        </w:rPr>
        <w:fldChar w:fldCharType="separate"/>
      </w:r>
      <w:r w:rsidR="00746F08" w:rsidRPr="0001543F">
        <w:rPr>
          <w:noProof/>
          <w:lang w:val="pl-PL"/>
        </w:rPr>
        <w:t>129</w:t>
      </w:r>
      <w:r w:rsidRPr="0001543F">
        <w:rPr>
          <w:lang w:val="pl-PL"/>
        </w:rPr>
        <w:fldChar w:fldCharType="end"/>
      </w:r>
      <w:r w:rsidR="00506AD7" w:rsidRPr="0001543F">
        <w:rPr>
          <w:lang w:val="pl-PL"/>
        </w:rPr>
        <w:t xml:space="preserve"> poniżej). Ponadto skarżący oświadczył, iż okres odbywanej przez niego kary pozbawienia wolności na mocy wyroku sądu pierwszej instancji nie był zgodny z wymogami artykułu 5 ust. 1 Konwencji.</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91</w:t>
      </w:r>
      <w:r w:rsidRPr="0001543F">
        <w:rPr>
          <w:lang w:val="pl-PL"/>
        </w:rPr>
        <w:fldChar w:fldCharType="end"/>
      </w:r>
      <w:r w:rsidR="00506AD7" w:rsidRPr="0001543F">
        <w:rPr>
          <w:lang w:val="pl-PL"/>
        </w:rPr>
        <w:t>.  W pierwszej kolejności Trybunał zbada, czy osadzenie skarżącego po skazaniu w 2003 r. spełniało wymogi artykułu 5 (por.</w:t>
      </w:r>
      <w:r w:rsidR="00D14B5D" w:rsidRPr="0001543F">
        <w:rPr>
          <w:lang w:val="pl-PL"/>
        </w:rPr>
        <w:t xml:space="preserve"> </w:t>
      </w:r>
      <w:r w:rsidR="00506AD7" w:rsidRPr="0001543F">
        <w:rPr>
          <w:i/>
          <w:iCs/>
          <w:szCs w:val="24"/>
          <w:lang w:val="pl-PL"/>
        </w:rPr>
        <w:t>Menesheva przeciwko Rosji</w:t>
      </w:r>
      <w:r w:rsidR="00506AD7" w:rsidRPr="0001543F">
        <w:rPr>
          <w:szCs w:val="24"/>
          <w:lang w:val="pl-PL"/>
        </w:rPr>
        <w:t xml:space="preserve">, nr 59261/00, §§ 91-93, </w:t>
      </w:r>
      <w:r w:rsidR="00506AD7" w:rsidRPr="0001543F">
        <w:rPr>
          <w:lang w:val="pl-PL"/>
        </w:rPr>
        <w:t>ETPCz 2006</w:t>
      </w:r>
      <w:r w:rsidR="00506AD7" w:rsidRPr="0001543F">
        <w:rPr>
          <w:lang w:val="pl-PL"/>
        </w:rPr>
        <w:noBreakHyphen/>
        <w:t>III).</w:t>
      </w:r>
    </w:p>
    <w:p w:rsidR="003960A7" w:rsidRPr="0001543F" w:rsidRDefault="003960A7" w:rsidP="003960A7">
      <w:pPr>
        <w:pStyle w:val="JuHa0"/>
        <w:rPr>
          <w:szCs w:val="24"/>
          <w:lang w:val="pl-PL"/>
        </w:rPr>
      </w:pPr>
      <w:r w:rsidRPr="0001543F">
        <w:rPr>
          <w:bCs/>
          <w:lang w:val="pl-PL"/>
        </w:rPr>
        <w:t>(a)  Status pokrzywdzonego skarżącego po wznowieniu sprawy karnej na poziomie krajowym</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92</w:t>
      </w:r>
      <w:r w:rsidRPr="0001543F">
        <w:rPr>
          <w:lang w:val="pl-PL"/>
        </w:rPr>
        <w:fldChar w:fldCharType="end"/>
      </w:r>
      <w:r w:rsidR="00506AD7" w:rsidRPr="0001543F">
        <w:rPr>
          <w:lang w:val="pl-PL"/>
        </w:rPr>
        <w:t xml:space="preserve">.  W pierwszej kolejności Trybunał musi zapoznać się z argumentem Rządu, że </w:t>
      </w:r>
      <w:r w:rsidR="0092277E" w:rsidRPr="0001543F">
        <w:rPr>
          <w:lang w:val="pl-PL"/>
        </w:rPr>
        <w:t>–</w:t>
      </w:r>
      <w:r w:rsidR="00506AD7" w:rsidRPr="0001543F">
        <w:rPr>
          <w:lang w:val="pl-PL"/>
        </w:rPr>
        <w:t xml:space="preserve"> podobnie jak w przypadku skargi dotyczącej naruszenia artykułu 6 </w:t>
      </w:r>
      <w:r w:rsidR="0092277E" w:rsidRPr="0001543F">
        <w:rPr>
          <w:lang w:val="pl-PL"/>
        </w:rPr>
        <w:t>–</w:t>
      </w:r>
      <w:r w:rsidR="00506AD7" w:rsidRPr="0001543F">
        <w:rPr>
          <w:lang w:val="pl-PL"/>
        </w:rPr>
        <w:t xml:space="preserve"> skarżący utracił status pokrzywdzonego na skutek uchylenia kwestionowanego wyroku z dnia 24 kwietnia 2003 r. oraz rewizji procesu.</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93</w:t>
      </w:r>
      <w:r w:rsidRPr="0001543F">
        <w:rPr>
          <w:lang w:val="pl-PL"/>
        </w:rPr>
        <w:fldChar w:fldCharType="end"/>
      </w:r>
      <w:r w:rsidR="00506AD7" w:rsidRPr="0001543F">
        <w:rPr>
          <w:lang w:val="pl-PL"/>
        </w:rPr>
        <w:t>.  W orzecznictwie Trybunału termin „pokrzywdzony” w kontekście artykułu 34 Konwencji oznacza osobę bezpośrednio dotkniętą danym działaniem bądź zaniechaniem, jako że może dojść do naruszenia Konwencji nawet w sytuacji braku szkody; szkoda ma znaczenie istotne wyłącznie w kontekście artykułu 41. W konsekwencji decyzja</w:t>
      </w:r>
      <w:r w:rsidR="00FF1AE3" w:rsidRPr="0001543F">
        <w:rPr>
          <w:lang w:val="pl-PL"/>
        </w:rPr>
        <w:t xml:space="preserve"> bądź</w:t>
      </w:r>
      <w:r w:rsidR="00506AD7" w:rsidRPr="0001543F">
        <w:rPr>
          <w:lang w:val="pl-PL"/>
        </w:rPr>
        <w:t xml:space="preserve"> środek</w:t>
      </w:r>
      <w:r w:rsidR="002179BB" w:rsidRPr="0001543F">
        <w:rPr>
          <w:lang w:val="pl-PL"/>
        </w:rPr>
        <w:t xml:space="preserve"> </w:t>
      </w:r>
      <w:r w:rsidR="00506AD7" w:rsidRPr="0001543F">
        <w:rPr>
          <w:lang w:val="pl-PL"/>
        </w:rPr>
        <w:t>korzystny dla skarżącego nie jest</w:t>
      </w:r>
      <w:r w:rsidR="00FF1AE3" w:rsidRPr="0001543F">
        <w:rPr>
          <w:lang w:val="pl-PL"/>
        </w:rPr>
        <w:t xml:space="preserve"> z</w:t>
      </w:r>
      <w:r w:rsidR="00506AD7" w:rsidRPr="0001543F">
        <w:rPr>
          <w:lang w:val="pl-PL"/>
        </w:rPr>
        <w:t xml:space="preserve"> zasady wystarczając</w:t>
      </w:r>
      <w:r w:rsidR="00D17853" w:rsidRPr="0001543F">
        <w:rPr>
          <w:lang w:val="pl-PL"/>
        </w:rPr>
        <w:t>a</w:t>
      </w:r>
      <w:r w:rsidR="00506AD7" w:rsidRPr="0001543F">
        <w:rPr>
          <w:lang w:val="pl-PL"/>
        </w:rPr>
        <w:t xml:space="preserve">, by pozbawić skarżącego statusu „pokrzywdzonego”, chyba że władze krajowe przyznały, </w:t>
      </w:r>
      <w:r w:rsidR="00586350" w:rsidRPr="0001543F">
        <w:rPr>
          <w:lang w:val="pl-PL"/>
        </w:rPr>
        <w:t>w sposób wyraźny lub dorozumiany, że doszło do naruszenia</w:t>
      </w:r>
      <w:r w:rsidR="00506AD7" w:rsidRPr="0001543F">
        <w:rPr>
          <w:lang w:val="pl-PL"/>
        </w:rPr>
        <w:t xml:space="preserve"> oraz zapewniły zadośćuczynienie z tytułu naruszenia Konwencji (zob. m.in. </w:t>
      </w:r>
      <w:r w:rsidR="00506AD7" w:rsidRPr="0001543F">
        <w:rPr>
          <w:i/>
          <w:iCs/>
          <w:lang w:val="pl-PL"/>
        </w:rPr>
        <w:t xml:space="preserve">Sakhnovskiy przeciwko Rosji </w:t>
      </w:r>
      <w:r w:rsidR="00506AD7" w:rsidRPr="0001543F">
        <w:rPr>
          <w:lang w:val="pl-PL"/>
        </w:rPr>
        <w:t>[WI], nr 21272/03</w:t>
      </w:r>
      <w:r w:rsidR="00506AD7" w:rsidRPr="0001543F">
        <w:rPr>
          <w:szCs w:val="24"/>
          <w:lang w:val="pl-PL"/>
        </w:rPr>
        <w:t>, § 67, 2</w:t>
      </w:r>
      <w:r w:rsidR="00506AD7" w:rsidRPr="0001543F">
        <w:rPr>
          <w:snapToGrid w:val="0"/>
          <w:szCs w:val="24"/>
          <w:lang w:val="pl-PL"/>
        </w:rPr>
        <w:t xml:space="preserve"> </w:t>
      </w:r>
      <w:r w:rsidR="00506AD7" w:rsidRPr="0001543F">
        <w:rPr>
          <w:szCs w:val="24"/>
          <w:lang w:val="pl-PL"/>
        </w:rPr>
        <w:t xml:space="preserve">listopada </w:t>
      </w:r>
      <w:r w:rsidR="00506AD7" w:rsidRPr="0001543F">
        <w:rPr>
          <w:snapToGrid w:val="0"/>
          <w:szCs w:val="24"/>
          <w:lang w:val="pl-PL"/>
        </w:rPr>
        <w:t xml:space="preserve">2010 r.). </w:t>
      </w:r>
      <w:r w:rsidR="00506AD7" w:rsidRPr="0001543F">
        <w:rPr>
          <w:lang w:val="pl-PL"/>
        </w:rPr>
        <w:t xml:space="preserve">Subsydiarny charakter mechanizmu ochrony Konwencji </w:t>
      </w:r>
      <w:r w:rsidR="00FD7AC6" w:rsidRPr="0001543F">
        <w:rPr>
          <w:lang w:val="pl-PL"/>
        </w:rPr>
        <w:t>wyklucza</w:t>
      </w:r>
      <w:r w:rsidR="002179BB" w:rsidRPr="0001543F">
        <w:rPr>
          <w:lang w:val="pl-PL"/>
        </w:rPr>
        <w:t xml:space="preserve"> </w:t>
      </w:r>
      <w:r w:rsidR="00506AD7" w:rsidRPr="0001543F">
        <w:rPr>
          <w:lang w:val="pl-PL"/>
        </w:rPr>
        <w:t>rozpoznanie sprawy wyłącznie w przypadku spełnienia tych warunków (</w:t>
      </w:r>
      <w:r w:rsidR="00506AD7" w:rsidRPr="0001543F">
        <w:rPr>
          <w:i/>
          <w:iCs/>
          <w:lang w:val="pl-PL"/>
        </w:rPr>
        <w:t>zob. Arat przeciwko Turcji</w:t>
      </w:r>
      <w:r w:rsidR="00506AD7" w:rsidRPr="0001543F">
        <w:rPr>
          <w:lang w:val="pl-PL"/>
        </w:rPr>
        <w:t xml:space="preserve">, nr 10309/03, § 46, 10 listopada 2009 r.). Domniemana utrata przez skarżącego statusu pokrzywdzonego wymaga zbadania natury prawa będącego przedmiotem sporu, podstaw wskazanych przez władze krajowe w ich decyzji oraz dalszego istnienia negatywnych skutków dla skarżącego po wydaniu decyzji (zob. </w:t>
      </w:r>
      <w:r w:rsidR="00506AD7" w:rsidRPr="0001543F">
        <w:rPr>
          <w:i/>
          <w:iCs/>
          <w:lang w:val="pl-PL"/>
        </w:rPr>
        <w:t xml:space="preserve">Freimanis i Līdums przeciwko </w:t>
      </w:r>
      <w:r w:rsidR="00506AD7" w:rsidRPr="0001543F">
        <w:rPr>
          <w:lang w:val="pl-PL"/>
        </w:rPr>
        <w:t>Łotwie, nr 73443/01 i 74860/01, § 68, 9 lutego 2006 r.).</w:t>
      </w:r>
    </w:p>
    <w:p w:rsidR="003960A7" w:rsidRPr="0001543F" w:rsidRDefault="00F559B3" w:rsidP="003960A7">
      <w:pPr>
        <w:pStyle w:val="JuPara"/>
        <w:rPr>
          <w:lang w:val="pl-PL"/>
        </w:rPr>
      </w:pPr>
      <w:r w:rsidRPr="0001543F">
        <w:rPr>
          <w:lang w:val="pl-PL"/>
        </w:rPr>
        <w:lastRenderedPageBreak/>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94</w:t>
      </w:r>
      <w:r w:rsidRPr="0001543F">
        <w:rPr>
          <w:lang w:val="pl-PL"/>
        </w:rPr>
        <w:fldChar w:fldCharType="end"/>
      </w:r>
      <w:r w:rsidR="00506AD7" w:rsidRPr="0001543F">
        <w:rPr>
          <w:lang w:val="pl-PL"/>
        </w:rPr>
        <w:t>.  Oczywistym jest, iż w niniejszej sprawie władze przyznały, że doszło pierwotnie do naruszenia prawa skarżącego do sądu „ustanowionego ustawą” zgodnie z artykułem 6 ust. 1 Konwencji.</w:t>
      </w:r>
      <w:r w:rsidR="002179BB" w:rsidRPr="0001543F">
        <w:rPr>
          <w:lang w:val="pl-PL"/>
        </w:rPr>
        <w:t xml:space="preserve"> </w:t>
      </w:r>
      <w:r w:rsidR="00506AD7" w:rsidRPr="0001543F">
        <w:rPr>
          <w:lang w:val="pl-PL"/>
        </w:rPr>
        <w:t xml:space="preserve">Jednakże, po zapoznaniu </w:t>
      </w:r>
      <w:r w:rsidR="00D14B5D" w:rsidRPr="0001543F">
        <w:rPr>
          <w:lang w:val="pl-PL"/>
        </w:rPr>
        <w:t>się</w:t>
      </w:r>
      <w:r w:rsidR="00506AD7" w:rsidRPr="0001543F">
        <w:rPr>
          <w:lang w:val="pl-PL"/>
        </w:rPr>
        <w:t xml:space="preserve"> z dostępnymi materiałami, w tym z decyzją z dnia 1 września 2010 r. (zob. par. </w:t>
      </w:r>
      <w:r w:rsidRPr="0001543F">
        <w:rPr>
          <w:lang w:val="pl-PL"/>
        </w:rPr>
        <w:fldChar w:fldCharType="begin"/>
      </w:r>
      <w:r w:rsidR="00506AD7" w:rsidRPr="0001543F">
        <w:rPr>
          <w:lang w:val="pl-PL"/>
        </w:rPr>
        <w:instrText xml:space="preserve"> REF  Presidium2010 \h </w:instrText>
      </w:r>
      <w:r w:rsidRPr="0001543F">
        <w:rPr>
          <w:lang w:val="pl-PL"/>
        </w:rPr>
      </w:r>
      <w:r w:rsidRPr="0001543F">
        <w:rPr>
          <w:lang w:val="pl-PL"/>
        </w:rPr>
        <w:fldChar w:fldCharType="separate"/>
      </w:r>
      <w:r w:rsidR="00746F08" w:rsidRPr="0001543F">
        <w:rPr>
          <w:noProof/>
          <w:lang w:val="pl-PL"/>
        </w:rPr>
        <w:t>24</w:t>
      </w:r>
      <w:r w:rsidRPr="0001543F">
        <w:rPr>
          <w:lang w:val="pl-PL"/>
        </w:rPr>
        <w:fldChar w:fldCharType="end"/>
      </w:r>
      <w:r w:rsidR="00506AD7" w:rsidRPr="0001543F">
        <w:rPr>
          <w:lang w:val="pl-PL"/>
        </w:rPr>
        <w:t xml:space="preserve"> powyżej), Trybunał nie jest przekonany, że w niniejszej sprawie władze krajowe przyznały, </w:t>
      </w:r>
      <w:r w:rsidR="00586350" w:rsidRPr="0001543F">
        <w:rPr>
          <w:lang w:val="pl-PL"/>
        </w:rPr>
        <w:t>w sposób wyraźny lub dorozumiany</w:t>
      </w:r>
      <w:r w:rsidR="00506AD7" w:rsidRPr="0001543F">
        <w:rPr>
          <w:lang w:val="pl-PL"/>
        </w:rPr>
        <w:t>, że osadzenie skarżącego (kara pozbawienia wolności) na podstawie wyroku sądu pierwszej instancji nie było „zgodne z prawem”.</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95</w:t>
      </w:r>
      <w:r w:rsidRPr="0001543F">
        <w:rPr>
          <w:lang w:val="pl-PL"/>
        </w:rPr>
        <w:fldChar w:fldCharType="end"/>
      </w:r>
      <w:r w:rsidR="00506AD7" w:rsidRPr="0001543F">
        <w:rPr>
          <w:lang w:val="pl-PL"/>
        </w:rPr>
        <w:t>.  Trybunał zauważa</w:t>
      </w:r>
      <w:r w:rsidR="00D17853" w:rsidRPr="0001543F">
        <w:rPr>
          <w:lang w:val="pl-PL"/>
        </w:rPr>
        <w:t xml:space="preserve"> w każdym przypadku</w:t>
      </w:r>
      <w:r w:rsidR="00506AD7" w:rsidRPr="0001543F">
        <w:rPr>
          <w:lang w:val="pl-PL"/>
        </w:rPr>
        <w:t xml:space="preserve">, że skarżący nie otrzymał odpowiedniego zadośćuczynienia. Trybunał przypomina, iż europejski system ochrony praw człowieka opiera się na zasadzie subsydiarności. </w:t>
      </w:r>
      <w:r w:rsidR="00D17853" w:rsidRPr="0001543F">
        <w:rPr>
          <w:lang w:val="pl-PL"/>
        </w:rPr>
        <w:t xml:space="preserve">Przed rozpoznaniem sprawy przez Trybunał </w:t>
      </w:r>
      <w:r w:rsidR="00506AD7" w:rsidRPr="0001543F">
        <w:rPr>
          <w:lang w:val="pl-PL"/>
        </w:rPr>
        <w:t>Państwa powinny mieć możliwość naprawy naruszeń, do których doszło w przeszłości;</w:t>
      </w:r>
      <w:r w:rsidR="00D14B5D" w:rsidRPr="0001543F">
        <w:rPr>
          <w:lang w:val="pl-PL"/>
        </w:rPr>
        <w:t xml:space="preserve"> </w:t>
      </w:r>
      <w:r w:rsidR="00506AD7" w:rsidRPr="0001543F">
        <w:rPr>
          <w:lang w:val="pl-PL"/>
        </w:rPr>
        <w:t xml:space="preserve">jednakże „zasada </w:t>
      </w:r>
      <w:r w:rsidR="00586350" w:rsidRPr="0001543F">
        <w:rPr>
          <w:lang w:val="pl-PL"/>
        </w:rPr>
        <w:t>subsydiarności</w:t>
      </w:r>
      <w:r w:rsidR="00506AD7" w:rsidRPr="0001543F">
        <w:rPr>
          <w:lang w:val="pl-PL"/>
        </w:rPr>
        <w:t xml:space="preserve"> nie oznacza rezygnacji z całości nadzoru nad wynikiem zastosowania środków krajowych” (zob. </w:t>
      </w:r>
      <w:r w:rsidR="00506AD7" w:rsidRPr="0001543F">
        <w:rPr>
          <w:i/>
          <w:iCs/>
          <w:lang w:val="pl-PL"/>
        </w:rPr>
        <w:t>Giuseppe Mostacciuolo przeciwko Włochom</w:t>
      </w:r>
      <w:r w:rsidR="00506AD7" w:rsidRPr="0001543F">
        <w:rPr>
          <w:lang w:val="pl-PL"/>
        </w:rPr>
        <w:t xml:space="preserve"> (nr 2) [WI], nr 65102/01, § 81, 29 marca 2006 r.). Ponadto nie należy rozumieć zasady subsydiarności jako umożliwiającej Państwom unikania jurysdykcji Trybunału (zob.</w:t>
      </w:r>
      <w:r w:rsidR="00506AD7" w:rsidRPr="0001543F">
        <w:rPr>
          <w:i/>
          <w:iCs/>
          <w:lang w:val="pl-PL"/>
        </w:rPr>
        <w:t xml:space="preserve"> Sakhnovskiy</w:t>
      </w:r>
      <w:r w:rsidR="00506AD7" w:rsidRPr="0001543F">
        <w:rPr>
          <w:lang w:val="pl-PL"/>
        </w:rPr>
        <w:t xml:space="preserve">, cyt. powyżej, </w:t>
      </w:r>
      <w:r w:rsidR="00506AD7" w:rsidRPr="0001543F">
        <w:rPr>
          <w:szCs w:val="24"/>
          <w:lang w:val="pl-PL"/>
        </w:rPr>
        <w:t>§ 76</w:t>
      </w:r>
      <w:r w:rsidR="00506AD7" w:rsidRPr="0001543F">
        <w:rPr>
          <w:snapToGrid w:val="0"/>
          <w:szCs w:val="24"/>
          <w:lang w:val="pl-PL"/>
        </w:rPr>
        <w:t>).</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96</w:t>
      </w:r>
      <w:r w:rsidRPr="0001543F">
        <w:rPr>
          <w:lang w:val="pl-PL"/>
        </w:rPr>
        <w:fldChar w:fldCharType="end"/>
      </w:r>
      <w:r w:rsidR="00506AD7" w:rsidRPr="0001543F">
        <w:rPr>
          <w:lang w:val="pl-PL"/>
        </w:rPr>
        <w:t>.  Jest jasnym, iż skarżący w niniejszej sprawie stał się pokrzywdzonym przez złożeniem skargi do Trybunału. Państwo miało obowiązek zapewnienia skarżącemu właściwego i wystarczającego zadośćuczynienia z tytułu niniejszej skargi w sposób terminowy, to jest, przed rozpoznaniem skargi przez Trybunał. W opinii Trybunału sam fakt ponownego wszczęcia postępowania nie wystarczał, by pozbawić skarżącego statusu pokrzywdzonego.</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97</w:t>
      </w:r>
      <w:r w:rsidRPr="0001543F">
        <w:rPr>
          <w:lang w:val="pl-PL"/>
        </w:rPr>
        <w:fldChar w:fldCharType="end"/>
      </w:r>
      <w:r w:rsidR="00506AD7" w:rsidRPr="0001543F">
        <w:rPr>
          <w:lang w:val="pl-PL"/>
        </w:rPr>
        <w:t xml:space="preserve">.  Porównując </w:t>
      </w:r>
      <w:r w:rsidR="00D17853" w:rsidRPr="0001543F">
        <w:rPr>
          <w:lang w:val="pl-PL"/>
        </w:rPr>
        <w:t>–</w:t>
      </w:r>
      <w:r w:rsidR="00506AD7" w:rsidRPr="0001543F">
        <w:rPr>
          <w:lang w:val="pl-PL"/>
        </w:rPr>
        <w:t xml:space="preserve"> w</w:t>
      </w:r>
      <w:r w:rsidR="002179BB" w:rsidRPr="0001543F">
        <w:rPr>
          <w:lang w:val="pl-PL"/>
        </w:rPr>
        <w:t xml:space="preserve"> </w:t>
      </w:r>
      <w:r w:rsidR="00506AD7" w:rsidRPr="0001543F">
        <w:rPr>
          <w:lang w:val="pl-PL"/>
        </w:rPr>
        <w:t xml:space="preserve">odniesieniu do zarzutów naruszenia artykułu 6 Konwencji </w:t>
      </w:r>
      <w:r w:rsidR="00D17853" w:rsidRPr="0001543F">
        <w:rPr>
          <w:lang w:val="pl-PL"/>
        </w:rPr>
        <w:t>–</w:t>
      </w:r>
      <w:r w:rsidR="00506AD7" w:rsidRPr="0001543F">
        <w:rPr>
          <w:lang w:val="pl-PL"/>
        </w:rPr>
        <w:t xml:space="preserve"> w sprawie </w:t>
      </w:r>
      <w:r w:rsidR="00506AD7" w:rsidRPr="0001543F">
        <w:rPr>
          <w:i/>
          <w:iCs/>
          <w:lang w:val="pl-PL"/>
        </w:rPr>
        <w:t>Sakhnovskiy</w:t>
      </w:r>
      <w:r w:rsidR="00506AD7" w:rsidRPr="0001543F">
        <w:rPr>
          <w:lang w:val="pl-PL"/>
        </w:rPr>
        <w:t xml:space="preserve"> (cyt. powyżej, </w:t>
      </w:r>
      <w:r w:rsidR="00506AD7" w:rsidRPr="0001543F">
        <w:rPr>
          <w:szCs w:val="24"/>
          <w:lang w:val="pl-PL"/>
        </w:rPr>
        <w:t>§ 83</w:t>
      </w:r>
      <w:r w:rsidR="00506AD7" w:rsidRPr="0001543F">
        <w:rPr>
          <w:snapToGrid w:val="0"/>
          <w:szCs w:val="24"/>
          <w:lang w:val="pl-PL"/>
        </w:rPr>
        <w:t xml:space="preserve">) Trybunał uznał, że nie można uznać, iż </w:t>
      </w:r>
      <w:r w:rsidR="00506AD7" w:rsidRPr="0001543F">
        <w:rPr>
          <w:lang w:val="pl-PL"/>
        </w:rPr>
        <w:t>wznowienie postępowania jako takie automatycznie stanowi wystarczające zadośćuczynienie, które mogłoby pozbawić skarżącego statusu pokrzywdzonego.</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98</w:t>
      </w:r>
      <w:r w:rsidRPr="0001543F">
        <w:rPr>
          <w:lang w:val="pl-PL"/>
        </w:rPr>
        <w:fldChar w:fldCharType="end"/>
      </w:r>
      <w:r w:rsidR="00506AD7" w:rsidRPr="0001543F">
        <w:rPr>
          <w:lang w:val="pl-PL"/>
        </w:rPr>
        <w:t xml:space="preserve">.  Wracając do kwestii artykułu 5 Konwencji, Trybunał uznaje, że wznowienie sprawy karnej i rewizja procesu nie stanowiły właściwego i wystarczającego zadośćuczynienia skarżącemu w związku z zarzutem naruszenia artykułu 5 ust. </w:t>
      </w:r>
      <w:r w:rsidR="00AE1B21" w:rsidRPr="0001543F">
        <w:rPr>
          <w:lang w:val="pl-PL"/>
        </w:rPr>
        <w:t>1 lit. (a)</w:t>
      </w:r>
      <w:r w:rsidR="00506AD7" w:rsidRPr="0001543F">
        <w:rPr>
          <w:lang w:val="pl-PL"/>
        </w:rPr>
        <w:t xml:space="preserve"> Konwencji. </w:t>
      </w:r>
      <w:r w:rsidR="00437B60" w:rsidRPr="0001543F">
        <w:rPr>
          <w:lang w:val="pl-PL"/>
        </w:rPr>
        <w:t xml:space="preserve">Ponad sześć lat osadzenia w jednostce penitencjarnej na podstawie wyroku z dnia </w:t>
      </w:r>
      <w:r w:rsidR="00506AD7" w:rsidRPr="0001543F">
        <w:rPr>
          <w:lang w:val="pl-PL"/>
        </w:rPr>
        <w:t>24 kwietnia 2003 r</w:t>
      </w:r>
      <w:r w:rsidR="00437B60" w:rsidRPr="0001543F">
        <w:rPr>
          <w:lang w:val="pl-PL"/>
        </w:rPr>
        <w:t xml:space="preserve"> oznacza, że wystąpiła istotna ingerencja w prawo skarżącego do wolności, a skarżący nie </w:t>
      </w:r>
      <w:r w:rsidR="00506AD7" w:rsidRPr="0001543F">
        <w:rPr>
          <w:lang w:val="pl-PL"/>
        </w:rPr>
        <w:t>otrzymał odszkodowania</w:t>
      </w:r>
      <w:bookmarkStart w:id="22" w:name="_Toc246481054"/>
      <w:bookmarkStart w:id="23" w:name="ScordinoPrinciples"/>
      <w:bookmarkEnd w:id="22"/>
      <w:bookmarkEnd w:id="23"/>
      <w:r w:rsidR="00506AD7" w:rsidRPr="0001543F">
        <w:rPr>
          <w:lang w:val="pl-PL"/>
        </w:rPr>
        <w:t xml:space="preserve"> ani innego właściwego i wystarczającego zadośćuczynienia. Rząd nie sugerował, że ze względu na okoliczności niniejszej sprawy zgodnie z prawem rosyjskim skarżącemu przysługuje jakiekolwiek odszkodowanie.</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99</w:t>
      </w:r>
      <w:r w:rsidRPr="0001543F">
        <w:rPr>
          <w:lang w:val="pl-PL"/>
        </w:rPr>
        <w:fldChar w:fldCharType="end"/>
      </w:r>
      <w:r w:rsidR="00506AD7" w:rsidRPr="0001543F">
        <w:rPr>
          <w:lang w:val="pl-PL"/>
        </w:rPr>
        <w:t xml:space="preserve">.  Trybunał zauważa, iż sposób obliczenia długości kary pozbawienia wolności na mocy wyroku z dnia 16 lutego 2011 r. począwszy od daty zatrzymania skarżącego w dniu 13 marca 2001 r., wynikał z ogólnego </w:t>
      </w:r>
      <w:r w:rsidR="00506AD7" w:rsidRPr="0001543F">
        <w:rPr>
          <w:lang w:val="pl-PL"/>
        </w:rPr>
        <w:lastRenderedPageBreak/>
        <w:t xml:space="preserve">przepisu kodeksu karnego. Obliczenie to nie zostało dokonane w intencji - i nie stało się </w:t>
      </w:r>
      <w:r w:rsidR="00FD7AC6" w:rsidRPr="0001543F">
        <w:rPr>
          <w:lang w:val="pl-PL"/>
        </w:rPr>
        <w:t>–</w:t>
      </w:r>
      <w:r w:rsidR="00506AD7" w:rsidRPr="0001543F">
        <w:rPr>
          <w:lang w:val="pl-PL"/>
        </w:rPr>
        <w:t xml:space="preserve"> </w:t>
      </w:r>
      <w:r w:rsidR="00FD7AC6" w:rsidRPr="0001543F">
        <w:rPr>
          <w:lang w:val="pl-PL"/>
        </w:rPr>
        <w:t xml:space="preserve">uznania naruszenia </w:t>
      </w:r>
      <w:r w:rsidR="00506AD7" w:rsidRPr="0001543F">
        <w:rPr>
          <w:lang w:val="pl-PL"/>
        </w:rPr>
        <w:t xml:space="preserve">i zadośćuczynienia z tytułu niniejszej skargi (zob. </w:t>
      </w:r>
      <w:r w:rsidR="00506AD7" w:rsidRPr="0001543F">
        <w:rPr>
          <w:i/>
          <w:iCs/>
          <w:lang w:val="pl-PL"/>
        </w:rPr>
        <w:t>Lebedev przeciwko Rosji</w:t>
      </w:r>
      <w:r w:rsidR="00506AD7" w:rsidRPr="0001543F">
        <w:rPr>
          <w:lang w:val="pl-PL"/>
        </w:rPr>
        <w:t>, nr 4493/04, § 47, 25 października 2007 r.).</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100</w:t>
      </w:r>
      <w:r w:rsidRPr="0001543F">
        <w:rPr>
          <w:lang w:val="pl-PL"/>
        </w:rPr>
        <w:fldChar w:fldCharType="end"/>
      </w:r>
      <w:r w:rsidR="00506AD7" w:rsidRPr="0001543F">
        <w:rPr>
          <w:lang w:val="pl-PL"/>
        </w:rPr>
        <w:t xml:space="preserve">.  Uwzględniając charakter prawa będącego przedmiotem sporu oraz </w:t>
      </w:r>
      <w:r w:rsidR="008770D5" w:rsidRPr="0001543F">
        <w:rPr>
          <w:lang w:val="pl-PL"/>
        </w:rPr>
        <w:t>utrzymywania</w:t>
      </w:r>
      <w:r w:rsidR="00506AD7" w:rsidRPr="0001543F">
        <w:rPr>
          <w:lang w:val="pl-PL"/>
        </w:rPr>
        <w:t xml:space="preserve"> się negatywnych skutków dla skarżącego po uchyleniu wyroku sądu pierwszej instancji, Trybunał stwierdza, że skarżący ma prawo uważać się za pokrzywdzonego w rozumieniu artykułu 34 Konwencji. Z tego względu Trybunał odrzuca sprzeciw Rządu w tym zakresie.</w:t>
      </w:r>
    </w:p>
    <w:p w:rsidR="003960A7" w:rsidRPr="0001543F" w:rsidRDefault="003960A7" w:rsidP="003960A7">
      <w:pPr>
        <w:pStyle w:val="JuHa0"/>
        <w:rPr>
          <w:lang w:val="pl-PL"/>
        </w:rPr>
      </w:pPr>
      <w:r w:rsidRPr="0001543F">
        <w:rPr>
          <w:bCs/>
          <w:lang w:val="pl-PL"/>
        </w:rPr>
        <w:t>(b)  Ocena okresu osadzenia na podstawie wyroku sądu pierwszej instancji z dnia 24 kwietnia 2003 r.</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101</w:t>
      </w:r>
      <w:r w:rsidRPr="0001543F">
        <w:rPr>
          <w:lang w:val="pl-PL"/>
        </w:rPr>
        <w:fldChar w:fldCharType="end"/>
      </w:r>
      <w:r w:rsidR="00506AD7" w:rsidRPr="0001543F">
        <w:rPr>
          <w:lang w:val="pl-PL"/>
        </w:rPr>
        <w:t>.  Trybunał musi ocenić, czy kwestionowane osadzenie było „zgodne z prawem” w tym</w:t>
      </w:r>
      <w:r w:rsidR="00D17853" w:rsidRPr="0001543F">
        <w:rPr>
          <w:lang w:val="pl-PL"/>
        </w:rPr>
        <w:t>,</w:t>
      </w:r>
      <w:r w:rsidR="00506AD7" w:rsidRPr="0001543F">
        <w:rPr>
          <w:lang w:val="pl-PL"/>
        </w:rPr>
        <w:t xml:space="preserve"> czy odbyło się „w trybie ustalonym przez prawo”. Zasadniczo Konwencja odwołuje się do prawa krajowego i wskazuje na obowiązek </w:t>
      </w:r>
      <w:r w:rsidR="005C6842" w:rsidRPr="0001543F">
        <w:rPr>
          <w:lang w:val="pl-PL"/>
        </w:rPr>
        <w:t>przestrzegania</w:t>
      </w:r>
      <w:r w:rsidR="00506AD7" w:rsidRPr="0001543F">
        <w:rPr>
          <w:lang w:val="pl-PL"/>
        </w:rPr>
        <w:t xml:space="preserve"> jego przepisów proceduralnych i materialnych, przy czym dodatkowo wymaga, by każdy przypadek pozbawienia wolności był zgodny z celem artykułu 5, to jest ochroną osób przez arbitralnością. Interpretacja i stosowanie prawa krajowego należy w pierwszej kolejności do władz krajowych, w </w:t>
      </w:r>
      <w:r w:rsidR="005C6842" w:rsidRPr="0001543F">
        <w:rPr>
          <w:lang w:val="pl-PL"/>
        </w:rPr>
        <w:t>szczególności</w:t>
      </w:r>
      <w:r w:rsidR="00D17853" w:rsidRPr="0001543F">
        <w:rPr>
          <w:lang w:val="pl-PL"/>
        </w:rPr>
        <w:t xml:space="preserve"> do</w:t>
      </w:r>
      <w:r w:rsidR="005C6842" w:rsidRPr="0001543F">
        <w:rPr>
          <w:lang w:val="pl-PL"/>
        </w:rPr>
        <w:t xml:space="preserve"> są</w:t>
      </w:r>
      <w:r w:rsidR="00506AD7" w:rsidRPr="0001543F">
        <w:rPr>
          <w:lang w:val="pl-PL"/>
        </w:rPr>
        <w:t xml:space="preserve">dów. Jednakże ze względu na fakt, że zgodnie z artykułem 5 ust. 1 brak przestrzegania prawa krajowego stanowi naruszenie Konwencji, Trybunał może i powinien wykonywać uprawnienia do weryfikacji, czy prawo krajowe było przestrzegane (zob. </w:t>
      </w:r>
      <w:r w:rsidR="00506AD7" w:rsidRPr="0001543F">
        <w:rPr>
          <w:i/>
          <w:iCs/>
          <w:lang w:val="pl-PL"/>
        </w:rPr>
        <w:t>Benham przeciwko Zjednoczonemu Królestwu</w:t>
      </w:r>
      <w:r w:rsidR="00506AD7" w:rsidRPr="0001543F">
        <w:rPr>
          <w:lang w:val="pl-PL"/>
        </w:rPr>
        <w:t xml:space="preserve">, 10 czerwca 1996, §§ 40-41, </w:t>
      </w:r>
      <w:r w:rsidR="00F9651E" w:rsidRPr="0001543F">
        <w:rPr>
          <w:i/>
          <w:iCs/>
          <w:lang w:val="pl-PL"/>
        </w:rPr>
        <w:t>Raporty Wyroków i Decyzji</w:t>
      </w:r>
      <w:r w:rsidR="00506AD7" w:rsidRPr="0001543F">
        <w:rPr>
          <w:lang w:val="pl-PL"/>
        </w:rPr>
        <w:t xml:space="preserve"> 1996</w:t>
      </w:r>
      <w:r w:rsidR="00506AD7" w:rsidRPr="0001543F">
        <w:rPr>
          <w:lang w:val="pl-PL"/>
        </w:rPr>
        <w:noBreakHyphen/>
        <w:t>III).</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102</w:t>
      </w:r>
      <w:r w:rsidRPr="0001543F">
        <w:rPr>
          <w:lang w:val="pl-PL"/>
        </w:rPr>
        <w:fldChar w:fldCharType="end"/>
      </w:r>
      <w:r w:rsidR="00506AD7" w:rsidRPr="0001543F">
        <w:rPr>
          <w:lang w:val="pl-PL"/>
        </w:rPr>
        <w:t xml:space="preserve">.  Co do zasady okres pozbawienia wolności jest zgodny z prawem, jeżeli odbywał się na podstawie orzeczenia sądu. </w:t>
      </w:r>
      <w:r w:rsidR="00FD7AC6" w:rsidRPr="0001543F">
        <w:rPr>
          <w:lang w:val="pl-PL"/>
        </w:rPr>
        <w:t xml:space="preserve">Stwierdzenie w późniejszym terminie, że sąd popełnił błąd w zakresie zastosowania prawa krajowego przy wydawaniu orzeczenia, nie musi koniecznie wywierać </w:t>
      </w:r>
      <w:r w:rsidR="00A3628C" w:rsidRPr="0001543F">
        <w:rPr>
          <w:lang w:val="pl-PL"/>
        </w:rPr>
        <w:t xml:space="preserve">wpływu </w:t>
      </w:r>
      <w:r w:rsidR="00FD7AC6" w:rsidRPr="0001543F">
        <w:rPr>
          <w:lang w:val="pl-PL"/>
        </w:rPr>
        <w:t xml:space="preserve">z mocą wsteczną na ważność odnośnego okresu osadzenia. </w:t>
      </w:r>
      <w:r w:rsidR="00506AD7" w:rsidRPr="0001543F">
        <w:rPr>
          <w:lang w:val="pl-PL"/>
        </w:rPr>
        <w:t>Z tej przyczyny Trybunał konsekwentnie odmawiał u</w:t>
      </w:r>
      <w:r w:rsidR="00FD7AC6" w:rsidRPr="0001543F">
        <w:rPr>
          <w:lang w:val="pl-PL"/>
        </w:rPr>
        <w:t xml:space="preserve">względniania </w:t>
      </w:r>
      <w:r w:rsidR="00506AD7" w:rsidRPr="0001543F">
        <w:rPr>
          <w:lang w:val="pl-PL"/>
        </w:rPr>
        <w:t xml:space="preserve">skarg składanych przez osoby skazane </w:t>
      </w:r>
      <w:r w:rsidR="00A3628C" w:rsidRPr="0001543F">
        <w:rPr>
          <w:lang w:val="pl-PL"/>
        </w:rPr>
        <w:t xml:space="preserve">na podstawie </w:t>
      </w:r>
      <w:r w:rsidR="00506AD7" w:rsidRPr="0001543F">
        <w:rPr>
          <w:lang w:val="pl-PL"/>
        </w:rPr>
        <w:t>popełnieni</w:t>
      </w:r>
      <w:r w:rsidR="00A3628C" w:rsidRPr="0001543F">
        <w:rPr>
          <w:lang w:val="pl-PL"/>
        </w:rPr>
        <w:t>a</w:t>
      </w:r>
      <w:r w:rsidR="00506AD7" w:rsidRPr="0001543F">
        <w:rPr>
          <w:lang w:val="pl-PL"/>
        </w:rPr>
        <w:t xml:space="preserve"> przestępstw karnych, które </w:t>
      </w:r>
      <w:r w:rsidR="00FD7AC6" w:rsidRPr="0001543F">
        <w:rPr>
          <w:lang w:val="pl-PL"/>
        </w:rPr>
        <w:t>podnosiły zarzut, że w sądy apelacyjne uznały, iż wyroki w ich sprawach wydane zostały na podstawie błę</w:t>
      </w:r>
      <w:r w:rsidR="00912D24" w:rsidRPr="0001543F">
        <w:rPr>
          <w:lang w:val="pl-PL"/>
        </w:rPr>
        <w:t xml:space="preserve">dów w zakresie ustaleń faktycznych bądź </w:t>
      </w:r>
      <w:r w:rsidR="00A3628C" w:rsidRPr="0001543F">
        <w:rPr>
          <w:lang w:val="pl-PL"/>
        </w:rPr>
        <w:t xml:space="preserve">dotyczących </w:t>
      </w:r>
      <w:r w:rsidR="00912D24" w:rsidRPr="0001543F">
        <w:rPr>
          <w:lang w:val="pl-PL"/>
        </w:rPr>
        <w:t>zastosowania prawa</w:t>
      </w:r>
      <w:r w:rsidR="00506AD7" w:rsidRPr="0001543F">
        <w:rPr>
          <w:lang w:val="pl-PL"/>
        </w:rPr>
        <w:t xml:space="preserve"> (ibid, § 42).</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103</w:t>
      </w:r>
      <w:r w:rsidRPr="0001543F">
        <w:rPr>
          <w:lang w:val="pl-PL"/>
        </w:rPr>
        <w:fldChar w:fldCharType="end"/>
      </w:r>
      <w:r w:rsidR="00506AD7" w:rsidRPr="0001543F">
        <w:rPr>
          <w:lang w:val="pl-PL"/>
        </w:rPr>
        <w:t xml:space="preserve">.  W sprawie </w:t>
      </w:r>
      <w:r w:rsidR="00506AD7" w:rsidRPr="0001543F">
        <w:rPr>
          <w:i/>
          <w:iCs/>
          <w:szCs w:val="24"/>
          <w:lang w:val="pl-PL"/>
        </w:rPr>
        <w:t>Menesheva</w:t>
      </w:r>
      <w:r w:rsidR="00506AD7" w:rsidRPr="0001543F">
        <w:rPr>
          <w:szCs w:val="24"/>
          <w:lang w:val="pl-PL"/>
        </w:rPr>
        <w:t xml:space="preserve"> (cyt. powyżej, § 92</w:t>
      </w:r>
      <w:r w:rsidR="00506AD7" w:rsidRPr="0001543F">
        <w:rPr>
          <w:lang w:val="pl-PL"/>
        </w:rPr>
        <w:t xml:space="preserve">) tymczasowe aresztowanie odbyło </w:t>
      </w:r>
      <w:r w:rsidR="005C6842" w:rsidRPr="0001543F">
        <w:rPr>
          <w:lang w:val="pl-PL"/>
        </w:rPr>
        <w:t>się</w:t>
      </w:r>
      <w:r w:rsidR="00506AD7" w:rsidRPr="0001543F">
        <w:rPr>
          <w:lang w:val="pl-PL"/>
        </w:rPr>
        <w:t xml:space="preserve"> na mocy nakazu wydanego przez sędziego, który co do zasady był kompetentny do podjęcia decyzji w tej sprawie. Trybunał uznał jednakże, iż sędzia wykonał swoje uprawnienia w sposób oczywiście niezgodny z gwarancjami </w:t>
      </w:r>
      <w:r w:rsidR="005C6842" w:rsidRPr="0001543F">
        <w:rPr>
          <w:lang w:val="pl-PL"/>
        </w:rPr>
        <w:t>proceduralnymi</w:t>
      </w:r>
      <w:r w:rsidR="00506AD7" w:rsidRPr="0001543F">
        <w:rPr>
          <w:lang w:val="pl-PL"/>
        </w:rPr>
        <w:t xml:space="preserve">, o których mowa w Konwencji. Zatem postanowienie o tymczasowym aresztowaniu nie było zgodne z ogólną zasadą ochrony przed </w:t>
      </w:r>
      <w:r w:rsidR="005C6842" w:rsidRPr="0001543F">
        <w:rPr>
          <w:lang w:val="pl-PL"/>
        </w:rPr>
        <w:t>arbitralnością</w:t>
      </w:r>
      <w:r w:rsidR="00506AD7" w:rsidRPr="0001543F">
        <w:rPr>
          <w:lang w:val="pl-PL"/>
        </w:rPr>
        <w:t xml:space="preserve"> gwarantowaną na podstawie artykułu 5 Konwencji. </w:t>
      </w:r>
    </w:p>
    <w:p w:rsidR="003960A7" w:rsidRPr="0001543F" w:rsidRDefault="00F559B3" w:rsidP="003960A7">
      <w:pPr>
        <w:pStyle w:val="JuPara"/>
        <w:rPr>
          <w:lang w:val="pl-PL"/>
        </w:rPr>
      </w:pPr>
      <w:r w:rsidRPr="0001543F">
        <w:rPr>
          <w:lang w:val="pl-PL"/>
        </w:rPr>
        <w:lastRenderedPageBreak/>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104</w:t>
      </w:r>
      <w:r w:rsidRPr="0001543F">
        <w:rPr>
          <w:lang w:val="pl-PL"/>
        </w:rPr>
        <w:fldChar w:fldCharType="end"/>
      </w:r>
      <w:r w:rsidR="00506AD7" w:rsidRPr="0001543F">
        <w:rPr>
          <w:lang w:val="pl-PL"/>
        </w:rPr>
        <w:t>.  </w:t>
      </w:r>
      <w:r w:rsidR="00A3628C" w:rsidRPr="0001543F">
        <w:rPr>
          <w:lang w:val="pl-PL"/>
        </w:rPr>
        <w:t>N</w:t>
      </w:r>
      <w:r w:rsidR="00506AD7" w:rsidRPr="0001543F">
        <w:rPr>
          <w:lang w:val="pl-PL"/>
        </w:rPr>
        <w:t>iedawn</w:t>
      </w:r>
      <w:r w:rsidR="00A3628C" w:rsidRPr="0001543F">
        <w:rPr>
          <w:lang w:val="pl-PL"/>
        </w:rPr>
        <w:t>o</w:t>
      </w:r>
      <w:r w:rsidR="00506AD7" w:rsidRPr="0001543F">
        <w:rPr>
          <w:lang w:val="pl-PL"/>
        </w:rPr>
        <w:t xml:space="preserve">, w sprawie </w:t>
      </w:r>
      <w:r w:rsidR="00506AD7" w:rsidRPr="0001543F">
        <w:rPr>
          <w:i/>
          <w:iCs/>
          <w:lang w:val="pl-PL"/>
        </w:rPr>
        <w:t xml:space="preserve">Mooren przeciwko Niemcom </w:t>
      </w:r>
      <w:r w:rsidR="00506AD7" w:rsidRPr="0001543F">
        <w:rPr>
          <w:lang w:val="pl-PL"/>
        </w:rPr>
        <w:t>[WI] (nr 11364/03</w:t>
      </w:r>
      <w:r w:rsidR="00506AD7" w:rsidRPr="0001543F">
        <w:rPr>
          <w:snapToGrid w:val="0"/>
          <w:lang w:val="pl-PL"/>
        </w:rPr>
        <w:t xml:space="preserve">, § 75, </w:t>
      </w:r>
      <w:r w:rsidR="00506AD7" w:rsidRPr="0001543F">
        <w:rPr>
          <w:lang w:val="pl-PL"/>
        </w:rPr>
        <w:t xml:space="preserve">9 lipca 2009 r.) Trybunał stwierdził, że jeżeli błędy w postanowieniu o tymczasowym aresztowaniu nie stanowiły rażącej </w:t>
      </w:r>
      <w:r w:rsidR="00506AD7" w:rsidRPr="0001543F">
        <w:rPr>
          <w:i/>
          <w:iCs/>
          <w:lang w:val="pl-PL"/>
        </w:rPr>
        <w:t>i</w:t>
      </w:r>
      <w:r w:rsidR="00506AD7" w:rsidRPr="0001543F">
        <w:rPr>
          <w:lang w:val="pl-PL"/>
        </w:rPr>
        <w:t xml:space="preserve"> oczywistej </w:t>
      </w:r>
      <w:r w:rsidR="005C6842" w:rsidRPr="0001543F">
        <w:rPr>
          <w:lang w:val="pl-PL"/>
        </w:rPr>
        <w:t>nieprawidłowości</w:t>
      </w:r>
      <w:r w:rsidR="00506AD7" w:rsidRPr="0001543F">
        <w:rPr>
          <w:lang w:val="pl-PL"/>
        </w:rPr>
        <w:t>, błędy takie mogą zostać naprawione przez krajowe sądy apelacyjne.</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105</w:t>
      </w:r>
      <w:r w:rsidRPr="0001543F">
        <w:rPr>
          <w:lang w:val="pl-PL"/>
        </w:rPr>
        <w:fldChar w:fldCharType="end"/>
      </w:r>
      <w:r w:rsidR="00506AD7" w:rsidRPr="0001543F">
        <w:rPr>
          <w:lang w:val="pl-PL"/>
        </w:rPr>
        <w:t xml:space="preserve">.  Przykładowo, w sprawie </w:t>
      </w:r>
      <w:r w:rsidR="00506AD7" w:rsidRPr="0001543F">
        <w:rPr>
          <w:i/>
          <w:iCs/>
          <w:lang w:val="pl-PL"/>
        </w:rPr>
        <w:t>Kolevi przeciwko Bułgarii</w:t>
      </w:r>
      <w:r w:rsidR="00506AD7" w:rsidRPr="0001543F">
        <w:rPr>
          <w:lang w:val="pl-PL"/>
        </w:rPr>
        <w:t xml:space="preserve"> (</w:t>
      </w:r>
      <w:r w:rsidR="00506AD7" w:rsidRPr="0001543F">
        <w:rPr>
          <w:snapToGrid w:val="0"/>
          <w:lang w:val="pl-PL"/>
        </w:rPr>
        <w:t>nr</w:t>
      </w:r>
      <w:r w:rsidR="00506AD7" w:rsidRPr="0001543F">
        <w:rPr>
          <w:lang w:val="pl-PL"/>
        </w:rPr>
        <w:t xml:space="preserve"> 1108/02, §§ 175-79, 5 listopada 2009 r.) Najwyższy Sąd Kasacyjny potwierdził, że pozbawienie skarżącego wolności nie było zgodne z prawem krajowym z tego względu, że postępowanie karne przeciwko skarżącemu było od początku niedopuszczalne w związku ze zwolnieniem go z odpowiedzialności karnej w odnośnym czasie. Trybunał uznał, że sytuacja ta nosiła znamiona rażącej i oczywistej nieprawidłowości w tym względzie, że prawo krajowe w sposób bezwzględny i wystarczająco jasny zakazywało wszczynania postępowania karnego oraz pozbawiania wolności osób korzystających ze zwolnienia z odpowiedzialności karnej.</w:t>
      </w:r>
    </w:p>
    <w:p w:rsidR="003960A7" w:rsidRPr="0001543F" w:rsidRDefault="00F559B3" w:rsidP="003960A7">
      <w:pPr>
        <w:pStyle w:val="JuPara"/>
        <w:rPr>
          <w:snapToGrid w:val="0"/>
          <w:szCs w:val="24"/>
          <w:lang w:val="pl-PL"/>
        </w:rPr>
      </w:pPr>
      <w:r w:rsidRPr="0001543F">
        <w:rPr>
          <w:snapToGrid w:val="0"/>
          <w:szCs w:val="24"/>
          <w:lang w:val="pl-PL"/>
        </w:rPr>
        <w:fldChar w:fldCharType="begin"/>
      </w:r>
      <w:r w:rsidR="00506AD7" w:rsidRPr="0001543F">
        <w:rPr>
          <w:snapToGrid w:val="0"/>
          <w:szCs w:val="24"/>
          <w:lang w:val="pl-PL"/>
        </w:rPr>
        <w:instrText xml:space="preserve"> SEQ level0 \*arabic </w:instrText>
      </w:r>
      <w:r w:rsidRPr="0001543F">
        <w:rPr>
          <w:snapToGrid w:val="0"/>
          <w:szCs w:val="24"/>
          <w:lang w:val="pl-PL"/>
        </w:rPr>
        <w:fldChar w:fldCharType="separate"/>
      </w:r>
      <w:r w:rsidR="00746F08" w:rsidRPr="0001543F">
        <w:rPr>
          <w:noProof/>
          <w:snapToGrid w:val="0"/>
          <w:szCs w:val="24"/>
          <w:lang w:val="pl-PL"/>
        </w:rPr>
        <w:t>106</w:t>
      </w:r>
      <w:r w:rsidRPr="0001543F">
        <w:rPr>
          <w:snapToGrid w:val="0"/>
          <w:szCs w:val="24"/>
          <w:lang w:val="pl-PL"/>
        </w:rPr>
        <w:fldChar w:fldCharType="end"/>
      </w:r>
      <w:r w:rsidR="00506AD7" w:rsidRPr="0001543F">
        <w:rPr>
          <w:snapToGrid w:val="0"/>
          <w:szCs w:val="24"/>
          <w:lang w:val="pl-PL"/>
        </w:rPr>
        <w:t xml:space="preserve">.  W innej sprawie Trybunał uznał, że postanowienie o tymczasowym aresztowaniu zawierało rażące i oczywiste nieprawidłowości w przypadku, gdy zostało unieważnione (wraz z przekazaniem sprawy do sądu niższej instancji celem ponownego rozpoznania) na skutek </w:t>
      </w:r>
      <w:r w:rsidR="00506AD7" w:rsidRPr="0001543F">
        <w:rPr>
          <w:lang w:val="pl-PL"/>
        </w:rPr>
        <w:t>nieobecności adwokata i prokuratury na rozprawie dotyczącej tymczasowego aresztowania oraz niedokonania przez sąd wydający postanowienie o tymczasowym aresztowaniu oceny istotnych materi</w:t>
      </w:r>
      <w:r w:rsidR="00CA5829" w:rsidRPr="0001543F">
        <w:rPr>
          <w:lang w:val="pl-PL"/>
        </w:rPr>
        <w:t>ałów zawartych w aktach sprawy oraz</w:t>
      </w:r>
      <w:r w:rsidR="00506AD7" w:rsidRPr="0001543F">
        <w:rPr>
          <w:lang w:val="pl-PL"/>
        </w:rPr>
        <w:t xml:space="preserve"> braku uzasadnienia. Trybunał uwzględnił fakt, że nowe postanowienie o tymczasowym aresztowaniu, </w:t>
      </w:r>
      <w:r w:rsidR="00CA5829" w:rsidRPr="0001543F">
        <w:rPr>
          <w:lang w:val="pl-PL"/>
        </w:rPr>
        <w:t>którego celem było zatwierdzenie</w:t>
      </w:r>
      <w:r w:rsidR="00506AD7" w:rsidRPr="0001543F">
        <w:rPr>
          <w:lang w:val="pl-PL"/>
        </w:rPr>
        <w:t xml:space="preserve"> uprzedniego </w:t>
      </w:r>
      <w:r w:rsidR="005C6842" w:rsidRPr="0001543F">
        <w:rPr>
          <w:lang w:val="pl-PL"/>
        </w:rPr>
        <w:t>okresu</w:t>
      </w:r>
      <w:r w:rsidR="00506AD7" w:rsidRPr="0001543F">
        <w:rPr>
          <w:lang w:val="pl-PL"/>
        </w:rPr>
        <w:t xml:space="preserve"> tymczasowego aresztowania</w:t>
      </w:r>
      <w:r w:rsidR="00CA5829" w:rsidRPr="0001543F">
        <w:rPr>
          <w:lang w:val="pl-PL"/>
        </w:rPr>
        <w:t>,</w:t>
      </w:r>
      <w:r w:rsidR="00506AD7" w:rsidRPr="0001543F">
        <w:rPr>
          <w:lang w:val="pl-PL"/>
        </w:rPr>
        <w:t xml:space="preserve"> zostało wydane ponad miesiąc później, a ponadto ani w decyzji </w:t>
      </w:r>
      <w:r w:rsidR="005C6842" w:rsidRPr="0001543F">
        <w:rPr>
          <w:lang w:val="pl-PL"/>
        </w:rPr>
        <w:t>dotyczącej</w:t>
      </w:r>
      <w:r w:rsidR="00506AD7" w:rsidRPr="0001543F">
        <w:rPr>
          <w:lang w:val="pl-PL"/>
        </w:rPr>
        <w:t xml:space="preserve"> apelacji ani w nowym postanowieniu o tymczasowym aresztowaniu nie przedstawiono uzasadnienia (zob. </w:t>
      </w:r>
      <w:r w:rsidR="00506AD7" w:rsidRPr="0001543F">
        <w:rPr>
          <w:i/>
          <w:iCs/>
          <w:szCs w:val="22"/>
          <w:lang w:val="pl-PL"/>
        </w:rPr>
        <w:t xml:space="preserve">Romanova </w:t>
      </w:r>
      <w:r w:rsidR="00506AD7" w:rsidRPr="0001543F">
        <w:rPr>
          <w:i/>
          <w:iCs/>
          <w:lang w:val="pl-PL"/>
        </w:rPr>
        <w:t>przeciwko Rosji</w:t>
      </w:r>
      <w:r w:rsidR="00506AD7" w:rsidRPr="0001543F">
        <w:rPr>
          <w:lang w:val="pl-PL"/>
        </w:rPr>
        <w:t>, nr 23215/02</w:t>
      </w:r>
      <w:r w:rsidR="00506AD7" w:rsidRPr="0001543F">
        <w:rPr>
          <w:snapToGrid w:val="0"/>
          <w:szCs w:val="24"/>
          <w:lang w:val="pl-PL"/>
        </w:rPr>
        <w:t xml:space="preserve">, §§ 108-12, </w:t>
      </w:r>
      <w:r w:rsidR="00506AD7" w:rsidRPr="0001543F">
        <w:rPr>
          <w:szCs w:val="24"/>
          <w:lang w:val="pl-PL"/>
        </w:rPr>
        <w:t>11 </w:t>
      </w:r>
      <w:r w:rsidR="00506AD7" w:rsidRPr="0001543F">
        <w:rPr>
          <w:snapToGrid w:val="0"/>
          <w:szCs w:val="24"/>
          <w:lang w:val="pl-PL"/>
        </w:rPr>
        <w:t>października 2011 r.).</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107</w:t>
      </w:r>
      <w:r w:rsidRPr="0001543F">
        <w:rPr>
          <w:lang w:val="pl-PL"/>
        </w:rPr>
        <w:fldChar w:fldCharType="end"/>
      </w:r>
      <w:r w:rsidR="00506AD7" w:rsidRPr="0001543F">
        <w:rPr>
          <w:lang w:val="pl-PL"/>
        </w:rPr>
        <w:t>.  Trybunał nie dopatrzył się naruszenia</w:t>
      </w:r>
      <w:r w:rsidR="00506AD7" w:rsidRPr="0001543F">
        <w:rPr>
          <w:rStyle w:val="sb8d990e2"/>
          <w:lang w:val="pl-PL"/>
        </w:rPr>
        <w:t xml:space="preserve"> artykułu 5 </w:t>
      </w:r>
      <w:r w:rsidR="00506AD7" w:rsidRPr="0001543F">
        <w:rPr>
          <w:snapToGrid w:val="0"/>
          <w:szCs w:val="24"/>
          <w:lang w:val="pl-PL"/>
        </w:rPr>
        <w:t xml:space="preserve">ust. 1 Konwencji w sytuacji, </w:t>
      </w:r>
      <w:r w:rsidR="005C6842" w:rsidRPr="0001543F">
        <w:rPr>
          <w:snapToGrid w:val="0"/>
          <w:szCs w:val="24"/>
          <w:lang w:val="pl-PL"/>
        </w:rPr>
        <w:t>gdyż</w:t>
      </w:r>
      <w:r w:rsidR="005C6842" w:rsidRPr="0001543F">
        <w:rPr>
          <w:lang w:val="pl-PL"/>
        </w:rPr>
        <w:t xml:space="preserve"> postanowienie</w:t>
      </w:r>
      <w:r w:rsidR="00506AD7" w:rsidRPr="0001543F">
        <w:rPr>
          <w:lang w:val="pl-PL"/>
        </w:rPr>
        <w:t xml:space="preserve"> o tymczasowym aresztowaniu zostało uchylone (i przekazane do </w:t>
      </w:r>
      <w:r w:rsidR="005C6842" w:rsidRPr="0001543F">
        <w:rPr>
          <w:lang w:val="pl-PL"/>
        </w:rPr>
        <w:t>ponownego</w:t>
      </w:r>
      <w:r w:rsidR="00506AD7" w:rsidRPr="0001543F">
        <w:rPr>
          <w:lang w:val="pl-PL"/>
        </w:rPr>
        <w:t xml:space="preserve"> rozpoznania) na</w:t>
      </w:r>
      <w:r w:rsidR="00506AD7" w:rsidRPr="0001543F">
        <w:rPr>
          <w:rStyle w:val="sb8d990e2"/>
          <w:lang w:val="pl-PL"/>
        </w:rPr>
        <w:t xml:space="preserve"> tej podstawie, że postanowienie zostało wydane przez dwuosobowy skład sędziowski, podczas gdy zgodnie z właściwymi przepisami proceduralnymi postanowienie takie powinno </w:t>
      </w:r>
      <w:r w:rsidR="00CA5829" w:rsidRPr="0001543F">
        <w:rPr>
          <w:rStyle w:val="sb8d990e2"/>
          <w:lang w:val="pl-PL"/>
        </w:rPr>
        <w:t xml:space="preserve">było </w:t>
      </w:r>
      <w:r w:rsidR="00506AD7" w:rsidRPr="0001543F">
        <w:rPr>
          <w:rStyle w:val="sb8d990e2"/>
          <w:lang w:val="pl-PL"/>
        </w:rPr>
        <w:t xml:space="preserve">zostać wydane przez jednego sędziego </w:t>
      </w:r>
      <w:r w:rsidR="00506AD7" w:rsidRPr="0001543F">
        <w:rPr>
          <w:snapToGrid w:val="0"/>
          <w:szCs w:val="24"/>
          <w:lang w:val="pl-PL"/>
        </w:rPr>
        <w:t>(</w:t>
      </w:r>
      <w:r w:rsidR="00506AD7" w:rsidRPr="0001543F">
        <w:rPr>
          <w:rStyle w:val="sb8d990e2"/>
          <w:lang w:val="pl-PL"/>
        </w:rPr>
        <w:t xml:space="preserve">zob. </w:t>
      </w:r>
      <w:r w:rsidR="00506AD7" w:rsidRPr="0001543F">
        <w:rPr>
          <w:i/>
          <w:iCs/>
          <w:szCs w:val="22"/>
          <w:lang w:val="pl-PL"/>
        </w:rPr>
        <w:t>Riccardi przeciwko Rumunii</w:t>
      </w:r>
      <w:r w:rsidR="00506AD7" w:rsidRPr="0001543F">
        <w:rPr>
          <w:szCs w:val="22"/>
          <w:lang w:val="pl-PL"/>
        </w:rPr>
        <w:t>, nr 3048/04</w:t>
      </w:r>
      <w:r w:rsidR="00506AD7" w:rsidRPr="0001543F">
        <w:rPr>
          <w:snapToGrid w:val="0"/>
          <w:szCs w:val="24"/>
          <w:lang w:val="pl-PL"/>
        </w:rPr>
        <w:t xml:space="preserve">, § 54, 3 kwietnia 2012 r.). Trybunał uznał, </w:t>
      </w:r>
      <w:r w:rsidR="00CA5829" w:rsidRPr="0001543F">
        <w:rPr>
          <w:snapToGrid w:val="0"/>
          <w:szCs w:val="24"/>
          <w:lang w:val="pl-PL"/>
        </w:rPr>
        <w:t>i</w:t>
      </w:r>
      <w:r w:rsidR="00506AD7" w:rsidRPr="0001543F">
        <w:rPr>
          <w:snapToGrid w:val="0"/>
          <w:szCs w:val="24"/>
          <w:lang w:val="pl-PL"/>
        </w:rPr>
        <w:t xml:space="preserve">ż nieprawidłowość ta miała charakter proceduralny, a zatem </w:t>
      </w:r>
      <w:r w:rsidR="00506AD7" w:rsidRPr="0001543F">
        <w:rPr>
          <w:lang w:val="pl-PL"/>
        </w:rPr>
        <w:t xml:space="preserve">nie można </w:t>
      </w:r>
      <w:r w:rsidR="005C6842" w:rsidRPr="0001543F">
        <w:rPr>
          <w:lang w:val="pl-PL"/>
        </w:rPr>
        <w:t>było</w:t>
      </w:r>
      <w:r w:rsidR="00506AD7" w:rsidRPr="0001543F">
        <w:rPr>
          <w:lang w:val="pl-PL"/>
        </w:rPr>
        <w:t xml:space="preserve"> stwierdzić, że stanowiła rażącą i oczywistą nieprawidłowo</w:t>
      </w:r>
      <w:r w:rsidR="005C6842" w:rsidRPr="0001543F">
        <w:rPr>
          <w:lang w:val="pl-PL"/>
        </w:rPr>
        <w:t xml:space="preserve">ść, która mogłaby prowadzić do unieważnienia </w:t>
      </w:r>
      <w:r w:rsidR="00506AD7" w:rsidRPr="0001543F">
        <w:rPr>
          <w:lang w:val="pl-PL"/>
        </w:rPr>
        <w:t xml:space="preserve">tymczasowego aresztowania skarżącego. Trybunał zauważył w tym względzie, </w:t>
      </w:r>
      <w:r w:rsidR="00CA5829" w:rsidRPr="0001543F">
        <w:rPr>
          <w:lang w:val="pl-PL"/>
        </w:rPr>
        <w:t xml:space="preserve">że </w:t>
      </w:r>
      <w:r w:rsidR="00506AD7" w:rsidRPr="0001543F">
        <w:rPr>
          <w:lang w:val="pl-PL"/>
        </w:rPr>
        <w:t>uchylając postanowienie o tymczasowym aresztowaniu, sąd apelacyjny nie uznał go za prawnie nieważne oraz nie uznał postanowienia o tymczasowym aresztowaniu skarżącego za niez</w:t>
      </w:r>
      <w:r w:rsidR="00CA5829" w:rsidRPr="0001543F">
        <w:rPr>
          <w:lang w:val="pl-PL"/>
        </w:rPr>
        <w:t xml:space="preserve">godne z prawem z mocą wsteczną. </w:t>
      </w:r>
      <w:r w:rsidR="00506AD7" w:rsidRPr="0001543F">
        <w:rPr>
          <w:lang w:val="pl-PL"/>
        </w:rPr>
        <w:t xml:space="preserve">Trybunał stwierdził także, </w:t>
      </w:r>
      <w:r w:rsidR="005C6842" w:rsidRPr="0001543F">
        <w:rPr>
          <w:lang w:val="pl-PL"/>
        </w:rPr>
        <w:t>iż</w:t>
      </w:r>
      <w:r w:rsidR="00506AD7" w:rsidRPr="0001543F">
        <w:rPr>
          <w:lang w:val="pl-PL"/>
        </w:rPr>
        <w:t xml:space="preserve"> nowe postanowienie o </w:t>
      </w:r>
      <w:r w:rsidR="00506AD7" w:rsidRPr="0001543F">
        <w:rPr>
          <w:lang w:val="pl-PL"/>
        </w:rPr>
        <w:lastRenderedPageBreak/>
        <w:t xml:space="preserve">tymczasowym </w:t>
      </w:r>
      <w:r w:rsidR="005C6842" w:rsidRPr="0001543F">
        <w:rPr>
          <w:lang w:val="pl-PL"/>
        </w:rPr>
        <w:t>aresztowaniu</w:t>
      </w:r>
      <w:r w:rsidR="00506AD7" w:rsidRPr="0001543F">
        <w:rPr>
          <w:lang w:val="pl-PL"/>
        </w:rPr>
        <w:t xml:space="preserve"> zostało wydane niezwłocznie i w sposób zgodny z </w:t>
      </w:r>
      <w:r w:rsidR="005C6842" w:rsidRPr="0001543F">
        <w:rPr>
          <w:lang w:val="pl-PL"/>
        </w:rPr>
        <w:t>obowiązującymi</w:t>
      </w:r>
      <w:r w:rsidR="00506AD7" w:rsidRPr="0001543F">
        <w:rPr>
          <w:lang w:val="pl-PL"/>
        </w:rPr>
        <w:t xml:space="preserve"> zasadami </w:t>
      </w:r>
      <w:r w:rsidR="005C6842" w:rsidRPr="0001543F">
        <w:rPr>
          <w:lang w:val="pl-PL"/>
        </w:rPr>
        <w:t>dotyczącym</w:t>
      </w:r>
      <w:r w:rsidR="00506AD7" w:rsidRPr="0001543F">
        <w:rPr>
          <w:lang w:val="pl-PL"/>
        </w:rPr>
        <w:t xml:space="preserve"> składu ławy sędziowskiej (ibid.)</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108</w:t>
      </w:r>
      <w:r w:rsidRPr="0001543F">
        <w:rPr>
          <w:lang w:val="pl-PL"/>
        </w:rPr>
        <w:fldChar w:fldCharType="end"/>
      </w:r>
      <w:r w:rsidR="00506AD7" w:rsidRPr="0001543F">
        <w:rPr>
          <w:lang w:val="pl-PL"/>
        </w:rPr>
        <w:t xml:space="preserve">.  Wracając do niniejszej sprawy Trybunał zauważa, że niniejsza skarga dotyczy kary </w:t>
      </w:r>
      <w:r w:rsidR="00CA5829" w:rsidRPr="0001543F">
        <w:rPr>
          <w:lang w:val="pl-PL"/>
        </w:rPr>
        <w:t xml:space="preserve">dwudziestu dwóch </w:t>
      </w:r>
      <w:r w:rsidR="00506AD7" w:rsidRPr="0001543F">
        <w:rPr>
          <w:lang w:val="pl-PL"/>
        </w:rPr>
        <w:t xml:space="preserve">pozbawienia wolności nałożonej w </w:t>
      </w:r>
      <w:r w:rsidR="005C6842" w:rsidRPr="0001543F">
        <w:rPr>
          <w:lang w:val="pl-PL"/>
        </w:rPr>
        <w:t>pierwszej</w:t>
      </w:r>
      <w:r w:rsidR="00506AD7" w:rsidRPr="0001543F">
        <w:rPr>
          <w:lang w:val="pl-PL"/>
        </w:rPr>
        <w:t xml:space="preserve"> instancji przez Sąd Okręgowy w Czelabińsku. Fakt, że Sąd Okręgowy był co do zasady właściwy do podjęcia takiej decyzji</w:t>
      </w:r>
      <w:r w:rsidR="00CA5829" w:rsidRPr="0001543F">
        <w:rPr>
          <w:lang w:val="pl-PL"/>
        </w:rPr>
        <w:t>,</w:t>
      </w:r>
      <w:r w:rsidR="00506AD7" w:rsidRPr="0001543F">
        <w:rPr>
          <w:lang w:val="pl-PL"/>
        </w:rPr>
        <w:t xml:space="preserve"> nie jest przedmiotem sporu pomiędzy stronami. Trybunał zauważa, jednakże, </w:t>
      </w:r>
      <w:r w:rsidR="00CA5829" w:rsidRPr="0001543F">
        <w:rPr>
          <w:lang w:val="pl-PL"/>
        </w:rPr>
        <w:t xml:space="preserve">iż </w:t>
      </w:r>
      <w:r w:rsidR="00506AD7" w:rsidRPr="0001543F">
        <w:rPr>
          <w:lang w:val="pl-PL"/>
        </w:rPr>
        <w:t xml:space="preserve">zarówno w trakcie procesu, jak i po jego zakończeniu, skarżący podejmował próby uzasadnienia i uzyskania potwierdzenia swoich zarzutów </w:t>
      </w:r>
      <w:r w:rsidR="005C6842" w:rsidRPr="0001543F">
        <w:rPr>
          <w:lang w:val="pl-PL"/>
        </w:rPr>
        <w:t>dotyczących</w:t>
      </w:r>
      <w:r w:rsidR="00506AD7" w:rsidRPr="0001543F">
        <w:rPr>
          <w:lang w:val="pl-PL"/>
        </w:rPr>
        <w:t xml:space="preserve"> niespełnienia wymogów ustawy o ławnikach w odniesieniu do faktycznego składu </w:t>
      </w:r>
      <w:r w:rsidR="00CA5829" w:rsidRPr="0001543F">
        <w:rPr>
          <w:lang w:val="pl-PL"/>
        </w:rPr>
        <w:t xml:space="preserve">sądu </w:t>
      </w:r>
      <w:r w:rsidR="00506AD7" w:rsidRPr="0001543F">
        <w:rPr>
          <w:lang w:val="pl-PL"/>
        </w:rPr>
        <w:t xml:space="preserve">pierwszej instancji (zob. par. </w:t>
      </w:r>
      <w:r w:rsidRPr="0001543F">
        <w:rPr>
          <w:lang w:val="pl-PL"/>
        </w:rPr>
        <w:fldChar w:fldCharType="begin"/>
      </w:r>
      <w:r w:rsidR="00506AD7" w:rsidRPr="0001543F">
        <w:rPr>
          <w:lang w:val="pl-PL"/>
        </w:rPr>
        <w:instrText xml:space="preserve"> REF  lay1 \h </w:instrText>
      </w:r>
      <w:r w:rsidRPr="0001543F">
        <w:rPr>
          <w:lang w:val="pl-PL"/>
        </w:rPr>
      </w:r>
      <w:r w:rsidRPr="0001543F">
        <w:rPr>
          <w:lang w:val="pl-PL"/>
        </w:rPr>
        <w:fldChar w:fldCharType="separate"/>
      </w:r>
      <w:r w:rsidR="00746F08" w:rsidRPr="0001543F">
        <w:rPr>
          <w:noProof/>
          <w:lang w:val="pl-PL"/>
        </w:rPr>
        <w:t>8</w:t>
      </w:r>
      <w:r w:rsidRPr="0001543F">
        <w:rPr>
          <w:lang w:val="pl-PL"/>
        </w:rPr>
        <w:fldChar w:fldCharType="end"/>
      </w:r>
      <w:r w:rsidR="00506AD7" w:rsidRPr="0001543F">
        <w:rPr>
          <w:lang w:val="pl-PL"/>
        </w:rPr>
        <w:t xml:space="preserve">, </w:t>
      </w:r>
      <w:r w:rsidRPr="0001543F">
        <w:rPr>
          <w:lang w:val="pl-PL"/>
        </w:rPr>
        <w:fldChar w:fldCharType="begin"/>
      </w:r>
      <w:r w:rsidR="00506AD7" w:rsidRPr="0001543F">
        <w:rPr>
          <w:lang w:val="pl-PL"/>
        </w:rPr>
        <w:instrText xml:space="preserve"> REF  lay2 \h </w:instrText>
      </w:r>
      <w:r w:rsidRPr="0001543F">
        <w:rPr>
          <w:lang w:val="pl-PL"/>
        </w:rPr>
      </w:r>
      <w:r w:rsidRPr="0001543F">
        <w:rPr>
          <w:lang w:val="pl-PL"/>
        </w:rPr>
        <w:fldChar w:fldCharType="separate"/>
      </w:r>
      <w:r w:rsidR="00746F08" w:rsidRPr="0001543F">
        <w:rPr>
          <w:noProof/>
          <w:lang w:val="pl-PL"/>
        </w:rPr>
        <w:t>18</w:t>
      </w:r>
      <w:r w:rsidRPr="0001543F">
        <w:rPr>
          <w:lang w:val="pl-PL"/>
        </w:rPr>
        <w:fldChar w:fldCharType="end"/>
      </w:r>
      <w:r w:rsidR="00506AD7" w:rsidRPr="0001543F">
        <w:rPr>
          <w:lang w:val="pl-PL"/>
        </w:rPr>
        <w:t xml:space="preserve">, </w:t>
      </w:r>
      <w:r w:rsidRPr="0001543F">
        <w:rPr>
          <w:lang w:val="pl-PL"/>
        </w:rPr>
        <w:fldChar w:fldCharType="begin"/>
      </w:r>
      <w:r w:rsidR="00506AD7" w:rsidRPr="0001543F">
        <w:rPr>
          <w:lang w:val="pl-PL"/>
        </w:rPr>
        <w:instrText xml:space="preserve"> REF  lay3 \h </w:instrText>
      </w:r>
      <w:r w:rsidRPr="0001543F">
        <w:rPr>
          <w:lang w:val="pl-PL"/>
        </w:rPr>
      </w:r>
      <w:r w:rsidRPr="0001543F">
        <w:rPr>
          <w:lang w:val="pl-PL"/>
        </w:rPr>
        <w:fldChar w:fldCharType="separate"/>
      </w:r>
      <w:r w:rsidR="00746F08" w:rsidRPr="0001543F">
        <w:rPr>
          <w:noProof/>
          <w:lang w:val="pl-PL"/>
        </w:rPr>
        <w:t>20</w:t>
      </w:r>
      <w:r w:rsidRPr="0001543F">
        <w:rPr>
          <w:lang w:val="pl-PL"/>
        </w:rPr>
        <w:fldChar w:fldCharType="end"/>
      </w:r>
      <w:r w:rsidR="00506AD7" w:rsidRPr="0001543F">
        <w:rPr>
          <w:lang w:val="pl-PL"/>
        </w:rPr>
        <w:t xml:space="preserve"> i </w:t>
      </w:r>
      <w:r w:rsidRPr="0001543F">
        <w:rPr>
          <w:lang w:val="pl-PL"/>
        </w:rPr>
        <w:fldChar w:fldCharType="begin"/>
      </w:r>
      <w:r w:rsidR="00506AD7" w:rsidRPr="0001543F">
        <w:rPr>
          <w:lang w:val="pl-PL"/>
        </w:rPr>
        <w:instrText xml:space="preserve"> REF  lay \h </w:instrText>
      </w:r>
      <w:r w:rsidRPr="0001543F">
        <w:rPr>
          <w:lang w:val="pl-PL"/>
        </w:rPr>
      </w:r>
      <w:r w:rsidRPr="0001543F">
        <w:rPr>
          <w:lang w:val="pl-PL"/>
        </w:rPr>
        <w:fldChar w:fldCharType="separate"/>
      </w:r>
      <w:r w:rsidR="00746F08" w:rsidRPr="0001543F">
        <w:rPr>
          <w:noProof/>
          <w:lang w:val="pl-PL"/>
        </w:rPr>
        <w:t>50</w:t>
      </w:r>
      <w:r w:rsidRPr="0001543F">
        <w:rPr>
          <w:lang w:val="pl-PL"/>
        </w:rPr>
        <w:fldChar w:fldCharType="end"/>
      </w:r>
      <w:r w:rsidR="00506AD7" w:rsidRPr="0001543F">
        <w:rPr>
          <w:lang w:val="pl-PL"/>
        </w:rPr>
        <w:t xml:space="preserve"> powyżej). Zgodnie z prawem rosyjskim obowiązującym w przedmiotowym czasie, ławnicy pełnili funkcję sędziów </w:t>
      </w:r>
      <w:r w:rsidR="005C6842" w:rsidRPr="0001543F">
        <w:rPr>
          <w:lang w:val="pl-PL"/>
        </w:rPr>
        <w:t>niezawodowych</w:t>
      </w:r>
      <w:r w:rsidR="00506AD7" w:rsidRPr="0001543F">
        <w:rPr>
          <w:lang w:val="pl-PL"/>
        </w:rPr>
        <w:t xml:space="preserve"> w </w:t>
      </w:r>
      <w:r w:rsidR="005C6842" w:rsidRPr="0001543F">
        <w:rPr>
          <w:lang w:val="pl-PL"/>
        </w:rPr>
        <w:t>sprawach</w:t>
      </w:r>
      <w:r w:rsidR="00506AD7" w:rsidRPr="0001543F">
        <w:rPr>
          <w:lang w:val="pl-PL"/>
        </w:rPr>
        <w:t xml:space="preserve"> karnych, a listy ławników były </w:t>
      </w:r>
      <w:r w:rsidR="005C6842" w:rsidRPr="0001543F">
        <w:rPr>
          <w:lang w:val="pl-PL"/>
        </w:rPr>
        <w:t>sporządzane</w:t>
      </w:r>
      <w:r w:rsidR="00506AD7" w:rsidRPr="0001543F">
        <w:rPr>
          <w:lang w:val="pl-PL"/>
        </w:rPr>
        <w:t xml:space="preserve"> przez władze lokalne i zatwierdzane przez </w:t>
      </w:r>
      <w:r w:rsidR="005C6842" w:rsidRPr="0001543F">
        <w:rPr>
          <w:lang w:val="pl-PL"/>
        </w:rPr>
        <w:t>regionalne</w:t>
      </w:r>
      <w:r w:rsidR="00506AD7" w:rsidRPr="0001543F">
        <w:rPr>
          <w:lang w:val="pl-PL"/>
        </w:rPr>
        <w:t xml:space="preserve"> władze ustawodawcze (zob. par. </w:t>
      </w:r>
      <w:r w:rsidRPr="0001543F">
        <w:rPr>
          <w:lang w:val="pl-PL"/>
        </w:rPr>
        <w:fldChar w:fldCharType="begin"/>
      </w:r>
      <w:r w:rsidR="00506AD7" w:rsidRPr="0001543F">
        <w:rPr>
          <w:lang w:val="pl-PL"/>
        </w:rPr>
        <w:instrText xml:space="preserve"> REF  lay \h </w:instrText>
      </w:r>
      <w:r w:rsidRPr="0001543F">
        <w:rPr>
          <w:lang w:val="pl-PL"/>
        </w:rPr>
      </w:r>
      <w:r w:rsidRPr="0001543F">
        <w:rPr>
          <w:lang w:val="pl-PL"/>
        </w:rPr>
        <w:fldChar w:fldCharType="separate"/>
      </w:r>
      <w:r w:rsidR="00746F08" w:rsidRPr="0001543F">
        <w:rPr>
          <w:noProof/>
          <w:lang w:val="pl-PL"/>
        </w:rPr>
        <w:t>50</w:t>
      </w:r>
      <w:r w:rsidRPr="0001543F">
        <w:rPr>
          <w:lang w:val="pl-PL"/>
        </w:rPr>
        <w:fldChar w:fldCharType="end"/>
      </w:r>
      <w:r w:rsidR="00506AD7" w:rsidRPr="0001543F">
        <w:rPr>
          <w:lang w:val="pl-PL"/>
        </w:rPr>
        <w:t xml:space="preserve"> powyżej).</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109</w:t>
      </w:r>
      <w:r w:rsidRPr="0001543F">
        <w:rPr>
          <w:lang w:val="pl-PL"/>
        </w:rPr>
        <w:fldChar w:fldCharType="end"/>
      </w:r>
      <w:r w:rsidR="00506AD7" w:rsidRPr="0001543F">
        <w:rPr>
          <w:lang w:val="pl-PL"/>
        </w:rPr>
        <w:t>.  </w:t>
      </w:r>
      <w:r w:rsidR="00144813" w:rsidRPr="0001543F">
        <w:rPr>
          <w:lang w:val="pl-PL"/>
        </w:rPr>
        <w:t xml:space="preserve">Nie uzyskawszy </w:t>
      </w:r>
      <w:r w:rsidR="008B5D02" w:rsidRPr="0001543F">
        <w:rPr>
          <w:lang w:val="pl-PL"/>
        </w:rPr>
        <w:t>niezwłocznego i odpowiedniego zad</w:t>
      </w:r>
      <w:r w:rsidR="00144813" w:rsidRPr="0001543F">
        <w:rPr>
          <w:lang w:val="pl-PL"/>
        </w:rPr>
        <w:t>ośćuczynienia w zwykłym postępowaniu apelacyjnym w odniesieniu do zarzutu</w:t>
      </w:r>
      <w:r w:rsidR="002179BB" w:rsidRPr="0001543F">
        <w:rPr>
          <w:lang w:val="pl-PL"/>
        </w:rPr>
        <w:t xml:space="preserve"> </w:t>
      </w:r>
      <w:r w:rsidR="00144813" w:rsidRPr="0001543F">
        <w:rPr>
          <w:lang w:val="pl-PL"/>
        </w:rPr>
        <w:t xml:space="preserve">dotyczącego ławników, </w:t>
      </w:r>
      <w:r w:rsidR="00D463C6" w:rsidRPr="0001543F">
        <w:rPr>
          <w:lang w:val="pl-PL"/>
        </w:rPr>
        <w:t>skarżąc</w:t>
      </w:r>
      <w:r w:rsidR="00144813" w:rsidRPr="0001543F">
        <w:rPr>
          <w:lang w:val="pl-PL"/>
        </w:rPr>
        <w:t>y</w:t>
      </w:r>
      <w:r w:rsidR="00506AD7" w:rsidRPr="0001543F">
        <w:rPr>
          <w:lang w:val="pl-PL"/>
        </w:rPr>
        <w:t xml:space="preserve"> </w:t>
      </w:r>
      <w:r w:rsidR="00144813" w:rsidRPr="0001543F">
        <w:rPr>
          <w:lang w:val="pl-PL"/>
        </w:rPr>
        <w:t xml:space="preserve">musiał odbyć karę pozbawienia wolności nałożoną przez </w:t>
      </w:r>
      <w:r w:rsidR="00506AD7" w:rsidRPr="0001543F">
        <w:rPr>
          <w:lang w:val="pl-PL"/>
        </w:rPr>
        <w:t xml:space="preserve">sąd pierwszej instancji </w:t>
      </w:r>
      <w:r w:rsidR="00144813" w:rsidRPr="0001543F">
        <w:rPr>
          <w:lang w:val="pl-PL"/>
        </w:rPr>
        <w:t xml:space="preserve">w dniu </w:t>
      </w:r>
      <w:r w:rsidR="00506AD7" w:rsidRPr="0001543F">
        <w:rPr>
          <w:lang w:val="pl-PL"/>
        </w:rPr>
        <w:t>24 kwietnia 2003 r. </w:t>
      </w:r>
      <w:r w:rsidR="00144813" w:rsidRPr="0001543F">
        <w:rPr>
          <w:lang w:val="pl-PL"/>
        </w:rPr>
        <w:t xml:space="preserve">Kilka lat po wydaniu wyroku sądu pierwszej instancji Sąd Najwyższy uznał w ramach </w:t>
      </w:r>
      <w:r w:rsidR="0001543F" w:rsidRPr="0001543F">
        <w:rPr>
          <w:lang w:val="pl-PL"/>
        </w:rPr>
        <w:t>nadzorczej procedury rewizyjnej</w:t>
      </w:r>
      <w:r w:rsidR="00144813" w:rsidRPr="0001543F">
        <w:rPr>
          <w:lang w:val="pl-PL"/>
        </w:rPr>
        <w:t xml:space="preserve">, że skład </w:t>
      </w:r>
      <w:r w:rsidR="00506AD7" w:rsidRPr="0001543F">
        <w:rPr>
          <w:lang w:val="pl-PL"/>
        </w:rPr>
        <w:t>sąd</w:t>
      </w:r>
      <w:r w:rsidR="00144813" w:rsidRPr="0001543F">
        <w:rPr>
          <w:lang w:val="pl-PL"/>
        </w:rPr>
        <w:t>u</w:t>
      </w:r>
      <w:r w:rsidR="00506AD7" w:rsidRPr="0001543F">
        <w:rPr>
          <w:lang w:val="pl-PL"/>
        </w:rPr>
        <w:t xml:space="preserve"> pierwszej instancji </w:t>
      </w:r>
      <w:r w:rsidR="00144813" w:rsidRPr="0001543F">
        <w:rPr>
          <w:lang w:val="pl-PL"/>
        </w:rPr>
        <w:t xml:space="preserve">nie był „ustanowiony ustawą” w odniesieniu do ławników, pani </w:t>
      </w:r>
      <w:r w:rsidR="00506AD7" w:rsidRPr="0001543F">
        <w:rPr>
          <w:lang w:val="pl-PL"/>
        </w:rPr>
        <w:t xml:space="preserve">G. </w:t>
      </w:r>
      <w:r w:rsidR="00144813" w:rsidRPr="0001543F">
        <w:rPr>
          <w:lang w:val="pl-PL"/>
        </w:rPr>
        <w:t>i pani C</w:t>
      </w:r>
      <w:r w:rsidR="00506AD7" w:rsidRPr="0001543F">
        <w:rPr>
          <w:lang w:val="pl-PL"/>
        </w:rPr>
        <w:t xml:space="preserve">h. </w:t>
      </w:r>
      <w:r w:rsidR="0015176A" w:rsidRPr="0001543F">
        <w:rPr>
          <w:lang w:val="pl-PL"/>
        </w:rPr>
        <w:t xml:space="preserve">Brakowało wskazań, by zostały one uprawnione do pełnienia funkcji ławników w sprawie karnej </w:t>
      </w:r>
      <w:r w:rsidR="00D463C6" w:rsidRPr="0001543F">
        <w:rPr>
          <w:lang w:val="pl-PL"/>
        </w:rPr>
        <w:t>skarżąc</w:t>
      </w:r>
      <w:r w:rsidR="0015176A" w:rsidRPr="0001543F">
        <w:rPr>
          <w:lang w:val="pl-PL"/>
        </w:rPr>
        <w:t xml:space="preserve">ego zakończonej nałożeniem </w:t>
      </w:r>
      <w:r w:rsidR="0001543F" w:rsidRPr="0001543F">
        <w:rPr>
          <w:lang w:val="pl-PL"/>
        </w:rPr>
        <w:t>surowej ka</w:t>
      </w:r>
      <w:r w:rsidR="0015176A" w:rsidRPr="0001543F">
        <w:rPr>
          <w:lang w:val="pl-PL"/>
        </w:rPr>
        <w:t>ry pozbawienia wolności</w:t>
      </w:r>
      <w:r w:rsidR="00506AD7" w:rsidRPr="0001543F">
        <w:rPr>
          <w:lang w:val="pl-PL"/>
        </w:rPr>
        <w:t>.</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110</w:t>
      </w:r>
      <w:r w:rsidRPr="0001543F">
        <w:rPr>
          <w:lang w:val="pl-PL"/>
        </w:rPr>
        <w:fldChar w:fldCharType="end"/>
      </w:r>
      <w:r w:rsidR="00506AD7" w:rsidRPr="0001543F">
        <w:rPr>
          <w:lang w:val="pl-PL"/>
        </w:rPr>
        <w:t xml:space="preserve">.  Trybunał stwierdza, że w okolicznościach niniejszej sprawy doszło do wystąpienia rażącej i oczywistej nieprawidłowości w odniesieniu do okresu osadzenia skarżącego na podstawie wyroku sądu pierwszej instancji z dnia 24 kwietnia 2003 r. (por. </w:t>
      </w:r>
      <w:r w:rsidR="00506AD7" w:rsidRPr="0001543F">
        <w:rPr>
          <w:i/>
          <w:iCs/>
          <w:lang w:val="pl-PL"/>
        </w:rPr>
        <w:t>Riccardi</w:t>
      </w:r>
      <w:r w:rsidR="00506AD7" w:rsidRPr="0001543F">
        <w:rPr>
          <w:lang w:val="pl-PL"/>
        </w:rPr>
        <w:t xml:space="preserve">, cyt. powyżej, </w:t>
      </w:r>
      <w:r w:rsidR="00506AD7" w:rsidRPr="0001543F">
        <w:rPr>
          <w:snapToGrid w:val="0"/>
          <w:szCs w:val="24"/>
          <w:lang w:val="pl-PL"/>
        </w:rPr>
        <w:t>§ 54).</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111</w:t>
      </w:r>
      <w:r w:rsidRPr="0001543F">
        <w:rPr>
          <w:lang w:val="pl-PL"/>
        </w:rPr>
        <w:fldChar w:fldCharType="end"/>
      </w:r>
      <w:r w:rsidR="00506AD7" w:rsidRPr="0001543F">
        <w:rPr>
          <w:lang w:val="pl-PL"/>
        </w:rPr>
        <w:t xml:space="preserve">.  Z tego względu sąd, który skazał skarżącego, nie był „właściwy”, a osadzenie skarżącego nie było „zgodne z prawem” w rozumieniu artykułu 5 ust. 1 </w:t>
      </w:r>
      <w:r w:rsidR="00AE1B21" w:rsidRPr="0001543F">
        <w:rPr>
          <w:lang w:val="pl-PL"/>
        </w:rPr>
        <w:t>lit. (a)</w:t>
      </w:r>
      <w:r w:rsidR="00506AD7" w:rsidRPr="0001543F">
        <w:rPr>
          <w:lang w:val="pl-PL"/>
        </w:rPr>
        <w:t xml:space="preserve"> Konwencji. Ze względu na powagę tego naruszenia oraz w związku z brakiem </w:t>
      </w:r>
      <w:r w:rsidR="0015176A" w:rsidRPr="0001543F">
        <w:rPr>
          <w:lang w:val="pl-PL"/>
        </w:rPr>
        <w:t xml:space="preserve">odpowiedniego uznania i zadośćuczynienia </w:t>
      </w:r>
      <w:r w:rsidR="00506AD7" w:rsidRPr="0001543F">
        <w:rPr>
          <w:lang w:val="pl-PL"/>
        </w:rPr>
        <w:t xml:space="preserve">Trybunał uznaje, że osadzenie skarżącego na podstawie wyroku sądu pierwszej instancji nie było zgodne z </w:t>
      </w:r>
      <w:r w:rsidR="005C6842" w:rsidRPr="0001543F">
        <w:rPr>
          <w:lang w:val="pl-PL"/>
        </w:rPr>
        <w:t>artykułem</w:t>
      </w:r>
      <w:r w:rsidR="00506AD7" w:rsidRPr="0001543F">
        <w:rPr>
          <w:lang w:val="pl-PL"/>
        </w:rPr>
        <w:t xml:space="preserve"> 5 ust. 1 Konwencji. Doszło zatem do naruszenia tego przepisu.</w:t>
      </w:r>
    </w:p>
    <w:p w:rsidR="003960A7" w:rsidRPr="0001543F" w:rsidRDefault="003960A7" w:rsidP="003960A7">
      <w:pPr>
        <w:pStyle w:val="JuHIRoman"/>
        <w:rPr>
          <w:lang w:val="pl-PL"/>
        </w:rPr>
      </w:pPr>
      <w:r w:rsidRPr="0001543F">
        <w:rPr>
          <w:lang w:val="pl-PL"/>
        </w:rPr>
        <w:t>III.  ZARZUT NARUSZENIA ARTYKUŁU 6 KONWENCJI</w:t>
      </w:r>
    </w:p>
    <w:bookmarkStart w:id="24" w:name="cc"/>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112</w:t>
      </w:r>
      <w:r w:rsidRPr="0001543F">
        <w:rPr>
          <w:lang w:val="pl-PL"/>
        </w:rPr>
        <w:fldChar w:fldCharType="end"/>
      </w:r>
      <w:bookmarkEnd w:id="24"/>
      <w:r w:rsidR="00506AD7" w:rsidRPr="0001543F">
        <w:rPr>
          <w:lang w:val="pl-PL"/>
        </w:rPr>
        <w:t xml:space="preserve">.  Skarżący podniósł zarzut naruszenia artykułu 6 Konwencji, twierdząc, iż postępowanie karne prowadzone przeciwko niemu w 2003 r. </w:t>
      </w:r>
      <w:r w:rsidR="00506AD7" w:rsidRPr="0001543F">
        <w:rPr>
          <w:lang w:val="pl-PL"/>
        </w:rPr>
        <w:lastRenderedPageBreak/>
        <w:t xml:space="preserve">nie było rzetelne, że skład sądu pierwszej instancji nie był zgodny z prawem </w:t>
      </w:r>
      <w:r w:rsidR="000B2CAD" w:rsidRPr="0001543F">
        <w:rPr>
          <w:lang w:val="pl-PL"/>
        </w:rPr>
        <w:t>oraz że</w:t>
      </w:r>
      <w:r w:rsidR="00506AD7" w:rsidRPr="0001543F">
        <w:rPr>
          <w:lang w:val="pl-PL"/>
        </w:rPr>
        <w:t xml:space="preserve"> w postępowaniu apelacyjnym nie udzielono mu pomocy prawnej.</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113</w:t>
      </w:r>
      <w:r w:rsidRPr="0001543F">
        <w:rPr>
          <w:lang w:val="pl-PL"/>
        </w:rPr>
        <w:fldChar w:fldCharType="end"/>
      </w:r>
      <w:r w:rsidR="00506AD7" w:rsidRPr="0001543F">
        <w:rPr>
          <w:lang w:val="pl-PL"/>
        </w:rPr>
        <w:t>.  Artykuł 6 Konwencji we właściwym zakresie stanowi, co następuje:</w:t>
      </w:r>
    </w:p>
    <w:p w:rsidR="003960A7" w:rsidRPr="0001543F" w:rsidRDefault="003960A7" w:rsidP="003960A7">
      <w:pPr>
        <w:pStyle w:val="JuQuot"/>
        <w:rPr>
          <w:lang w:val="pl-PL"/>
        </w:rPr>
      </w:pPr>
      <w:r w:rsidRPr="0001543F">
        <w:rPr>
          <w:lang w:val="pl-PL"/>
        </w:rPr>
        <w:t xml:space="preserve">„1.  Każdy ma prawo do sprawiedliwego i publicznego rozpatrzenia jego sprawy </w:t>
      </w:r>
      <w:r w:rsidR="0015176A" w:rsidRPr="0001543F">
        <w:rPr>
          <w:lang w:val="pl-PL"/>
        </w:rPr>
        <w:t>w rozsądnym</w:t>
      </w:r>
      <w:r w:rsidRPr="0001543F">
        <w:rPr>
          <w:lang w:val="pl-PL"/>
        </w:rPr>
        <w:t xml:space="preserve"> terminie przez niezawisły i bezstronny sąd ustanowiony ustawą przy rozstrzyganiu o</w:t>
      </w:r>
      <w:r w:rsidR="002179BB" w:rsidRPr="0001543F">
        <w:rPr>
          <w:lang w:val="pl-PL"/>
        </w:rPr>
        <w:t xml:space="preserve"> </w:t>
      </w:r>
      <w:r w:rsidRPr="0001543F">
        <w:rPr>
          <w:lang w:val="pl-PL"/>
        </w:rPr>
        <w:t xml:space="preserve">... zasadności każdego oskarżenia </w:t>
      </w:r>
      <w:r w:rsidR="0015176A" w:rsidRPr="0001543F">
        <w:rPr>
          <w:lang w:val="pl-PL"/>
        </w:rPr>
        <w:t>w wytoczonej</w:t>
      </w:r>
      <w:r w:rsidRPr="0001543F">
        <w:rPr>
          <w:lang w:val="pl-PL"/>
        </w:rPr>
        <w:t xml:space="preserve"> przeciwko niemu sprawie karnej...</w:t>
      </w:r>
    </w:p>
    <w:p w:rsidR="003960A7" w:rsidRPr="0001543F" w:rsidRDefault="003960A7" w:rsidP="003960A7">
      <w:pPr>
        <w:pStyle w:val="JuQuot"/>
        <w:rPr>
          <w:lang w:val="pl-PL"/>
        </w:rPr>
      </w:pPr>
      <w:r w:rsidRPr="0001543F">
        <w:rPr>
          <w:lang w:val="pl-PL"/>
        </w:rPr>
        <w:t>3.  Każdy oskarżony o popełnienie czynu zagrożonego karą ma co najmniej prawo do:</w:t>
      </w:r>
    </w:p>
    <w:p w:rsidR="003960A7" w:rsidRPr="0001543F" w:rsidRDefault="003960A7" w:rsidP="003960A7">
      <w:pPr>
        <w:pStyle w:val="JuQuot"/>
        <w:rPr>
          <w:lang w:val="pl-PL"/>
        </w:rPr>
      </w:pPr>
      <w:r w:rsidRPr="0001543F">
        <w:rPr>
          <w:lang w:val="pl-PL"/>
        </w:rPr>
        <w:t xml:space="preserve">... </w:t>
      </w:r>
      <w:r w:rsidR="00F9651E" w:rsidRPr="0001543F">
        <w:rPr>
          <w:lang w:val="pl-PL"/>
        </w:rPr>
        <w:t>(c)</w:t>
      </w:r>
      <w:r w:rsidRPr="0001543F">
        <w:rPr>
          <w:lang w:val="pl-PL"/>
        </w:rPr>
        <w:t xml:space="preserve"> bronienia się osobiście lub przez ustanowionego przez siebie obrońcę, a jeśli nie </w:t>
      </w:r>
      <w:r w:rsidR="0015176A" w:rsidRPr="0001543F">
        <w:rPr>
          <w:lang w:val="pl-PL"/>
        </w:rPr>
        <w:t>ma wystarczających</w:t>
      </w:r>
      <w:r w:rsidRPr="0001543F">
        <w:rPr>
          <w:lang w:val="pl-PL"/>
        </w:rPr>
        <w:t xml:space="preserve"> środków na pokrycie kosztów obrony - do bezpłatnego korzystania </w:t>
      </w:r>
      <w:r w:rsidR="0015176A" w:rsidRPr="0001543F">
        <w:rPr>
          <w:lang w:val="pl-PL"/>
        </w:rPr>
        <w:t>z pomocy</w:t>
      </w:r>
      <w:r w:rsidRPr="0001543F">
        <w:rPr>
          <w:lang w:val="pl-PL"/>
        </w:rPr>
        <w:t xml:space="preserve"> obrońcy wyznaczonego z urzędu, gdy wymaga tego dobro </w:t>
      </w:r>
      <w:r w:rsidR="0015176A" w:rsidRPr="0001543F">
        <w:rPr>
          <w:lang w:val="pl-PL"/>
        </w:rPr>
        <w:t>wymiaru sprawiedliwości</w:t>
      </w:r>
      <w:r w:rsidRPr="0001543F">
        <w:rPr>
          <w:lang w:val="pl-PL"/>
        </w:rPr>
        <w:t>;...”</w:t>
      </w:r>
    </w:p>
    <w:p w:rsidR="003960A7" w:rsidRPr="0001543F" w:rsidRDefault="003960A7" w:rsidP="003960A7">
      <w:pPr>
        <w:pStyle w:val="JuHA"/>
        <w:rPr>
          <w:lang w:val="pl-PL"/>
        </w:rPr>
      </w:pPr>
      <w:r w:rsidRPr="0001543F">
        <w:rPr>
          <w:bCs/>
          <w:lang w:val="pl-PL"/>
        </w:rPr>
        <w:t>A.  Oświadczenia stron</w:t>
      </w:r>
    </w:p>
    <w:p w:rsidR="003960A7" w:rsidRPr="0001543F" w:rsidRDefault="003960A7" w:rsidP="003960A7">
      <w:pPr>
        <w:pStyle w:val="JuH1"/>
        <w:rPr>
          <w:lang w:val="pl-PL"/>
        </w:rPr>
      </w:pPr>
      <w:r w:rsidRPr="0001543F">
        <w:rPr>
          <w:iCs/>
          <w:lang w:val="pl-PL"/>
        </w:rPr>
        <w:t>1.  Skarżący</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114</w:t>
      </w:r>
      <w:r w:rsidRPr="0001543F">
        <w:rPr>
          <w:lang w:val="pl-PL"/>
        </w:rPr>
        <w:fldChar w:fldCharType="end"/>
      </w:r>
      <w:r w:rsidR="00506AD7" w:rsidRPr="0001543F">
        <w:rPr>
          <w:lang w:val="pl-PL"/>
        </w:rPr>
        <w:t>.  Skarżący zarzucił, że ławnicy zostali dopuszczeni do składu sędziowskiego niezgodnie z ustawą o ławnikach.</w:t>
      </w:r>
      <w:r w:rsidR="002179BB" w:rsidRPr="0001543F">
        <w:rPr>
          <w:lang w:val="pl-PL"/>
        </w:rPr>
        <w:t xml:space="preserve"> </w:t>
      </w:r>
      <w:r w:rsidR="00506AD7" w:rsidRPr="0001543F">
        <w:rPr>
          <w:lang w:val="pl-PL"/>
        </w:rPr>
        <w:t>Skarżący twierdził także, iż sąd pierwszej instancji arbitralnie usunął adwokata skarżącego, Zh., oraz odmówił dopuszczenia p</w:t>
      </w:r>
      <w:r w:rsidR="000B2CAD" w:rsidRPr="0001543F">
        <w:rPr>
          <w:lang w:val="pl-PL"/>
        </w:rPr>
        <w:t>ełnomocnika</w:t>
      </w:r>
      <w:r w:rsidR="00506AD7" w:rsidRPr="0001543F">
        <w:rPr>
          <w:lang w:val="pl-PL"/>
        </w:rPr>
        <w:t xml:space="preserve"> niezawodowego; adwokaci wyznaczeni w ramach pomocy </w:t>
      </w:r>
      <w:r w:rsidR="005C6842" w:rsidRPr="0001543F">
        <w:rPr>
          <w:lang w:val="pl-PL"/>
        </w:rPr>
        <w:t>prawnej</w:t>
      </w:r>
      <w:r w:rsidR="00506AD7" w:rsidRPr="0001543F">
        <w:rPr>
          <w:lang w:val="pl-PL"/>
        </w:rPr>
        <w:t xml:space="preserve">, Z. i P. byli </w:t>
      </w:r>
      <w:r w:rsidR="005C6842" w:rsidRPr="0001543F">
        <w:rPr>
          <w:lang w:val="pl-PL"/>
        </w:rPr>
        <w:t>nieskuteczni</w:t>
      </w:r>
      <w:r w:rsidR="00506AD7" w:rsidRPr="0001543F">
        <w:rPr>
          <w:lang w:val="pl-PL"/>
        </w:rPr>
        <w:t xml:space="preserve">; Z. nie sporządził apelacji i nie </w:t>
      </w:r>
      <w:r w:rsidR="005C6842" w:rsidRPr="0001543F">
        <w:rPr>
          <w:lang w:val="pl-PL"/>
        </w:rPr>
        <w:t>brał</w:t>
      </w:r>
      <w:r w:rsidR="00506AD7" w:rsidRPr="0001543F">
        <w:rPr>
          <w:lang w:val="pl-PL"/>
        </w:rPr>
        <w:t xml:space="preserve"> udziału w postępowaniu apelacyjnym mimo obietnic, że podejmie takie działania; w rezultacie w trakcie </w:t>
      </w:r>
      <w:r w:rsidR="000B2CAD" w:rsidRPr="0001543F">
        <w:rPr>
          <w:lang w:val="pl-PL"/>
        </w:rPr>
        <w:t>postępowani</w:t>
      </w:r>
      <w:r w:rsidR="00506AD7" w:rsidRPr="0001543F">
        <w:rPr>
          <w:lang w:val="pl-PL"/>
        </w:rPr>
        <w:t xml:space="preserve">a apelacyjnego </w:t>
      </w:r>
      <w:r w:rsidR="000B2CAD" w:rsidRPr="0001543F">
        <w:rPr>
          <w:lang w:val="pl-PL"/>
        </w:rPr>
        <w:t xml:space="preserve">skarżący nie korzystał </w:t>
      </w:r>
      <w:r w:rsidR="00506AD7" w:rsidRPr="0001543F">
        <w:rPr>
          <w:lang w:val="pl-PL"/>
        </w:rPr>
        <w:t>z pomocy prawnej.</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115</w:t>
      </w:r>
      <w:r w:rsidRPr="0001543F">
        <w:rPr>
          <w:lang w:val="pl-PL"/>
        </w:rPr>
        <w:fldChar w:fldCharType="end"/>
      </w:r>
      <w:r w:rsidR="00506AD7" w:rsidRPr="0001543F">
        <w:rPr>
          <w:lang w:val="pl-PL"/>
        </w:rPr>
        <w:t xml:space="preserve">.  Następnie skarżący stwierdził, że w ramach rewizji procesu skutkującej skazaniem skarżącego na mocy wyroku z dnia 16 lutego 2011 r. nie skorygowano nieprawidłowości pierwszego procesu. Wznowienie postępowania karnego i uchylenie wyroku z dnia 24 kwietnia 2003 r. nie były wystarczające. Prezydium Sądu Najwyższego zmieniło zakres </w:t>
      </w:r>
      <w:r w:rsidR="0015176A" w:rsidRPr="0001543F">
        <w:rPr>
          <w:lang w:val="pl-PL"/>
        </w:rPr>
        <w:t xml:space="preserve">uznania </w:t>
      </w:r>
      <w:r w:rsidR="00506AD7" w:rsidRPr="0001543F">
        <w:rPr>
          <w:lang w:val="pl-PL"/>
        </w:rPr>
        <w:t xml:space="preserve">naruszeń i ograniczyło je do niezgodnego z prawem składu sądu pierwszej instancji. Zatem, mimo że decyzje sądu pierwszej </w:t>
      </w:r>
      <w:r w:rsidR="005C6842" w:rsidRPr="0001543F">
        <w:rPr>
          <w:lang w:val="pl-PL"/>
        </w:rPr>
        <w:t>instancji</w:t>
      </w:r>
      <w:r w:rsidR="0015176A" w:rsidRPr="0001543F">
        <w:rPr>
          <w:lang w:val="pl-PL"/>
        </w:rPr>
        <w:t xml:space="preserve"> oraz są</w:t>
      </w:r>
      <w:r w:rsidR="00506AD7" w:rsidRPr="0001543F">
        <w:rPr>
          <w:lang w:val="pl-PL"/>
        </w:rPr>
        <w:t xml:space="preserve">du apelacyjnego z 2003 r. </w:t>
      </w:r>
      <w:r w:rsidR="005C6842" w:rsidRPr="0001543F">
        <w:rPr>
          <w:lang w:val="pl-PL"/>
        </w:rPr>
        <w:t>zostały</w:t>
      </w:r>
      <w:r w:rsidR="00506AD7" w:rsidRPr="0001543F">
        <w:rPr>
          <w:lang w:val="pl-PL"/>
        </w:rPr>
        <w:t xml:space="preserve"> uchylone, </w:t>
      </w:r>
      <w:r w:rsidR="0015176A" w:rsidRPr="0001543F">
        <w:rPr>
          <w:lang w:val="pl-PL"/>
        </w:rPr>
        <w:t xml:space="preserve">nie uznano naruszeń </w:t>
      </w:r>
      <w:r w:rsidR="00FF1AE3" w:rsidRPr="0001543F">
        <w:rPr>
          <w:lang w:val="pl-PL"/>
        </w:rPr>
        <w:t xml:space="preserve">zarzucanych </w:t>
      </w:r>
      <w:r w:rsidR="0015176A" w:rsidRPr="0001543F">
        <w:rPr>
          <w:lang w:val="pl-PL"/>
        </w:rPr>
        <w:t xml:space="preserve">w </w:t>
      </w:r>
      <w:r w:rsidR="00FF1AE3" w:rsidRPr="0001543F">
        <w:rPr>
          <w:lang w:val="pl-PL"/>
        </w:rPr>
        <w:t>odniesieniu do orzeczenia</w:t>
      </w:r>
      <w:r w:rsidR="0015176A" w:rsidRPr="0001543F">
        <w:rPr>
          <w:lang w:val="pl-PL"/>
        </w:rPr>
        <w:t xml:space="preserve"> z dnia </w:t>
      </w:r>
      <w:r w:rsidR="00506AD7" w:rsidRPr="0001543F">
        <w:rPr>
          <w:lang w:val="pl-PL"/>
        </w:rPr>
        <w:t>1 września 2010</w:t>
      </w:r>
      <w:r w:rsidR="0015176A" w:rsidRPr="0001543F">
        <w:rPr>
          <w:lang w:val="pl-PL"/>
        </w:rPr>
        <w:t xml:space="preserve"> r.</w:t>
      </w:r>
      <w:r w:rsidR="00506AD7" w:rsidRPr="0001543F">
        <w:rPr>
          <w:lang w:val="pl-PL"/>
        </w:rPr>
        <w:t xml:space="preserve">, w </w:t>
      </w:r>
      <w:r w:rsidR="005C6842" w:rsidRPr="0001543F">
        <w:rPr>
          <w:lang w:val="pl-PL"/>
        </w:rPr>
        <w:t>szczególności</w:t>
      </w:r>
      <w:r w:rsidR="00506AD7" w:rsidRPr="0001543F">
        <w:rPr>
          <w:lang w:val="pl-PL"/>
        </w:rPr>
        <w:t xml:space="preserve"> w odniesieniu do nieskutecznej pomocy </w:t>
      </w:r>
      <w:r w:rsidR="005C6842" w:rsidRPr="0001543F">
        <w:rPr>
          <w:lang w:val="pl-PL"/>
        </w:rPr>
        <w:t>prawnej</w:t>
      </w:r>
      <w:r w:rsidR="00506AD7" w:rsidRPr="0001543F">
        <w:rPr>
          <w:lang w:val="pl-PL"/>
        </w:rPr>
        <w:t xml:space="preserve"> w trakcie procesu. W każdym przypadku rewizja procesu w 2011 r. doprowadziła do wystąpienia dalszych naruszeń artykułu 6 Konwencji ze względu na niewystarczającą pomoc prawną ze strony adwokata K., narzuconego skarżącemu w </w:t>
      </w:r>
      <w:r w:rsidR="005C6842" w:rsidRPr="0001543F">
        <w:rPr>
          <w:lang w:val="pl-PL"/>
        </w:rPr>
        <w:t>miejsce</w:t>
      </w:r>
      <w:r w:rsidR="00506AD7" w:rsidRPr="0001543F">
        <w:rPr>
          <w:lang w:val="pl-PL"/>
        </w:rPr>
        <w:t xml:space="preserve"> adwokata D. Skarżący nie miał możliwości kontaktować się z adwokatem w tajemnicy, w szczególności z tej przyczyny, że K. nie przyszedł porozmawiać ze skarżącym </w:t>
      </w:r>
      <w:r w:rsidR="000B2CAD" w:rsidRPr="0001543F">
        <w:rPr>
          <w:lang w:val="pl-PL"/>
        </w:rPr>
        <w:t xml:space="preserve">w </w:t>
      </w:r>
      <w:r w:rsidR="00506AD7" w:rsidRPr="0001543F">
        <w:rPr>
          <w:lang w:val="pl-PL"/>
        </w:rPr>
        <w:t xml:space="preserve">areszcie śledczym. Ze względu na wskazane powyżej zarzuty naruszenia oraz długość rewizji procesu, skarżący nie </w:t>
      </w:r>
      <w:r w:rsidR="00506AD7" w:rsidRPr="0001543F">
        <w:rPr>
          <w:lang w:val="pl-PL"/>
        </w:rPr>
        <w:lastRenderedPageBreak/>
        <w:t>utracił statusu pokrzywdzonego w odniesieniu do skargi pierwotnej dotyczącej procesu prowadzonego w latach 2001-2003.</w:t>
      </w:r>
    </w:p>
    <w:p w:rsidR="003960A7" w:rsidRPr="0001543F" w:rsidRDefault="003960A7" w:rsidP="003960A7">
      <w:pPr>
        <w:pStyle w:val="JuH1"/>
        <w:rPr>
          <w:lang w:val="pl-PL"/>
        </w:rPr>
      </w:pPr>
      <w:r w:rsidRPr="0001543F">
        <w:rPr>
          <w:iCs/>
          <w:lang w:val="pl-PL"/>
        </w:rPr>
        <w:t>2.  Rząd</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116</w:t>
      </w:r>
      <w:r w:rsidRPr="0001543F">
        <w:rPr>
          <w:lang w:val="pl-PL"/>
        </w:rPr>
        <w:fldChar w:fldCharType="end"/>
      </w:r>
      <w:r w:rsidR="00506AD7" w:rsidRPr="0001543F">
        <w:rPr>
          <w:lang w:val="pl-PL"/>
        </w:rPr>
        <w:t>.  Rząd stwierdził, że doszło do naruszenia artykułu 6 Konwencji ze względu na brak pomocy prawnej w postępowaniu apelacyjnym w 2003 r., natomiast nie doszło do naruszenia tego artykułu z tytułu skład</w:t>
      </w:r>
      <w:r w:rsidR="000B2CAD" w:rsidRPr="0001543F">
        <w:rPr>
          <w:lang w:val="pl-PL"/>
        </w:rPr>
        <w:t>u</w:t>
      </w:r>
      <w:r w:rsidR="00506AD7" w:rsidRPr="0001543F">
        <w:rPr>
          <w:lang w:val="pl-PL"/>
        </w:rPr>
        <w:t xml:space="preserve"> sądu pierwszej instancji oraz pomocy prawnej udzielonej skarżącemu podczas procesu. </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117</w:t>
      </w:r>
      <w:r w:rsidRPr="0001543F">
        <w:rPr>
          <w:lang w:val="pl-PL"/>
        </w:rPr>
        <w:fldChar w:fldCharType="end"/>
      </w:r>
      <w:r w:rsidR="00506AD7" w:rsidRPr="0001543F">
        <w:rPr>
          <w:lang w:val="pl-PL"/>
        </w:rPr>
        <w:t>.  Rząd oświadczył, że wyrok sądu pierwszej instancji z dnia 24 kwietnia 2003 r. został uchylony ze względu na fakt, że skład sędziowski nie był zgod</w:t>
      </w:r>
      <w:r w:rsidR="000B2CAD" w:rsidRPr="0001543F">
        <w:rPr>
          <w:lang w:val="pl-PL"/>
        </w:rPr>
        <w:t>ny z prawem. Zatem sąd rosyjski</w:t>
      </w:r>
      <w:r w:rsidR="00506AD7" w:rsidRPr="0001543F">
        <w:rPr>
          <w:lang w:val="pl-PL"/>
        </w:rPr>
        <w:t xml:space="preserve"> uznał, że doszło do naruszeń związanych z procesem. T</w:t>
      </w:r>
      <w:r w:rsidR="0015176A" w:rsidRPr="0001543F">
        <w:rPr>
          <w:lang w:val="pl-PL"/>
        </w:rPr>
        <w:t>akie uznanie, wraz z rzetelną rewizją procesu skarżącego, stanowiły odpowiednie zadośćuczynienie</w:t>
      </w:r>
      <w:r w:rsidR="00506AD7" w:rsidRPr="0001543F">
        <w:rPr>
          <w:lang w:val="pl-PL"/>
        </w:rPr>
        <w:t xml:space="preserve">. </w:t>
      </w:r>
      <w:r w:rsidR="00D463C6" w:rsidRPr="0001543F">
        <w:rPr>
          <w:lang w:val="pl-PL"/>
        </w:rPr>
        <w:t>Skarżąc</w:t>
      </w:r>
      <w:r w:rsidR="0015176A" w:rsidRPr="0001543F">
        <w:rPr>
          <w:lang w:val="pl-PL"/>
        </w:rPr>
        <w:t xml:space="preserve">y otrzymał właściwe doradztwo prawne ze strony adwokata </w:t>
      </w:r>
      <w:r w:rsidR="00506AD7" w:rsidRPr="0001543F">
        <w:rPr>
          <w:lang w:val="pl-PL"/>
        </w:rPr>
        <w:t>K</w:t>
      </w:r>
      <w:r w:rsidR="0015176A" w:rsidRPr="0001543F">
        <w:rPr>
          <w:lang w:val="pl-PL"/>
        </w:rPr>
        <w:t xml:space="preserve">. oraz jednoznacznie zrzekł się prawa do procesu z udziałem ławy przysięgłych i wyraził zgodę na </w:t>
      </w:r>
      <w:r w:rsidR="00FD342B" w:rsidRPr="0001543F">
        <w:rPr>
          <w:lang w:val="pl-PL"/>
        </w:rPr>
        <w:t>rozpoznanie sprawy przez sędziego</w:t>
      </w:r>
      <w:r w:rsidR="00506AD7" w:rsidRPr="0001543F">
        <w:rPr>
          <w:lang w:val="pl-PL"/>
        </w:rPr>
        <w:t xml:space="preserve">. Zatem przestała istnieć względem skarżącego sytuacja, w której byłby on ofiarą domniemanego naruszenia </w:t>
      </w:r>
      <w:r w:rsidR="005C6842" w:rsidRPr="0001543F">
        <w:rPr>
          <w:lang w:val="pl-PL"/>
        </w:rPr>
        <w:t>artykułu</w:t>
      </w:r>
      <w:r w:rsidR="00506AD7" w:rsidRPr="0001543F">
        <w:rPr>
          <w:lang w:val="pl-PL"/>
        </w:rPr>
        <w:t xml:space="preserve"> 6 Konwencji w odniesieniu do postępowania karnego przeciwko skarżącemu.</w:t>
      </w:r>
    </w:p>
    <w:p w:rsidR="003960A7" w:rsidRPr="0001543F" w:rsidRDefault="003960A7" w:rsidP="003960A7">
      <w:pPr>
        <w:pStyle w:val="JuHA"/>
        <w:rPr>
          <w:lang w:val="pl-PL"/>
        </w:rPr>
      </w:pPr>
      <w:r w:rsidRPr="0001543F">
        <w:rPr>
          <w:bCs/>
          <w:lang w:val="pl-PL"/>
        </w:rPr>
        <w:t>B.  Ocena Trybunału</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118</w:t>
      </w:r>
      <w:r w:rsidRPr="0001543F">
        <w:rPr>
          <w:lang w:val="pl-PL"/>
        </w:rPr>
        <w:fldChar w:fldCharType="end"/>
      </w:r>
      <w:r w:rsidR="00506AD7" w:rsidRPr="0001543F">
        <w:rPr>
          <w:lang w:val="pl-PL"/>
        </w:rPr>
        <w:t>.  Trybunał przypomina, iż zgodnie z przepisem artykułu 19 Konwencji, jego jedynym zadaniem jest zapewnienie przestrzegania zobowiązań podjętych przez Strony Konwencji.</w:t>
      </w:r>
      <w:r w:rsidR="002179BB" w:rsidRPr="0001543F">
        <w:rPr>
          <w:lang w:val="pl-PL"/>
        </w:rPr>
        <w:t xml:space="preserve"> </w:t>
      </w:r>
      <w:r w:rsidR="00506AD7" w:rsidRPr="0001543F">
        <w:rPr>
          <w:lang w:val="pl-PL"/>
        </w:rPr>
        <w:t xml:space="preserve">W szczególności Trybunał nie jest właściwy do badania skarg dotyczących zarzutu popełnienia przez sądy krajowe błędów prawnych bądź faktycznych, z wyłączeniem przypadków, w </w:t>
      </w:r>
      <w:r w:rsidR="005C6842" w:rsidRPr="0001543F">
        <w:rPr>
          <w:lang w:val="pl-PL"/>
        </w:rPr>
        <w:t>których</w:t>
      </w:r>
      <w:r w:rsidR="00506AD7" w:rsidRPr="0001543F">
        <w:rPr>
          <w:lang w:val="pl-PL"/>
        </w:rPr>
        <w:t xml:space="preserve"> Trybunał uzna, że takie błędy mogły pociągać za sobą potencjalne naruszenie dowolnych praw czy swobód z</w:t>
      </w:r>
      <w:r w:rsidR="000B2CAD" w:rsidRPr="0001543F">
        <w:rPr>
          <w:lang w:val="pl-PL"/>
        </w:rPr>
        <w:t>agwarantowanych Konwencją (zob.</w:t>
      </w:r>
      <w:r w:rsidR="00506AD7" w:rsidRPr="0001543F">
        <w:rPr>
          <w:lang w:val="pl-PL"/>
        </w:rPr>
        <w:t xml:space="preserve"> między innymi </w:t>
      </w:r>
      <w:bookmarkStart w:id="25" w:name="01000021"/>
      <w:bookmarkEnd w:id="25"/>
      <w:r w:rsidR="00506AD7" w:rsidRPr="0001543F">
        <w:rPr>
          <w:rStyle w:val="ju-005fpara-002cleft-002cfirst-0020line-003a-0020-00200-0020cm--char"/>
          <w:i/>
          <w:iCs/>
          <w:lang w:val="pl-PL"/>
        </w:rPr>
        <w:t>Schenk przeciwko Szwajcarii</w:t>
      </w:r>
      <w:r w:rsidR="00506AD7" w:rsidRPr="0001543F">
        <w:rPr>
          <w:lang w:val="pl-PL"/>
        </w:rPr>
        <w:t>, 12 lipca 1988 r., § 45, Seria A nr 140).</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119</w:t>
      </w:r>
      <w:r w:rsidRPr="0001543F">
        <w:rPr>
          <w:lang w:val="pl-PL"/>
        </w:rPr>
        <w:fldChar w:fldCharType="end"/>
      </w:r>
      <w:r w:rsidR="00506AD7" w:rsidRPr="0001543F">
        <w:rPr>
          <w:lang w:val="pl-PL"/>
        </w:rPr>
        <w:t>.  W odniesieniu do artykułu 6 Konwencji Trybunał przypomina, że dopuszczalność dowodów podlega zasadniczo regulacji zgodnie z przepisami prawa krajowego i</w:t>
      </w:r>
      <w:r w:rsidR="000B2CAD" w:rsidRPr="0001543F">
        <w:rPr>
          <w:lang w:val="pl-PL"/>
        </w:rPr>
        <w:t>,</w:t>
      </w:r>
      <w:r w:rsidR="00506AD7" w:rsidRPr="0001543F">
        <w:rPr>
          <w:lang w:val="pl-PL"/>
        </w:rPr>
        <w:t xml:space="preserve"> ogólnie rzecz biorąc, ocena dowodów leży w kompetencji sądów krajowych. Zadaniem Trybunału w świetle Konwencji nie jest stwierdzenie, czy oświadczenia świadków zostały odpowiednio dopuszczone jako dowody, lecz raczej ustalenie, czy postępowanie jako całość, w tym także sposób dopuszczania dowodów, było rzetelne (zob. </w:t>
      </w:r>
      <w:r w:rsidR="00506AD7" w:rsidRPr="0001543F">
        <w:rPr>
          <w:rStyle w:val="ju--005fpara----char--char"/>
          <w:i/>
          <w:iCs/>
          <w:lang w:val="pl-PL"/>
        </w:rPr>
        <w:t>Doorson przeciwko Holandii</w:t>
      </w:r>
      <w:r w:rsidR="00506AD7" w:rsidRPr="0001543F">
        <w:rPr>
          <w:lang w:val="pl-PL"/>
        </w:rPr>
        <w:t xml:space="preserve">, 26 marca 1996 r., § 67, </w:t>
      </w:r>
      <w:r w:rsidR="00F9651E" w:rsidRPr="0001543F">
        <w:rPr>
          <w:rStyle w:val="ju--005fpara----char--char"/>
          <w:i/>
          <w:iCs/>
          <w:lang w:val="pl-PL"/>
        </w:rPr>
        <w:t>Raporty</w:t>
      </w:r>
      <w:r w:rsidR="00506AD7" w:rsidRPr="0001543F">
        <w:rPr>
          <w:lang w:val="pl-PL"/>
        </w:rPr>
        <w:t xml:space="preserve"> 1996-II, and </w:t>
      </w:r>
      <w:r w:rsidR="00506AD7" w:rsidRPr="0001543F">
        <w:rPr>
          <w:rStyle w:val="ju--005fpara----char--char"/>
          <w:i/>
          <w:iCs/>
          <w:lang w:val="pl-PL"/>
        </w:rPr>
        <w:t>Van Mechelen i Inni przeciwko Holandii</w:t>
      </w:r>
      <w:r w:rsidR="00506AD7" w:rsidRPr="0001543F">
        <w:rPr>
          <w:lang w:val="pl-PL"/>
        </w:rPr>
        <w:t xml:space="preserve">, 23 kwietnia 1997 r., § 50, </w:t>
      </w:r>
      <w:r w:rsidR="00F9651E" w:rsidRPr="0001543F">
        <w:rPr>
          <w:rStyle w:val="ju--005fpara----char--char"/>
          <w:i/>
          <w:iCs/>
          <w:lang w:val="pl-PL"/>
        </w:rPr>
        <w:t>Raporty</w:t>
      </w:r>
      <w:r w:rsidR="00506AD7" w:rsidRPr="0001543F">
        <w:rPr>
          <w:rStyle w:val="ju--005fpara----char--char"/>
          <w:i/>
          <w:iCs/>
          <w:lang w:val="pl-PL"/>
        </w:rPr>
        <w:t xml:space="preserve"> </w:t>
      </w:r>
      <w:r w:rsidR="00506AD7" w:rsidRPr="0001543F">
        <w:rPr>
          <w:lang w:val="pl-PL"/>
        </w:rPr>
        <w:t>1997-III).</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120</w:t>
      </w:r>
      <w:r w:rsidRPr="0001543F">
        <w:rPr>
          <w:lang w:val="pl-PL"/>
        </w:rPr>
        <w:fldChar w:fldCharType="end"/>
      </w:r>
      <w:r w:rsidR="00506AD7" w:rsidRPr="0001543F">
        <w:rPr>
          <w:lang w:val="pl-PL"/>
        </w:rPr>
        <w:t xml:space="preserve">.  Uwzględniając powyższe zasady Trybunał w pierwszej kolejności zbadał zarzuty pierwotnie przedstawione przez skarżącego i dotyczące </w:t>
      </w:r>
      <w:r w:rsidR="00506AD7" w:rsidRPr="0001543F">
        <w:rPr>
          <w:lang w:val="pl-PL"/>
        </w:rPr>
        <w:lastRenderedPageBreak/>
        <w:t xml:space="preserve">wstępnego śledztwa w sprawie karnej. Nie wykazano, że skarżący nie miał odpowiednich możliwości przedstawienia swoich argumentów i dowodów oraz zakwestionowania argumentów i dowodów prokuratury w ramach procedury kontradyktoryjnej. Materiały </w:t>
      </w:r>
      <w:r w:rsidR="005C6842" w:rsidRPr="0001543F">
        <w:rPr>
          <w:lang w:val="pl-PL"/>
        </w:rPr>
        <w:t>przedstawione</w:t>
      </w:r>
      <w:r w:rsidR="00506AD7" w:rsidRPr="0001543F">
        <w:rPr>
          <w:lang w:val="pl-PL"/>
        </w:rPr>
        <w:t xml:space="preserve"> Trybunałowi w niniejszej sprawie nie wskazują na to, by zarzucane naruszenie było tak istotne, że skutkowało brakiem ogólnej rzetelności postępowania wymaganej artykułem 6 Konwencji. Ponadto Trybunał zauważa, że skarżący korzystał z pomocy prawnej podczas procesu oraz że nie uzasadniono w sposób przekonujący, by pomoc ta była oczywiście nieskuteczna bądź w inny sposób naruszała </w:t>
      </w:r>
      <w:r w:rsidR="005C6842" w:rsidRPr="0001543F">
        <w:rPr>
          <w:lang w:val="pl-PL"/>
        </w:rPr>
        <w:t>postanowienia</w:t>
      </w:r>
      <w:r w:rsidR="00506AD7" w:rsidRPr="0001543F">
        <w:rPr>
          <w:lang w:val="pl-PL"/>
        </w:rPr>
        <w:t xml:space="preserve"> Konwencji.</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121</w:t>
      </w:r>
      <w:r w:rsidRPr="0001543F">
        <w:rPr>
          <w:lang w:val="pl-PL"/>
        </w:rPr>
        <w:fldChar w:fldCharType="end"/>
      </w:r>
      <w:r w:rsidR="00506AD7" w:rsidRPr="0001543F">
        <w:rPr>
          <w:lang w:val="pl-PL"/>
        </w:rPr>
        <w:t>.  </w:t>
      </w:r>
      <w:r w:rsidR="005C6842" w:rsidRPr="0001543F">
        <w:rPr>
          <w:lang w:val="pl-PL"/>
        </w:rPr>
        <w:t>Odnośnie</w:t>
      </w:r>
      <w:r w:rsidR="00506AD7" w:rsidRPr="0001543F">
        <w:rPr>
          <w:lang w:val="pl-PL"/>
        </w:rPr>
        <w:t xml:space="preserve"> do zarzutów dotyczących </w:t>
      </w:r>
      <w:r w:rsidR="00FF1AE3" w:rsidRPr="0001543F">
        <w:rPr>
          <w:lang w:val="pl-PL"/>
        </w:rPr>
        <w:t>konkretnie</w:t>
      </w:r>
      <w:r w:rsidR="00506AD7" w:rsidRPr="0001543F">
        <w:rPr>
          <w:lang w:val="pl-PL"/>
        </w:rPr>
        <w:t xml:space="preserve"> składu sądu pierwszej instancji oraz kwestii pomocy prawnej</w:t>
      </w:r>
      <w:r w:rsidR="000B2CAD" w:rsidRPr="0001543F">
        <w:rPr>
          <w:lang w:val="pl-PL"/>
        </w:rPr>
        <w:t xml:space="preserve"> –</w:t>
      </w:r>
      <w:r w:rsidR="00506AD7" w:rsidRPr="0001543F">
        <w:rPr>
          <w:lang w:val="pl-PL"/>
        </w:rPr>
        <w:t xml:space="preserve"> zgodnie z potwierdzeniem przez rosyjski Sąd Najwyższy</w:t>
      </w:r>
      <w:r w:rsidR="000B2CAD" w:rsidRPr="0001543F">
        <w:rPr>
          <w:lang w:val="pl-PL"/>
        </w:rPr>
        <w:t xml:space="preserve"> – uzasadnione były </w:t>
      </w:r>
      <w:r w:rsidR="00506AD7" w:rsidRPr="0001543F">
        <w:rPr>
          <w:lang w:val="pl-PL"/>
        </w:rPr>
        <w:t xml:space="preserve">skargi dotyczące składu sądu pierwszej instancji oraz braku pomocy prawnej w postępowaniu apelacyjnym w roku 2003 (por. </w:t>
      </w:r>
      <w:r w:rsidR="00506AD7" w:rsidRPr="0001543F">
        <w:rPr>
          <w:i/>
          <w:iCs/>
          <w:lang w:val="pl-PL"/>
        </w:rPr>
        <w:t>Posokhov przeciwko Rosji</w:t>
      </w:r>
      <w:r w:rsidR="00506AD7" w:rsidRPr="0001543F">
        <w:rPr>
          <w:lang w:val="pl-PL"/>
        </w:rPr>
        <w:t>,</w:t>
      </w:r>
      <w:r w:rsidR="00506AD7" w:rsidRPr="0001543F">
        <w:rPr>
          <w:i/>
          <w:iCs/>
          <w:lang w:val="pl-PL"/>
        </w:rPr>
        <w:t xml:space="preserve"> </w:t>
      </w:r>
      <w:r w:rsidR="00506AD7" w:rsidRPr="0001543F">
        <w:rPr>
          <w:lang w:val="pl-PL"/>
        </w:rPr>
        <w:t>nr 63486/00, § 36, ETPCz 2003</w:t>
      </w:r>
      <w:r w:rsidR="00506AD7" w:rsidRPr="0001543F">
        <w:rPr>
          <w:lang w:val="pl-PL"/>
        </w:rPr>
        <w:noBreakHyphen/>
        <w:t>IV). W pierwszej kolejności Trybunał zamierza zbadać argument Rządu, iż skarżący utracił status pokrzywdzonego ze względu na rewizję procesu w 2011 r.</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122</w:t>
      </w:r>
      <w:r w:rsidRPr="0001543F">
        <w:rPr>
          <w:lang w:val="pl-PL"/>
        </w:rPr>
        <w:fldChar w:fldCharType="end"/>
      </w:r>
      <w:r w:rsidR="00506AD7" w:rsidRPr="0001543F">
        <w:rPr>
          <w:lang w:val="pl-PL"/>
        </w:rPr>
        <w:t xml:space="preserve">.  Trybunał przeprowadzi </w:t>
      </w:r>
      <w:r w:rsidR="005C6842" w:rsidRPr="0001543F">
        <w:rPr>
          <w:lang w:val="pl-PL"/>
        </w:rPr>
        <w:t>analizę</w:t>
      </w:r>
      <w:r w:rsidR="00506AD7" w:rsidRPr="0001543F">
        <w:rPr>
          <w:lang w:val="pl-PL"/>
        </w:rPr>
        <w:t xml:space="preserve"> w świetle zasad określonych w sprawie </w:t>
      </w:r>
      <w:r w:rsidR="00506AD7" w:rsidRPr="0001543F">
        <w:rPr>
          <w:i/>
          <w:iCs/>
          <w:lang w:val="pl-PL"/>
        </w:rPr>
        <w:t xml:space="preserve">Sakhnovskiy </w:t>
      </w:r>
      <w:r w:rsidR="00506AD7" w:rsidRPr="0001543F">
        <w:rPr>
          <w:lang w:val="pl-PL"/>
        </w:rPr>
        <w:t>(cyt. powyżej, §§ 66-71 i §§ 76-84) oraz w odniesieniu do oświadczeń stron dotyczących wznowionego postępowania.</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123</w:t>
      </w:r>
      <w:r w:rsidRPr="0001543F">
        <w:rPr>
          <w:lang w:val="pl-PL"/>
        </w:rPr>
        <w:fldChar w:fldCharType="end"/>
      </w:r>
      <w:r w:rsidR="00506AD7" w:rsidRPr="0001543F">
        <w:rPr>
          <w:lang w:val="pl-PL"/>
        </w:rPr>
        <w:t>.  Po zapoznaniu się z dostępnymi materiałami Trybunał zauważa, że sprawa skarżącego została ponownie rozpoznana przez sąd „ustanowiony ustawą”. Pozostaje zatem do ustalenia, czy w trakcie rewizji procesu poszanowane było prawo skarżącego do pomocy prawnej.</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124</w:t>
      </w:r>
      <w:r w:rsidRPr="0001543F">
        <w:rPr>
          <w:lang w:val="pl-PL"/>
        </w:rPr>
        <w:fldChar w:fldCharType="end"/>
      </w:r>
      <w:r w:rsidR="00506AD7" w:rsidRPr="0001543F">
        <w:rPr>
          <w:lang w:val="pl-PL"/>
        </w:rPr>
        <w:t xml:space="preserve">.  Trybunał </w:t>
      </w:r>
      <w:r w:rsidR="002C0F9F" w:rsidRPr="0001543F">
        <w:rPr>
          <w:lang w:val="pl-PL"/>
        </w:rPr>
        <w:t>przypomina także, że wyznaczenie obrońcy nie zapewnia samo w sobie skuteczności pomocy, jaką adwokat może świadczyć na rzecz klienta</w:t>
      </w:r>
      <w:bookmarkStart w:id="26" w:name="01000027"/>
      <w:bookmarkEnd w:id="26"/>
      <w:r w:rsidR="00506AD7" w:rsidRPr="0001543F">
        <w:rPr>
          <w:lang w:val="pl-PL"/>
        </w:rPr>
        <w:t xml:space="preserve"> (zob. </w:t>
      </w:r>
      <w:r w:rsidR="00506AD7" w:rsidRPr="0001543F">
        <w:rPr>
          <w:rStyle w:val="ju--005fpara--002cleft--002cfirst--0020line--003a--0020--00200--0020cm----char--char"/>
          <w:i/>
          <w:iCs/>
          <w:lang w:val="pl-PL"/>
        </w:rPr>
        <w:t>Czekalla przeciwko Portugalii</w:t>
      </w:r>
      <w:r w:rsidR="00506AD7" w:rsidRPr="0001543F">
        <w:rPr>
          <w:lang w:val="pl-PL"/>
        </w:rPr>
        <w:t xml:space="preserve">, nr 38830/97, § 60, ETPCz 2002-VIII). Państwo nie może ponosić odpowiedzialności za wszelkie niedociągnięcia ze strony </w:t>
      </w:r>
      <w:r w:rsidR="00AD51BA" w:rsidRPr="0001543F">
        <w:rPr>
          <w:lang w:val="pl-PL"/>
        </w:rPr>
        <w:t>adwokata</w:t>
      </w:r>
      <w:r w:rsidR="00506AD7" w:rsidRPr="0001543F">
        <w:rPr>
          <w:lang w:val="pl-PL"/>
        </w:rPr>
        <w:t xml:space="preserve"> wyznaczonego w ramach pomocy prawnej. Zgodnie z zasadą niezależności zawodów </w:t>
      </w:r>
      <w:bookmarkStart w:id="27" w:name="01000028"/>
      <w:bookmarkEnd w:id="27"/>
      <w:r w:rsidR="00506AD7" w:rsidRPr="0001543F">
        <w:rPr>
          <w:lang w:val="pl-PL"/>
        </w:rPr>
        <w:t>prawniczych od Państwa, prowadzenie obrony jest zasadniczo sprawą pomiędzy oskarżonym a jego obrońcą, niezależnie od faktu ustanowienia obrońcy w ramach pomocy prawnej bądź finansowania ze środków prywatnych. Zgodnie z przepisem artykułu 6 ust. 3</w:t>
      </w:r>
      <w:r w:rsidR="0011550F" w:rsidRPr="0001543F">
        <w:rPr>
          <w:lang w:val="pl-PL"/>
        </w:rPr>
        <w:t xml:space="preserve"> </w:t>
      </w:r>
      <w:r w:rsidR="00FF1AE3" w:rsidRPr="0001543F">
        <w:rPr>
          <w:lang w:val="pl-PL"/>
        </w:rPr>
        <w:t xml:space="preserve">lit. </w:t>
      </w:r>
      <w:r w:rsidR="0011550F" w:rsidRPr="0001543F">
        <w:rPr>
          <w:lang w:val="pl-PL"/>
        </w:rPr>
        <w:t>(c)</w:t>
      </w:r>
      <w:bookmarkStart w:id="28" w:name="0100002B"/>
      <w:bookmarkStart w:id="29" w:name="0100002A"/>
      <w:bookmarkStart w:id="30" w:name="01000029"/>
      <w:bookmarkEnd w:id="28"/>
      <w:bookmarkEnd w:id="29"/>
      <w:bookmarkEnd w:id="30"/>
      <w:r w:rsidR="00506AD7" w:rsidRPr="0001543F">
        <w:rPr>
          <w:lang w:val="pl-PL"/>
        </w:rPr>
        <w:t xml:space="preserve"> właściwe władze krajowe mają obowiązek interweniować wyłącznie w przypadku, gdy brak świadczenia przez wyznaczonego z urzędu obrońcę skutecznej pomocy prawnej jest oczywisty </w:t>
      </w:r>
      <w:bookmarkStart w:id="31" w:name="0100002C"/>
      <w:bookmarkEnd w:id="31"/>
      <w:r w:rsidR="008B5D02" w:rsidRPr="0001543F">
        <w:rPr>
          <w:lang w:val="pl-PL"/>
        </w:rPr>
        <w:t>lub w</w:t>
      </w:r>
      <w:r w:rsidR="005C5F9A" w:rsidRPr="0001543F">
        <w:rPr>
          <w:lang w:val="pl-PL"/>
        </w:rPr>
        <w:t xml:space="preserve">ładze zostały powiadomione o tym fakcie w inny </w:t>
      </w:r>
      <w:r w:rsidR="008B5D02" w:rsidRPr="0001543F">
        <w:rPr>
          <w:lang w:val="pl-PL"/>
        </w:rPr>
        <w:t>sposób</w:t>
      </w:r>
      <w:r w:rsidR="00506AD7" w:rsidRPr="0001543F">
        <w:rPr>
          <w:lang w:val="pl-PL"/>
        </w:rPr>
        <w:t xml:space="preserve"> (ibid).</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125</w:t>
      </w:r>
      <w:r w:rsidRPr="0001543F">
        <w:rPr>
          <w:lang w:val="pl-PL"/>
        </w:rPr>
        <w:fldChar w:fldCharType="end"/>
      </w:r>
      <w:r w:rsidR="00506AD7" w:rsidRPr="0001543F">
        <w:rPr>
          <w:lang w:val="pl-PL"/>
        </w:rPr>
        <w:t>.  </w:t>
      </w:r>
      <w:r w:rsidR="002C0F9F" w:rsidRPr="0001543F">
        <w:rPr>
          <w:lang w:val="pl-PL"/>
        </w:rPr>
        <w:t xml:space="preserve">Prawo oskarżonego do komunikacji z pełnomocnikiem prawnym </w:t>
      </w:r>
      <w:r w:rsidR="00FF1AE3" w:rsidRPr="0001543F">
        <w:rPr>
          <w:lang w:val="pl-PL"/>
        </w:rPr>
        <w:t xml:space="preserve">na osobności </w:t>
      </w:r>
      <w:r w:rsidR="002C0F9F" w:rsidRPr="0001543F">
        <w:rPr>
          <w:lang w:val="pl-PL"/>
        </w:rPr>
        <w:t xml:space="preserve">stanowi element podstawowych wymogów rzetelnego procesu w demokratycznym społeczeństwie, jak wynika z artykułu </w:t>
      </w:r>
      <w:r w:rsidR="00506AD7" w:rsidRPr="0001543F">
        <w:rPr>
          <w:lang w:val="pl-PL"/>
        </w:rPr>
        <w:t xml:space="preserve">6 </w:t>
      </w:r>
      <w:r w:rsidR="002C0F9F" w:rsidRPr="0001543F">
        <w:rPr>
          <w:lang w:val="pl-PL"/>
        </w:rPr>
        <w:t xml:space="preserve">ust. </w:t>
      </w:r>
      <w:r w:rsidR="00506AD7" w:rsidRPr="0001543F">
        <w:rPr>
          <w:lang w:val="pl-PL"/>
        </w:rPr>
        <w:t xml:space="preserve">3 </w:t>
      </w:r>
      <w:r w:rsidR="00FF1AE3" w:rsidRPr="0001543F">
        <w:rPr>
          <w:lang w:val="pl-PL"/>
        </w:rPr>
        <w:t xml:space="preserve">lit. </w:t>
      </w:r>
      <w:r w:rsidR="005C5F9A" w:rsidRPr="0001543F">
        <w:rPr>
          <w:lang w:val="pl-PL"/>
        </w:rPr>
        <w:t>(c</w:t>
      </w:r>
      <w:r w:rsidR="0011550F" w:rsidRPr="0001543F">
        <w:rPr>
          <w:lang w:val="pl-PL"/>
        </w:rPr>
        <w:t>)</w:t>
      </w:r>
      <w:r w:rsidR="002C0F9F" w:rsidRPr="0001543F">
        <w:rPr>
          <w:lang w:val="pl-PL"/>
        </w:rPr>
        <w:t xml:space="preserve"> Konwencji</w:t>
      </w:r>
      <w:r w:rsidR="00506AD7" w:rsidRPr="0001543F">
        <w:rPr>
          <w:lang w:val="pl-PL"/>
        </w:rPr>
        <w:t xml:space="preserve">. </w:t>
      </w:r>
      <w:r w:rsidR="002C0F9F" w:rsidRPr="0001543F">
        <w:rPr>
          <w:lang w:val="pl-PL"/>
        </w:rPr>
        <w:t>Jeżeli adwokat nie może porozumiewać się z klientem i otrzymywać od niego poufnych zaleceń bez takiego nadzoru</w:t>
      </w:r>
      <w:r w:rsidR="0011550F" w:rsidRPr="0001543F">
        <w:rPr>
          <w:lang w:val="pl-PL"/>
        </w:rPr>
        <w:t xml:space="preserve">, jego pomoc </w:t>
      </w:r>
      <w:r w:rsidR="0011550F" w:rsidRPr="0001543F">
        <w:rPr>
          <w:lang w:val="pl-PL"/>
        </w:rPr>
        <w:lastRenderedPageBreak/>
        <w:t>staje się mniej skuteczna</w:t>
      </w:r>
      <w:r w:rsidR="00506AD7" w:rsidRPr="0001543F">
        <w:rPr>
          <w:lang w:val="pl-PL"/>
        </w:rPr>
        <w:t xml:space="preserve">, </w:t>
      </w:r>
      <w:r w:rsidR="0011550F" w:rsidRPr="0001543F">
        <w:rPr>
          <w:lang w:val="pl-PL"/>
        </w:rPr>
        <w:t>podczas gdy intencją Konwencji jest zagwarantowanie praw, które są praktyczne i skuteczne</w:t>
      </w:r>
      <w:r w:rsidR="002179BB" w:rsidRPr="0001543F">
        <w:rPr>
          <w:lang w:val="pl-PL"/>
        </w:rPr>
        <w:t xml:space="preserve"> </w:t>
      </w:r>
      <w:r w:rsidR="00506AD7" w:rsidRPr="0001543F">
        <w:rPr>
          <w:lang w:val="pl-PL"/>
        </w:rPr>
        <w:t>(</w:t>
      </w:r>
      <w:r w:rsidR="002C0F9F" w:rsidRPr="0001543F">
        <w:rPr>
          <w:lang w:val="pl-PL"/>
        </w:rPr>
        <w:t>zob.</w:t>
      </w:r>
      <w:r w:rsidR="00506AD7" w:rsidRPr="0001543F">
        <w:rPr>
          <w:lang w:val="pl-PL"/>
        </w:rPr>
        <w:t xml:space="preserve"> </w:t>
      </w:r>
      <w:r w:rsidR="00506AD7" w:rsidRPr="0001543F">
        <w:rPr>
          <w:i/>
          <w:iCs/>
          <w:lang w:val="pl-PL"/>
        </w:rPr>
        <w:t>Sakhnovskiy</w:t>
      </w:r>
      <w:r w:rsidR="00506AD7" w:rsidRPr="0001543F">
        <w:rPr>
          <w:lang w:val="pl-PL"/>
        </w:rPr>
        <w:t xml:space="preserve">, cyt. powyżej, § 97). </w:t>
      </w:r>
      <w:r w:rsidR="0011550F" w:rsidRPr="0001543F">
        <w:rPr>
          <w:lang w:val="pl-PL"/>
        </w:rPr>
        <w:t xml:space="preserve">Kontakty oskarżonego z adwokatem mogą zostać ograniczone, jeżeli istnieje ku temu </w:t>
      </w:r>
      <w:r w:rsidR="00AA15AC" w:rsidRPr="0001543F">
        <w:rPr>
          <w:lang w:val="pl-PL"/>
        </w:rPr>
        <w:t>właściwa</w:t>
      </w:r>
      <w:r w:rsidR="0011550F" w:rsidRPr="0001543F">
        <w:rPr>
          <w:lang w:val="pl-PL"/>
        </w:rPr>
        <w:t xml:space="preserve"> podstawa </w:t>
      </w:r>
      <w:r w:rsidR="00506AD7" w:rsidRPr="0001543F">
        <w:rPr>
          <w:lang w:val="pl-PL"/>
        </w:rPr>
        <w:t>(zob.</w:t>
      </w:r>
      <w:r w:rsidR="00506AD7" w:rsidRPr="0001543F">
        <w:rPr>
          <w:b/>
          <w:bCs/>
          <w:lang w:val="pl-PL"/>
        </w:rPr>
        <w:t xml:space="preserve"> </w:t>
      </w:r>
      <w:r w:rsidR="00506AD7" w:rsidRPr="0001543F">
        <w:rPr>
          <w:i/>
          <w:iCs/>
          <w:lang w:val="pl-PL"/>
        </w:rPr>
        <w:t>Öcalan przeciwko Turcji</w:t>
      </w:r>
      <w:r w:rsidR="00506AD7" w:rsidRPr="0001543F">
        <w:rPr>
          <w:lang w:val="pl-PL"/>
        </w:rPr>
        <w:t xml:space="preserve"> [WI], nr 46221/99, § 133, ETPCz 2005</w:t>
      </w:r>
      <w:r w:rsidR="00506AD7" w:rsidRPr="0001543F">
        <w:rPr>
          <w:lang w:val="pl-PL"/>
        </w:rPr>
        <w:noBreakHyphen/>
        <w:t xml:space="preserve">IV). </w:t>
      </w:r>
      <w:r w:rsidR="002C0F9F" w:rsidRPr="0001543F">
        <w:rPr>
          <w:lang w:val="pl-PL"/>
        </w:rPr>
        <w:t>Trybunał</w:t>
      </w:r>
      <w:r w:rsidR="0011550F" w:rsidRPr="0001543F">
        <w:rPr>
          <w:lang w:val="pl-PL"/>
        </w:rPr>
        <w:t xml:space="preserve"> przypomina, że </w:t>
      </w:r>
      <w:r w:rsidR="00EA164C" w:rsidRPr="0001543F">
        <w:rPr>
          <w:lang w:val="pl-PL"/>
        </w:rPr>
        <w:t>kontakty pomiędzy osadzonym a jego adwokatem z natury swojej charakteryzują się pewnymi ograniczeniami dotyczącymi czasu i miejsca</w:t>
      </w:r>
      <w:r w:rsidR="00506AD7" w:rsidRPr="0001543F">
        <w:rPr>
          <w:lang w:val="pl-PL"/>
        </w:rPr>
        <w:t xml:space="preserve">. </w:t>
      </w:r>
      <w:r w:rsidR="0011550F" w:rsidRPr="0001543F">
        <w:rPr>
          <w:lang w:val="pl-PL"/>
        </w:rPr>
        <w:t xml:space="preserve">Wszelkie ograniczenia relacji </w:t>
      </w:r>
      <w:r w:rsidR="00C40C63" w:rsidRPr="0001543F">
        <w:rPr>
          <w:lang w:val="pl-PL"/>
        </w:rPr>
        <w:t>pomiędzy</w:t>
      </w:r>
      <w:r w:rsidR="0011550F" w:rsidRPr="0001543F">
        <w:rPr>
          <w:lang w:val="pl-PL"/>
        </w:rPr>
        <w:t xml:space="preserve"> k</w:t>
      </w:r>
      <w:r w:rsidR="00506AD7" w:rsidRPr="0001543F">
        <w:rPr>
          <w:lang w:val="pl-PL"/>
        </w:rPr>
        <w:t>lient</w:t>
      </w:r>
      <w:r w:rsidR="0011550F" w:rsidRPr="0001543F">
        <w:rPr>
          <w:lang w:val="pl-PL"/>
        </w:rPr>
        <w:t xml:space="preserve">ami a adwokatami, zarówno </w:t>
      </w:r>
      <w:r w:rsidR="00370411">
        <w:rPr>
          <w:lang w:val="pl-PL"/>
        </w:rPr>
        <w:t xml:space="preserve">wynikające z natury takich relacji, jak i powstałe w indywidualnych przypadkach, </w:t>
      </w:r>
      <w:r w:rsidR="0011550F" w:rsidRPr="0001543F">
        <w:rPr>
          <w:lang w:val="pl-PL"/>
        </w:rPr>
        <w:t xml:space="preserve">nie powinny zakłócać skutecznej pomocy prawnej, do której </w:t>
      </w:r>
      <w:r w:rsidR="00EA164C" w:rsidRPr="0001543F">
        <w:rPr>
          <w:lang w:val="pl-PL"/>
        </w:rPr>
        <w:t xml:space="preserve">pozwany </w:t>
      </w:r>
      <w:r w:rsidR="0011550F" w:rsidRPr="0001543F">
        <w:rPr>
          <w:lang w:val="pl-PL"/>
        </w:rPr>
        <w:t xml:space="preserve">ma prawo </w:t>
      </w:r>
      <w:r w:rsidR="00506AD7" w:rsidRPr="0001543F">
        <w:rPr>
          <w:lang w:val="pl-PL"/>
        </w:rPr>
        <w:t xml:space="preserve">(zob. </w:t>
      </w:r>
      <w:r w:rsidR="00506AD7" w:rsidRPr="0001543F">
        <w:rPr>
          <w:i/>
          <w:iCs/>
          <w:szCs w:val="22"/>
          <w:lang w:val="pl-PL"/>
        </w:rPr>
        <w:t xml:space="preserve">Orlov </w:t>
      </w:r>
      <w:r w:rsidR="00506AD7" w:rsidRPr="0001543F">
        <w:rPr>
          <w:i/>
          <w:iCs/>
          <w:lang w:val="pl-PL"/>
        </w:rPr>
        <w:t>przeciwko Rosji</w:t>
      </w:r>
      <w:r w:rsidR="00506AD7" w:rsidRPr="0001543F">
        <w:rPr>
          <w:lang w:val="pl-PL"/>
        </w:rPr>
        <w:t>, nr 29652/04</w:t>
      </w:r>
      <w:r w:rsidR="00506AD7" w:rsidRPr="0001543F">
        <w:rPr>
          <w:snapToGrid w:val="0"/>
          <w:szCs w:val="24"/>
          <w:lang w:val="pl-PL"/>
        </w:rPr>
        <w:t>, § 106, 21 czerwca 2011 r.</w:t>
      </w:r>
      <w:r w:rsidR="00506AD7" w:rsidRPr="0001543F">
        <w:rPr>
          <w:lang w:val="pl-PL"/>
        </w:rPr>
        <w:t>).</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126</w:t>
      </w:r>
      <w:r w:rsidRPr="0001543F">
        <w:rPr>
          <w:lang w:val="pl-PL"/>
        </w:rPr>
        <w:fldChar w:fldCharType="end"/>
      </w:r>
      <w:r w:rsidR="00506AD7" w:rsidRPr="0001543F">
        <w:rPr>
          <w:lang w:val="pl-PL"/>
        </w:rPr>
        <w:t xml:space="preserve">.  Obrońca wyznaczony z urzędu w związku z rewizją procesu niezaprzeczalnie nie spotkał się ze skarżącym w areszcie śledczym. </w:t>
      </w:r>
      <w:r w:rsidR="0064391E" w:rsidRPr="0001543F">
        <w:rPr>
          <w:lang w:val="pl-PL"/>
        </w:rPr>
        <w:t xml:space="preserve">Jednakże strony zgadzają się, że adwokat rozmawiał ze </w:t>
      </w:r>
      <w:r w:rsidR="00D463C6" w:rsidRPr="0001543F">
        <w:rPr>
          <w:lang w:val="pl-PL"/>
        </w:rPr>
        <w:t>skarżąc</w:t>
      </w:r>
      <w:r w:rsidR="0064391E" w:rsidRPr="0001543F">
        <w:rPr>
          <w:lang w:val="pl-PL"/>
        </w:rPr>
        <w:t xml:space="preserve">ym kilkakrotnie przed i po rozprawach </w:t>
      </w:r>
      <w:r w:rsidR="00FF1AE3" w:rsidRPr="0001543F">
        <w:rPr>
          <w:lang w:val="pl-PL"/>
        </w:rPr>
        <w:t>sądowych</w:t>
      </w:r>
      <w:r w:rsidR="0064391E" w:rsidRPr="0001543F">
        <w:rPr>
          <w:lang w:val="pl-PL"/>
        </w:rPr>
        <w:t>,</w:t>
      </w:r>
      <w:r w:rsidR="00506AD7" w:rsidRPr="0001543F">
        <w:rPr>
          <w:lang w:val="pl-PL"/>
        </w:rPr>
        <w:t xml:space="preserve"> </w:t>
      </w:r>
      <w:r w:rsidR="008F3E2F" w:rsidRPr="0001543F">
        <w:rPr>
          <w:lang w:val="pl-PL"/>
        </w:rPr>
        <w:t xml:space="preserve">w tym także </w:t>
      </w:r>
      <w:r w:rsidR="004F3968" w:rsidRPr="0001543F">
        <w:rPr>
          <w:lang w:val="pl-PL"/>
        </w:rPr>
        <w:t>w budynku sądu</w:t>
      </w:r>
      <w:r w:rsidR="00506AD7" w:rsidRPr="0001543F">
        <w:rPr>
          <w:lang w:val="pl-PL"/>
        </w:rPr>
        <w:t xml:space="preserve"> (</w:t>
      </w:r>
      <w:r w:rsidR="004F3968" w:rsidRPr="0001543F">
        <w:rPr>
          <w:lang w:val="pl-PL"/>
        </w:rPr>
        <w:t xml:space="preserve">zob. także </w:t>
      </w:r>
      <w:r w:rsidR="002C0F9F" w:rsidRPr="0001543F">
        <w:rPr>
          <w:lang w:val="pl-PL"/>
        </w:rPr>
        <w:t>par.</w:t>
      </w:r>
      <w:r w:rsidR="00506AD7" w:rsidRPr="0001543F">
        <w:rPr>
          <w:lang w:val="pl-PL"/>
        </w:rPr>
        <w:t xml:space="preserve"> </w:t>
      </w:r>
      <w:r w:rsidRPr="0001543F">
        <w:rPr>
          <w:lang w:val="pl-PL"/>
        </w:rPr>
        <w:fldChar w:fldCharType="begin"/>
      </w:r>
      <w:r w:rsidR="00506AD7" w:rsidRPr="0001543F">
        <w:rPr>
          <w:lang w:val="pl-PL"/>
        </w:rPr>
        <w:instrText xml:space="preserve"> REF  ttt \h </w:instrText>
      </w:r>
      <w:r w:rsidRPr="0001543F">
        <w:rPr>
          <w:lang w:val="pl-PL"/>
        </w:rPr>
      </w:r>
      <w:r w:rsidRPr="0001543F">
        <w:rPr>
          <w:lang w:val="pl-PL"/>
        </w:rPr>
        <w:fldChar w:fldCharType="separate"/>
      </w:r>
      <w:r w:rsidR="00746F08" w:rsidRPr="0001543F">
        <w:rPr>
          <w:noProof/>
          <w:lang w:val="pl-PL"/>
        </w:rPr>
        <w:t>32</w:t>
      </w:r>
      <w:r w:rsidRPr="0001543F">
        <w:rPr>
          <w:lang w:val="pl-PL"/>
        </w:rPr>
        <w:fldChar w:fldCharType="end"/>
      </w:r>
      <w:r w:rsidR="00506AD7" w:rsidRPr="0001543F">
        <w:rPr>
          <w:lang w:val="pl-PL"/>
        </w:rPr>
        <w:t xml:space="preserve"> </w:t>
      </w:r>
      <w:r w:rsidR="002C0F9F" w:rsidRPr="0001543F">
        <w:rPr>
          <w:lang w:val="pl-PL"/>
        </w:rPr>
        <w:t>powyżej</w:t>
      </w:r>
      <w:r w:rsidR="00506AD7" w:rsidRPr="0001543F">
        <w:rPr>
          <w:lang w:val="pl-PL"/>
        </w:rPr>
        <w:t>).</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127</w:t>
      </w:r>
      <w:r w:rsidRPr="0001543F">
        <w:rPr>
          <w:lang w:val="pl-PL"/>
        </w:rPr>
        <w:fldChar w:fldCharType="end"/>
      </w:r>
      <w:r w:rsidR="00506AD7" w:rsidRPr="0001543F">
        <w:rPr>
          <w:lang w:val="pl-PL"/>
        </w:rPr>
        <w:t>.  </w:t>
      </w:r>
      <w:r w:rsidR="002C0F9F" w:rsidRPr="0001543F">
        <w:rPr>
          <w:lang w:val="pl-PL"/>
        </w:rPr>
        <w:t>Trybunał</w:t>
      </w:r>
      <w:r w:rsidR="004F3968" w:rsidRPr="0001543F">
        <w:rPr>
          <w:lang w:val="pl-PL"/>
        </w:rPr>
        <w:t xml:space="preserve"> zauważa, że </w:t>
      </w:r>
      <w:r w:rsidR="00C40C63" w:rsidRPr="0001543F">
        <w:rPr>
          <w:lang w:val="pl-PL"/>
        </w:rPr>
        <w:t>w niniejszej sprawie</w:t>
      </w:r>
      <w:r w:rsidR="00506AD7" w:rsidRPr="0001543F">
        <w:rPr>
          <w:lang w:val="pl-PL"/>
        </w:rPr>
        <w:t xml:space="preserve"> </w:t>
      </w:r>
      <w:r w:rsidR="00746F08" w:rsidRPr="0001543F">
        <w:rPr>
          <w:lang w:val="pl-PL"/>
        </w:rPr>
        <w:t xml:space="preserve">sędzia pierwszej instancji przykładał wagę do skutecznego wykonania prawa do obrony </w:t>
      </w:r>
      <w:r w:rsidR="00506AD7" w:rsidRPr="0001543F">
        <w:rPr>
          <w:lang w:val="pl-PL"/>
        </w:rPr>
        <w:t>(</w:t>
      </w:r>
      <w:r w:rsidR="004F3968" w:rsidRPr="0001543F">
        <w:rPr>
          <w:lang w:val="pl-PL"/>
        </w:rPr>
        <w:t xml:space="preserve">zob. </w:t>
      </w:r>
      <w:r w:rsidR="002C0F9F" w:rsidRPr="0001543F">
        <w:rPr>
          <w:lang w:val="pl-PL"/>
        </w:rPr>
        <w:t>par.</w:t>
      </w:r>
      <w:r w:rsidR="00506AD7" w:rsidRPr="0001543F">
        <w:rPr>
          <w:lang w:val="pl-PL"/>
        </w:rPr>
        <w:t xml:space="preserve"> </w:t>
      </w:r>
      <w:r w:rsidRPr="0001543F">
        <w:rPr>
          <w:lang w:val="pl-PL"/>
        </w:rPr>
        <w:fldChar w:fldCharType="begin"/>
      </w:r>
      <w:r w:rsidR="00506AD7" w:rsidRPr="0001543F">
        <w:rPr>
          <w:lang w:val="pl-PL"/>
        </w:rPr>
        <w:instrText xml:space="preserve"> REF  t \h </w:instrText>
      </w:r>
      <w:r w:rsidRPr="0001543F">
        <w:rPr>
          <w:lang w:val="pl-PL"/>
        </w:rPr>
      </w:r>
      <w:r w:rsidRPr="0001543F">
        <w:rPr>
          <w:lang w:val="pl-PL"/>
        </w:rPr>
        <w:fldChar w:fldCharType="separate"/>
      </w:r>
      <w:r w:rsidR="00746F08" w:rsidRPr="0001543F">
        <w:rPr>
          <w:noProof/>
          <w:lang w:val="pl-PL"/>
        </w:rPr>
        <w:t>26</w:t>
      </w:r>
      <w:r w:rsidRPr="0001543F">
        <w:rPr>
          <w:lang w:val="pl-PL"/>
        </w:rPr>
        <w:fldChar w:fldCharType="end"/>
      </w:r>
      <w:r w:rsidR="00506AD7" w:rsidRPr="0001543F">
        <w:rPr>
          <w:lang w:val="pl-PL"/>
        </w:rPr>
        <w:t xml:space="preserve">, </w:t>
      </w:r>
      <w:r w:rsidRPr="0001543F">
        <w:rPr>
          <w:lang w:val="pl-PL"/>
        </w:rPr>
        <w:fldChar w:fldCharType="begin"/>
      </w:r>
      <w:r w:rsidR="00506AD7" w:rsidRPr="0001543F">
        <w:rPr>
          <w:lang w:val="pl-PL"/>
        </w:rPr>
        <w:instrText xml:space="preserve"> REF  tt \h </w:instrText>
      </w:r>
      <w:r w:rsidRPr="0001543F">
        <w:rPr>
          <w:lang w:val="pl-PL"/>
        </w:rPr>
      </w:r>
      <w:r w:rsidRPr="0001543F">
        <w:rPr>
          <w:lang w:val="pl-PL"/>
        </w:rPr>
        <w:fldChar w:fldCharType="separate"/>
      </w:r>
      <w:r w:rsidR="00746F08" w:rsidRPr="0001543F">
        <w:rPr>
          <w:noProof/>
          <w:lang w:val="pl-PL"/>
        </w:rPr>
        <w:t>27</w:t>
      </w:r>
      <w:r w:rsidRPr="0001543F">
        <w:rPr>
          <w:lang w:val="pl-PL"/>
        </w:rPr>
        <w:fldChar w:fldCharType="end"/>
      </w:r>
      <w:r w:rsidR="00506AD7" w:rsidRPr="0001543F">
        <w:rPr>
          <w:lang w:val="pl-PL"/>
        </w:rPr>
        <w:t xml:space="preserve"> i </w:t>
      </w:r>
      <w:r w:rsidRPr="0001543F">
        <w:rPr>
          <w:lang w:val="pl-PL"/>
        </w:rPr>
        <w:fldChar w:fldCharType="begin"/>
      </w:r>
      <w:r w:rsidR="00506AD7" w:rsidRPr="0001543F">
        <w:rPr>
          <w:lang w:val="pl-PL"/>
        </w:rPr>
        <w:instrText xml:space="preserve"> REF  ttt \h </w:instrText>
      </w:r>
      <w:r w:rsidRPr="0001543F">
        <w:rPr>
          <w:lang w:val="pl-PL"/>
        </w:rPr>
      </w:r>
      <w:r w:rsidRPr="0001543F">
        <w:rPr>
          <w:lang w:val="pl-PL"/>
        </w:rPr>
        <w:fldChar w:fldCharType="separate"/>
      </w:r>
      <w:r w:rsidR="00746F08" w:rsidRPr="0001543F">
        <w:rPr>
          <w:noProof/>
          <w:lang w:val="pl-PL"/>
        </w:rPr>
        <w:t>32</w:t>
      </w:r>
      <w:r w:rsidRPr="0001543F">
        <w:rPr>
          <w:lang w:val="pl-PL"/>
        </w:rPr>
        <w:fldChar w:fldCharType="end"/>
      </w:r>
      <w:r w:rsidR="00506AD7" w:rsidRPr="0001543F">
        <w:rPr>
          <w:lang w:val="pl-PL"/>
        </w:rPr>
        <w:t xml:space="preserve"> powyżej).</w:t>
      </w:r>
      <w:r w:rsidR="002179BB" w:rsidRPr="0001543F">
        <w:rPr>
          <w:lang w:val="pl-PL"/>
        </w:rPr>
        <w:t xml:space="preserve"> </w:t>
      </w:r>
      <w:r w:rsidR="002C0F9F" w:rsidRPr="0001543F">
        <w:rPr>
          <w:lang w:val="pl-PL"/>
        </w:rPr>
        <w:t>Trybunał</w:t>
      </w:r>
      <w:r w:rsidR="004F3968" w:rsidRPr="0001543F">
        <w:rPr>
          <w:lang w:val="pl-PL"/>
        </w:rPr>
        <w:t xml:space="preserve"> stwierdza, że materiały w aktach sprawy nie są wystar</w:t>
      </w:r>
      <w:r w:rsidR="00AA15AC" w:rsidRPr="0001543F">
        <w:rPr>
          <w:lang w:val="pl-PL"/>
        </w:rPr>
        <w:t xml:space="preserve">czające, by uzasadnić twierdzenie, iż </w:t>
      </w:r>
      <w:r w:rsidR="004F3968" w:rsidRPr="0001543F">
        <w:rPr>
          <w:lang w:val="pl-PL"/>
        </w:rPr>
        <w:t>w trakcie rewizji procesu</w:t>
      </w:r>
      <w:r w:rsidR="00AA15AC" w:rsidRPr="0001543F">
        <w:rPr>
          <w:lang w:val="pl-PL"/>
        </w:rPr>
        <w:t xml:space="preserve"> prawo skarżącego do pomocy prawnej nie było respektowane</w:t>
      </w:r>
      <w:r w:rsidR="00506AD7" w:rsidRPr="0001543F">
        <w:rPr>
          <w:lang w:val="pl-PL"/>
        </w:rPr>
        <w:t xml:space="preserve">. </w:t>
      </w:r>
      <w:r w:rsidR="0041223A" w:rsidRPr="0001543F">
        <w:rPr>
          <w:lang w:val="pl-PL"/>
        </w:rPr>
        <w:t xml:space="preserve">Nie uzasadniono, że </w:t>
      </w:r>
      <w:r w:rsidR="00506AD7" w:rsidRPr="0001543F">
        <w:rPr>
          <w:lang w:val="pl-PL"/>
        </w:rPr>
        <w:t>pra</w:t>
      </w:r>
      <w:r w:rsidR="006E530C" w:rsidRPr="0001543F">
        <w:rPr>
          <w:lang w:val="pl-PL"/>
        </w:rPr>
        <w:t xml:space="preserve">ktyczne aspekty aranżowania spotkania (spotkań) </w:t>
      </w:r>
      <w:r w:rsidR="0041223A" w:rsidRPr="0001543F">
        <w:rPr>
          <w:lang w:val="pl-PL"/>
        </w:rPr>
        <w:t xml:space="preserve">z adwokatem w </w:t>
      </w:r>
      <w:r w:rsidR="0055589E" w:rsidRPr="0001543F">
        <w:rPr>
          <w:lang w:val="pl-PL"/>
        </w:rPr>
        <w:t>pomieszczeniu sądu</w:t>
      </w:r>
      <w:r w:rsidR="0041223A" w:rsidRPr="0001543F">
        <w:rPr>
          <w:lang w:val="pl-PL"/>
        </w:rPr>
        <w:t xml:space="preserve"> </w:t>
      </w:r>
      <w:r w:rsidR="00AA15AC" w:rsidRPr="0001543F">
        <w:rPr>
          <w:lang w:val="pl-PL"/>
        </w:rPr>
        <w:t xml:space="preserve">nie </w:t>
      </w:r>
      <w:r w:rsidR="0041223A" w:rsidRPr="0001543F">
        <w:rPr>
          <w:lang w:val="pl-PL"/>
        </w:rPr>
        <w:t xml:space="preserve">zapewniały komunikacji </w:t>
      </w:r>
      <w:r w:rsidR="00FF1AE3" w:rsidRPr="0001543F">
        <w:rPr>
          <w:lang w:val="pl-PL"/>
        </w:rPr>
        <w:t>w odosobnieniu</w:t>
      </w:r>
      <w:r w:rsidR="00506AD7" w:rsidRPr="0001543F">
        <w:rPr>
          <w:lang w:val="pl-PL"/>
        </w:rPr>
        <w:t>.</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128</w:t>
      </w:r>
      <w:r w:rsidRPr="0001543F">
        <w:rPr>
          <w:lang w:val="pl-PL"/>
        </w:rPr>
        <w:fldChar w:fldCharType="end"/>
      </w:r>
      <w:r w:rsidR="00600FCE" w:rsidRPr="0001543F">
        <w:rPr>
          <w:lang w:val="pl-PL"/>
        </w:rPr>
        <w:t xml:space="preserve">.  Zatem Trybunał zauważa, że postępowanie zostało wznowione w </w:t>
      </w:r>
      <w:r w:rsidR="00506AD7" w:rsidRPr="0001543F">
        <w:rPr>
          <w:lang w:val="pl-PL"/>
        </w:rPr>
        <w:t>czerwc</w:t>
      </w:r>
      <w:r w:rsidR="00600FCE" w:rsidRPr="0001543F">
        <w:rPr>
          <w:lang w:val="pl-PL"/>
        </w:rPr>
        <w:t>u</w:t>
      </w:r>
      <w:r w:rsidR="00506AD7" w:rsidRPr="0001543F">
        <w:rPr>
          <w:lang w:val="pl-PL"/>
        </w:rPr>
        <w:t xml:space="preserve"> 2009 </w:t>
      </w:r>
      <w:r w:rsidR="00600FCE" w:rsidRPr="0001543F">
        <w:rPr>
          <w:lang w:val="pl-PL"/>
        </w:rPr>
        <w:t xml:space="preserve">r., a rewizja procesu trwała do </w:t>
      </w:r>
      <w:r w:rsidR="00506AD7" w:rsidRPr="0001543F">
        <w:rPr>
          <w:lang w:val="pl-PL"/>
        </w:rPr>
        <w:t>lutego 2011</w:t>
      </w:r>
      <w:r w:rsidR="00600FCE" w:rsidRPr="0001543F">
        <w:rPr>
          <w:lang w:val="pl-PL"/>
        </w:rPr>
        <w:t xml:space="preserve"> r. i stwierdza, że ze względu na okoliczności niniejszej sprawy można przyjąć, </w:t>
      </w:r>
      <w:r w:rsidR="00AA15AC" w:rsidRPr="0001543F">
        <w:rPr>
          <w:lang w:val="pl-PL"/>
        </w:rPr>
        <w:t>i</w:t>
      </w:r>
      <w:r w:rsidR="00600FCE" w:rsidRPr="0001543F">
        <w:rPr>
          <w:lang w:val="pl-PL"/>
        </w:rPr>
        <w:t xml:space="preserve">ż podczas rewizji procesu skorygowano nieprawidłowości pierwszego procesu z lat </w:t>
      </w:r>
      <w:r w:rsidR="00506AD7" w:rsidRPr="0001543F">
        <w:rPr>
          <w:lang w:val="pl-PL"/>
        </w:rPr>
        <w:t>2001</w:t>
      </w:r>
      <w:r w:rsidR="00AA15AC" w:rsidRPr="0001543F">
        <w:rPr>
          <w:lang w:val="pl-PL"/>
        </w:rPr>
        <w:t xml:space="preserve"> </w:t>
      </w:r>
      <w:r w:rsidR="00506AD7" w:rsidRPr="0001543F">
        <w:rPr>
          <w:lang w:val="pl-PL"/>
        </w:rPr>
        <w:t>-</w:t>
      </w:r>
      <w:r w:rsidR="00AA15AC" w:rsidRPr="0001543F">
        <w:rPr>
          <w:lang w:val="pl-PL"/>
        </w:rPr>
        <w:t xml:space="preserve"> </w:t>
      </w:r>
      <w:r w:rsidR="00600FCE" w:rsidRPr="0001543F">
        <w:rPr>
          <w:lang w:val="pl-PL"/>
        </w:rPr>
        <w:t>20</w:t>
      </w:r>
      <w:r w:rsidR="00506AD7" w:rsidRPr="0001543F">
        <w:rPr>
          <w:lang w:val="pl-PL"/>
        </w:rPr>
        <w:t xml:space="preserve">03, </w:t>
      </w:r>
      <w:r w:rsidR="008F3E2F" w:rsidRPr="0001543F">
        <w:rPr>
          <w:lang w:val="pl-PL"/>
        </w:rPr>
        <w:t xml:space="preserve">które leżały u podstaw niniejszej skargi do </w:t>
      </w:r>
      <w:r w:rsidR="002C0F9F" w:rsidRPr="0001543F">
        <w:rPr>
          <w:lang w:val="pl-PL"/>
        </w:rPr>
        <w:t>Trybunał</w:t>
      </w:r>
      <w:r w:rsidR="008F3E2F" w:rsidRPr="0001543F">
        <w:rPr>
          <w:lang w:val="pl-PL"/>
        </w:rPr>
        <w:t>u</w:t>
      </w:r>
      <w:r w:rsidR="00506AD7" w:rsidRPr="0001543F">
        <w:rPr>
          <w:lang w:val="pl-PL"/>
        </w:rPr>
        <w:t>.</w:t>
      </w:r>
    </w:p>
    <w:bookmarkStart w:id="32" w:name="ccc"/>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129</w:t>
      </w:r>
      <w:r w:rsidRPr="0001543F">
        <w:rPr>
          <w:lang w:val="pl-PL"/>
        </w:rPr>
        <w:fldChar w:fldCharType="end"/>
      </w:r>
      <w:bookmarkEnd w:id="32"/>
      <w:r w:rsidR="00506AD7" w:rsidRPr="0001543F">
        <w:rPr>
          <w:lang w:val="pl-PL"/>
        </w:rPr>
        <w:t>.  Zatem ta część skargi jest oczywiście bezzasadna i musi zostać odrzucona zgodnie z artykułem 35 ust. 3 lit. (a) i ust. 4 Konwencji.</w:t>
      </w:r>
    </w:p>
    <w:p w:rsidR="003960A7" w:rsidRPr="0001543F" w:rsidRDefault="003960A7" w:rsidP="003960A7">
      <w:pPr>
        <w:pStyle w:val="JuHIRoman"/>
        <w:rPr>
          <w:lang w:val="pl-PL"/>
        </w:rPr>
      </w:pPr>
      <w:r w:rsidRPr="0001543F">
        <w:rPr>
          <w:lang w:val="pl-PL"/>
        </w:rPr>
        <w:t>IV.  ZARZUTY NARUSZENIA ARTYKUŁU 8 I ARTYKUŁU 34 KONWENCJI</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130</w:t>
      </w:r>
      <w:r w:rsidRPr="0001543F">
        <w:rPr>
          <w:lang w:val="pl-PL"/>
        </w:rPr>
        <w:fldChar w:fldCharType="end"/>
      </w:r>
      <w:r w:rsidR="00506AD7" w:rsidRPr="0001543F">
        <w:rPr>
          <w:lang w:val="pl-PL"/>
        </w:rPr>
        <w:t>.  Skarżący stwierdził, że jego korespondencja z Trybunałem, jak również pisma do i od okręgowej rady adwokackiej oraz organizacji pozarządowej były kontrolowane przez pracowników jednostek penitencjarnych.</w:t>
      </w:r>
    </w:p>
    <w:p w:rsidR="003960A7" w:rsidRPr="0001543F" w:rsidRDefault="003960A7" w:rsidP="003960A7">
      <w:pPr>
        <w:pStyle w:val="JuHA"/>
        <w:tabs>
          <w:tab w:val="clear" w:pos="584"/>
        </w:tabs>
        <w:ind w:left="232" w:firstLine="0"/>
        <w:rPr>
          <w:lang w:val="pl-PL"/>
        </w:rPr>
      </w:pPr>
      <w:r w:rsidRPr="0001543F">
        <w:rPr>
          <w:bCs/>
          <w:lang w:val="pl-PL"/>
        </w:rPr>
        <w:lastRenderedPageBreak/>
        <w:t>A.  Oświadczenia stron</w:t>
      </w:r>
    </w:p>
    <w:p w:rsidR="003960A7" w:rsidRPr="0001543F" w:rsidRDefault="003960A7" w:rsidP="003960A7">
      <w:pPr>
        <w:pStyle w:val="JuH1"/>
        <w:ind w:left="431" w:firstLine="0"/>
        <w:rPr>
          <w:lang w:val="pl-PL"/>
        </w:rPr>
      </w:pPr>
      <w:r w:rsidRPr="0001543F">
        <w:rPr>
          <w:iCs/>
          <w:lang w:val="pl-PL"/>
        </w:rPr>
        <w:t>1.  Skarżący</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131</w:t>
      </w:r>
      <w:r w:rsidRPr="0001543F">
        <w:rPr>
          <w:lang w:val="pl-PL"/>
        </w:rPr>
        <w:fldChar w:fldCharType="end"/>
      </w:r>
      <w:r w:rsidR="00506AD7" w:rsidRPr="0001543F">
        <w:rPr>
          <w:lang w:val="pl-PL"/>
        </w:rPr>
        <w:t xml:space="preserve">.  Skarżący oświadczył, że pieczęci więzienia na listach (a nie kopertach) potwierdzają, iż pisma kierowane do skarżącego przez Trybunał w latach 2004-2005, a także wszystkie pozostałe pisma podobnego typu, były kontrolowane przez pracowników więzienia. </w:t>
      </w:r>
      <w:r w:rsidR="00077A4C" w:rsidRPr="0001543F">
        <w:rPr>
          <w:lang w:val="pl-PL"/>
        </w:rPr>
        <w:t>Do listów s</w:t>
      </w:r>
      <w:r w:rsidR="00D463C6" w:rsidRPr="0001543F">
        <w:rPr>
          <w:lang w:val="pl-PL"/>
        </w:rPr>
        <w:t>karżąc</w:t>
      </w:r>
      <w:r w:rsidR="00077A4C" w:rsidRPr="0001543F">
        <w:rPr>
          <w:lang w:val="pl-PL"/>
        </w:rPr>
        <w:t xml:space="preserve">ego adresowanych do </w:t>
      </w:r>
      <w:r w:rsidR="002C0F9F" w:rsidRPr="0001543F">
        <w:rPr>
          <w:lang w:val="pl-PL"/>
        </w:rPr>
        <w:t>Trybunał</w:t>
      </w:r>
      <w:r w:rsidR="00077A4C" w:rsidRPr="0001543F">
        <w:rPr>
          <w:lang w:val="pl-PL"/>
        </w:rPr>
        <w:t>u załączano pisma przewodnie z więzienia zawierające krótkie wskazania co do treści listów bądź liczby stron</w:t>
      </w:r>
      <w:r w:rsidR="00506AD7" w:rsidRPr="0001543F">
        <w:rPr>
          <w:lang w:val="pl-PL"/>
        </w:rPr>
        <w:t xml:space="preserve">. </w:t>
      </w:r>
      <w:r w:rsidR="00234BFB" w:rsidRPr="0001543F">
        <w:rPr>
          <w:lang w:val="pl-PL"/>
        </w:rPr>
        <w:t>Będąc świadomym tej praktyki,</w:t>
      </w:r>
      <w:r w:rsidR="00506AD7" w:rsidRPr="0001543F">
        <w:rPr>
          <w:lang w:val="pl-PL"/>
        </w:rPr>
        <w:t xml:space="preserve"> </w:t>
      </w:r>
      <w:r w:rsidR="00D463C6" w:rsidRPr="0001543F">
        <w:rPr>
          <w:lang w:val="pl-PL"/>
        </w:rPr>
        <w:t>skarżąc</w:t>
      </w:r>
      <w:r w:rsidR="00234BFB" w:rsidRPr="0001543F">
        <w:rPr>
          <w:lang w:val="pl-PL"/>
        </w:rPr>
        <w:t>y czuł się zastraszany, a także zobowiązany do usuwania pewnych zarzutów</w:t>
      </w:r>
      <w:r w:rsidR="00506AD7" w:rsidRPr="0001543F">
        <w:rPr>
          <w:lang w:val="pl-PL"/>
        </w:rPr>
        <w:t xml:space="preserve"> – </w:t>
      </w:r>
      <w:r w:rsidR="00234BFB" w:rsidRPr="0001543F">
        <w:rPr>
          <w:lang w:val="pl-PL"/>
        </w:rPr>
        <w:t xml:space="preserve">dotyczących więzienia – ze skargi do </w:t>
      </w:r>
      <w:r w:rsidR="002C0F9F" w:rsidRPr="0001543F">
        <w:rPr>
          <w:lang w:val="pl-PL"/>
        </w:rPr>
        <w:t>Trybunał</w:t>
      </w:r>
      <w:r w:rsidR="00234BFB" w:rsidRPr="0001543F">
        <w:rPr>
          <w:lang w:val="pl-PL"/>
        </w:rPr>
        <w:t>u</w:t>
      </w:r>
      <w:r w:rsidR="00506AD7" w:rsidRPr="0001543F">
        <w:rPr>
          <w:lang w:val="pl-PL"/>
        </w:rPr>
        <w:t>. Pisma skarżącego adresowane do Trybunału były wysyłane z opóźnieniem od czterech do pięciu dni.</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132</w:t>
      </w:r>
      <w:r w:rsidRPr="0001543F">
        <w:rPr>
          <w:lang w:val="pl-PL"/>
        </w:rPr>
        <w:fldChar w:fldCharType="end"/>
      </w:r>
      <w:r w:rsidR="00506AD7" w:rsidRPr="0001543F">
        <w:rPr>
          <w:lang w:val="pl-PL"/>
        </w:rPr>
        <w:t xml:space="preserve">.  Skarżący przedstawił podobne argumenty w odniesieniu do monitorowania jego korespondencji na poziomie krajowym. </w:t>
      </w:r>
    </w:p>
    <w:p w:rsidR="003960A7" w:rsidRPr="0001543F" w:rsidRDefault="003960A7" w:rsidP="003960A7">
      <w:pPr>
        <w:pStyle w:val="JuH1"/>
        <w:rPr>
          <w:lang w:val="pl-PL"/>
        </w:rPr>
      </w:pPr>
      <w:r w:rsidRPr="0001543F">
        <w:rPr>
          <w:iCs/>
          <w:lang w:val="pl-PL"/>
        </w:rPr>
        <w:t>2.  Rząd</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133</w:t>
      </w:r>
      <w:r w:rsidRPr="0001543F">
        <w:rPr>
          <w:lang w:val="pl-PL"/>
        </w:rPr>
        <w:fldChar w:fldCharType="end"/>
      </w:r>
      <w:r w:rsidR="00506AD7" w:rsidRPr="0001543F">
        <w:rPr>
          <w:lang w:val="pl-PL"/>
        </w:rPr>
        <w:t>.  </w:t>
      </w:r>
      <w:r w:rsidR="0034155B" w:rsidRPr="0001543F">
        <w:rPr>
          <w:lang w:val="pl-PL"/>
        </w:rPr>
        <w:t>Rząd argumentował, że nie utrudniano s</w:t>
      </w:r>
      <w:r w:rsidR="00D463C6" w:rsidRPr="0001543F">
        <w:rPr>
          <w:lang w:val="pl-PL"/>
        </w:rPr>
        <w:t>karżąc</w:t>
      </w:r>
      <w:r w:rsidR="0034155B" w:rsidRPr="0001543F">
        <w:rPr>
          <w:lang w:val="pl-PL"/>
        </w:rPr>
        <w:t>emu składania skarg do władz krajowych i T</w:t>
      </w:r>
      <w:r w:rsidR="002C0F9F" w:rsidRPr="0001543F">
        <w:rPr>
          <w:lang w:val="pl-PL"/>
        </w:rPr>
        <w:t>rybunał</w:t>
      </w:r>
      <w:r w:rsidR="0034155B" w:rsidRPr="0001543F">
        <w:rPr>
          <w:lang w:val="pl-PL"/>
        </w:rPr>
        <w:t>u</w:t>
      </w:r>
      <w:r w:rsidR="00506AD7" w:rsidRPr="0001543F">
        <w:rPr>
          <w:lang w:val="pl-PL"/>
        </w:rPr>
        <w:t xml:space="preserve">. </w:t>
      </w:r>
      <w:r w:rsidR="0034155B" w:rsidRPr="0001543F">
        <w:rPr>
          <w:lang w:val="pl-PL"/>
        </w:rPr>
        <w:t>Skarżący z</w:t>
      </w:r>
      <w:r w:rsidR="00506AD7" w:rsidRPr="0001543F">
        <w:rPr>
          <w:lang w:val="pl-PL"/>
        </w:rPr>
        <w:t xml:space="preserve">łożył ponad 200 skarg, w tym </w:t>
      </w:r>
      <w:r w:rsidR="0034155B" w:rsidRPr="0001543F">
        <w:rPr>
          <w:lang w:val="pl-PL"/>
        </w:rPr>
        <w:t>dwadzieścia</w:t>
      </w:r>
      <w:r w:rsidR="00506AD7" w:rsidRPr="0001543F">
        <w:rPr>
          <w:lang w:val="pl-PL"/>
        </w:rPr>
        <w:t xml:space="preserve"> osiem skierowanych do Trybunału. </w:t>
      </w:r>
      <w:r w:rsidR="0034155B" w:rsidRPr="0001543F">
        <w:rPr>
          <w:lang w:val="pl-PL"/>
        </w:rPr>
        <w:t xml:space="preserve">W </w:t>
      </w:r>
      <w:r w:rsidR="00506AD7" w:rsidRPr="0001543F">
        <w:rPr>
          <w:lang w:val="pl-PL"/>
        </w:rPr>
        <w:t>2009</w:t>
      </w:r>
      <w:r w:rsidR="0034155B" w:rsidRPr="0001543F">
        <w:rPr>
          <w:lang w:val="pl-PL"/>
        </w:rPr>
        <w:t xml:space="preserve"> r. władze więzienne zostały przeszkolone i otrzymały zalecenie, by </w:t>
      </w:r>
      <w:r w:rsidR="00506AD7" w:rsidRPr="0001543F">
        <w:rPr>
          <w:lang w:val="pl-PL"/>
        </w:rPr>
        <w:t>inform</w:t>
      </w:r>
      <w:r w:rsidR="0034155B" w:rsidRPr="0001543F">
        <w:rPr>
          <w:lang w:val="pl-PL"/>
        </w:rPr>
        <w:t>ować osadzonych o wymogu przekazywania uprzywilejowanej</w:t>
      </w:r>
      <w:r w:rsidR="00506AD7" w:rsidRPr="0001543F">
        <w:rPr>
          <w:lang w:val="pl-PL"/>
        </w:rPr>
        <w:t xml:space="preserve"> </w:t>
      </w:r>
      <w:r w:rsidR="00C40C63" w:rsidRPr="0001543F">
        <w:rPr>
          <w:lang w:val="pl-PL"/>
        </w:rPr>
        <w:t>korespondencj</w:t>
      </w:r>
      <w:r w:rsidR="0034155B" w:rsidRPr="0001543F">
        <w:rPr>
          <w:lang w:val="pl-PL"/>
        </w:rPr>
        <w:t>i do wysłania w zaklejonych kopertach</w:t>
      </w:r>
      <w:r w:rsidR="00506AD7" w:rsidRPr="0001543F">
        <w:rPr>
          <w:lang w:val="pl-PL"/>
        </w:rPr>
        <w:t>.</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134</w:t>
      </w:r>
      <w:r w:rsidRPr="0001543F">
        <w:rPr>
          <w:lang w:val="pl-PL"/>
        </w:rPr>
        <w:fldChar w:fldCharType="end"/>
      </w:r>
      <w:r w:rsidR="00506AD7" w:rsidRPr="0001543F">
        <w:rPr>
          <w:lang w:val="pl-PL"/>
        </w:rPr>
        <w:t>.  </w:t>
      </w:r>
      <w:r w:rsidR="00180FCA" w:rsidRPr="0001543F">
        <w:rPr>
          <w:lang w:val="pl-PL"/>
        </w:rPr>
        <w:t xml:space="preserve">Następnie, w odniesieniu do pisma </w:t>
      </w:r>
      <w:r w:rsidR="00D463C6" w:rsidRPr="0001543F">
        <w:rPr>
          <w:lang w:val="pl-PL"/>
        </w:rPr>
        <w:t>skarżąc</w:t>
      </w:r>
      <w:r w:rsidR="00180FCA" w:rsidRPr="0001543F">
        <w:rPr>
          <w:lang w:val="pl-PL"/>
        </w:rPr>
        <w:t xml:space="preserve">ego z dnia </w:t>
      </w:r>
      <w:r w:rsidR="00506AD7" w:rsidRPr="0001543F">
        <w:rPr>
          <w:lang w:val="pl-PL"/>
        </w:rPr>
        <w:t xml:space="preserve">7 czerwca 2011 </w:t>
      </w:r>
      <w:r w:rsidR="00180FCA" w:rsidRPr="0001543F">
        <w:rPr>
          <w:lang w:val="pl-PL"/>
        </w:rPr>
        <w:t>r. adresowanego d</w:t>
      </w:r>
      <w:r w:rsidR="00506AD7" w:rsidRPr="0001543F">
        <w:rPr>
          <w:lang w:val="pl-PL"/>
        </w:rPr>
        <w:t xml:space="preserve">o </w:t>
      </w:r>
      <w:r w:rsidR="002C0F9F" w:rsidRPr="0001543F">
        <w:rPr>
          <w:lang w:val="pl-PL"/>
        </w:rPr>
        <w:t>Trybunał</w:t>
      </w:r>
      <w:r w:rsidR="00180FCA" w:rsidRPr="0001543F">
        <w:rPr>
          <w:lang w:val="pl-PL"/>
        </w:rPr>
        <w:t>u</w:t>
      </w:r>
      <w:r w:rsidR="00506AD7" w:rsidRPr="0001543F">
        <w:rPr>
          <w:lang w:val="pl-PL"/>
        </w:rPr>
        <w:t xml:space="preserve">, </w:t>
      </w:r>
      <w:r w:rsidR="00180FCA" w:rsidRPr="0001543F">
        <w:rPr>
          <w:lang w:val="pl-PL"/>
        </w:rPr>
        <w:t xml:space="preserve">Rząd argumentował, że </w:t>
      </w:r>
      <w:r w:rsidR="00D463C6" w:rsidRPr="0001543F">
        <w:rPr>
          <w:lang w:val="pl-PL"/>
        </w:rPr>
        <w:t>skarżąc</w:t>
      </w:r>
      <w:r w:rsidR="00180FCA" w:rsidRPr="0001543F">
        <w:rPr>
          <w:lang w:val="pl-PL"/>
        </w:rPr>
        <w:t xml:space="preserve">y powinien był wszcząć postępowanie na podstawie rozdziału </w:t>
      </w:r>
      <w:r w:rsidR="00506AD7" w:rsidRPr="0001543F">
        <w:rPr>
          <w:lang w:val="pl-PL"/>
        </w:rPr>
        <w:t xml:space="preserve">25 </w:t>
      </w:r>
      <w:r w:rsidR="00180FCA" w:rsidRPr="0001543F">
        <w:rPr>
          <w:lang w:val="pl-PL"/>
        </w:rPr>
        <w:t xml:space="preserve">kodeksu postępowania cywilnego. Skarżący przekazał swój list z dnia </w:t>
      </w:r>
      <w:r w:rsidR="00506AD7" w:rsidRPr="0001543F">
        <w:rPr>
          <w:lang w:val="pl-PL"/>
        </w:rPr>
        <w:t xml:space="preserve">7 czerwca 2011 </w:t>
      </w:r>
      <w:r w:rsidR="00180FCA" w:rsidRPr="0001543F">
        <w:rPr>
          <w:lang w:val="pl-PL"/>
        </w:rPr>
        <w:t>r. funkcjonariuszowi więzienia bez koperty</w:t>
      </w:r>
      <w:r w:rsidR="00506AD7" w:rsidRPr="0001543F">
        <w:rPr>
          <w:lang w:val="pl-PL"/>
        </w:rPr>
        <w:t xml:space="preserve">. </w:t>
      </w:r>
      <w:r w:rsidR="00D463C6" w:rsidRPr="0001543F">
        <w:rPr>
          <w:lang w:val="pl-PL"/>
        </w:rPr>
        <w:t>Skarżąc</w:t>
      </w:r>
      <w:r w:rsidR="00965352" w:rsidRPr="0001543F">
        <w:rPr>
          <w:lang w:val="pl-PL"/>
        </w:rPr>
        <w:t xml:space="preserve">y został uprzednio poinformowany o procedurze przesyłania </w:t>
      </w:r>
      <w:r w:rsidR="00C40C63" w:rsidRPr="0001543F">
        <w:rPr>
          <w:lang w:val="pl-PL"/>
        </w:rPr>
        <w:t>korespondencj</w:t>
      </w:r>
      <w:r w:rsidR="00965352" w:rsidRPr="0001543F">
        <w:rPr>
          <w:lang w:val="pl-PL"/>
        </w:rPr>
        <w:t>i adresowanej do T</w:t>
      </w:r>
      <w:r w:rsidR="002C0F9F" w:rsidRPr="0001543F">
        <w:rPr>
          <w:lang w:val="pl-PL"/>
        </w:rPr>
        <w:t>rybunał</w:t>
      </w:r>
      <w:r w:rsidR="00965352" w:rsidRPr="0001543F">
        <w:rPr>
          <w:lang w:val="pl-PL"/>
        </w:rPr>
        <w:t>u</w:t>
      </w:r>
      <w:r w:rsidR="00506AD7" w:rsidRPr="0001543F">
        <w:rPr>
          <w:lang w:val="pl-PL"/>
        </w:rPr>
        <w:t xml:space="preserve">, </w:t>
      </w:r>
      <w:r w:rsidR="00965352" w:rsidRPr="0001543F">
        <w:rPr>
          <w:lang w:val="pl-PL"/>
        </w:rPr>
        <w:t>mianowicie o obowiązku przekazywania jej w zaklejonej kopercie, którą w przypadku braku pieniędzy można było otrzymać bezpłatnie.</w:t>
      </w:r>
      <w:r w:rsidR="00506AD7" w:rsidRPr="0001543F">
        <w:rPr>
          <w:lang w:val="pl-PL"/>
        </w:rPr>
        <w:t xml:space="preserve"> Skarżący, który posiadał pieniądze na koncie, odmówił zakupu koperty. Odmówił także przyjęcia koperty bezpłatnej. Aby uniknąć opóźnień, pracownicy więzienia włożyli list do koperty i wysłali do Trybunału.</w:t>
      </w:r>
    </w:p>
    <w:p w:rsidR="003960A7" w:rsidRPr="0001543F" w:rsidRDefault="003960A7" w:rsidP="003960A7">
      <w:pPr>
        <w:pStyle w:val="JuHA"/>
        <w:tabs>
          <w:tab w:val="clear" w:pos="584"/>
        </w:tabs>
        <w:ind w:left="232" w:firstLine="0"/>
        <w:rPr>
          <w:lang w:val="pl-PL"/>
        </w:rPr>
      </w:pPr>
      <w:r w:rsidRPr="0001543F">
        <w:rPr>
          <w:bCs/>
          <w:lang w:val="pl-PL"/>
        </w:rPr>
        <w:t>B.  Ocena Trybunału</w:t>
      </w:r>
    </w:p>
    <w:p w:rsidR="003960A7" w:rsidRPr="0001543F" w:rsidRDefault="003960A7" w:rsidP="003960A7">
      <w:pPr>
        <w:pStyle w:val="JuH1"/>
        <w:ind w:left="431" w:firstLine="0"/>
        <w:rPr>
          <w:lang w:val="pl-PL"/>
        </w:rPr>
      </w:pPr>
      <w:r w:rsidRPr="0001543F">
        <w:rPr>
          <w:iCs/>
          <w:lang w:val="pl-PL"/>
        </w:rPr>
        <w:t>1.  Odnośnie do monitorowania korespondencji skarżącego na poziomie krajowym</w:t>
      </w:r>
    </w:p>
    <w:p w:rsidR="003960A7" w:rsidRPr="0001543F" w:rsidRDefault="00F559B3" w:rsidP="003960A7">
      <w:pPr>
        <w:pStyle w:val="JuPara"/>
        <w:rPr>
          <w:snapToGrid w:val="0"/>
          <w:szCs w:val="24"/>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135</w:t>
      </w:r>
      <w:r w:rsidRPr="0001543F">
        <w:rPr>
          <w:lang w:val="pl-PL"/>
        </w:rPr>
        <w:fldChar w:fldCharType="end"/>
      </w:r>
      <w:r w:rsidR="00506AD7" w:rsidRPr="0001543F">
        <w:rPr>
          <w:lang w:val="pl-PL"/>
        </w:rPr>
        <w:t xml:space="preserve">.  Odnośnie do monitorowania korespondencji skarżącego na poziomie krajowym (Okręgowa Rada Adwokacka i Centrum </w:t>
      </w:r>
      <w:r w:rsidR="00506AD7" w:rsidRPr="0001543F">
        <w:rPr>
          <w:lang w:val="pl-PL"/>
        </w:rPr>
        <w:lastRenderedPageBreak/>
        <w:t xml:space="preserve">Międzynarodowej Pomocy Prawnej), Trybunał </w:t>
      </w:r>
      <w:r w:rsidR="00506AD7" w:rsidRPr="0001543F">
        <w:rPr>
          <w:snapToGrid w:val="0"/>
          <w:szCs w:val="24"/>
          <w:lang w:val="pl-PL"/>
        </w:rPr>
        <w:t>uznaje, że kwestię tę należy zbadać w kontekście artykułu 8 Konwencji, który stanowi, co następuje:</w:t>
      </w:r>
    </w:p>
    <w:p w:rsidR="003960A7" w:rsidRPr="0001543F" w:rsidRDefault="003960A7" w:rsidP="003960A7">
      <w:pPr>
        <w:pStyle w:val="JuQuot"/>
        <w:rPr>
          <w:lang w:val="pl-PL"/>
        </w:rPr>
      </w:pPr>
      <w:r w:rsidRPr="0001543F">
        <w:rPr>
          <w:lang w:val="pl-PL"/>
        </w:rPr>
        <w:t>„1.  Każdy ma prawo do poszanowania … swojej korespondencji.</w:t>
      </w:r>
    </w:p>
    <w:p w:rsidR="003960A7" w:rsidRPr="0001543F" w:rsidRDefault="003960A7" w:rsidP="003960A7">
      <w:pPr>
        <w:pStyle w:val="JuQuot"/>
        <w:rPr>
          <w:snapToGrid w:val="0"/>
          <w:szCs w:val="24"/>
          <w:lang w:val="pl-PL"/>
        </w:rPr>
      </w:pPr>
      <w:r w:rsidRPr="0001543F">
        <w:rPr>
          <w:lang w:val="pl-PL"/>
        </w:rPr>
        <w:t>2.  Niedopuszczalna jest ingerencja władzy publicznej w korzystanie z tego prawa z wyjątkiem przypadków przewidzianych przez ustawę i koniecznych w demokratycznym społeczeństwie z uwagi na bezpieczeństwo państwowe, bezpieczeństwo publiczne lub dobrobyt gospodarczy kraju, ochronę porządku i zapobieganie przestępstwom, ochronę zdrowia i moralności lub ochronę praw i wolności osób.”</w:t>
      </w:r>
    </w:p>
    <w:p w:rsidR="003960A7" w:rsidRPr="0001543F" w:rsidRDefault="003960A7" w:rsidP="003960A7">
      <w:pPr>
        <w:pStyle w:val="JuHa0"/>
        <w:rPr>
          <w:lang w:val="pl-PL"/>
        </w:rPr>
      </w:pPr>
      <w:r w:rsidRPr="0001543F">
        <w:rPr>
          <w:bCs/>
          <w:lang w:val="pl-PL"/>
        </w:rPr>
        <w:t>(a) Dopuszczalność</w:t>
      </w:r>
    </w:p>
    <w:p w:rsidR="003960A7" w:rsidRPr="0001543F" w:rsidRDefault="00F559B3" w:rsidP="003960A7">
      <w:pPr>
        <w:pStyle w:val="JuPara"/>
        <w:rPr>
          <w:i/>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136</w:t>
      </w:r>
      <w:r w:rsidRPr="0001543F">
        <w:rPr>
          <w:lang w:val="pl-PL"/>
        </w:rPr>
        <w:fldChar w:fldCharType="end"/>
      </w:r>
      <w:r w:rsidR="00506AD7" w:rsidRPr="0001543F">
        <w:rPr>
          <w:lang w:val="pl-PL"/>
        </w:rPr>
        <w:t xml:space="preserve">.  Trybunał </w:t>
      </w:r>
      <w:r w:rsidR="00AA15AC" w:rsidRPr="0001543F">
        <w:rPr>
          <w:lang w:val="pl-PL"/>
        </w:rPr>
        <w:t>stwierdza</w:t>
      </w:r>
      <w:r w:rsidR="00506AD7" w:rsidRPr="0001543F">
        <w:rPr>
          <w:lang w:val="pl-PL"/>
        </w:rPr>
        <w:t xml:space="preserve">, że Rząd nie przedstawił konkretnych argumentów </w:t>
      </w:r>
      <w:r w:rsidR="005C6842" w:rsidRPr="0001543F">
        <w:rPr>
          <w:lang w:val="pl-PL"/>
        </w:rPr>
        <w:t>dotyczących</w:t>
      </w:r>
      <w:r w:rsidR="00506AD7" w:rsidRPr="0001543F">
        <w:rPr>
          <w:lang w:val="pl-PL"/>
        </w:rPr>
        <w:t xml:space="preserve"> dopuszczalności niniejszej skargi. </w:t>
      </w:r>
      <w:r w:rsidR="00D8619A" w:rsidRPr="0001543F">
        <w:rPr>
          <w:lang w:val="pl-PL"/>
        </w:rPr>
        <w:t>W tym miejscu T</w:t>
      </w:r>
      <w:r w:rsidR="002C0F9F" w:rsidRPr="0001543F">
        <w:rPr>
          <w:lang w:val="pl-PL"/>
        </w:rPr>
        <w:t>rybunał</w:t>
      </w:r>
      <w:r w:rsidR="00D8619A" w:rsidRPr="0001543F">
        <w:rPr>
          <w:lang w:val="pl-PL"/>
        </w:rPr>
        <w:t xml:space="preserve"> zauważa jednakże, że zarzut </w:t>
      </w:r>
      <w:r w:rsidR="00D463C6" w:rsidRPr="0001543F">
        <w:rPr>
          <w:lang w:val="pl-PL"/>
        </w:rPr>
        <w:t>skarżąc</w:t>
      </w:r>
      <w:r w:rsidR="00D8619A" w:rsidRPr="0001543F">
        <w:rPr>
          <w:lang w:val="pl-PL"/>
        </w:rPr>
        <w:t xml:space="preserve">ego dotyczy ustawowych zasad monitorowania </w:t>
      </w:r>
      <w:r w:rsidR="00D463C6" w:rsidRPr="0001543F">
        <w:rPr>
          <w:lang w:val="pl-PL"/>
        </w:rPr>
        <w:t>korespondencj</w:t>
      </w:r>
      <w:r w:rsidR="00D8619A" w:rsidRPr="0001543F">
        <w:rPr>
          <w:lang w:val="pl-PL"/>
        </w:rPr>
        <w:t xml:space="preserve">i osadzonych w Rosji </w:t>
      </w:r>
      <w:r w:rsidR="00506AD7" w:rsidRPr="0001543F">
        <w:rPr>
          <w:lang w:val="pl-PL"/>
        </w:rPr>
        <w:t>(</w:t>
      </w:r>
      <w:r w:rsidR="00D8619A" w:rsidRPr="0001543F">
        <w:rPr>
          <w:lang w:val="pl-PL"/>
        </w:rPr>
        <w:t xml:space="preserve">zob. </w:t>
      </w:r>
      <w:r w:rsidR="002C0F9F" w:rsidRPr="0001543F">
        <w:rPr>
          <w:lang w:val="pl-PL"/>
        </w:rPr>
        <w:t>par.</w:t>
      </w:r>
      <w:r w:rsidR="00506AD7" w:rsidRPr="0001543F">
        <w:rPr>
          <w:lang w:val="pl-PL"/>
        </w:rPr>
        <w:t xml:space="preserve"> </w:t>
      </w:r>
      <w:r w:rsidRPr="0001543F">
        <w:rPr>
          <w:lang w:val="pl-PL"/>
        </w:rPr>
        <w:fldChar w:fldCharType="begin"/>
      </w:r>
      <w:r w:rsidR="00506AD7" w:rsidRPr="0001543F">
        <w:rPr>
          <w:lang w:val="pl-PL"/>
        </w:rPr>
        <w:instrText xml:space="preserve"> REF  A91CES \h </w:instrText>
      </w:r>
      <w:r w:rsidRPr="0001543F">
        <w:rPr>
          <w:lang w:val="pl-PL"/>
        </w:rPr>
      </w:r>
      <w:r w:rsidRPr="0001543F">
        <w:rPr>
          <w:lang w:val="pl-PL"/>
        </w:rPr>
        <w:fldChar w:fldCharType="separate"/>
      </w:r>
      <w:r w:rsidR="00746F08" w:rsidRPr="0001543F">
        <w:rPr>
          <w:noProof/>
          <w:lang w:val="pl-PL"/>
        </w:rPr>
        <w:t>61</w:t>
      </w:r>
      <w:r w:rsidRPr="0001543F">
        <w:rPr>
          <w:lang w:val="pl-PL"/>
        </w:rPr>
        <w:fldChar w:fldCharType="end"/>
      </w:r>
      <w:r w:rsidR="00506AD7" w:rsidRPr="0001543F">
        <w:rPr>
          <w:lang w:val="pl-PL"/>
        </w:rPr>
        <w:t xml:space="preserve"> </w:t>
      </w:r>
      <w:r w:rsidR="002C0F9F" w:rsidRPr="0001543F">
        <w:rPr>
          <w:lang w:val="pl-PL"/>
        </w:rPr>
        <w:t>powyżej</w:t>
      </w:r>
      <w:r w:rsidR="00506AD7" w:rsidRPr="0001543F">
        <w:rPr>
          <w:lang w:val="pl-PL"/>
        </w:rPr>
        <w:t xml:space="preserve">). </w:t>
      </w:r>
      <w:r w:rsidR="00D8619A" w:rsidRPr="0001543F">
        <w:rPr>
          <w:lang w:val="pl-PL"/>
        </w:rPr>
        <w:t xml:space="preserve">Nie sformułowano zarzutu, a </w:t>
      </w:r>
      <w:r w:rsidR="00506AD7" w:rsidRPr="0001543F">
        <w:rPr>
          <w:lang w:val="pl-PL"/>
        </w:rPr>
        <w:t xml:space="preserve">Trybunał </w:t>
      </w:r>
      <w:r w:rsidR="00D8619A" w:rsidRPr="0001543F">
        <w:rPr>
          <w:lang w:val="pl-PL"/>
        </w:rPr>
        <w:t xml:space="preserve">nie sądzi, by </w:t>
      </w:r>
      <w:r w:rsidR="00D463C6" w:rsidRPr="0001543F">
        <w:rPr>
          <w:lang w:val="pl-PL"/>
        </w:rPr>
        <w:t>skarżąc</w:t>
      </w:r>
      <w:r w:rsidR="00D8619A" w:rsidRPr="0001543F">
        <w:rPr>
          <w:lang w:val="pl-PL"/>
        </w:rPr>
        <w:t xml:space="preserve">y miał do dyspozycji środki odwoławcze oferujące uzasadnione szanse powodzenia, jako że władze krajowe </w:t>
      </w:r>
      <w:r w:rsidR="0012621B" w:rsidRPr="0001543F">
        <w:rPr>
          <w:lang w:val="pl-PL"/>
        </w:rPr>
        <w:t>najwyraźniej posiadały nieograniczony zakres swobody w zakresie rutynowego monitorowania całości</w:t>
      </w:r>
      <w:r w:rsidR="002179BB" w:rsidRPr="0001543F">
        <w:rPr>
          <w:lang w:val="pl-PL"/>
        </w:rPr>
        <w:t xml:space="preserve"> </w:t>
      </w:r>
      <w:r w:rsidR="00C40C63" w:rsidRPr="0001543F">
        <w:rPr>
          <w:lang w:val="pl-PL"/>
        </w:rPr>
        <w:t>korespondencj</w:t>
      </w:r>
      <w:r w:rsidR="0012621B" w:rsidRPr="0001543F">
        <w:rPr>
          <w:lang w:val="pl-PL"/>
        </w:rPr>
        <w:t>i o charakterze nieuprzywilejowanym</w:t>
      </w:r>
      <w:r w:rsidR="00D8619A" w:rsidRPr="0001543F">
        <w:rPr>
          <w:lang w:val="pl-PL"/>
        </w:rPr>
        <w:t xml:space="preserve"> (por. </w:t>
      </w:r>
      <w:r w:rsidR="00506AD7" w:rsidRPr="0001543F">
        <w:rPr>
          <w:i/>
          <w:iCs/>
          <w:szCs w:val="22"/>
          <w:lang w:val="pl-PL"/>
        </w:rPr>
        <w:t xml:space="preserve">Belyaev </w:t>
      </w:r>
      <w:r w:rsidR="00D8619A" w:rsidRPr="0001543F">
        <w:rPr>
          <w:i/>
          <w:iCs/>
          <w:szCs w:val="22"/>
          <w:lang w:val="pl-PL"/>
        </w:rPr>
        <w:t>i</w:t>
      </w:r>
      <w:r w:rsidR="00506AD7" w:rsidRPr="0001543F">
        <w:rPr>
          <w:i/>
          <w:iCs/>
          <w:szCs w:val="22"/>
          <w:lang w:val="pl-PL"/>
        </w:rPr>
        <w:t xml:space="preserve"> Digtyar </w:t>
      </w:r>
      <w:r w:rsidR="00506AD7" w:rsidRPr="0001543F">
        <w:rPr>
          <w:i/>
          <w:iCs/>
          <w:lang w:val="pl-PL"/>
        </w:rPr>
        <w:t>przeciwko Ukrainie, nr</w:t>
      </w:r>
      <w:r w:rsidR="00506AD7" w:rsidRPr="0001543F">
        <w:rPr>
          <w:lang w:val="pl-PL"/>
        </w:rPr>
        <w:t> 16984/04 i 9947/05</w:t>
      </w:r>
      <w:r w:rsidR="00506AD7" w:rsidRPr="0001543F">
        <w:rPr>
          <w:snapToGrid w:val="0"/>
          <w:szCs w:val="24"/>
          <w:lang w:val="pl-PL"/>
        </w:rPr>
        <w:t>, § 45, 16 lutego 2012 r.).</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137</w:t>
      </w:r>
      <w:r w:rsidRPr="0001543F">
        <w:rPr>
          <w:lang w:val="pl-PL"/>
        </w:rPr>
        <w:fldChar w:fldCharType="end"/>
      </w:r>
      <w:r w:rsidR="00506AD7" w:rsidRPr="0001543F">
        <w:rPr>
          <w:lang w:val="pl-PL"/>
        </w:rPr>
        <w:t xml:space="preserve">.  Trybunał uznaje, że niniejsza skarga nie jest oczywiście bezzasadna w rozumieniu </w:t>
      </w:r>
      <w:r w:rsidR="00F9651E" w:rsidRPr="0001543F">
        <w:rPr>
          <w:lang w:val="pl-PL"/>
        </w:rPr>
        <w:t>arty</w:t>
      </w:r>
      <w:r w:rsidR="00506AD7" w:rsidRPr="0001543F">
        <w:rPr>
          <w:lang w:val="pl-PL"/>
        </w:rPr>
        <w:t xml:space="preserve">kułu 35 ust. 3 </w:t>
      </w:r>
      <w:r w:rsidR="00AE1B21" w:rsidRPr="0001543F">
        <w:rPr>
          <w:lang w:val="pl-PL"/>
        </w:rPr>
        <w:t>lit. (a)</w:t>
      </w:r>
      <w:r w:rsidR="00506AD7" w:rsidRPr="0001543F">
        <w:rPr>
          <w:lang w:val="pl-PL"/>
        </w:rPr>
        <w:t xml:space="preserve"> Konwencji. Nie stwierdzono innych podstaw uznania skargi za niedopuszczalną. Z tego względu należy uznać ją za dopuszczalną.</w:t>
      </w:r>
    </w:p>
    <w:p w:rsidR="003960A7" w:rsidRPr="0001543F" w:rsidRDefault="003960A7" w:rsidP="003960A7">
      <w:pPr>
        <w:pStyle w:val="JuHa0"/>
        <w:tabs>
          <w:tab w:val="clear" w:pos="975"/>
        </w:tabs>
        <w:ind w:left="635" w:firstLine="0"/>
        <w:rPr>
          <w:lang w:val="pl-PL"/>
        </w:rPr>
      </w:pPr>
      <w:r w:rsidRPr="0001543F">
        <w:rPr>
          <w:bCs/>
          <w:lang w:val="pl-PL"/>
        </w:rPr>
        <w:t>b)  Meritum skargi</w:t>
      </w:r>
    </w:p>
    <w:p w:rsidR="003960A7" w:rsidRPr="0001543F" w:rsidRDefault="00F559B3" w:rsidP="003960A7">
      <w:pPr>
        <w:pStyle w:val="JuPara"/>
        <w:rPr>
          <w:snapToGrid w:val="0"/>
          <w:szCs w:val="24"/>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138</w:t>
      </w:r>
      <w:r w:rsidRPr="0001543F">
        <w:rPr>
          <w:lang w:val="pl-PL"/>
        </w:rPr>
        <w:fldChar w:fldCharType="end"/>
      </w:r>
      <w:r w:rsidR="00506AD7" w:rsidRPr="0001543F">
        <w:rPr>
          <w:lang w:val="pl-PL"/>
        </w:rPr>
        <w:t xml:space="preserve">.  Trybunał zauważa - i fakt ten nie jest przedmiotem sporu pomiędzy stronami - że korespondencja skarżącego była kontrolowana przez pracowników więzienia. W opinii Trybunału monitorowanie stanowiło „ingerencję” w rozumieniu artykułu 8 Konwencji. </w:t>
      </w:r>
      <w:r w:rsidR="005C6842" w:rsidRPr="0001543F">
        <w:rPr>
          <w:lang w:val="pl-PL"/>
        </w:rPr>
        <w:t>Ingerencja tego rodzaju będzie stanowić</w:t>
      </w:r>
      <w:r w:rsidR="00D8619A" w:rsidRPr="0001543F">
        <w:rPr>
          <w:lang w:val="pl-PL"/>
        </w:rPr>
        <w:t xml:space="preserve"> naruszenie</w:t>
      </w:r>
      <w:r w:rsidR="00506AD7" w:rsidRPr="0001543F">
        <w:rPr>
          <w:lang w:val="pl-PL"/>
        </w:rPr>
        <w:t xml:space="preserve"> </w:t>
      </w:r>
      <w:r w:rsidR="005C6842" w:rsidRPr="0001543F">
        <w:rPr>
          <w:lang w:val="pl-PL"/>
        </w:rPr>
        <w:t>artykułu</w:t>
      </w:r>
      <w:r w:rsidR="002179BB" w:rsidRPr="0001543F">
        <w:rPr>
          <w:lang w:val="pl-PL"/>
        </w:rPr>
        <w:t xml:space="preserve"> </w:t>
      </w:r>
      <w:r w:rsidR="00506AD7" w:rsidRPr="0001543F">
        <w:rPr>
          <w:lang w:val="pl-PL"/>
        </w:rPr>
        <w:t>8</w:t>
      </w:r>
      <w:bookmarkStart w:id="33" w:name="HIT81"/>
      <w:bookmarkStart w:id="34" w:name="HIT80"/>
      <w:bookmarkEnd w:id="33"/>
      <w:bookmarkEnd w:id="34"/>
      <w:r w:rsidR="005C6842" w:rsidRPr="0001543F">
        <w:rPr>
          <w:lang w:val="pl-PL"/>
        </w:rPr>
        <w:t>, chyba że jest „</w:t>
      </w:r>
      <w:r w:rsidR="00CA1ED4" w:rsidRPr="0001543F">
        <w:rPr>
          <w:lang w:val="pl-PL"/>
        </w:rPr>
        <w:t>zgodna</w:t>
      </w:r>
      <w:r w:rsidR="002179BB" w:rsidRPr="0001543F">
        <w:rPr>
          <w:lang w:val="pl-PL"/>
        </w:rPr>
        <w:t xml:space="preserve"> </w:t>
      </w:r>
      <w:r w:rsidR="00CA1ED4" w:rsidRPr="0001543F">
        <w:rPr>
          <w:lang w:val="pl-PL"/>
        </w:rPr>
        <w:t>z prawem</w:t>
      </w:r>
      <w:r w:rsidR="00506AD7" w:rsidRPr="0001543F">
        <w:rPr>
          <w:lang w:val="pl-PL"/>
        </w:rPr>
        <w:t xml:space="preserve">, </w:t>
      </w:r>
      <w:r w:rsidR="00CA1ED4" w:rsidRPr="0001543F">
        <w:rPr>
          <w:lang w:val="pl-PL"/>
        </w:rPr>
        <w:t>służy jednemu lub więcej uzasadnionym celom, o jakich mowa w ust. 2 i ponadto jest „konieczna w demokratycznym społeczeństwie” dla</w:t>
      </w:r>
      <w:r w:rsidR="002179BB" w:rsidRPr="0001543F">
        <w:rPr>
          <w:lang w:val="pl-PL"/>
        </w:rPr>
        <w:t xml:space="preserve"> </w:t>
      </w:r>
      <w:r w:rsidR="005C6842" w:rsidRPr="0001543F">
        <w:rPr>
          <w:lang w:val="pl-PL"/>
        </w:rPr>
        <w:t xml:space="preserve">osiągnięcia takich celów </w:t>
      </w:r>
      <w:r w:rsidR="00506AD7" w:rsidRPr="0001543F">
        <w:rPr>
          <w:lang w:val="pl-PL"/>
        </w:rPr>
        <w:t>(zob.</w:t>
      </w:r>
      <w:r w:rsidR="005C6842" w:rsidRPr="0001543F">
        <w:rPr>
          <w:lang w:val="pl-PL"/>
        </w:rPr>
        <w:t xml:space="preserve"> między innymi</w:t>
      </w:r>
      <w:r w:rsidR="00506AD7" w:rsidRPr="0001543F">
        <w:rPr>
          <w:lang w:val="pl-PL"/>
        </w:rPr>
        <w:t xml:space="preserve"> </w:t>
      </w:r>
      <w:r w:rsidR="00506AD7" w:rsidRPr="0001543F">
        <w:rPr>
          <w:i/>
          <w:iCs/>
          <w:lang w:val="pl-PL"/>
        </w:rPr>
        <w:t>Szuluk przeciwko Zjednoczonemu Królestwu</w:t>
      </w:r>
      <w:r w:rsidR="00506AD7" w:rsidRPr="0001543F">
        <w:rPr>
          <w:lang w:val="pl-PL"/>
        </w:rPr>
        <w:t>, nr 36936/05, § 43, ETPCz 2009).</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139</w:t>
      </w:r>
      <w:r w:rsidRPr="0001543F">
        <w:rPr>
          <w:lang w:val="pl-PL"/>
        </w:rPr>
        <w:fldChar w:fldCharType="end"/>
      </w:r>
      <w:r w:rsidR="00506AD7" w:rsidRPr="0001543F">
        <w:rPr>
          <w:lang w:val="pl-PL"/>
        </w:rPr>
        <w:t>.  </w:t>
      </w:r>
      <w:r w:rsidR="005C6842" w:rsidRPr="0001543F">
        <w:rPr>
          <w:lang w:val="pl-PL"/>
        </w:rPr>
        <w:t xml:space="preserve">Rząd oświadczył, że ingerencja była zgodna z artykułem </w:t>
      </w:r>
      <w:r w:rsidR="00506AD7" w:rsidRPr="0001543F">
        <w:rPr>
          <w:lang w:val="pl-PL"/>
        </w:rPr>
        <w:t xml:space="preserve">91 </w:t>
      </w:r>
      <w:r w:rsidR="005C6842" w:rsidRPr="0001543F">
        <w:rPr>
          <w:lang w:val="pl-PL"/>
        </w:rPr>
        <w:t>kodeksu karnego wykonawczego (kkk)</w:t>
      </w:r>
      <w:r w:rsidR="00506AD7" w:rsidRPr="0001543F">
        <w:rPr>
          <w:lang w:val="pl-PL"/>
        </w:rPr>
        <w:t xml:space="preserve">, </w:t>
      </w:r>
      <w:r w:rsidR="005C6842" w:rsidRPr="0001543F">
        <w:rPr>
          <w:lang w:val="pl-PL"/>
        </w:rPr>
        <w:t xml:space="preserve">który stanowi, że wychodząca i przychodząca korespondencja o charakterze nieuprzywilejowanym skazanego więźnia musi być kontrolowana </w:t>
      </w:r>
      <w:r w:rsidR="00506AD7" w:rsidRPr="0001543F">
        <w:rPr>
          <w:lang w:val="pl-PL"/>
        </w:rPr>
        <w:t>(</w:t>
      </w:r>
      <w:r w:rsidR="005C6842" w:rsidRPr="0001543F">
        <w:rPr>
          <w:lang w:val="pl-PL"/>
        </w:rPr>
        <w:t xml:space="preserve">zob. </w:t>
      </w:r>
      <w:r w:rsidR="00506AD7" w:rsidRPr="0001543F">
        <w:rPr>
          <w:lang w:val="pl-PL"/>
        </w:rPr>
        <w:t>par</w:t>
      </w:r>
      <w:r w:rsidR="005C6842" w:rsidRPr="0001543F">
        <w:rPr>
          <w:lang w:val="pl-PL"/>
        </w:rPr>
        <w:t xml:space="preserve">. </w:t>
      </w:r>
      <w:r w:rsidRPr="0001543F">
        <w:rPr>
          <w:lang w:val="pl-PL"/>
        </w:rPr>
        <w:fldChar w:fldCharType="begin"/>
      </w:r>
      <w:r w:rsidR="00506AD7" w:rsidRPr="0001543F">
        <w:rPr>
          <w:lang w:val="pl-PL"/>
        </w:rPr>
        <w:instrText xml:space="preserve"> REF  A91CES \h </w:instrText>
      </w:r>
      <w:r w:rsidRPr="0001543F">
        <w:rPr>
          <w:lang w:val="pl-PL"/>
        </w:rPr>
      </w:r>
      <w:r w:rsidRPr="0001543F">
        <w:rPr>
          <w:lang w:val="pl-PL"/>
        </w:rPr>
        <w:fldChar w:fldCharType="separate"/>
      </w:r>
      <w:r w:rsidR="00746F08" w:rsidRPr="0001543F">
        <w:rPr>
          <w:noProof/>
          <w:lang w:val="pl-PL"/>
        </w:rPr>
        <w:t>61</w:t>
      </w:r>
      <w:r w:rsidRPr="0001543F">
        <w:rPr>
          <w:lang w:val="pl-PL"/>
        </w:rPr>
        <w:fldChar w:fldCharType="end"/>
      </w:r>
      <w:r w:rsidR="00506AD7" w:rsidRPr="0001543F">
        <w:rPr>
          <w:lang w:val="pl-PL"/>
        </w:rPr>
        <w:t xml:space="preserve"> </w:t>
      </w:r>
      <w:r w:rsidR="005C6842" w:rsidRPr="0001543F">
        <w:rPr>
          <w:lang w:val="pl-PL"/>
        </w:rPr>
        <w:t>powyżej)</w:t>
      </w:r>
      <w:r w:rsidR="00506AD7" w:rsidRPr="0001543F">
        <w:rPr>
          <w:lang w:val="pl-PL"/>
        </w:rPr>
        <w:t>. Trybunał</w:t>
      </w:r>
      <w:r w:rsidR="005C6842" w:rsidRPr="0001543F">
        <w:rPr>
          <w:lang w:val="pl-PL"/>
        </w:rPr>
        <w:t xml:space="preserve"> miał już okazję zauważyć </w:t>
      </w:r>
      <w:r w:rsidR="00506AD7" w:rsidRPr="0001543F">
        <w:rPr>
          <w:lang w:val="pl-PL"/>
        </w:rPr>
        <w:t>(zob.</w:t>
      </w:r>
      <w:r w:rsidR="00506AD7" w:rsidRPr="0001543F">
        <w:rPr>
          <w:i/>
          <w:iCs/>
          <w:lang w:val="pl-PL"/>
        </w:rPr>
        <w:t xml:space="preserve"> Boris Popov przeciwko Rosji</w:t>
      </w:r>
      <w:r w:rsidR="00506AD7" w:rsidRPr="0001543F">
        <w:rPr>
          <w:lang w:val="pl-PL"/>
        </w:rPr>
        <w:t>, nr 23284/04</w:t>
      </w:r>
      <w:r w:rsidR="00506AD7" w:rsidRPr="0001543F">
        <w:rPr>
          <w:snapToGrid w:val="0"/>
          <w:szCs w:val="24"/>
          <w:lang w:val="pl-PL"/>
        </w:rPr>
        <w:t>, § 100, 28 października 2010 r.</w:t>
      </w:r>
      <w:r w:rsidR="00506AD7" w:rsidRPr="0001543F">
        <w:rPr>
          <w:lang w:val="pl-PL"/>
        </w:rPr>
        <w:t xml:space="preserve">), </w:t>
      </w:r>
      <w:r w:rsidR="005C6842" w:rsidRPr="0001543F">
        <w:rPr>
          <w:lang w:val="pl-PL"/>
        </w:rPr>
        <w:t xml:space="preserve">że przepis art. </w:t>
      </w:r>
      <w:r w:rsidR="00506AD7" w:rsidRPr="0001543F">
        <w:rPr>
          <w:lang w:val="pl-PL"/>
        </w:rPr>
        <w:t xml:space="preserve">91 </w:t>
      </w:r>
      <w:r w:rsidR="005C6842" w:rsidRPr="0001543F">
        <w:rPr>
          <w:lang w:val="pl-PL"/>
        </w:rPr>
        <w:t>kkk</w:t>
      </w:r>
      <w:r w:rsidR="00506AD7" w:rsidRPr="0001543F">
        <w:rPr>
          <w:lang w:val="pl-PL"/>
        </w:rPr>
        <w:t xml:space="preserve"> </w:t>
      </w:r>
      <w:r w:rsidR="005C6842" w:rsidRPr="0001543F">
        <w:rPr>
          <w:lang w:val="pl-PL"/>
        </w:rPr>
        <w:t>zawiera rozróżnienie między zwykłą, uprzywilejowaną pocztą skazanego więźnia a korespondencją z osobą świadczącą na jego rzecz pomoc prawną</w:t>
      </w:r>
      <w:r w:rsidR="00506AD7" w:rsidRPr="0001543F">
        <w:rPr>
          <w:lang w:val="pl-PL"/>
        </w:rPr>
        <w:t>.</w:t>
      </w:r>
    </w:p>
    <w:p w:rsidR="003960A7" w:rsidRPr="0001543F" w:rsidRDefault="00F559B3" w:rsidP="003960A7">
      <w:pPr>
        <w:pStyle w:val="JuPara"/>
        <w:rPr>
          <w:lang w:val="pl-PL"/>
        </w:rPr>
      </w:pPr>
      <w:r w:rsidRPr="0001543F">
        <w:rPr>
          <w:lang w:val="pl-PL"/>
        </w:rPr>
        <w:lastRenderedPageBreak/>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140</w:t>
      </w:r>
      <w:r w:rsidRPr="0001543F">
        <w:rPr>
          <w:lang w:val="pl-PL"/>
        </w:rPr>
        <w:fldChar w:fldCharType="end"/>
      </w:r>
      <w:r w:rsidR="00506AD7" w:rsidRPr="0001543F">
        <w:rPr>
          <w:lang w:val="pl-PL"/>
        </w:rPr>
        <w:t>.  </w:t>
      </w:r>
      <w:r w:rsidR="00652CEC" w:rsidRPr="0001543F">
        <w:rPr>
          <w:lang w:val="pl-PL"/>
        </w:rPr>
        <w:t>W związku z brakiem szczegółow</w:t>
      </w:r>
      <w:r w:rsidR="00AA15AC" w:rsidRPr="0001543F">
        <w:rPr>
          <w:lang w:val="pl-PL"/>
        </w:rPr>
        <w:t>ych argumentów czy uzasadnienia</w:t>
      </w:r>
      <w:r w:rsidR="00652CEC" w:rsidRPr="0001543F">
        <w:rPr>
          <w:lang w:val="pl-PL"/>
        </w:rPr>
        <w:t xml:space="preserve"> Trybunał przyjmuje, że w niniejszej sprawie zastosowanie miała zasada ogólna wynikająca z art. </w:t>
      </w:r>
      <w:r w:rsidR="00506AD7" w:rsidRPr="0001543F">
        <w:rPr>
          <w:lang w:val="pl-PL"/>
        </w:rPr>
        <w:t xml:space="preserve">91 </w:t>
      </w:r>
      <w:r w:rsidR="00652CEC" w:rsidRPr="0001543F">
        <w:rPr>
          <w:lang w:val="pl-PL"/>
        </w:rPr>
        <w:t>kodeksu doty</w:t>
      </w:r>
      <w:r w:rsidR="00836BE5" w:rsidRPr="0001543F">
        <w:rPr>
          <w:lang w:val="pl-PL"/>
        </w:rPr>
        <w:t>cząca korespondencji zwykłej, która stanowiła podstawę prawną monitorowania</w:t>
      </w:r>
      <w:r w:rsidR="00506AD7" w:rsidRPr="0001543F">
        <w:rPr>
          <w:lang w:val="pl-PL"/>
        </w:rPr>
        <w:t xml:space="preserve"> </w:t>
      </w:r>
      <w:r w:rsidR="00D463C6" w:rsidRPr="0001543F">
        <w:rPr>
          <w:lang w:val="pl-PL"/>
        </w:rPr>
        <w:t>korespondencj</w:t>
      </w:r>
      <w:r w:rsidR="00836BE5" w:rsidRPr="0001543F">
        <w:rPr>
          <w:lang w:val="pl-PL"/>
        </w:rPr>
        <w:t>i</w:t>
      </w:r>
      <w:r w:rsidR="00506AD7" w:rsidRPr="0001543F">
        <w:rPr>
          <w:lang w:val="pl-PL"/>
        </w:rPr>
        <w:t xml:space="preserve"> </w:t>
      </w:r>
      <w:r w:rsidR="00C40C63" w:rsidRPr="0001543F">
        <w:rPr>
          <w:lang w:val="pl-PL"/>
        </w:rPr>
        <w:t>pomiędzy</w:t>
      </w:r>
      <w:r w:rsidR="00506AD7" w:rsidRPr="0001543F">
        <w:rPr>
          <w:lang w:val="pl-PL"/>
        </w:rPr>
        <w:t xml:space="preserve"> </w:t>
      </w:r>
      <w:r w:rsidR="00D463C6" w:rsidRPr="0001543F">
        <w:rPr>
          <w:lang w:val="pl-PL"/>
        </w:rPr>
        <w:t>skarżąc</w:t>
      </w:r>
      <w:r w:rsidR="00AA15AC" w:rsidRPr="0001543F">
        <w:rPr>
          <w:lang w:val="pl-PL"/>
        </w:rPr>
        <w:t>ym</w:t>
      </w:r>
      <w:r w:rsidR="00506AD7" w:rsidRPr="0001543F">
        <w:rPr>
          <w:lang w:val="pl-PL"/>
        </w:rPr>
        <w:t xml:space="preserve"> </w:t>
      </w:r>
      <w:r w:rsidR="00836BE5" w:rsidRPr="0001543F">
        <w:rPr>
          <w:lang w:val="pl-PL"/>
        </w:rPr>
        <w:t>a jego korespondentami na poziomie krajowym. Ponadto Trybunał zauważa, że strony nie twierdziły, by kwestia ta podlegała regulacji na poziomie krajowym na mocy innych przepisów</w:t>
      </w:r>
      <w:r w:rsidR="00506AD7" w:rsidRPr="0001543F">
        <w:rPr>
          <w:lang w:val="pl-PL"/>
        </w:rPr>
        <w:t xml:space="preserve">. </w:t>
      </w:r>
      <w:r w:rsidR="004A3B54" w:rsidRPr="0001543F">
        <w:rPr>
          <w:lang w:val="pl-PL"/>
        </w:rPr>
        <w:t xml:space="preserve">Zatem </w:t>
      </w:r>
      <w:r w:rsidR="00C40C63" w:rsidRPr="0001543F">
        <w:rPr>
          <w:lang w:val="pl-PL"/>
        </w:rPr>
        <w:t>w niniejszej sprawie</w:t>
      </w:r>
      <w:r w:rsidR="00506AD7" w:rsidRPr="0001543F">
        <w:rPr>
          <w:lang w:val="pl-PL"/>
        </w:rPr>
        <w:t xml:space="preserve"> </w:t>
      </w:r>
      <w:r w:rsidR="004A3B54" w:rsidRPr="0001543F">
        <w:rPr>
          <w:lang w:val="pl-PL"/>
        </w:rPr>
        <w:t>ingerencja była zgodna z „</w:t>
      </w:r>
      <w:r w:rsidR="00AA15AC" w:rsidRPr="0001543F">
        <w:rPr>
          <w:lang w:val="pl-PL"/>
        </w:rPr>
        <w:t>ustawą</w:t>
      </w:r>
      <w:r w:rsidR="004A3B54" w:rsidRPr="0001543F">
        <w:rPr>
          <w:lang w:val="pl-PL"/>
        </w:rPr>
        <w:t>”</w:t>
      </w:r>
      <w:r w:rsidR="00506AD7" w:rsidRPr="0001543F">
        <w:rPr>
          <w:lang w:val="pl-PL"/>
        </w:rPr>
        <w:t>.</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141</w:t>
      </w:r>
      <w:r w:rsidRPr="0001543F">
        <w:rPr>
          <w:lang w:val="pl-PL"/>
        </w:rPr>
        <w:fldChar w:fldCharType="end"/>
      </w:r>
      <w:r w:rsidR="00506AD7" w:rsidRPr="0001543F">
        <w:rPr>
          <w:lang w:val="pl-PL"/>
        </w:rPr>
        <w:t>.  W sprawach dotyczących skarg indywidua</w:t>
      </w:r>
      <w:r w:rsidR="006B6191" w:rsidRPr="0001543F">
        <w:rPr>
          <w:lang w:val="pl-PL"/>
        </w:rPr>
        <w:t>l</w:t>
      </w:r>
      <w:r w:rsidR="00506AD7" w:rsidRPr="0001543F">
        <w:rPr>
          <w:lang w:val="pl-PL"/>
        </w:rPr>
        <w:t xml:space="preserve">nych nie jest zadaniem Trybunału weryfikacja odnośnych </w:t>
      </w:r>
      <w:r w:rsidR="006B6191" w:rsidRPr="0001543F">
        <w:rPr>
          <w:lang w:val="pl-PL"/>
        </w:rPr>
        <w:t>przepisów</w:t>
      </w:r>
      <w:r w:rsidR="00506AD7" w:rsidRPr="0001543F">
        <w:rPr>
          <w:lang w:val="pl-PL"/>
        </w:rPr>
        <w:t xml:space="preserve"> ustawodawstwa czy </w:t>
      </w:r>
      <w:r w:rsidR="006B6191" w:rsidRPr="0001543F">
        <w:rPr>
          <w:lang w:val="pl-PL"/>
        </w:rPr>
        <w:t>konkretnej</w:t>
      </w:r>
      <w:r w:rsidR="00506AD7" w:rsidRPr="0001543F">
        <w:rPr>
          <w:lang w:val="pl-PL"/>
        </w:rPr>
        <w:t xml:space="preserve"> praktyki w sposób abstrakcyjny. </w:t>
      </w:r>
      <w:r w:rsidR="006B6191" w:rsidRPr="0001543F">
        <w:rPr>
          <w:lang w:val="pl-PL"/>
        </w:rPr>
        <w:t>Trybunał obowiązany jest ograniczyć</w:t>
      </w:r>
      <w:r w:rsidR="00AC49FD" w:rsidRPr="0001543F">
        <w:rPr>
          <w:lang w:val="pl-PL"/>
        </w:rPr>
        <w:t xml:space="preserve"> się</w:t>
      </w:r>
      <w:r w:rsidR="00121895" w:rsidRPr="0001543F">
        <w:rPr>
          <w:lang w:val="pl-PL"/>
        </w:rPr>
        <w:t xml:space="preserve">, na tyle, na ile jest to możliwe, </w:t>
      </w:r>
      <w:r w:rsidR="006B6191" w:rsidRPr="0001543F">
        <w:rPr>
          <w:lang w:val="pl-PL"/>
        </w:rPr>
        <w:t>nie zapominając jednakże o ogólnym kontekście, do zbadania kwestii podniesionych w ramach złożonej do Trybunału skargi</w:t>
      </w:r>
      <w:r w:rsidR="00506AD7" w:rsidRPr="0001543F">
        <w:rPr>
          <w:lang w:val="pl-PL"/>
        </w:rPr>
        <w:t xml:space="preserve">. </w:t>
      </w:r>
      <w:r w:rsidR="006B6191" w:rsidRPr="0001543F">
        <w:rPr>
          <w:lang w:val="pl-PL"/>
        </w:rPr>
        <w:t xml:space="preserve">Zatem w tym miejscu zadaniem </w:t>
      </w:r>
      <w:r w:rsidR="00506AD7" w:rsidRPr="0001543F">
        <w:rPr>
          <w:lang w:val="pl-PL"/>
        </w:rPr>
        <w:t>Trybunał</w:t>
      </w:r>
      <w:r w:rsidR="006B6191" w:rsidRPr="0001543F">
        <w:rPr>
          <w:lang w:val="pl-PL"/>
        </w:rPr>
        <w:t xml:space="preserve">u nie jest </w:t>
      </w:r>
      <w:r w:rsidR="00121895" w:rsidRPr="0001543F">
        <w:rPr>
          <w:lang w:val="pl-PL"/>
        </w:rPr>
        <w:t xml:space="preserve">ocena </w:t>
      </w:r>
      <w:r w:rsidR="00506AD7" w:rsidRPr="0001543F">
        <w:rPr>
          <w:i/>
          <w:iCs/>
          <w:lang w:val="pl-PL"/>
        </w:rPr>
        <w:t>in abstracto</w:t>
      </w:r>
      <w:r w:rsidR="00506AD7" w:rsidRPr="0001543F">
        <w:rPr>
          <w:lang w:val="pl-PL"/>
        </w:rPr>
        <w:t xml:space="preserve"> </w:t>
      </w:r>
      <w:r w:rsidR="00121895" w:rsidRPr="0001543F">
        <w:rPr>
          <w:lang w:val="pl-PL"/>
        </w:rPr>
        <w:t xml:space="preserve">zgodności z Konwencją </w:t>
      </w:r>
      <w:r w:rsidR="002C0F9F" w:rsidRPr="0001543F">
        <w:rPr>
          <w:lang w:val="pl-PL"/>
        </w:rPr>
        <w:t>powyż</w:t>
      </w:r>
      <w:r w:rsidR="00121895" w:rsidRPr="0001543F">
        <w:rPr>
          <w:lang w:val="pl-PL"/>
        </w:rPr>
        <w:t>sz</w:t>
      </w:r>
      <w:r w:rsidR="002C0F9F" w:rsidRPr="0001543F">
        <w:rPr>
          <w:lang w:val="pl-PL"/>
        </w:rPr>
        <w:t>ej</w:t>
      </w:r>
      <w:r w:rsidR="00506AD7" w:rsidRPr="0001543F">
        <w:rPr>
          <w:lang w:val="pl-PL"/>
        </w:rPr>
        <w:t xml:space="preserve"> procedur</w:t>
      </w:r>
      <w:r w:rsidR="00121895" w:rsidRPr="0001543F">
        <w:rPr>
          <w:lang w:val="pl-PL"/>
        </w:rPr>
        <w:t>y</w:t>
      </w:r>
      <w:r w:rsidR="00506AD7" w:rsidRPr="0001543F">
        <w:rPr>
          <w:lang w:val="pl-PL"/>
        </w:rPr>
        <w:t xml:space="preserve">, </w:t>
      </w:r>
      <w:r w:rsidR="00121895" w:rsidRPr="0001543F">
        <w:rPr>
          <w:lang w:val="pl-PL"/>
        </w:rPr>
        <w:t>lecz ustalenie</w:t>
      </w:r>
      <w:r w:rsidR="00506AD7" w:rsidRPr="0001543F">
        <w:rPr>
          <w:lang w:val="pl-PL"/>
        </w:rPr>
        <w:t xml:space="preserve">, </w:t>
      </w:r>
      <w:r w:rsidR="00506AD7" w:rsidRPr="0001543F">
        <w:rPr>
          <w:i/>
          <w:iCs/>
          <w:lang w:val="pl-PL"/>
        </w:rPr>
        <w:t>in concreto</w:t>
      </w:r>
      <w:r w:rsidR="00121895" w:rsidRPr="0001543F">
        <w:rPr>
          <w:lang w:val="pl-PL"/>
        </w:rPr>
        <w:t xml:space="preserve">, wpływu ingerencji na prawo </w:t>
      </w:r>
      <w:r w:rsidR="00D463C6" w:rsidRPr="0001543F">
        <w:rPr>
          <w:lang w:val="pl-PL"/>
        </w:rPr>
        <w:t>skarżąc</w:t>
      </w:r>
      <w:r w:rsidR="00121895" w:rsidRPr="0001543F">
        <w:rPr>
          <w:lang w:val="pl-PL"/>
        </w:rPr>
        <w:t xml:space="preserve">ego do poszanowania jego </w:t>
      </w:r>
      <w:r w:rsidR="00C40C63" w:rsidRPr="0001543F">
        <w:rPr>
          <w:lang w:val="pl-PL"/>
        </w:rPr>
        <w:t>korespondencj</w:t>
      </w:r>
      <w:r w:rsidR="00121895" w:rsidRPr="0001543F">
        <w:rPr>
          <w:lang w:val="pl-PL"/>
        </w:rPr>
        <w:t>i</w:t>
      </w:r>
      <w:r w:rsidR="0055589E" w:rsidRPr="0001543F">
        <w:rPr>
          <w:lang w:val="pl-PL"/>
        </w:rPr>
        <w:t xml:space="preserve"> (zob. niedawno wydany wyrok w sprawie </w:t>
      </w:r>
      <w:r w:rsidR="00506AD7" w:rsidRPr="0001543F">
        <w:rPr>
          <w:i/>
          <w:iCs/>
          <w:lang w:val="pl-PL"/>
        </w:rPr>
        <w:t xml:space="preserve">Nejdet Şahin </w:t>
      </w:r>
      <w:r w:rsidR="006B6191" w:rsidRPr="0001543F">
        <w:rPr>
          <w:i/>
          <w:iCs/>
          <w:lang w:val="pl-PL"/>
        </w:rPr>
        <w:t>i</w:t>
      </w:r>
      <w:r w:rsidR="00506AD7" w:rsidRPr="0001543F">
        <w:rPr>
          <w:i/>
          <w:iCs/>
          <w:lang w:val="pl-PL"/>
        </w:rPr>
        <w:t xml:space="preserve"> Perihan Şahin przeciwko Turcji</w:t>
      </w:r>
      <w:r w:rsidR="00506AD7" w:rsidRPr="0001543F">
        <w:rPr>
          <w:lang w:val="pl-PL"/>
        </w:rPr>
        <w:t xml:space="preserve"> [WI], nr 13279/05, §§ 68-70, 20 października 2011 r.). W niniejszej sprawie Trybunał skoncentruje się na proporcjonalności w odniesieniu do monitorowania korespondencji skarżącego.</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142</w:t>
      </w:r>
      <w:r w:rsidRPr="0001543F">
        <w:rPr>
          <w:lang w:val="pl-PL"/>
        </w:rPr>
        <w:fldChar w:fldCharType="end"/>
      </w:r>
      <w:r w:rsidR="00506AD7" w:rsidRPr="0001543F">
        <w:rPr>
          <w:lang w:val="pl-PL"/>
        </w:rPr>
        <w:t>.  </w:t>
      </w:r>
      <w:r w:rsidR="006B6191" w:rsidRPr="0001543F">
        <w:rPr>
          <w:lang w:val="pl-PL"/>
        </w:rPr>
        <w:t xml:space="preserve">Pojęcie konieczności implikuje, że ingerencja </w:t>
      </w:r>
      <w:r w:rsidR="006D2900" w:rsidRPr="0001543F">
        <w:rPr>
          <w:lang w:val="pl-PL"/>
        </w:rPr>
        <w:t>odpowiada pilnej potrzebie społecznej, a w szczególności jest proporcjonalna do zamierzonego uprawnionego celu. Przy określaniu, czy ingerencja jest „</w:t>
      </w:r>
      <w:r w:rsidR="00964C7E" w:rsidRPr="0001543F">
        <w:rPr>
          <w:lang w:val="pl-PL"/>
        </w:rPr>
        <w:t>konieczna</w:t>
      </w:r>
      <w:r w:rsidR="006D2900" w:rsidRPr="0001543F">
        <w:rPr>
          <w:lang w:val="pl-PL"/>
        </w:rPr>
        <w:t xml:space="preserve"> w społeczeństwie demokratycznym”, można uwzględnić margines oceny Państwa</w:t>
      </w:r>
      <w:r w:rsidR="006B6191" w:rsidRPr="0001543F">
        <w:rPr>
          <w:lang w:val="pl-PL"/>
        </w:rPr>
        <w:t xml:space="preserve"> (zob. </w:t>
      </w:r>
      <w:r w:rsidR="0055589E" w:rsidRPr="0001543F">
        <w:rPr>
          <w:lang w:val="pl-PL"/>
        </w:rPr>
        <w:t>między innymi</w:t>
      </w:r>
      <w:r w:rsidR="00506AD7" w:rsidRPr="0001543F">
        <w:rPr>
          <w:lang w:val="pl-PL"/>
        </w:rPr>
        <w:t xml:space="preserve"> </w:t>
      </w:r>
      <w:r w:rsidR="00506AD7" w:rsidRPr="0001543F">
        <w:rPr>
          <w:i/>
          <w:iCs/>
          <w:lang w:val="pl-PL"/>
        </w:rPr>
        <w:t xml:space="preserve">Dickson przeciwko Zjednoczonemu Królestwu </w:t>
      </w:r>
      <w:r w:rsidR="00506AD7" w:rsidRPr="0001543F">
        <w:rPr>
          <w:lang w:val="pl-PL"/>
        </w:rPr>
        <w:t>[WI], nr 44362/04, § 77, ETPCz 2007</w:t>
      </w:r>
      <w:r w:rsidR="00506AD7" w:rsidRPr="0001543F">
        <w:rPr>
          <w:lang w:val="pl-PL"/>
        </w:rPr>
        <w:noBreakHyphen/>
        <w:t xml:space="preserve">V). </w:t>
      </w:r>
      <w:r w:rsidR="00964C7E" w:rsidRPr="0001543F">
        <w:rPr>
          <w:lang w:val="pl-PL"/>
        </w:rPr>
        <w:t xml:space="preserve">O ile wstępna ocena takiej konieczności leży w gestii władz krajowych, </w:t>
      </w:r>
      <w:bookmarkStart w:id="35" w:name="_100003E"/>
      <w:bookmarkEnd w:id="35"/>
      <w:r w:rsidR="00964C7E" w:rsidRPr="0001543F">
        <w:rPr>
          <w:lang w:val="pl-PL"/>
        </w:rPr>
        <w:t xml:space="preserve">ostateczna ocena, czy wskazane podstawy ingerencji są </w:t>
      </w:r>
      <w:r w:rsidR="00157091" w:rsidRPr="0001543F">
        <w:rPr>
          <w:lang w:val="pl-PL"/>
        </w:rPr>
        <w:t>istotne i wystarczające</w:t>
      </w:r>
      <w:r w:rsidR="00964C7E" w:rsidRPr="0001543F">
        <w:rPr>
          <w:lang w:val="pl-PL"/>
        </w:rPr>
        <w:t xml:space="preserve">, pozostaje przedmiotem weryfikacji przez </w:t>
      </w:r>
      <w:r w:rsidR="002C0F9F" w:rsidRPr="0001543F">
        <w:rPr>
          <w:lang w:val="pl-PL"/>
        </w:rPr>
        <w:t>Trybunał</w:t>
      </w:r>
      <w:r w:rsidR="00964C7E" w:rsidRPr="0001543F">
        <w:rPr>
          <w:lang w:val="pl-PL"/>
        </w:rPr>
        <w:t xml:space="preserve"> z punktu widzenia zgodności z wymogami </w:t>
      </w:r>
      <w:r w:rsidR="00C8199B" w:rsidRPr="0001543F">
        <w:rPr>
          <w:lang w:val="pl-PL"/>
        </w:rPr>
        <w:t>Konwencji</w:t>
      </w:r>
      <w:r w:rsidR="00506AD7" w:rsidRPr="0001543F">
        <w:rPr>
          <w:lang w:val="pl-PL"/>
        </w:rPr>
        <w:t>.</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143</w:t>
      </w:r>
      <w:r w:rsidRPr="0001543F">
        <w:rPr>
          <w:lang w:val="pl-PL"/>
        </w:rPr>
        <w:fldChar w:fldCharType="end"/>
      </w:r>
      <w:r w:rsidR="00506AD7" w:rsidRPr="0001543F">
        <w:rPr>
          <w:lang w:val="pl-PL"/>
        </w:rPr>
        <w:t>.  </w:t>
      </w:r>
      <w:r w:rsidR="00992BA5" w:rsidRPr="0001543F">
        <w:rPr>
          <w:lang w:val="pl-PL"/>
        </w:rPr>
        <w:t xml:space="preserve">Pewne środki kontroli korespondencji więźniów </w:t>
      </w:r>
      <w:r w:rsidR="00C42FE2" w:rsidRPr="0001543F">
        <w:rPr>
          <w:lang w:val="pl-PL"/>
        </w:rPr>
        <w:t xml:space="preserve">są </w:t>
      </w:r>
      <w:r w:rsidR="0055589E" w:rsidRPr="0001543F">
        <w:rPr>
          <w:lang w:val="pl-PL"/>
        </w:rPr>
        <w:t>potrzebne</w:t>
      </w:r>
      <w:r w:rsidR="00506AD7" w:rsidRPr="0001543F">
        <w:rPr>
          <w:lang w:val="pl-PL"/>
        </w:rPr>
        <w:t xml:space="preserve"> </w:t>
      </w:r>
      <w:r w:rsidR="00992BA5" w:rsidRPr="0001543F">
        <w:rPr>
          <w:lang w:val="pl-PL"/>
        </w:rPr>
        <w:t xml:space="preserve">i jako takie nie są niezgodne z Konwencją, uwzględniając zwykłe i uzasadnione wymogi pozbawienia wolności </w:t>
      </w:r>
      <w:r w:rsidR="00506AD7" w:rsidRPr="0001543F">
        <w:rPr>
          <w:lang w:val="pl-PL"/>
        </w:rPr>
        <w:t>(zob.</w:t>
      </w:r>
      <w:r w:rsidR="00AB4ED1" w:rsidRPr="0001543F">
        <w:rPr>
          <w:lang w:val="pl-PL"/>
        </w:rPr>
        <w:t xml:space="preserve"> między innymi</w:t>
      </w:r>
      <w:r w:rsidR="00506AD7" w:rsidRPr="0001543F">
        <w:rPr>
          <w:lang w:val="pl-PL"/>
        </w:rPr>
        <w:t xml:space="preserve">, </w:t>
      </w:r>
      <w:r w:rsidR="00506AD7" w:rsidRPr="0001543F">
        <w:rPr>
          <w:i/>
          <w:iCs/>
          <w:lang w:val="pl-PL"/>
        </w:rPr>
        <w:t>Silver i Inni przeciwko Zjednoczonemu Królestwu</w:t>
      </w:r>
      <w:r w:rsidR="00506AD7" w:rsidRPr="0001543F">
        <w:rPr>
          <w:lang w:val="pl-PL"/>
        </w:rPr>
        <w:t>, 25 marca 1983</w:t>
      </w:r>
      <w:r w:rsidR="00AA15AC" w:rsidRPr="0001543F">
        <w:rPr>
          <w:lang w:val="pl-PL"/>
        </w:rPr>
        <w:t xml:space="preserve"> r.</w:t>
      </w:r>
      <w:r w:rsidR="00506AD7" w:rsidRPr="0001543F">
        <w:rPr>
          <w:lang w:val="pl-PL"/>
        </w:rPr>
        <w:t xml:space="preserve">, § 98, Seria A nr 61 oraz </w:t>
      </w:r>
      <w:r w:rsidR="00506AD7" w:rsidRPr="0001543F">
        <w:rPr>
          <w:i/>
          <w:iCs/>
          <w:lang w:val="pl-PL"/>
        </w:rPr>
        <w:t>Boris Popov</w:t>
      </w:r>
      <w:r w:rsidR="00506AD7" w:rsidRPr="0001543F">
        <w:rPr>
          <w:lang w:val="pl-PL"/>
        </w:rPr>
        <w:t>, cyt. powyżej</w:t>
      </w:r>
      <w:r w:rsidR="00506AD7" w:rsidRPr="0001543F">
        <w:rPr>
          <w:snapToGrid w:val="0"/>
          <w:szCs w:val="24"/>
          <w:lang w:val="pl-PL"/>
        </w:rPr>
        <w:t xml:space="preserve">, § 106). </w:t>
      </w:r>
      <w:r w:rsidR="00992BA5" w:rsidRPr="0001543F">
        <w:rPr>
          <w:snapToGrid w:val="0"/>
          <w:szCs w:val="24"/>
          <w:lang w:val="pl-PL"/>
        </w:rPr>
        <w:t xml:space="preserve">Przy ocenie dopuszczalnego zakresu takiej kontroli nie należy jednakże pomijać faktu, iż możliwość pisania i otrzymywania listów stanowi </w:t>
      </w:r>
      <w:r w:rsidR="00AA15AC" w:rsidRPr="0001543F">
        <w:rPr>
          <w:snapToGrid w:val="0"/>
          <w:szCs w:val="24"/>
          <w:lang w:val="pl-PL"/>
        </w:rPr>
        <w:t>niekiedy</w:t>
      </w:r>
      <w:r w:rsidR="00992BA5" w:rsidRPr="0001543F">
        <w:rPr>
          <w:snapToGrid w:val="0"/>
          <w:szCs w:val="24"/>
          <w:lang w:val="pl-PL"/>
        </w:rPr>
        <w:t xml:space="preserve"> jedyny kontakt więźnia ze światem zewnętrznym </w:t>
      </w:r>
      <w:r w:rsidR="00506AD7" w:rsidRPr="0001543F">
        <w:rPr>
          <w:lang w:val="pl-PL"/>
        </w:rPr>
        <w:t xml:space="preserve">(zob. </w:t>
      </w:r>
      <w:r w:rsidR="00506AD7" w:rsidRPr="0001543F">
        <w:rPr>
          <w:i/>
          <w:iCs/>
          <w:lang w:val="pl-PL"/>
        </w:rPr>
        <w:t>Campbell przeciwko Zjednoczonemu Królestwu</w:t>
      </w:r>
      <w:r w:rsidR="00AA15AC" w:rsidRPr="0001543F">
        <w:rPr>
          <w:lang w:val="pl-PL"/>
        </w:rPr>
        <w:t>, 25 marca 1992, § 45, Seria</w:t>
      </w:r>
      <w:r w:rsidR="00506AD7" w:rsidRPr="0001543F">
        <w:rPr>
          <w:lang w:val="pl-PL"/>
        </w:rPr>
        <w:t xml:space="preserve"> A nr 233).</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144</w:t>
      </w:r>
      <w:r w:rsidRPr="0001543F">
        <w:rPr>
          <w:lang w:val="pl-PL"/>
        </w:rPr>
        <w:fldChar w:fldCharType="end"/>
      </w:r>
      <w:r w:rsidR="00506AD7" w:rsidRPr="0001543F">
        <w:rPr>
          <w:lang w:val="pl-PL"/>
        </w:rPr>
        <w:t>.  </w:t>
      </w:r>
      <w:r w:rsidR="00157091" w:rsidRPr="0001543F">
        <w:rPr>
          <w:lang w:val="pl-PL"/>
        </w:rPr>
        <w:t xml:space="preserve">Ocena proporcjonalności ingerencji uwzględnia </w:t>
      </w:r>
      <w:r w:rsidR="0055589E" w:rsidRPr="0001543F">
        <w:rPr>
          <w:lang w:val="pl-PL"/>
        </w:rPr>
        <w:t>charakter korespondencji</w:t>
      </w:r>
      <w:r w:rsidR="00157091" w:rsidRPr="0001543F">
        <w:rPr>
          <w:lang w:val="pl-PL"/>
        </w:rPr>
        <w:t>, której ona dotyczy</w:t>
      </w:r>
      <w:r w:rsidR="00506AD7" w:rsidRPr="0001543F">
        <w:rPr>
          <w:lang w:val="pl-PL"/>
        </w:rPr>
        <w:t xml:space="preserve">. </w:t>
      </w:r>
      <w:r w:rsidR="00157091" w:rsidRPr="0001543F">
        <w:rPr>
          <w:lang w:val="pl-PL"/>
        </w:rPr>
        <w:t xml:space="preserve">Przykładowo, </w:t>
      </w:r>
      <w:r w:rsidR="002C0F9F" w:rsidRPr="0001543F">
        <w:rPr>
          <w:lang w:val="pl-PL"/>
        </w:rPr>
        <w:t>Trybunał</w:t>
      </w:r>
      <w:r w:rsidR="00506AD7" w:rsidRPr="0001543F">
        <w:rPr>
          <w:lang w:val="pl-PL"/>
        </w:rPr>
        <w:t xml:space="preserve"> </w:t>
      </w:r>
      <w:r w:rsidR="00FD7AC6" w:rsidRPr="0001543F">
        <w:rPr>
          <w:lang w:val="pl-PL"/>
        </w:rPr>
        <w:t xml:space="preserve">stwierdził, </w:t>
      </w:r>
      <w:r w:rsidR="008B5D02" w:rsidRPr="0001543F">
        <w:rPr>
          <w:lang w:val="pl-PL"/>
        </w:rPr>
        <w:t>że poufność</w:t>
      </w:r>
      <w:r w:rsidR="00FD7AC6" w:rsidRPr="0001543F">
        <w:rPr>
          <w:lang w:val="pl-PL"/>
        </w:rPr>
        <w:t xml:space="preserve"> jest niezbędna w odniesieniu do </w:t>
      </w:r>
      <w:r w:rsidR="00C40C63" w:rsidRPr="0001543F">
        <w:rPr>
          <w:lang w:val="pl-PL"/>
        </w:rPr>
        <w:t>korespondencj</w:t>
      </w:r>
      <w:r w:rsidR="00FD7AC6" w:rsidRPr="0001543F">
        <w:rPr>
          <w:lang w:val="pl-PL"/>
        </w:rPr>
        <w:t xml:space="preserve">i więźnia z adwokatem dotyczącej </w:t>
      </w:r>
      <w:r w:rsidR="003B7E86" w:rsidRPr="0001543F">
        <w:rPr>
          <w:lang w:val="pl-PL"/>
        </w:rPr>
        <w:t xml:space="preserve">przyszłego </w:t>
      </w:r>
      <w:r w:rsidR="00FD7AC6" w:rsidRPr="0001543F">
        <w:rPr>
          <w:lang w:val="pl-PL"/>
        </w:rPr>
        <w:t xml:space="preserve">lub </w:t>
      </w:r>
      <w:r w:rsidR="003B7E86" w:rsidRPr="0001543F">
        <w:rPr>
          <w:lang w:val="pl-PL"/>
        </w:rPr>
        <w:t>toczącego się postępowania</w:t>
      </w:r>
      <w:r w:rsidR="00FD7AC6" w:rsidRPr="0001543F">
        <w:rPr>
          <w:lang w:val="pl-PL"/>
        </w:rPr>
        <w:t xml:space="preserve">, </w:t>
      </w:r>
      <w:r w:rsidR="00FD7AC6" w:rsidRPr="0001543F">
        <w:rPr>
          <w:lang w:val="pl-PL"/>
        </w:rPr>
        <w:lastRenderedPageBreak/>
        <w:t>szczególnie w przypadku, gdy</w:t>
      </w:r>
      <w:r w:rsidR="00506AD7" w:rsidRPr="0001543F">
        <w:rPr>
          <w:lang w:val="pl-PL"/>
        </w:rPr>
        <w:t xml:space="preserve"> </w:t>
      </w:r>
      <w:r w:rsidR="00C40C63" w:rsidRPr="0001543F">
        <w:rPr>
          <w:lang w:val="pl-PL"/>
        </w:rPr>
        <w:t>korespondencj</w:t>
      </w:r>
      <w:r w:rsidR="00FD7AC6" w:rsidRPr="0001543F">
        <w:rPr>
          <w:lang w:val="pl-PL"/>
        </w:rPr>
        <w:t xml:space="preserve">a taka odnosi się do roszczeń i skarg przeciwko władzom więziennym. </w:t>
      </w:r>
      <w:r w:rsidR="003B7E86" w:rsidRPr="0001543F">
        <w:rPr>
          <w:lang w:val="pl-PL"/>
        </w:rPr>
        <w:t xml:space="preserve">Objęcie takiej </w:t>
      </w:r>
      <w:r w:rsidR="00C40C63" w:rsidRPr="0001543F">
        <w:rPr>
          <w:lang w:val="pl-PL"/>
        </w:rPr>
        <w:t>korespondencj</w:t>
      </w:r>
      <w:r w:rsidR="003B7E86" w:rsidRPr="0001543F">
        <w:rPr>
          <w:lang w:val="pl-PL"/>
        </w:rPr>
        <w:t xml:space="preserve">i kontrolą rutynową, szczególnie przez </w:t>
      </w:r>
      <w:r w:rsidR="008B5D02" w:rsidRPr="0001543F">
        <w:rPr>
          <w:lang w:val="pl-PL"/>
        </w:rPr>
        <w:t>osoby</w:t>
      </w:r>
      <w:r w:rsidR="003B7E86" w:rsidRPr="0001543F">
        <w:rPr>
          <w:lang w:val="pl-PL"/>
        </w:rPr>
        <w:t xml:space="preserve"> lub władze, które mogą być bezpośrednio zainteresowane przedmiotem takiej korespondencji, nie jest zgodne z zasadami poufności i tajemnicy zawodowej związanymi z relacjami p</w:t>
      </w:r>
      <w:r w:rsidR="00C40C63" w:rsidRPr="0001543F">
        <w:rPr>
          <w:lang w:val="pl-PL"/>
        </w:rPr>
        <w:t>omiędzy</w:t>
      </w:r>
      <w:r w:rsidR="00506AD7" w:rsidRPr="0001543F">
        <w:rPr>
          <w:lang w:val="pl-PL"/>
        </w:rPr>
        <w:t xml:space="preserve"> a</w:t>
      </w:r>
      <w:r w:rsidR="003B7E86" w:rsidRPr="0001543F">
        <w:rPr>
          <w:lang w:val="pl-PL"/>
        </w:rPr>
        <w:t>dwokatem i jego k</w:t>
      </w:r>
      <w:r w:rsidR="00506AD7" w:rsidRPr="0001543F">
        <w:rPr>
          <w:lang w:val="pl-PL"/>
        </w:rPr>
        <w:t>lient</w:t>
      </w:r>
      <w:r w:rsidR="003B7E86" w:rsidRPr="0001543F">
        <w:rPr>
          <w:lang w:val="pl-PL"/>
        </w:rPr>
        <w:t>em</w:t>
      </w:r>
      <w:r w:rsidR="00506AD7" w:rsidRPr="0001543F">
        <w:rPr>
          <w:lang w:val="pl-PL"/>
        </w:rPr>
        <w:t xml:space="preserve"> (zob. </w:t>
      </w:r>
      <w:r w:rsidR="00506AD7" w:rsidRPr="0001543F">
        <w:rPr>
          <w:i/>
          <w:iCs/>
          <w:lang w:val="pl-PL"/>
        </w:rPr>
        <w:t>Campbell</w:t>
      </w:r>
      <w:r w:rsidR="00506AD7" w:rsidRPr="0001543F">
        <w:rPr>
          <w:lang w:val="pl-PL"/>
        </w:rPr>
        <w:t xml:space="preserve">, cyt. powyżej, </w:t>
      </w:r>
      <w:r w:rsidR="00506AD7" w:rsidRPr="0001543F">
        <w:rPr>
          <w:snapToGrid w:val="0"/>
          <w:szCs w:val="24"/>
          <w:lang w:val="pl-PL"/>
        </w:rPr>
        <w:t>§</w:t>
      </w:r>
      <w:r w:rsidR="00506AD7" w:rsidRPr="0001543F">
        <w:rPr>
          <w:lang w:val="pl-PL"/>
        </w:rPr>
        <w:t> </w:t>
      </w:r>
      <w:r w:rsidR="00506AD7" w:rsidRPr="0001543F">
        <w:rPr>
          <w:snapToGrid w:val="0"/>
          <w:szCs w:val="24"/>
          <w:lang w:val="pl-PL"/>
        </w:rPr>
        <w:t>47).</w:t>
      </w:r>
      <w:r w:rsidR="00506AD7" w:rsidRPr="0001543F">
        <w:rPr>
          <w:lang w:val="pl-PL"/>
        </w:rPr>
        <w:t xml:space="preserve"> Trybunał uznał także, iż - co do zasady - korespondencja pomiędzy rzeczywistym lub przyszłym skarżącym a jego pełnomocnikiem przez Trybunałem powinna mieć charakter uprzywilejowany (zob. </w:t>
      </w:r>
      <w:r w:rsidR="00506AD7" w:rsidRPr="0001543F">
        <w:rPr>
          <w:i/>
          <w:iCs/>
          <w:lang w:val="pl-PL"/>
        </w:rPr>
        <w:t>Boris Popov</w:t>
      </w:r>
      <w:r w:rsidR="00506AD7" w:rsidRPr="0001543F">
        <w:rPr>
          <w:lang w:val="pl-PL"/>
        </w:rPr>
        <w:t xml:space="preserve">, cyt. powyżej, </w:t>
      </w:r>
      <w:r w:rsidR="00506AD7" w:rsidRPr="0001543F">
        <w:rPr>
          <w:snapToGrid w:val="0"/>
          <w:szCs w:val="24"/>
          <w:lang w:val="pl-PL"/>
        </w:rPr>
        <w:t>§ 112).</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145</w:t>
      </w:r>
      <w:r w:rsidRPr="0001543F">
        <w:rPr>
          <w:lang w:val="pl-PL"/>
        </w:rPr>
        <w:fldChar w:fldCharType="end"/>
      </w:r>
      <w:r w:rsidR="00506AD7" w:rsidRPr="0001543F">
        <w:rPr>
          <w:lang w:val="pl-PL"/>
        </w:rPr>
        <w:t xml:space="preserve">.  Trybunał przywiązuje także wagę do dokładnego charakteru ingerencji w danej sprawie. </w:t>
      </w:r>
      <w:r w:rsidR="0026244C" w:rsidRPr="0001543F">
        <w:rPr>
          <w:lang w:val="pl-PL"/>
        </w:rPr>
        <w:t xml:space="preserve">Przykładowo, w sprawie </w:t>
      </w:r>
      <w:r w:rsidR="00506AD7" w:rsidRPr="0001543F">
        <w:rPr>
          <w:i/>
          <w:iCs/>
          <w:lang w:val="pl-PL"/>
        </w:rPr>
        <w:t>Szuluk przeciwko Zjednoczonemu Królestwu</w:t>
      </w:r>
      <w:r w:rsidR="00506AD7" w:rsidRPr="0001543F">
        <w:rPr>
          <w:lang w:val="pl-PL"/>
        </w:rPr>
        <w:t xml:space="preserve">, cyt. powyżej, </w:t>
      </w:r>
      <w:r w:rsidR="0026244C" w:rsidRPr="0001543F">
        <w:rPr>
          <w:lang w:val="pl-PL"/>
        </w:rPr>
        <w:t xml:space="preserve">komendant więzienia poinformował </w:t>
      </w:r>
      <w:r w:rsidR="00D463C6" w:rsidRPr="0001543F">
        <w:rPr>
          <w:lang w:val="pl-PL"/>
        </w:rPr>
        <w:t>skarżąc</w:t>
      </w:r>
      <w:r w:rsidR="0026244C" w:rsidRPr="0001543F">
        <w:rPr>
          <w:lang w:val="pl-PL"/>
        </w:rPr>
        <w:t xml:space="preserve">ego, iż </w:t>
      </w:r>
      <w:r w:rsidR="0066161C" w:rsidRPr="0001543F">
        <w:rPr>
          <w:lang w:val="pl-PL"/>
        </w:rPr>
        <w:t xml:space="preserve">zalecono kontrolę jego korespondencji dotyczącej spraw medycznych </w:t>
      </w:r>
      <w:r w:rsidR="006E530C" w:rsidRPr="0001543F">
        <w:rPr>
          <w:lang w:val="pl-PL"/>
        </w:rPr>
        <w:t>w celu poszukiwania elementów niezgodnych z prawem</w:t>
      </w:r>
      <w:r w:rsidR="00506AD7" w:rsidRPr="0001543F">
        <w:rPr>
          <w:lang w:val="pl-PL"/>
        </w:rPr>
        <w:t xml:space="preserve">. </w:t>
      </w:r>
      <w:r w:rsidR="0026244C" w:rsidRPr="0001543F">
        <w:rPr>
          <w:lang w:val="pl-PL"/>
        </w:rPr>
        <w:t xml:space="preserve">Całość </w:t>
      </w:r>
      <w:r w:rsidR="00C40C63" w:rsidRPr="0001543F">
        <w:rPr>
          <w:lang w:val="pl-PL"/>
        </w:rPr>
        <w:t>korespondencj</w:t>
      </w:r>
      <w:r w:rsidR="0026244C" w:rsidRPr="0001543F">
        <w:rPr>
          <w:lang w:val="pl-PL"/>
        </w:rPr>
        <w:t>i</w:t>
      </w:r>
      <w:r w:rsidR="00506AD7" w:rsidRPr="0001543F">
        <w:rPr>
          <w:lang w:val="pl-PL"/>
        </w:rPr>
        <w:t xml:space="preserve"> </w:t>
      </w:r>
      <w:r w:rsidR="00C40C63" w:rsidRPr="0001543F">
        <w:rPr>
          <w:lang w:val="pl-PL"/>
        </w:rPr>
        <w:t>pomiędzy</w:t>
      </w:r>
      <w:r w:rsidR="00506AD7" w:rsidRPr="0001543F">
        <w:rPr>
          <w:lang w:val="pl-PL"/>
        </w:rPr>
        <w:t xml:space="preserve"> </w:t>
      </w:r>
      <w:r w:rsidR="00D463C6" w:rsidRPr="0001543F">
        <w:rPr>
          <w:lang w:val="pl-PL"/>
        </w:rPr>
        <w:t>skarżąc</w:t>
      </w:r>
      <w:r w:rsidR="0026244C" w:rsidRPr="0001543F">
        <w:rPr>
          <w:lang w:val="pl-PL"/>
        </w:rPr>
        <w:t>ym a zewnętrznym lekarzem specjalistą miała być przekazywana, w zamkniętych kopertach, do lekarza więziennego. Ten ostatni miał sprawdzać zawartość koperty celem sprawdzenia jej charakteru medycznego, a następnie ponownie ją zaklejać</w:t>
      </w:r>
      <w:r w:rsidR="00506AD7" w:rsidRPr="0001543F">
        <w:rPr>
          <w:lang w:val="pl-PL"/>
        </w:rPr>
        <w:t xml:space="preserve"> (§ 11).</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146</w:t>
      </w:r>
      <w:r w:rsidRPr="0001543F">
        <w:rPr>
          <w:lang w:val="pl-PL"/>
        </w:rPr>
        <w:fldChar w:fldCharType="end"/>
      </w:r>
      <w:r w:rsidR="0026244C" w:rsidRPr="0001543F">
        <w:rPr>
          <w:lang w:val="pl-PL"/>
        </w:rPr>
        <w:t>.  Jak stwierdzono wcześniej, niniejsza sprawa dotyczy zastosowania zasad mo</w:t>
      </w:r>
      <w:r w:rsidR="00506AD7" w:rsidRPr="0001543F">
        <w:rPr>
          <w:lang w:val="pl-PL"/>
        </w:rPr>
        <w:t>nitor</w:t>
      </w:r>
      <w:r w:rsidR="0026244C" w:rsidRPr="0001543F">
        <w:rPr>
          <w:lang w:val="pl-PL"/>
        </w:rPr>
        <w:t xml:space="preserve">owania </w:t>
      </w:r>
      <w:r w:rsidR="00C40C63" w:rsidRPr="0001543F">
        <w:rPr>
          <w:lang w:val="pl-PL"/>
        </w:rPr>
        <w:t>korespondencj</w:t>
      </w:r>
      <w:r w:rsidR="0026244C" w:rsidRPr="0001543F">
        <w:rPr>
          <w:lang w:val="pl-PL"/>
        </w:rPr>
        <w:t>i o charakterze nieuprzywilejowanym</w:t>
      </w:r>
      <w:r w:rsidR="00506AD7" w:rsidRPr="0001543F">
        <w:rPr>
          <w:lang w:val="pl-PL"/>
        </w:rPr>
        <w:t xml:space="preserve">. </w:t>
      </w:r>
      <w:r w:rsidR="008B5D02" w:rsidRPr="0001543F">
        <w:rPr>
          <w:lang w:val="pl-PL"/>
        </w:rPr>
        <w:t>Administracja więzienna miała zajmować się przekazywaniem c</w:t>
      </w:r>
      <w:r w:rsidR="0026244C" w:rsidRPr="0001543F">
        <w:rPr>
          <w:lang w:val="pl-PL"/>
        </w:rPr>
        <w:t>ałoś</w:t>
      </w:r>
      <w:r w:rsidR="008B5D02" w:rsidRPr="0001543F">
        <w:rPr>
          <w:lang w:val="pl-PL"/>
        </w:rPr>
        <w:t>ci</w:t>
      </w:r>
      <w:r w:rsidR="0026244C" w:rsidRPr="0001543F">
        <w:rPr>
          <w:lang w:val="pl-PL"/>
        </w:rPr>
        <w:t xml:space="preserve"> korespondencji o charakterze nieuprzywilejowanym</w:t>
      </w:r>
      <w:r w:rsidR="00506AD7" w:rsidRPr="0001543F">
        <w:rPr>
          <w:lang w:val="pl-PL"/>
        </w:rPr>
        <w:t xml:space="preserve">. </w:t>
      </w:r>
      <w:r w:rsidR="0026244C" w:rsidRPr="0001543F">
        <w:rPr>
          <w:lang w:val="pl-PL"/>
        </w:rPr>
        <w:t>K</w:t>
      </w:r>
      <w:r w:rsidR="00C40C63" w:rsidRPr="0001543F">
        <w:rPr>
          <w:lang w:val="pl-PL"/>
        </w:rPr>
        <w:t>orespondencj</w:t>
      </w:r>
      <w:r w:rsidR="0026244C" w:rsidRPr="0001543F">
        <w:rPr>
          <w:lang w:val="pl-PL"/>
        </w:rPr>
        <w:t>a taka miała być umieszcza</w:t>
      </w:r>
      <w:r w:rsidR="008B5D02" w:rsidRPr="0001543F">
        <w:rPr>
          <w:lang w:val="pl-PL"/>
        </w:rPr>
        <w:t>na</w:t>
      </w:r>
      <w:r w:rsidR="0026244C" w:rsidRPr="0001543F">
        <w:rPr>
          <w:lang w:val="pl-PL"/>
        </w:rPr>
        <w:t xml:space="preserve"> w skrzynkach pocztowych bądź przekazywana pracownikom w niezaklejonych kopertach </w:t>
      </w:r>
      <w:r w:rsidR="00506AD7" w:rsidRPr="0001543F">
        <w:rPr>
          <w:lang w:val="pl-PL"/>
        </w:rPr>
        <w:t xml:space="preserve">(zob. par. </w:t>
      </w:r>
      <w:r w:rsidRPr="0001543F">
        <w:rPr>
          <w:lang w:val="pl-PL"/>
        </w:rPr>
        <w:fldChar w:fldCharType="begin"/>
      </w:r>
      <w:r w:rsidR="00506AD7" w:rsidRPr="0001543F">
        <w:rPr>
          <w:lang w:val="pl-PL"/>
        </w:rPr>
        <w:instrText xml:space="preserve"> REF  p \h </w:instrText>
      </w:r>
      <w:r w:rsidRPr="0001543F">
        <w:rPr>
          <w:lang w:val="pl-PL"/>
        </w:rPr>
      </w:r>
      <w:r w:rsidRPr="0001543F">
        <w:rPr>
          <w:lang w:val="pl-PL"/>
        </w:rPr>
        <w:fldChar w:fldCharType="separate"/>
      </w:r>
      <w:r w:rsidR="00746F08" w:rsidRPr="0001543F">
        <w:rPr>
          <w:noProof/>
          <w:lang w:val="pl-PL"/>
        </w:rPr>
        <w:t>62</w:t>
      </w:r>
      <w:r w:rsidRPr="0001543F">
        <w:rPr>
          <w:lang w:val="pl-PL"/>
        </w:rPr>
        <w:fldChar w:fldCharType="end"/>
      </w:r>
      <w:r w:rsidR="00506AD7" w:rsidRPr="0001543F">
        <w:rPr>
          <w:lang w:val="pl-PL"/>
        </w:rPr>
        <w:t xml:space="preserve"> powyżej). Monito</w:t>
      </w:r>
      <w:r w:rsidR="0026244C" w:rsidRPr="0001543F">
        <w:rPr>
          <w:lang w:val="pl-PL"/>
        </w:rPr>
        <w:t>rowanie na podstawie art.</w:t>
      </w:r>
      <w:r w:rsidR="00506AD7" w:rsidRPr="0001543F">
        <w:rPr>
          <w:lang w:val="pl-PL"/>
        </w:rPr>
        <w:t xml:space="preserve"> 91 </w:t>
      </w:r>
      <w:r w:rsidR="005C6842" w:rsidRPr="0001543F">
        <w:rPr>
          <w:lang w:val="pl-PL"/>
        </w:rPr>
        <w:t>kkk</w:t>
      </w:r>
      <w:r w:rsidR="00506AD7" w:rsidRPr="0001543F">
        <w:rPr>
          <w:lang w:val="pl-PL"/>
        </w:rPr>
        <w:t xml:space="preserve"> </w:t>
      </w:r>
      <w:r w:rsidR="0026244C" w:rsidRPr="0001543F">
        <w:rPr>
          <w:lang w:val="pl-PL"/>
        </w:rPr>
        <w:t xml:space="preserve">miało charakter niewybiórczy i rutynowy; nie było ograniczone w odniesieniu do </w:t>
      </w:r>
      <w:r w:rsidR="00DE2747" w:rsidRPr="0001543F">
        <w:rPr>
          <w:lang w:val="pl-PL"/>
        </w:rPr>
        <w:t>czasu trwania</w:t>
      </w:r>
      <w:r w:rsidR="0026244C" w:rsidRPr="0001543F">
        <w:rPr>
          <w:lang w:val="pl-PL"/>
        </w:rPr>
        <w:t xml:space="preserve"> ani zakresu</w:t>
      </w:r>
      <w:r w:rsidR="00506AD7" w:rsidRPr="0001543F">
        <w:rPr>
          <w:lang w:val="pl-PL"/>
        </w:rPr>
        <w:t xml:space="preserve">. </w:t>
      </w:r>
      <w:r w:rsidR="0026244C" w:rsidRPr="0001543F">
        <w:rPr>
          <w:lang w:val="pl-PL"/>
        </w:rPr>
        <w:t>Przepis nie określał szczegółowo sposobu wykonania</w:t>
      </w:r>
      <w:r w:rsidR="0066161C" w:rsidRPr="0001543F">
        <w:rPr>
          <w:lang w:val="pl-PL"/>
        </w:rPr>
        <w:t xml:space="preserve"> i nie określono wymaganych podstaw uzasadniających stosowanie kontroli</w:t>
      </w:r>
      <w:r w:rsidR="0026244C" w:rsidRPr="0001543F">
        <w:rPr>
          <w:lang w:val="pl-PL"/>
        </w:rPr>
        <w:t xml:space="preserve">. W </w:t>
      </w:r>
      <w:r w:rsidR="005C6842" w:rsidRPr="0001543F">
        <w:rPr>
          <w:lang w:val="pl-PL"/>
        </w:rPr>
        <w:t>kkk</w:t>
      </w:r>
      <w:r w:rsidR="00506AD7" w:rsidRPr="0001543F">
        <w:rPr>
          <w:lang w:val="pl-PL"/>
        </w:rPr>
        <w:t xml:space="preserve"> </w:t>
      </w:r>
      <w:r w:rsidR="0026244C" w:rsidRPr="0001543F">
        <w:rPr>
          <w:lang w:val="pl-PL"/>
        </w:rPr>
        <w:t xml:space="preserve">nie zawarto innych postanowień dotyczących </w:t>
      </w:r>
      <w:r w:rsidR="00D8619A" w:rsidRPr="0001543F">
        <w:rPr>
          <w:lang w:val="pl-PL"/>
        </w:rPr>
        <w:t>niezależnej</w:t>
      </w:r>
      <w:r w:rsidR="0026244C" w:rsidRPr="0001543F">
        <w:rPr>
          <w:lang w:val="pl-PL"/>
        </w:rPr>
        <w:t xml:space="preserve"> kontroli zakresu i czasu trwania </w:t>
      </w:r>
      <w:r w:rsidR="00D8619A" w:rsidRPr="0001543F">
        <w:rPr>
          <w:lang w:val="pl-PL"/>
        </w:rPr>
        <w:t>środków</w:t>
      </w:r>
      <w:r w:rsidR="0026244C" w:rsidRPr="0001543F">
        <w:rPr>
          <w:lang w:val="pl-PL"/>
        </w:rPr>
        <w:t xml:space="preserve"> monitorowania </w:t>
      </w:r>
      <w:r w:rsidR="00506AD7" w:rsidRPr="0001543F">
        <w:rPr>
          <w:lang w:val="pl-PL"/>
        </w:rPr>
        <w:t xml:space="preserve">(zob. </w:t>
      </w:r>
      <w:r w:rsidR="00506AD7" w:rsidRPr="0001543F">
        <w:rPr>
          <w:i/>
          <w:iCs/>
          <w:lang w:val="pl-PL"/>
        </w:rPr>
        <w:t>Enea przeciwko Włochom</w:t>
      </w:r>
      <w:r w:rsidR="00506AD7" w:rsidRPr="0001543F">
        <w:rPr>
          <w:lang w:val="pl-PL"/>
        </w:rPr>
        <w:t xml:space="preserve"> [WI], nr 74912/01, §§ 141-43, ETPCz 2009 r. oraz </w:t>
      </w:r>
      <w:r w:rsidR="00506AD7" w:rsidRPr="0001543F">
        <w:rPr>
          <w:i/>
          <w:iCs/>
          <w:lang w:val="pl-PL"/>
        </w:rPr>
        <w:t>Onoufriou przeciwko Cyprowi</w:t>
      </w:r>
      <w:r w:rsidR="00506AD7" w:rsidRPr="0001543F">
        <w:rPr>
          <w:lang w:val="pl-PL"/>
        </w:rPr>
        <w:t>, nr 24407/04, §§ 109-13, 7 stycznia 2010 r.).</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147</w:t>
      </w:r>
      <w:r w:rsidRPr="0001543F">
        <w:rPr>
          <w:lang w:val="pl-PL"/>
        </w:rPr>
        <w:fldChar w:fldCharType="end"/>
      </w:r>
      <w:r w:rsidR="00506AD7" w:rsidRPr="0001543F">
        <w:rPr>
          <w:lang w:val="pl-PL"/>
        </w:rPr>
        <w:t xml:space="preserve">.  Zatem władze państwowe nie miały obowiązku odnosić się </w:t>
      </w:r>
      <w:r w:rsidR="00DE2747" w:rsidRPr="0001543F">
        <w:rPr>
          <w:lang w:val="pl-PL"/>
        </w:rPr>
        <w:t>–</w:t>
      </w:r>
      <w:r w:rsidR="00506AD7" w:rsidRPr="0001543F">
        <w:rPr>
          <w:lang w:val="pl-PL"/>
        </w:rPr>
        <w:t xml:space="preserve"> i nie odniosły się </w:t>
      </w:r>
      <w:r w:rsidR="00DE2747" w:rsidRPr="0001543F">
        <w:rPr>
          <w:lang w:val="pl-PL"/>
        </w:rPr>
        <w:t>–</w:t>
      </w:r>
      <w:r w:rsidR="00506AD7" w:rsidRPr="0001543F">
        <w:rPr>
          <w:lang w:val="pl-PL"/>
        </w:rPr>
        <w:t xml:space="preserve"> do uprawnionego celu w rozumieniu artykułu 8 ust. 2 Konwencji. </w:t>
      </w:r>
      <w:r w:rsidR="00506AD7" w:rsidRPr="0001543F">
        <w:rPr>
          <w:rStyle w:val="sb8d990e2"/>
          <w:lang w:val="pl-PL"/>
        </w:rPr>
        <w:t>Monitorowanie korespondencji skarżącego nie było związane z postępowaniem karnym przeciwko skarżącemu. Wątpliwości budzi zatem fakt, czy ingerencję w korespondencję można uznać za uzasadnioną ze względów „zapobiegania przestępstwom” (por.</w:t>
      </w:r>
      <w:r w:rsidR="00DE2747" w:rsidRPr="0001543F">
        <w:rPr>
          <w:rStyle w:val="sb8d990e2"/>
          <w:lang w:val="pl-PL"/>
        </w:rPr>
        <w:t xml:space="preserve"> </w:t>
      </w:r>
      <w:r w:rsidR="00506AD7" w:rsidRPr="0001543F">
        <w:rPr>
          <w:i/>
          <w:iCs/>
          <w:szCs w:val="22"/>
          <w:lang w:val="pl-PL"/>
        </w:rPr>
        <w:t>Piechowicz przeciwko Polsce</w:t>
      </w:r>
      <w:r w:rsidR="00506AD7" w:rsidRPr="0001543F">
        <w:rPr>
          <w:szCs w:val="22"/>
          <w:lang w:val="pl-PL"/>
        </w:rPr>
        <w:t>, nr 20071/07</w:t>
      </w:r>
      <w:r w:rsidR="00506AD7" w:rsidRPr="0001543F">
        <w:rPr>
          <w:snapToGrid w:val="0"/>
          <w:szCs w:val="24"/>
          <w:lang w:val="pl-PL"/>
        </w:rPr>
        <w:t>, § 238, 17 kwietnia 2012 r.).</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148</w:t>
      </w:r>
      <w:r w:rsidRPr="0001543F">
        <w:rPr>
          <w:lang w:val="pl-PL"/>
        </w:rPr>
        <w:fldChar w:fldCharType="end"/>
      </w:r>
      <w:r w:rsidR="00506AD7" w:rsidRPr="0001543F">
        <w:rPr>
          <w:lang w:val="pl-PL"/>
        </w:rPr>
        <w:t xml:space="preserve">.  Rząd nie przedstawił </w:t>
      </w:r>
      <w:r w:rsidR="00011CC4" w:rsidRPr="0001543F">
        <w:rPr>
          <w:lang w:val="pl-PL"/>
        </w:rPr>
        <w:t>przekonujących</w:t>
      </w:r>
      <w:r w:rsidR="00506AD7" w:rsidRPr="0001543F">
        <w:rPr>
          <w:lang w:val="pl-PL"/>
        </w:rPr>
        <w:t xml:space="preserve"> </w:t>
      </w:r>
      <w:r w:rsidR="00011CC4" w:rsidRPr="0001543F">
        <w:rPr>
          <w:lang w:val="pl-PL"/>
        </w:rPr>
        <w:t>argumentów</w:t>
      </w:r>
      <w:r w:rsidR="00DE2747" w:rsidRPr="0001543F">
        <w:rPr>
          <w:lang w:val="pl-PL"/>
        </w:rPr>
        <w:t xml:space="preserve"> uzasadniających rutynową</w:t>
      </w:r>
      <w:r w:rsidR="00506AD7" w:rsidRPr="0001543F">
        <w:rPr>
          <w:lang w:val="pl-PL"/>
        </w:rPr>
        <w:t xml:space="preserve"> kontrolę korespondencji ani nie wykazał, że zastosowano </w:t>
      </w:r>
      <w:r w:rsidR="00506AD7" w:rsidRPr="0001543F">
        <w:rPr>
          <w:lang w:val="pl-PL"/>
        </w:rPr>
        <w:lastRenderedPageBreak/>
        <w:t>wystarczające zabezpieczenia celem uniknięcia nadmiernego wpływu takiej ingerencji na prawo skarżącego do poszanowania jego korespondencji.</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149</w:t>
      </w:r>
      <w:r w:rsidRPr="0001543F">
        <w:rPr>
          <w:lang w:val="pl-PL"/>
        </w:rPr>
        <w:fldChar w:fldCharType="end"/>
      </w:r>
      <w:r w:rsidR="00506AD7" w:rsidRPr="0001543F">
        <w:rPr>
          <w:lang w:val="pl-PL"/>
        </w:rPr>
        <w:t>.  W niniejszej sprawie Trybunał nie dostrzega żadnego uzasadnienia rutynowej kontroli korespondencji skarżącego.</w:t>
      </w:r>
      <w:r w:rsidR="00DE2747" w:rsidRPr="0001543F">
        <w:rPr>
          <w:lang w:val="pl-PL"/>
        </w:rPr>
        <w:t xml:space="preserve"> </w:t>
      </w:r>
      <w:r w:rsidR="008520A3" w:rsidRPr="0001543F">
        <w:rPr>
          <w:lang w:val="pl-PL"/>
        </w:rPr>
        <w:t xml:space="preserve">Nie występowały podejrzenia dotyczące </w:t>
      </w:r>
      <w:r w:rsidR="00AE1B21" w:rsidRPr="0001543F">
        <w:rPr>
          <w:lang w:val="pl-PL"/>
        </w:rPr>
        <w:t xml:space="preserve">zagrożenia </w:t>
      </w:r>
      <w:r w:rsidR="008520A3" w:rsidRPr="0001543F">
        <w:rPr>
          <w:lang w:val="pl-PL"/>
        </w:rPr>
        <w:t xml:space="preserve">bezpieczeństwa czy </w:t>
      </w:r>
      <w:r w:rsidR="00AE1B21" w:rsidRPr="0001543F">
        <w:rPr>
          <w:lang w:val="pl-PL"/>
        </w:rPr>
        <w:t xml:space="preserve">ryzyka </w:t>
      </w:r>
      <w:r w:rsidR="008520A3" w:rsidRPr="0001543F">
        <w:rPr>
          <w:lang w:val="pl-PL"/>
        </w:rPr>
        <w:t>zmowy</w:t>
      </w:r>
      <w:r w:rsidR="00506AD7" w:rsidRPr="0001543F">
        <w:rPr>
          <w:lang w:val="pl-PL"/>
        </w:rPr>
        <w:t xml:space="preserve"> </w:t>
      </w:r>
      <w:r w:rsidR="00C40C63" w:rsidRPr="0001543F">
        <w:rPr>
          <w:lang w:val="pl-PL"/>
        </w:rPr>
        <w:t>pomiędzy</w:t>
      </w:r>
      <w:r w:rsidR="00506AD7" w:rsidRPr="0001543F">
        <w:rPr>
          <w:lang w:val="pl-PL"/>
        </w:rPr>
        <w:t xml:space="preserve"> </w:t>
      </w:r>
      <w:r w:rsidR="00D463C6" w:rsidRPr="0001543F">
        <w:rPr>
          <w:lang w:val="pl-PL"/>
        </w:rPr>
        <w:t>skarżąc</w:t>
      </w:r>
      <w:r w:rsidR="008520A3" w:rsidRPr="0001543F">
        <w:rPr>
          <w:lang w:val="pl-PL"/>
        </w:rPr>
        <w:t>ym i jego ko</w:t>
      </w:r>
      <w:r w:rsidR="00506AD7" w:rsidRPr="0001543F">
        <w:rPr>
          <w:lang w:val="pl-PL"/>
        </w:rPr>
        <w:t>respondent</w:t>
      </w:r>
      <w:r w:rsidR="008520A3" w:rsidRPr="0001543F">
        <w:rPr>
          <w:lang w:val="pl-PL"/>
        </w:rPr>
        <w:t>em</w:t>
      </w:r>
      <w:r w:rsidR="00506AD7" w:rsidRPr="0001543F">
        <w:rPr>
          <w:lang w:val="pl-PL"/>
        </w:rPr>
        <w:t>(</w:t>
      </w:r>
      <w:r w:rsidR="008520A3" w:rsidRPr="0001543F">
        <w:rPr>
          <w:lang w:val="pl-PL"/>
        </w:rPr>
        <w:t>ami</w:t>
      </w:r>
      <w:r w:rsidR="00506AD7" w:rsidRPr="0001543F">
        <w:rPr>
          <w:lang w:val="pl-PL"/>
        </w:rPr>
        <w:t xml:space="preserve">), </w:t>
      </w:r>
      <w:r w:rsidR="008520A3" w:rsidRPr="0001543F">
        <w:rPr>
          <w:lang w:val="pl-PL"/>
        </w:rPr>
        <w:t xml:space="preserve">przykładowo w związku z toczącym się </w:t>
      </w:r>
      <w:r w:rsidR="000B2CAD" w:rsidRPr="0001543F">
        <w:rPr>
          <w:lang w:val="pl-PL"/>
        </w:rPr>
        <w:t>postępowani</w:t>
      </w:r>
      <w:r w:rsidR="008520A3" w:rsidRPr="0001543F">
        <w:rPr>
          <w:lang w:val="pl-PL"/>
        </w:rPr>
        <w:t xml:space="preserve">em na poziomie krajowym lub ryzyka działań czy zachowań o charakterze przestępczym </w:t>
      </w:r>
      <w:r w:rsidR="00506AD7" w:rsidRPr="0001543F">
        <w:rPr>
          <w:lang w:val="pl-PL"/>
        </w:rPr>
        <w:t>(</w:t>
      </w:r>
      <w:r w:rsidR="0066161C" w:rsidRPr="0001543F">
        <w:rPr>
          <w:lang w:val="pl-PL"/>
        </w:rPr>
        <w:t xml:space="preserve">zob. </w:t>
      </w:r>
      <w:r w:rsidR="00506AD7" w:rsidRPr="0001543F">
        <w:rPr>
          <w:i/>
          <w:iCs/>
          <w:lang w:val="pl-PL"/>
        </w:rPr>
        <w:t>Alekseyenko</w:t>
      </w:r>
      <w:r w:rsidR="00506AD7" w:rsidRPr="0001543F">
        <w:rPr>
          <w:lang w:val="pl-PL"/>
        </w:rPr>
        <w:t xml:space="preserve">, § 88, i </w:t>
      </w:r>
      <w:r w:rsidR="00506AD7" w:rsidRPr="0001543F">
        <w:rPr>
          <w:i/>
          <w:iCs/>
          <w:lang w:val="pl-PL"/>
        </w:rPr>
        <w:t>Boris Popov</w:t>
      </w:r>
      <w:r w:rsidR="00506AD7" w:rsidRPr="0001543F">
        <w:rPr>
          <w:lang w:val="pl-PL"/>
        </w:rPr>
        <w:t>, § 108, cyt. powyżej).</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150</w:t>
      </w:r>
      <w:r w:rsidRPr="0001543F">
        <w:rPr>
          <w:lang w:val="pl-PL"/>
        </w:rPr>
        <w:fldChar w:fldCharType="end"/>
      </w:r>
      <w:r w:rsidR="00506AD7" w:rsidRPr="0001543F">
        <w:rPr>
          <w:lang w:val="pl-PL"/>
        </w:rPr>
        <w:t>.  </w:t>
      </w:r>
      <w:r w:rsidR="0066161C" w:rsidRPr="0001543F">
        <w:rPr>
          <w:lang w:val="pl-PL"/>
        </w:rPr>
        <w:t xml:space="preserve">Z powyższych rozważań wynika, że przepisy prawa rosyjskiego nie zapewniały środka ochrony prawnej przed arbitralną ingerencją władz </w:t>
      </w:r>
      <w:r w:rsidR="00506AD7" w:rsidRPr="0001543F">
        <w:rPr>
          <w:lang w:val="pl-PL"/>
        </w:rPr>
        <w:t>public</w:t>
      </w:r>
      <w:r w:rsidR="0066161C" w:rsidRPr="0001543F">
        <w:rPr>
          <w:lang w:val="pl-PL"/>
        </w:rPr>
        <w:t>znych w prawo</w:t>
      </w:r>
      <w:r w:rsidR="00506AD7" w:rsidRPr="0001543F">
        <w:rPr>
          <w:lang w:val="pl-PL"/>
        </w:rPr>
        <w:t xml:space="preserve"> </w:t>
      </w:r>
      <w:r w:rsidR="00D463C6" w:rsidRPr="0001543F">
        <w:rPr>
          <w:lang w:val="pl-PL"/>
        </w:rPr>
        <w:t>skarżąc</w:t>
      </w:r>
      <w:r w:rsidR="0066161C" w:rsidRPr="0001543F">
        <w:rPr>
          <w:lang w:val="pl-PL"/>
        </w:rPr>
        <w:t xml:space="preserve">ego do poszanowania jego </w:t>
      </w:r>
      <w:r w:rsidR="00C40C63" w:rsidRPr="0001543F">
        <w:rPr>
          <w:lang w:val="pl-PL"/>
        </w:rPr>
        <w:t>korespondencj</w:t>
      </w:r>
      <w:r w:rsidR="0066161C" w:rsidRPr="0001543F">
        <w:rPr>
          <w:lang w:val="pl-PL"/>
        </w:rPr>
        <w:t>i</w:t>
      </w:r>
      <w:r w:rsidR="00506AD7" w:rsidRPr="0001543F">
        <w:rPr>
          <w:lang w:val="pl-PL"/>
        </w:rPr>
        <w:t xml:space="preserve"> (</w:t>
      </w:r>
      <w:r w:rsidR="0069531A" w:rsidRPr="0001543F">
        <w:rPr>
          <w:lang w:val="pl-PL"/>
        </w:rPr>
        <w:t xml:space="preserve">podobne podejście, </w:t>
      </w:r>
      <w:r w:rsidR="00506AD7" w:rsidRPr="0001543F">
        <w:rPr>
          <w:lang w:val="pl-PL"/>
        </w:rPr>
        <w:t>zob.</w:t>
      </w:r>
      <w:r w:rsidR="0069531A" w:rsidRPr="0001543F">
        <w:rPr>
          <w:lang w:val="pl-PL"/>
        </w:rPr>
        <w:t xml:space="preserve"> </w:t>
      </w:r>
      <w:r w:rsidR="00506AD7" w:rsidRPr="0001543F">
        <w:rPr>
          <w:i/>
          <w:iCs/>
          <w:lang w:val="pl-PL"/>
        </w:rPr>
        <w:t>Moiseyev przeciwko Rosji</w:t>
      </w:r>
      <w:r w:rsidR="00506AD7" w:rsidRPr="0001543F">
        <w:rPr>
          <w:lang w:val="pl-PL"/>
        </w:rPr>
        <w:t xml:space="preserve">, nr 62936/00, § 266, 9 października 2008 r., w sprawie monitorowania korespondencji tymczasowo aresztowanych zgodnie z ustawą o </w:t>
      </w:r>
      <w:r w:rsidR="00F40995" w:rsidRPr="0001543F">
        <w:rPr>
          <w:lang w:val="pl-PL"/>
        </w:rPr>
        <w:t>osadzeniu</w:t>
      </w:r>
      <w:r w:rsidR="00506AD7" w:rsidRPr="0001543F">
        <w:rPr>
          <w:lang w:val="pl-PL"/>
        </w:rPr>
        <w:t>).</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151</w:t>
      </w:r>
      <w:r w:rsidRPr="0001543F">
        <w:rPr>
          <w:lang w:val="pl-PL"/>
        </w:rPr>
        <w:fldChar w:fldCharType="end"/>
      </w:r>
      <w:r w:rsidR="00506AD7" w:rsidRPr="0001543F">
        <w:rPr>
          <w:lang w:val="pl-PL"/>
        </w:rPr>
        <w:t>.  Do zatem do naruszenia artykułu 8 Konwencji ze względu na nadzorowanie korespondencji skarżącego i osób z nim korespondujących na poziomie krajowym.</w:t>
      </w:r>
    </w:p>
    <w:p w:rsidR="003960A7" w:rsidRPr="0001543F" w:rsidRDefault="003960A7" w:rsidP="003960A7">
      <w:pPr>
        <w:pStyle w:val="JuH1"/>
        <w:rPr>
          <w:lang w:val="pl-PL"/>
        </w:rPr>
      </w:pPr>
      <w:r w:rsidRPr="0001543F">
        <w:rPr>
          <w:iCs/>
          <w:lang w:val="pl-PL"/>
        </w:rPr>
        <w:t xml:space="preserve">2.  W odniesieniu do </w:t>
      </w:r>
      <w:r w:rsidR="000E773A" w:rsidRPr="0001543F">
        <w:rPr>
          <w:iCs/>
          <w:lang w:val="pl-PL"/>
        </w:rPr>
        <w:t>korespondencji</w:t>
      </w:r>
      <w:r w:rsidRPr="0001543F">
        <w:rPr>
          <w:iCs/>
          <w:lang w:val="pl-PL"/>
        </w:rPr>
        <w:t xml:space="preserve"> pomiędzy skarżącym a Trybunałem</w:t>
      </w:r>
    </w:p>
    <w:p w:rsidR="003960A7" w:rsidRPr="0001543F" w:rsidRDefault="00F559B3" w:rsidP="003960A7">
      <w:pPr>
        <w:pStyle w:val="JuPara"/>
        <w:rPr>
          <w:i/>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152</w:t>
      </w:r>
      <w:r w:rsidRPr="0001543F">
        <w:rPr>
          <w:lang w:val="pl-PL"/>
        </w:rPr>
        <w:fldChar w:fldCharType="end"/>
      </w:r>
      <w:r w:rsidR="00506AD7" w:rsidRPr="0001543F">
        <w:rPr>
          <w:lang w:val="pl-PL"/>
        </w:rPr>
        <w:t xml:space="preserve">.  Trybunał rozpoznawał </w:t>
      </w:r>
      <w:r w:rsidR="000E773A" w:rsidRPr="0001543F">
        <w:rPr>
          <w:lang w:val="pl-PL"/>
        </w:rPr>
        <w:t>już</w:t>
      </w:r>
      <w:r w:rsidR="00506AD7" w:rsidRPr="0001543F">
        <w:rPr>
          <w:lang w:val="pl-PL"/>
        </w:rPr>
        <w:t xml:space="preserve"> skargi dotyczące monitorowania korespondencji pomiędzy skarżącymi a Trybunałem w kontekście artykułu 8 Konwencji (zob. </w:t>
      </w:r>
      <w:r w:rsidR="00506AD7" w:rsidRPr="0001543F">
        <w:rPr>
          <w:i/>
          <w:iCs/>
          <w:szCs w:val="22"/>
          <w:lang w:val="pl-PL"/>
        </w:rPr>
        <w:t>Idalov przeciwko Rosji</w:t>
      </w:r>
      <w:r w:rsidR="00506AD7" w:rsidRPr="0001543F">
        <w:rPr>
          <w:szCs w:val="22"/>
          <w:lang w:val="pl-PL"/>
        </w:rPr>
        <w:t xml:space="preserve"> [WI], nr 5826/03</w:t>
      </w:r>
      <w:r w:rsidR="00506AD7" w:rsidRPr="0001543F">
        <w:rPr>
          <w:snapToGrid w:val="0"/>
          <w:szCs w:val="24"/>
          <w:lang w:val="pl-PL"/>
        </w:rPr>
        <w:t xml:space="preserve">, § 199, </w:t>
      </w:r>
      <w:r w:rsidR="00506AD7" w:rsidRPr="0001543F">
        <w:rPr>
          <w:szCs w:val="24"/>
          <w:lang w:val="pl-PL"/>
        </w:rPr>
        <w:t>22</w:t>
      </w:r>
      <w:r w:rsidR="00506AD7" w:rsidRPr="0001543F">
        <w:rPr>
          <w:snapToGrid w:val="0"/>
          <w:szCs w:val="24"/>
          <w:lang w:val="pl-PL"/>
        </w:rPr>
        <w:t xml:space="preserve"> maja 2012 r.; </w:t>
      </w:r>
      <w:r w:rsidR="00506AD7" w:rsidRPr="0001543F">
        <w:rPr>
          <w:i/>
          <w:iCs/>
          <w:lang w:val="pl-PL"/>
        </w:rPr>
        <w:t>Boris Popov</w:t>
      </w:r>
      <w:r w:rsidR="00506AD7" w:rsidRPr="0001543F">
        <w:rPr>
          <w:lang w:val="pl-PL"/>
        </w:rPr>
        <w:t>, cyt. powyżej,</w:t>
      </w:r>
      <w:r w:rsidR="00506AD7" w:rsidRPr="0001543F">
        <w:rPr>
          <w:snapToGrid w:val="0"/>
          <w:szCs w:val="24"/>
          <w:lang w:val="pl-PL"/>
        </w:rPr>
        <w:t xml:space="preserve"> §§ 93-94; oraz </w:t>
      </w:r>
      <w:r w:rsidR="00506AD7" w:rsidRPr="0001543F">
        <w:rPr>
          <w:i/>
          <w:iCs/>
          <w:lang w:val="pl-PL"/>
        </w:rPr>
        <w:t>Alekseyenko przeciwko Rosji</w:t>
      </w:r>
      <w:r w:rsidR="00506AD7" w:rsidRPr="0001543F">
        <w:rPr>
          <w:lang w:val="pl-PL"/>
        </w:rPr>
        <w:t>, nr 74266/01</w:t>
      </w:r>
      <w:r w:rsidR="00506AD7" w:rsidRPr="0001543F">
        <w:rPr>
          <w:snapToGrid w:val="0"/>
          <w:lang w:val="pl-PL"/>
        </w:rPr>
        <w:t>, § 68, 8 stycznia 2009 r.</w:t>
      </w:r>
      <w:r w:rsidR="00506AD7" w:rsidRPr="0001543F">
        <w:rPr>
          <w:lang w:val="pl-PL"/>
        </w:rPr>
        <w:t xml:space="preserve">), artykułu 34 Konwencji (zob. </w:t>
      </w:r>
      <w:r w:rsidR="00506AD7" w:rsidRPr="0001543F">
        <w:rPr>
          <w:i/>
          <w:iCs/>
          <w:szCs w:val="22"/>
          <w:lang w:val="pl-PL"/>
        </w:rPr>
        <w:t>Trosin przeciwko Ukrainie,</w:t>
      </w:r>
      <w:r w:rsidR="00506AD7" w:rsidRPr="0001543F">
        <w:rPr>
          <w:szCs w:val="22"/>
          <w:lang w:val="pl-PL"/>
        </w:rPr>
        <w:t xml:space="preserve"> nr 39758/05</w:t>
      </w:r>
      <w:r w:rsidR="00506AD7" w:rsidRPr="0001543F">
        <w:rPr>
          <w:snapToGrid w:val="0"/>
          <w:szCs w:val="24"/>
          <w:lang w:val="pl-PL"/>
        </w:rPr>
        <w:t>, § 49, 23 lutego 2012 r., oraz</w:t>
      </w:r>
      <w:r w:rsidR="00506AD7" w:rsidRPr="0001543F">
        <w:rPr>
          <w:i/>
          <w:iCs/>
          <w:szCs w:val="22"/>
          <w:lang w:val="pl-PL"/>
        </w:rPr>
        <w:t xml:space="preserve"> Fetisov</w:t>
      </w:r>
      <w:r w:rsidR="00506AD7" w:rsidRPr="0001543F">
        <w:rPr>
          <w:i/>
          <w:iCs/>
          <w:lang w:val="pl-PL"/>
        </w:rPr>
        <w:t xml:space="preserve"> i Inni</w:t>
      </w:r>
      <w:r w:rsidR="00506AD7" w:rsidRPr="0001543F">
        <w:rPr>
          <w:lang w:val="pl-PL"/>
        </w:rPr>
        <w:t xml:space="preserve">, cyt. powyżej, </w:t>
      </w:r>
      <w:r w:rsidR="00506AD7" w:rsidRPr="0001543F">
        <w:rPr>
          <w:snapToGrid w:val="0"/>
          <w:szCs w:val="24"/>
          <w:lang w:val="pl-PL"/>
        </w:rPr>
        <w:t xml:space="preserve">§ 144) </w:t>
      </w:r>
      <w:r w:rsidR="00506AD7" w:rsidRPr="0001543F">
        <w:rPr>
          <w:lang w:val="pl-PL"/>
        </w:rPr>
        <w:t xml:space="preserve">bądź w kontekście obu tych artykułów (zob. </w:t>
      </w:r>
      <w:r w:rsidR="00506AD7" w:rsidRPr="0001543F">
        <w:rPr>
          <w:i/>
          <w:iCs/>
          <w:szCs w:val="22"/>
          <w:lang w:val="pl-PL"/>
        </w:rPr>
        <w:t>Belyaev i Digtyar</w:t>
      </w:r>
      <w:r w:rsidR="00506AD7" w:rsidRPr="0001543F">
        <w:rPr>
          <w:i/>
          <w:iCs/>
          <w:lang w:val="pl-PL"/>
        </w:rPr>
        <w:t>,</w:t>
      </w:r>
      <w:r w:rsidR="00506AD7" w:rsidRPr="0001543F">
        <w:rPr>
          <w:lang w:val="pl-PL"/>
        </w:rPr>
        <w:t xml:space="preserve"> cyt. powyżej, </w:t>
      </w:r>
      <w:r w:rsidR="00506AD7" w:rsidRPr="0001543F">
        <w:rPr>
          <w:snapToGrid w:val="0"/>
          <w:szCs w:val="24"/>
          <w:lang w:val="pl-PL"/>
        </w:rPr>
        <w:t>§§ 50-63</w:t>
      </w:r>
      <w:r w:rsidR="00506AD7" w:rsidRPr="0001543F">
        <w:rPr>
          <w:snapToGrid w:val="0"/>
          <w:lang w:val="pl-PL"/>
        </w:rPr>
        <w:t>).</w:t>
      </w:r>
    </w:p>
    <w:p w:rsidR="003960A7" w:rsidRPr="0001543F" w:rsidRDefault="00F559B3" w:rsidP="003960A7">
      <w:pPr>
        <w:pStyle w:val="JuPara"/>
        <w:rPr>
          <w:i/>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153</w:t>
      </w:r>
      <w:r w:rsidRPr="0001543F">
        <w:rPr>
          <w:lang w:val="pl-PL"/>
        </w:rPr>
        <w:fldChar w:fldCharType="end"/>
      </w:r>
      <w:r w:rsidR="00506AD7" w:rsidRPr="0001543F">
        <w:rPr>
          <w:lang w:val="pl-PL"/>
        </w:rPr>
        <w:t>. </w:t>
      </w:r>
      <w:r w:rsidR="00C42FE2" w:rsidRPr="0001543F">
        <w:rPr>
          <w:lang w:val="pl-PL"/>
        </w:rPr>
        <w:t xml:space="preserve"> Przyjmując, że skargę charakteryzuje określony w niej stan faktyczny</w:t>
      </w:r>
      <w:r w:rsidR="00506AD7" w:rsidRPr="0001543F">
        <w:rPr>
          <w:lang w:val="pl-PL"/>
        </w:rPr>
        <w:t xml:space="preserve">, </w:t>
      </w:r>
      <w:r w:rsidR="008520A3" w:rsidRPr="0001543F">
        <w:rPr>
          <w:lang w:val="pl-PL"/>
        </w:rPr>
        <w:t>oraz uwzględniając charakter ing</w:t>
      </w:r>
      <w:r w:rsidR="00506AD7" w:rsidRPr="0001543F">
        <w:rPr>
          <w:lang w:val="pl-PL"/>
        </w:rPr>
        <w:t>e</w:t>
      </w:r>
      <w:r w:rsidR="008520A3" w:rsidRPr="0001543F">
        <w:rPr>
          <w:lang w:val="pl-PL"/>
        </w:rPr>
        <w:t xml:space="preserve">rencji oraz treść oświadczeń </w:t>
      </w:r>
      <w:r w:rsidR="00D463C6" w:rsidRPr="00126AF2">
        <w:rPr>
          <w:lang w:val="pl-PL"/>
        </w:rPr>
        <w:t>skarżąc</w:t>
      </w:r>
      <w:r w:rsidR="008520A3" w:rsidRPr="00126AF2">
        <w:rPr>
          <w:lang w:val="pl-PL"/>
        </w:rPr>
        <w:t>ego</w:t>
      </w:r>
      <w:r w:rsidR="00126AF2" w:rsidRPr="00126AF2">
        <w:rPr>
          <w:lang w:val="pl-PL"/>
        </w:rPr>
        <w:t xml:space="preserve"> (zob</w:t>
      </w:r>
      <w:r w:rsidR="00506AD7" w:rsidRPr="00126AF2">
        <w:rPr>
          <w:lang w:val="pl-PL"/>
        </w:rPr>
        <w:t xml:space="preserve">. </w:t>
      </w:r>
      <w:r w:rsidR="00506AD7" w:rsidRPr="00126AF2">
        <w:rPr>
          <w:i/>
          <w:iCs/>
          <w:lang w:val="pl-PL"/>
        </w:rPr>
        <w:t>Scoppola przeciwko Włochom</w:t>
      </w:r>
      <w:r w:rsidR="00506AD7" w:rsidRPr="00126AF2">
        <w:rPr>
          <w:lang w:val="pl-PL"/>
        </w:rPr>
        <w:t xml:space="preserve"> </w:t>
      </w:r>
      <w:r w:rsidR="00506AD7" w:rsidRPr="00126AF2">
        <w:rPr>
          <w:i/>
          <w:iCs/>
          <w:lang w:val="pl-PL"/>
        </w:rPr>
        <w:t xml:space="preserve">(nr 2) </w:t>
      </w:r>
      <w:r w:rsidR="00506AD7" w:rsidRPr="00126AF2">
        <w:rPr>
          <w:lang w:val="pl-PL"/>
        </w:rPr>
        <w:t>[WI], nr 10249/03, § 54, 17 września 2009 r.), Trybunał stwierdza, że kwestie dotyczące korespondencji pomiędzy skarżącym</w:t>
      </w:r>
      <w:r w:rsidR="00506AD7" w:rsidRPr="0001543F">
        <w:rPr>
          <w:lang w:val="pl-PL"/>
        </w:rPr>
        <w:t xml:space="preserve"> a Trybunałem budzą wątpliwości w świetle zarówno artykułu 8, jak i artykułu 34 Konwencji.</w:t>
      </w:r>
    </w:p>
    <w:p w:rsidR="003960A7" w:rsidRPr="0001543F" w:rsidRDefault="003960A7" w:rsidP="003960A7">
      <w:pPr>
        <w:pStyle w:val="JuHa0"/>
        <w:rPr>
          <w:lang w:val="pl-PL"/>
        </w:rPr>
      </w:pPr>
      <w:r w:rsidRPr="0001543F">
        <w:rPr>
          <w:bCs/>
          <w:lang w:val="pl-PL"/>
        </w:rPr>
        <w:t>(a)  Artykuł 8 Konwencji</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154</w:t>
      </w:r>
      <w:r w:rsidRPr="0001543F">
        <w:rPr>
          <w:lang w:val="pl-PL"/>
        </w:rPr>
        <w:fldChar w:fldCharType="end"/>
      </w:r>
      <w:r w:rsidR="00506AD7" w:rsidRPr="0001543F">
        <w:rPr>
          <w:lang w:val="pl-PL"/>
        </w:rPr>
        <w:t xml:space="preserve">.  W odniesieniu do artykułu 8 Konwencji (cyt. powyżej) Trybunał przypomina, że </w:t>
      </w:r>
      <w:r w:rsidR="000E773A" w:rsidRPr="0001543F">
        <w:rPr>
          <w:lang w:val="pl-PL"/>
        </w:rPr>
        <w:t xml:space="preserve">w przedmiotowym czasie art. 91 </w:t>
      </w:r>
      <w:r w:rsidR="005C6842" w:rsidRPr="0001543F">
        <w:rPr>
          <w:lang w:val="pl-PL"/>
        </w:rPr>
        <w:t>kkk</w:t>
      </w:r>
      <w:r w:rsidR="00506AD7" w:rsidRPr="0001543F">
        <w:rPr>
          <w:lang w:val="pl-PL"/>
        </w:rPr>
        <w:t xml:space="preserve"> jednoznacznie zakazywał monitorowania korespondencji pomiędzy osadzonym a Trybunałem Europejskim. </w:t>
      </w:r>
      <w:r w:rsidR="00367918" w:rsidRPr="0001543F">
        <w:rPr>
          <w:lang w:val="pl-PL"/>
        </w:rPr>
        <w:t xml:space="preserve">W takich </w:t>
      </w:r>
      <w:r w:rsidR="0055589E" w:rsidRPr="0001543F">
        <w:rPr>
          <w:lang w:val="pl-PL"/>
        </w:rPr>
        <w:t>okolicznościach istniała</w:t>
      </w:r>
      <w:r w:rsidR="00367918" w:rsidRPr="0001543F">
        <w:rPr>
          <w:lang w:val="pl-PL"/>
        </w:rPr>
        <w:t xml:space="preserve"> możliwość złożenia do </w:t>
      </w:r>
      <w:r w:rsidR="002C0F9F" w:rsidRPr="0001543F">
        <w:rPr>
          <w:lang w:val="pl-PL"/>
        </w:rPr>
        <w:t>Trybunał</w:t>
      </w:r>
      <w:r w:rsidR="00367918" w:rsidRPr="0001543F">
        <w:rPr>
          <w:lang w:val="pl-PL"/>
        </w:rPr>
        <w:t xml:space="preserve">u skargi celem przeprowadzenia badania meritum takiej skargi, przynajmniej odnośnie do poufności listów adresowanych do </w:t>
      </w:r>
      <w:r w:rsidR="002C0F9F" w:rsidRPr="0001543F">
        <w:rPr>
          <w:lang w:val="pl-PL"/>
        </w:rPr>
        <w:t>Trybunał</w:t>
      </w:r>
      <w:r w:rsidR="00367918" w:rsidRPr="0001543F">
        <w:rPr>
          <w:lang w:val="pl-PL"/>
        </w:rPr>
        <w:t xml:space="preserve">u przez osadzonego skarżącego </w:t>
      </w:r>
      <w:r w:rsidR="00506AD7" w:rsidRPr="0001543F">
        <w:rPr>
          <w:lang w:val="pl-PL"/>
        </w:rPr>
        <w:t>(</w:t>
      </w:r>
      <w:r w:rsidR="00367918" w:rsidRPr="0001543F">
        <w:rPr>
          <w:lang w:val="pl-PL"/>
        </w:rPr>
        <w:t xml:space="preserve">zob. </w:t>
      </w:r>
      <w:r w:rsidR="00506AD7" w:rsidRPr="0001543F">
        <w:rPr>
          <w:i/>
          <w:iCs/>
          <w:lang w:val="pl-PL"/>
        </w:rPr>
        <w:t>Alekseyenko</w:t>
      </w:r>
      <w:r w:rsidR="00506AD7" w:rsidRPr="0001543F">
        <w:rPr>
          <w:lang w:val="pl-PL"/>
        </w:rPr>
        <w:t xml:space="preserve">, cyt. powyżej, </w:t>
      </w:r>
      <w:r w:rsidR="00506AD7" w:rsidRPr="0001543F">
        <w:rPr>
          <w:lang w:val="pl-PL"/>
        </w:rPr>
        <w:lastRenderedPageBreak/>
        <w:t>§ 90). Z powyższego wynika, iż ta część skargi musi zostać odrzucona zgodnie z artykułem 35 ust. 1 i 4 Konwencji w związku z niewyczerpaniem krajowych środków odwoławczych.</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155</w:t>
      </w:r>
      <w:r w:rsidRPr="0001543F">
        <w:rPr>
          <w:lang w:val="pl-PL"/>
        </w:rPr>
        <w:fldChar w:fldCharType="end"/>
      </w:r>
      <w:r w:rsidR="00506AD7" w:rsidRPr="0001543F">
        <w:rPr>
          <w:lang w:val="pl-PL"/>
        </w:rPr>
        <w:t>.  </w:t>
      </w:r>
      <w:r w:rsidR="000B2C31" w:rsidRPr="0001543F">
        <w:rPr>
          <w:lang w:val="pl-PL"/>
        </w:rPr>
        <w:t xml:space="preserve">W odniesieniu do listów </w:t>
      </w:r>
      <w:r w:rsidR="00D463C6" w:rsidRPr="0001543F">
        <w:rPr>
          <w:lang w:val="pl-PL"/>
        </w:rPr>
        <w:t>skarżąc</w:t>
      </w:r>
      <w:r w:rsidR="000B2C31" w:rsidRPr="0001543F">
        <w:rPr>
          <w:lang w:val="pl-PL"/>
        </w:rPr>
        <w:t xml:space="preserve">ego do </w:t>
      </w:r>
      <w:r w:rsidR="002C0F9F" w:rsidRPr="0001543F">
        <w:rPr>
          <w:lang w:val="pl-PL"/>
        </w:rPr>
        <w:t>Trybunał</w:t>
      </w:r>
      <w:r w:rsidR="000B2C31" w:rsidRPr="0001543F">
        <w:rPr>
          <w:lang w:val="pl-PL"/>
        </w:rPr>
        <w:t>u</w:t>
      </w:r>
      <w:r w:rsidR="00506AD7" w:rsidRPr="0001543F">
        <w:rPr>
          <w:lang w:val="pl-PL"/>
        </w:rPr>
        <w:t xml:space="preserve">, </w:t>
      </w:r>
      <w:r w:rsidR="000B2C31" w:rsidRPr="0001543F">
        <w:rPr>
          <w:lang w:val="pl-PL"/>
        </w:rPr>
        <w:t xml:space="preserve">zauważając, że było mało prawdopodobnym, by </w:t>
      </w:r>
      <w:r w:rsidR="00D463C6" w:rsidRPr="0001543F">
        <w:rPr>
          <w:lang w:val="pl-PL"/>
        </w:rPr>
        <w:t>skarżąc</w:t>
      </w:r>
      <w:r w:rsidR="000B2C31" w:rsidRPr="0001543F">
        <w:rPr>
          <w:lang w:val="pl-PL"/>
        </w:rPr>
        <w:t>y zdawał sobie sprawę z ewentualnej kontroli jego listów przez pracowników więzienia przed ich rzeczywistą wysyłką,</w:t>
      </w:r>
      <w:r w:rsidR="00506AD7" w:rsidRPr="0001543F">
        <w:rPr>
          <w:lang w:val="pl-PL"/>
        </w:rPr>
        <w:t xml:space="preserve"> </w:t>
      </w:r>
      <w:r w:rsidR="002C0F9F" w:rsidRPr="0001543F">
        <w:rPr>
          <w:lang w:val="pl-PL"/>
        </w:rPr>
        <w:t>Trybunał</w:t>
      </w:r>
      <w:r w:rsidR="000B2C31" w:rsidRPr="0001543F">
        <w:rPr>
          <w:lang w:val="pl-PL"/>
        </w:rPr>
        <w:t xml:space="preserve"> podniósł t</w:t>
      </w:r>
      <w:r w:rsidR="008770EA" w:rsidRPr="0001543F">
        <w:rPr>
          <w:lang w:val="pl-PL"/>
        </w:rPr>
        <w:t>ę</w:t>
      </w:r>
      <w:r w:rsidR="000B2C31" w:rsidRPr="0001543F">
        <w:rPr>
          <w:lang w:val="pl-PL"/>
        </w:rPr>
        <w:t xml:space="preserve"> kwestię </w:t>
      </w:r>
      <w:r w:rsidR="00506AD7" w:rsidRPr="0001543F">
        <w:rPr>
          <w:i/>
          <w:iCs/>
          <w:lang w:val="pl-PL"/>
        </w:rPr>
        <w:t>proprio motu</w:t>
      </w:r>
      <w:r w:rsidR="00506AD7" w:rsidRPr="0001543F">
        <w:rPr>
          <w:lang w:val="pl-PL"/>
        </w:rPr>
        <w:t xml:space="preserve">. </w:t>
      </w:r>
      <w:r w:rsidR="000B2C31" w:rsidRPr="0001543F">
        <w:rPr>
          <w:lang w:val="pl-PL"/>
        </w:rPr>
        <w:t xml:space="preserve">Następnie </w:t>
      </w:r>
      <w:r w:rsidR="00D463C6" w:rsidRPr="0001543F">
        <w:rPr>
          <w:lang w:val="pl-PL"/>
        </w:rPr>
        <w:t>skarżąc</w:t>
      </w:r>
      <w:r w:rsidR="000B2C31" w:rsidRPr="0001543F">
        <w:rPr>
          <w:lang w:val="pl-PL"/>
        </w:rPr>
        <w:t xml:space="preserve">y podtrzymał ten zarzut, odnosząc się także do domniemanej kontroli listu skarżącego z dnia </w:t>
      </w:r>
      <w:r w:rsidR="00506AD7" w:rsidRPr="0001543F">
        <w:rPr>
          <w:lang w:val="pl-PL"/>
        </w:rPr>
        <w:t xml:space="preserve">7 czerwca 2011 </w:t>
      </w:r>
      <w:r w:rsidR="000B2C31" w:rsidRPr="0001543F">
        <w:rPr>
          <w:lang w:val="pl-PL"/>
        </w:rPr>
        <w:t xml:space="preserve">r. </w:t>
      </w:r>
      <w:r w:rsidR="00506AD7" w:rsidRPr="0001543F">
        <w:rPr>
          <w:lang w:val="pl-PL"/>
        </w:rPr>
        <w:t xml:space="preserve">(zob. par. </w:t>
      </w:r>
      <w:r w:rsidRPr="0001543F">
        <w:rPr>
          <w:lang w:val="pl-PL"/>
        </w:rPr>
        <w:fldChar w:fldCharType="begin"/>
      </w:r>
      <w:r w:rsidR="00506AD7" w:rsidRPr="0001543F">
        <w:rPr>
          <w:lang w:val="pl-PL"/>
        </w:rPr>
        <w:instrText xml:space="preserve"> REF  b \h </w:instrText>
      </w:r>
      <w:r w:rsidRPr="0001543F">
        <w:rPr>
          <w:lang w:val="pl-PL"/>
        </w:rPr>
      </w:r>
      <w:r w:rsidRPr="0001543F">
        <w:rPr>
          <w:lang w:val="pl-PL"/>
        </w:rPr>
        <w:fldChar w:fldCharType="separate"/>
      </w:r>
      <w:r w:rsidR="00746F08" w:rsidRPr="0001543F">
        <w:rPr>
          <w:noProof/>
          <w:lang w:val="pl-PL"/>
        </w:rPr>
        <w:t>46</w:t>
      </w:r>
      <w:r w:rsidRPr="0001543F">
        <w:rPr>
          <w:lang w:val="pl-PL"/>
        </w:rPr>
        <w:fldChar w:fldCharType="end"/>
      </w:r>
      <w:r w:rsidR="00506AD7" w:rsidRPr="0001543F">
        <w:rPr>
          <w:lang w:val="pl-PL"/>
        </w:rPr>
        <w:t xml:space="preserve"> </w:t>
      </w:r>
      <w:r w:rsidR="002C0F9F" w:rsidRPr="0001543F">
        <w:rPr>
          <w:lang w:val="pl-PL"/>
        </w:rPr>
        <w:t>powyżej</w:t>
      </w:r>
      <w:r w:rsidR="00506AD7" w:rsidRPr="0001543F">
        <w:rPr>
          <w:lang w:val="pl-PL"/>
        </w:rPr>
        <w:t>). T</w:t>
      </w:r>
      <w:r w:rsidR="002C0F9F" w:rsidRPr="0001543F">
        <w:rPr>
          <w:lang w:val="pl-PL"/>
        </w:rPr>
        <w:t>rybunał</w:t>
      </w:r>
      <w:r w:rsidR="000B2C31" w:rsidRPr="0001543F">
        <w:rPr>
          <w:lang w:val="pl-PL"/>
        </w:rPr>
        <w:t xml:space="preserve"> uznaje skargę w tej części za dopuszczalną</w:t>
      </w:r>
      <w:r w:rsidR="00506AD7" w:rsidRPr="0001543F">
        <w:rPr>
          <w:lang w:val="pl-PL"/>
        </w:rPr>
        <w:t xml:space="preserve">. </w:t>
      </w:r>
      <w:r w:rsidR="000B2C31" w:rsidRPr="0001543F">
        <w:rPr>
          <w:lang w:val="pl-PL"/>
        </w:rPr>
        <w:t xml:space="preserve">Jednakże, ze względu na przedstawione poniżej ustalenia dotyczące artykułu </w:t>
      </w:r>
      <w:r w:rsidR="00506AD7" w:rsidRPr="0001543F">
        <w:rPr>
          <w:lang w:val="pl-PL"/>
        </w:rPr>
        <w:t xml:space="preserve">34 </w:t>
      </w:r>
      <w:r w:rsidR="00C8199B" w:rsidRPr="0001543F">
        <w:rPr>
          <w:lang w:val="pl-PL"/>
        </w:rPr>
        <w:t>Konwencji</w:t>
      </w:r>
      <w:r w:rsidR="000B2C31" w:rsidRPr="0001543F">
        <w:rPr>
          <w:lang w:val="pl-PL"/>
        </w:rPr>
        <w:t xml:space="preserve">, </w:t>
      </w:r>
      <w:r w:rsidR="002C0F9F" w:rsidRPr="0001543F">
        <w:rPr>
          <w:lang w:val="pl-PL"/>
        </w:rPr>
        <w:t>Trybunał</w:t>
      </w:r>
      <w:r w:rsidR="000B2C31" w:rsidRPr="0001543F">
        <w:rPr>
          <w:lang w:val="pl-PL"/>
        </w:rPr>
        <w:t xml:space="preserve"> stwierdza, że nie ma konieczności zbadania skargi w tym zakresie odrębnie.</w:t>
      </w:r>
    </w:p>
    <w:p w:rsidR="003960A7" w:rsidRPr="0001543F" w:rsidRDefault="003960A7" w:rsidP="003960A7">
      <w:pPr>
        <w:pStyle w:val="JuHa0"/>
        <w:rPr>
          <w:lang w:val="pl-PL"/>
        </w:rPr>
      </w:pPr>
      <w:r w:rsidRPr="0001543F">
        <w:rPr>
          <w:bCs/>
          <w:lang w:val="pl-PL"/>
        </w:rPr>
        <w:t>(b)  Artykuł 34 Konwencji</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156</w:t>
      </w:r>
      <w:r w:rsidRPr="0001543F">
        <w:rPr>
          <w:lang w:val="pl-PL"/>
        </w:rPr>
        <w:fldChar w:fldCharType="end"/>
      </w:r>
      <w:r w:rsidR="00506AD7" w:rsidRPr="0001543F">
        <w:rPr>
          <w:lang w:val="pl-PL"/>
        </w:rPr>
        <w:t>.  Artykuł 34 Konwencji stanowi, co następuje:</w:t>
      </w:r>
    </w:p>
    <w:p w:rsidR="003960A7" w:rsidRPr="0001543F" w:rsidRDefault="0055589E" w:rsidP="003960A7">
      <w:pPr>
        <w:pStyle w:val="JuQuot"/>
        <w:rPr>
          <w:lang w:val="pl-PL"/>
        </w:rPr>
      </w:pPr>
      <w:r w:rsidRPr="0001543F">
        <w:rPr>
          <w:lang w:val="pl-PL"/>
        </w:rPr>
        <w:t>„Trybunał może przyjmować skargi każdej osoby, organizacji pozarządowej lub grupy jednostek, która uważa, że stała się ofiarą naruszenia przez jedną z Wysokich Układających się</w:t>
      </w:r>
      <w:r w:rsidR="002179BB" w:rsidRPr="0001543F">
        <w:rPr>
          <w:lang w:val="pl-PL"/>
        </w:rPr>
        <w:t xml:space="preserve"> </w:t>
      </w:r>
      <w:r w:rsidRPr="0001543F">
        <w:rPr>
          <w:lang w:val="pl-PL"/>
        </w:rPr>
        <w:t xml:space="preserve">Stron praw zawartych w Konwencji lub jej Protokołach. </w:t>
      </w:r>
      <w:r w:rsidR="003960A7" w:rsidRPr="0001543F">
        <w:rPr>
          <w:lang w:val="pl-PL"/>
        </w:rPr>
        <w:t>Wysokie Układające się Strony zobowiązują się nie przeszkadzać w żaden sposób skutecznemu wykonywaniu tego prawa.”</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157</w:t>
      </w:r>
      <w:r w:rsidRPr="0001543F">
        <w:rPr>
          <w:lang w:val="pl-PL"/>
        </w:rPr>
        <w:fldChar w:fldCharType="end"/>
      </w:r>
      <w:r w:rsidR="00506AD7" w:rsidRPr="0001543F">
        <w:rPr>
          <w:lang w:val="pl-PL"/>
        </w:rPr>
        <w:t xml:space="preserve">.  Trybunał </w:t>
      </w:r>
      <w:r w:rsidR="008770EA" w:rsidRPr="0001543F">
        <w:rPr>
          <w:lang w:val="pl-PL"/>
        </w:rPr>
        <w:t xml:space="preserve">przypomina, że </w:t>
      </w:r>
      <w:r w:rsidR="00C8199B" w:rsidRPr="0001543F">
        <w:rPr>
          <w:lang w:val="pl-PL"/>
        </w:rPr>
        <w:t>inaczej niż w odniesieniu do, przykładowo, artykułu</w:t>
      </w:r>
      <w:r w:rsidR="002179BB" w:rsidRPr="0001543F">
        <w:rPr>
          <w:lang w:val="pl-PL"/>
        </w:rPr>
        <w:t xml:space="preserve"> </w:t>
      </w:r>
      <w:r w:rsidR="00506AD7" w:rsidRPr="0001543F">
        <w:rPr>
          <w:lang w:val="pl-PL"/>
        </w:rPr>
        <w:t xml:space="preserve">8 Konwencji, </w:t>
      </w:r>
      <w:r w:rsidR="00C8199B" w:rsidRPr="0001543F">
        <w:rPr>
          <w:lang w:val="pl-PL"/>
        </w:rPr>
        <w:t>skarga dotycząca naruszenia artykułu</w:t>
      </w:r>
      <w:r w:rsidR="002179BB" w:rsidRPr="0001543F">
        <w:rPr>
          <w:lang w:val="pl-PL"/>
        </w:rPr>
        <w:t xml:space="preserve"> </w:t>
      </w:r>
      <w:bookmarkStart w:id="36" w:name="HIT9"/>
      <w:bookmarkEnd w:id="36"/>
      <w:r w:rsidR="00506AD7" w:rsidRPr="0001543F">
        <w:rPr>
          <w:lang w:val="pl-PL"/>
        </w:rPr>
        <w:t xml:space="preserve">34 Konwencji </w:t>
      </w:r>
      <w:r w:rsidR="00C8199B" w:rsidRPr="0001543F">
        <w:rPr>
          <w:lang w:val="pl-PL"/>
        </w:rPr>
        <w:t>nie budzi wątpliwości odnośnie do kwestii dopuszczalności w świetl</w:t>
      </w:r>
      <w:r w:rsidR="008770EA" w:rsidRPr="0001543F">
        <w:rPr>
          <w:lang w:val="pl-PL"/>
        </w:rPr>
        <w:t>e</w:t>
      </w:r>
      <w:r w:rsidR="00C8199B" w:rsidRPr="0001543F">
        <w:rPr>
          <w:lang w:val="pl-PL"/>
        </w:rPr>
        <w:t xml:space="preserve"> Konwencji </w:t>
      </w:r>
      <w:r w:rsidR="00506AD7" w:rsidRPr="0001543F">
        <w:rPr>
          <w:lang w:val="pl-PL"/>
        </w:rPr>
        <w:t xml:space="preserve">(zob. </w:t>
      </w:r>
      <w:r w:rsidR="00506AD7" w:rsidRPr="0001543F">
        <w:rPr>
          <w:i/>
          <w:iCs/>
          <w:lang w:val="pl-PL"/>
        </w:rPr>
        <w:t>Juhas Đurić przeciwko Serbii</w:t>
      </w:r>
      <w:r w:rsidR="00506AD7" w:rsidRPr="0001543F">
        <w:rPr>
          <w:lang w:val="pl-PL"/>
        </w:rPr>
        <w:t>, nr 48155/06, § 72, 7 czerwca 2011 r., wraz z dalszymi odniesieniami). </w:t>
      </w:r>
      <w:r w:rsidR="0055589E" w:rsidRPr="0001543F">
        <w:rPr>
          <w:lang w:val="pl-PL"/>
        </w:rPr>
        <w:t>Zgodnie</w:t>
      </w:r>
      <w:r w:rsidR="004E53C5" w:rsidRPr="0001543F">
        <w:rPr>
          <w:lang w:val="pl-PL"/>
        </w:rPr>
        <w:t xml:space="preserve"> z </w:t>
      </w:r>
      <w:r w:rsidR="00F9651E" w:rsidRPr="0001543F">
        <w:rPr>
          <w:lang w:val="pl-PL"/>
        </w:rPr>
        <w:t>arty</w:t>
      </w:r>
      <w:r w:rsidR="00C8199B" w:rsidRPr="0001543F">
        <w:rPr>
          <w:lang w:val="pl-PL"/>
        </w:rPr>
        <w:t>kuł</w:t>
      </w:r>
      <w:r w:rsidR="004E53C5" w:rsidRPr="0001543F">
        <w:rPr>
          <w:lang w:val="pl-PL"/>
        </w:rPr>
        <w:t>em</w:t>
      </w:r>
      <w:r w:rsidR="00C8199B" w:rsidRPr="0001543F">
        <w:rPr>
          <w:lang w:val="pl-PL"/>
        </w:rPr>
        <w:t xml:space="preserve"> </w:t>
      </w:r>
      <w:bookmarkStart w:id="37" w:name="HIT10"/>
      <w:bookmarkEnd w:id="37"/>
      <w:r w:rsidR="00506AD7" w:rsidRPr="0001543F">
        <w:rPr>
          <w:lang w:val="pl-PL"/>
        </w:rPr>
        <w:t xml:space="preserve">34 </w:t>
      </w:r>
      <w:r w:rsidR="00C8199B" w:rsidRPr="0001543F">
        <w:rPr>
          <w:lang w:val="pl-PL"/>
        </w:rPr>
        <w:t>Konwencji</w:t>
      </w:r>
      <w:r w:rsidR="00506AD7" w:rsidRPr="0001543F">
        <w:rPr>
          <w:lang w:val="pl-PL"/>
        </w:rPr>
        <w:t xml:space="preserve"> </w:t>
      </w:r>
      <w:r w:rsidR="004E53C5" w:rsidRPr="0001543F">
        <w:rPr>
          <w:lang w:val="pl-PL"/>
        </w:rPr>
        <w:t>Umawiające się Państw</w:t>
      </w:r>
      <w:r w:rsidR="00C8199B" w:rsidRPr="0001543F">
        <w:rPr>
          <w:lang w:val="pl-PL"/>
        </w:rPr>
        <w:t>o</w:t>
      </w:r>
      <w:r w:rsidR="004E53C5" w:rsidRPr="0001543F">
        <w:rPr>
          <w:lang w:val="pl-PL"/>
        </w:rPr>
        <w:t xml:space="preserve"> zobowiązuje się nie przeszkadzać w skutecznym składaniu skarg </w:t>
      </w:r>
      <w:r w:rsidR="00C8199B" w:rsidRPr="0001543F">
        <w:rPr>
          <w:lang w:val="pl-PL"/>
        </w:rPr>
        <w:t xml:space="preserve">i </w:t>
      </w:r>
      <w:r w:rsidR="004E53C5" w:rsidRPr="0001543F">
        <w:rPr>
          <w:lang w:val="pl-PL"/>
        </w:rPr>
        <w:t xml:space="preserve">dochodzeniu roszczeń przed </w:t>
      </w:r>
      <w:r w:rsidR="00C8199B" w:rsidRPr="0001543F">
        <w:rPr>
          <w:lang w:val="pl-PL"/>
        </w:rPr>
        <w:t>Trybunał</w:t>
      </w:r>
      <w:r w:rsidR="004E53C5" w:rsidRPr="0001543F">
        <w:rPr>
          <w:lang w:val="pl-PL"/>
        </w:rPr>
        <w:t>em</w:t>
      </w:r>
      <w:r w:rsidR="00506AD7" w:rsidRPr="0001543F">
        <w:rPr>
          <w:lang w:val="pl-PL"/>
        </w:rPr>
        <w:t xml:space="preserve">. </w:t>
      </w:r>
      <w:r w:rsidR="004E53C5" w:rsidRPr="0001543F">
        <w:rPr>
          <w:lang w:val="pl-PL"/>
        </w:rPr>
        <w:t>O ile nałożony obowiązek ma charakter proceduralny</w:t>
      </w:r>
      <w:r w:rsidR="0069531A" w:rsidRPr="0001543F">
        <w:rPr>
          <w:lang w:val="pl-PL"/>
        </w:rPr>
        <w:t xml:space="preserve">, różniący się od praw materialnych określonych </w:t>
      </w:r>
      <w:r w:rsidR="004E53C5" w:rsidRPr="0001543F">
        <w:rPr>
          <w:lang w:val="pl-PL"/>
        </w:rPr>
        <w:t xml:space="preserve">w Konwencji </w:t>
      </w:r>
      <w:r w:rsidR="00506AD7" w:rsidRPr="0001543F">
        <w:rPr>
          <w:lang w:val="pl-PL"/>
        </w:rPr>
        <w:t>i</w:t>
      </w:r>
      <w:r w:rsidR="004E53C5" w:rsidRPr="0001543F">
        <w:rPr>
          <w:lang w:val="pl-PL"/>
        </w:rPr>
        <w:t xml:space="preserve"> jej Protokołach, </w:t>
      </w:r>
      <w:r w:rsidR="00AB485A" w:rsidRPr="0001543F">
        <w:rPr>
          <w:lang w:val="pl-PL"/>
        </w:rPr>
        <w:t>z samej istoty tego prawa proceduralnego wynika, iż jednostki mają możliwość składania skarg dotyczących jego domniemanego naruszenia w ramach postępowania w świetle Konwencji</w:t>
      </w:r>
      <w:r w:rsidR="00506AD7" w:rsidRPr="0001543F">
        <w:rPr>
          <w:lang w:val="pl-PL"/>
        </w:rPr>
        <w:t xml:space="preserve"> (zob. </w:t>
      </w:r>
      <w:r w:rsidR="00506AD7" w:rsidRPr="0001543F">
        <w:rPr>
          <w:i/>
          <w:iCs/>
          <w:lang w:val="pl-PL"/>
        </w:rPr>
        <w:t xml:space="preserve">Manoussos przeciwko </w:t>
      </w:r>
      <w:r w:rsidR="000E773A" w:rsidRPr="0001543F">
        <w:rPr>
          <w:i/>
          <w:iCs/>
          <w:lang w:val="pl-PL"/>
        </w:rPr>
        <w:t>R</w:t>
      </w:r>
      <w:r w:rsidR="00506AD7" w:rsidRPr="0001543F">
        <w:rPr>
          <w:i/>
          <w:iCs/>
          <w:lang w:val="pl-PL"/>
        </w:rPr>
        <w:t>epublic</w:t>
      </w:r>
      <w:r w:rsidR="000E773A" w:rsidRPr="0001543F">
        <w:rPr>
          <w:i/>
          <w:iCs/>
          <w:lang w:val="pl-PL"/>
        </w:rPr>
        <w:t>e Czeskiej i Niemcom</w:t>
      </w:r>
      <w:r w:rsidR="00506AD7" w:rsidRPr="0001543F">
        <w:rPr>
          <w:lang w:val="pl-PL"/>
        </w:rPr>
        <w:t xml:space="preserve"> (dec.), nr 46468/99, 9 lipca 2002</w:t>
      </w:r>
      <w:r w:rsidR="000E773A" w:rsidRPr="0001543F">
        <w:rPr>
          <w:lang w:val="pl-PL"/>
        </w:rPr>
        <w:t xml:space="preserve"> r.</w:t>
      </w:r>
      <w:r w:rsidR="00506AD7" w:rsidRPr="0001543F">
        <w:rPr>
          <w:lang w:val="pl-PL"/>
        </w:rPr>
        <w:t>).</w:t>
      </w:r>
    </w:p>
    <w:p w:rsidR="003960A7" w:rsidRPr="0001543F" w:rsidRDefault="00F559B3" w:rsidP="003960A7">
      <w:pPr>
        <w:pStyle w:val="JuPara"/>
        <w:rPr>
          <w:i/>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158</w:t>
      </w:r>
      <w:r w:rsidRPr="0001543F">
        <w:rPr>
          <w:lang w:val="pl-PL"/>
        </w:rPr>
        <w:fldChar w:fldCharType="end"/>
      </w:r>
      <w:r w:rsidR="00506AD7" w:rsidRPr="0001543F">
        <w:rPr>
          <w:lang w:val="pl-PL"/>
        </w:rPr>
        <w:t>.  </w:t>
      </w:r>
      <w:r w:rsidR="008770EA" w:rsidRPr="0001543F">
        <w:rPr>
          <w:lang w:val="pl-PL"/>
        </w:rPr>
        <w:t xml:space="preserve">Z </w:t>
      </w:r>
      <w:r w:rsidR="00654BE0" w:rsidRPr="0001543F">
        <w:rPr>
          <w:lang w:val="pl-PL"/>
        </w:rPr>
        <w:t xml:space="preserve">punktu widzenia skutecznego działania systemu skarg indywidualnych ustanowionego na mocy </w:t>
      </w:r>
      <w:r w:rsidR="00F9651E" w:rsidRPr="0001543F">
        <w:rPr>
          <w:lang w:val="pl-PL"/>
        </w:rPr>
        <w:t>arty</w:t>
      </w:r>
      <w:r w:rsidR="00654BE0" w:rsidRPr="0001543F">
        <w:rPr>
          <w:lang w:val="pl-PL"/>
        </w:rPr>
        <w:t xml:space="preserve">kułu </w:t>
      </w:r>
      <w:bookmarkStart w:id="38" w:name="HIT11"/>
      <w:bookmarkEnd w:id="38"/>
      <w:r w:rsidR="00506AD7" w:rsidRPr="0001543F">
        <w:rPr>
          <w:lang w:val="pl-PL"/>
        </w:rPr>
        <w:t>34</w:t>
      </w:r>
      <w:r w:rsidR="008770EA" w:rsidRPr="0001543F">
        <w:rPr>
          <w:lang w:val="pl-PL"/>
        </w:rPr>
        <w:t xml:space="preserve"> jest sprawą najwyższej wagi</w:t>
      </w:r>
      <w:r w:rsidR="00AE1702" w:rsidRPr="0001543F">
        <w:rPr>
          <w:lang w:val="pl-PL"/>
        </w:rPr>
        <w:t xml:space="preserve">, by skarżący mieli możliwość swobodnego komunikowania się z </w:t>
      </w:r>
      <w:r w:rsidR="002C0F9F" w:rsidRPr="0001543F">
        <w:rPr>
          <w:lang w:val="pl-PL"/>
        </w:rPr>
        <w:t>Trybunał</w:t>
      </w:r>
      <w:r w:rsidR="00AE1702" w:rsidRPr="0001543F">
        <w:rPr>
          <w:lang w:val="pl-PL"/>
        </w:rPr>
        <w:t xml:space="preserve">em </w:t>
      </w:r>
      <w:r w:rsidR="00F9451D" w:rsidRPr="0001543F">
        <w:rPr>
          <w:lang w:val="pl-PL"/>
        </w:rPr>
        <w:t>bez poddawania ich jakiejkolwiek formie nacisku ze strony władz w celu wycofania lub zmiany skarg</w:t>
      </w:r>
      <w:r w:rsidR="00506AD7" w:rsidRPr="0001543F">
        <w:rPr>
          <w:lang w:val="pl-PL"/>
        </w:rPr>
        <w:t xml:space="preserve">. </w:t>
      </w:r>
      <w:r w:rsidR="00AE1702" w:rsidRPr="0001543F">
        <w:rPr>
          <w:lang w:val="pl-PL"/>
        </w:rPr>
        <w:t>W tym kontekście „</w:t>
      </w:r>
      <w:r w:rsidR="00F9451D" w:rsidRPr="0001543F">
        <w:rPr>
          <w:lang w:val="pl-PL"/>
        </w:rPr>
        <w:t>nacisk</w:t>
      </w:r>
      <w:r w:rsidR="00AE1702" w:rsidRPr="0001543F">
        <w:rPr>
          <w:lang w:val="pl-PL"/>
        </w:rPr>
        <w:t xml:space="preserve">” oznacza nie tylko bezpośredni przymus bądź </w:t>
      </w:r>
      <w:r w:rsidR="008520A3" w:rsidRPr="0001543F">
        <w:rPr>
          <w:lang w:val="pl-PL"/>
        </w:rPr>
        <w:t>rażące</w:t>
      </w:r>
      <w:r w:rsidR="00506AD7" w:rsidRPr="0001543F">
        <w:rPr>
          <w:lang w:val="pl-PL"/>
        </w:rPr>
        <w:t xml:space="preserve"> a</w:t>
      </w:r>
      <w:r w:rsidR="00AE1702" w:rsidRPr="0001543F">
        <w:rPr>
          <w:lang w:val="pl-PL"/>
        </w:rPr>
        <w:t>kty zastraszania</w:t>
      </w:r>
      <w:r w:rsidR="00506AD7" w:rsidRPr="0001543F">
        <w:rPr>
          <w:lang w:val="pl-PL"/>
        </w:rPr>
        <w:t xml:space="preserve">, </w:t>
      </w:r>
      <w:r w:rsidR="00AE1702" w:rsidRPr="0001543F">
        <w:rPr>
          <w:lang w:val="pl-PL"/>
        </w:rPr>
        <w:t xml:space="preserve">lecz także inne niewłaściwe, pośrednie działania czy kontakty, których celem jest </w:t>
      </w:r>
      <w:r w:rsidR="0055589E" w:rsidRPr="0001543F">
        <w:rPr>
          <w:lang w:val="pl-PL"/>
        </w:rPr>
        <w:t>odwie</w:t>
      </w:r>
      <w:r w:rsidR="008770EA" w:rsidRPr="0001543F">
        <w:rPr>
          <w:lang w:val="pl-PL"/>
        </w:rPr>
        <w:t xml:space="preserve">ść lub zniechęcić </w:t>
      </w:r>
      <w:r w:rsidR="00AE1702" w:rsidRPr="0001543F">
        <w:rPr>
          <w:lang w:val="pl-PL"/>
        </w:rPr>
        <w:t xml:space="preserve">skarżących do korzystania ze środka odwoławczego </w:t>
      </w:r>
      <w:r w:rsidR="008770EA" w:rsidRPr="0001543F">
        <w:rPr>
          <w:lang w:val="pl-PL"/>
        </w:rPr>
        <w:t>wynikającego z</w:t>
      </w:r>
      <w:r w:rsidR="00AE1702" w:rsidRPr="0001543F">
        <w:rPr>
          <w:lang w:val="pl-PL"/>
        </w:rPr>
        <w:t xml:space="preserve"> Konwencji </w:t>
      </w:r>
      <w:r w:rsidR="00C8199B" w:rsidRPr="0001543F">
        <w:rPr>
          <w:lang w:val="pl-PL"/>
        </w:rPr>
        <w:t xml:space="preserve">(zob. </w:t>
      </w:r>
      <w:r w:rsidR="00C8199B" w:rsidRPr="0001543F">
        <w:rPr>
          <w:lang w:val="pl-PL"/>
        </w:rPr>
        <w:lastRenderedPageBreak/>
        <w:t>między innymi</w:t>
      </w:r>
      <w:r w:rsidR="00506AD7" w:rsidRPr="0001543F">
        <w:rPr>
          <w:lang w:val="pl-PL"/>
        </w:rPr>
        <w:t xml:space="preserve"> </w:t>
      </w:r>
      <w:r w:rsidR="00506AD7" w:rsidRPr="0001543F">
        <w:rPr>
          <w:i/>
          <w:iCs/>
          <w:lang w:val="pl-PL"/>
        </w:rPr>
        <w:t xml:space="preserve">Konstantin Markin </w:t>
      </w:r>
      <w:r w:rsidR="00506AD7" w:rsidRPr="0001543F">
        <w:rPr>
          <w:i/>
          <w:iCs/>
          <w:snapToGrid w:val="0"/>
          <w:szCs w:val="22"/>
          <w:lang w:val="pl-PL"/>
        </w:rPr>
        <w:t>przeciwko Rosji</w:t>
      </w:r>
      <w:r w:rsidR="00506AD7" w:rsidRPr="0001543F">
        <w:rPr>
          <w:i/>
          <w:iCs/>
          <w:szCs w:val="22"/>
          <w:lang w:val="pl-PL"/>
        </w:rPr>
        <w:t xml:space="preserve"> </w:t>
      </w:r>
      <w:r w:rsidR="00506AD7" w:rsidRPr="0001543F">
        <w:rPr>
          <w:szCs w:val="22"/>
          <w:lang w:val="pl-PL"/>
        </w:rPr>
        <w:t>[WI]</w:t>
      </w:r>
      <w:r w:rsidR="00506AD7" w:rsidRPr="0001543F">
        <w:rPr>
          <w:snapToGrid w:val="0"/>
          <w:szCs w:val="22"/>
          <w:lang w:val="pl-PL"/>
        </w:rPr>
        <w:t>, nr</w:t>
      </w:r>
      <w:r w:rsidR="00506AD7" w:rsidRPr="0001543F">
        <w:rPr>
          <w:szCs w:val="22"/>
          <w:lang w:val="pl-PL"/>
        </w:rPr>
        <w:t xml:space="preserve"> 30078/06</w:t>
      </w:r>
      <w:r w:rsidR="00506AD7" w:rsidRPr="0001543F">
        <w:rPr>
          <w:snapToGrid w:val="0"/>
          <w:szCs w:val="24"/>
          <w:lang w:val="pl-PL"/>
        </w:rPr>
        <w:t xml:space="preserve">, § 158, </w:t>
      </w:r>
      <w:r w:rsidR="00506AD7" w:rsidRPr="0001543F">
        <w:rPr>
          <w:snapToGrid w:val="0"/>
          <w:szCs w:val="22"/>
          <w:lang w:val="pl-PL"/>
        </w:rPr>
        <w:t>ETPCz 2012 r. (fragmenty)).</w:t>
      </w:r>
    </w:p>
    <w:p w:rsidR="003960A7" w:rsidRPr="0001543F" w:rsidRDefault="00F559B3" w:rsidP="003960A7">
      <w:pPr>
        <w:pStyle w:val="JuPara"/>
        <w:rPr>
          <w:i/>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159</w:t>
      </w:r>
      <w:r w:rsidRPr="0001543F">
        <w:rPr>
          <w:lang w:val="pl-PL"/>
        </w:rPr>
        <w:fldChar w:fldCharType="end"/>
      </w:r>
      <w:r w:rsidR="00C40C63" w:rsidRPr="0001543F">
        <w:rPr>
          <w:lang w:val="pl-PL"/>
        </w:rPr>
        <w:t>.  </w:t>
      </w:r>
      <w:r w:rsidR="002C0F9F" w:rsidRPr="0001543F">
        <w:rPr>
          <w:lang w:val="pl-PL"/>
        </w:rPr>
        <w:t>Trybunał</w:t>
      </w:r>
      <w:r w:rsidR="00C40C63" w:rsidRPr="0001543F">
        <w:rPr>
          <w:lang w:val="pl-PL"/>
        </w:rPr>
        <w:t xml:space="preserve"> uznaje, że </w:t>
      </w:r>
      <w:r w:rsidR="00AE1702" w:rsidRPr="0001543F">
        <w:rPr>
          <w:lang w:val="pl-PL"/>
        </w:rPr>
        <w:t xml:space="preserve">osadzeni mogą znaleźć się w trudnej sytuacji, kiedy w zakresie kontaktów z Trybunałem uzależnieni są – jak w przypadku </w:t>
      </w:r>
      <w:r w:rsidR="00C40C63" w:rsidRPr="0001543F">
        <w:rPr>
          <w:lang w:val="pl-PL"/>
        </w:rPr>
        <w:t>niniejszej spraw</w:t>
      </w:r>
      <w:r w:rsidR="00AE1702" w:rsidRPr="0001543F">
        <w:rPr>
          <w:lang w:val="pl-PL"/>
        </w:rPr>
        <w:t>y – od pracowników jednostki penitencjarnej</w:t>
      </w:r>
      <w:r w:rsidR="00506AD7" w:rsidRPr="0001543F">
        <w:rPr>
          <w:lang w:val="pl-PL"/>
        </w:rPr>
        <w:t xml:space="preserve">. Trybunał </w:t>
      </w:r>
      <w:r w:rsidR="00C40C63" w:rsidRPr="0001543F">
        <w:rPr>
          <w:lang w:val="pl-PL"/>
        </w:rPr>
        <w:t xml:space="preserve">nie uważa jednak, by w niniejszej </w:t>
      </w:r>
      <w:r w:rsidR="0055589E" w:rsidRPr="0001543F">
        <w:rPr>
          <w:lang w:val="pl-PL"/>
        </w:rPr>
        <w:t>sprawie opóźnienia</w:t>
      </w:r>
      <w:r w:rsidR="00C40C63" w:rsidRPr="0001543F">
        <w:rPr>
          <w:lang w:val="pl-PL"/>
        </w:rPr>
        <w:t xml:space="preserve"> w przekazywaniu korespondencji były tak istotne, że stanowiły naruszenie obowiązku Państwa wynikającego z przepisu art. </w:t>
      </w:r>
      <w:r w:rsidR="00506AD7" w:rsidRPr="0001543F">
        <w:rPr>
          <w:lang w:val="pl-PL"/>
        </w:rPr>
        <w:t xml:space="preserve">34 Konwencji (zob. </w:t>
      </w:r>
      <w:r w:rsidR="00506AD7" w:rsidRPr="0001543F">
        <w:rPr>
          <w:i/>
          <w:iCs/>
          <w:szCs w:val="22"/>
          <w:lang w:val="pl-PL"/>
        </w:rPr>
        <w:t>Shchebetov przeciwko Rosji</w:t>
      </w:r>
      <w:r w:rsidR="00506AD7" w:rsidRPr="0001543F">
        <w:rPr>
          <w:szCs w:val="22"/>
          <w:lang w:val="pl-PL"/>
        </w:rPr>
        <w:t>, nr 21731/02</w:t>
      </w:r>
      <w:r w:rsidR="00506AD7" w:rsidRPr="0001543F">
        <w:rPr>
          <w:snapToGrid w:val="0"/>
          <w:szCs w:val="24"/>
          <w:lang w:val="pl-PL"/>
        </w:rPr>
        <w:t>, § 84, 10 kwietnia 2012 r.).</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160</w:t>
      </w:r>
      <w:r w:rsidRPr="0001543F">
        <w:rPr>
          <w:lang w:val="pl-PL"/>
        </w:rPr>
        <w:fldChar w:fldCharType="end"/>
      </w:r>
      <w:r w:rsidR="00506AD7" w:rsidRPr="0001543F">
        <w:rPr>
          <w:lang w:val="pl-PL"/>
        </w:rPr>
        <w:t>.  </w:t>
      </w:r>
      <w:r w:rsidR="00C40C63" w:rsidRPr="0001543F">
        <w:rPr>
          <w:lang w:val="pl-PL"/>
        </w:rPr>
        <w:t xml:space="preserve">Jednocześnie </w:t>
      </w:r>
      <w:r w:rsidR="00506AD7" w:rsidRPr="0001543F">
        <w:rPr>
          <w:lang w:val="pl-PL"/>
        </w:rPr>
        <w:t xml:space="preserve">Trybunał </w:t>
      </w:r>
      <w:r w:rsidR="00C40C63" w:rsidRPr="0001543F">
        <w:rPr>
          <w:lang w:val="pl-PL"/>
        </w:rPr>
        <w:t>przypomina o wadze przestrzegania zasady</w:t>
      </w:r>
      <w:r w:rsidR="002179BB" w:rsidRPr="0001543F">
        <w:rPr>
          <w:lang w:val="pl-PL"/>
        </w:rPr>
        <w:t xml:space="preserve"> </w:t>
      </w:r>
      <w:r w:rsidR="00C40C63" w:rsidRPr="0001543F">
        <w:rPr>
          <w:lang w:val="pl-PL"/>
        </w:rPr>
        <w:t>poufności korespondencji pomiędzy</w:t>
      </w:r>
      <w:r w:rsidR="00506AD7" w:rsidRPr="0001543F">
        <w:rPr>
          <w:lang w:val="pl-PL"/>
        </w:rPr>
        <w:t xml:space="preserve"> Trybunał</w:t>
      </w:r>
      <w:r w:rsidR="00C40C63" w:rsidRPr="0001543F">
        <w:rPr>
          <w:lang w:val="pl-PL"/>
        </w:rPr>
        <w:t>em a skarżącymi</w:t>
      </w:r>
      <w:r w:rsidR="00506AD7" w:rsidRPr="0001543F">
        <w:rPr>
          <w:lang w:val="pl-PL"/>
        </w:rPr>
        <w:t xml:space="preserve">, </w:t>
      </w:r>
      <w:r w:rsidR="00C40C63" w:rsidRPr="0001543F">
        <w:rPr>
          <w:lang w:val="pl-PL"/>
        </w:rPr>
        <w:t xml:space="preserve">jako że korespondencja taka może dotyczyć zarzutów względem władz więziennych lub funkcjonariuszy więziennych </w:t>
      </w:r>
      <w:r w:rsidR="00506AD7" w:rsidRPr="0001543F">
        <w:rPr>
          <w:lang w:val="pl-PL"/>
        </w:rPr>
        <w:t xml:space="preserve">(zob. </w:t>
      </w:r>
      <w:r w:rsidR="00506AD7" w:rsidRPr="0001543F">
        <w:rPr>
          <w:i/>
          <w:iCs/>
          <w:lang w:val="pl-PL"/>
        </w:rPr>
        <w:t>Peers przeciwko Grecji</w:t>
      </w:r>
      <w:r w:rsidR="00506AD7" w:rsidRPr="0001543F">
        <w:rPr>
          <w:lang w:val="pl-PL"/>
        </w:rPr>
        <w:t>, nr 2</w:t>
      </w:r>
      <w:r w:rsidR="00D0184C" w:rsidRPr="0001543F">
        <w:rPr>
          <w:lang w:val="pl-PL"/>
        </w:rPr>
        <w:t>8524/95, § 84, ETPCz 2001</w:t>
      </w:r>
      <w:r w:rsidR="00D0184C" w:rsidRPr="0001543F">
        <w:rPr>
          <w:lang w:val="pl-PL"/>
        </w:rPr>
        <w:noBreakHyphen/>
        <w:t xml:space="preserve">III). Otwieranie i </w:t>
      </w:r>
      <w:r w:rsidR="00E42194" w:rsidRPr="0001543F">
        <w:rPr>
          <w:lang w:val="pl-PL"/>
        </w:rPr>
        <w:t>wgląd do listów z</w:t>
      </w:r>
      <w:r w:rsidR="00506AD7" w:rsidRPr="0001543F">
        <w:rPr>
          <w:lang w:val="pl-PL"/>
        </w:rPr>
        <w:t xml:space="preserve"> </w:t>
      </w:r>
      <w:r w:rsidR="002C0F9F" w:rsidRPr="0001543F">
        <w:rPr>
          <w:lang w:val="pl-PL"/>
        </w:rPr>
        <w:t>Trybunał</w:t>
      </w:r>
      <w:r w:rsidR="00E42194" w:rsidRPr="0001543F">
        <w:rPr>
          <w:lang w:val="pl-PL"/>
        </w:rPr>
        <w:t>u lub adresowanych do Trybunału</w:t>
      </w:r>
      <w:r w:rsidR="00F9451D" w:rsidRPr="0001543F">
        <w:rPr>
          <w:lang w:val="pl-PL"/>
        </w:rPr>
        <w:t xml:space="preserve"> umożliwia ich czytanie, a także </w:t>
      </w:r>
      <w:r w:rsidR="00C42FE2" w:rsidRPr="0001543F">
        <w:rPr>
          <w:lang w:val="pl-PL"/>
        </w:rPr>
        <w:t xml:space="preserve">nie można wykluczyć </w:t>
      </w:r>
      <w:r w:rsidR="00F9451D" w:rsidRPr="0001543F">
        <w:rPr>
          <w:lang w:val="pl-PL"/>
        </w:rPr>
        <w:t>powstani</w:t>
      </w:r>
      <w:r w:rsidR="00C42FE2" w:rsidRPr="0001543F">
        <w:rPr>
          <w:lang w:val="pl-PL"/>
        </w:rPr>
        <w:t>a</w:t>
      </w:r>
      <w:r w:rsidR="00F9451D" w:rsidRPr="0001543F">
        <w:rPr>
          <w:lang w:val="pl-PL"/>
        </w:rPr>
        <w:t xml:space="preserve"> ryzyka działań odwetowych ze strony pracowników więzienia wobec danego więźnia </w:t>
      </w:r>
      <w:r w:rsidR="00506AD7" w:rsidRPr="0001543F">
        <w:rPr>
          <w:lang w:val="pl-PL"/>
        </w:rPr>
        <w:t>(</w:t>
      </w:r>
      <w:r w:rsidR="00C40C63" w:rsidRPr="0001543F">
        <w:rPr>
          <w:lang w:val="pl-PL"/>
        </w:rPr>
        <w:t xml:space="preserve">zob. </w:t>
      </w:r>
      <w:r w:rsidR="00506AD7" w:rsidRPr="0001543F">
        <w:rPr>
          <w:i/>
          <w:iCs/>
          <w:szCs w:val="22"/>
          <w:lang w:val="pl-PL"/>
        </w:rPr>
        <w:t xml:space="preserve">Belyaev </w:t>
      </w:r>
      <w:r w:rsidR="00C40C63" w:rsidRPr="0001543F">
        <w:rPr>
          <w:i/>
          <w:iCs/>
          <w:szCs w:val="22"/>
          <w:lang w:val="pl-PL"/>
        </w:rPr>
        <w:t>i</w:t>
      </w:r>
      <w:r w:rsidR="00506AD7" w:rsidRPr="0001543F">
        <w:rPr>
          <w:i/>
          <w:iCs/>
          <w:szCs w:val="22"/>
          <w:lang w:val="pl-PL"/>
        </w:rPr>
        <w:t xml:space="preserve"> Digtyar</w:t>
      </w:r>
      <w:r w:rsidR="00506AD7" w:rsidRPr="0001543F">
        <w:rPr>
          <w:szCs w:val="22"/>
          <w:lang w:val="pl-PL"/>
        </w:rPr>
        <w:t>, cyt. powyżej,</w:t>
      </w:r>
      <w:r w:rsidR="00506AD7" w:rsidRPr="0001543F">
        <w:rPr>
          <w:lang w:val="pl-PL"/>
        </w:rPr>
        <w:t xml:space="preserve"> § 62).</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161</w:t>
      </w:r>
      <w:r w:rsidRPr="0001543F">
        <w:rPr>
          <w:lang w:val="pl-PL"/>
        </w:rPr>
        <w:fldChar w:fldCharType="end"/>
      </w:r>
      <w:r w:rsidR="00506AD7" w:rsidRPr="0001543F">
        <w:rPr>
          <w:lang w:val="pl-PL"/>
        </w:rPr>
        <w:t>.  Niezaprzeczalnym jest, że listy Trybunału zawierały jednoznaczne wskazanie nadawcy. </w:t>
      </w:r>
      <w:r w:rsidR="00E42194" w:rsidRPr="0001543F">
        <w:rPr>
          <w:lang w:val="pl-PL"/>
        </w:rPr>
        <w:t xml:space="preserve">Odnośnie do listów </w:t>
      </w:r>
      <w:r w:rsidR="00D463C6" w:rsidRPr="0001543F">
        <w:rPr>
          <w:lang w:val="pl-PL"/>
        </w:rPr>
        <w:t>skarżąc</w:t>
      </w:r>
      <w:r w:rsidR="00E42194" w:rsidRPr="0001543F">
        <w:rPr>
          <w:lang w:val="pl-PL"/>
        </w:rPr>
        <w:t xml:space="preserve">ego adresowanych do </w:t>
      </w:r>
      <w:r w:rsidR="002C0F9F" w:rsidRPr="0001543F">
        <w:rPr>
          <w:lang w:val="pl-PL"/>
        </w:rPr>
        <w:t>Trybunał</w:t>
      </w:r>
      <w:r w:rsidR="00E42194" w:rsidRPr="0001543F">
        <w:rPr>
          <w:lang w:val="pl-PL"/>
        </w:rPr>
        <w:t>u</w:t>
      </w:r>
      <w:r w:rsidR="00506AD7" w:rsidRPr="0001543F">
        <w:rPr>
          <w:lang w:val="pl-PL"/>
        </w:rPr>
        <w:t xml:space="preserve">, </w:t>
      </w:r>
      <w:r w:rsidR="00E42194" w:rsidRPr="0001543F">
        <w:rPr>
          <w:lang w:val="pl-PL"/>
        </w:rPr>
        <w:t xml:space="preserve">wyłączywszy list z dnia </w:t>
      </w:r>
      <w:r w:rsidR="00506AD7" w:rsidRPr="0001543F">
        <w:rPr>
          <w:lang w:val="pl-PL"/>
        </w:rPr>
        <w:t>7 czerwca 2011</w:t>
      </w:r>
      <w:r w:rsidR="00E42194" w:rsidRPr="0001543F">
        <w:rPr>
          <w:lang w:val="pl-PL"/>
        </w:rPr>
        <w:t xml:space="preserve"> r.</w:t>
      </w:r>
      <w:r w:rsidR="00506AD7" w:rsidRPr="0001543F">
        <w:rPr>
          <w:lang w:val="pl-PL"/>
        </w:rPr>
        <w:t xml:space="preserve">, </w:t>
      </w:r>
      <w:r w:rsidR="00E42194" w:rsidRPr="0001543F">
        <w:rPr>
          <w:lang w:val="pl-PL"/>
        </w:rPr>
        <w:t xml:space="preserve">nie stwierdzono, że </w:t>
      </w:r>
      <w:r w:rsidR="00D463C6" w:rsidRPr="0001543F">
        <w:rPr>
          <w:lang w:val="pl-PL"/>
        </w:rPr>
        <w:t>skarżąc</w:t>
      </w:r>
      <w:r w:rsidR="00E42194" w:rsidRPr="0001543F">
        <w:rPr>
          <w:lang w:val="pl-PL"/>
        </w:rPr>
        <w:t>y musiał lub przekazał jakiekolwiek listy bez koperty bądź w niezaklejonej kopercie</w:t>
      </w:r>
      <w:r w:rsidR="00506AD7" w:rsidRPr="0001543F">
        <w:rPr>
          <w:lang w:val="pl-PL"/>
        </w:rPr>
        <w:t>. Wydaje się, iż skarżący wyraźnie wskazał, że korespondencja była adresowana do Trybunału.</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162</w:t>
      </w:r>
      <w:r w:rsidRPr="0001543F">
        <w:rPr>
          <w:lang w:val="pl-PL"/>
        </w:rPr>
        <w:fldChar w:fldCharType="end"/>
      </w:r>
      <w:r w:rsidR="00506AD7" w:rsidRPr="0001543F">
        <w:rPr>
          <w:lang w:val="pl-PL"/>
        </w:rPr>
        <w:t>.  </w:t>
      </w:r>
      <w:r w:rsidR="005E4241" w:rsidRPr="0001543F">
        <w:rPr>
          <w:lang w:val="pl-PL"/>
        </w:rPr>
        <w:t>Strony nie zgadzały się co do tego, czy funkcjonariusze więzienni czytali listy przychodzące i wychodzące</w:t>
      </w:r>
      <w:r w:rsidR="00506AD7" w:rsidRPr="0001543F">
        <w:rPr>
          <w:lang w:val="pl-PL"/>
        </w:rPr>
        <w:t xml:space="preserve">. </w:t>
      </w:r>
      <w:r w:rsidR="002C0F9F" w:rsidRPr="0001543F">
        <w:rPr>
          <w:lang w:val="pl-PL"/>
        </w:rPr>
        <w:t>Trybunał</w:t>
      </w:r>
      <w:r w:rsidR="005E4241" w:rsidRPr="0001543F">
        <w:rPr>
          <w:lang w:val="pl-PL"/>
        </w:rPr>
        <w:t xml:space="preserve"> zauważa jednakże, iż listy były opieczętowane pieczątkami jednostki penitencjarnej</w:t>
      </w:r>
      <w:r w:rsidR="00506AD7" w:rsidRPr="0001543F">
        <w:rPr>
          <w:lang w:val="pl-PL"/>
        </w:rPr>
        <w:t xml:space="preserve">. </w:t>
      </w:r>
      <w:r w:rsidR="005E4241" w:rsidRPr="0001543F">
        <w:rPr>
          <w:lang w:val="pl-PL"/>
        </w:rPr>
        <w:t>Ponadto do listów</w:t>
      </w:r>
      <w:r w:rsidR="00506AD7" w:rsidRPr="0001543F">
        <w:rPr>
          <w:lang w:val="pl-PL"/>
        </w:rPr>
        <w:t xml:space="preserve"> </w:t>
      </w:r>
      <w:r w:rsidR="00D463C6" w:rsidRPr="0001543F">
        <w:rPr>
          <w:lang w:val="pl-PL"/>
        </w:rPr>
        <w:t>skarżąc</w:t>
      </w:r>
      <w:r w:rsidR="005E4241" w:rsidRPr="0001543F">
        <w:rPr>
          <w:lang w:val="pl-PL"/>
        </w:rPr>
        <w:t xml:space="preserve">ego adresowanych do </w:t>
      </w:r>
      <w:r w:rsidR="002C0F9F" w:rsidRPr="0001543F">
        <w:rPr>
          <w:lang w:val="pl-PL"/>
        </w:rPr>
        <w:t>Trybunał</w:t>
      </w:r>
      <w:r w:rsidR="005E4241" w:rsidRPr="0001543F">
        <w:rPr>
          <w:lang w:val="pl-PL"/>
        </w:rPr>
        <w:t>u załączano pisma przewodnie z jednostki penitencjarnej</w:t>
      </w:r>
      <w:r w:rsidR="00506AD7" w:rsidRPr="0001543F">
        <w:rPr>
          <w:lang w:val="pl-PL"/>
        </w:rPr>
        <w:t xml:space="preserve"> </w:t>
      </w:r>
      <w:r w:rsidR="00C40C63" w:rsidRPr="0001543F">
        <w:rPr>
          <w:lang w:val="pl-PL"/>
        </w:rPr>
        <w:t xml:space="preserve">wskazujące na charakter </w:t>
      </w:r>
      <w:r w:rsidR="00D463C6" w:rsidRPr="0001543F">
        <w:rPr>
          <w:lang w:val="pl-PL"/>
        </w:rPr>
        <w:t>korespondencj</w:t>
      </w:r>
      <w:r w:rsidR="00C40C63" w:rsidRPr="0001543F">
        <w:rPr>
          <w:lang w:val="pl-PL"/>
        </w:rPr>
        <w:t>i</w:t>
      </w:r>
      <w:r w:rsidR="00506AD7" w:rsidRPr="0001543F">
        <w:rPr>
          <w:lang w:val="pl-PL"/>
        </w:rPr>
        <w:t xml:space="preserve"> </w:t>
      </w:r>
      <w:r w:rsidR="00E42194" w:rsidRPr="0001543F">
        <w:rPr>
          <w:lang w:val="pl-PL"/>
        </w:rPr>
        <w:t>lub liczbę załączników</w:t>
      </w:r>
      <w:r w:rsidR="00D9065D" w:rsidRPr="0001543F">
        <w:rPr>
          <w:lang w:val="pl-PL"/>
        </w:rPr>
        <w:t xml:space="preserve">. Fakty sugerują, że przynajmniej niektóre spośród listów </w:t>
      </w:r>
      <w:r w:rsidR="00D463C6" w:rsidRPr="0001543F">
        <w:rPr>
          <w:lang w:val="pl-PL"/>
        </w:rPr>
        <w:t>skarżąc</w:t>
      </w:r>
      <w:r w:rsidR="00D9065D" w:rsidRPr="0001543F">
        <w:rPr>
          <w:lang w:val="pl-PL"/>
        </w:rPr>
        <w:t xml:space="preserve">ego do </w:t>
      </w:r>
      <w:r w:rsidR="002C0F9F" w:rsidRPr="0001543F">
        <w:rPr>
          <w:lang w:val="pl-PL"/>
        </w:rPr>
        <w:t>Trybunał</w:t>
      </w:r>
      <w:r w:rsidR="008770EA" w:rsidRPr="0001543F">
        <w:rPr>
          <w:lang w:val="pl-PL"/>
        </w:rPr>
        <w:t>u</w:t>
      </w:r>
      <w:r w:rsidR="00D9065D" w:rsidRPr="0001543F">
        <w:rPr>
          <w:lang w:val="pl-PL"/>
        </w:rPr>
        <w:t xml:space="preserve"> były kontrolowane przez urzędników Państwa</w:t>
      </w:r>
      <w:r w:rsidR="00506AD7" w:rsidRPr="0001543F">
        <w:rPr>
          <w:lang w:val="pl-PL"/>
        </w:rPr>
        <w:t>.</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163</w:t>
      </w:r>
      <w:r w:rsidRPr="0001543F">
        <w:rPr>
          <w:lang w:val="pl-PL"/>
        </w:rPr>
        <w:fldChar w:fldCharType="end"/>
      </w:r>
      <w:r w:rsidR="00506AD7" w:rsidRPr="0001543F">
        <w:rPr>
          <w:lang w:val="pl-PL"/>
        </w:rPr>
        <w:t>.  </w:t>
      </w:r>
      <w:r w:rsidR="00E42194" w:rsidRPr="0001543F">
        <w:rPr>
          <w:lang w:val="pl-PL"/>
        </w:rPr>
        <w:t xml:space="preserve">Trybunał zauważa, że o ile jeden z </w:t>
      </w:r>
      <w:r w:rsidR="00C42FE2" w:rsidRPr="0001543F">
        <w:rPr>
          <w:lang w:val="pl-PL"/>
        </w:rPr>
        <w:t>l</w:t>
      </w:r>
      <w:r w:rsidR="00E42194" w:rsidRPr="0001543F">
        <w:rPr>
          <w:lang w:val="pl-PL"/>
        </w:rPr>
        <w:t xml:space="preserve">istów </w:t>
      </w:r>
      <w:r w:rsidR="00C42FE2" w:rsidRPr="0001543F">
        <w:rPr>
          <w:lang w:val="pl-PL"/>
        </w:rPr>
        <w:t xml:space="preserve">będących przedmiotem skargi </w:t>
      </w:r>
      <w:r w:rsidR="00E42194" w:rsidRPr="0001543F">
        <w:rPr>
          <w:lang w:val="pl-PL"/>
        </w:rPr>
        <w:t>zawierał prośbę Tr</w:t>
      </w:r>
      <w:r w:rsidR="002C0F9F" w:rsidRPr="0001543F">
        <w:rPr>
          <w:lang w:val="pl-PL"/>
        </w:rPr>
        <w:t>ybunał</w:t>
      </w:r>
      <w:r w:rsidR="00E42194" w:rsidRPr="0001543F">
        <w:rPr>
          <w:lang w:val="pl-PL"/>
        </w:rPr>
        <w:t xml:space="preserve">u </w:t>
      </w:r>
      <w:r w:rsidR="00506AD7" w:rsidRPr="0001543F">
        <w:rPr>
          <w:lang w:val="pl-PL"/>
        </w:rPr>
        <w:t>o</w:t>
      </w:r>
      <w:r w:rsidR="00E42194" w:rsidRPr="0001543F">
        <w:rPr>
          <w:lang w:val="pl-PL"/>
        </w:rPr>
        <w:t xml:space="preserve"> przedstawienie dodatkowych </w:t>
      </w:r>
      <w:r w:rsidR="00506AD7" w:rsidRPr="0001543F">
        <w:rPr>
          <w:lang w:val="pl-PL"/>
        </w:rPr>
        <w:t>informa</w:t>
      </w:r>
      <w:r w:rsidR="00E42194" w:rsidRPr="0001543F">
        <w:rPr>
          <w:lang w:val="pl-PL"/>
        </w:rPr>
        <w:t xml:space="preserve">cji odnoszących się do zarzutu </w:t>
      </w:r>
      <w:r w:rsidR="00D463C6" w:rsidRPr="0001543F">
        <w:rPr>
          <w:lang w:val="pl-PL"/>
        </w:rPr>
        <w:t>skarżąc</w:t>
      </w:r>
      <w:r w:rsidR="00E42194" w:rsidRPr="0001543F">
        <w:rPr>
          <w:lang w:val="pl-PL"/>
        </w:rPr>
        <w:t xml:space="preserve">ego dotyczącego warunków osadzenia w </w:t>
      </w:r>
      <w:r w:rsidR="00506AD7" w:rsidRPr="0001543F">
        <w:rPr>
          <w:lang w:val="pl-PL"/>
        </w:rPr>
        <w:t>aresz</w:t>
      </w:r>
      <w:r w:rsidR="00E42194" w:rsidRPr="0001543F">
        <w:rPr>
          <w:lang w:val="pl-PL"/>
        </w:rPr>
        <w:t>cie</w:t>
      </w:r>
      <w:r w:rsidR="00506AD7" w:rsidRPr="0001543F">
        <w:rPr>
          <w:lang w:val="pl-PL"/>
        </w:rPr>
        <w:t xml:space="preserve"> śledczy</w:t>
      </w:r>
      <w:r w:rsidR="00E42194" w:rsidRPr="0001543F">
        <w:rPr>
          <w:lang w:val="pl-PL"/>
        </w:rPr>
        <w:t>m</w:t>
      </w:r>
      <w:r w:rsidR="00506AD7" w:rsidRPr="0001543F">
        <w:rPr>
          <w:lang w:val="pl-PL"/>
        </w:rPr>
        <w:t xml:space="preserve">, </w:t>
      </w:r>
      <w:r w:rsidR="00E42194" w:rsidRPr="0001543F">
        <w:rPr>
          <w:lang w:val="pl-PL"/>
        </w:rPr>
        <w:t>pozo</w:t>
      </w:r>
      <w:r w:rsidR="00AA431E" w:rsidRPr="0001543F">
        <w:rPr>
          <w:lang w:val="pl-PL"/>
        </w:rPr>
        <w:t>stałe</w:t>
      </w:r>
      <w:r w:rsidR="00E42194" w:rsidRPr="0001543F">
        <w:rPr>
          <w:lang w:val="pl-PL"/>
        </w:rPr>
        <w:t xml:space="preserve"> listy wskazane przez </w:t>
      </w:r>
      <w:r w:rsidR="00D463C6" w:rsidRPr="0001543F">
        <w:rPr>
          <w:lang w:val="pl-PL"/>
        </w:rPr>
        <w:t>skarżąc</w:t>
      </w:r>
      <w:r w:rsidR="00E42194" w:rsidRPr="0001543F">
        <w:rPr>
          <w:lang w:val="pl-PL"/>
        </w:rPr>
        <w:t>ego były pis</w:t>
      </w:r>
      <w:r w:rsidR="00AA431E" w:rsidRPr="0001543F">
        <w:rPr>
          <w:lang w:val="pl-PL"/>
        </w:rPr>
        <w:t>m</w:t>
      </w:r>
      <w:r w:rsidR="00E42194" w:rsidRPr="0001543F">
        <w:rPr>
          <w:lang w:val="pl-PL"/>
        </w:rPr>
        <w:t xml:space="preserve">ami standardowymi bądź zawierały wyłącznie potwierdzenie odbioru. Jednakże władze więzienne nie mogły posiadać takiej wiedzy z wyprzedzeniem, a zatem fakt ten nie może sam w sobie pozbawiać </w:t>
      </w:r>
      <w:r w:rsidR="00D463C6" w:rsidRPr="0001543F">
        <w:rPr>
          <w:lang w:val="pl-PL"/>
        </w:rPr>
        <w:t>skarżąc</w:t>
      </w:r>
      <w:r w:rsidR="00E42194" w:rsidRPr="0001543F">
        <w:rPr>
          <w:lang w:val="pl-PL"/>
        </w:rPr>
        <w:t xml:space="preserve">ego ochrony </w:t>
      </w:r>
      <w:r w:rsidR="00506AD7" w:rsidRPr="0001543F">
        <w:rPr>
          <w:lang w:val="pl-PL"/>
        </w:rPr>
        <w:t>procedural</w:t>
      </w:r>
      <w:r w:rsidR="00E42194" w:rsidRPr="0001543F">
        <w:rPr>
          <w:lang w:val="pl-PL"/>
        </w:rPr>
        <w:t>nej wynikającej z Konwencji</w:t>
      </w:r>
      <w:r w:rsidR="00506AD7" w:rsidRPr="0001543F">
        <w:rPr>
          <w:lang w:val="pl-PL"/>
        </w:rPr>
        <w:t>.</w:t>
      </w:r>
    </w:p>
    <w:p w:rsidR="003960A7" w:rsidRPr="0001543F" w:rsidRDefault="00F559B3" w:rsidP="003960A7">
      <w:pPr>
        <w:pStyle w:val="JuPara"/>
        <w:rPr>
          <w:rStyle w:val="sb8d990e2"/>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164</w:t>
      </w:r>
      <w:r w:rsidRPr="0001543F">
        <w:rPr>
          <w:lang w:val="pl-PL"/>
        </w:rPr>
        <w:fldChar w:fldCharType="end"/>
      </w:r>
      <w:r w:rsidR="00506AD7" w:rsidRPr="0001543F">
        <w:rPr>
          <w:lang w:val="pl-PL"/>
        </w:rPr>
        <w:t>.  T</w:t>
      </w:r>
      <w:r w:rsidR="002C0F9F" w:rsidRPr="0001543F">
        <w:rPr>
          <w:lang w:val="pl-PL"/>
        </w:rPr>
        <w:t>rybunał</w:t>
      </w:r>
      <w:r w:rsidR="00D463C6" w:rsidRPr="0001543F">
        <w:rPr>
          <w:lang w:val="pl-PL"/>
        </w:rPr>
        <w:t xml:space="preserve"> uznaje, że korespondencja pomiędzy skarżącym a </w:t>
      </w:r>
      <w:r w:rsidR="002C0F9F" w:rsidRPr="0001543F">
        <w:rPr>
          <w:lang w:val="pl-PL"/>
        </w:rPr>
        <w:t>Trybunał</w:t>
      </w:r>
      <w:r w:rsidR="00D463C6" w:rsidRPr="0001543F">
        <w:rPr>
          <w:lang w:val="pl-PL"/>
        </w:rPr>
        <w:t>em była monitorowana przez pracowników jednostek</w:t>
      </w:r>
      <w:r w:rsidR="002179BB" w:rsidRPr="0001543F">
        <w:rPr>
          <w:lang w:val="pl-PL"/>
        </w:rPr>
        <w:t xml:space="preserve"> </w:t>
      </w:r>
      <w:r w:rsidR="00D463C6" w:rsidRPr="0001543F">
        <w:rPr>
          <w:lang w:val="pl-PL"/>
        </w:rPr>
        <w:t>penitencjarnych bez ważnej przyczyny</w:t>
      </w:r>
      <w:r w:rsidR="00506AD7" w:rsidRPr="0001543F">
        <w:rPr>
          <w:lang w:val="pl-PL"/>
        </w:rPr>
        <w:t xml:space="preserve">. </w:t>
      </w:r>
      <w:r w:rsidR="00C60DEC" w:rsidRPr="0001543F">
        <w:rPr>
          <w:lang w:val="pl-PL"/>
        </w:rPr>
        <w:t xml:space="preserve">Ponadto nie można uznać tej kontroli za zdarzenie sporadyczne czy dającą się usprawiedliwić pomyłkę. </w:t>
      </w:r>
      <w:r w:rsidR="004F2213" w:rsidRPr="0001543F">
        <w:rPr>
          <w:lang w:val="pl-PL"/>
        </w:rPr>
        <w:t xml:space="preserve">Dodatkowo monitorowanie stanowiło naruszenie jednoznacznej zasady </w:t>
      </w:r>
      <w:r w:rsidR="004F2213" w:rsidRPr="0001543F">
        <w:rPr>
          <w:lang w:val="pl-PL"/>
        </w:rPr>
        <w:lastRenderedPageBreak/>
        <w:t>dotyczącej poufności zawartej w art.</w:t>
      </w:r>
      <w:r w:rsidR="00506AD7" w:rsidRPr="0001543F">
        <w:rPr>
          <w:lang w:val="pl-PL"/>
        </w:rPr>
        <w:t xml:space="preserve"> 91 </w:t>
      </w:r>
      <w:r w:rsidR="005C6842" w:rsidRPr="0001543F">
        <w:rPr>
          <w:lang w:val="pl-PL"/>
        </w:rPr>
        <w:t>kkk</w:t>
      </w:r>
      <w:r w:rsidR="00506AD7" w:rsidRPr="0001543F">
        <w:rPr>
          <w:lang w:val="pl-PL"/>
        </w:rPr>
        <w:t xml:space="preserve">. </w:t>
      </w:r>
      <w:r w:rsidR="00C60DEC" w:rsidRPr="0001543F">
        <w:rPr>
          <w:lang w:val="pl-PL"/>
        </w:rPr>
        <w:t>Do obowiązków władz krajowych należało wprowadzenie zasad</w:t>
      </w:r>
      <w:r w:rsidR="006E530C" w:rsidRPr="0001543F">
        <w:rPr>
          <w:lang w:val="pl-PL"/>
        </w:rPr>
        <w:t>, które umożliwiłyby uniknięcie efektu „zamrożenia” skuteczności wykonywania prawa jednostki do składania do Trybunału skargi indywidualnej</w:t>
      </w:r>
      <w:r w:rsidR="00506AD7" w:rsidRPr="0001543F">
        <w:rPr>
          <w:lang w:val="pl-PL"/>
        </w:rPr>
        <w:t xml:space="preserve"> </w:t>
      </w:r>
      <w:r w:rsidR="00C60DEC" w:rsidRPr="0001543F">
        <w:rPr>
          <w:lang w:val="pl-PL"/>
        </w:rPr>
        <w:t>oraz unik</w:t>
      </w:r>
      <w:r w:rsidR="006E530C" w:rsidRPr="0001543F">
        <w:rPr>
          <w:lang w:val="pl-PL"/>
        </w:rPr>
        <w:t>nięcie</w:t>
      </w:r>
      <w:r w:rsidR="00C60DEC" w:rsidRPr="0001543F">
        <w:rPr>
          <w:lang w:val="pl-PL"/>
        </w:rPr>
        <w:t xml:space="preserve"> ryzyka wywierania różnych form bezpośredniego i pośredniego wpływu na więźnia skutkujących ograniczeniem jego możliwości kontaktowania się z </w:t>
      </w:r>
      <w:r w:rsidR="002C0F9F" w:rsidRPr="0001543F">
        <w:rPr>
          <w:rStyle w:val="sb8d990e2"/>
          <w:lang w:val="pl-PL"/>
        </w:rPr>
        <w:t>Trybunał</w:t>
      </w:r>
      <w:r w:rsidR="00C60DEC" w:rsidRPr="0001543F">
        <w:rPr>
          <w:rStyle w:val="sb8d990e2"/>
          <w:lang w:val="pl-PL"/>
        </w:rPr>
        <w:t>em</w:t>
      </w:r>
      <w:r w:rsidR="00506AD7" w:rsidRPr="0001543F">
        <w:rPr>
          <w:rStyle w:val="sb8d990e2"/>
          <w:lang w:val="pl-PL"/>
        </w:rPr>
        <w:t>.</w:t>
      </w:r>
    </w:p>
    <w:p w:rsidR="003960A7" w:rsidRPr="0001543F" w:rsidRDefault="00F559B3" w:rsidP="003960A7">
      <w:pPr>
        <w:pStyle w:val="JuPara"/>
        <w:rPr>
          <w:lang w:val="pl-PL"/>
        </w:rPr>
      </w:pPr>
      <w:r w:rsidRPr="0001543F">
        <w:rPr>
          <w:rStyle w:val="sb8d990e2"/>
          <w:lang w:val="pl-PL"/>
        </w:rPr>
        <w:fldChar w:fldCharType="begin"/>
      </w:r>
      <w:r w:rsidR="00506AD7" w:rsidRPr="0001543F">
        <w:rPr>
          <w:rStyle w:val="sb8d990e2"/>
          <w:lang w:val="pl-PL"/>
        </w:rPr>
        <w:instrText xml:space="preserve"> SEQ level0 \*arabic </w:instrText>
      </w:r>
      <w:r w:rsidRPr="0001543F">
        <w:rPr>
          <w:rStyle w:val="sb8d990e2"/>
          <w:lang w:val="pl-PL"/>
        </w:rPr>
        <w:fldChar w:fldCharType="separate"/>
      </w:r>
      <w:r w:rsidR="00746F08" w:rsidRPr="0001543F">
        <w:rPr>
          <w:rStyle w:val="sb8d990e2"/>
          <w:noProof/>
          <w:lang w:val="pl-PL"/>
        </w:rPr>
        <w:t>165</w:t>
      </w:r>
      <w:r w:rsidRPr="0001543F">
        <w:rPr>
          <w:rStyle w:val="sb8d990e2"/>
          <w:lang w:val="pl-PL"/>
        </w:rPr>
        <w:fldChar w:fldCharType="end"/>
      </w:r>
      <w:r w:rsidR="00506AD7" w:rsidRPr="0001543F">
        <w:rPr>
          <w:rStyle w:val="sb8d990e2"/>
          <w:lang w:val="pl-PL"/>
        </w:rPr>
        <w:t>.  </w:t>
      </w:r>
      <w:r w:rsidR="00347EDF" w:rsidRPr="0001543F">
        <w:rPr>
          <w:rStyle w:val="sb8d990e2"/>
          <w:lang w:val="pl-PL"/>
        </w:rPr>
        <w:t xml:space="preserve">Powyższe elementy, rozpoznawane łącznie, doprowadziły </w:t>
      </w:r>
      <w:r w:rsidR="002C0F9F" w:rsidRPr="0001543F">
        <w:rPr>
          <w:rStyle w:val="sb8d990e2"/>
          <w:lang w:val="pl-PL"/>
        </w:rPr>
        <w:t>Trybunał</w:t>
      </w:r>
      <w:r w:rsidR="00347EDF" w:rsidRPr="0001543F">
        <w:rPr>
          <w:rStyle w:val="sb8d990e2"/>
          <w:lang w:val="pl-PL"/>
        </w:rPr>
        <w:t xml:space="preserve"> do stwierdzenia, że w niniejszej sprawie </w:t>
      </w:r>
      <w:r w:rsidR="00506AD7" w:rsidRPr="0001543F">
        <w:rPr>
          <w:lang w:val="pl-PL"/>
        </w:rPr>
        <w:t>Rosj</w:t>
      </w:r>
      <w:r w:rsidR="00347EDF" w:rsidRPr="0001543F">
        <w:rPr>
          <w:lang w:val="pl-PL"/>
        </w:rPr>
        <w:t xml:space="preserve">a nie spełniła swoich obowiązków </w:t>
      </w:r>
      <w:r w:rsidR="00AA431E" w:rsidRPr="0001543F">
        <w:rPr>
          <w:lang w:val="pl-PL"/>
        </w:rPr>
        <w:t>wynikających z</w:t>
      </w:r>
      <w:r w:rsidR="00347EDF" w:rsidRPr="0001543F">
        <w:rPr>
          <w:lang w:val="pl-PL"/>
        </w:rPr>
        <w:t xml:space="preserve"> artykułu </w:t>
      </w:r>
      <w:r w:rsidR="00506AD7" w:rsidRPr="0001543F">
        <w:rPr>
          <w:lang w:val="pl-PL"/>
        </w:rPr>
        <w:t xml:space="preserve">34 </w:t>
      </w:r>
      <w:r w:rsidR="00347EDF" w:rsidRPr="0001543F">
        <w:rPr>
          <w:lang w:val="pl-PL"/>
        </w:rPr>
        <w:t>Konwencji</w:t>
      </w:r>
      <w:r w:rsidR="00506AD7" w:rsidRPr="0001543F">
        <w:rPr>
          <w:lang w:val="pl-PL"/>
        </w:rPr>
        <w:t>.</w:t>
      </w:r>
    </w:p>
    <w:p w:rsidR="003960A7" w:rsidRPr="0001543F" w:rsidRDefault="003960A7" w:rsidP="003960A7">
      <w:pPr>
        <w:pStyle w:val="JuHIRoman"/>
        <w:rPr>
          <w:lang w:val="pl-PL"/>
        </w:rPr>
      </w:pPr>
      <w:r w:rsidRPr="0001543F">
        <w:rPr>
          <w:lang w:val="pl-PL"/>
        </w:rPr>
        <w:t>IV. POZOSTAŁE ZARZUTY NARUSZENIA KONWENCJI</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166</w:t>
      </w:r>
      <w:r w:rsidRPr="0001543F">
        <w:rPr>
          <w:lang w:val="pl-PL"/>
        </w:rPr>
        <w:fldChar w:fldCharType="end"/>
      </w:r>
      <w:r w:rsidR="00506AD7" w:rsidRPr="0001543F">
        <w:rPr>
          <w:lang w:val="pl-PL"/>
        </w:rPr>
        <w:t>.  Skarżący podniósł ponadto zarzut dotycząc</w:t>
      </w:r>
      <w:r w:rsidR="008E7CB2" w:rsidRPr="0001543F">
        <w:rPr>
          <w:lang w:val="pl-PL"/>
        </w:rPr>
        <w:t xml:space="preserve">y warunków osadzenia w 2005 r. Sformułował również pewną liczbę zarzutów dotyczących zatrzymania i aresztowania w latach </w:t>
      </w:r>
      <w:r w:rsidR="00506AD7" w:rsidRPr="0001543F">
        <w:rPr>
          <w:lang w:val="pl-PL"/>
        </w:rPr>
        <w:t>2001</w:t>
      </w:r>
      <w:r w:rsidR="00AE1B21" w:rsidRPr="0001543F">
        <w:rPr>
          <w:lang w:val="pl-PL"/>
        </w:rPr>
        <w:t xml:space="preserve"> </w:t>
      </w:r>
      <w:r w:rsidR="00506AD7" w:rsidRPr="0001543F">
        <w:rPr>
          <w:lang w:val="pl-PL"/>
        </w:rPr>
        <w:t>-</w:t>
      </w:r>
      <w:r w:rsidR="00AE1B21" w:rsidRPr="0001543F">
        <w:rPr>
          <w:lang w:val="pl-PL"/>
        </w:rPr>
        <w:t xml:space="preserve"> </w:t>
      </w:r>
      <w:r w:rsidR="008E7CB2" w:rsidRPr="0001543F">
        <w:rPr>
          <w:lang w:val="pl-PL"/>
        </w:rPr>
        <w:t>20</w:t>
      </w:r>
      <w:r w:rsidR="00506AD7" w:rsidRPr="0001543F">
        <w:rPr>
          <w:lang w:val="pl-PL"/>
        </w:rPr>
        <w:t xml:space="preserve">02 </w:t>
      </w:r>
      <w:r w:rsidR="008E7CB2" w:rsidRPr="0001543F">
        <w:rPr>
          <w:lang w:val="pl-PL"/>
        </w:rPr>
        <w:t>i</w:t>
      </w:r>
      <w:r w:rsidR="00506AD7" w:rsidRPr="0001543F">
        <w:rPr>
          <w:lang w:val="pl-PL"/>
        </w:rPr>
        <w:t xml:space="preserve"> </w:t>
      </w:r>
      <w:r w:rsidR="008E7CB2" w:rsidRPr="0001543F">
        <w:rPr>
          <w:lang w:val="pl-PL"/>
        </w:rPr>
        <w:t xml:space="preserve">w roku </w:t>
      </w:r>
      <w:r w:rsidR="00506AD7" w:rsidRPr="0001543F">
        <w:rPr>
          <w:lang w:val="pl-PL"/>
        </w:rPr>
        <w:t xml:space="preserve">2009. </w:t>
      </w:r>
      <w:r w:rsidR="008E7CB2" w:rsidRPr="0001543F">
        <w:rPr>
          <w:lang w:val="pl-PL"/>
        </w:rPr>
        <w:t xml:space="preserve">Wreszcie skarżący przedstawił zarzut, że w lokalnej telewizji </w:t>
      </w:r>
      <w:r w:rsidR="006E530C" w:rsidRPr="0001543F">
        <w:rPr>
          <w:lang w:val="pl-PL"/>
        </w:rPr>
        <w:t xml:space="preserve">relacjonowano </w:t>
      </w:r>
      <w:r w:rsidR="008E7CB2" w:rsidRPr="0001543F">
        <w:rPr>
          <w:lang w:val="pl-PL"/>
        </w:rPr>
        <w:t>proces i traktowano go jako przestępcę</w:t>
      </w:r>
      <w:r w:rsidR="00506AD7" w:rsidRPr="0001543F">
        <w:rPr>
          <w:lang w:val="pl-PL"/>
        </w:rPr>
        <w:t>.</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167</w:t>
      </w:r>
      <w:r w:rsidRPr="0001543F">
        <w:rPr>
          <w:lang w:val="pl-PL"/>
        </w:rPr>
        <w:fldChar w:fldCharType="end"/>
      </w:r>
      <w:r w:rsidR="00506AD7" w:rsidRPr="0001543F">
        <w:rPr>
          <w:lang w:val="pl-PL"/>
        </w:rPr>
        <w:t>.  </w:t>
      </w:r>
      <w:r w:rsidR="002C0F9F" w:rsidRPr="0001543F">
        <w:rPr>
          <w:lang w:val="pl-PL"/>
        </w:rPr>
        <w:t>Trybunał</w:t>
      </w:r>
      <w:r w:rsidR="00A93349" w:rsidRPr="0001543F">
        <w:rPr>
          <w:lang w:val="pl-PL"/>
        </w:rPr>
        <w:t xml:space="preserve"> zbadał </w:t>
      </w:r>
      <w:r w:rsidR="006E530C" w:rsidRPr="0001543F">
        <w:rPr>
          <w:lang w:val="pl-PL"/>
        </w:rPr>
        <w:t xml:space="preserve">te </w:t>
      </w:r>
      <w:r w:rsidR="00A93349" w:rsidRPr="0001543F">
        <w:rPr>
          <w:lang w:val="pl-PL"/>
        </w:rPr>
        <w:t xml:space="preserve">zarzuty </w:t>
      </w:r>
      <w:r w:rsidR="006E530C" w:rsidRPr="0001543F">
        <w:rPr>
          <w:lang w:val="pl-PL"/>
        </w:rPr>
        <w:t xml:space="preserve">w formie przedstawionej przez </w:t>
      </w:r>
      <w:r w:rsidR="00D463C6" w:rsidRPr="0001543F">
        <w:rPr>
          <w:lang w:val="pl-PL"/>
        </w:rPr>
        <w:t>skarżąc</w:t>
      </w:r>
      <w:r w:rsidR="006E530C" w:rsidRPr="0001543F">
        <w:rPr>
          <w:lang w:val="pl-PL"/>
        </w:rPr>
        <w:t>ego</w:t>
      </w:r>
      <w:r w:rsidR="00506AD7" w:rsidRPr="0001543F">
        <w:rPr>
          <w:lang w:val="pl-PL"/>
        </w:rPr>
        <w:t xml:space="preserve">. </w:t>
      </w:r>
      <w:r w:rsidR="00A93349" w:rsidRPr="0001543F">
        <w:rPr>
          <w:lang w:val="pl-PL"/>
        </w:rPr>
        <w:t xml:space="preserve">Jednakże w świetle całości posiadanych materiałów oraz w zakresie, w jakim kwestie będące przedmiotem skargi należą do kompetencji Trybunału, </w:t>
      </w:r>
      <w:r w:rsidR="002C0F9F" w:rsidRPr="0001543F">
        <w:rPr>
          <w:lang w:val="pl-PL"/>
        </w:rPr>
        <w:t>Trybunał</w:t>
      </w:r>
      <w:r w:rsidR="00A93349" w:rsidRPr="0001543F">
        <w:rPr>
          <w:lang w:val="pl-PL"/>
        </w:rPr>
        <w:t xml:space="preserve"> uznaje, że nie </w:t>
      </w:r>
      <w:r w:rsidR="006E530C" w:rsidRPr="0001543F">
        <w:rPr>
          <w:lang w:val="pl-PL"/>
        </w:rPr>
        <w:t xml:space="preserve">noszą one znamion </w:t>
      </w:r>
      <w:r w:rsidR="00A93349" w:rsidRPr="0001543F">
        <w:rPr>
          <w:lang w:val="pl-PL"/>
        </w:rPr>
        <w:t>naruszenia praw i wolności określonych w Konwencji i jej Protokołach</w:t>
      </w:r>
      <w:r w:rsidR="00506AD7" w:rsidRPr="0001543F">
        <w:rPr>
          <w:lang w:val="pl-PL"/>
        </w:rPr>
        <w:t>. Zatem ta część skargi jest oczywiście bezzasadna i musi zostać odrzucona zgodnie z artykułem 35 ust. 3 lit. (a) i ust. 4 Konwencji.</w:t>
      </w:r>
    </w:p>
    <w:p w:rsidR="003960A7" w:rsidRPr="0001543F" w:rsidRDefault="003960A7" w:rsidP="003960A7">
      <w:pPr>
        <w:pStyle w:val="JuHIRoman"/>
        <w:rPr>
          <w:lang w:val="pl-PL"/>
        </w:rPr>
      </w:pPr>
      <w:r w:rsidRPr="0001543F">
        <w:rPr>
          <w:lang w:val="pl-PL"/>
        </w:rPr>
        <w:t>VI.  ZASTOSOWANIE ARTYKUŁU 41 KONWENCJI</w:t>
      </w:r>
    </w:p>
    <w:p w:rsidR="003960A7" w:rsidRPr="0001543F" w:rsidRDefault="00F559B3" w:rsidP="003960A7">
      <w:pPr>
        <w:pStyle w:val="JuPara"/>
        <w:keepNext/>
        <w:keepLines/>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168</w:t>
      </w:r>
      <w:r w:rsidRPr="0001543F">
        <w:rPr>
          <w:lang w:val="pl-PL"/>
        </w:rPr>
        <w:fldChar w:fldCharType="end"/>
      </w:r>
      <w:r w:rsidR="00506AD7" w:rsidRPr="0001543F">
        <w:rPr>
          <w:lang w:val="pl-PL"/>
        </w:rPr>
        <w:t>.  Przepis artykułu 41 Konwencji stanowi:</w:t>
      </w:r>
    </w:p>
    <w:p w:rsidR="003960A7" w:rsidRPr="0001543F" w:rsidRDefault="003960A7" w:rsidP="003960A7">
      <w:pPr>
        <w:pStyle w:val="JuQuot"/>
        <w:keepNext/>
        <w:keepLines/>
        <w:rPr>
          <w:lang w:val="pl-PL"/>
        </w:rPr>
      </w:pPr>
      <w:r w:rsidRPr="0001543F">
        <w:rPr>
          <w:lang w:val="pl-PL"/>
        </w:rPr>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p>
    <w:p w:rsidR="003960A7" w:rsidRPr="0001543F" w:rsidRDefault="003960A7" w:rsidP="003960A7">
      <w:pPr>
        <w:pStyle w:val="JuHA"/>
        <w:keepLines w:val="0"/>
        <w:outlineLvl w:val="0"/>
        <w:rPr>
          <w:lang w:val="pl-PL"/>
        </w:rPr>
      </w:pPr>
      <w:r w:rsidRPr="0001543F">
        <w:rPr>
          <w:bCs/>
          <w:lang w:val="pl-PL"/>
        </w:rPr>
        <w:t>A.  Odszkodowanie</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169</w:t>
      </w:r>
      <w:r w:rsidRPr="0001543F">
        <w:rPr>
          <w:lang w:val="pl-PL"/>
        </w:rPr>
        <w:fldChar w:fldCharType="end"/>
      </w:r>
      <w:r w:rsidR="00506AD7" w:rsidRPr="0001543F">
        <w:rPr>
          <w:lang w:val="pl-PL"/>
        </w:rPr>
        <w:t xml:space="preserve">.  Skarżący domagał </w:t>
      </w:r>
      <w:r w:rsidR="008C7A56" w:rsidRPr="0001543F">
        <w:rPr>
          <w:lang w:val="pl-PL"/>
        </w:rPr>
        <w:t>się</w:t>
      </w:r>
      <w:r w:rsidR="00506AD7" w:rsidRPr="0001543F">
        <w:rPr>
          <w:lang w:val="pl-PL"/>
        </w:rPr>
        <w:t xml:space="preserve"> odszkodowania w wysokości 246.200 euro (EUR) z tytułu szkód niematerialnych. </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170</w:t>
      </w:r>
      <w:r w:rsidRPr="0001543F">
        <w:rPr>
          <w:lang w:val="pl-PL"/>
        </w:rPr>
        <w:fldChar w:fldCharType="end"/>
      </w:r>
      <w:r w:rsidR="00506AD7" w:rsidRPr="0001543F">
        <w:rPr>
          <w:lang w:val="pl-PL"/>
        </w:rPr>
        <w:t>.  Rząd zakwestionował to roszczenie.</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171</w:t>
      </w:r>
      <w:r w:rsidRPr="0001543F">
        <w:rPr>
          <w:lang w:val="pl-PL"/>
        </w:rPr>
        <w:fldChar w:fldCharType="end"/>
      </w:r>
      <w:r w:rsidR="008C7A56" w:rsidRPr="0001543F">
        <w:rPr>
          <w:lang w:val="pl-PL"/>
        </w:rPr>
        <w:t>.  </w:t>
      </w:r>
      <w:r w:rsidR="002C0F9F" w:rsidRPr="0001543F">
        <w:rPr>
          <w:lang w:val="pl-PL"/>
        </w:rPr>
        <w:t>Trybunał</w:t>
      </w:r>
      <w:r w:rsidR="008C7A56" w:rsidRPr="0001543F">
        <w:rPr>
          <w:lang w:val="pl-PL"/>
        </w:rPr>
        <w:t xml:space="preserve"> stwierdza, że skarżący doznał cierpienia i frustracji ze względu na warunki tymczasowego aresztowania w</w:t>
      </w:r>
      <w:r w:rsidR="00506AD7" w:rsidRPr="0001543F">
        <w:rPr>
          <w:lang w:val="pl-PL"/>
        </w:rPr>
        <w:t xml:space="preserve"> aresz</w:t>
      </w:r>
      <w:r w:rsidR="008C7A56" w:rsidRPr="0001543F">
        <w:rPr>
          <w:lang w:val="pl-PL"/>
        </w:rPr>
        <w:t>cie</w:t>
      </w:r>
      <w:r w:rsidR="00506AD7" w:rsidRPr="0001543F">
        <w:rPr>
          <w:lang w:val="pl-PL"/>
        </w:rPr>
        <w:t xml:space="preserve"> śledczy</w:t>
      </w:r>
      <w:r w:rsidR="008C7A56" w:rsidRPr="0001543F">
        <w:rPr>
          <w:lang w:val="pl-PL"/>
        </w:rPr>
        <w:t xml:space="preserve">m oraz niezgodne z prawem osadzenie na podstawie wyroku w </w:t>
      </w:r>
      <w:r w:rsidR="00506AD7" w:rsidRPr="0001543F">
        <w:rPr>
          <w:lang w:val="pl-PL"/>
        </w:rPr>
        <w:t>2003</w:t>
      </w:r>
      <w:r w:rsidR="008C7A56" w:rsidRPr="0001543F">
        <w:rPr>
          <w:lang w:val="pl-PL"/>
        </w:rPr>
        <w:t xml:space="preserve"> r</w:t>
      </w:r>
      <w:r w:rsidR="00506AD7" w:rsidRPr="0001543F">
        <w:rPr>
          <w:lang w:val="pl-PL"/>
        </w:rPr>
        <w:t xml:space="preserve">. </w:t>
      </w:r>
      <w:r w:rsidR="002C0F9F" w:rsidRPr="0001543F">
        <w:rPr>
          <w:lang w:val="pl-PL"/>
        </w:rPr>
        <w:t>Trybunał</w:t>
      </w:r>
      <w:r w:rsidR="008C7A56" w:rsidRPr="0001543F">
        <w:rPr>
          <w:lang w:val="pl-PL"/>
        </w:rPr>
        <w:t xml:space="preserve"> uznaje, że </w:t>
      </w:r>
      <w:r w:rsidR="002971C8" w:rsidRPr="0001543F">
        <w:rPr>
          <w:lang w:val="pl-PL"/>
        </w:rPr>
        <w:t>samo stwierdzenie naruszenia nie może stanowić rekompensaty</w:t>
      </w:r>
      <w:r w:rsidR="00506AD7" w:rsidRPr="0001543F">
        <w:rPr>
          <w:lang w:val="pl-PL"/>
        </w:rPr>
        <w:t xml:space="preserve">. </w:t>
      </w:r>
      <w:r w:rsidR="00506AD7" w:rsidRPr="0001543F">
        <w:rPr>
          <w:lang w:val="pl-PL"/>
        </w:rPr>
        <w:lastRenderedPageBreak/>
        <w:t>Trybunał uznaje za właściwe przyznać skarżącemu kwotę w wysokości 20.000 euro plus ewentualne należne podatki.</w:t>
      </w:r>
    </w:p>
    <w:p w:rsidR="003960A7" w:rsidRPr="0001543F" w:rsidRDefault="003960A7" w:rsidP="003960A7">
      <w:pPr>
        <w:pStyle w:val="JuHA"/>
        <w:outlineLvl w:val="0"/>
        <w:rPr>
          <w:lang w:val="pl-PL"/>
        </w:rPr>
      </w:pPr>
      <w:r w:rsidRPr="0001543F">
        <w:rPr>
          <w:bCs/>
          <w:lang w:val="pl-PL"/>
        </w:rPr>
        <w:t>B.  Koszty i wydatki</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172</w:t>
      </w:r>
      <w:r w:rsidRPr="0001543F">
        <w:rPr>
          <w:lang w:val="pl-PL"/>
        </w:rPr>
        <w:fldChar w:fldCharType="end"/>
      </w:r>
      <w:r w:rsidR="00506AD7" w:rsidRPr="0001543F">
        <w:rPr>
          <w:lang w:val="pl-PL"/>
        </w:rPr>
        <w:t>.  Skarżący zażądał także płatności kwoty 2.460 euro z tytułu kosztów prawnych poniesionych przed Trybunałem na rzecz reprezentującej skarżącego p. A. Polozovej.</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173</w:t>
      </w:r>
      <w:r w:rsidRPr="0001543F">
        <w:rPr>
          <w:lang w:val="pl-PL"/>
        </w:rPr>
        <w:fldChar w:fldCharType="end"/>
      </w:r>
      <w:r w:rsidR="00506AD7" w:rsidRPr="0001543F">
        <w:rPr>
          <w:lang w:val="pl-PL"/>
        </w:rPr>
        <w:t>.  Rząd zakwestionował to roszczenie.</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174</w:t>
      </w:r>
      <w:r w:rsidRPr="0001543F">
        <w:rPr>
          <w:lang w:val="pl-PL"/>
        </w:rPr>
        <w:fldChar w:fldCharType="end"/>
      </w:r>
      <w:r w:rsidR="00506AD7" w:rsidRPr="0001543F">
        <w:rPr>
          <w:lang w:val="pl-PL"/>
        </w:rPr>
        <w:t xml:space="preserve">.  Zgodnie z orzecznictwem Trybunału, skarżący jest uprawniony do otrzymania zwrotu kosztów oraz wydatków tylko w takim zakresie, w jakim wykazał, że były one rzeczywiście i koniecznie poniesione i były uzasadnione co do wysokości. Trybunał zauważa, że skarżącemu przyznano już pomoc prawną w wysokości 850 </w:t>
      </w:r>
      <w:r w:rsidR="00AA431E" w:rsidRPr="0001543F">
        <w:rPr>
          <w:lang w:val="pl-PL"/>
        </w:rPr>
        <w:t>euro</w:t>
      </w:r>
      <w:r w:rsidR="00506AD7" w:rsidRPr="0001543F">
        <w:rPr>
          <w:lang w:val="pl-PL"/>
        </w:rPr>
        <w:t>. W niniejszej sprawie, uwzględniając dokumentację znajdującą się w posiadaniu Trybunału oraz powyższe kryteria, Trybunał uznaje za zasadne przyznać kwotę 1.000 euro z tytułu postępowania przez Trybunałem, do wypłaty na rachunek bankowy p. Polozovej.</w:t>
      </w:r>
    </w:p>
    <w:p w:rsidR="003960A7" w:rsidRPr="0001543F" w:rsidRDefault="003960A7" w:rsidP="003960A7">
      <w:pPr>
        <w:pStyle w:val="JuHA"/>
        <w:outlineLvl w:val="0"/>
        <w:rPr>
          <w:lang w:val="pl-PL"/>
        </w:rPr>
      </w:pPr>
      <w:r w:rsidRPr="0001543F">
        <w:rPr>
          <w:bCs/>
          <w:lang w:val="pl-PL"/>
        </w:rPr>
        <w:t>C.  Odsetki za zwłokę</w:t>
      </w:r>
    </w:p>
    <w:p w:rsidR="003960A7" w:rsidRPr="0001543F" w:rsidRDefault="00F559B3" w:rsidP="003960A7">
      <w:pPr>
        <w:pStyle w:val="JuPara"/>
        <w:rPr>
          <w:lang w:val="pl-PL"/>
        </w:rPr>
      </w:pPr>
      <w:r w:rsidRPr="0001543F">
        <w:rPr>
          <w:lang w:val="pl-PL"/>
        </w:rPr>
        <w:fldChar w:fldCharType="begin"/>
      </w:r>
      <w:r w:rsidR="00506AD7" w:rsidRPr="0001543F">
        <w:rPr>
          <w:lang w:val="pl-PL"/>
        </w:rPr>
        <w:instrText xml:space="preserve"> SEQ level0 \*arabic </w:instrText>
      </w:r>
      <w:r w:rsidRPr="0001543F">
        <w:rPr>
          <w:lang w:val="pl-PL"/>
        </w:rPr>
        <w:fldChar w:fldCharType="separate"/>
      </w:r>
      <w:r w:rsidR="00746F08" w:rsidRPr="0001543F">
        <w:rPr>
          <w:noProof/>
          <w:lang w:val="pl-PL"/>
        </w:rPr>
        <w:t>175</w:t>
      </w:r>
      <w:r w:rsidRPr="0001543F">
        <w:rPr>
          <w:lang w:val="pl-PL"/>
        </w:rPr>
        <w:fldChar w:fldCharType="end"/>
      </w:r>
      <w:r w:rsidR="00506AD7" w:rsidRPr="0001543F">
        <w:rPr>
          <w:lang w:val="pl-PL"/>
        </w:rPr>
        <w:t>.  Trybunał uznaje za właściwe, by odsetki z tytułu niewypłacenia zasądzonych kwot zostały ustalone zgodnie ze stopą kredytu Europejskiego Banku Centralnego na koniec dnia, plus trzy punkty procentowe.</w:t>
      </w:r>
    </w:p>
    <w:p w:rsidR="003960A7" w:rsidRPr="0001543F" w:rsidRDefault="003960A7" w:rsidP="003960A7">
      <w:pPr>
        <w:pStyle w:val="JuHHead"/>
        <w:rPr>
          <w:lang w:val="pl-PL"/>
        </w:rPr>
      </w:pPr>
      <w:r w:rsidRPr="0001543F">
        <w:rPr>
          <w:lang w:val="pl-PL"/>
        </w:rPr>
        <w:t>Z TYCH PRZYCZYN TRYBUNAŁ</w:t>
      </w:r>
    </w:p>
    <w:p w:rsidR="003960A7" w:rsidRPr="0001543F" w:rsidRDefault="003960A7" w:rsidP="003960A7">
      <w:pPr>
        <w:pStyle w:val="JuList"/>
        <w:rPr>
          <w:lang w:val="pl-PL"/>
        </w:rPr>
      </w:pPr>
      <w:r w:rsidRPr="0001543F">
        <w:rPr>
          <w:lang w:val="pl-PL"/>
        </w:rPr>
        <w:t>1.  </w:t>
      </w:r>
      <w:r w:rsidR="002C0F9F" w:rsidRPr="0001543F">
        <w:rPr>
          <w:i/>
          <w:iCs/>
          <w:lang w:val="pl-PL"/>
        </w:rPr>
        <w:t>Włącza do meritum</w:t>
      </w:r>
      <w:r w:rsidRPr="0001543F">
        <w:rPr>
          <w:lang w:val="pl-PL"/>
        </w:rPr>
        <w:t xml:space="preserve">, </w:t>
      </w:r>
      <w:r w:rsidR="002C0F9F" w:rsidRPr="0001543F">
        <w:rPr>
          <w:lang w:val="pl-PL"/>
        </w:rPr>
        <w:t xml:space="preserve">jednomyślnie, argument Rządu dotyczący wyczerpania środków krajowych w odniesieniu do skargi dotyczącej warunków tymczasowego aresztowania i </w:t>
      </w:r>
      <w:r w:rsidR="002C0F9F" w:rsidRPr="0001543F">
        <w:rPr>
          <w:i/>
          <w:iCs/>
          <w:lang w:val="pl-PL"/>
        </w:rPr>
        <w:t>oddala go</w:t>
      </w:r>
      <w:r w:rsidRPr="0001543F">
        <w:rPr>
          <w:lang w:val="pl-PL"/>
        </w:rPr>
        <w:t>;</w:t>
      </w:r>
    </w:p>
    <w:p w:rsidR="003960A7" w:rsidRPr="0001543F" w:rsidRDefault="003960A7" w:rsidP="003960A7">
      <w:pPr>
        <w:pStyle w:val="JuList"/>
        <w:rPr>
          <w:lang w:val="pl-PL"/>
        </w:rPr>
      </w:pPr>
      <w:r w:rsidRPr="0001543F">
        <w:rPr>
          <w:lang w:val="pl-PL"/>
        </w:rPr>
        <w:t>2.  </w:t>
      </w:r>
      <w:r w:rsidRPr="0001543F">
        <w:rPr>
          <w:i/>
          <w:iCs/>
          <w:lang w:val="pl-PL"/>
        </w:rPr>
        <w:t>Uznaj</w:t>
      </w:r>
      <w:r w:rsidR="00AE1B21" w:rsidRPr="0001543F">
        <w:rPr>
          <w:i/>
          <w:iCs/>
          <w:lang w:val="pl-PL"/>
        </w:rPr>
        <w:t>e,</w:t>
      </w:r>
      <w:r w:rsidRPr="0001543F">
        <w:rPr>
          <w:lang w:val="pl-PL"/>
        </w:rPr>
        <w:t xml:space="preserve"> </w:t>
      </w:r>
      <w:r w:rsidR="00AE1B21" w:rsidRPr="0001543F">
        <w:rPr>
          <w:lang w:val="pl-PL"/>
        </w:rPr>
        <w:t xml:space="preserve">jednomyślnie, za </w:t>
      </w:r>
      <w:r w:rsidRPr="0001543F">
        <w:rPr>
          <w:lang w:val="pl-PL"/>
        </w:rPr>
        <w:t>dopuszczaln</w:t>
      </w:r>
      <w:r w:rsidR="00AA431E" w:rsidRPr="0001543F">
        <w:rPr>
          <w:lang w:val="pl-PL"/>
        </w:rPr>
        <w:t>e</w:t>
      </w:r>
      <w:r w:rsidRPr="0001543F">
        <w:rPr>
          <w:lang w:val="pl-PL"/>
        </w:rPr>
        <w:t xml:space="preserve"> skargi dotyczące warunków osadzenia w areszcie śledczym w Czelabińsku oraz zarzut dotyczący braku skutecznych środków krajowych w tym względzie; zgodności z prawem osadzenia skarżącego na mocy wyroku z dnia 24 kwietnia 2003 r.</w:t>
      </w:r>
      <w:r w:rsidR="002C0F9F" w:rsidRPr="0001543F">
        <w:rPr>
          <w:lang w:val="pl-PL"/>
        </w:rPr>
        <w:t xml:space="preserve"> </w:t>
      </w:r>
      <w:r w:rsidRPr="0001543F">
        <w:rPr>
          <w:lang w:val="pl-PL"/>
        </w:rPr>
        <w:t>oraz kontroli korespondencji skarżącego z Trybunałem oraz na poziomie krajowym;</w:t>
      </w:r>
    </w:p>
    <w:p w:rsidR="003960A7" w:rsidRPr="0001543F" w:rsidRDefault="003960A7" w:rsidP="003960A7">
      <w:pPr>
        <w:pStyle w:val="JuList"/>
        <w:rPr>
          <w:lang w:val="pl-PL"/>
        </w:rPr>
      </w:pPr>
      <w:r w:rsidRPr="0001543F">
        <w:rPr>
          <w:lang w:val="pl-PL"/>
        </w:rPr>
        <w:t>3.  </w:t>
      </w:r>
      <w:r w:rsidRPr="0001543F">
        <w:rPr>
          <w:i/>
          <w:iCs/>
          <w:lang w:val="pl-PL"/>
        </w:rPr>
        <w:t>Uznaje</w:t>
      </w:r>
      <w:r w:rsidRPr="0001543F">
        <w:rPr>
          <w:lang w:val="pl-PL"/>
        </w:rPr>
        <w:t xml:space="preserve">, jednomyślnie, pozostałą część skargi za niedopuszczalną; </w:t>
      </w:r>
    </w:p>
    <w:p w:rsidR="003960A7" w:rsidRPr="0001543F" w:rsidRDefault="003960A7" w:rsidP="003960A7">
      <w:pPr>
        <w:pStyle w:val="JuList"/>
        <w:rPr>
          <w:lang w:val="pl-PL"/>
        </w:rPr>
      </w:pPr>
      <w:r w:rsidRPr="0001543F">
        <w:rPr>
          <w:lang w:val="pl-PL"/>
        </w:rPr>
        <w:t>4.  </w:t>
      </w:r>
      <w:r w:rsidRPr="0001543F">
        <w:rPr>
          <w:i/>
          <w:iCs/>
          <w:lang w:val="pl-PL"/>
        </w:rPr>
        <w:t xml:space="preserve">Uznaje, </w:t>
      </w:r>
      <w:r w:rsidRPr="0001543F">
        <w:rPr>
          <w:lang w:val="pl-PL"/>
        </w:rPr>
        <w:t>jednomyślnie, że doszło do naruszenia artykułu 3 Konwencji;</w:t>
      </w:r>
    </w:p>
    <w:p w:rsidR="003960A7" w:rsidRPr="0001543F" w:rsidRDefault="003960A7" w:rsidP="003960A7">
      <w:pPr>
        <w:pStyle w:val="JuList"/>
        <w:rPr>
          <w:lang w:val="pl-PL"/>
        </w:rPr>
      </w:pPr>
      <w:r w:rsidRPr="0001543F">
        <w:rPr>
          <w:lang w:val="pl-PL"/>
        </w:rPr>
        <w:t>5.  </w:t>
      </w:r>
      <w:r w:rsidRPr="0001543F">
        <w:rPr>
          <w:i/>
          <w:iCs/>
          <w:lang w:val="pl-PL"/>
        </w:rPr>
        <w:t xml:space="preserve">Uznaje, </w:t>
      </w:r>
      <w:r w:rsidRPr="0001543F">
        <w:rPr>
          <w:lang w:val="pl-PL"/>
        </w:rPr>
        <w:t>jednomyślnie, że doszło do naruszenia artykułu 13 Konwencji;</w:t>
      </w:r>
    </w:p>
    <w:p w:rsidR="003960A7" w:rsidRPr="0001543F" w:rsidRDefault="003960A7" w:rsidP="003960A7">
      <w:pPr>
        <w:pStyle w:val="JuList"/>
        <w:rPr>
          <w:lang w:val="pl-PL"/>
        </w:rPr>
      </w:pPr>
      <w:r w:rsidRPr="0001543F">
        <w:rPr>
          <w:lang w:val="pl-PL"/>
        </w:rPr>
        <w:t>6.  </w:t>
      </w:r>
      <w:r w:rsidRPr="0001543F">
        <w:rPr>
          <w:i/>
          <w:iCs/>
          <w:lang w:val="pl-PL"/>
        </w:rPr>
        <w:t xml:space="preserve">Uznaje, </w:t>
      </w:r>
      <w:r w:rsidRPr="0001543F">
        <w:rPr>
          <w:lang w:val="pl-PL"/>
        </w:rPr>
        <w:t>stosunkiem sześciu głosów do jednego, że doszło do naruszenia artykułu 5 ust. 1 Konwencji;</w:t>
      </w:r>
    </w:p>
    <w:p w:rsidR="003960A7" w:rsidRPr="0001543F" w:rsidRDefault="003960A7" w:rsidP="003960A7">
      <w:pPr>
        <w:pStyle w:val="JuList"/>
        <w:rPr>
          <w:lang w:val="pl-PL"/>
        </w:rPr>
      </w:pPr>
      <w:r w:rsidRPr="0001543F">
        <w:rPr>
          <w:lang w:val="pl-PL"/>
        </w:rPr>
        <w:lastRenderedPageBreak/>
        <w:t>7.  </w:t>
      </w:r>
      <w:r w:rsidRPr="0001543F">
        <w:rPr>
          <w:i/>
          <w:iCs/>
          <w:lang w:val="pl-PL"/>
        </w:rPr>
        <w:t xml:space="preserve">Uznaje, </w:t>
      </w:r>
      <w:r w:rsidRPr="0001543F">
        <w:rPr>
          <w:lang w:val="pl-PL"/>
        </w:rPr>
        <w:t>jednomyślnie, że doszło do naruszenia artykułu 8 Konwencji ze względu na nadzorowanie korespondencji skarżącego na poziomie krajowym;</w:t>
      </w:r>
    </w:p>
    <w:p w:rsidR="003960A7" w:rsidRPr="0001543F" w:rsidRDefault="003960A7" w:rsidP="003960A7">
      <w:pPr>
        <w:pStyle w:val="JuList"/>
        <w:rPr>
          <w:lang w:val="pl-PL"/>
        </w:rPr>
      </w:pPr>
      <w:r w:rsidRPr="0001543F">
        <w:rPr>
          <w:lang w:val="pl-PL"/>
        </w:rPr>
        <w:t>8.  </w:t>
      </w:r>
      <w:r w:rsidRPr="0001543F">
        <w:rPr>
          <w:i/>
          <w:iCs/>
          <w:lang w:val="pl-PL"/>
        </w:rPr>
        <w:t xml:space="preserve">Uznaje, </w:t>
      </w:r>
      <w:r w:rsidRPr="0001543F">
        <w:rPr>
          <w:lang w:val="pl-PL"/>
        </w:rPr>
        <w:t>jednomyślnie, iż nie ma potrzeby rozpoznawania odrębnie, w świetle artykułu 8 Konwencji, kwestii dotyczącej monitorowania listów skarżącego do Trybunału.</w:t>
      </w:r>
    </w:p>
    <w:p w:rsidR="003960A7" w:rsidRPr="0001543F" w:rsidRDefault="003960A7" w:rsidP="003960A7">
      <w:pPr>
        <w:pStyle w:val="JuList"/>
        <w:rPr>
          <w:lang w:val="pl-PL"/>
        </w:rPr>
      </w:pPr>
      <w:r w:rsidRPr="0001543F">
        <w:rPr>
          <w:lang w:val="pl-PL"/>
        </w:rPr>
        <w:t>9.  </w:t>
      </w:r>
      <w:r w:rsidRPr="0001543F">
        <w:rPr>
          <w:i/>
          <w:iCs/>
          <w:lang w:val="pl-PL"/>
        </w:rPr>
        <w:t xml:space="preserve">Uznaje, </w:t>
      </w:r>
      <w:r w:rsidRPr="0001543F">
        <w:rPr>
          <w:lang w:val="pl-PL"/>
        </w:rPr>
        <w:t>jednomyślnie, że pozwane Państwo nie dopełniło obowiązku wynikającego z artykułu 34 Konwencji ze względu na kontrolę korespondencji pomiędzy skarżącym a Trybunałem.</w:t>
      </w:r>
    </w:p>
    <w:p w:rsidR="003960A7" w:rsidRPr="0001543F" w:rsidRDefault="003960A7" w:rsidP="003960A7">
      <w:pPr>
        <w:pStyle w:val="JuList"/>
        <w:rPr>
          <w:lang w:val="pl-PL"/>
        </w:rPr>
      </w:pPr>
      <w:r w:rsidRPr="0001543F">
        <w:rPr>
          <w:lang w:val="pl-PL"/>
        </w:rPr>
        <w:t>10.  </w:t>
      </w:r>
      <w:r w:rsidRPr="0001543F">
        <w:rPr>
          <w:i/>
          <w:iCs/>
          <w:lang w:val="pl-PL"/>
        </w:rPr>
        <w:t xml:space="preserve">Uznaje, </w:t>
      </w:r>
      <w:r w:rsidRPr="0001543F">
        <w:rPr>
          <w:lang w:val="pl-PL"/>
        </w:rPr>
        <w:t>stosunkiem sześciu głosów do jednego,</w:t>
      </w:r>
    </w:p>
    <w:p w:rsidR="003960A7" w:rsidRPr="0001543F" w:rsidRDefault="003960A7" w:rsidP="003960A7">
      <w:pPr>
        <w:pStyle w:val="JuLista"/>
        <w:rPr>
          <w:lang w:val="pl-PL"/>
        </w:rPr>
      </w:pPr>
      <w:r w:rsidRPr="0001543F">
        <w:rPr>
          <w:lang w:val="pl-PL"/>
        </w:rPr>
        <w:t>(a)</w:t>
      </w:r>
      <w:r w:rsidR="002179BB" w:rsidRPr="0001543F">
        <w:rPr>
          <w:lang w:val="pl-PL"/>
        </w:rPr>
        <w:t xml:space="preserve"> </w:t>
      </w:r>
      <w:r w:rsidRPr="0001543F">
        <w:rPr>
          <w:lang w:val="pl-PL"/>
        </w:rPr>
        <w:t>że pozwane Państwo ma obowiązek wypłacić skarżącemu, w terminie trzech miesięcy od dnia, kiedy wyrok stanie się prawomocny zgodnie z artykułem 44 ust. 2 Konwencji, kwotę 20.000 EUR (dwadzieścia tysięcy euro) z tytułu poniesionej szkody niematerialnej, wraz z ewentualnymi podatkami, w przeliczeniu na walutę pozwanego Państwa po kursie wymiany obowiązującym w dniu rozliczenia;</w:t>
      </w:r>
    </w:p>
    <w:p w:rsidR="003960A7" w:rsidRPr="0001543F" w:rsidRDefault="003960A7" w:rsidP="003960A7">
      <w:pPr>
        <w:pStyle w:val="JuLista"/>
        <w:rPr>
          <w:lang w:val="pl-PL"/>
        </w:rPr>
      </w:pPr>
      <w:r w:rsidRPr="0001543F">
        <w:rPr>
          <w:lang w:val="pl-PL"/>
        </w:rPr>
        <w:t>(b)</w:t>
      </w:r>
      <w:r w:rsidR="002179BB" w:rsidRPr="0001543F">
        <w:rPr>
          <w:lang w:val="pl-PL"/>
        </w:rPr>
        <w:t xml:space="preserve"> </w:t>
      </w:r>
      <w:r w:rsidRPr="0001543F">
        <w:rPr>
          <w:lang w:val="pl-PL"/>
        </w:rPr>
        <w:t xml:space="preserve">że pozwane Państwo ma obowiązek wypłacić skarżącemu, w tym samym terminie, kwotę 1.000 EUR (jeden tysiąc euro) z tytułu kosztów i wydatków, w przeliczeniu na walutę pozwanego Państwa po kursie wymiany obowiązującym w dniu rozliczenia oraz </w:t>
      </w:r>
      <w:r w:rsidR="00AA431E" w:rsidRPr="0001543F">
        <w:rPr>
          <w:lang w:val="pl-PL"/>
        </w:rPr>
        <w:t>wy</w:t>
      </w:r>
      <w:r w:rsidRPr="0001543F">
        <w:rPr>
          <w:lang w:val="pl-PL"/>
        </w:rPr>
        <w:t>płat</w:t>
      </w:r>
      <w:r w:rsidR="00AA431E" w:rsidRPr="0001543F">
        <w:rPr>
          <w:lang w:val="pl-PL"/>
        </w:rPr>
        <w:t>y</w:t>
      </w:r>
      <w:r w:rsidRPr="0001543F">
        <w:rPr>
          <w:lang w:val="pl-PL"/>
        </w:rPr>
        <w:t xml:space="preserve"> tej kwoty na rachunek bankowy pani Anny Polozovej;</w:t>
      </w:r>
    </w:p>
    <w:p w:rsidR="003960A7" w:rsidRPr="0001543F" w:rsidRDefault="00AA431E" w:rsidP="003960A7">
      <w:pPr>
        <w:pStyle w:val="JuLista"/>
        <w:rPr>
          <w:lang w:val="pl-PL"/>
        </w:rPr>
      </w:pPr>
      <w:r w:rsidRPr="0001543F">
        <w:rPr>
          <w:lang w:val="pl-PL"/>
        </w:rPr>
        <w:t>(c</w:t>
      </w:r>
      <w:r w:rsidR="008520A3" w:rsidRPr="0001543F">
        <w:rPr>
          <w:lang w:val="pl-PL"/>
        </w:rPr>
        <w:t>)</w:t>
      </w:r>
      <w:r w:rsidR="002179BB" w:rsidRPr="0001543F">
        <w:rPr>
          <w:lang w:val="pl-PL"/>
        </w:rPr>
        <w:t xml:space="preserve"> </w:t>
      </w:r>
      <w:r w:rsidR="003960A7" w:rsidRPr="0001543F">
        <w:rPr>
          <w:lang w:val="pl-PL"/>
        </w:rPr>
        <w:t>że od wygaśnięcia powyższego trzymiesięcznego terminu do momentu zapłaty płatne od tych sum będą zwykłe odsetki obliczone według stopy procentowej Europejskiego Banku Centralnego na koniec dnia plus trzy punkty procentowe;</w:t>
      </w:r>
    </w:p>
    <w:p w:rsidR="003960A7" w:rsidRPr="0001543F" w:rsidRDefault="003960A7" w:rsidP="003960A7">
      <w:pPr>
        <w:pStyle w:val="JuList"/>
        <w:rPr>
          <w:lang w:val="pl-PL"/>
        </w:rPr>
      </w:pPr>
      <w:r w:rsidRPr="0001543F">
        <w:rPr>
          <w:lang w:val="pl-PL"/>
        </w:rPr>
        <w:t>11.  </w:t>
      </w:r>
      <w:r w:rsidRPr="0001543F">
        <w:rPr>
          <w:i/>
          <w:iCs/>
          <w:lang w:val="pl-PL"/>
        </w:rPr>
        <w:t>Oddala,</w:t>
      </w:r>
      <w:r w:rsidRPr="0001543F">
        <w:rPr>
          <w:lang w:val="pl-PL"/>
        </w:rPr>
        <w:t xml:space="preserve"> jednomyślnie, pozostałą część roszczenia skarżącego dotyczącą słusznego zadośćuczynienia.</w:t>
      </w:r>
    </w:p>
    <w:p w:rsidR="003960A7" w:rsidRPr="0001543F" w:rsidRDefault="003960A7" w:rsidP="003960A7">
      <w:pPr>
        <w:pStyle w:val="JuParaLast"/>
        <w:rPr>
          <w:lang w:val="pl-PL"/>
        </w:rPr>
      </w:pPr>
      <w:r w:rsidRPr="0001543F">
        <w:rPr>
          <w:lang w:val="pl-PL"/>
        </w:rPr>
        <w:t>Sporządzono w języku angielskim i obwieszczono pisemnie w dniu 12 lutego 2013 r., zgodnie z artykułem 77 §§ 2 i 3 Regulaminu Trybunału.</w:t>
      </w:r>
    </w:p>
    <w:p w:rsidR="003960A7" w:rsidRPr="0001543F" w:rsidRDefault="003960A7" w:rsidP="003960A7">
      <w:pPr>
        <w:pStyle w:val="JuSigned"/>
        <w:keepNext/>
        <w:keepLines/>
        <w:rPr>
          <w:lang w:val="pl-PL"/>
        </w:rPr>
      </w:pPr>
      <w:r w:rsidRPr="0001543F">
        <w:rPr>
          <w:lang w:val="pl-PL"/>
        </w:rPr>
        <w:tab/>
        <w:t>Søren Nielsen</w:t>
      </w:r>
      <w:r w:rsidRPr="0001543F">
        <w:rPr>
          <w:lang w:val="pl-PL"/>
        </w:rPr>
        <w:tab/>
        <w:t>Isabelle Berro-Lefèvre</w:t>
      </w:r>
      <w:r w:rsidRPr="0001543F">
        <w:rPr>
          <w:lang w:val="pl-PL"/>
        </w:rPr>
        <w:br/>
      </w:r>
      <w:r w:rsidRPr="0001543F">
        <w:rPr>
          <w:lang w:val="pl-PL"/>
        </w:rPr>
        <w:tab/>
        <w:t>Kanclerz</w:t>
      </w:r>
      <w:r w:rsidRPr="0001543F">
        <w:rPr>
          <w:lang w:val="pl-PL"/>
        </w:rPr>
        <w:tab/>
        <w:t>Przewodnicząca</w:t>
      </w:r>
    </w:p>
    <w:p w:rsidR="003960A7" w:rsidRPr="0001543F" w:rsidRDefault="003960A7" w:rsidP="003960A7">
      <w:pPr>
        <w:pStyle w:val="JuParaLast"/>
        <w:rPr>
          <w:lang w:val="pl-PL"/>
        </w:rPr>
      </w:pPr>
      <w:r w:rsidRPr="0001543F">
        <w:rPr>
          <w:lang w:val="pl-PL"/>
        </w:rPr>
        <w:t>Zgodnie z postanowieniami artykułu 45 § 2 Konwencji oraz art. 74 § 2 Regulaminu Trybunału do wyroku załączono częściowo odrębne zdanie Sędziego D. Dedova.</w:t>
      </w:r>
    </w:p>
    <w:p w:rsidR="003960A7" w:rsidRPr="0001543F" w:rsidRDefault="003960A7" w:rsidP="003960A7">
      <w:pPr>
        <w:pStyle w:val="JuInitialled"/>
        <w:rPr>
          <w:lang w:val="pl-PL"/>
        </w:rPr>
      </w:pPr>
      <w:r w:rsidRPr="0001543F">
        <w:rPr>
          <w:lang w:val="pl-PL"/>
        </w:rPr>
        <w:t>I.B.L.</w:t>
      </w:r>
      <w:r w:rsidRPr="0001543F">
        <w:rPr>
          <w:lang w:val="pl-PL"/>
        </w:rPr>
        <w:br/>
        <w:t>S.N.</w:t>
      </w:r>
    </w:p>
    <w:p w:rsidR="003960A7" w:rsidRPr="0001543F" w:rsidRDefault="003960A7" w:rsidP="003960A7">
      <w:pPr>
        <w:pStyle w:val="JuPara"/>
        <w:rPr>
          <w:lang w:val="pl-PL"/>
        </w:rPr>
        <w:sectPr w:rsidR="003960A7" w:rsidRPr="0001543F" w:rsidSect="00BB58BA">
          <w:headerReference w:type="even" r:id="rId12"/>
          <w:headerReference w:type="default" r:id="rId13"/>
          <w:footnotePr>
            <w:numRestart w:val="eachPage"/>
          </w:footnotePr>
          <w:pgSz w:w="11906" w:h="16838" w:code="9"/>
          <w:pgMar w:top="2274" w:right="2274" w:bottom="2274" w:left="2274" w:header="1701" w:footer="720" w:gutter="0"/>
          <w:pgNumType w:start="1"/>
          <w:cols w:space="720"/>
          <w:docGrid w:linePitch="326"/>
        </w:sectPr>
      </w:pPr>
    </w:p>
    <w:p w:rsidR="003960A7" w:rsidRPr="0001543F" w:rsidRDefault="003960A7" w:rsidP="003960A7">
      <w:pPr>
        <w:pStyle w:val="OpiHHead"/>
        <w:spacing w:line="360" w:lineRule="auto"/>
        <w:rPr>
          <w:lang w:val="pl-PL"/>
        </w:rPr>
      </w:pPr>
      <w:r w:rsidRPr="0001543F">
        <w:rPr>
          <w:lang w:val="pl-PL"/>
        </w:rPr>
        <w:lastRenderedPageBreak/>
        <w:t>CZĘŚCIOWO ODRĘBNE ZDANIE SĘDZIEGO DEDOVA</w:t>
      </w:r>
    </w:p>
    <w:p w:rsidR="003960A7" w:rsidRPr="0001543F" w:rsidRDefault="003960A7" w:rsidP="003960A7">
      <w:pPr>
        <w:pStyle w:val="OpiPara"/>
        <w:rPr>
          <w:lang w:val="pl-PL"/>
        </w:rPr>
      </w:pPr>
      <w:r w:rsidRPr="0001543F">
        <w:rPr>
          <w:lang w:val="pl-PL"/>
        </w:rPr>
        <w:t>Moja opinia dotyczy naruszenia artykułu 5 ust. 1 Konwencji (zob</w:t>
      </w:r>
      <w:r w:rsidR="00FF079D" w:rsidRPr="0001543F">
        <w:rPr>
          <w:lang w:val="pl-PL"/>
        </w:rPr>
        <w:t>.</w:t>
      </w:r>
      <w:r w:rsidRPr="0001543F">
        <w:rPr>
          <w:lang w:val="pl-PL"/>
        </w:rPr>
        <w:t xml:space="preserve"> par. 88-111 wyroku). </w:t>
      </w:r>
      <w:r w:rsidR="00FF079D" w:rsidRPr="0001543F">
        <w:rPr>
          <w:lang w:val="pl-PL"/>
        </w:rPr>
        <w:t xml:space="preserve">Nie podzielam wniosku </w:t>
      </w:r>
      <w:r w:rsidR="002C0F9F" w:rsidRPr="0001543F">
        <w:rPr>
          <w:lang w:val="pl-PL"/>
        </w:rPr>
        <w:t>Trybunał</w:t>
      </w:r>
      <w:r w:rsidR="00FF079D" w:rsidRPr="0001543F">
        <w:rPr>
          <w:lang w:val="pl-PL"/>
        </w:rPr>
        <w:t xml:space="preserve">u, że </w:t>
      </w:r>
      <w:r w:rsidR="009455F7" w:rsidRPr="0001543F">
        <w:rPr>
          <w:lang w:val="pl-PL"/>
        </w:rPr>
        <w:t xml:space="preserve">w sprawie </w:t>
      </w:r>
      <w:r w:rsidR="00D463C6" w:rsidRPr="0001543F">
        <w:rPr>
          <w:lang w:val="pl-PL"/>
        </w:rPr>
        <w:t>skarżąc</w:t>
      </w:r>
      <w:r w:rsidR="009455F7" w:rsidRPr="0001543F">
        <w:rPr>
          <w:lang w:val="pl-PL"/>
        </w:rPr>
        <w:t>ego nie uznano nieprawidłowości i nie zapewniono zadośćuczynienia</w:t>
      </w:r>
      <w:r w:rsidRPr="0001543F">
        <w:rPr>
          <w:lang w:val="pl-PL"/>
        </w:rPr>
        <w:t>.</w:t>
      </w:r>
    </w:p>
    <w:p w:rsidR="003960A7" w:rsidRPr="0001543F" w:rsidRDefault="003960A7" w:rsidP="003960A7">
      <w:pPr>
        <w:pStyle w:val="OpiPara"/>
        <w:rPr>
          <w:lang w:val="pl-PL"/>
        </w:rPr>
      </w:pPr>
      <w:r w:rsidRPr="0001543F">
        <w:rPr>
          <w:lang w:val="pl-PL"/>
        </w:rPr>
        <w:t xml:space="preserve">Trybunał odwołał się do orzecznictwa, w tym do wyroku w sprawie </w:t>
      </w:r>
      <w:r w:rsidRPr="0001543F">
        <w:rPr>
          <w:i/>
          <w:iCs/>
          <w:lang w:val="pl-PL"/>
        </w:rPr>
        <w:t xml:space="preserve">Menesheva przeciwko Rosji </w:t>
      </w:r>
      <w:r w:rsidRPr="0001543F">
        <w:rPr>
          <w:lang w:val="pl-PL"/>
        </w:rPr>
        <w:t xml:space="preserve">(§§ 91-93) oraz </w:t>
      </w:r>
      <w:r w:rsidRPr="0001543F">
        <w:rPr>
          <w:i/>
          <w:iCs/>
          <w:lang w:val="pl-PL"/>
        </w:rPr>
        <w:t>Sakhnovskiy przeciwko Rosji</w:t>
      </w:r>
      <w:r w:rsidRPr="0001543F">
        <w:rPr>
          <w:lang w:val="pl-PL"/>
        </w:rPr>
        <w:t xml:space="preserve"> (§ 67). </w:t>
      </w:r>
      <w:r w:rsidR="002C0F9F" w:rsidRPr="0001543F">
        <w:rPr>
          <w:lang w:val="pl-PL"/>
        </w:rPr>
        <w:t xml:space="preserve">W sprawie </w:t>
      </w:r>
      <w:r w:rsidRPr="0001543F">
        <w:rPr>
          <w:i/>
          <w:iCs/>
          <w:lang w:val="pl-PL"/>
        </w:rPr>
        <w:t>Sakhnovskiy</w:t>
      </w:r>
      <w:r w:rsidR="002C0F9F" w:rsidRPr="0001543F">
        <w:rPr>
          <w:lang w:val="pl-PL"/>
        </w:rPr>
        <w:t xml:space="preserve"> Trybunał </w:t>
      </w:r>
      <w:r w:rsidR="007A13C5" w:rsidRPr="0001543F">
        <w:rPr>
          <w:lang w:val="pl-PL"/>
        </w:rPr>
        <w:t>uznał, że „zgodnie z zasad</w:t>
      </w:r>
      <w:r w:rsidR="00AA431E" w:rsidRPr="0001543F">
        <w:rPr>
          <w:lang w:val="pl-PL"/>
        </w:rPr>
        <w:t>ą</w:t>
      </w:r>
      <w:r w:rsidR="007A13C5" w:rsidRPr="0001543F">
        <w:rPr>
          <w:lang w:val="pl-PL"/>
        </w:rPr>
        <w:t xml:space="preserve"> ustaloną w orzecznictwie Trybunału skarżący może utracić </w:t>
      </w:r>
      <w:r w:rsidRPr="0001543F">
        <w:rPr>
          <w:lang w:val="pl-PL"/>
        </w:rPr>
        <w:t xml:space="preserve">status </w:t>
      </w:r>
      <w:r w:rsidR="007A13C5" w:rsidRPr="0001543F">
        <w:rPr>
          <w:lang w:val="pl-PL"/>
        </w:rPr>
        <w:t xml:space="preserve">pokrzywdzonego, jeżeli spełnione zostaną dwa warunki: po pierwsze, władze muszą potwierdzić, w sposób wyraźny lub dorozumiany, naruszenie </w:t>
      </w:r>
      <w:r w:rsidR="00C8199B" w:rsidRPr="0001543F">
        <w:rPr>
          <w:lang w:val="pl-PL"/>
        </w:rPr>
        <w:t>Konwencji</w:t>
      </w:r>
      <w:r w:rsidR="007A13C5" w:rsidRPr="0001543F">
        <w:rPr>
          <w:lang w:val="pl-PL"/>
        </w:rPr>
        <w:t xml:space="preserve">, </w:t>
      </w:r>
      <w:r w:rsidR="005420F7">
        <w:rPr>
          <w:lang w:val="pl-PL"/>
        </w:rPr>
        <w:br/>
      </w:r>
      <w:r w:rsidR="007A13C5" w:rsidRPr="0001543F">
        <w:rPr>
          <w:lang w:val="pl-PL"/>
        </w:rPr>
        <w:t>a po drugie, muszą przyznać naruszenie z tytułu naruszenia</w:t>
      </w:r>
      <w:r w:rsidRPr="0001543F">
        <w:rPr>
          <w:lang w:val="pl-PL"/>
        </w:rPr>
        <w:t>”.</w:t>
      </w:r>
    </w:p>
    <w:p w:rsidR="003960A7" w:rsidRPr="0001543F" w:rsidRDefault="003960A7" w:rsidP="003960A7">
      <w:pPr>
        <w:pStyle w:val="OpiPara"/>
        <w:rPr>
          <w:lang w:val="pl-PL"/>
        </w:rPr>
      </w:pPr>
      <w:r w:rsidRPr="0001543F">
        <w:rPr>
          <w:lang w:val="pl-PL"/>
        </w:rPr>
        <w:t xml:space="preserve">Wydaje </w:t>
      </w:r>
      <w:r w:rsidR="002C0F9F" w:rsidRPr="0001543F">
        <w:rPr>
          <w:lang w:val="pl-PL"/>
        </w:rPr>
        <w:t>się</w:t>
      </w:r>
      <w:r w:rsidRPr="0001543F">
        <w:rPr>
          <w:lang w:val="pl-PL"/>
        </w:rPr>
        <w:t xml:space="preserve">, że w niniejszej sprawie Trybunał poszedł jeszcze dalej, </w:t>
      </w:r>
      <w:r w:rsidR="002C0F9F" w:rsidRPr="0001543F">
        <w:rPr>
          <w:lang w:val="pl-PL"/>
        </w:rPr>
        <w:t>stwierdzając</w:t>
      </w:r>
      <w:r w:rsidRPr="0001543F">
        <w:rPr>
          <w:lang w:val="pl-PL"/>
        </w:rPr>
        <w:t xml:space="preserve"> w par. 93 wyroku, że „decyzja lub środek korzystny dla skarżącego nie jest </w:t>
      </w:r>
      <w:r w:rsidR="00AE1B21" w:rsidRPr="0001543F">
        <w:rPr>
          <w:lang w:val="pl-PL"/>
        </w:rPr>
        <w:t>z</w:t>
      </w:r>
      <w:r w:rsidRPr="0001543F">
        <w:rPr>
          <w:lang w:val="pl-PL"/>
        </w:rPr>
        <w:t xml:space="preserve"> zasady wystarczający, by pozbawić skarżącego statusu „pokrzywdzonego”. </w:t>
      </w:r>
      <w:r w:rsidR="007A13C5" w:rsidRPr="0001543F">
        <w:rPr>
          <w:lang w:val="pl-PL"/>
        </w:rPr>
        <w:t>Jako że takie stanowisk</w:t>
      </w:r>
      <w:r w:rsidR="009455F7" w:rsidRPr="0001543F">
        <w:rPr>
          <w:lang w:val="pl-PL"/>
        </w:rPr>
        <w:t>o</w:t>
      </w:r>
      <w:r w:rsidR="007A13C5" w:rsidRPr="0001543F">
        <w:rPr>
          <w:lang w:val="pl-PL"/>
        </w:rPr>
        <w:t xml:space="preserve"> wymaga interpretacji zgodnej z orzecznictwem </w:t>
      </w:r>
      <w:r w:rsidR="002C0F9F" w:rsidRPr="0001543F">
        <w:rPr>
          <w:lang w:val="pl-PL"/>
        </w:rPr>
        <w:t>Trybunał</w:t>
      </w:r>
      <w:r w:rsidR="007A13C5" w:rsidRPr="0001543F">
        <w:rPr>
          <w:lang w:val="pl-PL"/>
        </w:rPr>
        <w:t>u</w:t>
      </w:r>
      <w:r w:rsidRPr="0001543F">
        <w:rPr>
          <w:lang w:val="pl-PL"/>
        </w:rPr>
        <w:t xml:space="preserve"> (</w:t>
      </w:r>
      <w:r w:rsidR="006E530C" w:rsidRPr="0001543F">
        <w:rPr>
          <w:lang w:val="pl-PL"/>
        </w:rPr>
        <w:t>o ile nie stanowi jedynie rutynowego wykonania praw jednostki</w:t>
      </w:r>
      <w:r w:rsidRPr="0001543F">
        <w:rPr>
          <w:lang w:val="pl-PL"/>
        </w:rPr>
        <w:t xml:space="preserve">), </w:t>
      </w:r>
      <w:r w:rsidR="009455F7" w:rsidRPr="0001543F">
        <w:rPr>
          <w:lang w:val="pl-PL"/>
        </w:rPr>
        <w:t>oznacza to – w moim rozumieniu – że środek taki powinien opierać się na uznaniu konkretnego naruszenia i powinien</w:t>
      </w:r>
      <w:r w:rsidRPr="0001543F">
        <w:rPr>
          <w:lang w:val="pl-PL"/>
        </w:rPr>
        <w:t xml:space="preserve"> elimi</w:t>
      </w:r>
      <w:r w:rsidR="009E740D" w:rsidRPr="0001543F">
        <w:rPr>
          <w:lang w:val="pl-PL"/>
        </w:rPr>
        <w:t xml:space="preserve">nować niekorzystne konsekwencje dla </w:t>
      </w:r>
      <w:r w:rsidR="00D463C6" w:rsidRPr="0001543F">
        <w:rPr>
          <w:lang w:val="pl-PL"/>
        </w:rPr>
        <w:t>skarżąc</w:t>
      </w:r>
      <w:r w:rsidR="009E740D" w:rsidRPr="0001543F">
        <w:rPr>
          <w:lang w:val="pl-PL"/>
        </w:rPr>
        <w:t>ego</w:t>
      </w:r>
      <w:r w:rsidRPr="0001543F">
        <w:rPr>
          <w:lang w:val="pl-PL"/>
        </w:rPr>
        <w:t>.</w:t>
      </w:r>
    </w:p>
    <w:p w:rsidR="003960A7" w:rsidRPr="0001543F" w:rsidRDefault="001E18B6" w:rsidP="003960A7">
      <w:pPr>
        <w:pStyle w:val="OpiPara"/>
        <w:rPr>
          <w:lang w:val="pl-PL"/>
        </w:rPr>
      </w:pPr>
      <w:r w:rsidRPr="0001543F">
        <w:rPr>
          <w:lang w:val="pl-PL"/>
        </w:rPr>
        <w:t xml:space="preserve">Z powyższego wynika, że zbadać należy środki podjęte przez władze na korzyść </w:t>
      </w:r>
      <w:r w:rsidR="00D463C6" w:rsidRPr="0001543F">
        <w:rPr>
          <w:lang w:val="pl-PL"/>
        </w:rPr>
        <w:t>skarżąc</w:t>
      </w:r>
      <w:r w:rsidRPr="0001543F">
        <w:rPr>
          <w:lang w:val="pl-PL"/>
        </w:rPr>
        <w:t>ego</w:t>
      </w:r>
      <w:r w:rsidR="003960A7" w:rsidRPr="0001543F">
        <w:rPr>
          <w:lang w:val="pl-PL"/>
        </w:rPr>
        <w:t>.</w:t>
      </w:r>
    </w:p>
    <w:p w:rsidR="003960A7" w:rsidRPr="0001543F" w:rsidRDefault="009D24E8" w:rsidP="003960A7">
      <w:pPr>
        <w:pStyle w:val="OpiPara"/>
        <w:rPr>
          <w:lang w:val="pl-PL"/>
        </w:rPr>
      </w:pPr>
      <w:r w:rsidRPr="0001543F">
        <w:rPr>
          <w:lang w:val="pl-PL"/>
        </w:rPr>
        <w:t>We</w:t>
      </w:r>
      <w:r w:rsidR="003960A7" w:rsidRPr="0001543F">
        <w:rPr>
          <w:lang w:val="pl-PL"/>
        </w:rPr>
        <w:t xml:space="preserve"> wrześni</w:t>
      </w:r>
      <w:r w:rsidRPr="0001543F">
        <w:rPr>
          <w:lang w:val="pl-PL"/>
        </w:rPr>
        <w:t>u</w:t>
      </w:r>
      <w:r w:rsidR="003960A7" w:rsidRPr="0001543F">
        <w:rPr>
          <w:lang w:val="pl-PL"/>
        </w:rPr>
        <w:t xml:space="preserve"> 2009 </w:t>
      </w:r>
      <w:r w:rsidRPr="0001543F">
        <w:rPr>
          <w:lang w:val="pl-PL"/>
        </w:rPr>
        <w:t xml:space="preserve">r. rosyjski Sąd Najwyższy </w:t>
      </w:r>
      <w:r w:rsidR="00813192" w:rsidRPr="0001543F">
        <w:rPr>
          <w:lang w:val="pl-PL"/>
        </w:rPr>
        <w:t xml:space="preserve">uchylił </w:t>
      </w:r>
      <w:r w:rsidRPr="0001543F">
        <w:rPr>
          <w:lang w:val="pl-PL"/>
        </w:rPr>
        <w:t xml:space="preserve">wyrok </w:t>
      </w:r>
      <w:r w:rsidR="003960A7" w:rsidRPr="0001543F">
        <w:rPr>
          <w:lang w:val="pl-PL"/>
        </w:rPr>
        <w:t>sąd</w:t>
      </w:r>
      <w:r w:rsidRPr="0001543F">
        <w:rPr>
          <w:lang w:val="pl-PL"/>
        </w:rPr>
        <w:t>u</w:t>
      </w:r>
      <w:r w:rsidR="003960A7" w:rsidRPr="0001543F">
        <w:rPr>
          <w:lang w:val="pl-PL"/>
        </w:rPr>
        <w:t xml:space="preserve"> pierwszej instancji</w:t>
      </w:r>
      <w:r w:rsidRPr="0001543F">
        <w:rPr>
          <w:lang w:val="pl-PL"/>
        </w:rPr>
        <w:t xml:space="preserve"> z dnia </w:t>
      </w:r>
      <w:r w:rsidR="003960A7" w:rsidRPr="0001543F">
        <w:rPr>
          <w:lang w:val="pl-PL"/>
        </w:rPr>
        <w:t xml:space="preserve">24 kwietnia 2003 r. </w:t>
      </w:r>
      <w:r w:rsidRPr="0001543F">
        <w:rPr>
          <w:lang w:val="pl-PL"/>
        </w:rPr>
        <w:t xml:space="preserve">i uznał, że doszło </w:t>
      </w:r>
      <w:r w:rsidR="00AA431E" w:rsidRPr="0001543F">
        <w:rPr>
          <w:lang w:val="pl-PL"/>
        </w:rPr>
        <w:t>d</w:t>
      </w:r>
      <w:r w:rsidRPr="0001543F">
        <w:rPr>
          <w:lang w:val="pl-PL"/>
        </w:rPr>
        <w:t>o naruszenia prawa s</w:t>
      </w:r>
      <w:r w:rsidR="00D463C6" w:rsidRPr="0001543F">
        <w:rPr>
          <w:lang w:val="pl-PL"/>
        </w:rPr>
        <w:t>karżąc</w:t>
      </w:r>
      <w:r w:rsidRPr="0001543F">
        <w:rPr>
          <w:lang w:val="pl-PL"/>
        </w:rPr>
        <w:t>ego do procesu przed sądem prawidłowo „ustanowionym przez ustawę”</w:t>
      </w:r>
      <w:r w:rsidR="003960A7" w:rsidRPr="0001543F">
        <w:rPr>
          <w:lang w:val="pl-PL"/>
        </w:rPr>
        <w:t xml:space="preserve">. </w:t>
      </w:r>
      <w:r w:rsidR="00813192" w:rsidRPr="0001543F">
        <w:rPr>
          <w:lang w:val="pl-PL"/>
        </w:rPr>
        <w:t>Zgodnie z powszechnie przyjętymi zasadami postępowania</w:t>
      </w:r>
      <w:r w:rsidR="003960A7" w:rsidRPr="0001543F">
        <w:rPr>
          <w:lang w:val="pl-PL"/>
        </w:rPr>
        <w:t xml:space="preserve"> </w:t>
      </w:r>
      <w:r w:rsidR="002C0F9F" w:rsidRPr="0001543F">
        <w:rPr>
          <w:lang w:val="pl-PL"/>
        </w:rPr>
        <w:t>Trybunał</w:t>
      </w:r>
      <w:r w:rsidR="00813192" w:rsidRPr="0001543F">
        <w:rPr>
          <w:lang w:val="pl-PL"/>
        </w:rPr>
        <w:t xml:space="preserve">u tego typu błąd w stosowaniu przepisów prawa </w:t>
      </w:r>
      <w:r w:rsidR="003960A7" w:rsidRPr="0001543F">
        <w:rPr>
          <w:lang w:val="pl-PL"/>
        </w:rPr>
        <w:t>(</w:t>
      </w:r>
      <w:r w:rsidR="00813192" w:rsidRPr="0001543F">
        <w:rPr>
          <w:lang w:val="pl-PL"/>
        </w:rPr>
        <w:t xml:space="preserve">niezwykle poważne zaniechanie </w:t>
      </w:r>
      <w:r w:rsidR="003960A7" w:rsidRPr="0001543F">
        <w:rPr>
          <w:lang w:val="pl-PL"/>
        </w:rPr>
        <w:t>procedural</w:t>
      </w:r>
      <w:r w:rsidR="00813192" w:rsidRPr="0001543F">
        <w:rPr>
          <w:lang w:val="pl-PL"/>
        </w:rPr>
        <w:t>ne</w:t>
      </w:r>
      <w:r w:rsidR="003960A7" w:rsidRPr="0001543F">
        <w:rPr>
          <w:lang w:val="pl-PL"/>
        </w:rPr>
        <w:t xml:space="preserve">) </w:t>
      </w:r>
      <w:r w:rsidR="00813192" w:rsidRPr="0001543F">
        <w:rPr>
          <w:lang w:val="pl-PL"/>
        </w:rPr>
        <w:t>sam w sobie stanowi podstawę unieważnienia orzeczenia sądu niższej instancji, bez żadnych dodatkowych warunków</w:t>
      </w:r>
      <w:r w:rsidR="003960A7" w:rsidRPr="0001543F">
        <w:rPr>
          <w:lang w:val="pl-PL"/>
        </w:rPr>
        <w:t xml:space="preserve">. Trybunał uznał taki środek za właściwy w sprawie </w:t>
      </w:r>
      <w:r w:rsidR="003960A7" w:rsidRPr="0001543F">
        <w:rPr>
          <w:i/>
          <w:iCs/>
          <w:lang w:val="pl-PL"/>
        </w:rPr>
        <w:t>Ponushkov przeciwko Rosji</w:t>
      </w:r>
      <w:r w:rsidR="003960A7" w:rsidRPr="0001543F">
        <w:rPr>
          <w:lang w:val="pl-PL"/>
        </w:rPr>
        <w:t xml:space="preserve"> (nr 30209/04, 6 listopada 2008, §§ 70-71) oraz w sprawie </w:t>
      </w:r>
      <w:r w:rsidR="003960A7" w:rsidRPr="0001543F">
        <w:rPr>
          <w:i/>
          <w:iCs/>
          <w:lang w:val="pl-PL"/>
        </w:rPr>
        <w:t>Ryabov przeciwko Rosji</w:t>
      </w:r>
      <w:r w:rsidR="003960A7" w:rsidRPr="0001543F">
        <w:rPr>
          <w:lang w:val="pl-PL"/>
        </w:rPr>
        <w:t xml:space="preserve"> (nr 3896/04, 31 stycznia 2008, § 51) i odwołał się do tych przykładów w wyroku w sprawie </w:t>
      </w:r>
      <w:r w:rsidR="003960A7" w:rsidRPr="0001543F">
        <w:rPr>
          <w:i/>
          <w:iCs/>
          <w:lang w:val="pl-PL"/>
        </w:rPr>
        <w:t>Sakhnovskiy</w:t>
      </w:r>
      <w:r w:rsidR="003960A7" w:rsidRPr="0001543F">
        <w:rPr>
          <w:lang w:val="pl-PL"/>
        </w:rPr>
        <w:t>.</w:t>
      </w:r>
    </w:p>
    <w:p w:rsidR="003960A7" w:rsidRPr="0001543F" w:rsidRDefault="00813192" w:rsidP="003960A7">
      <w:pPr>
        <w:pStyle w:val="OpiPara"/>
        <w:rPr>
          <w:lang w:val="pl-PL"/>
        </w:rPr>
      </w:pPr>
      <w:r w:rsidRPr="0001543F">
        <w:rPr>
          <w:lang w:val="pl-PL"/>
        </w:rPr>
        <w:t>W odniesieniu do niniejszej sprawy</w:t>
      </w:r>
      <w:r w:rsidR="003960A7" w:rsidRPr="0001543F">
        <w:rPr>
          <w:lang w:val="pl-PL"/>
        </w:rPr>
        <w:t xml:space="preserve">, </w:t>
      </w:r>
      <w:r w:rsidRPr="0001543F">
        <w:rPr>
          <w:lang w:val="pl-PL"/>
        </w:rPr>
        <w:t xml:space="preserve">na podstawie tekstu wyroku stwierdzam, że jeżeli </w:t>
      </w:r>
      <w:r w:rsidR="008160EB" w:rsidRPr="0001543F">
        <w:rPr>
          <w:lang w:val="pl-PL"/>
        </w:rPr>
        <w:t xml:space="preserve">nie </w:t>
      </w:r>
      <w:r w:rsidR="005925E2" w:rsidRPr="0001543F">
        <w:rPr>
          <w:lang w:val="pl-PL"/>
        </w:rPr>
        <w:t xml:space="preserve">zapewniono </w:t>
      </w:r>
      <w:r w:rsidR="008160EB" w:rsidRPr="0001543F">
        <w:rPr>
          <w:lang w:val="pl-PL"/>
        </w:rPr>
        <w:t>„</w:t>
      </w:r>
      <w:r w:rsidR="008B5D02" w:rsidRPr="0001543F">
        <w:rPr>
          <w:lang w:val="pl-PL"/>
        </w:rPr>
        <w:t>niezwłocznego i odpowiedniego zadośćuczynienia w zwykłym postępowaniu apelacyjnym</w:t>
      </w:r>
      <w:r w:rsidR="003960A7" w:rsidRPr="0001543F">
        <w:rPr>
          <w:lang w:val="pl-PL"/>
        </w:rPr>
        <w:t>” (</w:t>
      </w:r>
      <w:r w:rsidRPr="0001543F">
        <w:rPr>
          <w:lang w:val="pl-PL"/>
        </w:rPr>
        <w:t xml:space="preserve">zob. </w:t>
      </w:r>
      <w:r w:rsidR="002C0F9F" w:rsidRPr="0001543F">
        <w:rPr>
          <w:lang w:val="pl-PL"/>
        </w:rPr>
        <w:t>par.</w:t>
      </w:r>
      <w:r w:rsidR="003960A7" w:rsidRPr="0001543F">
        <w:rPr>
          <w:rStyle w:val="sb8d990e2"/>
          <w:lang w:val="pl-PL"/>
        </w:rPr>
        <w:t xml:space="preserve"> 109</w:t>
      </w:r>
      <w:r w:rsidR="003960A7" w:rsidRPr="0001543F">
        <w:rPr>
          <w:lang w:val="pl-PL"/>
        </w:rPr>
        <w:t xml:space="preserve">), </w:t>
      </w:r>
      <w:r w:rsidRPr="0001543F">
        <w:rPr>
          <w:lang w:val="pl-PL"/>
        </w:rPr>
        <w:t>nie można traktować uznania naruszenia przez Sąd Najwyższy jako właściwego zadośćuczynienia</w:t>
      </w:r>
      <w:r w:rsidR="003960A7" w:rsidRPr="0001543F">
        <w:rPr>
          <w:lang w:val="pl-PL"/>
        </w:rPr>
        <w:t xml:space="preserve">. </w:t>
      </w:r>
      <w:r w:rsidR="00F500BE" w:rsidRPr="0001543F">
        <w:rPr>
          <w:lang w:val="pl-PL"/>
        </w:rPr>
        <w:t xml:space="preserve">Interpretacja taka nie jest przekonująca, o ile </w:t>
      </w:r>
      <w:r w:rsidR="009E740D" w:rsidRPr="0001543F">
        <w:rPr>
          <w:lang w:val="pl-PL"/>
        </w:rPr>
        <w:t xml:space="preserve">można </w:t>
      </w:r>
      <w:r w:rsidR="003960A7" w:rsidRPr="0001543F">
        <w:rPr>
          <w:lang w:val="pl-PL"/>
        </w:rPr>
        <w:t>(</w:t>
      </w:r>
      <w:r w:rsidR="009E740D" w:rsidRPr="0001543F">
        <w:rPr>
          <w:lang w:val="pl-PL"/>
        </w:rPr>
        <w:t>ponownie</w:t>
      </w:r>
      <w:r w:rsidR="003960A7" w:rsidRPr="0001543F">
        <w:rPr>
          <w:lang w:val="pl-PL"/>
        </w:rPr>
        <w:t>) pr</w:t>
      </w:r>
      <w:r w:rsidR="008B5D02" w:rsidRPr="0001543F">
        <w:rPr>
          <w:lang w:val="pl-PL"/>
        </w:rPr>
        <w:t>zyjąć</w:t>
      </w:r>
      <w:r w:rsidR="00AA431E" w:rsidRPr="0001543F">
        <w:rPr>
          <w:lang w:val="pl-PL"/>
        </w:rPr>
        <w:t>,</w:t>
      </w:r>
      <w:r w:rsidR="008160EB" w:rsidRPr="0001543F">
        <w:rPr>
          <w:lang w:val="pl-PL"/>
        </w:rPr>
        <w:t xml:space="preserve"> ż</w:t>
      </w:r>
      <w:r w:rsidR="00AA431E" w:rsidRPr="0001543F">
        <w:rPr>
          <w:lang w:val="pl-PL"/>
        </w:rPr>
        <w:t>e</w:t>
      </w:r>
      <w:r w:rsidR="008160EB" w:rsidRPr="0001543F">
        <w:rPr>
          <w:lang w:val="pl-PL"/>
        </w:rPr>
        <w:t xml:space="preserve"> w okresie sześciu lat sk</w:t>
      </w:r>
      <w:r w:rsidR="00D463C6" w:rsidRPr="0001543F">
        <w:rPr>
          <w:lang w:val="pl-PL"/>
        </w:rPr>
        <w:t>arżąc</w:t>
      </w:r>
      <w:r w:rsidR="008160EB" w:rsidRPr="0001543F">
        <w:rPr>
          <w:lang w:val="pl-PL"/>
        </w:rPr>
        <w:t xml:space="preserve">y </w:t>
      </w:r>
      <w:r w:rsidR="00370411" w:rsidRPr="0001543F">
        <w:rPr>
          <w:lang w:val="pl-PL"/>
        </w:rPr>
        <w:t>składał</w:t>
      </w:r>
      <w:r w:rsidR="00AA431E" w:rsidRPr="0001543F">
        <w:rPr>
          <w:lang w:val="pl-PL"/>
        </w:rPr>
        <w:t xml:space="preserve"> skargi </w:t>
      </w:r>
      <w:r w:rsidR="008160EB" w:rsidRPr="0001543F">
        <w:rPr>
          <w:lang w:val="pl-PL"/>
        </w:rPr>
        <w:t>w tym zakresie do sądów krajowych wyższej instancji</w:t>
      </w:r>
      <w:r w:rsidR="00F500BE" w:rsidRPr="0001543F">
        <w:rPr>
          <w:lang w:val="pl-PL"/>
        </w:rPr>
        <w:t xml:space="preserve">, lecz władze </w:t>
      </w:r>
      <w:r w:rsidR="008B5D02" w:rsidRPr="0001543F">
        <w:rPr>
          <w:lang w:val="pl-PL"/>
        </w:rPr>
        <w:t>nie zamierzały odpowiedzieć na jego wniosek</w:t>
      </w:r>
      <w:r w:rsidR="003960A7" w:rsidRPr="0001543F">
        <w:rPr>
          <w:lang w:val="pl-PL"/>
        </w:rPr>
        <w:t>.</w:t>
      </w:r>
    </w:p>
    <w:p w:rsidR="003960A7" w:rsidRPr="0001543F" w:rsidRDefault="00F500BE" w:rsidP="003960A7">
      <w:pPr>
        <w:pStyle w:val="OpiPara"/>
        <w:rPr>
          <w:lang w:val="pl-PL"/>
        </w:rPr>
      </w:pPr>
      <w:r w:rsidRPr="0001543F">
        <w:rPr>
          <w:lang w:val="pl-PL"/>
        </w:rPr>
        <w:lastRenderedPageBreak/>
        <w:t>Wyłącznie takie okoliczności mogą wskazywać na zaistnienie „</w:t>
      </w:r>
      <w:r w:rsidR="008B5D02" w:rsidRPr="0001543F">
        <w:rPr>
          <w:lang w:val="pl-PL"/>
        </w:rPr>
        <w:t xml:space="preserve">rażącej </w:t>
      </w:r>
      <w:r w:rsidR="008B5D02" w:rsidRPr="0001543F">
        <w:rPr>
          <w:i/>
          <w:iCs/>
          <w:lang w:val="pl-PL"/>
        </w:rPr>
        <w:t>i</w:t>
      </w:r>
      <w:r w:rsidR="008B5D02" w:rsidRPr="0001543F">
        <w:rPr>
          <w:lang w:val="pl-PL"/>
        </w:rPr>
        <w:t xml:space="preserve"> oczywistej nieprawidłowości</w:t>
      </w:r>
      <w:r w:rsidR="003960A7" w:rsidRPr="0001543F">
        <w:rPr>
          <w:lang w:val="pl-PL"/>
        </w:rPr>
        <w:t>” (</w:t>
      </w:r>
      <w:r w:rsidRPr="0001543F">
        <w:rPr>
          <w:lang w:val="pl-PL"/>
        </w:rPr>
        <w:t xml:space="preserve">zob. </w:t>
      </w:r>
      <w:r w:rsidR="002C0F9F" w:rsidRPr="0001543F">
        <w:rPr>
          <w:lang w:val="pl-PL"/>
        </w:rPr>
        <w:t>par.</w:t>
      </w:r>
      <w:r w:rsidR="003960A7" w:rsidRPr="0001543F">
        <w:rPr>
          <w:lang w:val="pl-PL"/>
        </w:rPr>
        <w:t xml:space="preserve"> 110)</w:t>
      </w:r>
      <w:r w:rsidRPr="0001543F">
        <w:rPr>
          <w:lang w:val="pl-PL"/>
        </w:rPr>
        <w:t xml:space="preserve">, jeżeli </w:t>
      </w:r>
      <w:r w:rsidR="002C0F9F" w:rsidRPr="0001543F">
        <w:rPr>
          <w:lang w:val="pl-PL"/>
        </w:rPr>
        <w:t>Trybunał</w:t>
      </w:r>
      <w:r w:rsidRPr="0001543F">
        <w:rPr>
          <w:lang w:val="pl-PL"/>
        </w:rPr>
        <w:t xml:space="preserve"> pragnie wskazać, iż doszło do sytuacji poważniejszej niż naruszenie artykułu </w:t>
      </w:r>
      <w:r w:rsidR="003960A7" w:rsidRPr="0001543F">
        <w:rPr>
          <w:lang w:val="pl-PL"/>
        </w:rPr>
        <w:t xml:space="preserve">5 </w:t>
      </w:r>
      <w:r w:rsidRPr="0001543F">
        <w:rPr>
          <w:lang w:val="pl-PL"/>
        </w:rPr>
        <w:t xml:space="preserve">lub artykułu </w:t>
      </w:r>
      <w:r w:rsidR="003960A7" w:rsidRPr="0001543F">
        <w:rPr>
          <w:lang w:val="pl-PL"/>
        </w:rPr>
        <w:t xml:space="preserve">6 </w:t>
      </w:r>
      <w:r w:rsidR="00C8199B" w:rsidRPr="0001543F">
        <w:rPr>
          <w:lang w:val="pl-PL"/>
        </w:rPr>
        <w:t>Konwencji</w:t>
      </w:r>
      <w:r w:rsidR="003960A7" w:rsidRPr="0001543F">
        <w:rPr>
          <w:lang w:val="pl-PL"/>
        </w:rPr>
        <w:t xml:space="preserve">. </w:t>
      </w:r>
      <w:r w:rsidRPr="0001543F">
        <w:rPr>
          <w:lang w:val="pl-PL"/>
        </w:rPr>
        <w:t xml:space="preserve">Jednakże sprawa dotyczy naruszenia artykułu </w:t>
      </w:r>
      <w:r w:rsidR="003960A7" w:rsidRPr="0001543F">
        <w:rPr>
          <w:lang w:val="pl-PL"/>
        </w:rPr>
        <w:t xml:space="preserve">5 </w:t>
      </w:r>
      <w:r w:rsidRPr="0001543F">
        <w:rPr>
          <w:lang w:val="pl-PL"/>
        </w:rPr>
        <w:t>ust.</w:t>
      </w:r>
      <w:r w:rsidR="003960A7" w:rsidRPr="0001543F">
        <w:rPr>
          <w:lang w:val="pl-PL"/>
        </w:rPr>
        <w:t xml:space="preserve"> 1 </w:t>
      </w:r>
      <w:r w:rsidRPr="0001543F">
        <w:rPr>
          <w:lang w:val="pl-PL"/>
        </w:rPr>
        <w:t xml:space="preserve">i niegodnego z prawem tymczasowego aresztowania </w:t>
      </w:r>
      <w:r w:rsidR="00D463C6" w:rsidRPr="0001543F">
        <w:rPr>
          <w:lang w:val="pl-PL"/>
        </w:rPr>
        <w:t>skarżąc</w:t>
      </w:r>
      <w:r w:rsidRPr="0001543F">
        <w:rPr>
          <w:lang w:val="pl-PL"/>
        </w:rPr>
        <w:t>ego</w:t>
      </w:r>
      <w:r w:rsidR="003960A7" w:rsidRPr="0001543F">
        <w:rPr>
          <w:lang w:val="pl-PL"/>
        </w:rPr>
        <w:t>.</w:t>
      </w:r>
    </w:p>
    <w:p w:rsidR="003960A7" w:rsidRPr="0001543F" w:rsidRDefault="009E3FD4" w:rsidP="003960A7">
      <w:pPr>
        <w:pStyle w:val="OpiPara"/>
        <w:rPr>
          <w:lang w:val="pl-PL"/>
        </w:rPr>
      </w:pPr>
      <w:r w:rsidRPr="0001543F">
        <w:rPr>
          <w:lang w:val="pl-PL"/>
        </w:rPr>
        <w:t xml:space="preserve">Ponadto, oceniając okoliczności niniejszej sprawy w sposób całościowy, pragnąłbym zauważać, że sąd krajowy </w:t>
      </w:r>
      <w:r w:rsidR="003960A7" w:rsidRPr="0001543F">
        <w:rPr>
          <w:lang w:val="pl-PL"/>
        </w:rPr>
        <w:t>(</w:t>
      </w:r>
      <w:r w:rsidRPr="0001543F">
        <w:rPr>
          <w:lang w:val="pl-PL"/>
        </w:rPr>
        <w:t>w trakcie ponownego rozpoznawania sprawy</w:t>
      </w:r>
      <w:r w:rsidR="003960A7" w:rsidRPr="0001543F">
        <w:rPr>
          <w:lang w:val="pl-PL"/>
        </w:rPr>
        <w:t xml:space="preserve">) </w:t>
      </w:r>
      <w:r w:rsidRPr="0001543F">
        <w:rPr>
          <w:lang w:val="pl-PL"/>
        </w:rPr>
        <w:t xml:space="preserve">doszedł do tych samych wniosków i podtrzymał pierwotne zarzuty przedstawione </w:t>
      </w:r>
      <w:r w:rsidR="00D463C6" w:rsidRPr="0001543F">
        <w:rPr>
          <w:lang w:val="pl-PL"/>
        </w:rPr>
        <w:t>skarżąc</w:t>
      </w:r>
      <w:r w:rsidRPr="0001543F">
        <w:rPr>
          <w:lang w:val="pl-PL"/>
        </w:rPr>
        <w:t>ego</w:t>
      </w:r>
      <w:r w:rsidR="003960A7" w:rsidRPr="0001543F">
        <w:rPr>
          <w:lang w:val="pl-PL"/>
        </w:rPr>
        <w:t xml:space="preserve">, </w:t>
      </w:r>
      <w:r w:rsidRPr="0001543F">
        <w:rPr>
          <w:lang w:val="pl-PL"/>
        </w:rPr>
        <w:t xml:space="preserve">który nie podniósł przed </w:t>
      </w:r>
      <w:r w:rsidR="002C0F9F" w:rsidRPr="0001543F">
        <w:rPr>
          <w:lang w:val="pl-PL"/>
        </w:rPr>
        <w:t>Trybunał</w:t>
      </w:r>
      <w:r w:rsidRPr="0001543F">
        <w:rPr>
          <w:lang w:val="pl-PL"/>
        </w:rPr>
        <w:t xml:space="preserve">em zarzutów dotyczących </w:t>
      </w:r>
      <w:r w:rsidR="00FE19BF" w:rsidRPr="0001543F">
        <w:rPr>
          <w:lang w:val="pl-PL"/>
        </w:rPr>
        <w:t>zgromadzonych przeciwko niemu dowodów</w:t>
      </w:r>
      <w:r w:rsidR="003960A7" w:rsidRPr="0001543F">
        <w:rPr>
          <w:lang w:val="pl-PL"/>
        </w:rPr>
        <w:t xml:space="preserve"> </w:t>
      </w:r>
      <w:r w:rsidRPr="0001543F">
        <w:rPr>
          <w:lang w:val="pl-PL"/>
        </w:rPr>
        <w:t xml:space="preserve">oraz że </w:t>
      </w:r>
      <w:r w:rsidR="002C0F9F" w:rsidRPr="0001543F">
        <w:rPr>
          <w:lang w:val="pl-PL"/>
        </w:rPr>
        <w:t>Trybunał</w:t>
      </w:r>
      <w:r w:rsidRPr="0001543F">
        <w:rPr>
          <w:lang w:val="pl-PL"/>
        </w:rPr>
        <w:t xml:space="preserve"> uznał za oczywiście bezzasadną skargę dotyczącą naruszenia artykułu 6</w:t>
      </w:r>
      <w:r w:rsidR="003960A7" w:rsidRPr="0001543F">
        <w:rPr>
          <w:lang w:val="pl-PL"/>
        </w:rPr>
        <w:t xml:space="preserve">. </w:t>
      </w:r>
      <w:r w:rsidRPr="0001543F">
        <w:rPr>
          <w:lang w:val="pl-PL"/>
        </w:rPr>
        <w:t xml:space="preserve">Z tego względu nie mam podstaw, by sądzić, iż w okresie tych sześciu lat </w:t>
      </w:r>
      <w:r w:rsidR="00D463C6" w:rsidRPr="0001543F">
        <w:rPr>
          <w:lang w:val="pl-PL"/>
        </w:rPr>
        <w:t>skarżąc</w:t>
      </w:r>
      <w:r w:rsidRPr="0001543F">
        <w:rPr>
          <w:lang w:val="pl-PL"/>
        </w:rPr>
        <w:t>y cierpiał</w:t>
      </w:r>
      <w:r w:rsidR="008160EB" w:rsidRPr="0001543F">
        <w:rPr>
          <w:lang w:val="pl-PL"/>
        </w:rPr>
        <w:t xml:space="preserve"> ze względu na niewinność</w:t>
      </w:r>
      <w:r w:rsidR="003960A7" w:rsidRPr="0001543F">
        <w:rPr>
          <w:lang w:val="pl-PL"/>
        </w:rPr>
        <w:t xml:space="preserve">. </w:t>
      </w:r>
      <w:r w:rsidRPr="0001543F">
        <w:rPr>
          <w:lang w:val="pl-PL"/>
        </w:rPr>
        <w:t xml:space="preserve">Mam zatem </w:t>
      </w:r>
      <w:r w:rsidR="009D24E8" w:rsidRPr="0001543F">
        <w:rPr>
          <w:lang w:val="pl-PL"/>
        </w:rPr>
        <w:t>wątpliwości</w:t>
      </w:r>
      <w:r w:rsidRPr="0001543F">
        <w:rPr>
          <w:lang w:val="pl-PL"/>
        </w:rPr>
        <w:t xml:space="preserve"> odnośnie do statusu pokrzywdzonego </w:t>
      </w:r>
      <w:r w:rsidR="00D463C6" w:rsidRPr="0001543F">
        <w:rPr>
          <w:lang w:val="pl-PL"/>
        </w:rPr>
        <w:t>skarżąc</w:t>
      </w:r>
      <w:r w:rsidRPr="0001543F">
        <w:rPr>
          <w:lang w:val="pl-PL"/>
        </w:rPr>
        <w:t>ego</w:t>
      </w:r>
      <w:r w:rsidR="003960A7" w:rsidRPr="0001543F">
        <w:rPr>
          <w:lang w:val="pl-PL"/>
        </w:rPr>
        <w:t>.</w:t>
      </w:r>
    </w:p>
    <w:p w:rsidR="003960A7" w:rsidRPr="0001543F" w:rsidRDefault="00255365" w:rsidP="003960A7">
      <w:pPr>
        <w:pStyle w:val="OpiPara"/>
        <w:rPr>
          <w:lang w:val="pl-PL"/>
        </w:rPr>
      </w:pPr>
      <w:r w:rsidRPr="0001543F">
        <w:rPr>
          <w:lang w:val="pl-PL"/>
        </w:rPr>
        <w:t xml:space="preserve">Sądzę także, iż </w:t>
      </w:r>
      <w:r w:rsidR="00D463C6" w:rsidRPr="0001543F">
        <w:rPr>
          <w:lang w:val="pl-PL"/>
        </w:rPr>
        <w:t>skarżąc</w:t>
      </w:r>
      <w:r w:rsidRPr="0001543F">
        <w:rPr>
          <w:lang w:val="pl-PL"/>
        </w:rPr>
        <w:t>y otrzymał odpowiednie zadośćuczynienie zważywszy na fakt, że –</w:t>
      </w:r>
      <w:r w:rsidR="003960A7" w:rsidRPr="0001543F">
        <w:rPr>
          <w:lang w:val="pl-PL"/>
        </w:rPr>
        <w:t xml:space="preserve"> w</w:t>
      </w:r>
      <w:r w:rsidRPr="0001543F">
        <w:rPr>
          <w:lang w:val="pl-PL"/>
        </w:rPr>
        <w:t xml:space="preserve"> ramach ponownego rozpoznania jego sprawy –</w:t>
      </w:r>
      <w:r w:rsidR="003960A7" w:rsidRPr="0001543F">
        <w:rPr>
          <w:lang w:val="pl-PL"/>
        </w:rPr>
        <w:t xml:space="preserve"> </w:t>
      </w:r>
      <w:r w:rsidRPr="0001543F">
        <w:rPr>
          <w:lang w:val="pl-PL"/>
        </w:rPr>
        <w:t xml:space="preserve">sąd krajowy skrócił okres kary o cztery lata, uwzględniając fakt, że </w:t>
      </w:r>
      <w:r w:rsidR="008B5D02" w:rsidRPr="0001543F">
        <w:rPr>
          <w:lang w:val="pl-PL"/>
        </w:rPr>
        <w:t xml:space="preserve">odbył </w:t>
      </w:r>
      <w:r w:rsidR="00AE1B21" w:rsidRPr="0001543F">
        <w:rPr>
          <w:lang w:val="pl-PL"/>
        </w:rPr>
        <w:t xml:space="preserve">on już </w:t>
      </w:r>
      <w:r w:rsidR="008B5D02" w:rsidRPr="0001543F">
        <w:rPr>
          <w:lang w:val="pl-PL"/>
        </w:rPr>
        <w:t>dług</w:t>
      </w:r>
      <w:r w:rsidR="00AE1B21" w:rsidRPr="0001543F">
        <w:rPr>
          <w:lang w:val="pl-PL"/>
        </w:rPr>
        <w:t xml:space="preserve">i okres </w:t>
      </w:r>
      <w:r w:rsidR="008B5D02" w:rsidRPr="0001543F">
        <w:rPr>
          <w:lang w:val="pl-PL"/>
        </w:rPr>
        <w:t>pozbawienia wolności</w:t>
      </w:r>
      <w:r w:rsidR="00AE1B21" w:rsidRPr="0001543F">
        <w:rPr>
          <w:lang w:val="pl-PL"/>
        </w:rPr>
        <w:t>,</w:t>
      </w:r>
      <w:r w:rsidR="003960A7" w:rsidRPr="0001543F">
        <w:rPr>
          <w:lang w:val="pl-PL"/>
        </w:rPr>
        <w:t xml:space="preserve"> </w:t>
      </w:r>
      <w:r w:rsidR="008B5D02" w:rsidRPr="0001543F">
        <w:rPr>
          <w:lang w:val="pl-PL"/>
        </w:rPr>
        <w:t>„jako że</w:t>
      </w:r>
      <w:r w:rsidR="003960A7" w:rsidRPr="0001543F">
        <w:rPr>
          <w:lang w:val="pl-PL"/>
        </w:rPr>
        <w:t xml:space="preserve"> [</w:t>
      </w:r>
      <w:r w:rsidR="00AE1B21" w:rsidRPr="0001543F">
        <w:rPr>
          <w:lang w:val="pl-PL"/>
        </w:rPr>
        <w:t>postąpienie</w:t>
      </w:r>
      <w:r w:rsidR="003960A7" w:rsidRPr="0001543F">
        <w:rPr>
          <w:lang w:val="pl-PL"/>
        </w:rPr>
        <w:t xml:space="preserve">] </w:t>
      </w:r>
      <w:r w:rsidR="008B5D02" w:rsidRPr="0001543F">
        <w:rPr>
          <w:lang w:val="pl-PL"/>
        </w:rPr>
        <w:t xml:space="preserve">inaczej, byłoby nieuczciwe” względem </w:t>
      </w:r>
      <w:r w:rsidR="00D463C6" w:rsidRPr="0001543F">
        <w:rPr>
          <w:lang w:val="pl-PL"/>
        </w:rPr>
        <w:t>skarżąc</w:t>
      </w:r>
      <w:r w:rsidR="008B5D02" w:rsidRPr="0001543F">
        <w:rPr>
          <w:lang w:val="pl-PL"/>
        </w:rPr>
        <w:t>ego</w:t>
      </w:r>
      <w:r w:rsidR="003960A7" w:rsidRPr="0001543F">
        <w:rPr>
          <w:lang w:val="pl-PL"/>
        </w:rPr>
        <w:t>.</w:t>
      </w:r>
    </w:p>
    <w:p w:rsidR="003960A7" w:rsidRPr="0001543F" w:rsidRDefault="00586350" w:rsidP="003960A7">
      <w:pPr>
        <w:pStyle w:val="OpiPara"/>
        <w:rPr>
          <w:lang w:val="pl-PL"/>
        </w:rPr>
      </w:pPr>
      <w:r w:rsidRPr="0001543F">
        <w:rPr>
          <w:lang w:val="pl-PL"/>
        </w:rPr>
        <w:t xml:space="preserve">Na początku zacytowałem orzecznictwo </w:t>
      </w:r>
      <w:r w:rsidR="002C0F9F" w:rsidRPr="0001543F">
        <w:rPr>
          <w:lang w:val="pl-PL"/>
        </w:rPr>
        <w:t>Trybunał</w:t>
      </w:r>
      <w:r w:rsidRPr="0001543F">
        <w:rPr>
          <w:lang w:val="pl-PL"/>
        </w:rPr>
        <w:t xml:space="preserve">u, zgodnie z którym władze mają obowiązek przyznania, </w:t>
      </w:r>
      <w:r w:rsidR="003A523B" w:rsidRPr="0001543F">
        <w:rPr>
          <w:lang w:val="pl-PL"/>
        </w:rPr>
        <w:t>w sposób wyraźny b</w:t>
      </w:r>
      <w:r w:rsidRPr="0001543F">
        <w:rPr>
          <w:lang w:val="pl-PL"/>
        </w:rPr>
        <w:t>ądź</w:t>
      </w:r>
      <w:r w:rsidR="003A523B" w:rsidRPr="0001543F">
        <w:rPr>
          <w:lang w:val="pl-PL"/>
        </w:rPr>
        <w:t xml:space="preserve"> dorozumiany</w:t>
      </w:r>
      <w:r w:rsidR="003960A7" w:rsidRPr="0001543F">
        <w:rPr>
          <w:lang w:val="pl-PL"/>
        </w:rPr>
        <w:t>,</w:t>
      </w:r>
      <w:r w:rsidRPr="0001543F">
        <w:rPr>
          <w:lang w:val="pl-PL"/>
        </w:rPr>
        <w:t xml:space="preserve"> że doszło do naruszenia K</w:t>
      </w:r>
      <w:r w:rsidR="00C8199B" w:rsidRPr="0001543F">
        <w:rPr>
          <w:lang w:val="pl-PL"/>
        </w:rPr>
        <w:t>onwencji</w:t>
      </w:r>
      <w:r w:rsidR="003960A7" w:rsidRPr="0001543F">
        <w:rPr>
          <w:lang w:val="pl-PL"/>
        </w:rPr>
        <w:t xml:space="preserve">. </w:t>
      </w:r>
      <w:r w:rsidRPr="0001543F">
        <w:rPr>
          <w:lang w:val="pl-PL"/>
        </w:rPr>
        <w:t xml:space="preserve">Mimo </w:t>
      </w:r>
      <w:r w:rsidR="008160EB" w:rsidRPr="0001543F">
        <w:rPr>
          <w:lang w:val="pl-PL"/>
        </w:rPr>
        <w:t>słabego uzasadniona orzeczenia</w:t>
      </w:r>
      <w:r w:rsidR="003960A7" w:rsidRPr="0001543F">
        <w:rPr>
          <w:lang w:val="pl-PL"/>
        </w:rPr>
        <w:t xml:space="preserve">, </w:t>
      </w:r>
      <w:r w:rsidRPr="0001543F">
        <w:rPr>
          <w:lang w:val="pl-PL"/>
        </w:rPr>
        <w:t xml:space="preserve">sądzę, że sąd krajowy przyznał, nie w sposób wyraźny, lecz dorozumiany, iż powyższe </w:t>
      </w:r>
      <w:r w:rsidR="008160EB" w:rsidRPr="0001543F">
        <w:rPr>
          <w:lang w:val="pl-PL"/>
        </w:rPr>
        <w:t xml:space="preserve">zaniechanie </w:t>
      </w:r>
      <w:r w:rsidRPr="0001543F">
        <w:rPr>
          <w:lang w:val="pl-PL"/>
        </w:rPr>
        <w:t xml:space="preserve">nie było uczciwe względem </w:t>
      </w:r>
      <w:r w:rsidR="00D463C6" w:rsidRPr="0001543F">
        <w:rPr>
          <w:lang w:val="pl-PL"/>
        </w:rPr>
        <w:t>skarżąc</w:t>
      </w:r>
      <w:r w:rsidRPr="0001543F">
        <w:rPr>
          <w:lang w:val="pl-PL"/>
        </w:rPr>
        <w:t>ego</w:t>
      </w:r>
      <w:r w:rsidR="003960A7" w:rsidRPr="0001543F">
        <w:rPr>
          <w:lang w:val="pl-PL"/>
        </w:rPr>
        <w:t xml:space="preserve">. </w:t>
      </w:r>
      <w:r w:rsidRPr="0001543F">
        <w:rPr>
          <w:lang w:val="pl-PL"/>
        </w:rPr>
        <w:t>Ze strony rosyjskiego sędziego był to akt humanitaryzmu w stosunku do przestępcy skazanego na podstawie zarzutów zabójstwa,</w:t>
      </w:r>
      <w:r w:rsidR="008160EB" w:rsidRPr="0001543F">
        <w:rPr>
          <w:lang w:val="pl-PL"/>
        </w:rPr>
        <w:t xml:space="preserve"> porwania i wymuszeń</w:t>
      </w:r>
      <w:r w:rsidR="003960A7" w:rsidRPr="0001543F">
        <w:rPr>
          <w:lang w:val="pl-PL"/>
        </w:rPr>
        <w:t>.</w:t>
      </w:r>
      <w:r w:rsidRPr="0001543F">
        <w:rPr>
          <w:lang w:val="pl-PL"/>
        </w:rPr>
        <w:t xml:space="preserve"> Jestem przekonany, że Trybunał nie powinien i</w:t>
      </w:r>
      <w:r w:rsidR="003960A7" w:rsidRPr="0001543F">
        <w:rPr>
          <w:lang w:val="pl-PL"/>
        </w:rPr>
        <w:t>gnor</w:t>
      </w:r>
      <w:r w:rsidR="008160EB" w:rsidRPr="0001543F">
        <w:rPr>
          <w:lang w:val="pl-PL"/>
        </w:rPr>
        <w:t xml:space="preserve">ować </w:t>
      </w:r>
      <w:r w:rsidRPr="0001543F">
        <w:rPr>
          <w:lang w:val="pl-PL"/>
        </w:rPr>
        <w:t>tego faktu.</w:t>
      </w:r>
    </w:p>
    <w:p w:rsidR="009B4DD0" w:rsidRPr="0001543F" w:rsidRDefault="009B4DD0" w:rsidP="003960A7">
      <w:pPr>
        <w:rPr>
          <w:lang w:val="pl-PL"/>
        </w:rPr>
      </w:pPr>
    </w:p>
    <w:sectPr w:rsidR="009B4DD0" w:rsidRPr="0001543F" w:rsidSect="009B4DD0">
      <w:headerReference w:type="even" r:id="rId14"/>
      <w:headerReference w:type="default" r:id="rId15"/>
      <w:footnotePr>
        <w:numRestart w:val="eachPage"/>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64EB" w:rsidRDefault="002C64EB">
      <w:r>
        <w:separator/>
      </w:r>
    </w:p>
  </w:endnote>
  <w:endnote w:type="continuationSeparator" w:id="0">
    <w:p w:rsidR="002C64EB" w:rsidRDefault="002C64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64EB" w:rsidRDefault="002C64EB">
      <w:r>
        <w:separator/>
      </w:r>
    </w:p>
  </w:footnote>
  <w:footnote w:type="continuationSeparator" w:id="0">
    <w:p w:rsidR="002C64EB" w:rsidRDefault="002C64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568B" w:rsidRDefault="000C568B">
    <w:pPr>
      <w:pStyle w:val="JuHeader"/>
      <w:rPr>
        <w:lang w:val="pl-PL"/>
      </w:rPr>
    </w:pPr>
    <w:r>
      <w:rPr>
        <w:rStyle w:val="Numerstrony"/>
      </w:rPr>
      <w:fldChar w:fldCharType="begin"/>
    </w:r>
    <w:r w:rsidRPr="00971CBB">
      <w:rPr>
        <w:rStyle w:val="Numerstrony"/>
        <w:lang w:val="pl-PL"/>
      </w:rPr>
      <w:instrText xml:space="preserve"> PAGE </w:instrText>
    </w:r>
    <w:r>
      <w:rPr>
        <w:rStyle w:val="Numerstrony"/>
      </w:rPr>
      <w:fldChar w:fldCharType="separate"/>
    </w:r>
    <w:r w:rsidR="00B7637E">
      <w:rPr>
        <w:rStyle w:val="Numerstrony"/>
        <w:noProof/>
        <w:lang w:val="pl-PL"/>
      </w:rPr>
      <w:t>2</w:t>
    </w:r>
    <w:r>
      <w:rPr>
        <w:rStyle w:val="Numerstrony"/>
      </w:rPr>
      <w:fldChar w:fldCharType="end"/>
    </w:r>
    <w:r w:rsidRPr="00971CBB">
      <w:rPr>
        <w:lang w:val="pl-PL"/>
      </w:rPr>
      <w:tab/>
      <w:t>WYROK</w:t>
    </w:r>
    <w:r w:rsidR="009A5DC2">
      <w:rPr>
        <w:lang w:val="pl-PL"/>
      </w:rPr>
      <w:t xml:space="preserve"> </w:t>
    </w:r>
    <w:r w:rsidR="002179BB" w:rsidRPr="00971CBB">
      <w:rPr>
        <w:lang w:val="pl-PL"/>
      </w:rPr>
      <w:t>J</w:t>
    </w:r>
    <w:r w:rsidRPr="00971CBB">
      <w:rPr>
        <w:lang w:val="pl-PL"/>
      </w:rPr>
      <w:t>EFIMENKO przeciwko ROSJI</w:t>
    </w:r>
  </w:p>
  <w:p w:rsidR="009A5DC2" w:rsidRPr="00971CBB" w:rsidRDefault="009A5DC2">
    <w:pPr>
      <w:pStyle w:val="JuHeader"/>
      <w:rPr>
        <w:lang w:val="pl-P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568B" w:rsidRPr="00971CBB" w:rsidRDefault="000C568B">
    <w:pPr>
      <w:pStyle w:val="JuHeader"/>
      <w:rPr>
        <w:lang w:val="pl-PL"/>
      </w:rPr>
    </w:pPr>
    <w:r>
      <w:tab/>
    </w:r>
    <w:r w:rsidRPr="00971CBB">
      <w:rPr>
        <w:lang w:val="pl-PL"/>
      </w:rPr>
      <w:t>WYROK</w:t>
    </w:r>
    <w:r w:rsidR="009A5DC2">
      <w:rPr>
        <w:lang w:val="pl-PL"/>
      </w:rPr>
      <w:t xml:space="preserve"> </w:t>
    </w:r>
    <w:r w:rsidRPr="00971CBB">
      <w:rPr>
        <w:lang w:val="pl-PL"/>
      </w:rPr>
      <w:t>JEFIMENKO przeciwko ROSJI</w:t>
    </w:r>
    <w:r w:rsidR="009A5DC2">
      <w:rPr>
        <w:lang w:val="pl-PL"/>
      </w:rPr>
      <w:t xml:space="preserve"> </w:t>
    </w:r>
    <w:r w:rsidRPr="00971CBB">
      <w:rPr>
        <w:lang w:val="pl-PL"/>
      </w:rPr>
      <w:tab/>
    </w:r>
    <w:r>
      <w:rPr>
        <w:rStyle w:val="Numerstrony"/>
      </w:rPr>
      <w:fldChar w:fldCharType="begin"/>
    </w:r>
    <w:r w:rsidRPr="00971CBB">
      <w:rPr>
        <w:rStyle w:val="Numerstrony"/>
        <w:lang w:val="pl-PL"/>
      </w:rPr>
      <w:instrText xml:space="preserve"> PAGE </w:instrText>
    </w:r>
    <w:r>
      <w:rPr>
        <w:rStyle w:val="Numerstrony"/>
      </w:rPr>
      <w:fldChar w:fldCharType="separate"/>
    </w:r>
    <w:r w:rsidR="00B7637E">
      <w:rPr>
        <w:rStyle w:val="Numerstrony"/>
        <w:noProof/>
        <w:lang w:val="pl-PL"/>
      </w:rPr>
      <w:t>1</w:t>
    </w:r>
    <w:r>
      <w:rPr>
        <w:rStyle w:val="Numerstrony"/>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568B" w:rsidRPr="00971CBB" w:rsidRDefault="000C568B">
    <w:pPr>
      <w:pStyle w:val="JuHeader"/>
      <w:rPr>
        <w:lang w:val="pl-PL"/>
      </w:rPr>
    </w:pPr>
    <w:r>
      <w:rPr>
        <w:rStyle w:val="Numerstrony"/>
      </w:rPr>
      <w:fldChar w:fldCharType="begin"/>
    </w:r>
    <w:r w:rsidRPr="00971CBB">
      <w:rPr>
        <w:rStyle w:val="Numerstrony"/>
        <w:lang w:val="pl-PL"/>
      </w:rPr>
      <w:instrText xml:space="preserve"> PAGE </w:instrText>
    </w:r>
    <w:r>
      <w:rPr>
        <w:rStyle w:val="Numerstrony"/>
      </w:rPr>
      <w:fldChar w:fldCharType="separate"/>
    </w:r>
    <w:r w:rsidR="00B7637E">
      <w:rPr>
        <w:rStyle w:val="Numerstrony"/>
        <w:noProof/>
        <w:lang w:val="pl-PL"/>
      </w:rPr>
      <w:t>40</w:t>
    </w:r>
    <w:r>
      <w:rPr>
        <w:rStyle w:val="Numerstrony"/>
      </w:rPr>
      <w:fldChar w:fldCharType="end"/>
    </w:r>
    <w:r w:rsidRPr="00971CBB">
      <w:rPr>
        <w:lang w:val="pl-PL"/>
      </w:rPr>
      <w:tab/>
      <w:t>WYROK w sprawie YEFIMENKO przeciwko ROSJI – ZDANIE ODRĘBNE</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568B" w:rsidRPr="00971CBB" w:rsidRDefault="000C568B">
    <w:pPr>
      <w:pStyle w:val="JuHeader"/>
      <w:rPr>
        <w:lang w:val="pl-PL"/>
      </w:rPr>
    </w:pPr>
    <w:r>
      <w:tab/>
    </w:r>
    <w:r w:rsidRPr="00971CBB">
      <w:rPr>
        <w:lang w:val="pl-PL"/>
      </w:rPr>
      <w:t>WYROK w sprawie YEFIMENKO przeciwko ROSJI – ZDANIE ODRĘBNE</w:t>
    </w:r>
    <w:r w:rsidRPr="00971CBB">
      <w:rPr>
        <w:lang w:val="pl-PL"/>
      </w:rPr>
      <w:tab/>
    </w:r>
    <w:r>
      <w:rPr>
        <w:rStyle w:val="Numerstrony"/>
      </w:rPr>
      <w:fldChar w:fldCharType="begin"/>
    </w:r>
    <w:r w:rsidRPr="00971CBB">
      <w:rPr>
        <w:rStyle w:val="Numerstrony"/>
        <w:lang w:val="pl-PL"/>
      </w:rPr>
      <w:instrText xml:space="preserve"> PAGE </w:instrText>
    </w:r>
    <w:r>
      <w:rPr>
        <w:rStyle w:val="Numerstrony"/>
      </w:rPr>
      <w:fldChar w:fldCharType="separate"/>
    </w:r>
    <w:r w:rsidR="00B7637E">
      <w:rPr>
        <w:rStyle w:val="Numerstrony"/>
        <w:noProof/>
        <w:lang w:val="pl-PL"/>
      </w:rPr>
      <w:t>41</w:t>
    </w:r>
    <w:r>
      <w:rPr>
        <w:rStyle w:val="Numerstrony"/>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EE8A85E"/>
    <w:lvl w:ilvl="0">
      <w:start w:val="1"/>
      <w:numFmt w:val="bullet"/>
      <w:lvlText w:val=""/>
      <w:lvlJc w:val="left"/>
      <w:pPr>
        <w:tabs>
          <w:tab w:val="num" w:pos="360"/>
        </w:tabs>
        <w:ind w:left="360" w:hanging="360"/>
      </w:pPr>
      <w:rPr>
        <w:rFonts w:ascii="Symbol" w:hAnsi="Symbol" w:hint="default"/>
      </w:rPr>
    </w:lvl>
  </w:abstractNum>
  <w:abstractNum w:abstractNumId="1">
    <w:nsid w:val="15DF3FC8"/>
    <w:multiLevelType w:val="hybridMultilevel"/>
    <w:tmpl w:val="CE460DEA"/>
    <w:lvl w:ilvl="0" w:tplc="DC1E132C">
      <w:start w:val="2"/>
      <w:numFmt w:val="upperLetter"/>
      <w:lvlText w:val="%1."/>
      <w:lvlJc w:val="left"/>
      <w:pPr>
        <w:tabs>
          <w:tab w:val="num" w:pos="592"/>
        </w:tabs>
        <w:ind w:left="592" w:hanging="360"/>
      </w:pPr>
      <w:rPr>
        <w:rFonts w:hint="default"/>
      </w:rPr>
    </w:lvl>
    <w:lvl w:ilvl="1" w:tplc="08090019" w:tentative="1">
      <w:start w:val="1"/>
      <w:numFmt w:val="lowerLetter"/>
      <w:lvlText w:val="%2."/>
      <w:lvlJc w:val="left"/>
      <w:pPr>
        <w:tabs>
          <w:tab w:val="num" w:pos="1312"/>
        </w:tabs>
        <w:ind w:left="1312" w:hanging="360"/>
      </w:pPr>
    </w:lvl>
    <w:lvl w:ilvl="2" w:tplc="0809001B" w:tentative="1">
      <w:start w:val="1"/>
      <w:numFmt w:val="lowerRoman"/>
      <w:lvlText w:val="%3."/>
      <w:lvlJc w:val="right"/>
      <w:pPr>
        <w:tabs>
          <w:tab w:val="num" w:pos="2032"/>
        </w:tabs>
        <w:ind w:left="2032" w:hanging="180"/>
      </w:pPr>
    </w:lvl>
    <w:lvl w:ilvl="3" w:tplc="0809000F" w:tentative="1">
      <w:start w:val="1"/>
      <w:numFmt w:val="decimal"/>
      <w:lvlText w:val="%4."/>
      <w:lvlJc w:val="left"/>
      <w:pPr>
        <w:tabs>
          <w:tab w:val="num" w:pos="2752"/>
        </w:tabs>
        <w:ind w:left="2752" w:hanging="360"/>
      </w:pPr>
    </w:lvl>
    <w:lvl w:ilvl="4" w:tplc="08090019" w:tentative="1">
      <w:start w:val="1"/>
      <w:numFmt w:val="lowerLetter"/>
      <w:lvlText w:val="%5."/>
      <w:lvlJc w:val="left"/>
      <w:pPr>
        <w:tabs>
          <w:tab w:val="num" w:pos="3472"/>
        </w:tabs>
        <w:ind w:left="3472" w:hanging="360"/>
      </w:pPr>
    </w:lvl>
    <w:lvl w:ilvl="5" w:tplc="0809001B" w:tentative="1">
      <w:start w:val="1"/>
      <w:numFmt w:val="lowerRoman"/>
      <w:lvlText w:val="%6."/>
      <w:lvlJc w:val="right"/>
      <w:pPr>
        <w:tabs>
          <w:tab w:val="num" w:pos="4192"/>
        </w:tabs>
        <w:ind w:left="4192" w:hanging="180"/>
      </w:pPr>
    </w:lvl>
    <w:lvl w:ilvl="6" w:tplc="0809000F" w:tentative="1">
      <w:start w:val="1"/>
      <w:numFmt w:val="decimal"/>
      <w:lvlText w:val="%7."/>
      <w:lvlJc w:val="left"/>
      <w:pPr>
        <w:tabs>
          <w:tab w:val="num" w:pos="4912"/>
        </w:tabs>
        <w:ind w:left="4912" w:hanging="360"/>
      </w:pPr>
    </w:lvl>
    <w:lvl w:ilvl="7" w:tplc="08090019" w:tentative="1">
      <w:start w:val="1"/>
      <w:numFmt w:val="lowerLetter"/>
      <w:lvlText w:val="%8."/>
      <w:lvlJc w:val="left"/>
      <w:pPr>
        <w:tabs>
          <w:tab w:val="num" w:pos="5632"/>
        </w:tabs>
        <w:ind w:left="5632" w:hanging="360"/>
      </w:pPr>
    </w:lvl>
    <w:lvl w:ilvl="8" w:tplc="0809001B" w:tentative="1">
      <w:start w:val="1"/>
      <w:numFmt w:val="lowerRoman"/>
      <w:lvlText w:val="%9."/>
      <w:lvlJc w:val="right"/>
      <w:pPr>
        <w:tabs>
          <w:tab w:val="num" w:pos="6352"/>
        </w:tabs>
        <w:ind w:left="6352" w:hanging="180"/>
      </w:pPr>
    </w:lvl>
  </w:abstractNum>
  <w:abstractNum w:abstractNumId="2">
    <w:nsid w:val="1C6F00E0"/>
    <w:multiLevelType w:val="hybridMultilevel"/>
    <w:tmpl w:val="0AFA7BA0"/>
    <w:lvl w:ilvl="0" w:tplc="26EA5144">
      <w:start w:val="2"/>
      <w:numFmt w:val="lowerLetter"/>
      <w:lvlText w:val="(%1)"/>
      <w:lvlJc w:val="left"/>
      <w:pPr>
        <w:tabs>
          <w:tab w:val="num" w:pos="684"/>
        </w:tabs>
        <w:ind w:left="684" w:hanging="400"/>
      </w:pPr>
      <w:rPr>
        <w:rFonts w:hint="default"/>
      </w:rPr>
    </w:lvl>
    <w:lvl w:ilvl="1" w:tplc="08090019" w:tentative="1">
      <w:start w:val="1"/>
      <w:numFmt w:val="lowerLetter"/>
      <w:lvlText w:val="%2."/>
      <w:lvlJc w:val="left"/>
      <w:pPr>
        <w:tabs>
          <w:tab w:val="num" w:pos="1364"/>
        </w:tabs>
        <w:ind w:left="1364" w:hanging="360"/>
      </w:pPr>
    </w:lvl>
    <w:lvl w:ilvl="2" w:tplc="0809001B" w:tentative="1">
      <w:start w:val="1"/>
      <w:numFmt w:val="lowerRoman"/>
      <w:lvlText w:val="%3."/>
      <w:lvlJc w:val="right"/>
      <w:pPr>
        <w:tabs>
          <w:tab w:val="num" w:pos="2084"/>
        </w:tabs>
        <w:ind w:left="2084" w:hanging="180"/>
      </w:pPr>
    </w:lvl>
    <w:lvl w:ilvl="3" w:tplc="0809000F" w:tentative="1">
      <w:start w:val="1"/>
      <w:numFmt w:val="decimal"/>
      <w:lvlText w:val="%4."/>
      <w:lvlJc w:val="left"/>
      <w:pPr>
        <w:tabs>
          <w:tab w:val="num" w:pos="2804"/>
        </w:tabs>
        <w:ind w:left="2804" w:hanging="360"/>
      </w:pPr>
    </w:lvl>
    <w:lvl w:ilvl="4" w:tplc="08090019" w:tentative="1">
      <w:start w:val="1"/>
      <w:numFmt w:val="lowerLetter"/>
      <w:lvlText w:val="%5."/>
      <w:lvlJc w:val="left"/>
      <w:pPr>
        <w:tabs>
          <w:tab w:val="num" w:pos="3524"/>
        </w:tabs>
        <w:ind w:left="3524" w:hanging="360"/>
      </w:pPr>
    </w:lvl>
    <w:lvl w:ilvl="5" w:tplc="0809001B" w:tentative="1">
      <w:start w:val="1"/>
      <w:numFmt w:val="lowerRoman"/>
      <w:lvlText w:val="%6."/>
      <w:lvlJc w:val="right"/>
      <w:pPr>
        <w:tabs>
          <w:tab w:val="num" w:pos="4244"/>
        </w:tabs>
        <w:ind w:left="4244" w:hanging="180"/>
      </w:pPr>
    </w:lvl>
    <w:lvl w:ilvl="6" w:tplc="0809000F" w:tentative="1">
      <w:start w:val="1"/>
      <w:numFmt w:val="decimal"/>
      <w:lvlText w:val="%7."/>
      <w:lvlJc w:val="left"/>
      <w:pPr>
        <w:tabs>
          <w:tab w:val="num" w:pos="4964"/>
        </w:tabs>
        <w:ind w:left="4964" w:hanging="360"/>
      </w:pPr>
    </w:lvl>
    <w:lvl w:ilvl="7" w:tplc="08090019" w:tentative="1">
      <w:start w:val="1"/>
      <w:numFmt w:val="lowerLetter"/>
      <w:lvlText w:val="%8."/>
      <w:lvlJc w:val="left"/>
      <w:pPr>
        <w:tabs>
          <w:tab w:val="num" w:pos="5684"/>
        </w:tabs>
        <w:ind w:left="5684" w:hanging="360"/>
      </w:pPr>
    </w:lvl>
    <w:lvl w:ilvl="8" w:tplc="0809001B" w:tentative="1">
      <w:start w:val="1"/>
      <w:numFmt w:val="lowerRoman"/>
      <w:lvlText w:val="%9."/>
      <w:lvlJc w:val="right"/>
      <w:pPr>
        <w:tabs>
          <w:tab w:val="num" w:pos="6404"/>
        </w:tabs>
        <w:ind w:left="6404" w:hanging="180"/>
      </w:pPr>
    </w:lvl>
  </w:abstractNum>
  <w:abstractNum w:abstractNumId="3">
    <w:nsid w:val="210C10E6"/>
    <w:multiLevelType w:val="hybridMultilevel"/>
    <w:tmpl w:val="F8547320"/>
    <w:lvl w:ilvl="0" w:tplc="F0F0EDCA">
      <w:start w:val="2"/>
      <w:numFmt w:val="decimal"/>
      <w:lvlText w:val="%1."/>
      <w:lvlJc w:val="left"/>
      <w:pPr>
        <w:tabs>
          <w:tab w:val="num" w:pos="791"/>
        </w:tabs>
        <w:ind w:left="791" w:hanging="360"/>
      </w:pPr>
      <w:rPr>
        <w:rFonts w:hint="default"/>
      </w:rPr>
    </w:lvl>
    <w:lvl w:ilvl="1" w:tplc="08090019" w:tentative="1">
      <w:start w:val="1"/>
      <w:numFmt w:val="lowerLetter"/>
      <w:lvlText w:val="%2."/>
      <w:lvlJc w:val="left"/>
      <w:pPr>
        <w:tabs>
          <w:tab w:val="num" w:pos="1511"/>
        </w:tabs>
        <w:ind w:left="1511" w:hanging="360"/>
      </w:pPr>
    </w:lvl>
    <w:lvl w:ilvl="2" w:tplc="0809001B" w:tentative="1">
      <w:start w:val="1"/>
      <w:numFmt w:val="lowerRoman"/>
      <w:lvlText w:val="%3."/>
      <w:lvlJc w:val="right"/>
      <w:pPr>
        <w:tabs>
          <w:tab w:val="num" w:pos="2231"/>
        </w:tabs>
        <w:ind w:left="2231" w:hanging="180"/>
      </w:pPr>
    </w:lvl>
    <w:lvl w:ilvl="3" w:tplc="0809000F" w:tentative="1">
      <w:start w:val="1"/>
      <w:numFmt w:val="decimal"/>
      <w:lvlText w:val="%4."/>
      <w:lvlJc w:val="left"/>
      <w:pPr>
        <w:tabs>
          <w:tab w:val="num" w:pos="2951"/>
        </w:tabs>
        <w:ind w:left="2951" w:hanging="360"/>
      </w:pPr>
    </w:lvl>
    <w:lvl w:ilvl="4" w:tplc="08090019" w:tentative="1">
      <w:start w:val="1"/>
      <w:numFmt w:val="lowerLetter"/>
      <w:lvlText w:val="%5."/>
      <w:lvlJc w:val="left"/>
      <w:pPr>
        <w:tabs>
          <w:tab w:val="num" w:pos="3671"/>
        </w:tabs>
        <w:ind w:left="3671" w:hanging="360"/>
      </w:pPr>
    </w:lvl>
    <w:lvl w:ilvl="5" w:tplc="0809001B" w:tentative="1">
      <w:start w:val="1"/>
      <w:numFmt w:val="lowerRoman"/>
      <w:lvlText w:val="%6."/>
      <w:lvlJc w:val="right"/>
      <w:pPr>
        <w:tabs>
          <w:tab w:val="num" w:pos="4391"/>
        </w:tabs>
        <w:ind w:left="4391" w:hanging="180"/>
      </w:pPr>
    </w:lvl>
    <w:lvl w:ilvl="6" w:tplc="0809000F" w:tentative="1">
      <w:start w:val="1"/>
      <w:numFmt w:val="decimal"/>
      <w:lvlText w:val="%7."/>
      <w:lvlJc w:val="left"/>
      <w:pPr>
        <w:tabs>
          <w:tab w:val="num" w:pos="5111"/>
        </w:tabs>
        <w:ind w:left="5111" w:hanging="360"/>
      </w:pPr>
    </w:lvl>
    <w:lvl w:ilvl="7" w:tplc="08090019" w:tentative="1">
      <w:start w:val="1"/>
      <w:numFmt w:val="lowerLetter"/>
      <w:lvlText w:val="%8."/>
      <w:lvlJc w:val="left"/>
      <w:pPr>
        <w:tabs>
          <w:tab w:val="num" w:pos="5831"/>
        </w:tabs>
        <w:ind w:left="5831" w:hanging="360"/>
      </w:pPr>
    </w:lvl>
    <w:lvl w:ilvl="8" w:tplc="0809001B" w:tentative="1">
      <w:start w:val="1"/>
      <w:numFmt w:val="lowerRoman"/>
      <w:lvlText w:val="%9."/>
      <w:lvlJc w:val="right"/>
      <w:pPr>
        <w:tabs>
          <w:tab w:val="num" w:pos="6551"/>
        </w:tabs>
        <w:ind w:left="6551" w:hanging="180"/>
      </w:pPr>
    </w:lvl>
  </w:abstractNum>
  <w:abstractNum w:abstractNumId="4">
    <w:nsid w:val="256E1F32"/>
    <w:multiLevelType w:val="hybridMultilevel"/>
    <w:tmpl w:val="AE0EBB6C"/>
    <w:lvl w:ilvl="0" w:tplc="931E4CF4">
      <w:start w:val="2"/>
      <w:numFmt w:val="upperLetter"/>
      <w:lvlText w:val="%1."/>
      <w:lvlJc w:val="left"/>
      <w:pPr>
        <w:tabs>
          <w:tab w:val="num" w:pos="644"/>
        </w:tabs>
        <w:ind w:left="644" w:hanging="360"/>
      </w:pPr>
      <w:rPr>
        <w:rFonts w:hint="default"/>
      </w:rPr>
    </w:lvl>
    <w:lvl w:ilvl="1" w:tplc="08090019" w:tentative="1">
      <w:start w:val="1"/>
      <w:numFmt w:val="lowerLetter"/>
      <w:lvlText w:val="%2."/>
      <w:lvlJc w:val="left"/>
      <w:pPr>
        <w:tabs>
          <w:tab w:val="num" w:pos="1364"/>
        </w:tabs>
        <w:ind w:left="1364" w:hanging="360"/>
      </w:pPr>
    </w:lvl>
    <w:lvl w:ilvl="2" w:tplc="0809001B" w:tentative="1">
      <w:start w:val="1"/>
      <w:numFmt w:val="lowerRoman"/>
      <w:lvlText w:val="%3."/>
      <w:lvlJc w:val="right"/>
      <w:pPr>
        <w:tabs>
          <w:tab w:val="num" w:pos="2084"/>
        </w:tabs>
        <w:ind w:left="2084" w:hanging="180"/>
      </w:pPr>
    </w:lvl>
    <w:lvl w:ilvl="3" w:tplc="0809000F" w:tentative="1">
      <w:start w:val="1"/>
      <w:numFmt w:val="decimal"/>
      <w:lvlText w:val="%4."/>
      <w:lvlJc w:val="left"/>
      <w:pPr>
        <w:tabs>
          <w:tab w:val="num" w:pos="2804"/>
        </w:tabs>
        <w:ind w:left="2804" w:hanging="360"/>
      </w:pPr>
    </w:lvl>
    <w:lvl w:ilvl="4" w:tplc="08090019" w:tentative="1">
      <w:start w:val="1"/>
      <w:numFmt w:val="lowerLetter"/>
      <w:lvlText w:val="%5."/>
      <w:lvlJc w:val="left"/>
      <w:pPr>
        <w:tabs>
          <w:tab w:val="num" w:pos="3524"/>
        </w:tabs>
        <w:ind w:left="3524" w:hanging="360"/>
      </w:pPr>
    </w:lvl>
    <w:lvl w:ilvl="5" w:tplc="0809001B" w:tentative="1">
      <w:start w:val="1"/>
      <w:numFmt w:val="lowerRoman"/>
      <w:lvlText w:val="%6."/>
      <w:lvlJc w:val="right"/>
      <w:pPr>
        <w:tabs>
          <w:tab w:val="num" w:pos="4244"/>
        </w:tabs>
        <w:ind w:left="4244" w:hanging="180"/>
      </w:pPr>
    </w:lvl>
    <w:lvl w:ilvl="6" w:tplc="0809000F" w:tentative="1">
      <w:start w:val="1"/>
      <w:numFmt w:val="decimal"/>
      <w:lvlText w:val="%7."/>
      <w:lvlJc w:val="left"/>
      <w:pPr>
        <w:tabs>
          <w:tab w:val="num" w:pos="4964"/>
        </w:tabs>
        <w:ind w:left="4964" w:hanging="360"/>
      </w:pPr>
    </w:lvl>
    <w:lvl w:ilvl="7" w:tplc="08090019" w:tentative="1">
      <w:start w:val="1"/>
      <w:numFmt w:val="lowerLetter"/>
      <w:lvlText w:val="%8."/>
      <w:lvlJc w:val="left"/>
      <w:pPr>
        <w:tabs>
          <w:tab w:val="num" w:pos="5684"/>
        </w:tabs>
        <w:ind w:left="5684" w:hanging="360"/>
      </w:pPr>
    </w:lvl>
    <w:lvl w:ilvl="8" w:tplc="0809001B" w:tentative="1">
      <w:start w:val="1"/>
      <w:numFmt w:val="lowerRoman"/>
      <w:lvlText w:val="%9."/>
      <w:lvlJc w:val="right"/>
      <w:pPr>
        <w:tabs>
          <w:tab w:val="num" w:pos="6404"/>
        </w:tabs>
        <w:ind w:left="6404" w:hanging="180"/>
      </w:pPr>
    </w:lvl>
  </w:abstractNum>
  <w:abstractNum w:abstractNumId="5">
    <w:nsid w:val="406B0385"/>
    <w:multiLevelType w:val="hybridMultilevel"/>
    <w:tmpl w:val="7BFABB78"/>
    <w:lvl w:ilvl="0" w:tplc="2F1A6718">
      <w:start w:val="1"/>
      <w:numFmt w:val="decimal"/>
      <w:lvlText w:val="%1."/>
      <w:lvlJc w:val="left"/>
      <w:pPr>
        <w:tabs>
          <w:tab w:val="num" w:pos="791"/>
        </w:tabs>
        <w:ind w:left="791" w:hanging="360"/>
      </w:pPr>
      <w:rPr>
        <w:rFonts w:hint="default"/>
      </w:rPr>
    </w:lvl>
    <w:lvl w:ilvl="1" w:tplc="08090019" w:tentative="1">
      <w:start w:val="1"/>
      <w:numFmt w:val="lowerLetter"/>
      <w:lvlText w:val="%2."/>
      <w:lvlJc w:val="left"/>
      <w:pPr>
        <w:tabs>
          <w:tab w:val="num" w:pos="1511"/>
        </w:tabs>
        <w:ind w:left="1511" w:hanging="360"/>
      </w:pPr>
    </w:lvl>
    <w:lvl w:ilvl="2" w:tplc="0809001B" w:tentative="1">
      <w:start w:val="1"/>
      <w:numFmt w:val="lowerRoman"/>
      <w:lvlText w:val="%3."/>
      <w:lvlJc w:val="right"/>
      <w:pPr>
        <w:tabs>
          <w:tab w:val="num" w:pos="2231"/>
        </w:tabs>
        <w:ind w:left="2231" w:hanging="180"/>
      </w:pPr>
    </w:lvl>
    <w:lvl w:ilvl="3" w:tplc="0809000F" w:tentative="1">
      <w:start w:val="1"/>
      <w:numFmt w:val="decimal"/>
      <w:lvlText w:val="%4."/>
      <w:lvlJc w:val="left"/>
      <w:pPr>
        <w:tabs>
          <w:tab w:val="num" w:pos="2951"/>
        </w:tabs>
        <w:ind w:left="2951" w:hanging="360"/>
      </w:pPr>
    </w:lvl>
    <w:lvl w:ilvl="4" w:tplc="08090019" w:tentative="1">
      <w:start w:val="1"/>
      <w:numFmt w:val="lowerLetter"/>
      <w:lvlText w:val="%5."/>
      <w:lvlJc w:val="left"/>
      <w:pPr>
        <w:tabs>
          <w:tab w:val="num" w:pos="3671"/>
        </w:tabs>
        <w:ind w:left="3671" w:hanging="360"/>
      </w:pPr>
    </w:lvl>
    <w:lvl w:ilvl="5" w:tplc="0809001B" w:tentative="1">
      <w:start w:val="1"/>
      <w:numFmt w:val="lowerRoman"/>
      <w:lvlText w:val="%6."/>
      <w:lvlJc w:val="right"/>
      <w:pPr>
        <w:tabs>
          <w:tab w:val="num" w:pos="4391"/>
        </w:tabs>
        <w:ind w:left="4391" w:hanging="180"/>
      </w:pPr>
    </w:lvl>
    <w:lvl w:ilvl="6" w:tplc="0809000F" w:tentative="1">
      <w:start w:val="1"/>
      <w:numFmt w:val="decimal"/>
      <w:lvlText w:val="%7."/>
      <w:lvlJc w:val="left"/>
      <w:pPr>
        <w:tabs>
          <w:tab w:val="num" w:pos="5111"/>
        </w:tabs>
        <w:ind w:left="5111" w:hanging="360"/>
      </w:pPr>
    </w:lvl>
    <w:lvl w:ilvl="7" w:tplc="08090019" w:tentative="1">
      <w:start w:val="1"/>
      <w:numFmt w:val="lowerLetter"/>
      <w:lvlText w:val="%8."/>
      <w:lvlJc w:val="left"/>
      <w:pPr>
        <w:tabs>
          <w:tab w:val="num" w:pos="5831"/>
        </w:tabs>
        <w:ind w:left="5831" w:hanging="360"/>
      </w:pPr>
    </w:lvl>
    <w:lvl w:ilvl="8" w:tplc="0809001B" w:tentative="1">
      <w:start w:val="1"/>
      <w:numFmt w:val="lowerRoman"/>
      <w:lvlText w:val="%9."/>
      <w:lvlJc w:val="right"/>
      <w:pPr>
        <w:tabs>
          <w:tab w:val="num" w:pos="6551"/>
        </w:tabs>
        <w:ind w:left="6551" w:hanging="180"/>
      </w:pPr>
    </w:lvl>
  </w:abstractNum>
  <w:abstractNum w:abstractNumId="6">
    <w:nsid w:val="4F5536D5"/>
    <w:multiLevelType w:val="hybridMultilevel"/>
    <w:tmpl w:val="D35C0766"/>
    <w:lvl w:ilvl="0" w:tplc="8D2EBCCE">
      <w:start w:val="5"/>
      <w:numFmt w:val="upperLetter"/>
      <w:lvlText w:val="%1."/>
      <w:lvlJc w:val="left"/>
      <w:pPr>
        <w:tabs>
          <w:tab w:val="num" w:pos="592"/>
        </w:tabs>
        <w:ind w:left="592" w:hanging="360"/>
      </w:pPr>
      <w:rPr>
        <w:rFonts w:hint="default"/>
      </w:rPr>
    </w:lvl>
    <w:lvl w:ilvl="1" w:tplc="08090019" w:tentative="1">
      <w:start w:val="1"/>
      <w:numFmt w:val="lowerLetter"/>
      <w:lvlText w:val="%2."/>
      <w:lvlJc w:val="left"/>
      <w:pPr>
        <w:tabs>
          <w:tab w:val="num" w:pos="1312"/>
        </w:tabs>
        <w:ind w:left="1312" w:hanging="360"/>
      </w:pPr>
    </w:lvl>
    <w:lvl w:ilvl="2" w:tplc="0809001B" w:tentative="1">
      <w:start w:val="1"/>
      <w:numFmt w:val="lowerRoman"/>
      <w:lvlText w:val="%3."/>
      <w:lvlJc w:val="right"/>
      <w:pPr>
        <w:tabs>
          <w:tab w:val="num" w:pos="2032"/>
        </w:tabs>
        <w:ind w:left="2032" w:hanging="180"/>
      </w:pPr>
    </w:lvl>
    <w:lvl w:ilvl="3" w:tplc="0809000F" w:tentative="1">
      <w:start w:val="1"/>
      <w:numFmt w:val="decimal"/>
      <w:lvlText w:val="%4."/>
      <w:lvlJc w:val="left"/>
      <w:pPr>
        <w:tabs>
          <w:tab w:val="num" w:pos="2752"/>
        </w:tabs>
        <w:ind w:left="2752" w:hanging="360"/>
      </w:pPr>
    </w:lvl>
    <w:lvl w:ilvl="4" w:tplc="08090019" w:tentative="1">
      <w:start w:val="1"/>
      <w:numFmt w:val="lowerLetter"/>
      <w:lvlText w:val="%5."/>
      <w:lvlJc w:val="left"/>
      <w:pPr>
        <w:tabs>
          <w:tab w:val="num" w:pos="3472"/>
        </w:tabs>
        <w:ind w:left="3472" w:hanging="360"/>
      </w:pPr>
    </w:lvl>
    <w:lvl w:ilvl="5" w:tplc="0809001B" w:tentative="1">
      <w:start w:val="1"/>
      <w:numFmt w:val="lowerRoman"/>
      <w:lvlText w:val="%6."/>
      <w:lvlJc w:val="right"/>
      <w:pPr>
        <w:tabs>
          <w:tab w:val="num" w:pos="4192"/>
        </w:tabs>
        <w:ind w:left="4192" w:hanging="180"/>
      </w:pPr>
    </w:lvl>
    <w:lvl w:ilvl="6" w:tplc="0809000F" w:tentative="1">
      <w:start w:val="1"/>
      <w:numFmt w:val="decimal"/>
      <w:lvlText w:val="%7."/>
      <w:lvlJc w:val="left"/>
      <w:pPr>
        <w:tabs>
          <w:tab w:val="num" w:pos="4912"/>
        </w:tabs>
        <w:ind w:left="4912" w:hanging="360"/>
      </w:pPr>
    </w:lvl>
    <w:lvl w:ilvl="7" w:tplc="08090019" w:tentative="1">
      <w:start w:val="1"/>
      <w:numFmt w:val="lowerLetter"/>
      <w:lvlText w:val="%8."/>
      <w:lvlJc w:val="left"/>
      <w:pPr>
        <w:tabs>
          <w:tab w:val="num" w:pos="5632"/>
        </w:tabs>
        <w:ind w:left="5632" w:hanging="360"/>
      </w:pPr>
    </w:lvl>
    <w:lvl w:ilvl="8" w:tplc="0809001B" w:tentative="1">
      <w:start w:val="1"/>
      <w:numFmt w:val="lowerRoman"/>
      <w:lvlText w:val="%9."/>
      <w:lvlJc w:val="right"/>
      <w:pPr>
        <w:tabs>
          <w:tab w:val="num" w:pos="6352"/>
        </w:tabs>
        <w:ind w:left="6352" w:hanging="180"/>
      </w:pPr>
    </w:lvl>
  </w:abstractNum>
  <w:abstractNum w:abstractNumId="7">
    <w:nsid w:val="4FF8148F"/>
    <w:multiLevelType w:val="hybridMultilevel"/>
    <w:tmpl w:val="6F988520"/>
    <w:lvl w:ilvl="0" w:tplc="CB9CAB34">
      <w:start w:val="2"/>
      <w:numFmt w:val="lowerLetter"/>
      <w:lvlText w:val="(%1)"/>
      <w:lvlJc w:val="left"/>
      <w:pPr>
        <w:tabs>
          <w:tab w:val="num" w:pos="995"/>
        </w:tabs>
        <w:ind w:left="995" w:hanging="360"/>
      </w:pPr>
      <w:rPr>
        <w:rFonts w:hint="default"/>
      </w:rPr>
    </w:lvl>
    <w:lvl w:ilvl="1" w:tplc="08090019" w:tentative="1">
      <w:start w:val="1"/>
      <w:numFmt w:val="lowerLetter"/>
      <w:lvlText w:val="%2."/>
      <w:lvlJc w:val="left"/>
      <w:pPr>
        <w:tabs>
          <w:tab w:val="num" w:pos="1715"/>
        </w:tabs>
        <w:ind w:left="1715" w:hanging="360"/>
      </w:pPr>
    </w:lvl>
    <w:lvl w:ilvl="2" w:tplc="0809001B" w:tentative="1">
      <w:start w:val="1"/>
      <w:numFmt w:val="lowerRoman"/>
      <w:lvlText w:val="%3."/>
      <w:lvlJc w:val="right"/>
      <w:pPr>
        <w:tabs>
          <w:tab w:val="num" w:pos="2435"/>
        </w:tabs>
        <w:ind w:left="2435" w:hanging="180"/>
      </w:pPr>
    </w:lvl>
    <w:lvl w:ilvl="3" w:tplc="0809000F" w:tentative="1">
      <w:start w:val="1"/>
      <w:numFmt w:val="decimal"/>
      <w:lvlText w:val="%4."/>
      <w:lvlJc w:val="left"/>
      <w:pPr>
        <w:tabs>
          <w:tab w:val="num" w:pos="3155"/>
        </w:tabs>
        <w:ind w:left="3155" w:hanging="360"/>
      </w:pPr>
    </w:lvl>
    <w:lvl w:ilvl="4" w:tplc="08090019" w:tentative="1">
      <w:start w:val="1"/>
      <w:numFmt w:val="lowerLetter"/>
      <w:lvlText w:val="%5."/>
      <w:lvlJc w:val="left"/>
      <w:pPr>
        <w:tabs>
          <w:tab w:val="num" w:pos="3875"/>
        </w:tabs>
        <w:ind w:left="3875" w:hanging="360"/>
      </w:pPr>
    </w:lvl>
    <w:lvl w:ilvl="5" w:tplc="0809001B" w:tentative="1">
      <w:start w:val="1"/>
      <w:numFmt w:val="lowerRoman"/>
      <w:lvlText w:val="%6."/>
      <w:lvlJc w:val="right"/>
      <w:pPr>
        <w:tabs>
          <w:tab w:val="num" w:pos="4595"/>
        </w:tabs>
        <w:ind w:left="4595" w:hanging="180"/>
      </w:pPr>
    </w:lvl>
    <w:lvl w:ilvl="6" w:tplc="0809000F" w:tentative="1">
      <w:start w:val="1"/>
      <w:numFmt w:val="decimal"/>
      <w:lvlText w:val="%7."/>
      <w:lvlJc w:val="left"/>
      <w:pPr>
        <w:tabs>
          <w:tab w:val="num" w:pos="5315"/>
        </w:tabs>
        <w:ind w:left="5315" w:hanging="360"/>
      </w:pPr>
    </w:lvl>
    <w:lvl w:ilvl="7" w:tplc="08090019" w:tentative="1">
      <w:start w:val="1"/>
      <w:numFmt w:val="lowerLetter"/>
      <w:lvlText w:val="%8."/>
      <w:lvlJc w:val="left"/>
      <w:pPr>
        <w:tabs>
          <w:tab w:val="num" w:pos="6035"/>
        </w:tabs>
        <w:ind w:left="6035" w:hanging="360"/>
      </w:pPr>
    </w:lvl>
    <w:lvl w:ilvl="8" w:tplc="0809001B" w:tentative="1">
      <w:start w:val="1"/>
      <w:numFmt w:val="lowerRoman"/>
      <w:lvlText w:val="%9."/>
      <w:lvlJc w:val="right"/>
      <w:pPr>
        <w:tabs>
          <w:tab w:val="num" w:pos="6755"/>
        </w:tabs>
        <w:ind w:left="6755" w:hanging="180"/>
      </w:pPr>
    </w:lvl>
  </w:abstractNum>
  <w:abstractNum w:abstractNumId="8">
    <w:nsid w:val="500D4D86"/>
    <w:multiLevelType w:val="hybridMultilevel"/>
    <w:tmpl w:val="3D5435DA"/>
    <w:lvl w:ilvl="0" w:tplc="D846B6B8">
      <w:start w:val="1"/>
      <w:numFmt w:val="lowerRoman"/>
      <w:lvlText w:val="%1."/>
      <w:lvlJc w:val="left"/>
      <w:pPr>
        <w:tabs>
          <w:tab w:val="num" w:pos="1004"/>
        </w:tabs>
        <w:ind w:left="1004" w:hanging="720"/>
      </w:pPr>
      <w:rPr>
        <w:rFonts w:hint="default"/>
      </w:rPr>
    </w:lvl>
    <w:lvl w:ilvl="1" w:tplc="08090019" w:tentative="1">
      <w:start w:val="1"/>
      <w:numFmt w:val="lowerLetter"/>
      <w:lvlText w:val="%2."/>
      <w:lvlJc w:val="left"/>
      <w:pPr>
        <w:tabs>
          <w:tab w:val="num" w:pos="1364"/>
        </w:tabs>
        <w:ind w:left="1364" w:hanging="360"/>
      </w:pPr>
    </w:lvl>
    <w:lvl w:ilvl="2" w:tplc="0809001B" w:tentative="1">
      <w:start w:val="1"/>
      <w:numFmt w:val="lowerRoman"/>
      <w:lvlText w:val="%3."/>
      <w:lvlJc w:val="right"/>
      <w:pPr>
        <w:tabs>
          <w:tab w:val="num" w:pos="2084"/>
        </w:tabs>
        <w:ind w:left="2084" w:hanging="180"/>
      </w:pPr>
    </w:lvl>
    <w:lvl w:ilvl="3" w:tplc="0809000F" w:tentative="1">
      <w:start w:val="1"/>
      <w:numFmt w:val="decimal"/>
      <w:lvlText w:val="%4."/>
      <w:lvlJc w:val="left"/>
      <w:pPr>
        <w:tabs>
          <w:tab w:val="num" w:pos="2804"/>
        </w:tabs>
        <w:ind w:left="2804" w:hanging="360"/>
      </w:pPr>
    </w:lvl>
    <w:lvl w:ilvl="4" w:tplc="08090019" w:tentative="1">
      <w:start w:val="1"/>
      <w:numFmt w:val="lowerLetter"/>
      <w:lvlText w:val="%5."/>
      <w:lvlJc w:val="left"/>
      <w:pPr>
        <w:tabs>
          <w:tab w:val="num" w:pos="3524"/>
        </w:tabs>
        <w:ind w:left="3524" w:hanging="360"/>
      </w:pPr>
    </w:lvl>
    <w:lvl w:ilvl="5" w:tplc="0809001B" w:tentative="1">
      <w:start w:val="1"/>
      <w:numFmt w:val="lowerRoman"/>
      <w:lvlText w:val="%6."/>
      <w:lvlJc w:val="right"/>
      <w:pPr>
        <w:tabs>
          <w:tab w:val="num" w:pos="4244"/>
        </w:tabs>
        <w:ind w:left="4244" w:hanging="180"/>
      </w:pPr>
    </w:lvl>
    <w:lvl w:ilvl="6" w:tplc="0809000F" w:tentative="1">
      <w:start w:val="1"/>
      <w:numFmt w:val="decimal"/>
      <w:lvlText w:val="%7."/>
      <w:lvlJc w:val="left"/>
      <w:pPr>
        <w:tabs>
          <w:tab w:val="num" w:pos="4964"/>
        </w:tabs>
        <w:ind w:left="4964" w:hanging="360"/>
      </w:pPr>
    </w:lvl>
    <w:lvl w:ilvl="7" w:tplc="08090019" w:tentative="1">
      <w:start w:val="1"/>
      <w:numFmt w:val="lowerLetter"/>
      <w:lvlText w:val="%8."/>
      <w:lvlJc w:val="left"/>
      <w:pPr>
        <w:tabs>
          <w:tab w:val="num" w:pos="5684"/>
        </w:tabs>
        <w:ind w:left="5684" w:hanging="360"/>
      </w:pPr>
    </w:lvl>
    <w:lvl w:ilvl="8" w:tplc="0809001B" w:tentative="1">
      <w:start w:val="1"/>
      <w:numFmt w:val="lowerRoman"/>
      <w:lvlText w:val="%9."/>
      <w:lvlJc w:val="right"/>
      <w:pPr>
        <w:tabs>
          <w:tab w:val="num" w:pos="6404"/>
        </w:tabs>
        <w:ind w:left="6404" w:hanging="180"/>
      </w:pPr>
    </w:lvl>
  </w:abstractNum>
  <w:abstractNum w:abstractNumId="9">
    <w:nsid w:val="501C12BE"/>
    <w:multiLevelType w:val="hybridMultilevel"/>
    <w:tmpl w:val="1704631C"/>
    <w:lvl w:ilvl="0" w:tplc="95263FC0">
      <w:start w:val="1"/>
      <w:numFmt w:val="upperLetter"/>
      <w:lvlText w:val="%1."/>
      <w:lvlJc w:val="left"/>
      <w:pPr>
        <w:tabs>
          <w:tab w:val="num" w:pos="592"/>
        </w:tabs>
        <w:ind w:left="592" w:hanging="360"/>
      </w:pPr>
      <w:rPr>
        <w:rFonts w:hint="default"/>
      </w:rPr>
    </w:lvl>
    <w:lvl w:ilvl="1" w:tplc="08090019" w:tentative="1">
      <w:start w:val="1"/>
      <w:numFmt w:val="lowerLetter"/>
      <w:lvlText w:val="%2."/>
      <w:lvlJc w:val="left"/>
      <w:pPr>
        <w:tabs>
          <w:tab w:val="num" w:pos="1312"/>
        </w:tabs>
        <w:ind w:left="1312" w:hanging="360"/>
      </w:pPr>
    </w:lvl>
    <w:lvl w:ilvl="2" w:tplc="0809001B" w:tentative="1">
      <w:start w:val="1"/>
      <w:numFmt w:val="lowerRoman"/>
      <w:lvlText w:val="%3."/>
      <w:lvlJc w:val="right"/>
      <w:pPr>
        <w:tabs>
          <w:tab w:val="num" w:pos="2032"/>
        </w:tabs>
        <w:ind w:left="2032" w:hanging="180"/>
      </w:pPr>
    </w:lvl>
    <w:lvl w:ilvl="3" w:tplc="0809000F" w:tentative="1">
      <w:start w:val="1"/>
      <w:numFmt w:val="decimal"/>
      <w:lvlText w:val="%4."/>
      <w:lvlJc w:val="left"/>
      <w:pPr>
        <w:tabs>
          <w:tab w:val="num" w:pos="2752"/>
        </w:tabs>
        <w:ind w:left="2752" w:hanging="360"/>
      </w:pPr>
    </w:lvl>
    <w:lvl w:ilvl="4" w:tplc="08090019" w:tentative="1">
      <w:start w:val="1"/>
      <w:numFmt w:val="lowerLetter"/>
      <w:lvlText w:val="%5."/>
      <w:lvlJc w:val="left"/>
      <w:pPr>
        <w:tabs>
          <w:tab w:val="num" w:pos="3472"/>
        </w:tabs>
        <w:ind w:left="3472" w:hanging="360"/>
      </w:pPr>
    </w:lvl>
    <w:lvl w:ilvl="5" w:tplc="0809001B" w:tentative="1">
      <w:start w:val="1"/>
      <w:numFmt w:val="lowerRoman"/>
      <w:lvlText w:val="%6."/>
      <w:lvlJc w:val="right"/>
      <w:pPr>
        <w:tabs>
          <w:tab w:val="num" w:pos="4192"/>
        </w:tabs>
        <w:ind w:left="4192" w:hanging="180"/>
      </w:pPr>
    </w:lvl>
    <w:lvl w:ilvl="6" w:tplc="0809000F" w:tentative="1">
      <w:start w:val="1"/>
      <w:numFmt w:val="decimal"/>
      <w:lvlText w:val="%7."/>
      <w:lvlJc w:val="left"/>
      <w:pPr>
        <w:tabs>
          <w:tab w:val="num" w:pos="4912"/>
        </w:tabs>
        <w:ind w:left="4912" w:hanging="360"/>
      </w:pPr>
    </w:lvl>
    <w:lvl w:ilvl="7" w:tplc="08090019" w:tentative="1">
      <w:start w:val="1"/>
      <w:numFmt w:val="lowerLetter"/>
      <w:lvlText w:val="%8."/>
      <w:lvlJc w:val="left"/>
      <w:pPr>
        <w:tabs>
          <w:tab w:val="num" w:pos="5632"/>
        </w:tabs>
        <w:ind w:left="5632" w:hanging="360"/>
      </w:pPr>
    </w:lvl>
    <w:lvl w:ilvl="8" w:tplc="0809001B" w:tentative="1">
      <w:start w:val="1"/>
      <w:numFmt w:val="lowerRoman"/>
      <w:lvlText w:val="%9."/>
      <w:lvlJc w:val="right"/>
      <w:pPr>
        <w:tabs>
          <w:tab w:val="num" w:pos="6352"/>
        </w:tabs>
        <w:ind w:left="6352" w:hanging="180"/>
      </w:pPr>
    </w:lvl>
  </w:abstractNum>
  <w:abstractNum w:abstractNumId="10">
    <w:nsid w:val="5EBB69D5"/>
    <w:multiLevelType w:val="hybridMultilevel"/>
    <w:tmpl w:val="AB706424"/>
    <w:lvl w:ilvl="0" w:tplc="77A21B1E">
      <w:start w:val="2"/>
      <w:numFmt w:val="decimal"/>
      <w:lvlText w:val="%1."/>
      <w:lvlJc w:val="left"/>
      <w:pPr>
        <w:tabs>
          <w:tab w:val="num" w:pos="644"/>
        </w:tabs>
        <w:ind w:left="644" w:hanging="360"/>
      </w:pPr>
      <w:rPr>
        <w:rFonts w:hint="default"/>
      </w:rPr>
    </w:lvl>
    <w:lvl w:ilvl="1" w:tplc="08090019" w:tentative="1">
      <w:start w:val="1"/>
      <w:numFmt w:val="lowerLetter"/>
      <w:lvlText w:val="%2."/>
      <w:lvlJc w:val="left"/>
      <w:pPr>
        <w:tabs>
          <w:tab w:val="num" w:pos="1364"/>
        </w:tabs>
        <w:ind w:left="1364" w:hanging="360"/>
      </w:pPr>
    </w:lvl>
    <w:lvl w:ilvl="2" w:tplc="0809001B" w:tentative="1">
      <w:start w:val="1"/>
      <w:numFmt w:val="lowerRoman"/>
      <w:lvlText w:val="%3."/>
      <w:lvlJc w:val="right"/>
      <w:pPr>
        <w:tabs>
          <w:tab w:val="num" w:pos="2084"/>
        </w:tabs>
        <w:ind w:left="2084" w:hanging="180"/>
      </w:pPr>
    </w:lvl>
    <w:lvl w:ilvl="3" w:tplc="0809000F" w:tentative="1">
      <w:start w:val="1"/>
      <w:numFmt w:val="decimal"/>
      <w:lvlText w:val="%4."/>
      <w:lvlJc w:val="left"/>
      <w:pPr>
        <w:tabs>
          <w:tab w:val="num" w:pos="2804"/>
        </w:tabs>
        <w:ind w:left="2804" w:hanging="360"/>
      </w:pPr>
    </w:lvl>
    <w:lvl w:ilvl="4" w:tplc="08090019" w:tentative="1">
      <w:start w:val="1"/>
      <w:numFmt w:val="lowerLetter"/>
      <w:lvlText w:val="%5."/>
      <w:lvlJc w:val="left"/>
      <w:pPr>
        <w:tabs>
          <w:tab w:val="num" w:pos="3524"/>
        </w:tabs>
        <w:ind w:left="3524" w:hanging="360"/>
      </w:pPr>
    </w:lvl>
    <w:lvl w:ilvl="5" w:tplc="0809001B" w:tentative="1">
      <w:start w:val="1"/>
      <w:numFmt w:val="lowerRoman"/>
      <w:lvlText w:val="%6."/>
      <w:lvlJc w:val="right"/>
      <w:pPr>
        <w:tabs>
          <w:tab w:val="num" w:pos="4244"/>
        </w:tabs>
        <w:ind w:left="4244" w:hanging="180"/>
      </w:pPr>
    </w:lvl>
    <w:lvl w:ilvl="6" w:tplc="0809000F" w:tentative="1">
      <w:start w:val="1"/>
      <w:numFmt w:val="decimal"/>
      <w:lvlText w:val="%7."/>
      <w:lvlJc w:val="left"/>
      <w:pPr>
        <w:tabs>
          <w:tab w:val="num" w:pos="4964"/>
        </w:tabs>
        <w:ind w:left="4964" w:hanging="360"/>
      </w:pPr>
    </w:lvl>
    <w:lvl w:ilvl="7" w:tplc="08090019" w:tentative="1">
      <w:start w:val="1"/>
      <w:numFmt w:val="lowerLetter"/>
      <w:lvlText w:val="%8."/>
      <w:lvlJc w:val="left"/>
      <w:pPr>
        <w:tabs>
          <w:tab w:val="num" w:pos="5684"/>
        </w:tabs>
        <w:ind w:left="5684" w:hanging="360"/>
      </w:pPr>
    </w:lvl>
    <w:lvl w:ilvl="8" w:tplc="0809001B" w:tentative="1">
      <w:start w:val="1"/>
      <w:numFmt w:val="lowerRoman"/>
      <w:lvlText w:val="%9."/>
      <w:lvlJc w:val="right"/>
      <w:pPr>
        <w:tabs>
          <w:tab w:val="num" w:pos="6404"/>
        </w:tabs>
        <w:ind w:left="6404" w:hanging="180"/>
      </w:pPr>
    </w:lvl>
  </w:abstractNum>
  <w:abstractNum w:abstractNumId="11">
    <w:nsid w:val="5F5B7E3A"/>
    <w:multiLevelType w:val="hybridMultilevel"/>
    <w:tmpl w:val="67FA4C86"/>
    <w:lvl w:ilvl="0" w:tplc="C5A611C8">
      <w:start w:val="2"/>
      <w:numFmt w:val="lowerLetter"/>
      <w:lvlText w:val="(%1)"/>
      <w:lvlJc w:val="left"/>
      <w:pPr>
        <w:tabs>
          <w:tab w:val="num" w:pos="995"/>
        </w:tabs>
        <w:ind w:left="995" w:hanging="360"/>
      </w:pPr>
      <w:rPr>
        <w:rFonts w:hint="default"/>
      </w:rPr>
    </w:lvl>
    <w:lvl w:ilvl="1" w:tplc="08090019" w:tentative="1">
      <w:start w:val="1"/>
      <w:numFmt w:val="lowerLetter"/>
      <w:lvlText w:val="%2."/>
      <w:lvlJc w:val="left"/>
      <w:pPr>
        <w:tabs>
          <w:tab w:val="num" w:pos="1715"/>
        </w:tabs>
        <w:ind w:left="1715" w:hanging="360"/>
      </w:pPr>
    </w:lvl>
    <w:lvl w:ilvl="2" w:tplc="0809001B" w:tentative="1">
      <w:start w:val="1"/>
      <w:numFmt w:val="lowerRoman"/>
      <w:lvlText w:val="%3."/>
      <w:lvlJc w:val="right"/>
      <w:pPr>
        <w:tabs>
          <w:tab w:val="num" w:pos="2435"/>
        </w:tabs>
        <w:ind w:left="2435" w:hanging="180"/>
      </w:pPr>
    </w:lvl>
    <w:lvl w:ilvl="3" w:tplc="0809000F" w:tentative="1">
      <w:start w:val="1"/>
      <w:numFmt w:val="decimal"/>
      <w:lvlText w:val="%4."/>
      <w:lvlJc w:val="left"/>
      <w:pPr>
        <w:tabs>
          <w:tab w:val="num" w:pos="3155"/>
        </w:tabs>
        <w:ind w:left="3155" w:hanging="360"/>
      </w:pPr>
    </w:lvl>
    <w:lvl w:ilvl="4" w:tplc="08090019" w:tentative="1">
      <w:start w:val="1"/>
      <w:numFmt w:val="lowerLetter"/>
      <w:lvlText w:val="%5."/>
      <w:lvlJc w:val="left"/>
      <w:pPr>
        <w:tabs>
          <w:tab w:val="num" w:pos="3875"/>
        </w:tabs>
        <w:ind w:left="3875" w:hanging="360"/>
      </w:pPr>
    </w:lvl>
    <w:lvl w:ilvl="5" w:tplc="0809001B" w:tentative="1">
      <w:start w:val="1"/>
      <w:numFmt w:val="lowerRoman"/>
      <w:lvlText w:val="%6."/>
      <w:lvlJc w:val="right"/>
      <w:pPr>
        <w:tabs>
          <w:tab w:val="num" w:pos="4595"/>
        </w:tabs>
        <w:ind w:left="4595" w:hanging="180"/>
      </w:pPr>
    </w:lvl>
    <w:lvl w:ilvl="6" w:tplc="0809000F" w:tentative="1">
      <w:start w:val="1"/>
      <w:numFmt w:val="decimal"/>
      <w:lvlText w:val="%7."/>
      <w:lvlJc w:val="left"/>
      <w:pPr>
        <w:tabs>
          <w:tab w:val="num" w:pos="5315"/>
        </w:tabs>
        <w:ind w:left="5315" w:hanging="360"/>
      </w:pPr>
    </w:lvl>
    <w:lvl w:ilvl="7" w:tplc="08090019" w:tentative="1">
      <w:start w:val="1"/>
      <w:numFmt w:val="lowerLetter"/>
      <w:lvlText w:val="%8."/>
      <w:lvlJc w:val="left"/>
      <w:pPr>
        <w:tabs>
          <w:tab w:val="num" w:pos="6035"/>
        </w:tabs>
        <w:ind w:left="6035" w:hanging="360"/>
      </w:pPr>
    </w:lvl>
    <w:lvl w:ilvl="8" w:tplc="0809001B" w:tentative="1">
      <w:start w:val="1"/>
      <w:numFmt w:val="lowerRoman"/>
      <w:lvlText w:val="%9."/>
      <w:lvlJc w:val="right"/>
      <w:pPr>
        <w:tabs>
          <w:tab w:val="num" w:pos="6755"/>
        </w:tabs>
        <w:ind w:left="6755" w:hanging="180"/>
      </w:pPr>
    </w:lvl>
  </w:abstractNum>
  <w:abstractNum w:abstractNumId="12">
    <w:nsid w:val="66DA121D"/>
    <w:multiLevelType w:val="hybridMultilevel"/>
    <w:tmpl w:val="192E800E"/>
    <w:lvl w:ilvl="0" w:tplc="577E12EA">
      <w:start w:val="2"/>
      <w:numFmt w:val="decimal"/>
      <w:lvlText w:val="%1."/>
      <w:lvlJc w:val="left"/>
      <w:pPr>
        <w:tabs>
          <w:tab w:val="num" w:pos="791"/>
        </w:tabs>
        <w:ind w:left="791" w:hanging="360"/>
      </w:pPr>
      <w:rPr>
        <w:rFonts w:hint="default"/>
      </w:rPr>
    </w:lvl>
    <w:lvl w:ilvl="1" w:tplc="08090019" w:tentative="1">
      <w:start w:val="1"/>
      <w:numFmt w:val="lowerLetter"/>
      <w:lvlText w:val="%2."/>
      <w:lvlJc w:val="left"/>
      <w:pPr>
        <w:tabs>
          <w:tab w:val="num" w:pos="1511"/>
        </w:tabs>
        <w:ind w:left="1511" w:hanging="360"/>
      </w:pPr>
    </w:lvl>
    <w:lvl w:ilvl="2" w:tplc="0809001B" w:tentative="1">
      <w:start w:val="1"/>
      <w:numFmt w:val="lowerRoman"/>
      <w:lvlText w:val="%3."/>
      <w:lvlJc w:val="right"/>
      <w:pPr>
        <w:tabs>
          <w:tab w:val="num" w:pos="2231"/>
        </w:tabs>
        <w:ind w:left="2231" w:hanging="180"/>
      </w:pPr>
    </w:lvl>
    <w:lvl w:ilvl="3" w:tplc="0809000F" w:tentative="1">
      <w:start w:val="1"/>
      <w:numFmt w:val="decimal"/>
      <w:lvlText w:val="%4."/>
      <w:lvlJc w:val="left"/>
      <w:pPr>
        <w:tabs>
          <w:tab w:val="num" w:pos="2951"/>
        </w:tabs>
        <w:ind w:left="2951" w:hanging="360"/>
      </w:pPr>
    </w:lvl>
    <w:lvl w:ilvl="4" w:tplc="08090019" w:tentative="1">
      <w:start w:val="1"/>
      <w:numFmt w:val="lowerLetter"/>
      <w:lvlText w:val="%5."/>
      <w:lvlJc w:val="left"/>
      <w:pPr>
        <w:tabs>
          <w:tab w:val="num" w:pos="3671"/>
        </w:tabs>
        <w:ind w:left="3671" w:hanging="360"/>
      </w:pPr>
    </w:lvl>
    <w:lvl w:ilvl="5" w:tplc="0809001B" w:tentative="1">
      <w:start w:val="1"/>
      <w:numFmt w:val="lowerRoman"/>
      <w:lvlText w:val="%6."/>
      <w:lvlJc w:val="right"/>
      <w:pPr>
        <w:tabs>
          <w:tab w:val="num" w:pos="4391"/>
        </w:tabs>
        <w:ind w:left="4391" w:hanging="180"/>
      </w:pPr>
    </w:lvl>
    <w:lvl w:ilvl="6" w:tplc="0809000F" w:tentative="1">
      <w:start w:val="1"/>
      <w:numFmt w:val="decimal"/>
      <w:lvlText w:val="%7."/>
      <w:lvlJc w:val="left"/>
      <w:pPr>
        <w:tabs>
          <w:tab w:val="num" w:pos="5111"/>
        </w:tabs>
        <w:ind w:left="5111" w:hanging="360"/>
      </w:pPr>
    </w:lvl>
    <w:lvl w:ilvl="7" w:tplc="08090019" w:tentative="1">
      <w:start w:val="1"/>
      <w:numFmt w:val="lowerLetter"/>
      <w:lvlText w:val="%8."/>
      <w:lvlJc w:val="left"/>
      <w:pPr>
        <w:tabs>
          <w:tab w:val="num" w:pos="5831"/>
        </w:tabs>
        <w:ind w:left="5831" w:hanging="360"/>
      </w:pPr>
    </w:lvl>
    <w:lvl w:ilvl="8" w:tplc="0809001B" w:tentative="1">
      <w:start w:val="1"/>
      <w:numFmt w:val="lowerRoman"/>
      <w:lvlText w:val="%9."/>
      <w:lvlJc w:val="right"/>
      <w:pPr>
        <w:tabs>
          <w:tab w:val="num" w:pos="6551"/>
        </w:tabs>
        <w:ind w:left="6551" w:hanging="180"/>
      </w:pPr>
    </w:lvl>
  </w:abstractNum>
  <w:abstractNum w:abstractNumId="13">
    <w:nsid w:val="67EA5C59"/>
    <w:multiLevelType w:val="hybridMultilevel"/>
    <w:tmpl w:val="119AC2E2"/>
    <w:lvl w:ilvl="0" w:tplc="767A98C4">
      <w:start w:val="5"/>
      <w:numFmt w:val="upperLetter"/>
      <w:lvlText w:val="%1."/>
      <w:lvlJc w:val="left"/>
      <w:pPr>
        <w:tabs>
          <w:tab w:val="num" w:pos="644"/>
        </w:tabs>
        <w:ind w:left="644" w:hanging="360"/>
      </w:pPr>
      <w:rPr>
        <w:rFonts w:hint="default"/>
      </w:rPr>
    </w:lvl>
    <w:lvl w:ilvl="1" w:tplc="08090019" w:tentative="1">
      <w:start w:val="1"/>
      <w:numFmt w:val="lowerLetter"/>
      <w:lvlText w:val="%2."/>
      <w:lvlJc w:val="left"/>
      <w:pPr>
        <w:tabs>
          <w:tab w:val="num" w:pos="1364"/>
        </w:tabs>
        <w:ind w:left="1364" w:hanging="360"/>
      </w:pPr>
    </w:lvl>
    <w:lvl w:ilvl="2" w:tplc="0809001B" w:tentative="1">
      <w:start w:val="1"/>
      <w:numFmt w:val="lowerRoman"/>
      <w:lvlText w:val="%3."/>
      <w:lvlJc w:val="right"/>
      <w:pPr>
        <w:tabs>
          <w:tab w:val="num" w:pos="2084"/>
        </w:tabs>
        <w:ind w:left="2084" w:hanging="180"/>
      </w:pPr>
    </w:lvl>
    <w:lvl w:ilvl="3" w:tplc="0809000F" w:tentative="1">
      <w:start w:val="1"/>
      <w:numFmt w:val="decimal"/>
      <w:lvlText w:val="%4."/>
      <w:lvlJc w:val="left"/>
      <w:pPr>
        <w:tabs>
          <w:tab w:val="num" w:pos="2804"/>
        </w:tabs>
        <w:ind w:left="2804" w:hanging="360"/>
      </w:pPr>
    </w:lvl>
    <w:lvl w:ilvl="4" w:tplc="08090019" w:tentative="1">
      <w:start w:val="1"/>
      <w:numFmt w:val="lowerLetter"/>
      <w:lvlText w:val="%5."/>
      <w:lvlJc w:val="left"/>
      <w:pPr>
        <w:tabs>
          <w:tab w:val="num" w:pos="3524"/>
        </w:tabs>
        <w:ind w:left="3524" w:hanging="360"/>
      </w:pPr>
    </w:lvl>
    <w:lvl w:ilvl="5" w:tplc="0809001B" w:tentative="1">
      <w:start w:val="1"/>
      <w:numFmt w:val="lowerRoman"/>
      <w:lvlText w:val="%6."/>
      <w:lvlJc w:val="right"/>
      <w:pPr>
        <w:tabs>
          <w:tab w:val="num" w:pos="4244"/>
        </w:tabs>
        <w:ind w:left="4244" w:hanging="180"/>
      </w:pPr>
    </w:lvl>
    <w:lvl w:ilvl="6" w:tplc="0809000F" w:tentative="1">
      <w:start w:val="1"/>
      <w:numFmt w:val="decimal"/>
      <w:lvlText w:val="%7."/>
      <w:lvlJc w:val="left"/>
      <w:pPr>
        <w:tabs>
          <w:tab w:val="num" w:pos="4964"/>
        </w:tabs>
        <w:ind w:left="4964" w:hanging="360"/>
      </w:pPr>
    </w:lvl>
    <w:lvl w:ilvl="7" w:tplc="08090019" w:tentative="1">
      <w:start w:val="1"/>
      <w:numFmt w:val="lowerLetter"/>
      <w:lvlText w:val="%8."/>
      <w:lvlJc w:val="left"/>
      <w:pPr>
        <w:tabs>
          <w:tab w:val="num" w:pos="5684"/>
        </w:tabs>
        <w:ind w:left="5684" w:hanging="360"/>
      </w:pPr>
    </w:lvl>
    <w:lvl w:ilvl="8" w:tplc="0809001B" w:tentative="1">
      <w:start w:val="1"/>
      <w:numFmt w:val="lowerRoman"/>
      <w:lvlText w:val="%9."/>
      <w:lvlJc w:val="right"/>
      <w:pPr>
        <w:tabs>
          <w:tab w:val="num" w:pos="6404"/>
        </w:tabs>
        <w:ind w:left="6404" w:hanging="180"/>
      </w:pPr>
    </w:lvl>
  </w:abstractNum>
  <w:abstractNum w:abstractNumId="14">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5">
    <w:nsid w:val="68F37D01"/>
    <w:multiLevelType w:val="hybridMultilevel"/>
    <w:tmpl w:val="B4500F60"/>
    <w:lvl w:ilvl="0" w:tplc="90A8F176">
      <w:start w:val="1"/>
      <w:numFmt w:val="lowerLetter"/>
      <w:lvlText w:val="(%1)"/>
      <w:lvlJc w:val="left"/>
      <w:pPr>
        <w:tabs>
          <w:tab w:val="num" w:pos="644"/>
        </w:tabs>
        <w:ind w:left="644" w:hanging="360"/>
      </w:pPr>
      <w:rPr>
        <w:rFonts w:hint="default"/>
      </w:rPr>
    </w:lvl>
    <w:lvl w:ilvl="1" w:tplc="08090003" w:tentative="1">
      <w:start w:val="1"/>
      <w:numFmt w:val="bullet"/>
      <w:lvlText w:val="o"/>
      <w:lvlJc w:val="left"/>
      <w:pPr>
        <w:tabs>
          <w:tab w:val="num" w:pos="1364"/>
        </w:tabs>
        <w:ind w:left="1364" w:hanging="360"/>
      </w:pPr>
      <w:rPr>
        <w:rFonts w:ascii="Courier New" w:hAnsi="Courier New" w:cs="Courier New" w:hint="default"/>
      </w:rPr>
    </w:lvl>
    <w:lvl w:ilvl="2" w:tplc="08090005" w:tentative="1">
      <w:start w:val="1"/>
      <w:numFmt w:val="bullet"/>
      <w:lvlText w:val=""/>
      <w:lvlJc w:val="left"/>
      <w:pPr>
        <w:tabs>
          <w:tab w:val="num" w:pos="2084"/>
        </w:tabs>
        <w:ind w:left="2084" w:hanging="360"/>
      </w:pPr>
      <w:rPr>
        <w:rFonts w:ascii="Wingdings" w:hAnsi="Wingdings" w:hint="default"/>
      </w:rPr>
    </w:lvl>
    <w:lvl w:ilvl="3" w:tplc="08090001" w:tentative="1">
      <w:start w:val="1"/>
      <w:numFmt w:val="bullet"/>
      <w:lvlText w:val=""/>
      <w:lvlJc w:val="left"/>
      <w:pPr>
        <w:tabs>
          <w:tab w:val="num" w:pos="2804"/>
        </w:tabs>
        <w:ind w:left="2804" w:hanging="360"/>
      </w:pPr>
      <w:rPr>
        <w:rFonts w:ascii="Symbol" w:hAnsi="Symbol" w:hint="default"/>
      </w:rPr>
    </w:lvl>
    <w:lvl w:ilvl="4" w:tplc="08090003" w:tentative="1">
      <w:start w:val="1"/>
      <w:numFmt w:val="bullet"/>
      <w:lvlText w:val="o"/>
      <w:lvlJc w:val="left"/>
      <w:pPr>
        <w:tabs>
          <w:tab w:val="num" w:pos="3524"/>
        </w:tabs>
        <w:ind w:left="3524" w:hanging="360"/>
      </w:pPr>
      <w:rPr>
        <w:rFonts w:ascii="Courier New" w:hAnsi="Courier New" w:cs="Courier New" w:hint="default"/>
      </w:rPr>
    </w:lvl>
    <w:lvl w:ilvl="5" w:tplc="08090005" w:tentative="1">
      <w:start w:val="1"/>
      <w:numFmt w:val="bullet"/>
      <w:lvlText w:val=""/>
      <w:lvlJc w:val="left"/>
      <w:pPr>
        <w:tabs>
          <w:tab w:val="num" w:pos="4244"/>
        </w:tabs>
        <w:ind w:left="4244" w:hanging="360"/>
      </w:pPr>
      <w:rPr>
        <w:rFonts w:ascii="Wingdings" w:hAnsi="Wingdings" w:hint="default"/>
      </w:rPr>
    </w:lvl>
    <w:lvl w:ilvl="6" w:tplc="08090001" w:tentative="1">
      <w:start w:val="1"/>
      <w:numFmt w:val="bullet"/>
      <w:lvlText w:val=""/>
      <w:lvlJc w:val="left"/>
      <w:pPr>
        <w:tabs>
          <w:tab w:val="num" w:pos="4964"/>
        </w:tabs>
        <w:ind w:left="4964" w:hanging="360"/>
      </w:pPr>
      <w:rPr>
        <w:rFonts w:ascii="Symbol" w:hAnsi="Symbol" w:hint="default"/>
      </w:rPr>
    </w:lvl>
    <w:lvl w:ilvl="7" w:tplc="08090003" w:tentative="1">
      <w:start w:val="1"/>
      <w:numFmt w:val="bullet"/>
      <w:lvlText w:val="o"/>
      <w:lvlJc w:val="left"/>
      <w:pPr>
        <w:tabs>
          <w:tab w:val="num" w:pos="5684"/>
        </w:tabs>
        <w:ind w:left="5684" w:hanging="360"/>
      </w:pPr>
      <w:rPr>
        <w:rFonts w:ascii="Courier New" w:hAnsi="Courier New" w:cs="Courier New" w:hint="default"/>
      </w:rPr>
    </w:lvl>
    <w:lvl w:ilvl="8" w:tplc="08090005" w:tentative="1">
      <w:start w:val="1"/>
      <w:numFmt w:val="bullet"/>
      <w:lvlText w:val=""/>
      <w:lvlJc w:val="left"/>
      <w:pPr>
        <w:tabs>
          <w:tab w:val="num" w:pos="6404"/>
        </w:tabs>
        <w:ind w:left="6404" w:hanging="360"/>
      </w:pPr>
      <w:rPr>
        <w:rFonts w:ascii="Wingdings" w:hAnsi="Wingdings" w:hint="default"/>
      </w:rPr>
    </w:lvl>
  </w:abstractNum>
  <w:abstractNum w:abstractNumId="16">
    <w:nsid w:val="77F66BAA"/>
    <w:multiLevelType w:val="hybridMultilevel"/>
    <w:tmpl w:val="8AF6A048"/>
    <w:lvl w:ilvl="0" w:tplc="FB442CA2">
      <w:start w:val="2"/>
      <w:numFmt w:val="upperLetter"/>
      <w:lvlText w:val="%1."/>
      <w:lvlJc w:val="left"/>
      <w:pPr>
        <w:tabs>
          <w:tab w:val="num" w:pos="592"/>
        </w:tabs>
        <w:ind w:left="592" w:hanging="360"/>
      </w:pPr>
      <w:rPr>
        <w:rFonts w:hint="default"/>
      </w:rPr>
    </w:lvl>
    <w:lvl w:ilvl="1" w:tplc="08090019" w:tentative="1">
      <w:start w:val="1"/>
      <w:numFmt w:val="lowerLetter"/>
      <w:lvlText w:val="%2."/>
      <w:lvlJc w:val="left"/>
      <w:pPr>
        <w:tabs>
          <w:tab w:val="num" w:pos="1312"/>
        </w:tabs>
        <w:ind w:left="1312" w:hanging="360"/>
      </w:pPr>
    </w:lvl>
    <w:lvl w:ilvl="2" w:tplc="0809001B" w:tentative="1">
      <w:start w:val="1"/>
      <w:numFmt w:val="lowerRoman"/>
      <w:lvlText w:val="%3."/>
      <w:lvlJc w:val="right"/>
      <w:pPr>
        <w:tabs>
          <w:tab w:val="num" w:pos="2032"/>
        </w:tabs>
        <w:ind w:left="2032" w:hanging="180"/>
      </w:pPr>
    </w:lvl>
    <w:lvl w:ilvl="3" w:tplc="0809000F" w:tentative="1">
      <w:start w:val="1"/>
      <w:numFmt w:val="decimal"/>
      <w:lvlText w:val="%4."/>
      <w:lvlJc w:val="left"/>
      <w:pPr>
        <w:tabs>
          <w:tab w:val="num" w:pos="2752"/>
        </w:tabs>
        <w:ind w:left="2752" w:hanging="360"/>
      </w:pPr>
    </w:lvl>
    <w:lvl w:ilvl="4" w:tplc="08090019" w:tentative="1">
      <w:start w:val="1"/>
      <w:numFmt w:val="lowerLetter"/>
      <w:lvlText w:val="%5."/>
      <w:lvlJc w:val="left"/>
      <w:pPr>
        <w:tabs>
          <w:tab w:val="num" w:pos="3472"/>
        </w:tabs>
        <w:ind w:left="3472" w:hanging="360"/>
      </w:pPr>
    </w:lvl>
    <w:lvl w:ilvl="5" w:tplc="0809001B" w:tentative="1">
      <w:start w:val="1"/>
      <w:numFmt w:val="lowerRoman"/>
      <w:lvlText w:val="%6."/>
      <w:lvlJc w:val="right"/>
      <w:pPr>
        <w:tabs>
          <w:tab w:val="num" w:pos="4192"/>
        </w:tabs>
        <w:ind w:left="4192" w:hanging="180"/>
      </w:pPr>
    </w:lvl>
    <w:lvl w:ilvl="6" w:tplc="0809000F" w:tentative="1">
      <w:start w:val="1"/>
      <w:numFmt w:val="decimal"/>
      <w:lvlText w:val="%7."/>
      <w:lvlJc w:val="left"/>
      <w:pPr>
        <w:tabs>
          <w:tab w:val="num" w:pos="4912"/>
        </w:tabs>
        <w:ind w:left="4912" w:hanging="360"/>
      </w:pPr>
    </w:lvl>
    <w:lvl w:ilvl="7" w:tplc="08090019" w:tentative="1">
      <w:start w:val="1"/>
      <w:numFmt w:val="lowerLetter"/>
      <w:lvlText w:val="%8."/>
      <w:lvlJc w:val="left"/>
      <w:pPr>
        <w:tabs>
          <w:tab w:val="num" w:pos="5632"/>
        </w:tabs>
        <w:ind w:left="5632" w:hanging="360"/>
      </w:pPr>
    </w:lvl>
    <w:lvl w:ilvl="8" w:tplc="0809001B" w:tentative="1">
      <w:start w:val="1"/>
      <w:numFmt w:val="lowerRoman"/>
      <w:lvlText w:val="%9."/>
      <w:lvlJc w:val="right"/>
      <w:pPr>
        <w:tabs>
          <w:tab w:val="num" w:pos="6352"/>
        </w:tabs>
        <w:ind w:left="6352" w:hanging="180"/>
      </w:pPr>
    </w:lvl>
  </w:abstractNum>
  <w:abstractNum w:abstractNumId="17">
    <w:nsid w:val="7BBE6CBD"/>
    <w:multiLevelType w:val="hybridMultilevel"/>
    <w:tmpl w:val="5B122094"/>
    <w:lvl w:ilvl="0" w:tplc="4FDAD2AA">
      <w:start w:val="1"/>
      <w:numFmt w:val="decimal"/>
      <w:pStyle w:val="JuAppQuestion"/>
      <w:lvlText w:val="%1."/>
      <w:lvlJc w:val="left"/>
      <w:pPr>
        <w:tabs>
          <w:tab w:val="num" w:pos="720"/>
        </w:tabs>
        <w:ind w:left="720" w:hanging="360"/>
      </w:pPr>
      <w:rPr>
        <w:rFonts w:ascii="Cambria" w:hAnsi="Cambria"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0"/>
  </w:num>
  <w:num w:numId="2">
    <w:abstractNumId w:val="14"/>
  </w:num>
  <w:num w:numId="3">
    <w:abstractNumId w:val="17"/>
  </w:num>
  <w:num w:numId="4">
    <w:abstractNumId w:val="17"/>
  </w:num>
  <w:num w:numId="5">
    <w:abstractNumId w:val="17"/>
  </w:num>
  <w:num w:numId="6">
    <w:abstractNumId w:val="17"/>
  </w:num>
  <w:num w:numId="7">
    <w:abstractNumId w:val="15"/>
  </w:num>
  <w:num w:numId="8">
    <w:abstractNumId w:val="4"/>
  </w:num>
  <w:num w:numId="9">
    <w:abstractNumId w:val="1"/>
  </w:num>
  <w:num w:numId="10">
    <w:abstractNumId w:val="9"/>
  </w:num>
  <w:num w:numId="11">
    <w:abstractNumId w:val="10"/>
  </w:num>
  <w:num w:numId="12">
    <w:abstractNumId w:val="3"/>
  </w:num>
  <w:num w:numId="13">
    <w:abstractNumId w:val="7"/>
  </w:num>
  <w:num w:numId="14">
    <w:abstractNumId w:val="8"/>
  </w:num>
  <w:num w:numId="15">
    <w:abstractNumId w:val="16"/>
  </w:num>
  <w:num w:numId="16">
    <w:abstractNumId w:val="12"/>
  </w:num>
  <w:num w:numId="17">
    <w:abstractNumId w:val="2"/>
  </w:num>
  <w:num w:numId="18">
    <w:abstractNumId w:val="11"/>
  </w:num>
  <w:num w:numId="19">
    <w:abstractNumId w:val="5"/>
  </w:num>
  <w:num w:numId="20">
    <w:abstractNumId w:val="13"/>
  </w:num>
  <w:num w:numId="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proofState w:spelling="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6"/>
  <w:hyphenationZone w:val="425"/>
  <w:evenAndOddHeaders/>
  <w:drawingGridHorizontalSpacing w:val="120"/>
  <w:displayHorizontalDrawingGridEvery w:val="0"/>
  <w:displayVerticalDrawingGridEvery w:val="0"/>
  <w:noPunctuationKerning/>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E5718B"/>
    <w:rsid w:val="00001CC5"/>
    <w:rsid w:val="00002DD1"/>
    <w:rsid w:val="000042D1"/>
    <w:rsid w:val="00011B6E"/>
    <w:rsid w:val="00011CC4"/>
    <w:rsid w:val="00013894"/>
    <w:rsid w:val="0001543F"/>
    <w:rsid w:val="00017E8C"/>
    <w:rsid w:val="00021868"/>
    <w:rsid w:val="00033160"/>
    <w:rsid w:val="00033FD2"/>
    <w:rsid w:val="0003679E"/>
    <w:rsid w:val="00042867"/>
    <w:rsid w:val="00046FDF"/>
    <w:rsid w:val="00047F90"/>
    <w:rsid w:val="00051A32"/>
    <w:rsid w:val="000520E9"/>
    <w:rsid w:val="0005522C"/>
    <w:rsid w:val="00055AC1"/>
    <w:rsid w:val="000568D6"/>
    <w:rsid w:val="00060432"/>
    <w:rsid w:val="00066EDF"/>
    <w:rsid w:val="00067047"/>
    <w:rsid w:val="000726F6"/>
    <w:rsid w:val="00072D0B"/>
    <w:rsid w:val="00075EFE"/>
    <w:rsid w:val="00076A67"/>
    <w:rsid w:val="00076C78"/>
    <w:rsid w:val="00076D6B"/>
    <w:rsid w:val="00077A4C"/>
    <w:rsid w:val="00081579"/>
    <w:rsid w:val="000837A6"/>
    <w:rsid w:val="00085837"/>
    <w:rsid w:val="00085B3A"/>
    <w:rsid w:val="00086743"/>
    <w:rsid w:val="0008692C"/>
    <w:rsid w:val="00090C82"/>
    <w:rsid w:val="00092871"/>
    <w:rsid w:val="0009409F"/>
    <w:rsid w:val="000A0CFE"/>
    <w:rsid w:val="000A1B82"/>
    <w:rsid w:val="000A2CD4"/>
    <w:rsid w:val="000A3545"/>
    <w:rsid w:val="000A387F"/>
    <w:rsid w:val="000A5A1A"/>
    <w:rsid w:val="000B1C15"/>
    <w:rsid w:val="000B2C31"/>
    <w:rsid w:val="000B2CAD"/>
    <w:rsid w:val="000C03A0"/>
    <w:rsid w:val="000C2036"/>
    <w:rsid w:val="000C209F"/>
    <w:rsid w:val="000C4982"/>
    <w:rsid w:val="000C568B"/>
    <w:rsid w:val="000C7548"/>
    <w:rsid w:val="000D14D5"/>
    <w:rsid w:val="000D4CFC"/>
    <w:rsid w:val="000D6108"/>
    <w:rsid w:val="000D64CD"/>
    <w:rsid w:val="000D6C97"/>
    <w:rsid w:val="000D7DD8"/>
    <w:rsid w:val="000E1449"/>
    <w:rsid w:val="000E52CB"/>
    <w:rsid w:val="000E5370"/>
    <w:rsid w:val="000E773A"/>
    <w:rsid w:val="000F13A9"/>
    <w:rsid w:val="000F699D"/>
    <w:rsid w:val="000F719C"/>
    <w:rsid w:val="0010029E"/>
    <w:rsid w:val="001010DC"/>
    <w:rsid w:val="00101E60"/>
    <w:rsid w:val="00104AD1"/>
    <w:rsid w:val="00111D99"/>
    <w:rsid w:val="00114D93"/>
    <w:rsid w:val="0011550F"/>
    <w:rsid w:val="00115EDA"/>
    <w:rsid w:val="0011665B"/>
    <w:rsid w:val="001217FA"/>
    <w:rsid w:val="00121895"/>
    <w:rsid w:val="00125F7C"/>
    <w:rsid w:val="00126213"/>
    <w:rsid w:val="0012621B"/>
    <w:rsid w:val="00126AF2"/>
    <w:rsid w:val="00130EB6"/>
    <w:rsid w:val="00132FD9"/>
    <w:rsid w:val="00133A89"/>
    <w:rsid w:val="0013457C"/>
    <w:rsid w:val="00136ABE"/>
    <w:rsid w:val="00142195"/>
    <w:rsid w:val="00144813"/>
    <w:rsid w:val="00145800"/>
    <w:rsid w:val="00147977"/>
    <w:rsid w:val="00147C8B"/>
    <w:rsid w:val="0015176A"/>
    <w:rsid w:val="00151CCA"/>
    <w:rsid w:val="00156CE1"/>
    <w:rsid w:val="00157091"/>
    <w:rsid w:val="001571F2"/>
    <w:rsid w:val="00157BD8"/>
    <w:rsid w:val="00167BA0"/>
    <w:rsid w:val="0017118C"/>
    <w:rsid w:val="00171680"/>
    <w:rsid w:val="00174A6F"/>
    <w:rsid w:val="00176FEE"/>
    <w:rsid w:val="00180FCA"/>
    <w:rsid w:val="001812B2"/>
    <w:rsid w:val="001830C6"/>
    <w:rsid w:val="001847E0"/>
    <w:rsid w:val="00186CF0"/>
    <w:rsid w:val="00191FF3"/>
    <w:rsid w:val="0019388B"/>
    <w:rsid w:val="0019482D"/>
    <w:rsid w:val="00195378"/>
    <w:rsid w:val="00197C29"/>
    <w:rsid w:val="001A0EBE"/>
    <w:rsid w:val="001A2CB2"/>
    <w:rsid w:val="001A46AD"/>
    <w:rsid w:val="001A52EE"/>
    <w:rsid w:val="001B2EFC"/>
    <w:rsid w:val="001B57ED"/>
    <w:rsid w:val="001B62B1"/>
    <w:rsid w:val="001B7129"/>
    <w:rsid w:val="001B74F7"/>
    <w:rsid w:val="001C02C3"/>
    <w:rsid w:val="001C0ABB"/>
    <w:rsid w:val="001C11E5"/>
    <w:rsid w:val="001C2D25"/>
    <w:rsid w:val="001D304E"/>
    <w:rsid w:val="001E18B6"/>
    <w:rsid w:val="001E28D6"/>
    <w:rsid w:val="001E291F"/>
    <w:rsid w:val="001E3D40"/>
    <w:rsid w:val="001E4028"/>
    <w:rsid w:val="001E47AD"/>
    <w:rsid w:val="001E723E"/>
    <w:rsid w:val="001E7C16"/>
    <w:rsid w:val="001F302E"/>
    <w:rsid w:val="001F5157"/>
    <w:rsid w:val="001F5586"/>
    <w:rsid w:val="001F5887"/>
    <w:rsid w:val="001F789C"/>
    <w:rsid w:val="002002EE"/>
    <w:rsid w:val="00201A3A"/>
    <w:rsid w:val="00204FAE"/>
    <w:rsid w:val="00206050"/>
    <w:rsid w:val="002130DE"/>
    <w:rsid w:val="00215980"/>
    <w:rsid w:val="002179BB"/>
    <w:rsid w:val="002218E1"/>
    <w:rsid w:val="00222FF0"/>
    <w:rsid w:val="00224724"/>
    <w:rsid w:val="00224B1E"/>
    <w:rsid w:val="00225BE5"/>
    <w:rsid w:val="002266CD"/>
    <w:rsid w:val="00231E0F"/>
    <w:rsid w:val="002320C6"/>
    <w:rsid w:val="00232B2D"/>
    <w:rsid w:val="00232C3D"/>
    <w:rsid w:val="00234BFB"/>
    <w:rsid w:val="0023535F"/>
    <w:rsid w:val="002368B9"/>
    <w:rsid w:val="0024091B"/>
    <w:rsid w:val="0024097D"/>
    <w:rsid w:val="002413FB"/>
    <w:rsid w:val="00243BB8"/>
    <w:rsid w:val="00252B31"/>
    <w:rsid w:val="002544E2"/>
    <w:rsid w:val="00255365"/>
    <w:rsid w:val="00255BE9"/>
    <w:rsid w:val="00257F76"/>
    <w:rsid w:val="00257F8E"/>
    <w:rsid w:val="0026244C"/>
    <w:rsid w:val="00266175"/>
    <w:rsid w:val="0026789F"/>
    <w:rsid w:val="00267F27"/>
    <w:rsid w:val="00271A81"/>
    <w:rsid w:val="0027449B"/>
    <w:rsid w:val="00276A54"/>
    <w:rsid w:val="00283D45"/>
    <w:rsid w:val="0028409A"/>
    <w:rsid w:val="00284249"/>
    <w:rsid w:val="00285A1B"/>
    <w:rsid w:val="002911AB"/>
    <w:rsid w:val="00296B76"/>
    <w:rsid w:val="002971C8"/>
    <w:rsid w:val="00297942"/>
    <w:rsid w:val="002A202D"/>
    <w:rsid w:val="002A4296"/>
    <w:rsid w:val="002A4300"/>
    <w:rsid w:val="002A6897"/>
    <w:rsid w:val="002B0B10"/>
    <w:rsid w:val="002B18B7"/>
    <w:rsid w:val="002B3ABD"/>
    <w:rsid w:val="002B501C"/>
    <w:rsid w:val="002C0F9F"/>
    <w:rsid w:val="002C157B"/>
    <w:rsid w:val="002C2815"/>
    <w:rsid w:val="002C32F8"/>
    <w:rsid w:val="002C4D70"/>
    <w:rsid w:val="002C64EB"/>
    <w:rsid w:val="002C7D3E"/>
    <w:rsid w:val="002D6678"/>
    <w:rsid w:val="002D6A84"/>
    <w:rsid w:val="002D6F2A"/>
    <w:rsid w:val="002E1CF7"/>
    <w:rsid w:val="002E1EA8"/>
    <w:rsid w:val="002E2EAF"/>
    <w:rsid w:val="002E5497"/>
    <w:rsid w:val="002E5AC7"/>
    <w:rsid w:val="002E6A74"/>
    <w:rsid w:val="002F386E"/>
    <w:rsid w:val="002F4820"/>
    <w:rsid w:val="002F4BCF"/>
    <w:rsid w:val="002F6FE9"/>
    <w:rsid w:val="002F71B9"/>
    <w:rsid w:val="002F7727"/>
    <w:rsid w:val="002F7EDF"/>
    <w:rsid w:val="00302008"/>
    <w:rsid w:val="003028FC"/>
    <w:rsid w:val="003035AC"/>
    <w:rsid w:val="00303839"/>
    <w:rsid w:val="00303B1A"/>
    <w:rsid w:val="00305D33"/>
    <w:rsid w:val="003062F2"/>
    <w:rsid w:val="00306924"/>
    <w:rsid w:val="003104E9"/>
    <w:rsid w:val="003106E4"/>
    <w:rsid w:val="003112E3"/>
    <w:rsid w:val="0031211C"/>
    <w:rsid w:val="0031462E"/>
    <w:rsid w:val="0031573C"/>
    <w:rsid w:val="00316A87"/>
    <w:rsid w:val="0032093A"/>
    <w:rsid w:val="00324EE3"/>
    <w:rsid w:val="0032503D"/>
    <w:rsid w:val="00325C2B"/>
    <w:rsid w:val="003276C2"/>
    <w:rsid w:val="00331F93"/>
    <w:rsid w:val="00332547"/>
    <w:rsid w:val="00332925"/>
    <w:rsid w:val="00336887"/>
    <w:rsid w:val="00337600"/>
    <w:rsid w:val="0034155B"/>
    <w:rsid w:val="0034580F"/>
    <w:rsid w:val="00347EDF"/>
    <w:rsid w:val="003506C9"/>
    <w:rsid w:val="003549E3"/>
    <w:rsid w:val="00355F8F"/>
    <w:rsid w:val="003607A9"/>
    <w:rsid w:val="00361250"/>
    <w:rsid w:val="00361C43"/>
    <w:rsid w:val="003628C7"/>
    <w:rsid w:val="00367918"/>
    <w:rsid w:val="00370411"/>
    <w:rsid w:val="0037058E"/>
    <w:rsid w:val="00371277"/>
    <w:rsid w:val="0037228D"/>
    <w:rsid w:val="003729E7"/>
    <w:rsid w:val="003742D3"/>
    <w:rsid w:val="00380EE9"/>
    <w:rsid w:val="00381CC4"/>
    <w:rsid w:val="00385D0D"/>
    <w:rsid w:val="003926FF"/>
    <w:rsid w:val="00392A52"/>
    <w:rsid w:val="00394B09"/>
    <w:rsid w:val="003960A7"/>
    <w:rsid w:val="00397B29"/>
    <w:rsid w:val="003A128D"/>
    <w:rsid w:val="003A3053"/>
    <w:rsid w:val="003A523B"/>
    <w:rsid w:val="003B0080"/>
    <w:rsid w:val="003B1DC7"/>
    <w:rsid w:val="003B220C"/>
    <w:rsid w:val="003B33D0"/>
    <w:rsid w:val="003B41C7"/>
    <w:rsid w:val="003B50D7"/>
    <w:rsid w:val="003B5E5F"/>
    <w:rsid w:val="003B7E86"/>
    <w:rsid w:val="003B7F87"/>
    <w:rsid w:val="003C3DF9"/>
    <w:rsid w:val="003C5526"/>
    <w:rsid w:val="003C561D"/>
    <w:rsid w:val="003C5F3B"/>
    <w:rsid w:val="003C7DB0"/>
    <w:rsid w:val="003D1E5B"/>
    <w:rsid w:val="003D3E75"/>
    <w:rsid w:val="003D55FC"/>
    <w:rsid w:val="003D57C6"/>
    <w:rsid w:val="003E2006"/>
    <w:rsid w:val="003E27F5"/>
    <w:rsid w:val="003E319C"/>
    <w:rsid w:val="003E770B"/>
    <w:rsid w:val="003E7C34"/>
    <w:rsid w:val="003F0CE3"/>
    <w:rsid w:val="003F0E47"/>
    <w:rsid w:val="003F268B"/>
    <w:rsid w:val="003F3BFD"/>
    <w:rsid w:val="003F4EB6"/>
    <w:rsid w:val="003F4EE5"/>
    <w:rsid w:val="00401C5B"/>
    <w:rsid w:val="00402975"/>
    <w:rsid w:val="004034DC"/>
    <w:rsid w:val="004058E7"/>
    <w:rsid w:val="00406175"/>
    <w:rsid w:val="00410066"/>
    <w:rsid w:val="004116BD"/>
    <w:rsid w:val="0041218B"/>
    <w:rsid w:val="0041223A"/>
    <w:rsid w:val="00412F5F"/>
    <w:rsid w:val="00413EFC"/>
    <w:rsid w:val="00422796"/>
    <w:rsid w:val="00424F81"/>
    <w:rsid w:val="0042555E"/>
    <w:rsid w:val="00427506"/>
    <w:rsid w:val="00427E9F"/>
    <w:rsid w:val="00433424"/>
    <w:rsid w:val="004343B7"/>
    <w:rsid w:val="004360BD"/>
    <w:rsid w:val="00437B60"/>
    <w:rsid w:val="004406AA"/>
    <w:rsid w:val="00442EA5"/>
    <w:rsid w:val="004461CD"/>
    <w:rsid w:val="00450149"/>
    <w:rsid w:val="00450232"/>
    <w:rsid w:val="00451841"/>
    <w:rsid w:val="00452CF1"/>
    <w:rsid w:val="00453656"/>
    <w:rsid w:val="00455DA7"/>
    <w:rsid w:val="00457A18"/>
    <w:rsid w:val="0046015A"/>
    <w:rsid w:val="00460F8A"/>
    <w:rsid w:val="00460FAD"/>
    <w:rsid w:val="00462CB9"/>
    <w:rsid w:val="0046537F"/>
    <w:rsid w:val="00467283"/>
    <w:rsid w:val="00472FE9"/>
    <w:rsid w:val="00473138"/>
    <w:rsid w:val="00473451"/>
    <w:rsid w:val="00475CA9"/>
    <w:rsid w:val="00481518"/>
    <w:rsid w:val="00484765"/>
    <w:rsid w:val="00484FF7"/>
    <w:rsid w:val="00485A6F"/>
    <w:rsid w:val="00492021"/>
    <w:rsid w:val="004920B1"/>
    <w:rsid w:val="00496F67"/>
    <w:rsid w:val="004A2701"/>
    <w:rsid w:val="004A3B54"/>
    <w:rsid w:val="004A4CD8"/>
    <w:rsid w:val="004A564A"/>
    <w:rsid w:val="004A7652"/>
    <w:rsid w:val="004B0ED4"/>
    <w:rsid w:val="004B153D"/>
    <w:rsid w:val="004B1F30"/>
    <w:rsid w:val="004B43D3"/>
    <w:rsid w:val="004B5606"/>
    <w:rsid w:val="004C02FB"/>
    <w:rsid w:val="004C08C7"/>
    <w:rsid w:val="004C0D86"/>
    <w:rsid w:val="004C1629"/>
    <w:rsid w:val="004C4221"/>
    <w:rsid w:val="004C48A3"/>
    <w:rsid w:val="004D07C6"/>
    <w:rsid w:val="004D1E6C"/>
    <w:rsid w:val="004E0FBB"/>
    <w:rsid w:val="004E53C5"/>
    <w:rsid w:val="004E5DFC"/>
    <w:rsid w:val="004F1231"/>
    <w:rsid w:val="004F185E"/>
    <w:rsid w:val="004F2213"/>
    <w:rsid w:val="004F3968"/>
    <w:rsid w:val="004F3E74"/>
    <w:rsid w:val="004F44F7"/>
    <w:rsid w:val="0050096C"/>
    <w:rsid w:val="00505235"/>
    <w:rsid w:val="00505407"/>
    <w:rsid w:val="00506AD7"/>
    <w:rsid w:val="005104E7"/>
    <w:rsid w:val="00512EDB"/>
    <w:rsid w:val="00513446"/>
    <w:rsid w:val="00514030"/>
    <w:rsid w:val="00514EBF"/>
    <w:rsid w:val="00516955"/>
    <w:rsid w:val="00516EBF"/>
    <w:rsid w:val="00522362"/>
    <w:rsid w:val="00522D58"/>
    <w:rsid w:val="0052434A"/>
    <w:rsid w:val="005260D5"/>
    <w:rsid w:val="0053126A"/>
    <w:rsid w:val="005318A3"/>
    <w:rsid w:val="00532317"/>
    <w:rsid w:val="005335CF"/>
    <w:rsid w:val="00535DB4"/>
    <w:rsid w:val="00537721"/>
    <w:rsid w:val="00541773"/>
    <w:rsid w:val="005419B6"/>
    <w:rsid w:val="005420F7"/>
    <w:rsid w:val="00544347"/>
    <w:rsid w:val="00545218"/>
    <w:rsid w:val="005465A6"/>
    <w:rsid w:val="00546A17"/>
    <w:rsid w:val="00546F49"/>
    <w:rsid w:val="0054792B"/>
    <w:rsid w:val="00554CF6"/>
    <w:rsid w:val="0055589E"/>
    <w:rsid w:val="00560D1B"/>
    <w:rsid w:val="00563169"/>
    <w:rsid w:val="0056771C"/>
    <w:rsid w:val="0056788E"/>
    <w:rsid w:val="00573C97"/>
    <w:rsid w:val="00575A03"/>
    <w:rsid w:val="005777BA"/>
    <w:rsid w:val="00577E6A"/>
    <w:rsid w:val="00583134"/>
    <w:rsid w:val="005846A8"/>
    <w:rsid w:val="00584A11"/>
    <w:rsid w:val="00586350"/>
    <w:rsid w:val="005874FF"/>
    <w:rsid w:val="005925E2"/>
    <w:rsid w:val="005947D2"/>
    <w:rsid w:val="00595C5D"/>
    <w:rsid w:val="0059610D"/>
    <w:rsid w:val="00597560"/>
    <w:rsid w:val="005A3D27"/>
    <w:rsid w:val="005A5EBB"/>
    <w:rsid w:val="005A7076"/>
    <w:rsid w:val="005A70CF"/>
    <w:rsid w:val="005B16A8"/>
    <w:rsid w:val="005B4233"/>
    <w:rsid w:val="005B61E2"/>
    <w:rsid w:val="005B69EF"/>
    <w:rsid w:val="005C1929"/>
    <w:rsid w:val="005C1956"/>
    <w:rsid w:val="005C2C88"/>
    <w:rsid w:val="005C41CB"/>
    <w:rsid w:val="005C5142"/>
    <w:rsid w:val="005C5F9A"/>
    <w:rsid w:val="005C6842"/>
    <w:rsid w:val="005C69EA"/>
    <w:rsid w:val="005C7AB8"/>
    <w:rsid w:val="005D6836"/>
    <w:rsid w:val="005E10F3"/>
    <w:rsid w:val="005E384F"/>
    <w:rsid w:val="005E3D57"/>
    <w:rsid w:val="005E3EAB"/>
    <w:rsid w:val="005E4241"/>
    <w:rsid w:val="005E4302"/>
    <w:rsid w:val="005E4D89"/>
    <w:rsid w:val="005E5466"/>
    <w:rsid w:val="005F10B4"/>
    <w:rsid w:val="005F1A08"/>
    <w:rsid w:val="005F249F"/>
    <w:rsid w:val="005F4753"/>
    <w:rsid w:val="005F647E"/>
    <w:rsid w:val="005F66FC"/>
    <w:rsid w:val="005F7819"/>
    <w:rsid w:val="005F7A10"/>
    <w:rsid w:val="006006E6"/>
    <w:rsid w:val="00600FCE"/>
    <w:rsid w:val="006025D4"/>
    <w:rsid w:val="006111FF"/>
    <w:rsid w:val="006169A6"/>
    <w:rsid w:val="00616B88"/>
    <w:rsid w:val="0061769D"/>
    <w:rsid w:val="00620BD9"/>
    <w:rsid w:val="00625699"/>
    <w:rsid w:val="0062787C"/>
    <w:rsid w:val="00630D98"/>
    <w:rsid w:val="00633478"/>
    <w:rsid w:val="00634C28"/>
    <w:rsid w:val="00636B04"/>
    <w:rsid w:val="00637EA9"/>
    <w:rsid w:val="00640B82"/>
    <w:rsid w:val="00643349"/>
    <w:rsid w:val="0064391E"/>
    <w:rsid w:val="00647A2F"/>
    <w:rsid w:val="00647BF5"/>
    <w:rsid w:val="00650BF1"/>
    <w:rsid w:val="00652CEC"/>
    <w:rsid w:val="00654BE0"/>
    <w:rsid w:val="00655126"/>
    <w:rsid w:val="00656E02"/>
    <w:rsid w:val="00660CF7"/>
    <w:rsid w:val="0066161C"/>
    <w:rsid w:val="006639B6"/>
    <w:rsid w:val="006660F6"/>
    <w:rsid w:val="00666361"/>
    <w:rsid w:val="006769A0"/>
    <w:rsid w:val="0067728C"/>
    <w:rsid w:val="00685306"/>
    <w:rsid w:val="006856D0"/>
    <w:rsid w:val="0069531A"/>
    <w:rsid w:val="0069677C"/>
    <w:rsid w:val="00697F14"/>
    <w:rsid w:val="006A010E"/>
    <w:rsid w:val="006A1413"/>
    <w:rsid w:val="006A3D9D"/>
    <w:rsid w:val="006A554E"/>
    <w:rsid w:val="006A73CC"/>
    <w:rsid w:val="006A7C48"/>
    <w:rsid w:val="006A7DB6"/>
    <w:rsid w:val="006B0B29"/>
    <w:rsid w:val="006B15D7"/>
    <w:rsid w:val="006B3552"/>
    <w:rsid w:val="006B5D1E"/>
    <w:rsid w:val="006B6191"/>
    <w:rsid w:val="006B68D7"/>
    <w:rsid w:val="006C05FD"/>
    <w:rsid w:val="006C0E6A"/>
    <w:rsid w:val="006C2B52"/>
    <w:rsid w:val="006C35C5"/>
    <w:rsid w:val="006C4115"/>
    <w:rsid w:val="006C5E17"/>
    <w:rsid w:val="006C698D"/>
    <w:rsid w:val="006C7ACC"/>
    <w:rsid w:val="006D0C1F"/>
    <w:rsid w:val="006D2900"/>
    <w:rsid w:val="006D67A4"/>
    <w:rsid w:val="006D71BC"/>
    <w:rsid w:val="006E530C"/>
    <w:rsid w:val="006E678C"/>
    <w:rsid w:val="006E6D33"/>
    <w:rsid w:val="006F1966"/>
    <w:rsid w:val="006F6566"/>
    <w:rsid w:val="006F6BC3"/>
    <w:rsid w:val="006F6E0D"/>
    <w:rsid w:val="006F7A54"/>
    <w:rsid w:val="00700858"/>
    <w:rsid w:val="007032D1"/>
    <w:rsid w:val="0070332B"/>
    <w:rsid w:val="007038E2"/>
    <w:rsid w:val="00703CBD"/>
    <w:rsid w:val="00705D82"/>
    <w:rsid w:val="007112C8"/>
    <w:rsid w:val="007156E0"/>
    <w:rsid w:val="00720AFE"/>
    <w:rsid w:val="00721C89"/>
    <w:rsid w:val="007221D2"/>
    <w:rsid w:val="00723B1A"/>
    <w:rsid w:val="00724270"/>
    <w:rsid w:val="00724360"/>
    <w:rsid w:val="00724847"/>
    <w:rsid w:val="007263A7"/>
    <w:rsid w:val="00730053"/>
    <w:rsid w:val="007303E7"/>
    <w:rsid w:val="00730433"/>
    <w:rsid w:val="00732405"/>
    <w:rsid w:val="007327FE"/>
    <w:rsid w:val="007332AA"/>
    <w:rsid w:val="00733942"/>
    <w:rsid w:val="00733D07"/>
    <w:rsid w:val="0073419B"/>
    <w:rsid w:val="007352DD"/>
    <w:rsid w:val="007354C3"/>
    <w:rsid w:val="0073772B"/>
    <w:rsid w:val="0074041F"/>
    <w:rsid w:val="00740F6D"/>
    <w:rsid w:val="007432BC"/>
    <w:rsid w:val="00746F08"/>
    <w:rsid w:val="007501E0"/>
    <w:rsid w:val="00750E5E"/>
    <w:rsid w:val="00754ABE"/>
    <w:rsid w:val="00756D5B"/>
    <w:rsid w:val="007573D5"/>
    <w:rsid w:val="0076008B"/>
    <w:rsid w:val="007653DA"/>
    <w:rsid w:val="00765F44"/>
    <w:rsid w:val="00765F79"/>
    <w:rsid w:val="0077077E"/>
    <w:rsid w:val="007718A0"/>
    <w:rsid w:val="0077272D"/>
    <w:rsid w:val="00773B93"/>
    <w:rsid w:val="00774876"/>
    <w:rsid w:val="00776807"/>
    <w:rsid w:val="0077789B"/>
    <w:rsid w:val="0078036F"/>
    <w:rsid w:val="0078062F"/>
    <w:rsid w:val="007827E7"/>
    <w:rsid w:val="00783B0F"/>
    <w:rsid w:val="0078468C"/>
    <w:rsid w:val="0079163D"/>
    <w:rsid w:val="0079187F"/>
    <w:rsid w:val="00793684"/>
    <w:rsid w:val="007A09D7"/>
    <w:rsid w:val="007A13C5"/>
    <w:rsid w:val="007A1FFE"/>
    <w:rsid w:val="007A357A"/>
    <w:rsid w:val="007A4A4E"/>
    <w:rsid w:val="007A61EC"/>
    <w:rsid w:val="007A6DBA"/>
    <w:rsid w:val="007B2958"/>
    <w:rsid w:val="007B2A46"/>
    <w:rsid w:val="007B2E49"/>
    <w:rsid w:val="007B4155"/>
    <w:rsid w:val="007B77A0"/>
    <w:rsid w:val="007B7BFA"/>
    <w:rsid w:val="007C061D"/>
    <w:rsid w:val="007C090B"/>
    <w:rsid w:val="007C1CE3"/>
    <w:rsid w:val="007C1D31"/>
    <w:rsid w:val="007C1EE0"/>
    <w:rsid w:val="007C5056"/>
    <w:rsid w:val="007D0B32"/>
    <w:rsid w:val="007D0D75"/>
    <w:rsid w:val="007D159B"/>
    <w:rsid w:val="007D2DC5"/>
    <w:rsid w:val="007D5145"/>
    <w:rsid w:val="007D56C5"/>
    <w:rsid w:val="007E39B6"/>
    <w:rsid w:val="007E3E07"/>
    <w:rsid w:val="007E4023"/>
    <w:rsid w:val="007E5BF2"/>
    <w:rsid w:val="007E709F"/>
    <w:rsid w:val="007F735A"/>
    <w:rsid w:val="008008C0"/>
    <w:rsid w:val="00801859"/>
    <w:rsid w:val="00802F2D"/>
    <w:rsid w:val="00806E5F"/>
    <w:rsid w:val="008120D4"/>
    <w:rsid w:val="00813192"/>
    <w:rsid w:val="00814863"/>
    <w:rsid w:val="008160EB"/>
    <w:rsid w:val="00816D59"/>
    <w:rsid w:val="00817662"/>
    <w:rsid w:val="00826704"/>
    <w:rsid w:val="00836BE5"/>
    <w:rsid w:val="00840D72"/>
    <w:rsid w:val="00843D04"/>
    <w:rsid w:val="00845468"/>
    <w:rsid w:val="00846856"/>
    <w:rsid w:val="008520A3"/>
    <w:rsid w:val="00853345"/>
    <w:rsid w:val="00854FCB"/>
    <w:rsid w:val="008552C0"/>
    <w:rsid w:val="00861EA4"/>
    <w:rsid w:val="00864209"/>
    <w:rsid w:val="0086573A"/>
    <w:rsid w:val="00865949"/>
    <w:rsid w:val="00865A1F"/>
    <w:rsid w:val="008714C4"/>
    <w:rsid w:val="008770D5"/>
    <w:rsid w:val="008770EA"/>
    <w:rsid w:val="00880573"/>
    <w:rsid w:val="00880CB2"/>
    <w:rsid w:val="00881BE8"/>
    <w:rsid w:val="008824B9"/>
    <w:rsid w:val="0088315D"/>
    <w:rsid w:val="00883417"/>
    <w:rsid w:val="00886BB5"/>
    <w:rsid w:val="00892500"/>
    <w:rsid w:val="00892EAA"/>
    <w:rsid w:val="008940A6"/>
    <w:rsid w:val="0089750D"/>
    <w:rsid w:val="00897892"/>
    <w:rsid w:val="008A0EEA"/>
    <w:rsid w:val="008A4A9F"/>
    <w:rsid w:val="008A4E27"/>
    <w:rsid w:val="008B2F52"/>
    <w:rsid w:val="008B5BFB"/>
    <w:rsid w:val="008B5D02"/>
    <w:rsid w:val="008C2162"/>
    <w:rsid w:val="008C356A"/>
    <w:rsid w:val="008C6F68"/>
    <w:rsid w:val="008C7A56"/>
    <w:rsid w:val="008E05A3"/>
    <w:rsid w:val="008E0687"/>
    <w:rsid w:val="008E1742"/>
    <w:rsid w:val="008E72CB"/>
    <w:rsid w:val="008E7CB2"/>
    <w:rsid w:val="008F3E2F"/>
    <w:rsid w:val="008F7B5C"/>
    <w:rsid w:val="00900F2B"/>
    <w:rsid w:val="00901475"/>
    <w:rsid w:val="009017C4"/>
    <w:rsid w:val="00902213"/>
    <w:rsid w:val="00906B8B"/>
    <w:rsid w:val="00907AE5"/>
    <w:rsid w:val="00910372"/>
    <w:rsid w:val="00912D24"/>
    <w:rsid w:val="00916078"/>
    <w:rsid w:val="009169BC"/>
    <w:rsid w:val="00916B49"/>
    <w:rsid w:val="00917EC0"/>
    <w:rsid w:val="00917F6A"/>
    <w:rsid w:val="00921D49"/>
    <w:rsid w:val="00921EF1"/>
    <w:rsid w:val="0092277E"/>
    <w:rsid w:val="0092656F"/>
    <w:rsid w:val="00927277"/>
    <w:rsid w:val="00930CD7"/>
    <w:rsid w:val="00931003"/>
    <w:rsid w:val="00932C7B"/>
    <w:rsid w:val="0093402A"/>
    <w:rsid w:val="00937952"/>
    <w:rsid w:val="00940D4C"/>
    <w:rsid w:val="00941DE5"/>
    <w:rsid w:val="0094239F"/>
    <w:rsid w:val="00942A91"/>
    <w:rsid w:val="009455F7"/>
    <w:rsid w:val="00952220"/>
    <w:rsid w:val="00954548"/>
    <w:rsid w:val="00956501"/>
    <w:rsid w:val="00956D2C"/>
    <w:rsid w:val="00962122"/>
    <w:rsid w:val="00962C12"/>
    <w:rsid w:val="00964C7E"/>
    <w:rsid w:val="00964F15"/>
    <w:rsid w:val="00965352"/>
    <w:rsid w:val="00965BD4"/>
    <w:rsid w:val="00971CBB"/>
    <w:rsid w:val="00972672"/>
    <w:rsid w:val="00972CFE"/>
    <w:rsid w:val="00977028"/>
    <w:rsid w:val="00984C80"/>
    <w:rsid w:val="0098535B"/>
    <w:rsid w:val="00985A8A"/>
    <w:rsid w:val="00986FF8"/>
    <w:rsid w:val="009918FF"/>
    <w:rsid w:val="00991BBE"/>
    <w:rsid w:val="00992BA5"/>
    <w:rsid w:val="00993192"/>
    <w:rsid w:val="0099390F"/>
    <w:rsid w:val="0099561C"/>
    <w:rsid w:val="00995F44"/>
    <w:rsid w:val="009A5DC2"/>
    <w:rsid w:val="009B039E"/>
    <w:rsid w:val="009B142F"/>
    <w:rsid w:val="009B15A1"/>
    <w:rsid w:val="009B2EE3"/>
    <w:rsid w:val="009B4171"/>
    <w:rsid w:val="009B4DD0"/>
    <w:rsid w:val="009B7798"/>
    <w:rsid w:val="009B7FC9"/>
    <w:rsid w:val="009C5183"/>
    <w:rsid w:val="009C6702"/>
    <w:rsid w:val="009C6AF1"/>
    <w:rsid w:val="009C7017"/>
    <w:rsid w:val="009D24E8"/>
    <w:rsid w:val="009D46D7"/>
    <w:rsid w:val="009D4B87"/>
    <w:rsid w:val="009D79AF"/>
    <w:rsid w:val="009E29EB"/>
    <w:rsid w:val="009E3FD4"/>
    <w:rsid w:val="009E59A3"/>
    <w:rsid w:val="009E740D"/>
    <w:rsid w:val="009E74F7"/>
    <w:rsid w:val="009F0055"/>
    <w:rsid w:val="009F07CC"/>
    <w:rsid w:val="009F18CE"/>
    <w:rsid w:val="009F3C96"/>
    <w:rsid w:val="009F5625"/>
    <w:rsid w:val="009F5D3D"/>
    <w:rsid w:val="009F75C2"/>
    <w:rsid w:val="00A012A5"/>
    <w:rsid w:val="00A02A8A"/>
    <w:rsid w:val="00A02B62"/>
    <w:rsid w:val="00A04E02"/>
    <w:rsid w:val="00A05C74"/>
    <w:rsid w:val="00A0617D"/>
    <w:rsid w:val="00A06A89"/>
    <w:rsid w:val="00A06E8A"/>
    <w:rsid w:val="00A12A24"/>
    <w:rsid w:val="00A132A7"/>
    <w:rsid w:val="00A135BE"/>
    <w:rsid w:val="00A22506"/>
    <w:rsid w:val="00A231A5"/>
    <w:rsid w:val="00A23ECF"/>
    <w:rsid w:val="00A24311"/>
    <w:rsid w:val="00A2741E"/>
    <w:rsid w:val="00A30CA1"/>
    <w:rsid w:val="00A32B81"/>
    <w:rsid w:val="00A33553"/>
    <w:rsid w:val="00A341D8"/>
    <w:rsid w:val="00A35C98"/>
    <w:rsid w:val="00A3628C"/>
    <w:rsid w:val="00A428EF"/>
    <w:rsid w:val="00A43939"/>
    <w:rsid w:val="00A47A8B"/>
    <w:rsid w:val="00A503FC"/>
    <w:rsid w:val="00A52748"/>
    <w:rsid w:val="00A5331A"/>
    <w:rsid w:val="00A53831"/>
    <w:rsid w:val="00A53927"/>
    <w:rsid w:val="00A5414C"/>
    <w:rsid w:val="00A54F77"/>
    <w:rsid w:val="00A55339"/>
    <w:rsid w:val="00A56C51"/>
    <w:rsid w:val="00A6367A"/>
    <w:rsid w:val="00A66A1E"/>
    <w:rsid w:val="00A7049C"/>
    <w:rsid w:val="00A707C3"/>
    <w:rsid w:val="00A73C61"/>
    <w:rsid w:val="00A75D8F"/>
    <w:rsid w:val="00A80135"/>
    <w:rsid w:val="00A80A43"/>
    <w:rsid w:val="00A82F6C"/>
    <w:rsid w:val="00A8381C"/>
    <w:rsid w:val="00A86E5D"/>
    <w:rsid w:val="00A875AF"/>
    <w:rsid w:val="00A92EB5"/>
    <w:rsid w:val="00A93349"/>
    <w:rsid w:val="00A93AAA"/>
    <w:rsid w:val="00AA087E"/>
    <w:rsid w:val="00AA0A20"/>
    <w:rsid w:val="00AA15AC"/>
    <w:rsid w:val="00AA2B6A"/>
    <w:rsid w:val="00AA373E"/>
    <w:rsid w:val="00AA431E"/>
    <w:rsid w:val="00AA7CA2"/>
    <w:rsid w:val="00AB0594"/>
    <w:rsid w:val="00AB1D7E"/>
    <w:rsid w:val="00AB2166"/>
    <w:rsid w:val="00AB43D9"/>
    <w:rsid w:val="00AB485A"/>
    <w:rsid w:val="00AB4ED1"/>
    <w:rsid w:val="00AB5751"/>
    <w:rsid w:val="00AB579C"/>
    <w:rsid w:val="00AC134B"/>
    <w:rsid w:val="00AC19B8"/>
    <w:rsid w:val="00AC213F"/>
    <w:rsid w:val="00AC29C7"/>
    <w:rsid w:val="00AC49FD"/>
    <w:rsid w:val="00AD0AC7"/>
    <w:rsid w:val="00AD51BA"/>
    <w:rsid w:val="00AD57B2"/>
    <w:rsid w:val="00AD5EAF"/>
    <w:rsid w:val="00AD7DEC"/>
    <w:rsid w:val="00AD7ECA"/>
    <w:rsid w:val="00AE1702"/>
    <w:rsid w:val="00AE1B21"/>
    <w:rsid w:val="00AE2F4F"/>
    <w:rsid w:val="00AF080C"/>
    <w:rsid w:val="00AF355B"/>
    <w:rsid w:val="00AF367A"/>
    <w:rsid w:val="00B04B55"/>
    <w:rsid w:val="00B0594B"/>
    <w:rsid w:val="00B062A8"/>
    <w:rsid w:val="00B100BD"/>
    <w:rsid w:val="00B11691"/>
    <w:rsid w:val="00B122EA"/>
    <w:rsid w:val="00B148BA"/>
    <w:rsid w:val="00B15254"/>
    <w:rsid w:val="00B1789C"/>
    <w:rsid w:val="00B228A7"/>
    <w:rsid w:val="00B25B53"/>
    <w:rsid w:val="00B26682"/>
    <w:rsid w:val="00B30D4B"/>
    <w:rsid w:val="00B3101E"/>
    <w:rsid w:val="00B324A5"/>
    <w:rsid w:val="00B33EE6"/>
    <w:rsid w:val="00B34D43"/>
    <w:rsid w:val="00B3608A"/>
    <w:rsid w:val="00B36881"/>
    <w:rsid w:val="00B36DE8"/>
    <w:rsid w:val="00B427E0"/>
    <w:rsid w:val="00B44CC5"/>
    <w:rsid w:val="00B4551C"/>
    <w:rsid w:val="00B456A2"/>
    <w:rsid w:val="00B460AF"/>
    <w:rsid w:val="00B50C60"/>
    <w:rsid w:val="00B51340"/>
    <w:rsid w:val="00B52010"/>
    <w:rsid w:val="00B541B9"/>
    <w:rsid w:val="00B554B9"/>
    <w:rsid w:val="00B55E08"/>
    <w:rsid w:val="00B56477"/>
    <w:rsid w:val="00B56CFB"/>
    <w:rsid w:val="00B56D78"/>
    <w:rsid w:val="00B57429"/>
    <w:rsid w:val="00B574E7"/>
    <w:rsid w:val="00B605E6"/>
    <w:rsid w:val="00B60BA3"/>
    <w:rsid w:val="00B6108B"/>
    <w:rsid w:val="00B64488"/>
    <w:rsid w:val="00B661C7"/>
    <w:rsid w:val="00B662B2"/>
    <w:rsid w:val="00B6763B"/>
    <w:rsid w:val="00B67CBD"/>
    <w:rsid w:val="00B743BC"/>
    <w:rsid w:val="00B75488"/>
    <w:rsid w:val="00B7637E"/>
    <w:rsid w:val="00B77B05"/>
    <w:rsid w:val="00B81192"/>
    <w:rsid w:val="00B84212"/>
    <w:rsid w:val="00B84831"/>
    <w:rsid w:val="00B921A8"/>
    <w:rsid w:val="00B926BB"/>
    <w:rsid w:val="00B93C32"/>
    <w:rsid w:val="00B96586"/>
    <w:rsid w:val="00BA60CE"/>
    <w:rsid w:val="00BB0465"/>
    <w:rsid w:val="00BB58BA"/>
    <w:rsid w:val="00BB65AA"/>
    <w:rsid w:val="00BB76E5"/>
    <w:rsid w:val="00BB7A35"/>
    <w:rsid w:val="00BC4972"/>
    <w:rsid w:val="00BC7EEE"/>
    <w:rsid w:val="00BD19AE"/>
    <w:rsid w:val="00BE50FE"/>
    <w:rsid w:val="00BE5958"/>
    <w:rsid w:val="00BE67AA"/>
    <w:rsid w:val="00BE6A73"/>
    <w:rsid w:val="00BF03A9"/>
    <w:rsid w:val="00BF071D"/>
    <w:rsid w:val="00BF11BB"/>
    <w:rsid w:val="00BF2621"/>
    <w:rsid w:val="00BF3540"/>
    <w:rsid w:val="00BF533B"/>
    <w:rsid w:val="00BF6C58"/>
    <w:rsid w:val="00C01E1C"/>
    <w:rsid w:val="00C02E48"/>
    <w:rsid w:val="00C067FC"/>
    <w:rsid w:val="00C15A45"/>
    <w:rsid w:val="00C2071F"/>
    <w:rsid w:val="00C2271E"/>
    <w:rsid w:val="00C2541C"/>
    <w:rsid w:val="00C2600E"/>
    <w:rsid w:val="00C2629D"/>
    <w:rsid w:val="00C27EF9"/>
    <w:rsid w:val="00C3018F"/>
    <w:rsid w:val="00C304AE"/>
    <w:rsid w:val="00C30671"/>
    <w:rsid w:val="00C311A6"/>
    <w:rsid w:val="00C31F29"/>
    <w:rsid w:val="00C34FDD"/>
    <w:rsid w:val="00C357CD"/>
    <w:rsid w:val="00C403B2"/>
    <w:rsid w:val="00C40C63"/>
    <w:rsid w:val="00C42FE2"/>
    <w:rsid w:val="00C437AD"/>
    <w:rsid w:val="00C437FD"/>
    <w:rsid w:val="00C43BB9"/>
    <w:rsid w:val="00C455A4"/>
    <w:rsid w:val="00C46698"/>
    <w:rsid w:val="00C478B6"/>
    <w:rsid w:val="00C50FF6"/>
    <w:rsid w:val="00C55A21"/>
    <w:rsid w:val="00C577C8"/>
    <w:rsid w:val="00C577DB"/>
    <w:rsid w:val="00C607CA"/>
    <w:rsid w:val="00C60DEC"/>
    <w:rsid w:val="00C61043"/>
    <w:rsid w:val="00C61564"/>
    <w:rsid w:val="00C619A1"/>
    <w:rsid w:val="00C61C61"/>
    <w:rsid w:val="00C63752"/>
    <w:rsid w:val="00C63E30"/>
    <w:rsid w:val="00C6425F"/>
    <w:rsid w:val="00C64944"/>
    <w:rsid w:val="00C66267"/>
    <w:rsid w:val="00C662B6"/>
    <w:rsid w:val="00C70350"/>
    <w:rsid w:val="00C71D84"/>
    <w:rsid w:val="00C73967"/>
    <w:rsid w:val="00C808FF"/>
    <w:rsid w:val="00C8199B"/>
    <w:rsid w:val="00C8262F"/>
    <w:rsid w:val="00C82707"/>
    <w:rsid w:val="00C8340B"/>
    <w:rsid w:val="00C84877"/>
    <w:rsid w:val="00C90B52"/>
    <w:rsid w:val="00C94023"/>
    <w:rsid w:val="00C9497D"/>
    <w:rsid w:val="00C96EBF"/>
    <w:rsid w:val="00CA10F3"/>
    <w:rsid w:val="00CA1ED4"/>
    <w:rsid w:val="00CA324E"/>
    <w:rsid w:val="00CA3B48"/>
    <w:rsid w:val="00CA5829"/>
    <w:rsid w:val="00CA7DA7"/>
    <w:rsid w:val="00CB02FC"/>
    <w:rsid w:val="00CB3302"/>
    <w:rsid w:val="00CB6526"/>
    <w:rsid w:val="00CC291B"/>
    <w:rsid w:val="00CC2970"/>
    <w:rsid w:val="00CC3B7A"/>
    <w:rsid w:val="00CC6623"/>
    <w:rsid w:val="00CD1CBB"/>
    <w:rsid w:val="00CD31A0"/>
    <w:rsid w:val="00CD4402"/>
    <w:rsid w:val="00CD48F5"/>
    <w:rsid w:val="00CD4F25"/>
    <w:rsid w:val="00CD5D90"/>
    <w:rsid w:val="00CE006A"/>
    <w:rsid w:val="00CE1C9D"/>
    <w:rsid w:val="00CE2E68"/>
    <w:rsid w:val="00CE3738"/>
    <w:rsid w:val="00CF0DC9"/>
    <w:rsid w:val="00CF166A"/>
    <w:rsid w:val="00CF2A9D"/>
    <w:rsid w:val="00CF323C"/>
    <w:rsid w:val="00D00569"/>
    <w:rsid w:val="00D0184C"/>
    <w:rsid w:val="00D01FF9"/>
    <w:rsid w:val="00D046AB"/>
    <w:rsid w:val="00D0753C"/>
    <w:rsid w:val="00D102A7"/>
    <w:rsid w:val="00D102B4"/>
    <w:rsid w:val="00D1288A"/>
    <w:rsid w:val="00D14B5D"/>
    <w:rsid w:val="00D15473"/>
    <w:rsid w:val="00D17853"/>
    <w:rsid w:val="00D17F53"/>
    <w:rsid w:val="00D2389E"/>
    <w:rsid w:val="00D26BA5"/>
    <w:rsid w:val="00D3043D"/>
    <w:rsid w:val="00D30F97"/>
    <w:rsid w:val="00D32BC1"/>
    <w:rsid w:val="00D33169"/>
    <w:rsid w:val="00D333B8"/>
    <w:rsid w:val="00D3372E"/>
    <w:rsid w:val="00D353F4"/>
    <w:rsid w:val="00D357B5"/>
    <w:rsid w:val="00D377E3"/>
    <w:rsid w:val="00D44EA3"/>
    <w:rsid w:val="00D463C6"/>
    <w:rsid w:val="00D51247"/>
    <w:rsid w:val="00D51755"/>
    <w:rsid w:val="00D540B8"/>
    <w:rsid w:val="00D54251"/>
    <w:rsid w:val="00D56B5D"/>
    <w:rsid w:val="00D60E12"/>
    <w:rsid w:val="00D63793"/>
    <w:rsid w:val="00D63B24"/>
    <w:rsid w:val="00D63EED"/>
    <w:rsid w:val="00D6766B"/>
    <w:rsid w:val="00D70ECB"/>
    <w:rsid w:val="00D73611"/>
    <w:rsid w:val="00D76B5D"/>
    <w:rsid w:val="00D76E6C"/>
    <w:rsid w:val="00D7755F"/>
    <w:rsid w:val="00D84068"/>
    <w:rsid w:val="00D843B7"/>
    <w:rsid w:val="00D84401"/>
    <w:rsid w:val="00D8619A"/>
    <w:rsid w:val="00D868FA"/>
    <w:rsid w:val="00D9065D"/>
    <w:rsid w:val="00D90810"/>
    <w:rsid w:val="00D90B29"/>
    <w:rsid w:val="00DA20CE"/>
    <w:rsid w:val="00DB4B1E"/>
    <w:rsid w:val="00DB5147"/>
    <w:rsid w:val="00DB54DE"/>
    <w:rsid w:val="00DB5B90"/>
    <w:rsid w:val="00DB608E"/>
    <w:rsid w:val="00DB6D67"/>
    <w:rsid w:val="00DC13FA"/>
    <w:rsid w:val="00DC2093"/>
    <w:rsid w:val="00DC5C22"/>
    <w:rsid w:val="00DC5E1C"/>
    <w:rsid w:val="00DC7ACB"/>
    <w:rsid w:val="00DD0BF5"/>
    <w:rsid w:val="00DE2747"/>
    <w:rsid w:val="00DE2DFE"/>
    <w:rsid w:val="00DE38B2"/>
    <w:rsid w:val="00DE3960"/>
    <w:rsid w:val="00DE5E8F"/>
    <w:rsid w:val="00DE60EA"/>
    <w:rsid w:val="00DF64ED"/>
    <w:rsid w:val="00DF6B53"/>
    <w:rsid w:val="00E076F0"/>
    <w:rsid w:val="00E144B1"/>
    <w:rsid w:val="00E15935"/>
    <w:rsid w:val="00E20433"/>
    <w:rsid w:val="00E21080"/>
    <w:rsid w:val="00E21EF2"/>
    <w:rsid w:val="00E23556"/>
    <w:rsid w:val="00E24669"/>
    <w:rsid w:val="00E251DD"/>
    <w:rsid w:val="00E2600C"/>
    <w:rsid w:val="00E27FD0"/>
    <w:rsid w:val="00E32625"/>
    <w:rsid w:val="00E32971"/>
    <w:rsid w:val="00E33BC6"/>
    <w:rsid w:val="00E34023"/>
    <w:rsid w:val="00E3461F"/>
    <w:rsid w:val="00E34B2E"/>
    <w:rsid w:val="00E35C9A"/>
    <w:rsid w:val="00E42194"/>
    <w:rsid w:val="00E432D3"/>
    <w:rsid w:val="00E43A1C"/>
    <w:rsid w:val="00E450A3"/>
    <w:rsid w:val="00E45F68"/>
    <w:rsid w:val="00E4601C"/>
    <w:rsid w:val="00E461DF"/>
    <w:rsid w:val="00E47D68"/>
    <w:rsid w:val="00E50415"/>
    <w:rsid w:val="00E50968"/>
    <w:rsid w:val="00E526A4"/>
    <w:rsid w:val="00E54644"/>
    <w:rsid w:val="00E5718B"/>
    <w:rsid w:val="00E615B7"/>
    <w:rsid w:val="00E67526"/>
    <w:rsid w:val="00E7092D"/>
    <w:rsid w:val="00E72E1B"/>
    <w:rsid w:val="00E7677A"/>
    <w:rsid w:val="00E76D03"/>
    <w:rsid w:val="00E81663"/>
    <w:rsid w:val="00E82E39"/>
    <w:rsid w:val="00E8656C"/>
    <w:rsid w:val="00E9155E"/>
    <w:rsid w:val="00E91ABF"/>
    <w:rsid w:val="00E93275"/>
    <w:rsid w:val="00E93F7A"/>
    <w:rsid w:val="00E94823"/>
    <w:rsid w:val="00E973F5"/>
    <w:rsid w:val="00EA164C"/>
    <w:rsid w:val="00EA26CE"/>
    <w:rsid w:val="00EA28FF"/>
    <w:rsid w:val="00EA5DA8"/>
    <w:rsid w:val="00EB10C5"/>
    <w:rsid w:val="00EB41E9"/>
    <w:rsid w:val="00EB47E0"/>
    <w:rsid w:val="00EB5EBC"/>
    <w:rsid w:val="00EB62FB"/>
    <w:rsid w:val="00EB7C4D"/>
    <w:rsid w:val="00EC38DD"/>
    <w:rsid w:val="00EC4B33"/>
    <w:rsid w:val="00EC5408"/>
    <w:rsid w:val="00ED12C3"/>
    <w:rsid w:val="00ED3AC7"/>
    <w:rsid w:val="00EE1252"/>
    <w:rsid w:val="00EE47FF"/>
    <w:rsid w:val="00EE7911"/>
    <w:rsid w:val="00EF2384"/>
    <w:rsid w:val="00EF2CC0"/>
    <w:rsid w:val="00EF405D"/>
    <w:rsid w:val="00F10D19"/>
    <w:rsid w:val="00F12624"/>
    <w:rsid w:val="00F22E8B"/>
    <w:rsid w:val="00F2311F"/>
    <w:rsid w:val="00F2528D"/>
    <w:rsid w:val="00F31877"/>
    <w:rsid w:val="00F40995"/>
    <w:rsid w:val="00F41FFE"/>
    <w:rsid w:val="00F4214C"/>
    <w:rsid w:val="00F43FF3"/>
    <w:rsid w:val="00F500BE"/>
    <w:rsid w:val="00F5124B"/>
    <w:rsid w:val="00F559A8"/>
    <w:rsid w:val="00F559B3"/>
    <w:rsid w:val="00F56EB5"/>
    <w:rsid w:val="00F57CFB"/>
    <w:rsid w:val="00F62CC1"/>
    <w:rsid w:val="00F646E1"/>
    <w:rsid w:val="00F66A50"/>
    <w:rsid w:val="00F6743B"/>
    <w:rsid w:val="00F67E30"/>
    <w:rsid w:val="00F70C3E"/>
    <w:rsid w:val="00F71A6A"/>
    <w:rsid w:val="00F73D18"/>
    <w:rsid w:val="00F77922"/>
    <w:rsid w:val="00F83A9B"/>
    <w:rsid w:val="00F8718B"/>
    <w:rsid w:val="00F878F8"/>
    <w:rsid w:val="00F92B61"/>
    <w:rsid w:val="00F93C64"/>
    <w:rsid w:val="00F93D01"/>
    <w:rsid w:val="00F9451D"/>
    <w:rsid w:val="00F94742"/>
    <w:rsid w:val="00F950A2"/>
    <w:rsid w:val="00F9608D"/>
    <w:rsid w:val="00F961A1"/>
    <w:rsid w:val="00F9632C"/>
    <w:rsid w:val="00F9651E"/>
    <w:rsid w:val="00F96584"/>
    <w:rsid w:val="00FA0AD7"/>
    <w:rsid w:val="00FA3398"/>
    <w:rsid w:val="00FB04F3"/>
    <w:rsid w:val="00FB0C49"/>
    <w:rsid w:val="00FB38C0"/>
    <w:rsid w:val="00FB62B9"/>
    <w:rsid w:val="00FB6813"/>
    <w:rsid w:val="00FC1E1D"/>
    <w:rsid w:val="00FC2A44"/>
    <w:rsid w:val="00FC2DAC"/>
    <w:rsid w:val="00FC3A3A"/>
    <w:rsid w:val="00FC4467"/>
    <w:rsid w:val="00FC6213"/>
    <w:rsid w:val="00FD00E6"/>
    <w:rsid w:val="00FD342B"/>
    <w:rsid w:val="00FD3E2F"/>
    <w:rsid w:val="00FD7AC6"/>
    <w:rsid w:val="00FE19BF"/>
    <w:rsid w:val="00FE1E7B"/>
    <w:rsid w:val="00FE35C9"/>
    <w:rsid w:val="00FE5294"/>
    <w:rsid w:val="00FE6E31"/>
    <w:rsid w:val="00FE7F41"/>
    <w:rsid w:val="00FF079D"/>
    <w:rsid w:val="00FF0CE2"/>
    <w:rsid w:val="00FF1AE3"/>
    <w:rsid w:val="00FF3EC1"/>
    <w:rsid w:val="00FF5C4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8824B9"/>
    <w:pPr>
      <w:suppressAutoHyphens/>
    </w:pPr>
    <w:rPr>
      <w:sz w:val="24"/>
      <w:lang w:val="en-GB" w:eastAsia="fr-FR"/>
    </w:rPr>
  </w:style>
  <w:style w:type="paragraph" w:styleId="Nagwek1">
    <w:name w:val="heading 1"/>
    <w:basedOn w:val="Normalny"/>
    <w:next w:val="Normalny"/>
    <w:qFormat/>
    <w:rsid w:val="008824B9"/>
    <w:pPr>
      <w:keepNext/>
      <w:spacing w:before="360" w:after="240"/>
      <w:jc w:val="center"/>
      <w:outlineLvl w:val="0"/>
    </w:pPr>
    <w:rPr>
      <w:b/>
      <w:sz w:val="28"/>
    </w:rPr>
  </w:style>
  <w:style w:type="paragraph" w:styleId="Nagwek2">
    <w:name w:val="heading 2"/>
    <w:basedOn w:val="Normalny"/>
    <w:next w:val="Normalny"/>
    <w:qFormat/>
    <w:rsid w:val="008824B9"/>
    <w:pPr>
      <w:keepNext/>
      <w:spacing w:before="240" w:after="120"/>
      <w:ind w:left="284" w:hanging="284"/>
      <w:outlineLvl w:val="1"/>
    </w:pPr>
    <w:rPr>
      <w:b/>
    </w:rPr>
  </w:style>
  <w:style w:type="paragraph" w:styleId="Nagwek3">
    <w:name w:val="heading 3"/>
    <w:basedOn w:val="Normalny"/>
    <w:next w:val="Normalny"/>
    <w:qFormat/>
    <w:rsid w:val="008824B9"/>
    <w:pPr>
      <w:keepNext/>
      <w:spacing w:before="120" w:after="60"/>
      <w:ind w:left="1418" w:hanging="851"/>
      <w:outlineLvl w:val="2"/>
    </w:pPr>
    <w:rPr>
      <w:i/>
    </w:rPr>
  </w:style>
  <w:style w:type="paragraph" w:styleId="Nagwek4">
    <w:name w:val="heading 4"/>
    <w:basedOn w:val="Normalny"/>
    <w:next w:val="Normalny"/>
    <w:qFormat/>
    <w:pPr>
      <w:widowControl w:val="0"/>
      <w:outlineLvl w:val="3"/>
    </w:pPr>
    <w:rPr>
      <w:rFonts w:ascii="Courier" w:hAnsi="Courier"/>
      <w:snapToGrid w:val="0"/>
      <w:lang w:val="en-US" w:eastAsia="en-US"/>
    </w:rPr>
  </w:style>
  <w:style w:type="paragraph" w:styleId="Nagwek5">
    <w:name w:val="heading 5"/>
    <w:basedOn w:val="Normalny"/>
    <w:next w:val="Normalny"/>
    <w:qFormat/>
    <w:pPr>
      <w:widowControl w:val="0"/>
      <w:outlineLvl w:val="4"/>
    </w:pPr>
    <w:rPr>
      <w:rFonts w:ascii="Courier" w:hAnsi="Courier"/>
      <w:snapToGrid w:val="0"/>
      <w:lang w:val="en-US" w:eastAsia="en-US"/>
    </w:rPr>
  </w:style>
  <w:style w:type="paragraph" w:styleId="Nagwek6">
    <w:name w:val="heading 6"/>
    <w:basedOn w:val="Normalny"/>
    <w:next w:val="Normalny"/>
    <w:qFormat/>
    <w:pPr>
      <w:widowControl w:val="0"/>
      <w:outlineLvl w:val="5"/>
    </w:pPr>
    <w:rPr>
      <w:rFonts w:ascii="Courier" w:hAnsi="Courier"/>
      <w:snapToGrid w:val="0"/>
      <w:lang w:val="en-US" w:eastAsia="en-US"/>
    </w:rPr>
  </w:style>
  <w:style w:type="paragraph" w:styleId="Nagwek7">
    <w:name w:val="heading 7"/>
    <w:basedOn w:val="Normalny"/>
    <w:next w:val="Normalny"/>
    <w:qFormat/>
    <w:pPr>
      <w:widowControl w:val="0"/>
      <w:outlineLvl w:val="6"/>
    </w:pPr>
    <w:rPr>
      <w:rFonts w:ascii="Courier" w:hAnsi="Courier"/>
      <w:snapToGrid w:val="0"/>
      <w:lang w:val="en-US" w:eastAsia="en-US"/>
    </w:rPr>
  </w:style>
  <w:style w:type="paragraph" w:styleId="Nagwek8">
    <w:name w:val="heading 8"/>
    <w:basedOn w:val="Normalny"/>
    <w:next w:val="Normalny"/>
    <w:qFormat/>
    <w:pPr>
      <w:widowControl w:val="0"/>
      <w:outlineLvl w:val="7"/>
    </w:pPr>
    <w:rPr>
      <w:rFonts w:ascii="Courier" w:hAnsi="Courier"/>
      <w:snapToGrid w:val="0"/>
      <w:lang w:val="en-US" w:eastAsia="en-US"/>
    </w:rPr>
  </w:style>
  <w:style w:type="paragraph" w:styleId="Nagwek9">
    <w:name w:val="heading 9"/>
    <w:basedOn w:val="Normalny"/>
    <w:next w:val="Normalny"/>
    <w:qFormat/>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OpiHA">
    <w:name w:val="Opi_H_A"/>
    <w:basedOn w:val="JuHIRoman"/>
    <w:next w:val="OpiPara"/>
    <w:rsid w:val="00302008"/>
    <w:pPr>
      <w:tabs>
        <w:tab w:val="clear" w:pos="357"/>
      </w:tabs>
    </w:pPr>
    <w:rPr>
      <w:b/>
    </w:rPr>
  </w:style>
  <w:style w:type="paragraph" w:customStyle="1" w:styleId="JuHIRoman">
    <w:name w:val="Ju_H_I_Roman"/>
    <w:basedOn w:val="JuHHead"/>
    <w:next w:val="JuPara"/>
    <w:rsid w:val="00D1288A"/>
    <w:pPr>
      <w:tabs>
        <w:tab w:val="left" w:pos="357"/>
      </w:tabs>
      <w:spacing w:before="360"/>
      <w:ind w:left="357" w:hanging="357"/>
      <w:outlineLvl w:val="1"/>
    </w:pPr>
    <w:rPr>
      <w:sz w:val="24"/>
    </w:rPr>
  </w:style>
  <w:style w:type="paragraph" w:customStyle="1" w:styleId="JuHHead">
    <w:name w:val="Ju_H_Head"/>
    <w:basedOn w:val="NormalTimesNewRoman"/>
    <w:next w:val="JuPara"/>
    <w:rsid w:val="00D1288A"/>
    <w:pPr>
      <w:keepNext/>
      <w:keepLines/>
      <w:spacing w:before="720" w:after="240"/>
      <w:jc w:val="both"/>
      <w:outlineLvl w:val="0"/>
    </w:pPr>
    <w:rPr>
      <w:sz w:val="28"/>
    </w:rPr>
  </w:style>
  <w:style w:type="character" w:customStyle="1" w:styleId="DefaultTimesNewRoman">
    <w:name w:val="Default_TimesNewRoman"/>
    <w:rsid w:val="00D1288A"/>
    <w:rPr>
      <w:rFonts w:ascii="Times New Roman" w:hAnsi="Times New Roman"/>
    </w:rPr>
  </w:style>
  <w:style w:type="paragraph" w:customStyle="1" w:styleId="JuPara">
    <w:name w:val="Ju_Para"/>
    <w:aliases w:val="Left,First line:  0 cm"/>
    <w:basedOn w:val="NormalTimesNewRoman"/>
    <w:link w:val="JuParaChar"/>
    <w:rsid w:val="00D1288A"/>
    <w:pPr>
      <w:ind w:firstLine="284"/>
      <w:jc w:val="both"/>
    </w:pPr>
  </w:style>
  <w:style w:type="character" w:customStyle="1" w:styleId="JuParaChar">
    <w:name w:val="Ju_Para Char"/>
    <w:link w:val="JuPara"/>
    <w:rsid w:val="00B921A8"/>
    <w:rPr>
      <w:sz w:val="24"/>
      <w:lang w:val="en-GB" w:eastAsia="fr-FR" w:bidi="ar-SA"/>
    </w:rPr>
  </w:style>
  <w:style w:type="paragraph" w:customStyle="1" w:styleId="OpiPara">
    <w:name w:val="Opi_Para"/>
    <w:basedOn w:val="JuPara"/>
    <w:rsid w:val="00302008"/>
  </w:style>
  <w:style w:type="paragraph" w:customStyle="1" w:styleId="OpiH1">
    <w:name w:val="Opi_H_1."/>
    <w:basedOn w:val="OpiHA"/>
    <w:next w:val="OpiPara"/>
    <w:rsid w:val="00302008"/>
    <w:pPr>
      <w:spacing w:before="240" w:after="120"/>
      <w:ind w:left="635"/>
      <w:outlineLvl w:val="2"/>
    </w:pPr>
    <w:rPr>
      <w:b w:val="0"/>
      <w:i/>
    </w:rPr>
  </w:style>
  <w:style w:type="paragraph" w:customStyle="1" w:styleId="OpiHa0">
    <w:name w:val="Opi_H_a"/>
    <w:basedOn w:val="OpiH1"/>
    <w:next w:val="OpiPara"/>
    <w:rsid w:val="00302008"/>
    <w:pPr>
      <w:ind w:left="833"/>
      <w:outlineLvl w:val="3"/>
    </w:pPr>
    <w:rPr>
      <w:b/>
      <w:i w:val="0"/>
      <w:sz w:val="20"/>
    </w:rPr>
  </w:style>
  <w:style w:type="paragraph" w:customStyle="1" w:styleId="OpiHHead">
    <w:name w:val="Opi_H_Head"/>
    <w:basedOn w:val="JuHHead"/>
    <w:next w:val="OpiPara"/>
    <w:rsid w:val="00302008"/>
    <w:pPr>
      <w:spacing w:before="0"/>
      <w:jc w:val="center"/>
    </w:pPr>
  </w:style>
  <w:style w:type="paragraph" w:customStyle="1" w:styleId="OpiHi">
    <w:name w:val="Opi_H_i"/>
    <w:basedOn w:val="OpiHa0"/>
    <w:next w:val="OpiPara"/>
    <w:rsid w:val="00302008"/>
    <w:pPr>
      <w:ind w:left="1037"/>
      <w:outlineLvl w:val="4"/>
    </w:pPr>
    <w:rPr>
      <w:b w:val="0"/>
      <w:i/>
    </w:rPr>
  </w:style>
  <w:style w:type="paragraph" w:styleId="Stopka">
    <w:name w:val="footer"/>
    <w:basedOn w:val="NormalTimesNewRoman"/>
    <w:rsid w:val="00D1288A"/>
    <w:pPr>
      <w:tabs>
        <w:tab w:val="center" w:pos="3686"/>
        <w:tab w:val="right" w:pos="7371"/>
      </w:tabs>
    </w:pPr>
    <w:rPr>
      <w:sz w:val="18"/>
    </w:rPr>
  </w:style>
  <w:style w:type="paragraph" w:customStyle="1" w:styleId="JuJudges">
    <w:name w:val="Ju_Judges"/>
    <w:basedOn w:val="NormalTimesNewRoman"/>
    <w:link w:val="JuJudgesChar"/>
    <w:rsid w:val="00D1288A"/>
    <w:pPr>
      <w:tabs>
        <w:tab w:val="left" w:pos="567"/>
        <w:tab w:val="left" w:pos="1134"/>
      </w:tabs>
    </w:pPr>
  </w:style>
  <w:style w:type="character" w:customStyle="1" w:styleId="JuJudgesChar">
    <w:name w:val="Ju_Judges Char"/>
    <w:link w:val="JuJudges"/>
    <w:locked/>
    <w:rsid w:val="00D15473"/>
    <w:rPr>
      <w:sz w:val="24"/>
      <w:lang w:val="en-GB" w:eastAsia="fr-FR" w:bidi="ar-SA"/>
    </w:rPr>
  </w:style>
  <w:style w:type="paragraph" w:customStyle="1" w:styleId="JuHA">
    <w:name w:val="Ju_H_A"/>
    <w:basedOn w:val="JuHIRoman"/>
    <w:next w:val="JuPara"/>
    <w:rsid w:val="00D1288A"/>
    <w:pPr>
      <w:tabs>
        <w:tab w:val="clear" w:pos="357"/>
        <w:tab w:val="left" w:pos="584"/>
      </w:tabs>
      <w:ind w:left="584" w:hanging="352"/>
      <w:outlineLvl w:val="2"/>
    </w:pPr>
    <w:rPr>
      <w:b/>
    </w:rPr>
  </w:style>
  <w:style w:type="paragraph" w:customStyle="1" w:styleId="JuQuot">
    <w:name w:val="Ju_Quot"/>
    <w:basedOn w:val="JuPara"/>
    <w:rsid w:val="00D1288A"/>
    <w:pPr>
      <w:spacing w:before="120" w:after="120"/>
      <w:ind w:left="425" w:firstLine="142"/>
    </w:pPr>
    <w:rPr>
      <w:sz w:val="20"/>
    </w:rPr>
  </w:style>
  <w:style w:type="paragraph" w:customStyle="1" w:styleId="JuSigned">
    <w:name w:val="Ju_Signed"/>
    <w:basedOn w:val="NormalTimesNewRoman"/>
    <w:next w:val="JuParaLast"/>
    <w:link w:val="JuSignedChar"/>
    <w:rsid w:val="00D1288A"/>
    <w:pPr>
      <w:tabs>
        <w:tab w:val="center" w:pos="851"/>
        <w:tab w:val="center" w:pos="6407"/>
      </w:tabs>
      <w:spacing w:before="720"/>
    </w:pPr>
  </w:style>
  <w:style w:type="paragraph" w:customStyle="1" w:styleId="JuParaLast">
    <w:name w:val="Ju_Para_Last"/>
    <w:basedOn w:val="JuPara"/>
    <w:next w:val="JuPara"/>
    <w:rsid w:val="00D1288A"/>
    <w:pPr>
      <w:keepNext/>
      <w:keepLines/>
      <w:spacing w:before="240"/>
    </w:pPr>
  </w:style>
  <w:style w:type="character" w:customStyle="1" w:styleId="JuSignedChar">
    <w:name w:val="Ju_Signed Char"/>
    <w:link w:val="JuSigned"/>
    <w:rsid w:val="000726F6"/>
    <w:rPr>
      <w:sz w:val="24"/>
      <w:lang w:val="en-GB" w:eastAsia="fr-FR" w:bidi="ar-SA"/>
    </w:rPr>
  </w:style>
  <w:style w:type="paragraph" w:customStyle="1" w:styleId="JuCase">
    <w:name w:val="Ju_Case"/>
    <w:basedOn w:val="JuPara"/>
    <w:next w:val="JuPara"/>
    <w:link w:val="JuCaseChar"/>
    <w:rsid w:val="00D1288A"/>
    <w:rPr>
      <w:b/>
    </w:rPr>
  </w:style>
  <w:style w:type="character" w:customStyle="1" w:styleId="JuCaseChar">
    <w:name w:val="Ju_Case Char"/>
    <w:link w:val="JuCase"/>
    <w:rsid w:val="00B921A8"/>
    <w:rPr>
      <w:b/>
      <w:sz w:val="24"/>
      <w:lang w:val="en-GB" w:eastAsia="fr-FR" w:bidi="ar-SA"/>
    </w:rPr>
  </w:style>
  <w:style w:type="paragraph" w:customStyle="1" w:styleId="JuList">
    <w:name w:val="Ju_List"/>
    <w:basedOn w:val="JuPara"/>
    <w:link w:val="JuListChar"/>
    <w:rsid w:val="00D1288A"/>
    <w:pPr>
      <w:ind w:left="340" w:hanging="340"/>
    </w:pPr>
  </w:style>
  <w:style w:type="character" w:customStyle="1" w:styleId="JuListChar">
    <w:name w:val="Ju_List Char"/>
    <w:link w:val="JuList"/>
    <w:rsid w:val="00930CD7"/>
    <w:rPr>
      <w:sz w:val="24"/>
      <w:lang w:val="en-GB" w:eastAsia="fr-FR" w:bidi="ar-SA"/>
    </w:rPr>
  </w:style>
  <w:style w:type="paragraph" w:customStyle="1" w:styleId="JuHArticle">
    <w:name w:val="Ju_H_Article"/>
    <w:basedOn w:val="JuHa0"/>
    <w:next w:val="JuQuot"/>
    <w:rsid w:val="00D1288A"/>
    <w:pPr>
      <w:ind w:left="0" w:firstLine="0"/>
      <w:jc w:val="center"/>
    </w:pPr>
  </w:style>
  <w:style w:type="paragraph" w:customStyle="1" w:styleId="JuHa0">
    <w:name w:val="Ju_H_a"/>
    <w:basedOn w:val="JuH1"/>
    <w:next w:val="JuPara"/>
    <w:rsid w:val="00D1288A"/>
    <w:pPr>
      <w:tabs>
        <w:tab w:val="clear" w:pos="731"/>
        <w:tab w:val="left" w:pos="975"/>
      </w:tabs>
      <w:ind w:left="975" w:hanging="340"/>
      <w:outlineLvl w:val="4"/>
    </w:pPr>
    <w:rPr>
      <w:b/>
      <w:i w:val="0"/>
      <w:sz w:val="20"/>
    </w:rPr>
  </w:style>
  <w:style w:type="paragraph" w:customStyle="1" w:styleId="JuH1">
    <w:name w:val="Ju_H_1."/>
    <w:basedOn w:val="JuHA"/>
    <w:next w:val="JuPara"/>
    <w:rsid w:val="00D1288A"/>
    <w:pPr>
      <w:tabs>
        <w:tab w:val="clear" w:pos="584"/>
        <w:tab w:val="left" w:pos="731"/>
      </w:tabs>
      <w:spacing w:before="240" w:after="120"/>
      <w:ind w:left="732" w:hanging="301"/>
      <w:outlineLvl w:val="3"/>
    </w:pPr>
    <w:rPr>
      <w:b w:val="0"/>
      <w:i/>
    </w:rPr>
  </w:style>
  <w:style w:type="paragraph" w:customStyle="1" w:styleId="JuQuotList">
    <w:name w:val="Ju_Quot_List"/>
    <w:basedOn w:val="JuQuot"/>
    <w:pPr>
      <w:tabs>
        <w:tab w:val="left" w:pos="1021"/>
      </w:tabs>
      <w:ind w:left="567" w:firstLine="0"/>
    </w:pPr>
  </w:style>
  <w:style w:type="paragraph" w:customStyle="1" w:styleId="JuCourt">
    <w:name w:val="Ju_Court"/>
    <w:basedOn w:val="JuJudges"/>
    <w:rsid w:val="00D1288A"/>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rsid w:val="00302008"/>
  </w:style>
  <w:style w:type="paragraph" w:customStyle="1" w:styleId="OpiTranslation">
    <w:name w:val="Opi_Translation"/>
    <w:basedOn w:val="OpiHHead"/>
    <w:next w:val="OpiPara"/>
    <w:rsid w:val="00302008"/>
    <w:rPr>
      <w:i/>
      <w:sz w:val="24"/>
    </w:rPr>
  </w:style>
  <w:style w:type="paragraph" w:styleId="Tekstprzypisudolnego">
    <w:name w:val="footnote text"/>
    <w:basedOn w:val="Normalny"/>
    <w:semiHidden/>
    <w:rsid w:val="00D1288A"/>
    <w:pPr>
      <w:jc w:val="both"/>
    </w:pPr>
    <w:rPr>
      <w:sz w:val="20"/>
    </w:rPr>
  </w:style>
  <w:style w:type="character" w:styleId="Odwoanieprzypisudolnego">
    <w:name w:val="footnote reference"/>
    <w:semiHidden/>
    <w:rsid w:val="00D1288A"/>
    <w:rPr>
      <w:vertAlign w:val="superscript"/>
    </w:rPr>
  </w:style>
  <w:style w:type="paragraph" w:customStyle="1" w:styleId="JuHi">
    <w:name w:val="Ju_H_i"/>
    <w:basedOn w:val="JuHa0"/>
    <w:next w:val="JuPara"/>
    <w:rsid w:val="00D1288A"/>
    <w:pPr>
      <w:tabs>
        <w:tab w:val="clear" w:pos="975"/>
        <w:tab w:val="left" w:pos="1191"/>
      </w:tabs>
      <w:ind w:left="1190" w:hanging="357"/>
      <w:outlineLvl w:val="5"/>
    </w:pPr>
    <w:rPr>
      <w:b w:val="0"/>
      <w:i/>
    </w:rPr>
  </w:style>
  <w:style w:type="paragraph" w:styleId="Nagwek">
    <w:name w:val="header"/>
    <w:basedOn w:val="NormalTimesNewRoman"/>
    <w:rsid w:val="00D1288A"/>
    <w:pPr>
      <w:tabs>
        <w:tab w:val="center" w:pos="3686"/>
        <w:tab w:val="right" w:pos="7371"/>
      </w:tabs>
    </w:pPr>
    <w:rPr>
      <w:sz w:val="18"/>
    </w:rPr>
  </w:style>
  <w:style w:type="character" w:styleId="Numerstrony">
    <w:name w:val="page number"/>
    <w:rsid w:val="00D1288A"/>
    <w:rPr>
      <w:sz w:val="18"/>
    </w:rPr>
  </w:style>
  <w:style w:type="paragraph" w:customStyle="1" w:styleId="JuH">
    <w:name w:val="Ju_H_–"/>
    <w:basedOn w:val="JuHalpha"/>
    <w:next w:val="JuPara"/>
    <w:rsid w:val="00D1288A"/>
    <w:pPr>
      <w:tabs>
        <w:tab w:val="clear" w:pos="1372"/>
      </w:tabs>
      <w:ind w:left="1236" w:firstLine="0"/>
    </w:pPr>
    <w:rPr>
      <w:i/>
    </w:rPr>
  </w:style>
  <w:style w:type="paragraph" w:customStyle="1" w:styleId="JuHalpha">
    <w:name w:val="Ju_H_alpha"/>
    <w:basedOn w:val="JuHi"/>
    <w:next w:val="JuPara"/>
    <w:rsid w:val="00D1288A"/>
    <w:pPr>
      <w:tabs>
        <w:tab w:val="clear" w:pos="1191"/>
        <w:tab w:val="left" w:pos="1372"/>
      </w:tabs>
      <w:ind w:left="1373" w:hanging="335"/>
    </w:pPr>
    <w:rPr>
      <w:i w:val="0"/>
    </w:rPr>
  </w:style>
  <w:style w:type="paragraph" w:customStyle="1" w:styleId="JuLista">
    <w:name w:val="Ju_List_a"/>
    <w:basedOn w:val="JuList"/>
    <w:rsid w:val="00D1288A"/>
    <w:pPr>
      <w:ind w:left="346" w:firstLine="0"/>
    </w:pPr>
  </w:style>
  <w:style w:type="paragraph" w:customStyle="1" w:styleId="JuListi">
    <w:name w:val="Ju_List_i"/>
    <w:basedOn w:val="JuLista"/>
    <w:rsid w:val="00D1288A"/>
    <w:pPr>
      <w:ind w:left="794"/>
    </w:pPr>
  </w:style>
  <w:style w:type="character" w:styleId="Odwoaniedokomentarza">
    <w:name w:val="annotation reference"/>
    <w:semiHidden/>
    <w:rPr>
      <w:sz w:val="16"/>
    </w:rPr>
  </w:style>
  <w:style w:type="paragraph" w:styleId="Tekstkomentarza">
    <w:name w:val="annotation text"/>
    <w:basedOn w:val="Normalny"/>
    <w:semiHidden/>
    <w:rPr>
      <w:sz w:val="20"/>
    </w:rPr>
  </w:style>
  <w:style w:type="paragraph" w:customStyle="1" w:styleId="JuInitialled">
    <w:name w:val="Ju_Initialled"/>
    <w:basedOn w:val="JuSigned"/>
    <w:rsid w:val="00D1288A"/>
    <w:pPr>
      <w:tabs>
        <w:tab w:val="clear" w:pos="851"/>
      </w:tabs>
      <w:jc w:val="right"/>
    </w:pPr>
  </w:style>
  <w:style w:type="paragraph" w:customStyle="1" w:styleId="JuHeader">
    <w:name w:val="Ju_Header"/>
    <w:basedOn w:val="Nagwek"/>
    <w:rsid w:val="00D1288A"/>
  </w:style>
  <w:style w:type="paragraph" w:customStyle="1" w:styleId="DecHTitle">
    <w:name w:val="Dec_H_Title"/>
    <w:basedOn w:val="Normalny"/>
    <w:uiPriority w:val="99"/>
    <w:rsid w:val="0037228D"/>
    <w:pPr>
      <w:spacing w:after="240"/>
      <w:jc w:val="center"/>
      <w:outlineLvl w:val="0"/>
    </w:pPr>
    <w:rPr>
      <w:sz w:val="28"/>
    </w:rPr>
  </w:style>
  <w:style w:type="paragraph" w:customStyle="1" w:styleId="DecHCase">
    <w:name w:val="Dec_H_Case"/>
    <w:basedOn w:val="DecHTitle"/>
    <w:next w:val="JuPara"/>
    <w:rsid w:val="00302008"/>
    <w:rPr>
      <w:sz w:val="24"/>
    </w:rPr>
  </w:style>
  <w:style w:type="paragraph" w:customStyle="1" w:styleId="DecList">
    <w:name w:val="Dec_List"/>
    <w:basedOn w:val="Normalny"/>
    <w:rsid w:val="0037228D"/>
    <w:pPr>
      <w:spacing w:before="240"/>
      <w:ind w:left="284"/>
      <w:jc w:val="both"/>
    </w:pPr>
  </w:style>
  <w:style w:type="paragraph" w:customStyle="1" w:styleId="JuParaSub">
    <w:name w:val="Ju_Para_Sub"/>
    <w:basedOn w:val="JuPara"/>
    <w:rsid w:val="00D1288A"/>
    <w:pPr>
      <w:ind w:left="284"/>
    </w:pPr>
    <w:rPr>
      <w:szCs w:val="24"/>
    </w:rPr>
  </w:style>
  <w:style w:type="paragraph" w:customStyle="1" w:styleId="JuQuotSub">
    <w:name w:val="Ju_Quot_Sub"/>
    <w:basedOn w:val="JuQuot"/>
    <w:rsid w:val="00D1288A"/>
    <w:pPr>
      <w:ind w:left="567"/>
    </w:pPr>
  </w:style>
  <w:style w:type="paragraph" w:styleId="Tekstdymka">
    <w:name w:val="Balloon Text"/>
    <w:basedOn w:val="Normalny"/>
    <w:semiHidden/>
    <w:rsid w:val="00457A18"/>
    <w:rPr>
      <w:rFonts w:ascii="Tahoma" w:hAnsi="Tahoma" w:cs="Tahoma"/>
      <w:sz w:val="16"/>
      <w:szCs w:val="16"/>
    </w:rPr>
  </w:style>
  <w:style w:type="paragraph" w:styleId="Tematkomentarza">
    <w:name w:val="annotation subject"/>
    <w:basedOn w:val="Tekstkomentarza"/>
    <w:next w:val="Tekstkomentarza"/>
    <w:semiHidden/>
    <w:rsid w:val="00D353F4"/>
    <w:rPr>
      <w:b/>
      <w:bCs/>
    </w:rPr>
  </w:style>
  <w:style w:type="character" w:styleId="Odwoanieprzypisukocowego">
    <w:name w:val="endnote reference"/>
    <w:semiHidden/>
    <w:rsid w:val="00D1288A"/>
    <w:rPr>
      <w:vertAlign w:val="superscript"/>
    </w:rPr>
  </w:style>
  <w:style w:type="paragraph" w:styleId="Tekstprzypisukocowego">
    <w:name w:val="endnote text"/>
    <w:basedOn w:val="Normalny"/>
    <w:semiHidden/>
    <w:rsid w:val="00D1288A"/>
    <w:rPr>
      <w:sz w:val="20"/>
    </w:rPr>
  </w:style>
  <w:style w:type="character" w:styleId="UyteHipercze">
    <w:name w:val="FollowedHyperlink"/>
    <w:rsid w:val="00D1288A"/>
    <w:rPr>
      <w:color w:val="800080"/>
      <w:u w:val="single"/>
    </w:rPr>
  </w:style>
  <w:style w:type="paragraph" w:customStyle="1" w:styleId="SuCoverTitle1">
    <w:name w:val="Su_Cover_Title1"/>
    <w:basedOn w:val="Normalny"/>
    <w:next w:val="SuCoverTitle2"/>
    <w:rsid w:val="0037228D"/>
    <w:pPr>
      <w:spacing w:before="2500"/>
      <w:jc w:val="center"/>
    </w:pPr>
    <w:rPr>
      <w:sz w:val="22"/>
    </w:rPr>
  </w:style>
  <w:style w:type="paragraph" w:customStyle="1" w:styleId="SuCoverTitle2">
    <w:name w:val="Su_Cover_Title2"/>
    <w:basedOn w:val="SuCoverTitle1"/>
    <w:next w:val="Normalny"/>
    <w:rsid w:val="00864209"/>
    <w:pPr>
      <w:spacing w:before="240"/>
    </w:pPr>
    <w:rPr>
      <w:sz w:val="18"/>
    </w:rPr>
  </w:style>
  <w:style w:type="paragraph" w:customStyle="1" w:styleId="SuPara">
    <w:name w:val="Su_Para"/>
    <w:basedOn w:val="SuKeywords"/>
    <w:rsid w:val="00864209"/>
    <w:pPr>
      <w:spacing w:before="0" w:after="0"/>
    </w:pPr>
    <w:rPr>
      <w:i w:val="0"/>
    </w:rPr>
  </w:style>
  <w:style w:type="paragraph" w:customStyle="1" w:styleId="SuKeywords">
    <w:name w:val="Su_Keywords"/>
    <w:basedOn w:val="SuHHead"/>
    <w:rsid w:val="00864209"/>
    <w:pPr>
      <w:spacing w:before="120"/>
    </w:pPr>
    <w:rPr>
      <w:b w:val="0"/>
      <w:i/>
    </w:rPr>
  </w:style>
  <w:style w:type="paragraph" w:customStyle="1" w:styleId="SuHHead">
    <w:name w:val="Su_H_Head"/>
    <w:basedOn w:val="SuSubject"/>
    <w:rsid w:val="00864209"/>
    <w:pPr>
      <w:spacing w:after="120"/>
    </w:pPr>
  </w:style>
  <w:style w:type="paragraph" w:customStyle="1" w:styleId="SuSubject">
    <w:name w:val="Su_Subject"/>
    <w:basedOn w:val="SuSummary"/>
    <w:rsid w:val="00864209"/>
    <w:pPr>
      <w:suppressAutoHyphens w:val="0"/>
      <w:spacing w:before="360"/>
      <w:jc w:val="both"/>
    </w:pPr>
    <w:rPr>
      <w:b/>
      <w:sz w:val="22"/>
    </w:rPr>
  </w:style>
  <w:style w:type="paragraph" w:customStyle="1" w:styleId="SuSummary">
    <w:name w:val="Su_Summary"/>
    <w:basedOn w:val="Normalny"/>
    <w:next w:val="SuSubject"/>
    <w:rsid w:val="0037228D"/>
    <w:pPr>
      <w:spacing w:after="240"/>
      <w:jc w:val="center"/>
    </w:pPr>
  </w:style>
  <w:style w:type="paragraph" w:customStyle="1" w:styleId="OpiParaSub">
    <w:name w:val="Opi_Para_Sub"/>
    <w:basedOn w:val="JuParaSub"/>
    <w:rsid w:val="00302008"/>
  </w:style>
  <w:style w:type="paragraph" w:customStyle="1" w:styleId="OpiQuotSub">
    <w:name w:val="Opi_Quot_Sub"/>
    <w:basedOn w:val="JuQuotSub"/>
    <w:rsid w:val="00302008"/>
  </w:style>
  <w:style w:type="character" w:styleId="Hipercze">
    <w:name w:val="Hyperlink"/>
    <w:rsid w:val="00D1288A"/>
    <w:rPr>
      <w:color w:val="0000FF"/>
      <w:u w:val="single"/>
    </w:rPr>
  </w:style>
  <w:style w:type="character" w:styleId="Pogrubienie">
    <w:name w:val="Strong"/>
    <w:qFormat/>
    <w:rsid w:val="00AA7CA2"/>
    <w:rPr>
      <w:b/>
      <w:bCs/>
    </w:rPr>
  </w:style>
  <w:style w:type="paragraph" w:styleId="Mapadokumentu">
    <w:name w:val="Document Map"/>
    <w:basedOn w:val="Normalny"/>
    <w:semiHidden/>
    <w:rsid w:val="008824B9"/>
    <w:pPr>
      <w:shd w:val="clear" w:color="auto" w:fill="000080"/>
    </w:pPr>
    <w:rPr>
      <w:rFonts w:ascii="Tahoma" w:hAnsi="Tahoma" w:cs="Tahoma"/>
      <w:sz w:val="20"/>
    </w:rPr>
  </w:style>
  <w:style w:type="character" w:customStyle="1" w:styleId="JuNames">
    <w:name w:val="Ju_Names"/>
    <w:rsid w:val="00D1288A"/>
    <w:rPr>
      <w:smallCaps/>
    </w:rPr>
  </w:style>
  <w:style w:type="paragraph" w:customStyle="1" w:styleId="NormalJustified">
    <w:name w:val="Normal_Justified"/>
    <w:basedOn w:val="Normalny"/>
    <w:rsid w:val="008824B9"/>
    <w:pPr>
      <w:jc w:val="both"/>
    </w:pPr>
  </w:style>
  <w:style w:type="paragraph" w:customStyle="1" w:styleId="JuAppQuestion">
    <w:name w:val="Ju_App_Question"/>
    <w:basedOn w:val="Listapunktowana"/>
    <w:rsid w:val="00D1288A"/>
    <w:pPr>
      <w:numPr>
        <w:numId w:val="6"/>
      </w:numPr>
      <w:suppressAutoHyphens w:val="0"/>
    </w:pPr>
    <w:rPr>
      <w:b/>
      <w:color w:val="333333"/>
    </w:rPr>
  </w:style>
  <w:style w:type="paragraph" w:styleId="Listapunktowana">
    <w:name w:val="List Bullet"/>
    <w:basedOn w:val="Normalny"/>
    <w:rsid w:val="008824B9"/>
    <w:pPr>
      <w:numPr>
        <w:numId w:val="2"/>
      </w:numPr>
    </w:pPr>
  </w:style>
  <w:style w:type="paragraph" w:customStyle="1" w:styleId="NormalTimesNewRoman">
    <w:name w:val="Normal_TimesNewRoman"/>
    <w:rsid w:val="00D1288A"/>
    <w:rPr>
      <w:sz w:val="24"/>
      <w:lang w:val="en-GB" w:eastAsia="fr-FR"/>
    </w:rPr>
  </w:style>
  <w:style w:type="character" w:customStyle="1" w:styleId="JuITMark">
    <w:name w:val="Ju_ITMark"/>
    <w:rsid w:val="00D1288A"/>
    <w:rPr>
      <w:rFonts w:ascii="Times New Roman" w:hAnsi="Times New Roman"/>
      <w:vanish/>
      <w:color w:val="339966"/>
      <w:sz w:val="16"/>
      <w:szCs w:val="16"/>
      <w:lang w:val="fi-FI"/>
    </w:rPr>
  </w:style>
  <w:style w:type="paragraph" w:customStyle="1" w:styleId="JuTitle">
    <w:name w:val="Ju_Title"/>
    <w:basedOn w:val="JuHHead"/>
    <w:next w:val="JuPara"/>
    <w:rsid w:val="00D1288A"/>
    <w:pPr>
      <w:jc w:val="center"/>
    </w:pPr>
    <w:rPr>
      <w:b/>
      <w:caps/>
      <w:sz w:val="24"/>
      <w:szCs w:val="24"/>
      <w:u w:val="single"/>
    </w:rPr>
  </w:style>
  <w:style w:type="character" w:customStyle="1" w:styleId="JuParaCar">
    <w:name w:val="Ju_Para Car"/>
    <w:rsid w:val="00E5718B"/>
    <w:rPr>
      <w:sz w:val="24"/>
      <w:lang w:val="en-GB" w:eastAsia="fr-FR" w:bidi="ar-SA"/>
    </w:rPr>
  </w:style>
  <w:style w:type="character" w:customStyle="1" w:styleId="hl">
    <w:name w:val="hl"/>
    <w:basedOn w:val="Domylnaczcionkaakapitu"/>
    <w:rsid w:val="00E5718B"/>
  </w:style>
  <w:style w:type="character" w:customStyle="1" w:styleId="hd--char">
    <w:name w:val="hd--char"/>
    <w:basedOn w:val="Domylnaczcionkaakapitu"/>
    <w:rsid w:val="00E5718B"/>
  </w:style>
  <w:style w:type="character" w:customStyle="1" w:styleId="ju-005fpara-002cleft-002cfirst-0020line-003a-0020-00200-0020cm--char">
    <w:name w:val="ju-005fpara-002cleft-002cfirst-0020line-003a-0020-00200-0020cm--char"/>
    <w:basedOn w:val="Domylnaczcionkaakapitu"/>
    <w:rsid w:val="003C5526"/>
  </w:style>
  <w:style w:type="character" w:customStyle="1" w:styleId="ju--005fpara----char--char">
    <w:name w:val="ju--005fpara----char--char"/>
    <w:basedOn w:val="Domylnaczcionkaakapitu"/>
    <w:rsid w:val="003C5526"/>
  </w:style>
  <w:style w:type="character" w:customStyle="1" w:styleId="ju--005fpara--002cleft--002cfirst--0020line--003a--0020--00200--0020cm----char--char">
    <w:name w:val="ju--005fpara--002cleft--002cfirst--0020line--003a--0020--00200--0020cm----char--char"/>
    <w:basedOn w:val="Domylnaczcionkaakapitu"/>
    <w:rsid w:val="00A02A8A"/>
  </w:style>
  <w:style w:type="character" w:customStyle="1" w:styleId="s10">
    <w:name w:val="s_10"/>
    <w:basedOn w:val="Domylnaczcionkaakapitu"/>
    <w:rsid w:val="00186CF0"/>
  </w:style>
  <w:style w:type="paragraph" w:customStyle="1" w:styleId="s30eec3f8">
    <w:name w:val="s30eec3f8"/>
    <w:basedOn w:val="Normalny"/>
    <w:rsid w:val="0024091B"/>
    <w:pPr>
      <w:suppressAutoHyphens w:val="0"/>
      <w:spacing w:before="100" w:beforeAutospacing="1" w:after="100" w:afterAutospacing="1"/>
    </w:pPr>
    <w:rPr>
      <w:szCs w:val="24"/>
      <w:lang w:eastAsia="en-GB"/>
    </w:rPr>
  </w:style>
  <w:style w:type="character" w:customStyle="1" w:styleId="sb8d990e2">
    <w:name w:val="sb8d990e2"/>
    <w:basedOn w:val="Domylnaczcionkaakapitu"/>
    <w:rsid w:val="0024091B"/>
  </w:style>
  <w:style w:type="character" w:customStyle="1" w:styleId="s6b621b36">
    <w:name w:val="s6b621b36"/>
    <w:basedOn w:val="Domylnaczcionkaakapitu"/>
    <w:rsid w:val="0024091B"/>
  </w:style>
  <w:style w:type="paragraph" w:customStyle="1" w:styleId="sb9059d72">
    <w:name w:val="sb9059d72"/>
    <w:basedOn w:val="Normalny"/>
    <w:rsid w:val="00492021"/>
    <w:pPr>
      <w:suppressAutoHyphens w:val="0"/>
      <w:spacing w:before="100" w:beforeAutospacing="1" w:after="100" w:afterAutospacing="1"/>
    </w:pPr>
    <w:rPr>
      <w:szCs w:val="24"/>
      <w:lang w:eastAsia="en-GB"/>
    </w:rPr>
  </w:style>
  <w:style w:type="paragraph" w:customStyle="1" w:styleId="s2c778a47">
    <w:name w:val="s2c778a47"/>
    <w:basedOn w:val="Normalny"/>
    <w:rsid w:val="00492021"/>
    <w:pPr>
      <w:suppressAutoHyphens w:val="0"/>
      <w:spacing w:before="100" w:beforeAutospacing="1" w:after="100" w:afterAutospacing="1"/>
    </w:pPr>
    <w:rPr>
      <w:szCs w:val="24"/>
      <w:lang w:eastAsia="en-GB"/>
    </w:rPr>
  </w:style>
  <w:style w:type="character" w:customStyle="1" w:styleId="sfbbfee58">
    <w:name w:val="sfbbfee58"/>
    <w:basedOn w:val="Domylnaczcionkaakapitu"/>
    <w:rsid w:val="00492021"/>
  </w:style>
  <w:style w:type="paragraph" w:customStyle="1" w:styleId="se5d6d4c3">
    <w:name w:val="se5d6d4c3"/>
    <w:basedOn w:val="Normalny"/>
    <w:rsid w:val="00CD48F5"/>
    <w:pPr>
      <w:suppressAutoHyphens w:val="0"/>
      <w:spacing w:before="100" w:beforeAutospacing="1" w:after="100" w:afterAutospacing="1"/>
    </w:pPr>
    <w:rPr>
      <w:szCs w:val="24"/>
      <w:lang w:eastAsia="en-GB"/>
    </w:rPr>
  </w:style>
  <w:style w:type="character" w:customStyle="1" w:styleId="sdfc50a6a">
    <w:name w:val="sdfc50a6a"/>
    <w:basedOn w:val="Domylnaczcionkaakapitu"/>
    <w:rsid w:val="00CD48F5"/>
  </w:style>
  <w:style w:type="paragraph" w:customStyle="1" w:styleId="s9e9b0cd7">
    <w:name w:val="s9e9b0cd7"/>
    <w:basedOn w:val="Normalny"/>
    <w:rsid w:val="00CD48F5"/>
    <w:pPr>
      <w:suppressAutoHyphens w:val="0"/>
      <w:spacing w:before="100" w:beforeAutospacing="1" w:after="100" w:afterAutospacing="1"/>
    </w:pPr>
    <w:rPr>
      <w:szCs w:val="24"/>
      <w:lang w:eastAsia="en-GB"/>
    </w:rPr>
  </w:style>
  <w:style w:type="character" w:customStyle="1" w:styleId="s508a6721">
    <w:name w:val="s508a6721"/>
    <w:basedOn w:val="Domylnaczcionkaakapitu"/>
    <w:rsid w:val="00CD48F5"/>
  </w:style>
  <w:style w:type="paragraph" w:customStyle="1" w:styleId="s70227c73">
    <w:name w:val="s70227c73"/>
    <w:basedOn w:val="Normalny"/>
    <w:rsid w:val="00CD48F5"/>
    <w:pPr>
      <w:suppressAutoHyphens w:val="0"/>
      <w:spacing w:before="100" w:beforeAutospacing="1" w:after="100" w:afterAutospacing="1"/>
    </w:pPr>
    <w:rPr>
      <w:szCs w:val="24"/>
      <w:lang w:eastAsia="en-GB"/>
    </w:rPr>
  </w:style>
  <w:style w:type="character" w:customStyle="1" w:styleId="s7d2086b4">
    <w:name w:val="s7d2086b4"/>
    <w:basedOn w:val="Domylnaczcionkaakapitu"/>
    <w:rsid w:val="007501E0"/>
  </w:style>
  <w:style w:type="character" w:customStyle="1" w:styleId="wordhighlighted">
    <w:name w:val="wordhighlighted"/>
    <w:basedOn w:val="Domylnaczcionkaakapitu"/>
    <w:rsid w:val="002C32F8"/>
  </w:style>
  <w:style w:type="character" w:customStyle="1" w:styleId="ju----005fpara----002cleft----002cfirst----0020line----003a----0020----00200----0020cm--------char----char--char">
    <w:name w:val="ju----005fpara----002cleft----002cfirst----0020line----003a----0020----00200----0020cm--------char----char--char"/>
    <w:rsid w:val="00E43A1C"/>
    <w:rPr>
      <w:rFonts w:cs="Times New Roman"/>
    </w:rPr>
  </w:style>
  <w:style w:type="character" w:customStyle="1" w:styleId="wordhighlightedcurrentterm">
    <w:name w:val="wordhighlighted currentterm"/>
    <w:basedOn w:val="Domylnaczcionkaakapitu"/>
    <w:rsid w:val="005C5142"/>
  </w:style>
  <w:style w:type="character" w:customStyle="1" w:styleId="link">
    <w:name w:val="link"/>
    <w:rsid w:val="003607A9"/>
    <w:rPr>
      <w:strike w:val="0"/>
      <w:dstrike w:val="0"/>
      <w:color w:val="008000"/>
      <w:sz w:val="20"/>
      <w:szCs w:val="20"/>
      <w:u w:val="none"/>
      <w:effect w:val="none"/>
    </w:rPr>
  </w:style>
  <w:style w:type="character" w:customStyle="1" w:styleId="s101">
    <w:name w:val="s_101"/>
    <w:rsid w:val="00940D4C"/>
    <w:rPr>
      <w:b/>
      <w:bCs/>
      <w:strike w:val="0"/>
      <w:dstrike w:val="0"/>
      <w:color w:val="000080"/>
      <w:sz w:val="20"/>
      <w:szCs w:val="20"/>
      <w:u w:val="none"/>
      <w:effect w:val="none"/>
    </w:rPr>
  </w:style>
  <w:style w:type="character" w:customStyle="1" w:styleId="versioncommenttitle1">
    <w:name w:val="versioncommenttitle1"/>
    <w:rsid w:val="00940D4C"/>
    <w:rPr>
      <w:b w:val="0"/>
      <w:bCs w:val="0"/>
      <w:i/>
      <w:iCs/>
      <w:strike w:val="0"/>
      <w:dstrike w:val="0"/>
      <w:vanish/>
      <w:webHidden w:val="0"/>
      <w:color w:val="000000"/>
      <w:sz w:val="20"/>
      <w:szCs w:val="20"/>
      <w:u w:val="none"/>
      <w:effect w:val="none"/>
      <w:specVanish w:val="0"/>
    </w:rPr>
  </w:style>
  <w:style w:type="paragraph" w:customStyle="1" w:styleId="jupara0">
    <w:name w:val="jupara"/>
    <w:basedOn w:val="Normalny"/>
    <w:rsid w:val="003960A7"/>
    <w:pPr>
      <w:suppressAutoHyphens w:val="0"/>
      <w:ind w:firstLine="284"/>
      <w:jc w:val="both"/>
    </w:pPr>
    <w:rPr>
      <w:szCs w:val="24"/>
      <w:lang w:eastAsia="en-GB"/>
    </w:rPr>
  </w:style>
  <w:style w:type="paragraph" w:customStyle="1" w:styleId="jucase0">
    <w:name w:val="jucase"/>
    <w:basedOn w:val="Normalny"/>
    <w:rsid w:val="003960A7"/>
    <w:pPr>
      <w:suppressAutoHyphens w:val="0"/>
      <w:ind w:firstLine="284"/>
      <w:jc w:val="both"/>
    </w:pPr>
    <w:rPr>
      <w:b/>
      <w:bCs/>
      <w:szCs w:val="24"/>
      <w:lang w:eastAsia="en-GB"/>
    </w:rPr>
  </w:style>
  <w:style w:type="paragraph" w:styleId="Tekstpodstawowy">
    <w:name w:val="Body Text"/>
    <w:basedOn w:val="Normalny"/>
    <w:link w:val="TekstpodstawowyZnak"/>
    <w:rsid w:val="008008C0"/>
    <w:pPr>
      <w:spacing w:after="120"/>
    </w:pPr>
  </w:style>
  <w:style w:type="character" w:customStyle="1" w:styleId="TekstpodstawowyZnak">
    <w:name w:val="Tekst podstawowy Znak"/>
    <w:basedOn w:val="Domylnaczcionkaakapitu"/>
    <w:link w:val="Tekstpodstawowy"/>
    <w:rsid w:val="008008C0"/>
    <w:rPr>
      <w:sz w:val="24"/>
      <w:lang w:val="en-GB" w:eastAsia="fr-FR"/>
    </w:rPr>
  </w:style>
  <w:style w:type="paragraph" w:customStyle="1" w:styleId="s6e50bd9a">
    <w:name w:val="s6e50bd9a"/>
    <w:basedOn w:val="Normalny"/>
    <w:uiPriority w:val="99"/>
    <w:rsid w:val="00971CBB"/>
    <w:pPr>
      <w:suppressAutoHyphens w:val="0"/>
      <w:spacing w:before="100" w:beforeAutospacing="1" w:after="100" w:afterAutospacing="1"/>
    </w:pPr>
    <w:rPr>
      <w:szCs w:val="24"/>
      <w:lang w:val="pl-PL" w:eastAsia="pl-PL"/>
    </w:rPr>
  </w:style>
  <w:style w:type="paragraph" w:customStyle="1" w:styleId="s746c8714">
    <w:name w:val="s746c8714"/>
    <w:basedOn w:val="Normalny"/>
    <w:uiPriority w:val="99"/>
    <w:rsid w:val="00971CBB"/>
    <w:pPr>
      <w:suppressAutoHyphens w:val="0"/>
      <w:spacing w:before="100" w:beforeAutospacing="1" w:after="100" w:afterAutospacing="1"/>
    </w:pPr>
    <w:rPr>
      <w:szCs w:val="24"/>
      <w:lang w:val="pl-PL" w:eastAsia="pl-PL"/>
    </w:rPr>
  </w:style>
  <w:style w:type="character" w:customStyle="1" w:styleId="s4f807e54">
    <w:name w:val="s4f807e54"/>
    <w:basedOn w:val="Domylnaczcionkaakapitu"/>
    <w:rsid w:val="00971CB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8824B9"/>
    <w:pPr>
      <w:suppressAutoHyphens/>
    </w:pPr>
    <w:rPr>
      <w:sz w:val="24"/>
      <w:lang w:val="en-GB" w:eastAsia="fr-FR"/>
    </w:rPr>
  </w:style>
  <w:style w:type="paragraph" w:styleId="Nagwek1">
    <w:name w:val="heading 1"/>
    <w:basedOn w:val="Normalny"/>
    <w:next w:val="Normalny"/>
    <w:qFormat/>
    <w:rsid w:val="008824B9"/>
    <w:pPr>
      <w:keepNext/>
      <w:spacing w:before="360" w:after="240"/>
      <w:jc w:val="center"/>
      <w:outlineLvl w:val="0"/>
    </w:pPr>
    <w:rPr>
      <w:b/>
      <w:sz w:val="28"/>
    </w:rPr>
  </w:style>
  <w:style w:type="paragraph" w:styleId="Nagwek2">
    <w:name w:val="heading 2"/>
    <w:basedOn w:val="Normalny"/>
    <w:next w:val="Normalny"/>
    <w:qFormat/>
    <w:rsid w:val="008824B9"/>
    <w:pPr>
      <w:keepNext/>
      <w:spacing w:before="240" w:after="120"/>
      <w:ind w:left="284" w:hanging="284"/>
      <w:outlineLvl w:val="1"/>
    </w:pPr>
    <w:rPr>
      <w:b/>
    </w:rPr>
  </w:style>
  <w:style w:type="paragraph" w:styleId="Nagwek3">
    <w:name w:val="heading 3"/>
    <w:basedOn w:val="Normalny"/>
    <w:next w:val="Normalny"/>
    <w:qFormat/>
    <w:rsid w:val="008824B9"/>
    <w:pPr>
      <w:keepNext/>
      <w:spacing w:before="120" w:after="60"/>
      <w:ind w:left="1418" w:hanging="851"/>
      <w:outlineLvl w:val="2"/>
    </w:pPr>
    <w:rPr>
      <w:i/>
    </w:rPr>
  </w:style>
  <w:style w:type="paragraph" w:styleId="Nagwek4">
    <w:name w:val="heading 4"/>
    <w:basedOn w:val="Normalny"/>
    <w:next w:val="Normalny"/>
    <w:qFormat/>
    <w:pPr>
      <w:widowControl w:val="0"/>
      <w:outlineLvl w:val="3"/>
    </w:pPr>
    <w:rPr>
      <w:rFonts w:ascii="Courier" w:hAnsi="Courier"/>
      <w:snapToGrid w:val="0"/>
      <w:lang w:val="en-US" w:eastAsia="en-US"/>
    </w:rPr>
  </w:style>
  <w:style w:type="paragraph" w:styleId="Nagwek5">
    <w:name w:val="heading 5"/>
    <w:basedOn w:val="Normalny"/>
    <w:next w:val="Normalny"/>
    <w:qFormat/>
    <w:pPr>
      <w:widowControl w:val="0"/>
      <w:outlineLvl w:val="4"/>
    </w:pPr>
    <w:rPr>
      <w:rFonts w:ascii="Courier" w:hAnsi="Courier"/>
      <w:snapToGrid w:val="0"/>
      <w:lang w:val="en-US" w:eastAsia="en-US"/>
    </w:rPr>
  </w:style>
  <w:style w:type="paragraph" w:styleId="Nagwek6">
    <w:name w:val="heading 6"/>
    <w:basedOn w:val="Normalny"/>
    <w:next w:val="Normalny"/>
    <w:qFormat/>
    <w:pPr>
      <w:widowControl w:val="0"/>
      <w:outlineLvl w:val="5"/>
    </w:pPr>
    <w:rPr>
      <w:rFonts w:ascii="Courier" w:hAnsi="Courier"/>
      <w:snapToGrid w:val="0"/>
      <w:lang w:val="en-US" w:eastAsia="en-US"/>
    </w:rPr>
  </w:style>
  <w:style w:type="paragraph" w:styleId="Nagwek7">
    <w:name w:val="heading 7"/>
    <w:basedOn w:val="Normalny"/>
    <w:next w:val="Normalny"/>
    <w:qFormat/>
    <w:pPr>
      <w:widowControl w:val="0"/>
      <w:outlineLvl w:val="6"/>
    </w:pPr>
    <w:rPr>
      <w:rFonts w:ascii="Courier" w:hAnsi="Courier"/>
      <w:snapToGrid w:val="0"/>
      <w:lang w:val="en-US" w:eastAsia="en-US"/>
    </w:rPr>
  </w:style>
  <w:style w:type="paragraph" w:styleId="Nagwek8">
    <w:name w:val="heading 8"/>
    <w:basedOn w:val="Normalny"/>
    <w:next w:val="Normalny"/>
    <w:qFormat/>
    <w:pPr>
      <w:widowControl w:val="0"/>
      <w:outlineLvl w:val="7"/>
    </w:pPr>
    <w:rPr>
      <w:rFonts w:ascii="Courier" w:hAnsi="Courier"/>
      <w:snapToGrid w:val="0"/>
      <w:lang w:val="en-US" w:eastAsia="en-US"/>
    </w:rPr>
  </w:style>
  <w:style w:type="paragraph" w:styleId="Nagwek9">
    <w:name w:val="heading 9"/>
    <w:basedOn w:val="Normalny"/>
    <w:next w:val="Normalny"/>
    <w:qFormat/>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OpiHA">
    <w:name w:val="Opi_H_A"/>
    <w:basedOn w:val="JuHIRoman"/>
    <w:next w:val="OpiPara"/>
    <w:rsid w:val="00302008"/>
    <w:pPr>
      <w:tabs>
        <w:tab w:val="clear" w:pos="357"/>
      </w:tabs>
    </w:pPr>
    <w:rPr>
      <w:b/>
    </w:rPr>
  </w:style>
  <w:style w:type="paragraph" w:customStyle="1" w:styleId="JuHIRoman">
    <w:name w:val="Ju_H_I_Roman"/>
    <w:basedOn w:val="JuHHead"/>
    <w:next w:val="JuPara"/>
    <w:rsid w:val="00D1288A"/>
    <w:pPr>
      <w:tabs>
        <w:tab w:val="left" w:pos="357"/>
      </w:tabs>
      <w:spacing w:before="360"/>
      <w:ind w:left="357" w:hanging="357"/>
      <w:outlineLvl w:val="1"/>
    </w:pPr>
    <w:rPr>
      <w:sz w:val="24"/>
    </w:rPr>
  </w:style>
  <w:style w:type="paragraph" w:customStyle="1" w:styleId="JuHHead">
    <w:name w:val="Ju_H_Head"/>
    <w:basedOn w:val="NormalTimesNewRoman"/>
    <w:next w:val="JuPara"/>
    <w:rsid w:val="00D1288A"/>
    <w:pPr>
      <w:keepNext/>
      <w:keepLines/>
      <w:spacing w:before="720" w:after="240"/>
      <w:jc w:val="both"/>
      <w:outlineLvl w:val="0"/>
    </w:pPr>
    <w:rPr>
      <w:sz w:val="28"/>
    </w:rPr>
  </w:style>
  <w:style w:type="character" w:customStyle="1" w:styleId="DefaultTimesNewRoman">
    <w:name w:val="Default_TimesNewRoman"/>
    <w:rsid w:val="00D1288A"/>
    <w:rPr>
      <w:rFonts w:ascii="Times New Roman" w:hAnsi="Times New Roman"/>
    </w:rPr>
  </w:style>
  <w:style w:type="paragraph" w:customStyle="1" w:styleId="JuPara">
    <w:name w:val="Ju_Para"/>
    <w:aliases w:val="Left,First line:  0 cm"/>
    <w:basedOn w:val="NormalTimesNewRoman"/>
    <w:link w:val="JuParaChar"/>
    <w:rsid w:val="00D1288A"/>
    <w:pPr>
      <w:ind w:firstLine="284"/>
      <w:jc w:val="both"/>
    </w:pPr>
  </w:style>
  <w:style w:type="character" w:customStyle="1" w:styleId="JuParaChar">
    <w:name w:val="Ju_Para Char"/>
    <w:link w:val="JuPara"/>
    <w:rsid w:val="00B921A8"/>
    <w:rPr>
      <w:sz w:val="24"/>
      <w:lang w:val="en-GB" w:eastAsia="fr-FR" w:bidi="ar-SA"/>
    </w:rPr>
  </w:style>
  <w:style w:type="paragraph" w:customStyle="1" w:styleId="OpiPara">
    <w:name w:val="Opi_Para"/>
    <w:basedOn w:val="JuPara"/>
    <w:rsid w:val="00302008"/>
  </w:style>
  <w:style w:type="paragraph" w:customStyle="1" w:styleId="OpiH1">
    <w:name w:val="Opi_H_1."/>
    <w:basedOn w:val="OpiHA"/>
    <w:next w:val="OpiPara"/>
    <w:rsid w:val="00302008"/>
    <w:pPr>
      <w:spacing w:before="240" w:after="120"/>
      <w:ind w:left="635"/>
      <w:outlineLvl w:val="2"/>
    </w:pPr>
    <w:rPr>
      <w:b w:val="0"/>
      <w:i/>
    </w:rPr>
  </w:style>
  <w:style w:type="paragraph" w:customStyle="1" w:styleId="OpiHa0">
    <w:name w:val="Opi_H_a"/>
    <w:basedOn w:val="OpiH1"/>
    <w:next w:val="OpiPara"/>
    <w:rsid w:val="00302008"/>
    <w:pPr>
      <w:ind w:left="833"/>
      <w:outlineLvl w:val="3"/>
    </w:pPr>
    <w:rPr>
      <w:b/>
      <w:i w:val="0"/>
      <w:sz w:val="20"/>
    </w:rPr>
  </w:style>
  <w:style w:type="paragraph" w:customStyle="1" w:styleId="OpiHHead">
    <w:name w:val="Opi_H_Head"/>
    <w:basedOn w:val="JuHHead"/>
    <w:next w:val="OpiPara"/>
    <w:rsid w:val="00302008"/>
    <w:pPr>
      <w:spacing w:before="0"/>
      <w:jc w:val="center"/>
    </w:pPr>
  </w:style>
  <w:style w:type="paragraph" w:customStyle="1" w:styleId="OpiHi">
    <w:name w:val="Opi_H_i"/>
    <w:basedOn w:val="OpiHa0"/>
    <w:next w:val="OpiPara"/>
    <w:rsid w:val="00302008"/>
    <w:pPr>
      <w:ind w:left="1037"/>
      <w:outlineLvl w:val="4"/>
    </w:pPr>
    <w:rPr>
      <w:b w:val="0"/>
      <w:i/>
    </w:rPr>
  </w:style>
  <w:style w:type="paragraph" w:styleId="Stopka">
    <w:name w:val="footer"/>
    <w:basedOn w:val="NormalTimesNewRoman"/>
    <w:rsid w:val="00D1288A"/>
    <w:pPr>
      <w:tabs>
        <w:tab w:val="center" w:pos="3686"/>
        <w:tab w:val="right" w:pos="7371"/>
      </w:tabs>
    </w:pPr>
    <w:rPr>
      <w:sz w:val="18"/>
    </w:rPr>
  </w:style>
  <w:style w:type="paragraph" w:customStyle="1" w:styleId="JuJudges">
    <w:name w:val="Ju_Judges"/>
    <w:basedOn w:val="NormalTimesNewRoman"/>
    <w:link w:val="JuJudgesChar"/>
    <w:rsid w:val="00D1288A"/>
    <w:pPr>
      <w:tabs>
        <w:tab w:val="left" w:pos="567"/>
        <w:tab w:val="left" w:pos="1134"/>
      </w:tabs>
    </w:pPr>
  </w:style>
  <w:style w:type="character" w:customStyle="1" w:styleId="JuJudgesChar">
    <w:name w:val="Ju_Judges Char"/>
    <w:link w:val="JuJudges"/>
    <w:locked/>
    <w:rsid w:val="00D15473"/>
    <w:rPr>
      <w:sz w:val="24"/>
      <w:lang w:val="en-GB" w:eastAsia="fr-FR" w:bidi="ar-SA"/>
    </w:rPr>
  </w:style>
  <w:style w:type="paragraph" w:customStyle="1" w:styleId="JuHA">
    <w:name w:val="Ju_H_A"/>
    <w:basedOn w:val="JuHIRoman"/>
    <w:next w:val="JuPara"/>
    <w:rsid w:val="00D1288A"/>
    <w:pPr>
      <w:tabs>
        <w:tab w:val="clear" w:pos="357"/>
        <w:tab w:val="left" w:pos="584"/>
      </w:tabs>
      <w:ind w:left="584" w:hanging="352"/>
      <w:outlineLvl w:val="2"/>
    </w:pPr>
    <w:rPr>
      <w:b/>
    </w:rPr>
  </w:style>
  <w:style w:type="paragraph" w:customStyle="1" w:styleId="JuQuot">
    <w:name w:val="Ju_Quot"/>
    <w:basedOn w:val="JuPara"/>
    <w:rsid w:val="00D1288A"/>
    <w:pPr>
      <w:spacing w:before="120" w:after="120"/>
      <w:ind w:left="425" w:firstLine="142"/>
    </w:pPr>
    <w:rPr>
      <w:sz w:val="20"/>
    </w:rPr>
  </w:style>
  <w:style w:type="paragraph" w:customStyle="1" w:styleId="JuSigned">
    <w:name w:val="Ju_Signed"/>
    <w:basedOn w:val="NormalTimesNewRoman"/>
    <w:next w:val="JuParaLast"/>
    <w:link w:val="JuSignedChar"/>
    <w:rsid w:val="00D1288A"/>
    <w:pPr>
      <w:tabs>
        <w:tab w:val="center" w:pos="851"/>
        <w:tab w:val="center" w:pos="6407"/>
      </w:tabs>
      <w:spacing w:before="720"/>
    </w:pPr>
  </w:style>
  <w:style w:type="paragraph" w:customStyle="1" w:styleId="JuParaLast">
    <w:name w:val="Ju_Para_Last"/>
    <w:basedOn w:val="JuPara"/>
    <w:next w:val="JuPara"/>
    <w:rsid w:val="00D1288A"/>
    <w:pPr>
      <w:keepNext/>
      <w:keepLines/>
      <w:spacing w:before="240"/>
    </w:pPr>
  </w:style>
  <w:style w:type="character" w:customStyle="1" w:styleId="JuSignedChar">
    <w:name w:val="Ju_Signed Char"/>
    <w:link w:val="JuSigned"/>
    <w:rsid w:val="000726F6"/>
    <w:rPr>
      <w:sz w:val="24"/>
      <w:lang w:val="en-GB" w:eastAsia="fr-FR" w:bidi="ar-SA"/>
    </w:rPr>
  </w:style>
  <w:style w:type="paragraph" w:customStyle="1" w:styleId="JuCase">
    <w:name w:val="Ju_Case"/>
    <w:basedOn w:val="JuPara"/>
    <w:next w:val="JuPara"/>
    <w:link w:val="JuCaseChar"/>
    <w:rsid w:val="00D1288A"/>
    <w:rPr>
      <w:b/>
    </w:rPr>
  </w:style>
  <w:style w:type="character" w:customStyle="1" w:styleId="JuCaseChar">
    <w:name w:val="Ju_Case Char"/>
    <w:link w:val="JuCase"/>
    <w:rsid w:val="00B921A8"/>
    <w:rPr>
      <w:b/>
      <w:sz w:val="24"/>
      <w:lang w:val="en-GB" w:eastAsia="fr-FR" w:bidi="ar-SA"/>
    </w:rPr>
  </w:style>
  <w:style w:type="paragraph" w:customStyle="1" w:styleId="JuList">
    <w:name w:val="Ju_List"/>
    <w:basedOn w:val="JuPara"/>
    <w:link w:val="JuListChar"/>
    <w:rsid w:val="00D1288A"/>
    <w:pPr>
      <w:ind w:left="340" w:hanging="340"/>
    </w:pPr>
  </w:style>
  <w:style w:type="character" w:customStyle="1" w:styleId="JuListChar">
    <w:name w:val="Ju_List Char"/>
    <w:link w:val="JuList"/>
    <w:rsid w:val="00930CD7"/>
    <w:rPr>
      <w:sz w:val="24"/>
      <w:lang w:val="en-GB" w:eastAsia="fr-FR" w:bidi="ar-SA"/>
    </w:rPr>
  </w:style>
  <w:style w:type="paragraph" w:customStyle="1" w:styleId="JuHArticle">
    <w:name w:val="Ju_H_Article"/>
    <w:basedOn w:val="JuHa0"/>
    <w:next w:val="JuQuot"/>
    <w:rsid w:val="00D1288A"/>
    <w:pPr>
      <w:ind w:left="0" w:firstLine="0"/>
      <w:jc w:val="center"/>
    </w:pPr>
  </w:style>
  <w:style w:type="paragraph" w:customStyle="1" w:styleId="JuHa0">
    <w:name w:val="Ju_H_a"/>
    <w:basedOn w:val="JuH1"/>
    <w:next w:val="JuPara"/>
    <w:rsid w:val="00D1288A"/>
    <w:pPr>
      <w:tabs>
        <w:tab w:val="clear" w:pos="731"/>
        <w:tab w:val="left" w:pos="975"/>
      </w:tabs>
      <w:ind w:left="975" w:hanging="340"/>
      <w:outlineLvl w:val="4"/>
    </w:pPr>
    <w:rPr>
      <w:b/>
      <w:i w:val="0"/>
      <w:sz w:val="20"/>
    </w:rPr>
  </w:style>
  <w:style w:type="paragraph" w:customStyle="1" w:styleId="JuH1">
    <w:name w:val="Ju_H_1."/>
    <w:basedOn w:val="JuHA"/>
    <w:next w:val="JuPara"/>
    <w:rsid w:val="00D1288A"/>
    <w:pPr>
      <w:tabs>
        <w:tab w:val="clear" w:pos="584"/>
        <w:tab w:val="left" w:pos="731"/>
      </w:tabs>
      <w:spacing w:before="240" w:after="120"/>
      <w:ind w:left="732" w:hanging="301"/>
      <w:outlineLvl w:val="3"/>
    </w:pPr>
    <w:rPr>
      <w:b w:val="0"/>
      <w:i/>
    </w:rPr>
  </w:style>
  <w:style w:type="paragraph" w:customStyle="1" w:styleId="JuQuotList">
    <w:name w:val="Ju_Quot_List"/>
    <w:basedOn w:val="JuQuot"/>
    <w:pPr>
      <w:tabs>
        <w:tab w:val="left" w:pos="1021"/>
      </w:tabs>
      <w:ind w:left="567" w:firstLine="0"/>
    </w:pPr>
  </w:style>
  <w:style w:type="paragraph" w:customStyle="1" w:styleId="JuCourt">
    <w:name w:val="Ju_Court"/>
    <w:basedOn w:val="JuJudges"/>
    <w:rsid w:val="00D1288A"/>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rsid w:val="00302008"/>
  </w:style>
  <w:style w:type="paragraph" w:customStyle="1" w:styleId="OpiTranslation">
    <w:name w:val="Opi_Translation"/>
    <w:basedOn w:val="OpiHHead"/>
    <w:next w:val="OpiPara"/>
    <w:rsid w:val="00302008"/>
    <w:rPr>
      <w:i/>
      <w:sz w:val="24"/>
    </w:rPr>
  </w:style>
  <w:style w:type="paragraph" w:styleId="Tekstprzypisudolnego">
    <w:name w:val="footnote text"/>
    <w:basedOn w:val="Normalny"/>
    <w:semiHidden/>
    <w:rsid w:val="00D1288A"/>
    <w:pPr>
      <w:jc w:val="both"/>
    </w:pPr>
    <w:rPr>
      <w:sz w:val="20"/>
    </w:rPr>
  </w:style>
  <w:style w:type="character" w:styleId="Odwoanieprzypisudolnego">
    <w:name w:val="footnote reference"/>
    <w:semiHidden/>
    <w:rsid w:val="00D1288A"/>
    <w:rPr>
      <w:vertAlign w:val="superscript"/>
    </w:rPr>
  </w:style>
  <w:style w:type="paragraph" w:customStyle="1" w:styleId="JuHi">
    <w:name w:val="Ju_H_i"/>
    <w:basedOn w:val="JuHa0"/>
    <w:next w:val="JuPara"/>
    <w:rsid w:val="00D1288A"/>
    <w:pPr>
      <w:tabs>
        <w:tab w:val="clear" w:pos="975"/>
        <w:tab w:val="left" w:pos="1191"/>
      </w:tabs>
      <w:ind w:left="1190" w:hanging="357"/>
      <w:outlineLvl w:val="5"/>
    </w:pPr>
    <w:rPr>
      <w:b w:val="0"/>
      <w:i/>
    </w:rPr>
  </w:style>
  <w:style w:type="paragraph" w:styleId="Nagwek">
    <w:name w:val="header"/>
    <w:basedOn w:val="NormalTimesNewRoman"/>
    <w:rsid w:val="00D1288A"/>
    <w:pPr>
      <w:tabs>
        <w:tab w:val="center" w:pos="3686"/>
        <w:tab w:val="right" w:pos="7371"/>
      </w:tabs>
    </w:pPr>
    <w:rPr>
      <w:sz w:val="18"/>
    </w:rPr>
  </w:style>
  <w:style w:type="character" w:styleId="Numerstrony">
    <w:name w:val="page number"/>
    <w:rsid w:val="00D1288A"/>
    <w:rPr>
      <w:sz w:val="18"/>
    </w:rPr>
  </w:style>
  <w:style w:type="paragraph" w:customStyle="1" w:styleId="JuH">
    <w:name w:val="Ju_H_–"/>
    <w:basedOn w:val="JuHalpha"/>
    <w:next w:val="JuPara"/>
    <w:rsid w:val="00D1288A"/>
    <w:pPr>
      <w:tabs>
        <w:tab w:val="clear" w:pos="1372"/>
      </w:tabs>
      <w:ind w:left="1236" w:firstLine="0"/>
    </w:pPr>
    <w:rPr>
      <w:i/>
    </w:rPr>
  </w:style>
  <w:style w:type="paragraph" w:customStyle="1" w:styleId="JuHalpha">
    <w:name w:val="Ju_H_alpha"/>
    <w:basedOn w:val="JuHi"/>
    <w:next w:val="JuPara"/>
    <w:rsid w:val="00D1288A"/>
    <w:pPr>
      <w:tabs>
        <w:tab w:val="clear" w:pos="1191"/>
        <w:tab w:val="left" w:pos="1372"/>
      </w:tabs>
      <w:ind w:left="1373" w:hanging="335"/>
    </w:pPr>
    <w:rPr>
      <w:i w:val="0"/>
    </w:rPr>
  </w:style>
  <w:style w:type="paragraph" w:customStyle="1" w:styleId="JuLista">
    <w:name w:val="Ju_List_a"/>
    <w:basedOn w:val="JuList"/>
    <w:rsid w:val="00D1288A"/>
    <w:pPr>
      <w:ind w:left="346" w:firstLine="0"/>
    </w:pPr>
  </w:style>
  <w:style w:type="paragraph" w:customStyle="1" w:styleId="JuListi">
    <w:name w:val="Ju_List_i"/>
    <w:basedOn w:val="JuLista"/>
    <w:rsid w:val="00D1288A"/>
    <w:pPr>
      <w:ind w:left="794"/>
    </w:pPr>
  </w:style>
  <w:style w:type="character" w:styleId="Odwoaniedokomentarza">
    <w:name w:val="annotation reference"/>
    <w:semiHidden/>
    <w:rPr>
      <w:sz w:val="16"/>
    </w:rPr>
  </w:style>
  <w:style w:type="paragraph" w:styleId="Tekstkomentarza">
    <w:name w:val="annotation text"/>
    <w:basedOn w:val="Normalny"/>
    <w:semiHidden/>
    <w:rPr>
      <w:sz w:val="20"/>
    </w:rPr>
  </w:style>
  <w:style w:type="paragraph" w:customStyle="1" w:styleId="JuInitialled">
    <w:name w:val="Ju_Initialled"/>
    <w:basedOn w:val="JuSigned"/>
    <w:rsid w:val="00D1288A"/>
    <w:pPr>
      <w:tabs>
        <w:tab w:val="clear" w:pos="851"/>
      </w:tabs>
      <w:jc w:val="right"/>
    </w:pPr>
  </w:style>
  <w:style w:type="paragraph" w:customStyle="1" w:styleId="JuHeader">
    <w:name w:val="Ju_Header"/>
    <w:basedOn w:val="Nagwek"/>
    <w:rsid w:val="00D1288A"/>
  </w:style>
  <w:style w:type="paragraph" w:customStyle="1" w:styleId="DecHTitle">
    <w:name w:val="Dec_H_Title"/>
    <w:basedOn w:val="Normalny"/>
    <w:uiPriority w:val="99"/>
    <w:rsid w:val="0037228D"/>
    <w:pPr>
      <w:spacing w:after="240"/>
      <w:jc w:val="center"/>
      <w:outlineLvl w:val="0"/>
    </w:pPr>
    <w:rPr>
      <w:sz w:val="28"/>
    </w:rPr>
  </w:style>
  <w:style w:type="paragraph" w:customStyle="1" w:styleId="DecHCase">
    <w:name w:val="Dec_H_Case"/>
    <w:basedOn w:val="DecHTitle"/>
    <w:next w:val="JuPara"/>
    <w:rsid w:val="00302008"/>
    <w:rPr>
      <w:sz w:val="24"/>
    </w:rPr>
  </w:style>
  <w:style w:type="paragraph" w:customStyle="1" w:styleId="DecList">
    <w:name w:val="Dec_List"/>
    <w:basedOn w:val="Normalny"/>
    <w:rsid w:val="0037228D"/>
    <w:pPr>
      <w:spacing w:before="240"/>
      <w:ind w:left="284"/>
      <w:jc w:val="both"/>
    </w:pPr>
  </w:style>
  <w:style w:type="paragraph" w:customStyle="1" w:styleId="JuParaSub">
    <w:name w:val="Ju_Para_Sub"/>
    <w:basedOn w:val="JuPara"/>
    <w:rsid w:val="00D1288A"/>
    <w:pPr>
      <w:ind w:left="284"/>
    </w:pPr>
    <w:rPr>
      <w:szCs w:val="24"/>
    </w:rPr>
  </w:style>
  <w:style w:type="paragraph" w:customStyle="1" w:styleId="JuQuotSub">
    <w:name w:val="Ju_Quot_Sub"/>
    <w:basedOn w:val="JuQuot"/>
    <w:rsid w:val="00D1288A"/>
    <w:pPr>
      <w:ind w:left="567"/>
    </w:pPr>
  </w:style>
  <w:style w:type="paragraph" w:styleId="Tekstdymka">
    <w:name w:val="Balloon Text"/>
    <w:basedOn w:val="Normalny"/>
    <w:semiHidden/>
    <w:rsid w:val="00457A18"/>
    <w:rPr>
      <w:rFonts w:ascii="Tahoma" w:hAnsi="Tahoma" w:cs="Tahoma"/>
      <w:sz w:val="16"/>
      <w:szCs w:val="16"/>
    </w:rPr>
  </w:style>
  <w:style w:type="paragraph" w:styleId="Tematkomentarza">
    <w:name w:val="annotation subject"/>
    <w:basedOn w:val="Tekstkomentarza"/>
    <w:next w:val="Tekstkomentarza"/>
    <w:semiHidden/>
    <w:rsid w:val="00D353F4"/>
    <w:rPr>
      <w:b/>
      <w:bCs/>
    </w:rPr>
  </w:style>
  <w:style w:type="character" w:styleId="Odwoanieprzypisukocowego">
    <w:name w:val="endnote reference"/>
    <w:semiHidden/>
    <w:rsid w:val="00D1288A"/>
    <w:rPr>
      <w:vertAlign w:val="superscript"/>
    </w:rPr>
  </w:style>
  <w:style w:type="paragraph" w:styleId="Tekstprzypisukocowego">
    <w:name w:val="endnote text"/>
    <w:basedOn w:val="Normalny"/>
    <w:semiHidden/>
    <w:rsid w:val="00D1288A"/>
    <w:rPr>
      <w:sz w:val="20"/>
    </w:rPr>
  </w:style>
  <w:style w:type="character" w:styleId="UyteHipercze">
    <w:name w:val="FollowedHyperlink"/>
    <w:rsid w:val="00D1288A"/>
    <w:rPr>
      <w:color w:val="800080"/>
      <w:u w:val="single"/>
    </w:rPr>
  </w:style>
  <w:style w:type="paragraph" w:customStyle="1" w:styleId="SuCoverTitle1">
    <w:name w:val="Su_Cover_Title1"/>
    <w:basedOn w:val="Normalny"/>
    <w:next w:val="SuCoverTitle2"/>
    <w:rsid w:val="0037228D"/>
    <w:pPr>
      <w:spacing w:before="2500"/>
      <w:jc w:val="center"/>
    </w:pPr>
    <w:rPr>
      <w:sz w:val="22"/>
    </w:rPr>
  </w:style>
  <w:style w:type="paragraph" w:customStyle="1" w:styleId="SuCoverTitle2">
    <w:name w:val="Su_Cover_Title2"/>
    <w:basedOn w:val="SuCoverTitle1"/>
    <w:next w:val="Normalny"/>
    <w:rsid w:val="00864209"/>
    <w:pPr>
      <w:spacing w:before="240"/>
    </w:pPr>
    <w:rPr>
      <w:sz w:val="18"/>
    </w:rPr>
  </w:style>
  <w:style w:type="paragraph" w:customStyle="1" w:styleId="SuPara">
    <w:name w:val="Su_Para"/>
    <w:basedOn w:val="SuKeywords"/>
    <w:rsid w:val="00864209"/>
    <w:pPr>
      <w:spacing w:before="0" w:after="0"/>
    </w:pPr>
    <w:rPr>
      <w:i w:val="0"/>
    </w:rPr>
  </w:style>
  <w:style w:type="paragraph" w:customStyle="1" w:styleId="SuKeywords">
    <w:name w:val="Su_Keywords"/>
    <w:basedOn w:val="SuHHead"/>
    <w:rsid w:val="00864209"/>
    <w:pPr>
      <w:spacing w:before="120"/>
    </w:pPr>
    <w:rPr>
      <w:b w:val="0"/>
      <w:i/>
    </w:rPr>
  </w:style>
  <w:style w:type="paragraph" w:customStyle="1" w:styleId="SuHHead">
    <w:name w:val="Su_H_Head"/>
    <w:basedOn w:val="SuSubject"/>
    <w:rsid w:val="00864209"/>
    <w:pPr>
      <w:spacing w:after="120"/>
    </w:pPr>
  </w:style>
  <w:style w:type="paragraph" w:customStyle="1" w:styleId="SuSubject">
    <w:name w:val="Su_Subject"/>
    <w:basedOn w:val="SuSummary"/>
    <w:rsid w:val="00864209"/>
    <w:pPr>
      <w:suppressAutoHyphens w:val="0"/>
      <w:spacing w:before="360"/>
      <w:jc w:val="both"/>
    </w:pPr>
    <w:rPr>
      <w:b/>
      <w:sz w:val="22"/>
    </w:rPr>
  </w:style>
  <w:style w:type="paragraph" w:customStyle="1" w:styleId="SuSummary">
    <w:name w:val="Su_Summary"/>
    <w:basedOn w:val="Normalny"/>
    <w:next w:val="SuSubject"/>
    <w:rsid w:val="0037228D"/>
    <w:pPr>
      <w:spacing w:after="240"/>
      <w:jc w:val="center"/>
    </w:pPr>
  </w:style>
  <w:style w:type="paragraph" w:customStyle="1" w:styleId="OpiParaSub">
    <w:name w:val="Opi_Para_Sub"/>
    <w:basedOn w:val="JuParaSub"/>
    <w:rsid w:val="00302008"/>
  </w:style>
  <w:style w:type="paragraph" w:customStyle="1" w:styleId="OpiQuotSub">
    <w:name w:val="Opi_Quot_Sub"/>
    <w:basedOn w:val="JuQuotSub"/>
    <w:rsid w:val="00302008"/>
  </w:style>
  <w:style w:type="character" w:styleId="Hipercze">
    <w:name w:val="Hyperlink"/>
    <w:rsid w:val="00D1288A"/>
    <w:rPr>
      <w:color w:val="0000FF"/>
      <w:u w:val="single"/>
    </w:rPr>
  </w:style>
  <w:style w:type="character" w:styleId="Pogrubienie">
    <w:name w:val="Strong"/>
    <w:qFormat/>
    <w:rsid w:val="00AA7CA2"/>
    <w:rPr>
      <w:b/>
      <w:bCs/>
    </w:rPr>
  </w:style>
  <w:style w:type="paragraph" w:styleId="Mapadokumentu">
    <w:name w:val="Document Map"/>
    <w:basedOn w:val="Normalny"/>
    <w:semiHidden/>
    <w:rsid w:val="008824B9"/>
    <w:pPr>
      <w:shd w:val="clear" w:color="auto" w:fill="000080"/>
    </w:pPr>
    <w:rPr>
      <w:rFonts w:ascii="Tahoma" w:hAnsi="Tahoma" w:cs="Tahoma"/>
      <w:sz w:val="20"/>
    </w:rPr>
  </w:style>
  <w:style w:type="character" w:customStyle="1" w:styleId="JuNames">
    <w:name w:val="Ju_Names"/>
    <w:rsid w:val="00D1288A"/>
    <w:rPr>
      <w:smallCaps/>
    </w:rPr>
  </w:style>
  <w:style w:type="paragraph" w:customStyle="1" w:styleId="NormalJustified">
    <w:name w:val="Normal_Justified"/>
    <w:basedOn w:val="Normalny"/>
    <w:rsid w:val="008824B9"/>
    <w:pPr>
      <w:jc w:val="both"/>
    </w:pPr>
  </w:style>
  <w:style w:type="paragraph" w:customStyle="1" w:styleId="JuAppQuestion">
    <w:name w:val="Ju_App_Question"/>
    <w:basedOn w:val="Listapunktowana"/>
    <w:rsid w:val="00D1288A"/>
    <w:pPr>
      <w:numPr>
        <w:numId w:val="6"/>
      </w:numPr>
      <w:suppressAutoHyphens w:val="0"/>
    </w:pPr>
    <w:rPr>
      <w:b/>
      <w:color w:val="333333"/>
    </w:rPr>
  </w:style>
  <w:style w:type="paragraph" w:styleId="Listapunktowana">
    <w:name w:val="List Bullet"/>
    <w:basedOn w:val="Normalny"/>
    <w:rsid w:val="008824B9"/>
    <w:pPr>
      <w:numPr>
        <w:numId w:val="2"/>
      </w:numPr>
    </w:pPr>
  </w:style>
  <w:style w:type="paragraph" w:customStyle="1" w:styleId="NormalTimesNewRoman">
    <w:name w:val="Normal_TimesNewRoman"/>
    <w:rsid w:val="00D1288A"/>
    <w:rPr>
      <w:sz w:val="24"/>
      <w:lang w:val="en-GB" w:eastAsia="fr-FR"/>
    </w:rPr>
  </w:style>
  <w:style w:type="character" w:customStyle="1" w:styleId="JuITMark">
    <w:name w:val="Ju_ITMark"/>
    <w:rsid w:val="00D1288A"/>
    <w:rPr>
      <w:rFonts w:ascii="Times New Roman" w:hAnsi="Times New Roman"/>
      <w:vanish/>
      <w:color w:val="339966"/>
      <w:sz w:val="16"/>
      <w:szCs w:val="16"/>
      <w:lang w:val="fi-FI"/>
    </w:rPr>
  </w:style>
  <w:style w:type="paragraph" w:customStyle="1" w:styleId="JuTitle">
    <w:name w:val="Ju_Title"/>
    <w:basedOn w:val="JuHHead"/>
    <w:next w:val="JuPara"/>
    <w:rsid w:val="00D1288A"/>
    <w:pPr>
      <w:jc w:val="center"/>
    </w:pPr>
    <w:rPr>
      <w:b/>
      <w:caps/>
      <w:sz w:val="24"/>
      <w:szCs w:val="24"/>
      <w:u w:val="single"/>
    </w:rPr>
  </w:style>
  <w:style w:type="character" w:customStyle="1" w:styleId="JuParaCar">
    <w:name w:val="Ju_Para Car"/>
    <w:rsid w:val="00E5718B"/>
    <w:rPr>
      <w:sz w:val="24"/>
      <w:lang w:val="en-GB" w:eastAsia="fr-FR" w:bidi="ar-SA"/>
    </w:rPr>
  </w:style>
  <w:style w:type="character" w:customStyle="1" w:styleId="hl">
    <w:name w:val="hl"/>
    <w:basedOn w:val="Domylnaczcionkaakapitu"/>
    <w:rsid w:val="00E5718B"/>
  </w:style>
  <w:style w:type="character" w:customStyle="1" w:styleId="hd--char">
    <w:name w:val="hd--char"/>
    <w:basedOn w:val="Domylnaczcionkaakapitu"/>
    <w:rsid w:val="00E5718B"/>
  </w:style>
  <w:style w:type="character" w:customStyle="1" w:styleId="ju-005fpara-002cleft-002cfirst-0020line-003a-0020-00200-0020cm--char">
    <w:name w:val="ju-005fpara-002cleft-002cfirst-0020line-003a-0020-00200-0020cm--char"/>
    <w:basedOn w:val="Domylnaczcionkaakapitu"/>
    <w:rsid w:val="003C5526"/>
  </w:style>
  <w:style w:type="character" w:customStyle="1" w:styleId="ju--005fpara----char--char">
    <w:name w:val="ju--005fpara----char--char"/>
    <w:basedOn w:val="Domylnaczcionkaakapitu"/>
    <w:rsid w:val="003C5526"/>
  </w:style>
  <w:style w:type="character" w:customStyle="1" w:styleId="ju--005fpara--002cleft--002cfirst--0020line--003a--0020--00200--0020cm----char--char">
    <w:name w:val="ju--005fpara--002cleft--002cfirst--0020line--003a--0020--00200--0020cm----char--char"/>
    <w:basedOn w:val="Domylnaczcionkaakapitu"/>
    <w:rsid w:val="00A02A8A"/>
  </w:style>
  <w:style w:type="character" w:customStyle="1" w:styleId="s10">
    <w:name w:val="s_10"/>
    <w:basedOn w:val="Domylnaczcionkaakapitu"/>
    <w:rsid w:val="00186CF0"/>
  </w:style>
  <w:style w:type="paragraph" w:customStyle="1" w:styleId="s30eec3f8">
    <w:name w:val="s30eec3f8"/>
    <w:basedOn w:val="Normalny"/>
    <w:rsid w:val="0024091B"/>
    <w:pPr>
      <w:suppressAutoHyphens w:val="0"/>
      <w:spacing w:before="100" w:beforeAutospacing="1" w:after="100" w:afterAutospacing="1"/>
    </w:pPr>
    <w:rPr>
      <w:szCs w:val="24"/>
      <w:lang w:eastAsia="en-GB"/>
    </w:rPr>
  </w:style>
  <w:style w:type="character" w:customStyle="1" w:styleId="sb8d990e2">
    <w:name w:val="sb8d990e2"/>
    <w:basedOn w:val="Domylnaczcionkaakapitu"/>
    <w:rsid w:val="0024091B"/>
  </w:style>
  <w:style w:type="character" w:customStyle="1" w:styleId="s6b621b36">
    <w:name w:val="s6b621b36"/>
    <w:basedOn w:val="Domylnaczcionkaakapitu"/>
    <w:rsid w:val="0024091B"/>
  </w:style>
  <w:style w:type="paragraph" w:customStyle="1" w:styleId="sb9059d72">
    <w:name w:val="sb9059d72"/>
    <w:basedOn w:val="Normalny"/>
    <w:rsid w:val="00492021"/>
    <w:pPr>
      <w:suppressAutoHyphens w:val="0"/>
      <w:spacing w:before="100" w:beforeAutospacing="1" w:after="100" w:afterAutospacing="1"/>
    </w:pPr>
    <w:rPr>
      <w:szCs w:val="24"/>
      <w:lang w:eastAsia="en-GB"/>
    </w:rPr>
  </w:style>
  <w:style w:type="paragraph" w:customStyle="1" w:styleId="s2c778a47">
    <w:name w:val="s2c778a47"/>
    <w:basedOn w:val="Normalny"/>
    <w:rsid w:val="00492021"/>
    <w:pPr>
      <w:suppressAutoHyphens w:val="0"/>
      <w:spacing w:before="100" w:beforeAutospacing="1" w:after="100" w:afterAutospacing="1"/>
    </w:pPr>
    <w:rPr>
      <w:szCs w:val="24"/>
      <w:lang w:eastAsia="en-GB"/>
    </w:rPr>
  </w:style>
  <w:style w:type="character" w:customStyle="1" w:styleId="sfbbfee58">
    <w:name w:val="sfbbfee58"/>
    <w:basedOn w:val="Domylnaczcionkaakapitu"/>
    <w:rsid w:val="00492021"/>
  </w:style>
  <w:style w:type="paragraph" w:customStyle="1" w:styleId="se5d6d4c3">
    <w:name w:val="se5d6d4c3"/>
    <w:basedOn w:val="Normalny"/>
    <w:rsid w:val="00CD48F5"/>
    <w:pPr>
      <w:suppressAutoHyphens w:val="0"/>
      <w:spacing w:before="100" w:beforeAutospacing="1" w:after="100" w:afterAutospacing="1"/>
    </w:pPr>
    <w:rPr>
      <w:szCs w:val="24"/>
      <w:lang w:eastAsia="en-GB"/>
    </w:rPr>
  </w:style>
  <w:style w:type="character" w:customStyle="1" w:styleId="sdfc50a6a">
    <w:name w:val="sdfc50a6a"/>
    <w:basedOn w:val="Domylnaczcionkaakapitu"/>
    <w:rsid w:val="00CD48F5"/>
  </w:style>
  <w:style w:type="paragraph" w:customStyle="1" w:styleId="s9e9b0cd7">
    <w:name w:val="s9e9b0cd7"/>
    <w:basedOn w:val="Normalny"/>
    <w:rsid w:val="00CD48F5"/>
    <w:pPr>
      <w:suppressAutoHyphens w:val="0"/>
      <w:spacing w:before="100" w:beforeAutospacing="1" w:after="100" w:afterAutospacing="1"/>
    </w:pPr>
    <w:rPr>
      <w:szCs w:val="24"/>
      <w:lang w:eastAsia="en-GB"/>
    </w:rPr>
  </w:style>
  <w:style w:type="character" w:customStyle="1" w:styleId="s508a6721">
    <w:name w:val="s508a6721"/>
    <w:basedOn w:val="Domylnaczcionkaakapitu"/>
    <w:rsid w:val="00CD48F5"/>
  </w:style>
  <w:style w:type="paragraph" w:customStyle="1" w:styleId="s70227c73">
    <w:name w:val="s70227c73"/>
    <w:basedOn w:val="Normalny"/>
    <w:rsid w:val="00CD48F5"/>
    <w:pPr>
      <w:suppressAutoHyphens w:val="0"/>
      <w:spacing w:before="100" w:beforeAutospacing="1" w:after="100" w:afterAutospacing="1"/>
    </w:pPr>
    <w:rPr>
      <w:szCs w:val="24"/>
      <w:lang w:eastAsia="en-GB"/>
    </w:rPr>
  </w:style>
  <w:style w:type="character" w:customStyle="1" w:styleId="s7d2086b4">
    <w:name w:val="s7d2086b4"/>
    <w:basedOn w:val="Domylnaczcionkaakapitu"/>
    <w:rsid w:val="007501E0"/>
  </w:style>
  <w:style w:type="character" w:customStyle="1" w:styleId="wordhighlighted">
    <w:name w:val="wordhighlighted"/>
    <w:basedOn w:val="Domylnaczcionkaakapitu"/>
    <w:rsid w:val="002C32F8"/>
  </w:style>
  <w:style w:type="character" w:customStyle="1" w:styleId="ju----005fpara----002cleft----002cfirst----0020line----003a----0020----00200----0020cm--------char----char--char">
    <w:name w:val="ju----005fpara----002cleft----002cfirst----0020line----003a----0020----00200----0020cm--------char----char--char"/>
    <w:rsid w:val="00E43A1C"/>
    <w:rPr>
      <w:rFonts w:cs="Times New Roman"/>
    </w:rPr>
  </w:style>
  <w:style w:type="character" w:customStyle="1" w:styleId="wordhighlightedcurrentterm">
    <w:name w:val="wordhighlighted currentterm"/>
    <w:basedOn w:val="Domylnaczcionkaakapitu"/>
    <w:rsid w:val="005C5142"/>
  </w:style>
  <w:style w:type="character" w:customStyle="1" w:styleId="link">
    <w:name w:val="link"/>
    <w:rsid w:val="003607A9"/>
    <w:rPr>
      <w:strike w:val="0"/>
      <w:dstrike w:val="0"/>
      <w:color w:val="008000"/>
      <w:sz w:val="20"/>
      <w:szCs w:val="20"/>
      <w:u w:val="none"/>
      <w:effect w:val="none"/>
    </w:rPr>
  </w:style>
  <w:style w:type="character" w:customStyle="1" w:styleId="s101">
    <w:name w:val="s_101"/>
    <w:rsid w:val="00940D4C"/>
    <w:rPr>
      <w:b/>
      <w:bCs/>
      <w:strike w:val="0"/>
      <w:dstrike w:val="0"/>
      <w:color w:val="000080"/>
      <w:sz w:val="20"/>
      <w:szCs w:val="20"/>
      <w:u w:val="none"/>
      <w:effect w:val="none"/>
    </w:rPr>
  </w:style>
  <w:style w:type="character" w:customStyle="1" w:styleId="versioncommenttitle1">
    <w:name w:val="versioncommenttitle1"/>
    <w:rsid w:val="00940D4C"/>
    <w:rPr>
      <w:b w:val="0"/>
      <w:bCs w:val="0"/>
      <w:i/>
      <w:iCs/>
      <w:strike w:val="0"/>
      <w:dstrike w:val="0"/>
      <w:vanish/>
      <w:webHidden w:val="0"/>
      <w:color w:val="000000"/>
      <w:sz w:val="20"/>
      <w:szCs w:val="20"/>
      <w:u w:val="none"/>
      <w:effect w:val="none"/>
      <w:specVanish w:val="0"/>
    </w:rPr>
  </w:style>
  <w:style w:type="paragraph" w:customStyle="1" w:styleId="jupara0">
    <w:name w:val="jupara"/>
    <w:basedOn w:val="Normalny"/>
    <w:rsid w:val="003960A7"/>
    <w:pPr>
      <w:suppressAutoHyphens w:val="0"/>
      <w:ind w:firstLine="284"/>
      <w:jc w:val="both"/>
    </w:pPr>
    <w:rPr>
      <w:szCs w:val="24"/>
      <w:lang w:eastAsia="en-GB"/>
    </w:rPr>
  </w:style>
  <w:style w:type="paragraph" w:customStyle="1" w:styleId="jucase0">
    <w:name w:val="jucase"/>
    <w:basedOn w:val="Normalny"/>
    <w:rsid w:val="003960A7"/>
    <w:pPr>
      <w:suppressAutoHyphens w:val="0"/>
      <w:ind w:firstLine="284"/>
      <w:jc w:val="both"/>
    </w:pPr>
    <w:rPr>
      <w:b/>
      <w:bCs/>
      <w:szCs w:val="24"/>
      <w:lang w:eastAsia="en-GB"/>
    </w:rPr>
  </w:style>
  <w:style w:type="paragraph" w:styleId="Tekstpodstawowy">
    <w:name w:val="Body Text"/>
    <w:basedOn w:val="Normalny"/>
    <w:link w:val="TekstpodstawowyZnak"/>
    <w:rsid w:val="008008C0"/>
    <w:pPr>
      <w:spacing w:after="120"/>
    </w:pPr>
  </w:style>
  <w:style w:type="character" w:customStyle="1" w:styleId="TekstpodstawowyZnak">
    <w:name w:val="Tekst podstawowy Znak"/>
    <w:basedOn w:val="Domylnaczcionkaakapitu"/>
    <w:link w:val="Tekstpodstawowy"/>
    <w:rsid w:val="008008C0"/>
    <w:rPr>
      <w:sz w:val="24"/>
      <w:lang w:val="en-GB" w:eastAsia="fr-FR"/>
    </w:rPr>
  </w:style>
  <w:style w:type="paragraph" w:customStyle="1" w:styleId="s6e50bd9a">
    <w:name w:val="s6e50bd9a"/>
    <w:basedOn w:val="Normalny"/>
    <w:uiPriority w:val="99"/>
    <w:rsid w:val="00971CBB"/>
    <w:pPr>
      <w:suppressAutoHyphens w:val="0"/>
      <w:spacing w:before="100" w:beforeAutospacing="1" w:after="100" w:afterAutospacing="1"/>
    </w:pPr>
    <w:rPr>
      <w:szCs w:val="24"/>
      <w:lang w:val="pl-PL" w:eastAsia="pl-PL"/>
    </w:rPr>
  </w:style>
  <w:style w:type="paragraph" w:customStyle="1" w:styleId="s746c8714">
    <w:name w:val="s746c8714"/>
    <w:basedOn w:val="Normalny"/>
    <w:uiPriority w:val="99"/>
    <w:rsid w:val="00971CBB"/>
    <w:pPr>
      <w:suppressAutoHyphens w:val="0"/>
      <w:spacing w:before="100" w:beforeAutospacing="1" w:after="100" w:afterAutospacing="1"/>
    </w:pPr>
    <w:rPr>
      <w:szCs w:val="24"/>
      <w:lang w:val="pl-PL" w:eastAsia="pl-PL"/>
    </w:rPr>
  </w:style>
  <w:style w:type="character" w:customStyle="1" w:styleId="s4f807e54">
    <w:name w:val="s4f807e54"/>
    <w:basedOn w:val="Domylnaczcionkaakapitu"/>
    <w:rsid w:val="00971C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583736">
      <w:bodyDiv w:val="1"/>
      <w:marLeft w:val="0"/>
      <w:marRight w:val="0"/>
      <w:marTop w:val="0"/>
      <w:marBottom w:val="0"/>
      <w:divBdr>
        <w:top w:val="none" w:sz="0" w:space="0" w:color="auto"/>
        <w:left w:val="none" w:sz="0" w:space="0" w:color="auto"/>
        <w:bottom w:val="none" w:sz="0" w:space="0" w:color="auto"/>
        <w:right w:val="none" w:sz="0" w:space="0" w:color="auto"/>
      </w:divBdr>
      <w:divsChild>
        <w:div w:id="1039745172">
          <w:marLeft w:val="0"/>
          <w:marRight w:val="0"/>
          <w:marTop w:val="0"/>
          <w:marBottom w:val="0"/>
          <w:divBdr>
            <w:top w:val="none" w:sz="0" w:space="0" w:color="auto"/>
            <w:left w:val="none" w:sz="0" w:space="0" w:color="auto"/>
            <w:bottom w:val="none" w:sz="0" w:space="0" w:color="auto"/>
            <w:right w:val="none" w:sz="0" w:space="0" w:color="auto"/>
          </w:divBdr>
          <w:divsChild>
            <w:div w:id="273948806">
              <w:marLeft w:val="0"/>
              <w:marRight w:val="0"/>
              <w:marTop w:val="0"/>
              <w:marBottom w:val="0"/>
              <w:divBdr>
                <w:top w:val="none" w:sz="0" w:space="0" w:color="auto"/>
                <w:left w:val="none" w:sz="0" w:space="0" w:color="auto"/>
                <w:bottom w:val="none" w:sz="0" w:space="0" w:color="auto"/>
                <w:right w:val="none" w:sz="0" w:space="0" w:color="auto"/>
              </w:divBdr>
              <w:divsChild>
                <w:div w:id="1533810763">
                  <w:marLeft w:val="0"/>
                  <w:marRight w:val="0"/>
                  <w:marTop w:val="0"/>
                  <w:marBottom w:val="0"/>
                  <w:divBdr>
                    <w:top w:val="none" w:sz="0" w:space="0" w:color="auto"/>
                    <w:left w:val="none" w:sz="0" w:space="0" w:color="auto"/>
                    <w:bottom w:val="none" w:sz="0" w:space="0" w:color="auto"/>
                    <w:right w:val="none" w:sz="0" w:space="0" w:color="auto"/>
                  </w:divBdr>
                  <w:divsChild>
                    <w:div w:id="730469606">
                      <w:marLeft w:val="0"/>
                      <w:marRight w:val="0"/>
                      <w:marTop w:val="0"/>
                      <w:marBottom w:val="0"/>
                      <w:divBdr>
                        <w:top w:val="none" w:sz="0" w:space="0" w:color="auto"/>
                        <w:left w:val="none" w:sz="0" w:space="0" w:color="auto"/>
                        <w:bottom w:val="none" w:sz="0" w:space="0" w:color="auto"/>
                        <w:right w:val="none" w:sz="0" w:space="0" w:color="auto"/>
                      </w:divBdr>
                      <w:divsChild>
                        <w:div w:id="1842348734">
                          <w:marLeft w:val="0"/>
                          <w:marRight w:val="0"/>
                          <w:marTop w:val="0"/>
                          <w:marBottom w:val="0"/>
                          <w:divBdr>
                            <w:top w:val="none" w:sz="0" w:space="0" w:color="auto"/>
                            <w:left w:val="none" w:sz="0" w:space="0" w:color="auto"/>
                            <w:bottom w:val="none" w:sz="0" w:space="0" w:color="auto"/>
                            <w:right w:val="none" w:sz="0" w:space="0" w:color="auto"/>
                          </w:divBdr>
                          <w:divsChild>
                            <w:div w:id="128523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292425">
      <w:bodyDiv w:val="1"/>
      <w:marLeft w:val="0"/>
      <w:marRight w:val="0"/>
      <w:marTop w:val="0"/>
      <w:marBottom w:val="0"/>
      <w:divBdr>
        <w:top w:val="none" w:sz="0" w:space="0" w:color="auto"/>
        <w:left w:val="none" w:sz="0" w:space="0" w:color="auto"/>
        <w:bottom w:val="none" w:sz="0" w:space="0" w:color="auto"/>
        <w:right w:val="none" w:sz="0" w:space="0" w:color="auto"/>
      </w:divBdr>
      <w:divsChild>
        <w:div w:id="646472631">
          <w:marLeft w:val="0"/>
          <w:marRight w:val="0"/>
          <w:marTop w:val="0"/>
          <w:marBottom w:val="0"/>
          <w:divBdr>
            <w:top w:val="none" w:sz="0" w:space="0" w:color="auto"/>
            <w:left w:val="none" w:sz="0" w:space="0" w:color="auto"/>
            <w:bottom w:val="none" w:sz="0" w:space="0" w:color="auto"/>
            <w:right w:val="none" w:sz="0" w:space="0" w:color="auto"/>
          </w:divBdr>
          <w:divsChild>
            <w:div w:id="508564052">
              <w:marLeft w:val="0"/>
              <w:marRight w:val="0"/>
              <w:marTop w:val="0"/>
              <w:marBottom w:val="0"/>
              <w:divBdr>
                <w:top w:val="none" w:sz="0" w:space="0" w:color="auto"/>
                <w:left w:val="none" w:sz="0" w:space="0" w:color="auto"/>
                <w:bottom w:val="none" w:sz="0" w:space="0" w:color="auto"/>
                <w:right w:val="none" w:sz="0" w:space="0" w:color="auto"/>
              </w:divBdr>
            </w:div>
            <w:div w:id="1064834689">
              <w:marLeft w:val="0"/>
              <w:marRight w:val="0"/>
              <w:marTop w:val="0"/>
              <w:marBottom w:val="0"/>
              <w:divBdr>
                <w:top w:val="none" w:sz="0" w:space="0" w:color="auto"/>
                <w:left w:val="none" w:sz="0" w:space="0" w:color="auto"/>
                <w:bottom w:val="none" w:sz="0" w:space="0" w:color="auto"/>
                <w:right w:val="none" w:sz="0" w:space="0" w:color="auto"/>
              </w:divBdr>
            </w:div>
            <w:div w:id="1818447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527007">
      <w:bodyDiv w:val="1"/>
      <w:marLeft w:val="0"/>
      <w:marRight w:val="0"/>
      <w:marTop w:val="0"/>
      <w:marBottom w:val="0"/>
      <w:divBdr>
        <w:top w:val="none" w:sz="0" w:space="0" w:color="auto"/>
        <w:left w:val="none" w:sz="0" w:space="0" w:color="auto"/>
        <w:bottom w:val="none" w:sz="0" w:space="0" w:color="auto"/>
        <w:right w:val="none" w:sz="0" w:space="0" w:color="auto"/>
      </w:divBdr>
      <w:divsChild>
        <w:div w:id="499123367">
          <w:marLeft w:val="0"/>
          <w:marRight w:val="0"/>
          <w:marTop w:val="0"/>
          <w:marBottom w:val="0"/>
          <w:divBdr>
            <w:top w:val="none" w:sz="0" w:space="0" w:color="auto"/>
            <w:left w:val="none" w:sz="0" w:space="0" w:color="auto"/>
            <w:bottom w:val="none" w:sz="0" w:space="0" w:color="auto"/>
            <w:right w:val="none" w:sz="0" w:space="0" w:color="auto"/>
          </w:divBdr>
          <w:divsChild>
            <w:div w:id="346952109">
              <w:marLeft w:val="0"/>
              <w:marRight w:val="0"/>
              <w:marTop w:val="0"/>
              <w:marBottom w:val="0"/>
              <w:divBdr>
                <w:top w:val="none" w:sz="0" w:space="0" w:color="auto"/>
                <w:left w:val="none" w:sz="0" w:space="0" w:color="auto"/>
                <w:bottom w:val="none" w:sz="0" w:space="0" w:color="auto"/>
                <w:right w:val="none" w:sz="0" w:space="0" w:color="auto"/>
              </w:divBdr>
              <w:divsChild>
                <w:div w:id="836965007">
                  <w:marLeft w:val="0"/>
                  <w:marRight w:val="0"/>
                  <w:marTop w:val="0"/>
                  <w:marBottom w:val="0"/>
                  <w:divBdr>
                    <w:top w:val="none" w:sz="0" w:space="0" w:color="auto"/>
                    <w:left w:val="none" w:sz="0" w:space="0" w:color="auto"/>
                    <w:bottom w:val="none" w:sz="0" w:space="0" w:color="auto"/>
                    <w:right w:val="none" w:sz="0" w:space="0" w:color="auto"/>
                  </w:divBdr>
                  <w:divsChild>
                    <w:div w:id="855268403">
                      <w:marLeft w:val="0"/>
                      <w:marRight w:val="0"/>
                      <w:marTop w:val="0"/>
                      <w:marBottom w:val="0"/>
                      <w:divBdr>
                        <w:top w:val="none" w:sz="0" w:space="0" w:color="auto"/>
                        <w:left w:val="none" w:sz="0" w:space="0" w:color="auto"/>
                        <w:bottom w:val="none" w:sz="0" w:space="0" w:color="auto"/>
                        <w:right w:val="none" w:sz="0" w:space="0" w:color="auto"/>
                      </w:divBdr>
                      <w:divsChild>
                        <w:div w:id="627324092">
                          <w:marLeft w:val="0"/>
                          <w:marRight w:val="0"/>
                          <w:marTop w:val="0"/>
                          <w:marBottom w:val="0"/>
                          <w:divBdr>
                            <w:top w:val="none" w:sz="0" w:space="0" w:color="auto"/>
                            <w:left w:val="none" w:sz="0" w:space="0" w:color="auto"/>
                            <w:bottom w:val="none" w:sz="0" w:space="0" w:color="auto"/>
                            <w:right w:val="none" w:sz="0" w:space="0" w:color="auto"/>
                          </w:divBdr>
                          <w:divsChild>
                            <w:div w:id="1893955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0545583">
      <w:bodyDiv w:val="1"/>
      <w:marLeft w:val="0"/>
      <w:marRight w:val="0"/>
      <w:marTop w:val="0"/>
      <w:marBottom w:val="0"/>
      <w:divBdr>
        <w:top w:val="none" w:sz="0" w:space="0" w:color="auto"/>
        <w:left w:val="none" w:sz="0" w:space="0" w:color="auto"/>
        <w:bottom w:val="none" w:sz="0" w:space="0" w:color="auto"/>
        <w:right w:val="none" w:sz="0" w:space="0" w:color="auto"/>
      </w:divBdr>
      <w:divsChild>
        <w:div w:id="412774939">
          <w:marLeft w:val="0"/>
          <w:marRight w:val="0"/>
          <w:marTop w:val="0"/>
          <w:marBottom w:val="0"/>
          <w:divBdr>
            <w:top w:val="none" w:sz="0" w:space="0" w:color="auto"/>
            <w:left w:val="none" w:sz="0" w:space="0" w:color="auto"/>
            <w:bottom w:val="none" w:sz="0" w:space="0" w:color="auto"/>
            <w:right w:val="none" w:sz="0" w:space="0" w:color="auto"/>
          </w:divBdr>
        </w:div>
      </w:divsChild>
    </w:div>
    <w:div w:id="427851601">
      <w:bodyDiv w:val="1"/>
      <w:marLeft w:val="0"/>
      <w:marRight w:val="0"/>
      <w:marTop w:val="0"/>
      <w:marBottom w:val="0"/>
      <w:divBdr>
        <w:top w:val="none" w:sz="0" w:space="0" w:color="auto"/>
        <w:left w:val="none" w:sz="0" w:space="0" w:color="auto"/>
        <w:bottom w:val="none" w:sz="0" w:space="0" w:color="auto"/>
        <w:right w:val="none" w:sz="0" w:space="0" w:color="auto"/>
      </w:divBdr>
    </w:div>
    <w:div w:id="530650583">
      <w:bodyDiv w:val="1"/>
      <w:marLeft w:val="0"/>
      <w:marRight w:val="0"/>
      <w:marTop w:val="0"/>
      <w:marBottom w:val="0"/>
      <w:divBdr>
        <w:top w:val="none" w:sz="0" w:space="0" w:color="auto"/>
        <w:left w:val="none" w:sz="0" w:space="0" w:color="auto"/>
        <w:bottom w:val="none" w:sz="0" w:space="0" w:color="auto"/>
        <w:right w:val="none" w:sz="0" w:space="0" w:color="auto"/>
      </w:divBdr>
      <w:divsChild>
        <w:div w:id="869874209">
          <w:marLeft w:val="0"/>
          <w:marRight w:val="0"/>
          <w:marTop w:val="0"/>
          <w:marBottom w:val="0"/>
          <w:divBdr>
            <w:top w:val="none" w:sz="0" w:space="0" w:color="auto"/>
            <w:left w:val="none" w:sz="0" w:space="0" w:color="auto"/>
            <w:bottom w:val="none" w:sz="0" w:space="0" w:color="auto"/>
            <w:right w:val="none" w:sz="0" w:space="0" w:color="auto"/>
          </w:divBdr>
          <w:divsChild>
            <w:div w:id="320625962">
              <w:marLeft w:val="0"/>
              <w:marRight w:val="0"/>
              <w:marTop w:val="0"/>
              <w:marBottom w:val="0"/>
              <w:divBdr>
                <w:top w:val="none" w:sz="0" w:space="0" w:color="auto"/>
                <w:left w:val="none" w:sz="0" w:space="0" w:color="auto"/>
                <w:bottom w:val="none" w:sz="0" w:space="0" w:color="auto"/>
                <w:right w:val="none" w:sz="0" w:space="0" w:color="auto"/>
              </w:divBdr>
              <w:divsChild>
                <w:div w:id="796987737">
                  <w:marLeft w:val="0"/>
                  <w:marRight w:val="0"/>
                  <w:marTop w:val="0"/>
                  <w:marBottom w:val="0"/>
                  <w:divBdr>
                    <w:top w:val="none" w:sz="0" w:space="0" w:color="auto"/>
                    <w:left w:val="none" w:sz="0" w:space="0" w:color="auto"/>
                    <w:bottom w:val="none" w:sz="0" w:space="0" w:color="auto"/>
                    <w:right w:val="none" w:sz="0" w:space="0" w:color="auto"/>
                  </w:divBdr>
                  <w:divsChild>
                    <w:div w:id="1482503993">
                      <w:marLeft w:val="0"/>
                      <w:marRight w:val="0"/>
                      <w:marTop w:val="0"/>
                      <w:marBottom w:val="0"/>
                      <w:divBdr>
                        <w:top w:val="none" w:sz="0" w:space="0" w:color="auto"/>
                        <w:left w:val="none" w:sz="0" w:space="0" w:color="auto"/>
                        <w:bottom w:val="none" w:sz="0" w:space="0" w:color="auto"/>
                        <w:right w:val="none" w:sz="0" w:space="0" w:color="auto"/>
                      </w:divBdr>
                      <w:divsChild>
                        <w:div w:id="114910087">
                          <w:marLeft w:val="0"/>
                          <w:marRight w:val="0"/>
                          <w:marTop w:val="0"/>
                          <w:marBottom w:val="0"/>
                          <w:divBdr>
                            <w:top w:val="none" w:sz="0" w:space="0" w:color="auto"/>
                            <w:left w:val="none" w:sz="0" w:space="0" w:color="auto"/>
                            <w:bottom w:val="none" w:sz="0" w:space="0" w:color="auto"/>
                            <w:right w:val="none" w:sz="0" w:space="0" w:color="auto"/>
                          </w:divBdr>
                          <w:divsChild>
                            <w:div w:id="261649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7469267">
      <w:bodyDiv w:val="1"/>
      <w:marLeft w:val="0"/>
      <w:marRight w:val="0"/>
      <w:marTop w:val="0"/>
      <w:marBottom w:val="0"/>
      <w:divBdr>
        <w:top w:val="none" w:sz="0" w:space="0" w:color="auto"/>
        <w:left w:val="none" w:sz="0" w:space="0" w:color="auto"/>
        <w:bottom w:val="none" w:sz="0" w:space="0" w:color="auto"/>
        <w:right w:val="none" w:sz="0" w:space="0" w:color="auto"/>
      </w:divBdr>
    </w:div>
    <w:div w:id="814105022">
      <w:bodyDiv w:val="1"/>
      <w:marLeft w:val="0"/>
      <w:marRight w:val="0"/>
      <w:marTop w:val="0"/>
      <w:marBottom w:val="0"/>
      <w:divBdr>
        <w:top w:val="none" w:sz="0" w:space="0" w:color="auto"/>
        <w:left w:val="none" w:sz="0" w:space="0" w:color="auto"/>
        <w:bottom w:val="none" w:sz="0" w:space="0" w:color="auto"/>
        <w:right w:val="none" w:sz="0" w:space="0" w:color="auto"/>
      </w:divBdr>
      <w:divsChild>
        <w:div w:id="1401292358">
          <w:marLeft w:val="0"/>
          <w:marRight w:val="0"/>
          <w:marTop w:val="0"/>
          <w:marBottom w:val="0"/>
          <w:divBdr>
            <w:top w:val="none" w:sz="0" w:space="0" w:color="auto"/>
            <w:left w:val="none" w:sz="0" w:space="0" w:color="auto"/>
            <w:bottom w:val="none" w:sz="0" w:space="0" w:color="auto"/>
            <w:right w:val="none" w:sz="0" w:space="0" w:color="auto"/>
          </w:divBdr>
          <w:divsChild>
            <w:div w:id="55587409">
              <w:marLeft w:val="0"/>
              <w:marRight w:val="0"/>
              <w:marTop w:val="0"/>
              <w:marBottom w:val="0"/>
              <w:divBdr>
                <w:top w:val="none" w:sz="0" w:space="0" w:color="auto"/>
                <w:left w:val="none" w:sz="0" w:space="0" w:color="auto"/>
                <w:bottom w:val="none" w:sz="0" w:space="0" w:color="auto"/>
                <w:right w:val="none" w:sz="0" w:space="0" w:color="auto"/>
              </w:divBdr>
              <w:divsChild>
                <w:div w:id="1593123669">
                  <w:marLeft w:val="0"/>
                  <w:marRight w:val="0"/>
                  <w:marTop w:val="0"/>
                  <w:marBottom w:val="0"/>
                  <w:divBdr>
                    <w:top w:val="none" w:sz="0" w:space="0" w:color="auto"/>
                    <w:left w:val="none" w:sz="0" w:space="0" w:color="auto"/>
                    <w:bottom w:val="none" w:sz="0" w:space="0" w:color="auto"/>
                    <w:right w:val="none" w:sz="0" w:space="0" w:color="auto"/>
                  </w:divBdr>
                  <w:divsChild>
                    <w:div w:id="1126704149">
                      <w:marLeft w:val="0"/>
                      <w:marRight w:val="0"/>
                      <w:marTop w:val="0"/>
                      <w:marBottom w:val="0"/>
                      <w:divBdr>
                        <w:top w:val="none" w:sz="0" w:space="0" w:color="auto"/>
                        <w:left w:val="none" w:sz="0" w:space="0" w:color="auto"/>
                        <w:bottom w:val="none" w:sz="0" w:space="0" w:color="auto"/>
                        <w:right w:val="none" w:sz="0" w:space="0" w:color="auto"/>
                      </w:divBdr>
                      <w:divsChild>
                        <w:div w:id="423502919">
                          <w:marLeft w:val="0"/>
                          <w:marRight w:val="0"/>
                          <w:marTop w:val="0"/>
                          <w:marBottom w:val="0"/>
                          <w:divBdr>
                            <w:top w:val="none" w:sz="0" w:space="0" w:color="auto"/>
                            <w:left w:val="none" w:sz="0" w:space="0" w:color="auto"/>
                            <w:bottom w:val="none" w:sz="0" w:space="0" w:color="auto"/>
                            <w:right w:val="none" w:sz="0" w:space="0" w:color="auto"/>
                          </w:divBdr>
                          <w:divsChild>
                            <w:div w:id="497311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6260032">
      <w:bodyDiv w:val="1"/>
      <w:marLeft w:val="0"/>
      <w:marRight w:val="0"/>
      <w:marTop w:val="0"/>
      <w:marBottom w:val="0"/>
      <w:divBdr>
        <w:top w:val="none" w:sz="0" w:space="0" w:color="auto"/>
        <w:left w:val="none" w:sz="0" w:space="0" w:color="auto"/>
        <w:bottom w:val="none" w:sz="0" w:space="0" w:color="auto"/>
        <w:right w:val="none" w:sz="0" w:space="0" w:color="auto"/>
      </w:divBdr>
      <w:divsChild>
        <w:div w:id="1630016948">
          <w:marLeft w:val="0"/>
          <w:marRight w:val="0"/>
          <w:marTop w:val="0"/>
          <w:marBottom w:val="0"/>
          <w:divBdr>
            <w:top w:val="none" w:sz="0" w:space="0" w:color="auto"/>
            <w:left w:val="none" w:sz="0" w:space="0" w:color="auto"/>
            <w:bottom w:val="none" w:sz="0" w:space="0" w:color="auto"/>
            <w:right w:val="none" w:sz="0" w:space="0" w:color="auto"/>
          </w:divBdr>
          <w:divsChild>
            <w:div w:id="1480070204">
              <w:marLeft w:val="0"/>
              <w:marRight w:val="0"/>
              <w:marTop w:val="0"/>
              <w:marBottom w:val="0"/>
              <w:divBdr>
                <w:top w:val="none" w:sz="0" w:space="0" w:color="auto"/>
                <w:left w:val="none" w:sz="0" w:space="0" w:color="auto"/>
                <w:bottom w:val="none" w:sz="0" w:space="0" w:color="auto"/>
                <w:right w:val="none" w:sz="0" w:space="0" w:color="auto"/>
              </w:divBdr>
              <w:divsChild>
                <w:div w:id="1217014452">
                  <w:marLeft w:val="0"/>
                  <w:marRight w:val="0"/>
                  <w:marTop w:val="0"/>
                  <w:marBottom w:val="0"/>
                  <w:divBdr>
                    <w:top w:val="none" w:sz="0" w:space="0" w:color="auto"/>
                    <w:left w:val="none" w:sz="0" w:space="0" w:color="auto"/>
                    <w:bottom w:val="none" w:sz="0" w:space="0" w:color="auto"/>
                    <w:right w:val="none" w:sz="0" w:space="0" w:color="auto"/>
                  </w:divBdr>
                  <w:divsChild>
                    <w:div w:id="498497686">
                      <w:marLeft w:val="0"/>
                      <w:marRight w:val="0"/>
                      <w:marTop w:val="0"/>
                      <w:marBottom w:val="0"/>
                      <w:divBdr>
                        <w:top w:val="none" w:sz="0" w:space="0" w:color="auto"/>
                        <w:left w:val="none" w:sz="0" w:space="0" w:color="auto"/>
                        <w:bottom w:val="none" w:sz="0" w:space="0" w:color="auto"/>
                        <w:right w:val="none" w:sz="0" w:space="0" w:color="auto"/>
                      </w:divBdr>
                      <w:divsChild>
                        <w:div w:id="105933402">
                          <w:marLeft w:val="0"/>
                          <w:marRight w:val="0"/>
                          <w:marTop w:val="0"/>
                          <w:marBottom w:val="0"/>
                          <w:divBdr>
                            <w:top w:val="none" w:sz="0" w:space="0" w:color="auto"/>
                            <w:left w:val="none" w:sz="0" w:space="0" w:color="auto"/>
                            <w:bottom w:val="none" w:sz="0" w:space="0" w:color="auto"/>
                            <w:right w:val="none" w:sz="0" w:space="0" w:color="auto"/>
                          </w:divBdr>
                          <w:divsChild>
                            <w:div w:id="783427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5165567">
      <w:bodyDiv w:val="1"/>
      <w:marLeft w:val="0"/>
      <w:marRight w:val="0"/>
      <w:marTop w:val="0"/>
      <w:marBottom w:val="0"/>
      <w:divBdr>
        <w:top w:val="none" w:sz="0" w:space="0" w:color="auto"/>
        <w:left w:val="none" w:sz="0" w:space="0" w:color="auto"/>
        <w:bottom w:val="none" w:sz="0" w:space="0" w:color="auto"/>
        <w:right w:val="none" w:sz="0" w:space="0" w:color="auto"/>
      </w:divBdr>
      <w:divsChild>
        <w:div w:id="1635451876">
          <w:marLeft w:val="0"/>
          <w:marRight w:val="0"/>
          <w:marTop w:val="0"/>
          <w:marBottom w:val="0"/>
          <w:divBdr>
            <w:top w:val="none" w:sz="0" w:space="0" w:color="auto"/>
            <w:left w:val="none" w:sz="0" w:space="0" w:color="auto"/>
            <w:bottom w:val="none" w:sz="0" w:space="0" w:color="auto"/>
            <w:right w:val="none" w:sz="0" w:space="0" w:color="auto"/>
          </w:divBdr>
          <w:divsChild>
            <w:div w:id="1020932656">
              <w:marLeft w:val="0"/>
              <w:marRight w:val="0"/>
              <w:marTop w:val="0"/>
              <w:marBottom w:val="0"/>
              <w:divBdr>
                <w:top w:val="none" w:sz="0" w:space="0" w:color="auto"/>
                <w:left w:val="none" w:sz="0" w:space="0" w:color="auto"/>
                <w:bottom w:val="none" w:sz="0" w:space="0" w:color="auto"/>
                <w:right w:val="none" w:sz="0" w:space="0" w:color="auto"/>
              </w:divBdr>
              <w:divsChild>
                <w:div w:id="1045721074">
                  <w:marLeft w:val="0"/>
                  <w:marRight w:val="0"/>
                  <w:marTop w:val="0"/>
                  <w:marBottom w:val="0"/>
                  <w:divBdr>
                    <w:top w:val="none" w:sz="0" w:space="0" w:color="auto"/>
                    <w:left w:val="none" w:sz="0" w:space="0" w:color="auto"/>
                    <w:bottom w:val="none" w:sz="0" w:space="0" w:color="auto"/>
                    <w:right w:val="none" w:sz="0" w:space="0" w:color="auto"/>
                  </w:divBdr>
                  <w:divsChild>
                    <w:div w:id="4289549">
                      <w:marLeft w:val="0"/>
                      <w:marRight w:val="0"/>
                      <w:marTop w:val="0"/>
                      <w:marBottom w:val="0"/>
                      <w:divBdr>
                        <w:top w:val="none" w:sz="0" w:space="0" w:color="auto"/>
                        <w:left w:val="none" w:sz="0" w:space="0" w:color="auto"/>
                        <w:bottom w:val="none" w:sz="0" w:space="0" w:color="auto"/>
                        <w:right w:val="none" w:sz="0" w:space="0" w:color="auto"/>
                      </w:divBdr>
                      <w:divsChild>
                        <w:div w:id="1491866222">
                          <w:marLeft w:val="0"/>
                          <w:marRight w:val="0"/>
                          <w:marTop w:val="0"/>
                          <w:marBottom w:val="0"/>
                          <w:divBdr>
                            <w:top w:val="none" w:sz="0" w:space="0" w:color="auto"/>
                            <w:left w:val="none" w:sz="0" w:space="0" w:color="auto"/>
                            <w:bottom w:val="none" w:sz="0" w:space="0" w:color="auto"/>
                            <w:right w:val="none" w:sz="0" w:space="0" w:color="auto"/>
                          </w:divBdr>
                          <w:divsChild>
                            <w:div w:id="1926763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8807628">
      <w:bodyDiv w:val="1"/>
      <w:marLeft w:val="0"/>
      <w:marRight w:val="0"/>
      <w:marTop w:val="0"/>
      <w:marBottom w:val="0"/>
      <w:divBdr>
        <w:top w:val="none" w:sz="0" w:space="0" w:color="auto"/>
        <w:left w:val="none" w:sz="0" w:space="0" w:color="auto"/>
        <w:bottom w:val="none" w:sz="0" w:space="0" w:color="auto"/>
        <w:right w:val="none" w:sz="0" w:space="0" w:color="auto"/>
      </w:divBdr>
      <w:divsChild>
        <w:div w:id="878123352">
          <w:marLeft w:val="0"/>
          <w:marRight w:val="0"/>
          <w:marTop w:val="0"/>
          <w:marBottom w:val="0"/>
          <w:divBdr>
            <w:top w:val="none" w:sz="0" w:space="0" w:color="auto"/>
            <w:left w:val="none" w:sz="0" w:space="0" w:color="auto"/>
            <w:bottom w:val="none" w:sz="0" w:space="0" w:color="auto"/>
            <w:right w:val="none" w:sz="0" w:space="0" w:color="auto"/>
          </w:divBdr>
          <w:divsChild>
            <w:div w:id="1151824799">
              <w:marLeft w:val="0"/>
              <w:marRight w:val="0"/>
              <w:marTop w:val="0"/>
              <w:marBottom w:val="0"/>
              <w:divBdr>
                <w:top w:val="none" w:sz="0" w:space="0" w:color="auto"/>
                <w:left w:val="none" w:sz="0" w:space="0" w:color="auto"/>
                <w:bottom w:val="none" w:sz="0" w:space="0" w:color="auto"/>
                <w:right w:val="none" w:sz="0" w:space="0" w:color="auto"/>
              </w:divBdr>
              <w:divsChild>
                <w:div w:id="1111165864">
                  <w:marLeft w:val="0"/>
                  <w:marRight w:val="0"/>
                  <w:marTop w:val="0"/>
                  <w:marBottom w:val="0"/>
                  <w:divBdr>
                    <w:top w:val="none" w:sz="0" w:space="0" w:color="auto"/>
                    <w:left w:val="none" w:sz="0" w:space="0" w:color="auto"/>
                    <w:bottom w:val="none" w:sz="0" w:space="0" w:color="auto"/>
                    <w:right w:val="none" w:sz="0" w:space="0" w:color="auto"/>
                  </w:divBdr>
                  <w:divsChild>
                    <w:div w:id="998654278">
                      <w:marLeft w:val="0"/>
                      <w:marRight w:val="0"/>
                      <w:marTop w:val="0"/>
                      <w:marBottom w:val="0"/>
                      <w:divBdr>
                        <w:top w:val="none" w:sz="0" w:space="0" w:color="auto"/>
                        <w:left w:val="none" w:sz="0" w:space="0" w:color="auto"/>
                        <w:bottom w:val="none" w:sz="0" w:space="0" w:color="auto"/>
                        <w:right w:val="none" w:sz="0" w:space="0" w:color="auto"/>
                      </w:divBdr>
                      <w:divsChild>
                        <w:div w:id="490409279">
                          <w:marLeft w:val="0"/>
                          <w:marRight w:val="0"/>
                          <w:marTop w:val="0"/>
                          <w:marBottom w:val="0"/>
                          <w:divBdr>
                            <w:top w:val="none" w:sz="0" w:space="0" w:color="auto"/>
                            <w:left w:val="none" w:sz="0" w:space="0" w:color="auto"/>
                            <w:bottom w:val="none" w:sz="0" w:space="0" w:color="auto"/>
                            <w:right w:val="none" w:sz="0" w:space="0" w:color="auto"/>
                          </w:divBdr>
                          <w:divsChild>
                            <w:div w:id="1165165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2437528">
      <w:bodyDiv w:val="1"/>
      <w:marLeft w:val="0"/>
      <w:marRight w:val="0"/>
      <w:marTop w:val="0"/>
      <w:marBottom w:val="0"/>
      <w:divBdr>
        <w:top w:val="none" w:sz="0" w:space="0" w:color="auto"/>
        <w:left w:val="none" w:sz="0" w:space="0" w:color="auto"/>
        <w:bottom w:val="none" w:sz="0" w:space="0" w:color="auto"/>
        <w:right w:val="none" w:sz="0" w:space="0" w:color="auto"/>
      </w:divBdr>
      <w:divsChild>
        <w:div w:id="1608076980">
          <w:marLeft w:val="0"/>
          <w:marRight w:val="0"/>
          <w:marTop w:val="0"/>
          <w:marBottom w:val="0"/>
          <w:divBdr>
            <w:top w:val="none" w:sz="0" w:space="0" w:color="auto"/>
            <w:left w:val="none" w:sz="0" w:space="0" w:color="auto"/>
            <w:bottom w:val="none" w:sz="0" w:space="0" w:color="auto"/>
            <w:right w:val="none" w:sz="0" w:space="0" w:color="auto"/>
          </w:divBdr>
          <w:divsChild>
            <w:div w:id="1309893808">
              <w:marLeft w:val="0"/>
              <w:marRight w:val="0"/>
              <w:marTop w:val="0"/>
              <w:marBottom w:val="0"/>
              <w:divBdr>
                <w:top w:val="none" w:sz="0" w:space="0" w:color="auto"/>
                <w:left w:val="none" w:sz="0" w:space="0" w:color="auto"/>
                <w:bottom w:val="none" w:sz="0" w:space="0" w:color="auto"/>
                <w:right w:val="none" w:sz="0" w:space="0" w:color="auto"/>
              </w:divBdr>
              <w:divsChild>
                <w:div w:id="810903514">
                  <w:marLeft w:val="0"/>
                  <w:marRight w:val="0"/>
                  <w:marTop w:val="0"/>
                  <w:marBottom w:val="0"/>
                  <w:divBdr>
                    <w:top w:val="none" w:sz="0" w:space="0" w:color="auto"/>
                    <w:left w:val="none" w:sz="0" w:space="0" w:color="auto"/>
                    <w:bottom w:val="none" w:sz="0" w:space="0" w:color="auto"/>
                    <w:right w:val="none" w:sz="0" w:space="0" w:color="auto"/>
                  </w:divBdr>
                  <w:divsChild>
                    <w:div w:id="988021588">
                      <w:marLeft w:val="0"/>
                      <w:marRight w:val="0"/>
                      <w:marTop w:val="0"/>
                      <w:marBottom w:val="0"/>
                      <w:divBdr>
                        <w:top w:val="none" w:sz="0" w:space="0" w:color="auto"/>
                        <w:left w:val="none" w:sz="0" w:space="0" w:color="auto"/>
                        <w:bottom w:val="none" w:sz="0" w:space="0" w:color="auto"/>
                        <w:right w:val="none" w:sz="0" w:space="0" w:color="auto"/>
                      </w:divBdr>
                      <w:divsChild>
                        <w:div w:id="1515607241">
                          <w:marLeft w:val="0"/>
                          <w:marRight w:val="0"/>
                          <w:marTop w:val="0"/>
                          <w:marBottom w:val="0"/>
                          <w:divBdr>
                            <w:top w:val="none" w:sz="0" w:space="0" w:color="auto"/>
                            <w:left w:val="none" w:sz="0" w:space="0" w:color="auto"/>
                            <w:bottom w:val="none" w:sz="0" w:space="0" w:color="auto"/>
                            <w:right w:val="none" w:sz="0" w:space="0" w:color="auto"/>
                          </w:divBdr>
                          <w:divsChild>
                            <w:div w:id="1954898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0517276">
      <w:bodyDiv w:val="1"/>
      <w:marLeft w:val="0"/>
      <w:marRight w:val="0"/>
      <w:marTop w:val="0"/>
      <w:marBottom w:val="0"/>
      <w:divBdr>
        <w:top w:val="none" w:sz="0" w:space="0" w:color="auto"/>
        <w:left w:val="none" w:sz="0" w:space="0" w:color="auto"/>
        <w:bottom w:val="none" w:sz="0" w:space="0" w:color="auto"/>
        <w:right w:val="none" w:sz="0" w:space="0" w:color="auto"/>
      </w:divBdr>
      <w:divsChild>
        <w:div w:id="214587371">
          <w:marLeft w:val="0"/>
          <w:marRight w:val="0"/>
          <w:marTop w:val="0"/>
          <w:marBottom w:val="0"/>
          <w:divBdr>
            <w:top w:val="none" w:sz="0" w:space="0" w:color="auto"/>
            <w:left w:val="none" w:sz="0" w:space="0" w:color="auto"/>
            <w:bottom w:val="none" w:sz="0" w:space="0" w:color="auto"/>
            <w:right w:val="none" w:sz="0" w:space="0" w:color="auto"/>
          </w:divBdr>
          <w:divsChild>
            <w:div w:id="1108886333">
              <w:marLeft w:val="0"/>
              <w:marRight w:val="0"/>
              <w:marTop w:val="0"/>
              <w:marBottom w:val="0"/>
              <w:divBdr>
                <w:top w:val="none" w:sz="0" w:space="0" w:color="auto"/>
                <w:left w:val="none" w:sz="0" w:space="0" w:color="auto"/>
                <w:bottom w:val="none" w:sz="0" w:space="0" w:color="auto"/>
                <w:right w:val="none" w:sz="0" w:space="0" w:color="auto"/>
              </w:divBdr>
              <w:divsChild>
                <w:div w:id="1398212720">
                  <w:marLeft w:val="0"/>
                  <w:marRight w:val="0"/>
                  <w:marTop w:val="0"/>
                  <w:marBottom w:val="0"/>
                  <w:divBdr>
                    <w:top w:val="none" w:sz="0" w:space="0" w:color="auto"/>
                    <w:left w:val="none" w:sz="0" w:space="0" w:color="auto"/>
                    <w:bottom w:val="none" w:sz="0" w:space="0" w:color="auto"/>
                    <w:right w:val="none" w:sz="0" w:space="0" w:color="auto"/>
                  </w:divBdr>
                  <w:divsChild>
                    <w:div w:id="771124430">
                      <w:marLeft w:val="0"/>
                      <w:marRight w:val="0"/>
                      <w:marTop w:val="0"/>
                      <w:marBottom w:val="0"/>
                      <w:divBdr>
                        <w:top w:val="none" w:sz="0" w:space="0" w:color="auto"/>
                        <w:left w:val="none" w:sz="0" w:space="0" w:color="auto"/>
                        <w:bottom w:val="none" w:sz="0" w:space="0" w:color="auto"/>
                        <w:right w:val="none" w:sz="0" w:space="0" w:color="auto"/>
                      </w:divBdr>
                      <w:divsChild>
                        <w:div w:id="817646391">
                          <w:marLeft w:val="0"/>
                          <w:marRight w:val="0"/>
                          <w:marTop w:val="0"/>
                          <w:marBottom w:val="0"/>
                          <w:divBdr>
                            <w:top w:val="none" w:sz="0" w:space="0" w:color="auto"/>
                            <w:left w:val="none" w:sz="0" w:space="0" w:color="auto"/>
                            <w:bottom w:val="none" w:sz="0" w:space="0" w:color="auto"/>
                            <w:right w:val="none" w:sz="0" w:space="0" w:color="auto"/>
                          </w:divBdr>
                          <w:divsChild>
                            <w:div w:id="2017489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089461">
      <w:bodyDiv w:val="1"/>
      <w:marLeft w:val="0"/>
      <w:marRight w:val="0"/>
      <w:marTop w:val="0"/>
      <w:marBottom w:val="0"/>
      <w:divBdr>
        <w:top w:val="none" w:sz="0" w:space="0" w:color="auto"/>
        <w:left w:val="none" w:sz="0" w:space="0" w:color="auto"/>
        <w:bottom w:val="none" w:sz="0" w:space="0" w:color="auto"/>
        <w:right w:val="none" w:sz="0" w:space="0" w:color="auto"/>
      </w:divBdr>
      <w:divsChild>
        <w:div w:id="1880319316">
          <w:marLeft w:val="0"/>
          <w:marRight w:val="0"/>
          <w:marTop w:val="0"/>
          <w:marBottom w:val="0"/>
          <w:divBdr>
            <w:top w:val="none" w:sz="0" w:space="0" w:color="auto"/>
            <w:left w:val="none" w:sz="0" w:space="0" w:color="auto"/>
            <w:bottom w:val="none" w:sz="0" w:space="0" w:color="auto"/>
            <w:right w:val="none" w:sz="0" w:space="0" w:color="auto"/>
          </w:divBdr>
          <w:divsChild>
            <w:div w:id="1066535115">
              <w:marLeft w:val="0"/>
              <w:marRight w:val="0"/>
              <w:marTop w:val="0"/>
              <w:marBottom w:val="0"/>
              <w:divBdr>
                <w:top w:val="none" w:sz="0" w:space="0" w:color="auto"/>
                <w:left w:val="none" w:sz="0" w:space="0" w:color="auto"/>
                <w:bottom w:val="none" w:sz="0" w:space="0" w:color="auto"/>
                <w:right w:val="none" w:sz="0" w:space="0" w:color="auto"/>
              </w:divBdr>
              <w:divsChild>
                <w:div w:id="2076581148">
                  <w:marLeft w:val="0"/>
                  <w:marRight w:val="0"/>
                  <w:marTop w:val="0"/>
                  <w:marBottom w:val="0"/>
                  <w:divBdr>
                    <w:top w:val="none" w:sz="0" w:space="0" w:color="auto"/>
                    <w:left w:val="none" w:sz="0" w:space="0" w:color="auto"/>
                    <w:bottom w:val="none" w:sz="0" w:space="0" w:color="auto"/>
                    <w:right w:val="none" w:sz="0" w:space="0" w:color="auto"/>
                  </w:divBdr>
                  <w:divsChild>
                    <w:div w:id="1779253526">
                      <w:marLeft w:val="0"/>
                      <w:marRight w:val="0"/>
                      <w:marTop w:val="0"/>
                      <w:marBottom w:val="0"/>
                      <w:divBdr>
                        <w:top w:val="none" w:sz="0" w:space="0" w:color="auto"/>
                        <w:left w:val="none" w:sz="0" w:space="0" w:color="auto"/>
                        <w:bottom w:val="none" w:sz="0" w:space="0" w:color="auto"/>
                        <w:right w:val="none" w:sz="0" w:space="0" w:color="auto"/>
                      </w:divBdr>
                      <w:divsChild>
                        <w:div w:id="1337147269">
                          <w:marLeft w:val="0"/>
                          <w:marRight w:val="0"/>
                          <w:marTop w:val="0"/>
                          <w:marBottom w:val="0"/>
                          <w:divBdr>
                            <w:top w:val="none" w:sz="0" w:space="0" w:color="auto"/>
                            <w:left w:val="none" w:sz="0" w:space="0" w:color="auto"/>
                            <w:bottom w:val="none" w:sz="0" w:space="0" w:color="auto"/>
                            <w:right w:val="none" w:sz="0" w:space="0" w:color="auto"/>
                          </w:divBdr>
                          <w:divsChild>
                            <w:div w:id="1300066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1985951">
      <w:bodyDiv w:val="1"/>
      <w:marLeft w:val="0"/>
      <w:marRight w:val="0"/>
      <w:marTop w:val="0"/>
      <w:marBottom w:val="0"/>
      <w:divBdr>
        <w:top w:val="none" w:sz="0" w:space="0" w:color="auto"/>
        <w:left w:val="none" w:sz="0" w:space="0" w:color="auto"/>
        <w:bottom w:val="none" w:sz="0" w:space="0" w:color="auto"/>
        <w:right w:val="none" w:sz="0" w:space="0" w:color="auto"/>
      </w:divBdr>
      <w:divsChild>
        <w:div w:id="1371615428">
          <w:marLeft w:val="0"/>
          <w:marRight w:val="0"/>
          <w:marTop w:val="0"/>
          <w:marBottom w:val="0"/>
          <w:divBdr>
            <w:top w:val="none" w:sz="0" w:space="0" w:color="auto"/>
            <w:left w:val="none" w:sz="0" w:space="0" w:color="auto"/>
            <w:bottom w:val="none" w:sz="0" w:space="0" w:color="auto"/>
            <w:right w:val="none" w:sz="0" w:space="0" w:color="auto"/>
          </w:divBdr>
          <w:divsChild>
            <w:div w:id="675306738">
              <w:marLeft w:val="0"/>
              <w:marRight w:val="0"/>
              <w:marTop w:val="0"/>
              <w:marBottom w:val="0"/>
              <w:divBdr>
                <w:top w:val="none" w:sz="0" w:space="0" w:color="auto"/>
                <w:left w:val="none" w:sz="0" w:space="0" w:color="auto"/>
                <w:bottom w:val="none" w:sz="0" w:space="0" w:color="auto"/>
                <w:right w:val="none" w:sz="0" w:space="0" w:color="auto"/>
              </w:divBdr>
              <w:divsChild>
                <w:div w:id="2125534934">
                  <w:marLeft w:val="0"/>
                  <w:marRight w:val="0"/>
                  <w:marTop w:val="0"/>
                  <w:marBottom w:val="0"/>
                  <w:divBdr>
                    <w:top w:val="none" w:sz="0" w:space="0" w:color="auto"/>
                    <w:left w:val="none" w:sz="0" w:space="0" w:color="auto"/>
                    <w:bottom w:val="none" w:sz="0" w:space="0" w:color="auto"/>
                    <w:right w:val="none" w:sz="0" w:space="0" w:color="auto"/>
                  </w:divBdr>
                  <w:divsChild>
                    <w:div w:id="22169525">
                      <w:marLeft w:val="0"/>
                      <w:marRight w:val="0"/>
                      <w:marTop w:val="0"/>
                      <w:marBottom w:val="0"/>
                      <w:divBdr>
                        <w:top w:val="none" w:sz="0" w:space="0" w:color="auto"/>
                        <w:left w:val="none" w:sz="0" w:space="0" w:color="auto"/>
                        <w:bottom w:val="none" w:sz="0" w:space="0" w:color="auto"/>
                        <w:right w:val="none" w:sz="0" w:space="0" w:color="auto"/>
                      </w:divBdr>
                      <w:divsChild>
                        <w:div w:id="679822090">
                          <w:marLeft w:val="0"/>
                          <w:marRight w:val="0"/>
                          <w:marTop w:val="0"/>
                          <w:marBottom w:val="0"/>
                          <w:divBdr>
                            <w:top w:val="none" w:sz="0" w:space="0" w:color="auto"/>
                            <w:left w:val="none" w:sz="0" w:space="0" w:color="auto"/>
                            <w:bottom w:val="none" w:sz="0" w:space="0" w:color="auto"/>
                            <w:right w:val="none" w:sz="0" w:space="0" w:color="auto"/>
                          </w:divBdr>
                          <w:divsChild>
                            <w:div w:id="1419016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8525378">
      <w:bodyDiv w:val="1"/>
      <w:marLeft w:val="0"/>
      <w:marRight w:val="0"/>
      <w:marTop w:val="0"/>
      <w:marBottom w:val="0"/>
      <w:divBdr>
        <w:top w:val="none" w:sz="0" w:space="0" w:color="auto"/>
        <w:left w:val="none" w:sz="0" w:space="0" w:color="auto"/>
        <w:bottom w:val="none" w:sz="0" w:space="0" w:color="auto"/>
        <w:right w:val="none" w:sz="0" w:space="0" w:color="auto"/>
      </w:divBdr>
      <w:divsChild>
        <w:div w:id="1447970791">
          <w:marLeft w:val="0"/>
          <w:marRight w:val="0"/>
          <w:marTop w:val="0"/>
          <w:marBottom w:val="0"/>
          <w:divBdr>
            <w:top w:val="none" w:sz="0" w:space="0" w:color="auto"/>
            <w:left w:val="none" w:sz="0" w:space="0" w:color="auto"/>
            <w:bottom w:val="none" w:sz="0" w:space="0" w:color="auto"/>
            <w:right w:val="none" w:sz="0" w:space="0" w:color="auto"/>
          </w:divBdr>
          <w:divsChild>
            <w:div w:id="1572274328">
              <w:marLeft w:val="0"/>
              <w:marRight w:val="0"/>
              <w:marTop w:val="0"/>
              <w:marBottom w:val="0"/>
              <w:divBdr>
                <w:top w:val="none" w:sz="0" w:space="0" w:color="auto"/>
                <w:left w:val="none" w:sz="0" w:space="0" w:color="auto"/>
                <w:bottom w:val="none" w:sz="0" w:space="0" w:color="auto"/>
                <w:right w:val="none" w:sz="0" w:space="0" w:color="auto"/>
              </w:divBdr>
              <w:divsChild>
                <w:div w:id="250090026">
                  <w:marLeft w:val="0"/>
                  <w:marRight w:val="0"/>
                  <w:marTop w:val="0"/>
                  <w:marBottom w:val="0"/>
                  <w:divBdr>
                    <w:top w:val="none" w:sz="0" w:space="0" w:color="auto"/>
                    <w:left w:val="none" w:sz="0" w:space="0" w:color="auto"/>
                    <w:bottom w:val="none" w:sz="0" w:space="0" w:color="auto"/>
                    <w:right w:val="none" w:sz="0" w:space="0" w:color="auto"/>
                  </w:divBdr>
                  <w:divsChild>
                    <w:div w:id="1812867188">
                      <w:marLeft w:val="0"/>
                      <w:marRight w:val="0"/>
                      <w:marTop w:val="0"/>
                      <w:marBottom w:val="0"/>
                      <w:divBdr>
                        <w:top w:val="none" w:sz="0" w:space="0" w:color="auto"/>
                        <w:left w:val="none" w:sz="0" w:space="0" w:color="auto"/>
                        <w:bottom w:val="none" w:sz="0" w:space="0" w:color="auto"/>
                        <w:right w:val="none" w:sz="0" w:space="0" w:color="auto"/>
                      </w:divBdr>
                      <w:divsChild>
                        <w:div w:id="359278738">
                          <w:marLeft w:val="0"/>
                          <w:marRight w:val="0"/>
                          <w:marTop w:val="0"/>
                          <w:marBottom w:val="0"/>
                          <w:divBdr>
                            <w:top w:val="none" w:sz="0" w:space="0" w:color="auto"/>
                            <w:left w:val="none" w:sz="0" w:space="0" w:color="auto"/>
                            <w:bottom w:val="none" w:sz="0" w:space="0" w:color="auto"/>
                            <w:right w:val="none" w:sz="0" w:space="0" w:color="auto"/>
                          </w:divBdr>
                          <w:divsChild>
                            <w:div w:id="1124883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0874963">
      <w:bodyDiv w:val="1"/>
      <w:marLeft w:val="0"/>
      <w:marRight w:val="0"/>
      <w:marTop w:val="0"/>
      <w:marBottom w:val="0"/>
      <w:divBdr>
        <w:top w:val="none" w:sz="0" w:space="0" w:color="auto"/>
        <w:left w:val="none" w:sz="0" w:space="0" w:color="auto"/>
        <w:bottom w:val="none" w:sz="0" w:space="0" w:color="auto"/>
        <w:right w:val="none" w:sz="0" w:space="0" w:color="auto"/>
      </w:divBdr>
      <w:divsChild>
        <w:div w:id="252933261">
          <w:marLeft w:val="0"/>
          <w:marRight w:val="0"/>
          <w:marTop w:val="0"/>
          <w:marBottom w:val="0"/>
          <w:divBdr>
            <w:top w:val="none" w:sz="0" w:space="0" w:color="auto"/>
            <w:left w:val="none" w:sz="0" w:space="0" w:color="auto"/>
            <w:bottom w:val="none" w:sz="0" w:space="0" w:color="auto"/>
            <w:right w:val="none" w:sz="0" w:space="0" w:color="auto"/>
          </w:divBdr>
          <w:divsChild>
            <w:div w:id="1734230271">
              <w:marLeft w:val="0"/>
              <w:marRight w:val="0"/>
              <w:marTop w:val="0"/>
              <w:marBottom w:val="0"/>
              <w:divBdr>
                <w:top w:val="none" w:sz="0" w:space="0" w:color="auto"/>
                <w:left w:val="none" w:sz="0" w:space="0" w:color="auto"/>
                <w:bottom w:val="none" w:sz="0" w:space="0" w:color="auto"/>
                <w:right w:val="none" w:sz="0" w:space="0" w:color="auto"/>
              </w:divBdr>
              <w:divsChild>
                <w:div w:id="499321045">
                  <w:marLeft w:val="0"/>
                  <w:marRight w:val="0"/>
                  <w:marTop w:val="0"/>
                  <w:marBottom w:val="0"/>
                  <w:divBdr>
                    <w:top w:val="none" w:sz="0" w:space="0" w:color="auto"/>
                    <w:left w:val="none" w:sz="0" w:space="0" w:color="auto"/>
                    <w:bottom w:val="none" w:sz="0" w:space="0" w:color="auto"/>
                    <w:right w:val="none" w:sz="0" w:space="0" w:color="auto"/>
                  </w:divBdr>
                  <w:divsChild>
                    <w:div w:id="1692684628">
                      <w:marLeft w:val="0"/>
                      <w:marRight w:val="0"/>
                      <w:marTop w:val="0"/>
                      <w:marBottom w:val="0"/>
                      <w:divBdr>
                        <w:top w:val="none" w:sz="0" w:space="0" w:color="auto"/>
                        <w:left w:val="none" w:sz="0" w:space="0" w:color="auto"/>
                        <w:bottom w:val="none" w:sz="0" w:space="0" w:color="auto"/>
                        <w:right w:val="none" w:sz="0" w:space="0" w:color="auto"/>
                      </w:divBdr>
                      <w:divsChild>
                        <w:div w:id="278417226">
                          <w:marLeft w:val="0"/>
                          <w:marRight w:val="0"/>
                          <w:marTop w:val="0"/>
                          <w:marBottom w:val="0"/>
                          <w:divBdr>
                            <w:top w:val="none" w:sz="0" w:space="0" w:color="auto"/>
                            <w:left w:val="none" w:sz="0" w:space="0" w:color="auto"/>
                            <w:bottom w:val="none" w:sz="0" w:space="0" w:color="auto"/>
                            <w:right w:val="none" w:sz="0" w:space="0" w:color="auto"/>
                          </w:divBdr>
                          <w:divsChild>
                            <w:div w:id="1418333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header" Target="header4.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header" Target="header3.xml"/></Relationships>
</file>

<file path=word/theme/theme1.xml><?xml version="1.0" encoding="utf-8"?>
<a:theme xmlns:a="http://schemas.openxmlformats.org/drawingml/2006/main">
  <a:themeElements>
    <a:clrScheme nam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63B947-3711-41FD-9AF8-331E87ADCF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58E74869-9D2B-4A11-BC22-0DBE36F56156}">
  <ds:schemaRefs>
    <ds:schemaRef ds:uri="http://schemas.microsoft.com/sharepoint/v3/contenttype/forms"/>
  </ds:schemaRefs>
</ds:datastoreItem>
</file>

<file path=customXml/itemProps3.xml><?xml version="1.0" encoding="utf-8"?>
<ds:datastoreItem xmlns:ds="http://schemas.openxmlformats.org/officeDocument/2006/customXml" ds:itemID="{50FA45C0-5E90-40C7-A189-99B945405B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15245</Words>
  <Characters>91473</Characters>
  <Application>Microsoft Office Word</Application>
  <DocSecurity>0</DocSecurity>
  <Lines>762</Lines>
  <Paragraphs>213</Paragraphs>
  <ScaleCrop>false</ScaleCrop>
  <HeadingPairs>
    <vt:vector size="10" baseType="variant">
      <vt:variant>
        <vt:lpstr>Tytuł</vt:lpstr>
      </vt:variant>
      <vt:variant>
        <vt:i4>1</vt:i4>
      </vt:variant>
      <vt:variant>
        <vt:lpstr>Nagłówki</vt:lpstr>
      </vt:variant>
      <vt:variant>
        <vt:i4>33</vt:i4>
      </vt:variant>
      <vt:variant>
        <vt:lpstr>Titolo</vt:lpstr>
      </vt:variant>
      <vt:variant>
        <vt:i4>1</vt:i4>
      </vt:variant>
      <vt:variant>
        <vt:lpstr>Intestazioni</vt:lpstr>
      </vt:variant>
      <vt:variant>
        <vt:i4>33</vt:i4>
      </vt:variant>
      <vt:variant>
        <vt:lpstr>Title</vt:lpstr>
      </vt:variant>
      <vt:variant>
        <vt:i4>1</vt:i4>
      </vt:variant>
    </vt:vector>
  </HeadingPairs>
  <TitlesOfParts>
    <vt:vector size="69" baseType="lpstr">
      <vt:lpstr>ECHR</vt:lpstr>
      <vt:lpstr>PIERWSZA SEKCJA</vt:lpstr>
      <vt:lpstr>    SPRAWA JEFIMENKO przeciwko ROSJI</vt:lpstr>
      <vt:lpstr>WYROK</vt:lpstr>
      <vt:lpstr>POSTĘPOWANIE</vt:lpstr>
      <vt:lpstr>FAKTY</vt:lpstr>
      <vt:lpstr>I.  OKOLICZNOŚCI SPRAWY</vt:lpstr>
      <vt:lpstr>        A.  Postępowanie karne przeciwko skarżącemu</vt:lpstr>
      <vt:lpstr>        B.  Warunki tymczasowego aresztowania</vt:lpstr>
      <vt:lpstr>        C.  Korespondencja z Okręgową Radą Adwokacką, Centrum Międzynarodowej Pomocy Pra</vt:lpstr>
      <vt:lpstr>II. WŁAŚCIWE PRAWO KRAJOWE I PRAKTYKA</vt:lpstr>
      <vt:lpstr>        A.  Ławnicy</vt:lpstr>
      <vt:lpstr>        B.  Reprezentacja prawna w postępowaniu karnym</vt:lpstr>
      <vt:lpstr>        C.  Warunki tymczasowego aresztowania</vt:lpstr>
      <vt:lpstr>        D.  Korespondencja skazanych</vt:lpstr>
      <vt:lpstr>PRAWO</vt:lpstr>
      <vt:lpstr>    I.  ZARZUTY NARUSZENIA ARTYKUŁU 3 I ARTYKUŁU 13 KONWENCJI</vt:lpstr>
      <vt:lpstr>        A.  Oświadczenia stron</vt:lpstr>
      <vt:lpstr>        B.  Ocena Trybunału</vt:lpstr>
      <vt:lpstr>    I.  ZARZUT NARUSZENIA ARTYKUŁU 5 UST. 1 KONWENCJI</vt:lpstr>
      <vt:lpstr>        A.  Oświadczenia stron</vt:lpstr>
      <vt:lpstr>        B.  Ocena Trybunału</vt:lpstr>
      <vt:lpstr>    III.  ZARZUT NARUSZENIA ARTYKUŁU 6 KONWENCJI</vt:lpstr>
      <vt:lpstr>        A.  Oświadczenia stron</vt:lpstr>
      <vt:lpstr>        B.  Ocena Trybunału</vt:lpstr>
      <vt:lpstr>    IV.  ZARZUTY NARUSZENIA ARTYKUŁU 8 I ARTYKUŁU 34 KONWENCJI</vt:lpstr>
      <vt:lpstr>        A.  Oświadczenia stron</vt:lpstr>
      <vt:lpstr>        B.  Ocena Trybunału</vt:lpstr>
      <vt:lpstr>    IV. POZOSTAŁE ZARZUTY NARUSZENIA KONWENCJI</vt:lpstr>
      <vt:lpstr>    VI.  ZASTOSOWANIE ARTYKUŁU 41 KONWENCJI</vt:lpstr>
      <vt:lpstr>A.  Odszkodowanie</vt:lpstr>
      <vt:lpstr>B.  Koszty i wydatki</vt:lpstr>
      <vt:lpstr>C.  Odsetki za zwłokę</vt:lpstr>
      <vt:lpstr>Z TYCH PRZYCZYN TRYBUNAŁ</vt:lpstr>
      <vt:lpstr>ECHR</vt:lpstr>
      <vt:lpstr>PIERWSZA SEKCJA</vt:lpstr>
      <vt:lpstr>    SPRAWA JEFIMENKO przeciwko ROSJI</vt:lpstr>
      <vt:lpstr>WYROK</vt:lpstr>
      <vt:lpstr>POSTĘPOWANIE</vt:lpstr>
      <vt:lpstr>FAKTY</vt:lpstr>
      <vt:lpstr>I.  OKOLICZNOŚCI SPRAWY</vt:lpstr>
      <vt:lpstr>        A.  Postępowanie karne przeciwko skarżącemu</vt:lpstr>
      <vt:lpstr>        B.  Warunki tymczasowego aresztowania</vt:lpstr>
      <vt:lpstr>        C.  Korespondencja z Okręgową Radą Adwokacką, Centrum Międzynarodowej Pomocy Pra</vt:lpstr>
      <vt:lpstr>II. WŁAŚCIWE PRAWO KRAJOWE I PRAKTYKA</vt:lpstr>
      <vt:lpstr>        A.  Ławnicy</vt:lpstr>
      <vt:lpstr>        B.  Reprezentacja prawna w postępowaniu karnym</vt:lpstr>
      <vt:lpstr>        C.  Warunki tymczasowego aresztowania</vt:lpstr>
      <vt:lpstr>        D.  Korespondencja skazanych</vt:lpstr>
      <vt:lpstr>PRAWO</vt:lpstr>
      <vt:lpstr>    I.  ZARZUTY NARUSZENIA ARTYKUŁU 3 I ARTYKUŁU 13 KONWENCJI</vt:lpstr>
      <vt:lpstr>        A.  Oświadczenia stron</vt:lpstr>
      <vt:lpstr>        B.  Ocena Trybunału</vt:lpstr>
      <vt:lpstr>    I.  ZARZUT NARUSZENIA ARTYKUŁU 5 UST. 1 KONWENCJI</vt:lpstr>
      <vt:lpstr>        A.  Oświadczenia stron</vt:lpstr>
      <vt:lpstr>        B.  Ocena Trybunału</vt:lpstr>
      <vt:lpstr>    III.  ZARZUT NARUSZENIA ARTYKUŁU 6 KONWENCJI</vt:lpstr>
      <vt:lpstr>        A.  Oświadczenia stron</vt:lpstr>
      <vt:lpstr>        B.  Ocena Trybunału</vt:lpstr>
      <vt:lpstr>    IV.  ZARZUTY NARUSZENIA ARTYKUŁU 8 I ARTYKUŁU 34 KONWENCJI</vt:lpstr>
      <vt:lpstr>        A.  Oświadczenia stron</vt:lpstr>
      <vt:lpstr>        B.  Ocena Trybunału</vt:lpstr>
      <vt:lpstr>    IV. POZOSTAŁE ZARZUTY NARUSZENIA KONWENCJI</vt:lpstr>
      <vt:lpstr>    VI.  ZASTOSOWANIE ARTYKUŁU 41 KONWENCJI</vt:lpstr>
      <vt:lpstr>A.  Odszkodowanie</vt:lpstr>
      <vt:lpstr>B.  Koszty i wydatki</vt:lpstr>
      <vt:lpstr>C.  Odsetki za zwłokę</vt:lpstr>
      <vt:lpstr>Z TYCH PRZYCZYN TRYBUNAŁ</vt:lpstr>
      <vt:lpstr>ECHR</vt:lpstr>
    </vt:vector>
  </TitlesOfParts>
  <LinksUpToDate>false</LinksUpToDate>
  <CharactersWithSpaces>106505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cp:lastPrinted>2013-01-29T13:46:00Z</cp:lastPrinted>
  <dcterms:created xsi:type="dcterms:W3CDTF">2014-12-01T09:02:00Z</dcterms:created>
  <dcterms:modified xsi:type="dcterms:W3CDTF">2015-04-21T12:05:00Z</dcterms:modified>
  <cp:category>ECHR Template</cp:category>
</cp:coreProperties>
</file>